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b/>
          <w:color w:val="auto"/>
          <w:sz w:val="44"/>
          <w:highlight w:val="none"/>
        </w:rPr>
      </w:pPr>
    </w:p>
    <w:p>
      <w:pPr>
        <w:rPr>
          <w:rFonts w:hint="eastAsia" w:ascii="宋体" w:hAnsi="宋体"/>
          <w:b/>
          <w:color w:val="auto"/>
          <w:sz w:val="44"/>
          <w:highlight w:val="none"/>
        </w:rPr>
      </w:pPr>
      <w:r>
        <w:drawing>
          <wp:anchor distT="0" distB="0" distL="114300" distR="114300" simplePos="0" relativeHeight="251661312" behindDoc="1" locked="0" layoutInCell="1" allowOverlap="1">
            <wp:simplePos x="0" y="0"/>
            <wp:positionH relativeFrom="column">
              <wp:posOffset>-891540</wp:posOffset>
            </wp:positionH>
            <wp:positionV relativeFrom="paragraph">
              <wp:posOffset>-343535</wp:posOffset>
            </wp:positionV>
            <wp:extent cx="7348855" cy="10361930"/>
            <wp:effectExtent l="0" t="0" r="4445" b="127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7348855" cy="10361930"/>
                    </a:xfrm>
                    <a:prstGeom prst="rect">
                      <a:avLst/>
                    </a:prstGeom>
                    <a:noFill/>
                    <a:ln>
                      <a:noFill/>
                    </a:ln>
                  </pic:spPr>
                </pic:pic>
              </a:graphicData>
            </a:graphic>
          </wp:anchor>
        </w:drawing>
      </w:r>
    </w:p>
    <w:p>
      <w:pPr>
        <w:jc w:val="center"/>
        <w:rPr>
          <w:rFonts w:hint="eastAsia" w:ascii="宋体" w:hAnsi="宋体"/>
          <w:b/>
          <w:color w:val="auto"/>
          <w:sz w:val="44"/>
          <w:highlight w:val="none"/>
        </w:rPr>
        <w:sectPr>
          <w:footerReference r:id="rId3" w:type="default"/>
          <w:pgSz w:w="11906" w:h="16838"/>
          <w:pgMar w:top="1417" w:right="1701" w:bottom="1417" w:left="1701" w:header="737" w:footer="850" w:gutter="0"/>
          <w:pgBorders>
            <w:top w:val="none" w:sz="0" w:space="0"/>
            <w:left w:val="none" w:sz="0" w:space="0"/>
            <w:bottom w:val="none" w:sz="0" w:space="0"/>
            <w:right w:val="none" w:sz="0" w:space="0"/>
          </w:pgBorders>
          <w:pgNumType w:fmt="decimal" w:start="1"/>
          <w:cols w:space="0" w:num="1"/>
          <w:rtlGutter w:val="0"/>
          <w:docGrid w:linePitch="0" w:charSpace="0"/>
        </w:sectPr>
      </w:pPr>
    </w:p>
    <w:p>
      <w:pPr>
        <w:jc w:val="center"/>
        <w:rPr>
          <w:rFonts w:hint="eastAsia" w:ascii="宋体" w:hAnsi="宋体"/>
          <w:b/>
          <w:color w:val="auto"/>
          <w:sz w:val="44"/>
          <w:highlight w:val="none"/>
        </w:rPr>
      </w:pPr>
      <w:r>
        <w:rPr>
          <w:rFonts w:hint="eastAsia" w:ascii="宋体" w:hAnsi="宋体"/>
          <w:b/>
          <w:color w:val="auto"/>
          <w:sz w:val="44"/>
          <w:highlight w:val="none"/>
        </w:rPr>
        <w:t>目录</w:t>
      </w:r>
    </w:p>
    <w:p>
      <w:pPr>
        <w:pStyle w:val="22"/>
        <w:rPr>
          <w:color w:val="auto"/>
          <w:highlight w:val="none"/>
        </w:rPr>
      </w:pPr>
    </w:p>
    <w:p>
      <w:pPr>
        <w:spacing w:line="500" w:lineRule="exact"/>
        <w:jc w:val="center"/>
        <w:rPr>
          <w:rFonts w:ascii="宋体" w:hAnsi="宋体"/>
          <w:b/>
          <w:color w:val="auto"/>
          <w:sz w:val="44"/>
          <w:highlight w:val="none"/>
        </w:rPr>
      </w:pPr>
    </w:p>
    <w:p>
      <w:pPr>
        <w:numPr>
          <w:ilvl w:val="0"/>
          <w:numId w:val="7"/>
        </w:numPr>
        <w:spacing w:beforeLines="50" w:line="480" w:lineRule="exact"/>
        <w:rPr>
          <w:rFonts w:ascii="宋体" w:hAnsi="宋体"/>
          <w:color w:val="auto"/>
          <w:sz w:val="30"/>
          <w:szCs w:val="20"/>
          <w:highlight w:val="none"/>
        </w:rPr>
      </w:pPr>
      <w:r>
        <w:rPr>
          <w:rFonts w:hint="eastAsia" w:ascii="宋体" w:hAnsi="宋体"/>
          <w:color w:val="auto"/>
          <w:sz w:val="30"/>
          <w:highlight w:val="none"/>
        </w:rPr>
        <w:t>公开招标采购公告</w:t>
      </w:r>
    </w:p>
    <w:p>
      <w:pPr>
        <w:numPr>
          <w:ilvl w:val="0"/>
          <w:numId w:val="7"/>
        </w:numPr>
        <w:spacing w:beforeLines="50" w:line="480" w:lineRule="exact"/>
        <w:rPr>
          <w:rFonts w:ascii="宋体" w:hAnsi="宋体"/>
          <w:color w:val="auto"/>
          <w:sz w:val="30"/>
          <w:szCs w:val="20"/>
          <w:highlight w:val="none"/>
        </w:rPr>
      </w:pPr>
      <w:r>
        <w:rPr>
          <w:rFonts w:hint="eastAsia" w:ascii="宋体" w:hAnsi="宋体"/>
          <w:color w:val="auto"/>
          <w:sz w:val="30"/>
          <w:highlight w:val="none"/>
        </w:rPr>
        <w:t>招标需求</w:t>
      </w:r>
    </w:p>
    <w:p>
      <w:pPr>
        <w:numPr>
          <w:ilvl w:val="0"/>
          <w:numId w:val="7"/>
        </w:numPr>
        <w:spacing w:beforeLines="50" w:line="480" w:lineRule="exact"/>
        <w:rPr>
          <w:rFonts w:ascii="宋体" w:hAnsi="宋体"/>
          <w:color w:val="auto"/>
          <w:sz w:val="30"/>
          <w:szCs w:val="20"/>
          <w:highlight w:val="none"/>
        </w:rPr>
      </w:pPr>
      <w:r>
        <w:rPr>
          <w:rFonts w:hint="eastAsia" w:ascii="宋体" w:hAnsi="宋体"/>
          <w:color w:val="auto"/>
          <w:sz w:val="30"/>
          <w:highlight w:val="none"/>
        </w:rPr>
        <w:t>投标人须知</w:t>
      </w:r>
    </w:p>
    <w:p>
      <w:pPr>
        <w:numPr>
          <w:ilvl w:val="0"/>
          <w:numId w:val="7"/>
        </w:numPr>
        <w:spacing w:beforeLines="50" w:line="480" w:lineRule="exact"/>
        <w:rPr>
          <w:rFonts w:ascii="宋体" w:hAnsi="宋体"/>
          <w:color w:val="auto"/>
          <w:sz w:val="30"/>
          <w:szCs w:val="20"/>
          <w:highlight w:val="none"/>
        </w:rPr>
      </w:pPr>
      <w:r>
        <w:rPr>
          <w:rFonts w:hint="eastAsia" w:ascii="宋体" w:hAnsi="宋体"/>
          <w:color w:val="auto"/>
          <w:sz w:val="30"/>
          <w:highlight w:val="none"/>
        </w:rPr>
        <w:t>评标办法及评分标准</w:t>
      </w:r>
    </w:p>
    <w:p>
      <w:pPr>
        <w:numPr>
          <w:ilvl w:val="0"/>
          <w:numId w:val="7"/>
        </w:numPr>
        <w:spacing w:beforeLines="50" w:line="480" w:lineRule="exact"/>
        <w:rPr>
          <w:rFonts w:ascii="宋体" w:hAnsi="宋体"/>
          <w:color w:val="auto"/>
          <w:sz w:val="30"/>
          <w:szCs w:val="20"/>
          <w:highlight w:val="none"/>
        </w:rPr>
      </w:pPr>
      <w:r>
        <w:rPr>
          <w:rFonts w:hint="eastAsia" w:ascii="宋体" w:hAnsi="宋体"/>
          <w:color w:val="auto"/>
          <w:sz w:val="30"/>
          <w:highlight w:val="none"/>
        </w:rPr>
        <w:t>政府采购合同主要条款</w:t>
      </w:r>
    </w:p>
    <w:p>
      <w:pPr>
        <w:numPr>
          <w:ilvl w:val="0"/>
          <w:numId w:val="7"/>
        </w:numPr>
        <w:spacing w:beforeLines="50" w:line="480" w:lineRule="exact"/>
        <w:rPr>
          <w:rFonts w:ascii="宋体" w:hAnsi="宋体"/>
          <w:color w:val="auto"/>
          <w:sz w:val="30"/>
          <w:szCs w:val="20"/>
          <w:highlight w:val="none"/>
        </w:rPr>
      </w:pPr>
      <w:r>
        <w:rPr>
          <w:rFonts w:hint="eastAsia" w:ascii="宋体" w:hAnsi="宋体"/>
          <w:color w:val="auto"/>
          <w:sz w:val="30"/>
          <w:highlight w:val="none"/>
        </w:rPr>
        <w:t>投标文件格式</w:t>
      </w:r>
    </w:p>
    <w:p>
      <w:pPr>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sectPr>
          <w:footerReference r:id="rId4" w:type="default"/>
          <w:pgSz w:w="11906" w:h="16838"/>
          <w:pgMar w:top="1417" w:right="1701" w:bottom="1417" w:left="1701" w:header="737" w:footer="850" w:gutter="0"/>
          <w:pgBorders>
            <w:top w:val="none" w:sz="0" w:space="0"/>
            <w:left w:val="none" w:sz="0" w:space="0"/>
            <w:bottom w:val="none" w:sz="0" w:space="0"/>
            <w:right w:val="none" w:sz="0" w:space="0"/>
          </w:pgBorders>
          <w:pgNumType w:fmt="decimal" w:start="1"/>
          <w:cols w:space="0" w:num="1"/>
          <w:rtlGutter w:val="0"/>
          <w:docGrid w:linePitch="0" w:charSpace="0"/>
        </w:sectPr>
      </w:pPr>
    </w:p>
    <w:p>
      <w:pPr>
        <w:pStyle w:val="27"/>
        <w:snapToGrid w:val="0"/>
        <w:spacing w:before="120" w:after="120" w:line="360" w:lineRule="auto"/>
        <w:jc w:val="center"/>
        <w:outlineLvl w:val="0"/>
        <w:rPr>
          <w:rFonts w:hAnsi="宋体" w:cs="宋体"/>
          <w:b/>
          <w:color w:val="auto"/>
          <w:sz w:val="28"/>
          <w:szCs w:val="28"/>
          <w:highlight w:val="none"/>
        </w:rPr>
      </w:pPr>
      <w:r>
        <w:rPr>
          <w:rFonts w:hint="eastAsia" w:hAnsi="宋体" w:cs="宋体"/>
          <w:b/>
          <w:color w:val="auto"/>
          <w:sz w:val="28"/>
          <w:szCs w:val="28"/>
          <w:highlight w:val="none"/>
        </w:rPr>
        <w:t>第一章  公开招标采购公告</w:t>
      </w:r>
    </w:p>
    <w:tbl>
      <w:tblPr>
        <w:tblStyle w:val="51"/>
        <w:tblW w:w="89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8940" w:type="dxa"/>
            <w:tcBorders>
              <w:tl2br w:val="nil"/>
              <w:tr2bl w:val="nil"/>
            </w:tcBorders>
            <w:vAlign w:val="top"/>
          </w:tcPr>
          <w:p>
            <w:pPr>
              <w:pStyle w:val="7"/>
              <w:bidi w:val="0"/>
              <w:rPr>
                <w:rFonts w:hint="eastAsia"/>
                <w:color w:val="auto"/>
                <w:highlight w:val="none"/>
              </w:rPr>
            </w:pPr>
            <w:r>
              <w:rPr>
                <w:rFonts w:hint="eastAsia"/>
                <w:color w:val="auto"/>
                <w:highlight w:val="none"/>
              </w:rPr>
              <w:t>项目概况</w:t>
            </w:r>
          </w:p>
          <w:p>
            <w:pPr>
              <w:keepNext w:val="0"/>
              <w:keepLines w:val="0"/>
              <w:pageBreakBefore w:val="0"/>
              <w:kinsoku/>
              <w:wordWrap w:val="0"/>
              <w:overflowPunct/>
              <w:topLinePunct w:val="0"/>
              <w:autoSpaceDE/>
              <w:autoSpaceDN/>
              <w:bidi w:val="0"/>
              <w:spacing w:line="360" w:lineRule="auto"/>
              <w:ind w:firstLine="420" w:firstLineChars="200"/>
              <w:jc w:val="both"/>
              <w:outlineLvl w:val="9"/>
              <w:rPr>
                <w:rFonts w:hint="eastAsia"/>
                <w:color w:val="auto"/>
                <w:highlight w:val="none"/>
                <w:vertAlign w:val="baseline"/>
              </w:rPr>
            </w:pPr>
            <w:r>
              <w:rPr>
                <w:rFonts w:hint="eastAsia" w:ascii="宋体" w:hAnsi="宋体" w:cs="宋体"/>
                <w:color w:val="auto"/>
                <w:sz w:val="21"/>
                <w:szCs w:val="21"/>
                <w:highlight w:val="none"/>
                <w:u w:val="single"/>
                <w:shd w:val="clear" w:color="auto" w:fill="FFFFFF"/>
                <w:lang w:eastAsia="zh-CN"/>
              </w:rPr>
              <w:t>宁波江北湾头未来社区数字化建设项目</w:t>
            </w:r>
            <w:r>
              <w:rPr>
                <w:rFonts w:hint="eastAsia" w:ascii="宋体" w:hAnsi="宋体" w:eastAsia="宋体" w:cs="宋体"/>
                <w:color w:val="auto"/>
                <w:sz w:val="21"/>
                <w:szCs w:val="21"/>
                <w:highlight w:val="none"/>
              </w:rPr>
              <w:t>的潜在投标人应在浙江政府采购网（http://zfcg.czt.zj.gov.cn）获取（下载）招标文件，并于</w:t>
            </w:r>
            <w:r>
              <w:rPr>
                <w:rFonts w:hint="eastAsia" w:ascii="宋体" w:hAnsi="宋体" w:eastAsia="宋体" w:cs="宋体"/>
                <w:color w:val="auto"/>
                <w:sz w:val="21"/>
                <w:szCs w:val="21"/>
                <w:highlight w:val="none"/>
                <w:u w:val="single"/>
              </w:rPr>
              <w:t>202</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年</w:t>
            </w:r>
            <w:r>
              <w:rPr>
                <w:rFonts w:hint="eastAsia" w:ascii="宋体" w:hAnsi="宋体" w:cs="宋体"/>
                <w:color w:val="auto"/>
                <w:sz w:val="21"/>
                <w:szCs w:val="21"/>
                <w:highlight w:val="none"/>
                <w:u w:val="single"/>
                <w:lang w:val="en-US" w:eastAsia="zh-CN"/>
              </w:rPr>
              <w:t xml:space="preserve"> 7 </w:t>
            </w:r>
            <w:r>
              <w:rPr>
                <w:rFonts w:hint="eastAsia" w:ascii="宋体" w:hAnsi="宋体" w:eastAsia="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 xml:space="preserve"> 25 </w:t>
            </w:r>
            <w:r>
              <w:rPr>
                <w:rFonts w:hint="eastAsia" w:ascii="宋体" w:hAnsi="宋体" w:eastAsia="宋体" w:cs="宋体"/>
                <w:color w:val="auto"/>
                <w:sz w:val="21"/>
                <w:szCs w:val="21"/>
                <w:highlight w:val="none"/>
                <w:u w:val="single"/>
              </w:rPr>
              <w:t>日</w:t>
            </w:r>
            <w:r>
              <w:rPr>
                <w:rFonts w:hint="eastAsia" w:ascii="宋体" w:hAnsi="宋体" w:cs="宋体"/>
                <w:color w:val="auto"/>
                <w:sz w:val="21"/>
                <w:szCs w:val="21"/>
                <w:highlight w:val="none"/>
                <w:u w:val="single"/>
                <w:lang w:val="en-US" w:eastAsia="zh-CN"/>
              </w:rPr>
              <w:t xml:space="preserve"> 13 </w:t>
            </w:r>
            <w:r>
              <w:rPr>
                <w:rFonts w:hint="eastAsia" w:ascii="宋体" w:hAnsi="宋体" w:eastAsia="宋体" w:cs="宋体"/>
                <w:color w:val="auto"/>
                <w:sz w:val="21"/>
                <w:szCs w:val="21"/>
                <w:highlight w:val="none"/>
                <w:u w:val="single"/>
              </w:rPr>
              <w:t>时</w:t>
            </w:r>
            <w:r>
              <w:rPr>
                <w:rFonts w:hint="eastAsia" w:ascii="宋体" w:hAnsi="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分</w:t>
            </w:r>
            <w:r>
              <w:rPr>
                <w:rFonts w:hint="eastAsia" w:ascii="宋体" w:hAnsi="宋体" w:eastAsia="宋体" w:cs="宋体"/>
                <w:color w:val="auto"/>
                <w:sz w:val="21"/>
                <w:szCs w:val="21"/>
                <w:highlight w:val="none"/>
              </w:rPr>
              <w:t>（北京时间）前递交（上传）投标文件</w:t>
            </w:r>
            <w:r>
              <w:rPr>
                <w:rFonts w:hint="eastAsia" w:ascii="宋体" w:hAnsi="宋体" w:eastAsia="宋体" w:cs="宋体"/>
                <w:color w:val="auto"/>
                <w:sz w:val="21"/>
                <w:szCs w:val="21"/>
                <w:highlight w:val="none"/>
                <w:shd w:val="clear" w:color="auto" w:fill="FFFFFF"/>
              </w:rPr>
              <w:t>。</w:t>
            </w:r>
          </w:p>
        </w:tc>
      </w:tr>
    </w:tbl>
    <w:p>
      <w:pPr>
        <w:rPr>
          <w:rFonts w:hint="eastAsia"/>
          <w:color w:val="auto"/>
          <w:highlight w:val="none"/>
          <w:lang w:val="en-US" w:eastAsia="zh-CN"/>
        </w:rPr>
      </w:pPr>
    </w:p>
    <w:p>
      <w:pPr>
        <w:pStyle w:val="49"/>
        <w:rPr>
          <w:rFonts w:hint="eastAsia"/>
          <w:color w:val="auto"/>
          <w:highlight w:val="none"/>
          <w:lang w:val="en-US" w:eastAsia="zh-CN"/>
        </w:rPr>
      </w:pPr>
    </w:p>
    <w:p>
      <w:pPr>
        <w:pStyle w:val="7"/>
        <w:bidi w:val="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lang w:val="en-US" w:eastAsia="zh-CN"/>
        </w:rPr>
        <w:t>一、</w:t>
      </w:r>
      <w:r>
        <w:rPr>
          <w:rFonts w:hint="eastAsia" w:ascii="微软雅黑" w:hAnsi="微软雅黑" w:eastAsia="微软雅黑" w:cs="微软雅黑"/>
          <w:color w:val="auto"/>
          <w:highlight w:val="none"/>
        </w:rPr>
        <w:t>项目基本情况</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lang w:val="en-US" w:eastAsia="zh-CN"/>
        </w:rPr>
        <w:t>NBSD2022-052</w:t>
      </w:r>
      <w:r>
        <w:rPr>
          <w:rFonts w:hint="eastAsia" w:ascii="宋体" w:hAnsi="宋体" w:eastAsia="宋体" w:cs="宋体"/>
          <w:color w:val="auto"/>
          <w:sz w:val="21"/>
          <w:szCs w:val="21"/>
          <w:highlight w:val="none"/>
        </w:rPr>
        <w:t>（交易登记号：</w:t>
      </w:r>
      <w:r>
        <w:rPr>
          <w:rFonts w:hint="eastAsia" w:ascii="宋体" w:hAnsi="宋体" w:eastAsia="宋体" w:cs="宋体"/>
          <w:color w:val="auto"/>
          <w:sz w:val="21"/>
          <w:szCs w:val="21"/>
          <w:highlight w:val="none"/>
          <w:u w:val="single"/>
          <w:lang w:val="en-US" w:eastAsia="zh-CN"/>
        </w:rPr>
        <w:t>FSCG2022147</w:t>
      </w:r>
      <w:r>
        <w:rPr>
          <w:rFonts w:hint="eastAsia" w:ascii="宋体" w:hAnsi="宋体" w:eastAsia="宋体" w:cs="宋体"/>
          <w:color w:val="auto"/>
          <w:sz w:val="21"/>
          <w:szCs w:val="21"/>
          <w:highlight w:val="none"/>
        </w:rPr>
        <w:t>）</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宁波江北湾头未来社区数字化建设项目</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预算金额（元）：</w:t>
      </w:r>
      <w:r>
        <w:rPr>
          <w:rFonts w:hint="eastAsia" w:ascii="宋体" w:hAnsi="宋体" w:cs="宋体"/>
          <w:color w:val="auto"/>
          <w:sz w:val="21"/>
          <w:szCs w:val="21"/>
          <w:highlight w:val="none"/>
          <w:u w:val="single"/>
          <w:lang w:val="en-US" w:eastAsia="zh-CN"/>
        </w:rPr>
        <w:t>6500000元</w:t>
      </w:r>
      <w:r>
        <w:rPr>
          <w:rFonts w:hint="eastAsia" w:ascii="宋体" w:hAnsi="宋体" w:eastAsia="宋体" w:cs="宋体"/>
          <w:color w:val="auto"/>
          <w:sz w:val="21"/>
          <w:szCs w:val="21"/>
          <w:highlight w:val="none"/>
        </w:rPr>
        <w:t xml:space="preserve">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最高限价（元）：</w:t>
      </w:r>
      <w:r>
        <w:rPr>
          <w:rFonts w:hint="eastAsia" w:ascii="宋体" w:hAnsi="宋体" w:cs="宋体"/>
          <w:color w:val="auto"/>
          <w:sz w:val="21"/>
          <w:szCs w:val="21"/>
          <w:highlight w:val="none"/>
          <w:u w:val="single"/>
          <w:lang w:val="en-US" w:eastAsia="zh-CN"/>
        </w:rPr>
        <w:t>6400000元</w:t>
      </w:r>
      <w:r>
        <w:rPr>
          <w:rFonts w:hint="eastAsia" w:ascii="宋体" w:hAnsi="宋体" w:eastAsia="宋体" w:cs="宋体"/>
          <w:color w:val="auto"/>
          <w:sz w:val="21"/>
          <w:szCs w:val="21"/>
          <w:highlight w:val="none"/>
        </w:rPr>
        <w:t xml:space="preserve">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标项名称:</w:t>
      </w:r>
      <w:r>
        <w:rPr>
          <w:rFonts w:hint="eastAsia" w:ascii="宋体" w:hAnsi="宋体" w:eastAsia="宋体" w:cs="宋体"/>
          <w:bCs/>
          <w:color w:val="auto"/>
          <w:sz w:val="21"/>
          <w:szCs w:val="21"/>
          <w:highlight w:val="none"/>
        </w:rPr>
        <w:t xml:space="preserve"> </w:t>
      </w:r>
      <w:r>
        <w:rPr>
          <w:rFonts w:hint="eastAsia" w:ascii="宋体" w:hAnsi="宋体" w:cs="宋体"/>
          <w:color w:val="auto"/>
          <w:sz w:val="21"/>
          <w:szCs w:val="21"/>
          <w:highlight w:val="none"/>
          <w:lang w:eastAsia="zh-CN"/>
        </w:rPr>
        <w:t>宁波江北湾头未来社区数字化建设项目</w:t>
      </w:r>
      <w:r>
        <w:rPr>
          <w:rFonts w:hint="eastAsia" w:ascii="宋体" w:hAnsi="宋体" w:eastAsia="宋体" w:cs="宋体"/>
          <w:color w:val="auto"/>
          <w:sz w:val="21"/>
          <w:szCs w:val="21"/>
          <w:highlight w:val="none"/>
        </w:rPr>
        <w:t xml:space="preserve">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 1项</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cs="宋体"/>
          <w:color w:val="auto"/>
          <w:sz w:val="21"/>
          <w:szCs w:val="21"/>
          <w:highlight w:val="none"/>
          <w:u w:val="single"/>
          <w:lang w:val="en-US" w:eastAsia="zh-CN"/>
        </w:rPr>
      </w:pPr>
      <w:r>
        <w:rPr>
          <w:rFonts w:hint="eastAsia" w:ascii="宋体" w:hAnsi="宋体" w:eastAsia="宋体" w:cs="宋体"/>
          <w:color w:val="auto"/>
          <w:sz w:val="21"/>
          <w:szCs w:val="21"/>
          <w:highlight w:val="none"/>
        </w:rPr>
        <w:t xml:space="preserve">预算金额（元）: </w:t>
      </w:r>
      <w:r>
        <w:rPr>
          <w:rFonts w:hint="eastAsia" w:ascii="宋体" w:hAnsi="宋体" w:cs="宋体"/>
          <w:color w:val="auto"/>
          <w:sz w:val="21"/>
          <w:szCs w:val="21"/>
          <w:highlight w:val="none"/>
          <w:u w:val="single"/>
          <w:lang w:val="en-US" w:eastAsia="zh-CN"/>
        </w:rPr>
        <w:t>6500000元</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简要规格描述或项目基本概况介绍、用途：</w:t>
      </w:r>
      <w:r>
        <w:rPr>
          <w:rFonts w:hint="eastAsia" w:ascii="宋体" w:hAnsi="宋体" w:cs="宋体"/>
          <w:color w:val="auto"/>
          <w:sz w:val="21"/>
          <w:szCs w:val="21"/>
          <w:highlight w:val="none"/>
          <w:lang w:eastAsia="zh-CN"/>
        </w:rPr>
        <w:t>宁波江北湾头未来社区项目数字化建设</w:t>
      </w:r>
      <w:r>
        <w:rPr>
          <w:rFonts w:hint="eastAsia" w:ascii="宋体" w:hAnsi="宋体" w:eastAsia="宋体" w:cs="宋体"/>
          <w:color w:val="auto"/>
          <w:sz w:val="21"/>
          <w:szCs w:val="21"/>
          <w:highlight w:val="none"/>
        </w:rPr>
        <w:t>；详见招标文件第二章招标需求。</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备注：/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i/>
          <w:iCs/>
          <w:color w:val="auto"/>
          <w:sz w:val="21"/>
          <w:szCs w:val="21"/>
          <w:highlight w:val="none"/>
        </w:rPr>
      </w:pPr>
      <w:r>
        <w:rPr>
          <w:rFonts w:hint="eastAsia" w:ascii="宋体" w:hAnsi="宋体" w:eastAsia="宋体" w:cs="宋体"/>
          <w:color w:val="auto"/>
          <w:sz w:val="21"/>
          <w:szCs w:val="21"/>
          <w:highlight w:val="none"/>
        </w:rPr>
        <w:t>合同履行期限：本项目建设开发周期为</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个月，自合同签订之日起至</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个月内完成项目的建设实施、试运行、系统调试、应用培训和竣工验收等工作。</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w:t>
      </w:r>
      <w:r>
        <w:rPr>
          <w:rFonts w:hint="eastAsia" w:ascii="宋体" w:hAnsi="宋体" w:cs="宋体"/>
          <w:color w:val="auto"/>
          <w:sz w:val="21"/>
          <w:szCs w:val="21"/>
          <w:highlight w:val="none"/>
          <w:u w:val="single"/>
          <w:lang w:val="en-US" w:eastAsia="zh-CN"/>
        </w:rPr>
        <w:t>不接受</w:t>
      </w:r>
      <w:r>
        <w:rPr>
          <w:rFonts w:hint="eastAsia" w:ascii="宋体" w:hAnsi="宋体" w:eastAsia="宋体" w:cs="宋体"/>
          <w:color w:val="auto"/>
          <w:sz w:val="21"/>
          <w:szCs w:val="21"/>
          <w:highlight w:val="none"/>
        </w:rPr>
        <w:t>联合体投标。</w:t>
      </w:r>
    </w:p>
    <w:p>
      <w:pPr>
        <w:pStyle w:val="7"/>
        <w:bidi w:val="0"/>
        <w:rPr>
          <w:rFonts w:hint="eastAsia" w:ascii="微软雅黑" w:hAnsi="微软雅黑" w:eastAsia="微软雅黑" w:cs="微软雅黑"/>
          <w:color w:val="auto"/>
          <w:highlight w:val="none"/>
          <w:lang w:val="en-US" w:eastAsia="zh-CN"/>
        </w:rPr>
      </w:pPr>
      <w:bookmarkStart w:id="0" w:name="_Toc28359080"/>
      <w:bookmarkStart w:id="1" w:name="_Toc28359003"/>
      <w:bookmarkStart w:id="2" w:name="_Toc35393791"/>
      <w:bookmarkStart w:id="3" w:name="_Toc35393622"/>
      <w:r>
        <w:rPr>
          <w:rFonts w:hint="eastAsia" w:ascii="微软雅黑" w:hAnsi="微软雅黑" w:eastAsia="微软雅黑" w:cs="微软雅黑"/>
          <w:color w:val="auto"/>
          <w:highlight w:val="none"/>
          <w:lang w:val="en-US" w:eastAsia="zh-CN"/>
        </w:rPr>
        <w:t>二、申请人的资格要求</w:t>
      </w:r>
      <w:bookmarkEnd w:id="0"/>
      <w:bookmarkEnd w:id="1"/>
      <w:bookmarkEnd w:id="2"/>
      <w:bookmarkEnd w:id="3"/>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1、符合《中华人民共和国政府采购法》第二十二条规定的供应商资格条件：</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（2）具有良好的商业信誉和健全的财务会计制度；</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（5）参加政府采购活动前三年内，在经营活动中没有重大违法记录。</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2、落实政府采购政策需满足的资格要求：无。</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3、本项目的特定资格要求：</w:t>
      </w:r>
      <w:r>
        <w:rPr>
          <w:rFonts w:hint="eastAsia" w:ascii="宋体" w:hAnsi="宋体" w:eastAsia="宋体" w:cs="宋体"/>
          <w:color w:val="auto"/>
          <w:sz w:val="21"/>
          <w:szCs w:val="21"/>
          <w:highlight w:val="none"/>
          <w:lang w:eastAsia="zh-CN"/>
        </w:rPr>
        <w:t>无。</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单位负责人为同一人或者存在直接控股、管理关系的不同投标人，不得参加同一标项的投标。为本项目提供整体设计、规范编制或者项目管理、监理、检测等服务的投标人，不得再参加本项目的投标。</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供应商未被列入“信用中国”网站(www.creditchina.gov.cn)中的“失信被执行人或重大税收违法案件当事人名单或政府采购严重违法失信名单”，不处于中国政府采购网(www.ccgp.gov.cn)“政府采购严重违法失信行为记录名单”处罚结果确定为禁止参加政府采购活动期间。（以采购代理机构于投标截止日当天在信用中国网站及中国政府采购网查询结果为准；若在开标当天因不可抗力事件导致无法查询且一时无法恢复查询的，可在中标公告前对中标候选人进行事后查询。中标候选人被列入失信被执行人、重大税收违法案件当事人名单或政府采购严重违法失信名单、政府采购严重违法失信行为记录名单处罚结果确定为禁止参加政府采购活动期间的，采购人将依法取消其中标资格。）</w:t>
      </w:r>
    </w:p>
    <w:p>
      <w:pPr>
        <w:pStyle w:val="7"/>
        <w:bidi w:val="0"/>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lang w:val="en-US" w:eastAsia="zh-CN"/>
        </w:rPr>
        <w:t>三、获取（下载）招标文件</w:t>
      </w:r>
    </w:p>
    <w:p>
      <w:pPr>
        <w:keepNext w:val="0"/>
        <w:keepLines w:val="0"/>
        <w:pageBreakBefore w:val="0"/>
        <w:kinsoku/>
        <w:overflowPunct/>
        <w:topLinePunct w:val="0"/>
        <w:autoSpaceDE/>
        <w:autoSpaceDN/>
        <w:bidi w:val="0"/>
        <w:snapToGrid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1、时间：</w:t>
      </w:r>
      <w:r>
        <w:rPr>
          <w:rFonts w:hint="eastAsia" w:ascii="宋体" w:hAnsi="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rPr>
        <w:t>至</w:t>
      </w:r>
      <w:r>
        <w:rPr>
          <w:rFonts w:hint="eastAsia" w:ascii="宋体" w:hAnsi="宋体" w:eastAsia="宋体" w:cs="宋体"/>
          <w:color w:val="auto"/>
          <w:sz w:val="21"/>
          <w:szCs w:val="21"/>
          <w:highlight w:val="none"/>
          <w:u w:val="single"/>
        </w:rPr>
        <w:t>202</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7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 xml:space="preserve"> 25  </w:t>
      </w:r>
      <w:r>
        <w:rPr>
          <w:rFonts w:hint="eastAsia" w:ascii="宋体" w:hAnsi="宋体" w:eastAsia="宋体" w:cs="宋体"/>
          <w:color w:val="auto"/>
          <w:sz w:val="21"/>
          <w:szCs w:val="21"/>
          <w:highlight w:val="none"/>
        </w:rPr>
        <w:t>日，每天上午00:00至12:00，下午12:00至23:59（北京时间，线上获取法定节假日均可，线下获取文件法定节假日除外）</w:t>
      </w:r>
    </w:p>
    <w:p>
      <w:pPr>
        <w:keepNext w:val="0"/>
        <w:keepLines w:val="0"/>
        <w:pageBreakBefore w:val="0"/>
        <w:kinsoku/>
        <w:overflowPunct/>
        <w:topLinePunct w:val="0"/>
        <w:autoSpaceDE/>
        <w:autoSpaceDN/>
        <w:bidi w:val="0"/>
        <w:snapToGrid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2、地点：浙江政府采购云平台（www.zcygov.cn）</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方式：本项目采购文件于“政府采购云平台”在线获取。投标人获取采购文件前应先完成“政府采购云平台”的账号注册，登陆政府采购云平台（www.zcygov.cn）在线申请获取采购文件（政府采购云平台→“政采云用户”登录→【项目采购】→【获取采购文件】），进入“项目采购”应用，在获取采购文件菜单中选择项目，申请获取采购文件，仅浏览采购文件的投标人可点击“游客，浏览采购文件”下载采购文件浏览；招标公告附件内的采购文件仅供阅览，投标人只有在“政府采购云平台”完成获取采购文件申请并下载了采购文件后方视作依法获取采购文件（法律、法规所指的获取采购文件时间以投标人完成获取采购文件申请后下载采购文件的时间为准）。注：请投标人按上述要求获取采购文件，如未在“政府采购云平台”完成相关流程引起的无效投标，责任自负。</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6、招标文件售价：</w:t>
      </w:r>
      <w:r>
        <w:rPr>
          <w:rFonts w:hint="eastAsia" w:ascii="宋体" w:hAnsi="宋体" w:cs="宋体"/>
          <w:color w:val="auto"/>
          <w:sz w:val="21"/>
          <w:szCs w:val="21"/>
          <w:highlight w:val="none"/>
          <w:u w:val="single"/>
          <w:lang w:val="en-US" w:eastAsia="zh-CN"/>
        </w:rPr>
        <w:t xml:space="preserve">  0  </w:t>
      </w:r>
      <w:r>
        <w:rPr>
          <w:rFonts w:hint="eastAsia" w:ascii="宋体" w:hAnsi="宋体" w:cs="宋体"/>
          <w:color w:val="auto"/>
          <w:sz w:val="21"/>
          <w:szCs w:val="21"/>
          <w:highlight w:val="none"/>
          <w:u w:val="none"/>
          <w:lang w:val="en-US" w:eastAsia="zh-CN"/>
        </w:rPr>
        <w:t>元</w:t>
      </w:r>
      <w:r>
        <w:rPr>
          <w:rFonts w:hint="eastAsia" w:ascii="宋体" w:hAnsi="宋体" w:eastAsia="宋体" w:cs="宋体"/>
          <w:color w:val="auto"/>
          <w:sz w:val="21"/>
          <w:szCs w:val="21"/>
          <w:highlight w:val="none"/>
        </w:rPr>
        <w:t xml:space="preserve">。  </w:t>
      </w:r>
    </w:p>
    <w:p>
      <w:pPr>
        <w:pStyle w:val="7"/>
        <w:bidi w:val="0"/>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lang w:val="en-US" w:eastAsia="zh-CN"/>
        </w:rPr>
        <w:t>四、投标文件提交（上传）截止时间及地点</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提交投标文件截止时间：</w:t>
      </w:r>
      <w:r>
        <w:rPr>
          <w:rFonts w:hint="eastAsia" w:ascii="宋体" w:hAnsi="宋体" w:eastAsia="宋体" w:cs="宋体"/>
          <w:color w:val="auto"/>
          <w:sz w:val="21"/>
          <w:szCs w:val="21"/>
          <w:highlight w:val="none"/>
          <w:u w:val="single"/>
        </w:rPr>
        <w:t>202</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年</w:t>
      </w:r>
      <w:r>
        <w:rPr>
          <w:rFonts w:hint="eastAsia" w:ascii="宋体" w:hAnsi="宋体" w:cs="宋体"/>
          <w:color w:val="auto"/>
          <w:sz w:val="21"/>
          <w:szCs w:val="21"/>
          <w:highlight w:val="none"/>
          <w:u w:val="single"/>
          <w:lang w:val="en-US" w:eastAsia="zh-CN"/>
        </w:rPr>
        <w:t xml:space="preserve"> 7 </w:t>
      </w:r>
      <w:r>
        <w:rPr>
          <w:rFonts w:hint="eastAsia" w:ascii="宋体" w:hAnsi="宋体" w:eastAsia="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 xml:space="preserve"> 25 </w:t>
      </w:r>
      <w:r>
        <w:rPr>
          <w:rFonts w:hint="eastAsia" w:ascii="宋体" w:hAnsi="宋体" w:eastAsia="宋体" w:cs="宋体"/>
          <w:color w:val="auto"/>
          <w:sz w:val="21"/>
          <w:szCs w:val="21"/>
          <w:highlight w:val="none"/>
          <w:u w:val="single"/>
        </w:rPr>
        <w:t>日</w:t>
      </w:r>
      <w:r>
        <w:rPr>
          <w:rFonts w:hint="eastAsia" w:ascii="宋体" w:hAnsi="宋体" w:cs="宋体"/>
          <w:color w:val="auto"/>
          <w:sz w:val="21"/>
          <w:szCs w:val="21"/>
          <w:highlight w:val="none"/>
          <w:u w:val="single"/>
          <w:lang w:val="en-US" w:eastAsia="zh-CN"/>
        </w:rPr>
        <w:t xml:space="preserve"> 13 </w:t>
      </w:r>
      <w:r>
        <w:rPr>
          <w:rFonts w:hint="eastAsia" w:ascii="宋体" w:hAnsi="宋体" w:eastAsia="宋体" w:cs="宋体"/>
          <w:color w:val="auto"/>
          <w:sz w:val="21"/>
          <w:szCs w:val="21"/>
          <w:highlight w:val="none"/>
          <w:u w:val="single"/>
        </w:rPr>
        <w:t>时</w:t>
      </w:r>
      <w:r>
        <w:rPr>
          <w:rFonts w:hint="eastAsia" w:ascii="宋体" w:hAnsi="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分</w:t>
      </w:r>
      <w:r>
        <w:rPr>
          <w:rFonts w:hint="eastAsia" w:ascii="宋体" w:hAnsi="宋体" w:eastAsia="宋体" w:cs="宋体"/>
          <w:b w:val="0"/>
          <w:bCs w:val="0"/>
          <w:color w:val="auto"/>
          <w:sz w:val="21"/>
          <w:szCs w:val="21"/>
          <w:highlight w:val="none"/>
        </w:rPr>
        <w:t>（北京时间）</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投标地点（网址）：投标人通过“政府采购云平台（www.zcygov.cn）”在线制作、传输递交电子投标文件。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开标时间</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color w:val="auto"/>
          <w:sz w:val="21"/>
          <w:szCs w:val="21"/>
          <w:highlight w:val="none"/>
          <w:u w:val="single"/>
        </w:rPr>
        <w:t>202</w:t>
      </w:r>
      <w:r>
        <w:rPr>
          <w:rFonts w:hint="eastAsia" w:ascii="宋体" w:hAnsi="宋体" w:cs="宋体"/>
          <w:color w:val="auto"/>
          <w:sz w:val="21"/>
          <w:szCs w:val="21"/>
          <w:highlight w:val="none"/>
          <w:u w:val="single"/>
          <w:lang w:val="en-US" w:eastAsia="zh-CN"/>
        </w:rPr>
        <w:t>2</w:t>
      </w:r>
      <w:r>
        <w:rPr>
          <w:rFonts w:hint="eastAsia" w:ascii="宋体" w:hAnsi="宋体" w:eastAsia="宋体" w:cs="宋体"/>
          <w:color w:val="auto"/>
          <w:sz w:val="21"/>
          <w:szCs w:val="21"/>
          <w:highlight w:val="none"/>
          <w:u w:val="single"/>
        </w:rPr>
        <w:t>年</w:t>
      </w:r>
      <w:r>
        <w:rPr>
          <w:rFonts w:hint="eastAsia" w:ascii="宋体" w:hAnsi="宋体" w:cs="宋体"/>
          <w:color w:val="auto"/>
          <w:sz w:val="21"/>
          <w:szCs w:val="21"/>
          <w:highlight w:val="none"/>
          <w:u w:val="single"/>
          <w:lang w:val="en-US" w:eastAsia="zh-CN"/>
        </w:rPr>
        <w:t xml:space="preserve"> 7 </w:t>
      </w:r>
      <w:r>
        <w:rPr>
          <w:rFonts w:hint="eastAsia" w:ascii="宋体" w:hAnsi="宋体" w:eastAsia="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 xml:space="preserve"> 25 </w:t>
      </w:r>
      <w:r>
        <w:rPr>
          <w:rFonts w:hint="eastAsia" w:ascii="宋体" w:hAnsi="宋体" w:eastAsia="宋体" w:cs="宋体"/>
          <w:color w:val="auto"/>
          <w:sz w:val="21"/>
          <w:szCs w:val="21"/>
          <w:highlight w:val="none"/>
          <w:u w:val="single"/>
        </w:rPr>
        <w:t>日</w:t>
      </w:r>
      <w:r>
        <w:rPr>
          <w:rFonts w:hint="eastAsia" w:ascii="宋体" w:hAnsi="宋体" w:cs="宋体"/>
          <w:color w:val="auto"/>
          <w:sz w:val="21"/>
          <w:szCs w:val="21"/>
          <w:highlight w:val="none"/>
          <w:u w:val="single"/>
          <w:lang w:val="en-US" w:eastAsia="zh-CN"/>
        </w:rPr>
        <w:t xml:space="preserve"> 13 </w:t>
      </w:r>
      <w:r>
        <w:rPr>
          <w:rFonts w:hint="eastAsia" w:ascii="宋体" w:hAnsi="宋体" w:eastAsia="宋体" w:cs="宋体"/>
          <w:color w:val="auto"/>
          <w:sz w:val="21"/>
          <w:szCs w:val="21"/>
          <w:highlight w:val="none"/>
          <w:u w:val="single"/>
        </w:rPr>
        <w:t>时</w:t>
      </w:r>
      <w:r>
        <w:rPr>
          <w:rFonts w:hint="eastAsia" w:ascii="宋体" w:hAnsi="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分</w:t>
      </w:r>
      <w:r>
        <w:rPr>
          <w:rFonts w:hint="eastAsia" w:ascii="宋体" w:hAnsi="宋体" w:eastAsia="宋体" w:cs="宋体"/>
          <w:b w:val="0"/>
          <w:bCs w:val="0"/>
          <w:color w:val="auto"/>
          <w:sz w:val="21"/>
          <w:szCs w:val="21"/>
          <w:highlight w:val="none"/>
        </w:rPr>
        <w:t>（北京时间） </w:t>
      </w:r>
    </w:p>
    <w:p>
      <w:pPr>
        <w:keepNext w:val="0"/>
        <w:keepLines w:val="0"/>
        <w:pageBreakBefore w:val="0"/>
        <w:kinsoku/>
        <w:overflowPunct/>
        <w:topLinePunct w:val="0"/>
        <w:autoSpaceDE/>
        <w:autoSpaceDN/>
        <w:bidi w:val="0"/>
        <w:snapToGrid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开标地点（网址）：宁波市江北区公共资源交易中心开标室（江北区育才路138号北投大厦南楼7楼）。本项目通过“政府采购云平台”实行在线电子投标，投标人应在线参加开标。</w:t>
      </w:r>
      <w:r>
        <w:rPr>
          <w:rFonts w:hint="eastAsia" w:ascii="宋体" w:hAnsi="宋体" w:eastAsia="宋体" w:cs="宋体"/>
          <w:color w:val="auto"/>
          <w:sz w:val="21"/>
          <w:szCs w:val="21"/>
          <w:highlight w:val="none"/>
        </w:rPr>
        <w:t> </w:t>
      </w:r>
    </w:p>
    <w:p>
      <w:pPr>
        <w:pStyle w:val="7"/>
        <w:bidi w:val="0"/>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lang w:val="en-US" w:eastAsia="zh-CN"/>
        </w:rPr>
        <w:t>五、公告期限</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自本公告发布之日起5个工作日。</w:t>
      </w:r>
    </w:p>
    <w:p>
      <w:pPr>
        <w:pStyle w:val="7"/>
        <w:bidi w:val="0"/>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lang w:val="en-US" w:eastAsia="zh-CN"/>
        </w:rPr>
        <w:t>六、其他补充事宜</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2.其他事项：</w:t>
      </w:r>
    </w:p>
    <w:p>
      <w:pPr>
        <w:keepNext w:val="0"/>
        <w:keepLines w:val="0"/>
        <w:pageBreakBefore w:val="0"/>
        <w:kinsoku/>
        <w:overflowPunct/>
        <w:topLinePunct w:val="0"/>
        <w:autoSpaceDE/>
        <w:autoSpaceDN/>
        <w:bidi w:val="0"/>
        <w:adjustRightInd w:val="0"/>
        <w:snapToGrid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须在浙江政府采购网进行注册登记。注册具体要求及申请流程详见《浙江省政府采购供应商注册及诚信管理暂行办法》(浙财采监字{2009}28号)和浙江政府采购网“网上办事指南”的“供应商注册申请”，未注册供应商应当注意注册登记所需时间，以免影响投标。</w:t>
      </w:r>
    </w:p>
    <w:p>
      <w:pPr>
        <w:keepNext w:val="0"/>
        <w:keepLines w:val="0"/>
        <w:pageBreakBefore w:val="0"/>
        <w:widowControl/>
        <w:kinsoku/>
        <w:overflowPunct/>
        <w:topLinePunct w:val="0"/>
        <w:autoSpaceDE/>
        <w:autoSpaceDN/>
        <w:bidi w:val="0"/>
        <w:adjustRightInd w:val="0"/>
        <w:snapToGrid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本次政府采购活动有关信息在“浙江政府采购网(http：//www.zjzfcg.gov.cn/)”及“宁波市公共资源交易网江北分网（http：//jiangbei.bidding.gov.cn/）”上公布，参加投标的供应商有义务在采购活动期间浏览上述两个网站。</w:t>
      </w:r>
    </w:p>
    <w:p>
      <w:pPr>
        <w:keepNext w:val="0"/>
        <w:keepLines w:val="0"/>
        <w:pageBreakBefore w:val="0"/>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2.3关于在线投标与开标注意事项：</w:t>
      </w:r>
    </w:p>
    <w:p>
      <w:pPr>
        <w:keepNext w:val="0"/>
        <w:keepLines w:val="0"/>
        <w:pageBreakBefore w:val="0"/>
        <w:numPr>
          <w:ilvl w:val="0"/>
          <w:numId w:val="8"/>
        </w:numPr>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本项目通过“政府采购云平台（www.zcygov.cn）”实行网上投标，采用电子投标文件。若投标人参与投标，自行承担投标一切费用。</w:t>
      </w:r>
    </w:p>
    <w:p>
      <w:pPr>
        <w:keepNext w:val="0"/>
        <w:keepLines w:val="0"/>
        <w:pageBreakBefore w:val="0"/>
        <w:numPr>
          <w:ilvl w:val="0"/>
          <w:numId w:val="8"/>
        </w:numPr>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标前准备：各投标人应在开标前确保成为浙江政府采购网正式注册入库供应商，并完成CA数字证书办理，具体请自行前往“浙江政府采购网-下载专区-电子交易客户端-</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"http://zfcg.czt.zj.gov.cn/bidClientTemplate/2019-05-27/12945.html" \o "CA驱动和申领流程"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CA驱动和申领流程</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”进行查阅，因未注册入库供应商、未办理CA数字证书等原因造成无法投标或投标失败等后果由投标人自行承担。（操作指南链接：</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"https://service.zcygov.cn/" \l "/knowledges/cm2eqWwBFdiHxlNd_otq/lwV6GXABiyELHE-oVMj3?keyword=CA）。" </w:instrText>
      </w:r>
      <w:r>
        <w:rPr>
          <w:rFonts w:hint="eastAsia" w:ascii="宋体" w:hAnsi="宋体" w:eastAsia="宋体" w:cs="宋体"/>
          <w:color w:val="auto"/>
          <w:sz w:val="21"/>
          <w:szCs w:val="21"/>
          <w:highlight w:val="none"/>
        </w:rPr>
        <w:fldChar w:fldCharType="separate"/>
      </w:r>
      <w:r>
        <w:rPr>
          <w:rStyle w:val="59"/>
          <w:rFonts w:hint="eastAsia" w:ascii="宋体" w:hAnsi="宋体" w:eastAsia="宋体" w:cs="宋体"/>
          <w:color w:val="auto"/>
          <w:sz w:val="21"/>
          <w:szCs w:val="21"/>
          <w:highlight w:val="none"/>
        </w:rPr>
        <w:t>https://service.zcygov.cn/#/knowledges/cm2eqWwBFdiHxlNd_otq/lwV6GXABiyELHE-oVMj3?keyword=CA）</w:t>
      </w:r>
      <w:r>
        <w:rPr>
          <w:rStyle w:val="59"/>
          <w:rFonts w:hint="eastAsia" w:ascii="宋体" w:hAnsi="宋体" w:eastAsia="宋体" w:cs="宋体"/>
          <w:color w:val="auto"/>
          <w:sz w:val="21"/>
          <w:szCs w:val="21"/>
          <w:highlight w:val="none"/>
          <w:u w:val="none"/>
        </w:rPr>
        <w:t>。</w:t>
      </w:r>
      <w:r>
        <w:rPr>
          <w:rStyle w:val="59"/>
          <w:rFonts w:hint="eastAsia" w:ascii="宋体" w:hAnsi="宋体" w:eastAsia="宋体" w:cs="宋体"/>
          <w:color w:val="auto"/>
          <w:sz w:val="21"/>
          <w:szCs w:val="21"/>
          <w:highlight w:val="none"/>
        </w:rPr>
        <w:fldChar w:fldCharType="end"/>
      </w:r>
    </w:p>
    <w:p>
      <w:pPr>
        <w:keepNext w:val="0"/>
        <w:keepLines w:val="0"/>
        <w:pageBreakBefore w:val="0"/>
        <w:numPr>
          <w:ilvl w:val="0"/>
          <w:numId w:val="8"/>
        </w:numPr>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制作：3.1投标人应先安装“政采云电子交易客户端”，并按照本项目采购文件和“政府采购云平台”的要求，通过“政采云电子交易客户端”编制并加密投标文件，“政采云电子交易客户端”请自行前往“浙江政府采购网-下载专区-电子交易客户端”进行下载并安装。电子投标文件制作具体流程详见政府采购云平台。投标人在使用系统进行投标的过程中遇到涉及平台使用的任何问题，可致电政府采购云平台技术支持热线咨询。</w:t>
      </w:r>
    </w:p>
    <w:p>
      <w:pPr>
        <w:keepNext w:val="0"/>
        <w:keepLines w:val="0"/>
        <w:pageBreakBefore w:val="0"/>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为确保采购项目顺利实施，避免因解密失败导致投标人投标无效，投标人可自行选择是否在投标截止时间前将在“政采云电子投标客户端”上最后生成的具备电子签章的备份电子投标文件（以U盘为载体，投标人应当确保U盘能够打开运行并正常使用）密封，安排“甬行码”为绿色的相关人员（原则上不超过一名，须全程佩戴口罩）递交至宁波市江北区公共资源交易中心开标室（江北区育才路138号北投大厦南楼7楼）。</w:t>
      </w:r>
    </w:p>
    <w:p>
      <w:pPr>
        <w:keepNext w:val="0"/>
        <w:keepLines w:val="0"/>
        <w:pageBreakBefore w:val="0"/>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采购代理机构将在投标文件规定的时间通过政府采购云平台组织开标、开启投标文件，所有投标人均应准时在线参加。开标时间后30分钟内，投标人可以登录政府采购云平台（www.zcygov.cn），用“项目采购-开标评标”功能进行解密投标文件。</w:t>
      </w:r>
    </w:p>
    <w:p>
      <w:pPr>
        <w:keepNext w:val="0"/>
        <w:keepLines w:val="0"/>
        <w:pageBreakBefore w:val="0"/>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投标人成功上传电子投标文件，若无法读取或在规定时间内无法解密或解密失败，采购代理机构方可调用以U盘介质存储的数据电文形式的备份电子投标文件（备份电子投标文件损坏、格式不符等致使异常情况处理失败的责任由投标人自行承担），并对“备份电子投标文件”进行解密；若出现投标人上传的电子投标文件和备份电子投标文件均无法读取的情况，则该投标人作无效投标处理。</w:t>
      </w:r>
    </w:p>
    <w:p>
      <w:pPr>
        <w:keepNext w:val="0"/>
        <w:keepLines w:val="0"/>
        <w:pageBreakBefore w:val="0"/>
        <w:kinsoku/>
        <w:wordWrap w:val="0"/>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3.5本项目投标人的备份电子投标文件不予退还。</w:t>
      </w:r>
    </w:p>
    <w:p>
      <w:pPr>
        <w:pStyle w:val="7"/>
        <w:bidi w:val="0"/>
        <w:rPr>
          <w:rFonts w:hint="eastAsia" w:ascii="微软雅黑" w:hAnsi="微软雅黑" w:eastAsia="微软雅黑" w:cs="微软雅黑"/>
          <w:color w:val="auto"/>
          <w:highlight w:val="none"/>
          <w:lang w:val="en-US" w:eastAsia="zh-CN"/>
        </w:rPr>
      </w:pPr>
      <w:bookmarkStart w:id="4" w:name="_Toc35393796"/>
      <w:bookmarkStart w:id="5" w:name="_Toc28359008"/>
      <w:bookmarkStart w:id="6" w:name="_Toc28359085"/>
      <w:bookmarkStart w:id="7" w:name="_Toc35393627"/>
      <w:r>
        <w:rPr>
          <w:rFonts w:hint="eastAsia" w:ascii="微软雅黑" w:hAnsi="微软雅黑" w:eastAsia="微软雅黑" w:cs="微软雅黑"/>
          <w:color w:val="auto"/>
          <w:highlight w:val="none"/>
          <w:lang w:val="en-US" w:eastAsia="zh-CN"/>
        </w:rPr>
        <w:t>七、对本次招标提出询问，请按以下方式联系</w:t>
      </w:r>
      <w:bookmarkEnd w:id="4"/>
      <w:bookmarkEnd w:id="5"/>
      <w:bookmarkEnd w:id="6"/>
      <w:bookmarkEnd w:id="7"/>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采购人名称：</w:t>
      </w:r>
      <w:r>
        <w:rPr>
          <w:rFonts w:hint="eastAsia" w:ascii="宋体" w:hAnsi="宋体" w:eastAsia="宋体" w:cs="宋体"/>
          <w:bCs/>
          <w:color w:val="auto"/>
          <w:sz w:val="21"/>
          <w:szCs w:val="21"/>
          <w:highlight w:val="none"/>
        </w:rPr>
        <w:t xml:space="preserve">宁波市江北区人民政府甬江街道办事处 </w:t>
      </w:r>
      <w:r>
        <w:rPr>
          <w:rFonts w:hint="eastAsia" w:ascii="宋体" w:hAnsi="宋体" w:eastAsia="宋体" w:cs="宋体"/>
          <w:color w:val="auto"/>
          <w:sz w:val="21"/>
          <w:szCs w:val="21"/>
          <w:highlight w:val="none"/>
        </w:rPr>
        <w:t>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项目联系人（询问）：周老师</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项目联系方式（询问）：0574-87635173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质疑联系人：周老师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质疑联系方式：0574-87635173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联系地址：宁波市江北区环城北路东段225号</w:t>
      </w:r>
    </w:p>
    <w:p>
      <w:pPr>
        <w:pStyle w:val="22"/>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采购代理机构：宁波市盛达工程管理咨询有限公司</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宁波市江北区唐虞路319号（创富商业中心） 5楼</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传真：0574-87636525</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项目联系人（询问）：</w:t>
      </w:r>
      <w:r>
        <w:rPr>
          <w:rFonts w:hint="eastAsia" w:ascii="宋体" w:hAnsi="宋体" w:cs="宋体"/>
          <w:color w:val="auto"/>
          <w:sz w:val="21"/>
          <w:szCs w:val="21"/>
          <w:highlight w:val="none"/>
          <w:lang w:val="en-US" w:eastAsia="zh-CN"/>
        </w:rPr>
        <w:t>张琳玲</w:t>
      </w:r>
    </w:p>
    <w:p>
      <w:pPr>
        <w:keepNext w:val="0"/>
        <w:keepLines w:val="0"/>
        <w:pageBreakBefore w:val="0"/>
        <w:kinsoku/>
        <w:overflowPunct/>
        <w:topLinePunct w:val="0"/>
        <w:autoSpaceDE/>
        <w:autoSpaceDN/>
        <w:bidi w:val="0"/>
        <w:spacing w:line="360" w:lineRule="auto"/>
        <w:ind w:firstLine="420" w:firstLineChars="200"/>
        <w:jc w:val="both"/>
        <w:outlineLvl w:val="9"/>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项目联系方式（询问）：0574-87636525</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13685841196</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质疑联系人：方海杰</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质疑联系方式：0574-87636525</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同级政府采购监督管理部门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称：宁波市江北区财政局</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址：宁波市江北区大庆南路181号</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联系人：张老师</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监督投诉电话：0574-87388098</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若对项目采购电子交易系统操作有疑问，可登录政采云（https://www.zcygov.cn/），点击右侧咨询小采，获取采小蜜智能服务管家帮助，或拨打政采云服务热线400-881-7190获取热线服务帮助。       </w:t>
      </w:r>
    </w:p>
    <w:p>
      <w:pPr>
        <w:keepNext w:val="0"/>
        <w:keepLines w:val="0"/>
        <w:pageBreakBefore w:val="0"/>
        <w:kinsoku/>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CA问题联系电话（人工）：汇信CA 400-888-4636；天谷CA 400-087-8198。</w:t>
      </w:r>
    </w:p>
    <w:p>
      <w:pPr>
        <w:rPr>
          <w:color w:val="auto"/>
          <w:highlight w:val="none"/>
        </w:rPr>
      </w:pPr>
    </w:p>
    <w:p>
      <w:pPr>
        <w:spacing w:line="460" w:lineRule="exact"/>
        <w:jc w:val="right"/>
        <w:rPr>
          <w:rFonts w:ascii="宋体" w:hAnsi="宋体"/>
          <w:color w:val="auto"/>
          <w:sz w:val="22"/>
          <w:szCs w:val="22"/>
          <w:highlight w:val="none"/>
        </w:rPr>
        <w:sectPr>
          <w:headerReference r:id="rId7" w:type="first"/>
          <w:headerReference r:id="rId5" w:type="default"/>
          <w:headerReference r:id="rId6" w:type="even"/>
          <w:pgSz w:w="11906" w:h="16838"/>
          <w:pgMar w:top="1417" w:right="1701" w:bottom="1417" w:left="1701" w:header="737" w:footer="850" w:gutter="0"/>
          <w:pgBorders>
            <w:top w:val="none" w:sz="0" w:space="0"/>
            <w:left w:val="none" w:sz="0" w:space="0"/>
            <w:bottom w:val="none" w:sz="0" w:space="0"/>
            <w:right w:val="none" w:sz="0" w:space="0"/>
          </w:pgBorders>
          <w:pgNumType w:fmt="decimal"/>
          <w:cols w:space="0" w:num="1"/>
          <w:rtlGutter w:val="0"/>
          <w:docGrid w:linePitch="0" w:charSpace="0"/>
        </w:sectPr>
      </w:pPr>
      <w:bookmarkStart w:id="8" w:name="_Toc374321294"/>
    </w:p>
    <w:p>
      <w:pPr>
        <w:pStyle w:val="47"/>
        <w:keepNext w:val="0"/>
        <w:keepLines w:val="0"/>
        <w:pageBreakBefore w:val="0"/>
        <w:widowControl w:val="0"/>
        <w:kinsoku/>
        <w:wordWrap/>
        <w:overflowPunct/>
        <w:topLinePunct w:val="0"/>
        <w:autoSpaceDE/>
        <w:autoSpaceDN/>
        <w:bidi w:val="0"/>
        <w:adjustRightInd/>
        <w:snapToGrid/>
        <w:spacing w:before="120" w:after="120"/>
        <w:jc w:val="center"/>
        <w:textAlignment w:val="auto"/>
        <w:rPr>
          <w:rFonts w:hint="eastAsia" w:ascii="宋体" w:hAnsi="宋体" w:eastAsia="宋体" w:cs="宋体"/>
          <w:color w:val="auto"/>
          <w:sz w:val="28"/>
          <w:szCs w:val="28"/>
          <w:highlight w:val="none"/>
          <w:lang w:eastAsia="zh-CN"/>
        </w:rPr>
      </w:pPr>
      <w:bookmarkStart w:id="9" w:name="_Toc374321295"/>
      <w:r>
        <w:rPr>
          <w:rFonts w:hint="eastAsia" w:ascii="宋体" w:hAnsi="宋体" w:cs="宋体"/>
          <w:color w:val="auto"/>
          <w:sz w:val="28"/>
          <w:szCs w:val="28"/>
          <w:highlight w:val="none"/>
        </w:rPr>
        <w:t>第二章  招标需求</w:t>
      </w:r>
    </w:p>
    <w:bookmarkEnd w:id="9"/>
    <w:p>
      <w:pPr>
        <w:pStyle w:val="7"/>
      </w:pPr>
      <w:bookmarkStart w:id="10" w:name="_Toc14965746"/>
      <w:bookmarkStart w:id="11" w:name="_Toc14965615"/>
      <w:bookmarkStart w:id="12" w:name="_Toc374321331"/>
      <w:bookmarkStart w:id="13" w:name="_Toc145860630"/>
      <w:bookmarkStart w:id="14" w:name="_Toc28060171"/>
      <w:r>
        <w:rPr>
          <w:rFonts w:hint="eastAsia"/>
        </w:rPr>
        <w:t>一、概况</w:t>
      </w:r>
    </w:p>
    <w:p>
      <w:pPr>
        <w:spacing w:line="360" w:lineRule="auto"/>
        <w:ind w:firstLine="420" w:firstLineChars="200"/>
        <w:rPr>
          <w:rFonts w:ascii="宋体" w:hAnsi="宋体" w:cs="宋体"/>
        </w:rPr>
      </w:pPr>
      <w:r>
        <w:rPr>
          <w:rFonts w:hint="eastAsia" w:ascii="宋体" w:hAnsi="宋体" w:cs="宋体"/>
        </w:rPr>
        <w:t>湾头未来社区位于宁波市江北区甬江街道，分为三个实施单元，总用地面积约88公顷，规划单元为整个湾头片区约150公顷。湾头的规划一直以来被称“九岛一心”，三面环江自成一岛、内含星湖约1.2万公顷，生态景观资源得天独厚，湾头基础配套完善。从居民实际需求出发，通过文化融合，打造邻里社交空间。教育融合，打造特色教育场景交通融合。交通融合，优化湾头交通流线，打造特色慢行系统。数字融合，打造治理新模式几方面建设湾头示范型未来社区。项目以“百里姚江 最美湾头”为目标定位，将邻里、教育、健康、服务场景作为4大特色场景重点，将湾头建设成为短暂远离都市生活的宁静港湾，独特的休闲商业新地标。</w:t>
      </w:r>
    </w:p>
    <w:p>
      <w:pPr>
        <w:spacing w:line="360" w:lineRule="auto"/>
        <w:ind w:firstLine="420" w:firstLineChars="200"/>
        <w:rPr>
          <w:rFonts w:ascii="宋体" w:hAnsi="宋体" w:cs="宋体"/>
        </w:rPr>
      </w:pPr>
      <w:r>
        <w:rPr>
          <w:rFonts w:hint="eastAsia" w:ascii="宋体" w:hAnsi="宋体" w:cs="宋体"/>
        </w:rPr>
        <w:t>湾头未来社区数字化建设是未来社区“139”架构的重要组成部分，即在社区空间尺度范围内建设社区智慧服务平台，构建智能感知系统形成社区数字基建，根据数字化改革总体要求和数字社会系统建设方案，充分衔接行业主管部门现有应用系统和数据资源，贯通一体化智能化公共数据平台和城市大脑，承接社会事业“12个有”优质公共服务精准落地。基于数据安全与隐私保护准则，高效链接服务应用商城和社区个性化、品质化、市场化服务，整合形成社区九大场景高质量应用，形成可持续、自循环、优服务的运营模式，打造数字社会城市核心应用场景、共同富裕现代化鲜活单元。</w:t>
      </w:r>
    </w:p>
    <w:p>
      <w:pPr>
        <w:spacing w:line="360" w:lineRule="auto"/>
        <w:ind w:firstLine="420" w:firstLineChars="200"/>
        <w:rPr>
          <w:rFonts w:ascii="宋体" w:hAnsi="宋体" w:cs="宋体"/>
        </w:rPr>
      </w:pPr>
      <w:r>
        <w:drawing>
          <wp:anchor distT="0" distB="0" distL="114300" distR="114300" simplePos="0" relativeHeight="251663360" behindDoc="0" locked="0" layoutInCell="1" allowOverlap="1">
            <wp:simplePos x="0" y="0"/>
            <wp:positionH relativeFrom="column">
              <wp:posOffset>-57150</wp:posOffset>
            </wp:positionH>
            <wp:positionV relativeFrom="paragraph">
              <wp:posOffset>114935</wp:posOffset>
            </wp:positionV>
            <wp:extent cx="5468620" cy="2573655"/>
            <wp:effectExtent l="0" t="0" r="5080" b="444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68620" cy="2573655"/>
                    </a:xfrm>
                    <a:prstGeom prst="rect">
                      <a:avLst/>
                    </a:prstGeom>
                    <a:noFill/>
                    <a:ln>
                      <a:noFill/>
                    </a:ln>
                  </pic:spPr>
                </pic:pic>
              </a:graphicData>
            </a:graphic>
          </wp:anchor>
        </w:drawing>
      </w:r>
    </w:p>
    <w:p>
      <w:pPr>
        <w:pStyle w:val="3"/>
        <w:spacing w:line="360" w:lineRule="auto"/>
        <w:ind w:firstLine="420" w:firstLineChars="200"/>
      </w:pPr>
    </w:p>
    <w:p>
      <w:pPr>
        <w:pStyle w:val="7"/>
      </w:pPr>
      <w:r>
        <w:rPr>
          <w:rFonts w:hint="eastAsia"/>
        </w:rPr>
        <w:t>二、建设内容</w:t>
      </w:r>
    </w:p>
    <w:p>
      <w:pPr>
        <w:spacing w:line="360" w:lineRule="auto"/>
        <w:ind w:firstLine="420" w:firstLineChars="200"/>
        <w:rPr>
          <w:rFonts w:ascii="宋体" w:hAnsi="宋体" w:cs="宋体"/>
        </w:rPr>
      </w:pPr>
      <w:r>
        <w:rPr>
          <w:rFonts w:hint="eastAsia" w:ascii="宋体" w:hAnsi="宋体" w:cs="宋体"/>
        </w:rPr>
        <w:t>湾头社区数字化建设以数字社会需求为牵引，以未来社区九大场景落地为基础，建设社区智慧服务平台。</w:t>
      </w:r>
    </w:p>
    <w:p>
      <w:pPr>
        <w:spacing w:line="360" w:lineRule="auto"/>
        <w:ind w:firstLine="420" w:firstLineChars="200"/>
        <w:rPr>
          <w:rFonts w:hint="eastAsia" w:ascii="宋体" w:hAnsi="宋体" w:cs="宋体"/>
        </w:rPr>
      </w:pPr>
      <w:r>
        <w:rPr>
          <w:rFonts w:hint="eastAsia" w:ascii="宋体" w:hAnsi="宋体" w:cs="宋体"/>
        </w:rPr>
        <w:t>建立多部门业务协同机制以及市-区-街道-社区四级联动机制，通过现有支撑系统获取相关数据资源，搭建未来社区智慧服务平台，支撑9大场景。搭建综合态势社区一张图，形成湾头社区九大场景动态数据管控，展示社区模型、9大场景落位、社区动态感知、社区体征监测、设备设施联动管理以及社区基础信息展示。为市区两级领导、甬江街道、湾头社区管理人员和居民等提供管理、运营和服务等应用。</w:t>
      </w:r>
    </w:p>
    <w:p>
      <w:pPr>
        <w:pStyle w:val="3"/>
        <w:rPr>
          <w:rFonts w:hint="eastAsia" w:ascii="宋体" w:hAnsi="宋体" w:cs="宋体"/>
        </w:rPr>
      </w:pPr>
      <w:r>
        <w:drawing>
          <wp:anchor distT="0" distB="0" distL="114300" distR="114300" simplePos="0" relativeHeight="251664384" behindDoc="0" locked="0" layoutInCell="1" allowOverlap="1">
            <wp:simplePos x="0" y="0"/>
            <wp:positionH relativeFrom="column">
              <wp:posOffset>-107950</wp:posOffset>
            </wp:positionH>
            <wp:positionV relativeFrom="paragraph">
              <wp:posOffset>3810</wp:posOffset>
            </wp:positionV>
            <wp:extent cx="5389245" cy="3370580"/>
            <wp:effectExtent l="0" t="0" r="8255" b="7620"/>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89245" cy="33705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r>
        <w:rPr>
          <w:rFonts w:hint="eastAsia" w:ascii="宋体" w:hAnsi="宋体" w:cs="宋体"/>
        </w:rPr>
        <w:t>本项目建设内容主要包括未来社区数据仓、未来社区智慧服务平台，并接入湾头未来社区智能化基础设施。</w:t>
      </w:r>
    </w:p>
    <w:p>
      <w:pPr>
        <w:pStyle w:val="7"/>
        <w:rPr>
          <w:rFonts w:hint="default"/>
          <w:lang w:val="en-US" w:eastAsia="zh-CN"/>
        </w:rPr>
      </w:pPr>
      <w:r>
        <w:rPr>
          <w:rFonts w:hint="eastAsia"/>
          <w:lang w:val="en-US" w:eastAsia="zh-CN"/>
        </w:rPr>
        <w:t>三、软件模块发开需求</w:t>
      </w:r>
    </w:p>
    <w:p>
      <w:pPr>
        <w:pStyle w:val="7"/>
        <w:pageBreakBefore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1.建设湾头未来社区数据仓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r>
        <w:rPr>
          <w:rFonts w:hint="eastAsia" w:ascii="宋体" w:hAnsi="宋体" w:cs="宋体"/>
        </w:rPr>
        <w:t>与宁波市智能公共数据平台、宁波市基层治理四平台、卫健信息系统等平台实现数据互联互通、应用有机融合，汇聚社区物联感知数据、市场服务数据及社区自组织各主体活动数据，包括社区空间、人、车、房、物、事、权等多元数据资产和动态记录，通过数据清洗、治理和存储，形成未来社区数据仓，实现社区数据的汇聚、治理和应用。同时，在数据安全与隐私保护基础上，通过数据接口实现数据交换和共享，实现社会事业公共服务、市场化生活服务、居民自组织服务等数据全场景链接。</w:t>
      </w:r>
    </w:p>
    <w:p>
      <w:pPr>
        <w:pStyle w:val="7"/>
        <w:pageBreakBefore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2.建设未来社区智慧服务平台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r>
        <w:rPr>
          <w:rFonts w:hint="eastAsia" w:ascii="宋体" w:hAnsi="宋体" w:cs="宋体"/>
        </w:rPr>
        <w:t>根据《未来社区数字化建设总体要求》与《浙江省城镇未来社区验收办法》建设湾头未来社区服务平台。遵循“1N93”整体架构，由1个数字基座、N个模块应用、九场景、3端组成。1个数字基座组成部分为社区物联感知接入支撑系统、空间数据管理系统、应用开放接口管理系统、社区业务数据管理系统四大部分。N个模块应用分别为社区达人、邻里中心、活动广场等共计29个功能模块。由N个应用组成未来邻里、未来健康等九大场景。三端包括C端（浙里办+小程序）、B端（社区运营WEB端）、G端（社区治理WEB端+可视化应用）。</w:t>
      </w:r>
    </w:p>
    <w:p>
      <w:pPr>
        <w:pStyle w:val="7"/>
        <w:pageBreakBefore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3.接入湾头未来社区智能化基础设施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rPr>
      </w:pPr>
      <w:r>
        <w:rPr>
          <w:rFonts w:hint="eastAsia" w:ascii="宋体" w:hAnsi="宋体" w:cs="宋体"/>
        </w:rPr>
        <w:t>本项目需接入湾头未来社区智能化基础设施，硬件设备采购和安装部分由甬江街道湾头未来社区项目基础设施建设同步实施。</w:t>
      </w:r>
    </w:p>
    <w:p>
      <w:pPr>
        <w:pStyle w:val="7"/>
        <w:pageBreakBefore w:val="0"/>
        <w:kinsoku/>
        <w:wordWrap/>
        <w:overflowPunct/>
        <w:topLinePunct w:val="0"/>
        <w:autoSpaceDE/>
        <w:autoSpaceDN/>
        <w:bidi w:val="0"/>
        <w:adjustRightInd/>
        <w:snapToGrid/>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4.软件模块开发需求分析</w:t>
      </w:r>
    </w:p>
    <w:p>
      <w:pPr>
        <w:pStyle w:val="7"/>
        <w:pageBreakBefore w:val="0"/>
        <w:kinsoku/>
        <w:wordWrap/>
        <w:overflowPunct/>
        <w:topLinePunct w:val="0"/>
        <w:autoSpaceDE/>
        <w:autoSpaceDN/>
        <w:bidi w:val="0"/>
        <w:adjustRightInd/>
        <w:snapToGrid/>
        <w:ind w:firstLine="420" w:firstLineChars="200"/>
        <w:textAlignment w:val="auto"/>
        <w:rPr>
          <w:rFonts w:hint="eastAsia"/>
        </w:rPr>
      </w:pPr>
      <w:bookmarkStart w:id="15" w:name="_Toc31286"/>
      <w:r>
        <w:rPr>
          <w:rFonts w:hint="eastAsia"/>
          <w:lang w:val="en-US" w:eastAsia="zh-CN"/>
        </w:rPr>
        <w:t>4.1</w:t>
      </w:r>
      <w:r>
        <w:rPr>
          <w:rFonts w:hint="eastAsia"/>
        </w:rPr>
        <w:t>业务需求分析</w:t>
      </w:r>
      <w:bookmarkEnd w:id="15"/>
    </w:p>
    <w:p>
      <w:pPr>
        <w:pStyle w:val="271"/>
        <w:keepNext w:val="0"/>
        <w:keepLines w:val="0"/>
        <w:pageBreakBefore w:val="0"/>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湾头未来社区数字化建设，以数字社会需求为牵引，以未来社区九大场景落地为基础，建设社区智慧服务平台。基于社区治理和服务的颗粒度需求，搭建社区三维模型（“一户一档”“数模分离”原则），构建基于现实社会的数字孪生社区，充分运用CIM空间治理优势,提升未来社区智慧服务平台应用效率，以高效支撑社区的一体化、智慧化运营。平台主要包含以下三大核心业务模块：</w:t>
      </w:r>
    </w:p>
    <w:p>
      <w:pPr>
        <w:pStyle w:val="80"/>
        <w:keepNext w:val="0"/>
        <w:keepLines w:val="0"/>
        <w:pageBreakBefore w:val="0"/>
        <w:widowControl/>
        <w:numPr>
          <w:ilvl w:val="0"/>
          <w:numId w:val="0"/>
        </w:numPr>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b/>
          <w:highlight w:val="none"/>
          <w:lang w:val="en-US" w:eastAsia="zh-CN"/>
        </w:rPr>
        <w:t>1）</w:t>
      </w:r>
      <w:r>
        <w:rPr>
          <w:rFonts w:hint="eastAsia" w:ascii="宋体" w:hAnsi="宋体" w:eastAsia="宋体" w:cs="宋体"/>
          <w:b/>
          <w:highlight w:val="none"/>
        </w:rPr>
        <w:t>数字底座：</w:t>
      </w:r>
      <w:r>
        <w:rPr>
          <w:rFonts w:hint="eastAsia" w:ascii="宋体" w:hAnsi="宋体" w:eastAsia="宋体" w:cs="宋体"/>
          <w:highlight w:val="none"/>
        </w:rPr>
        <w:t>包含了物联引擎、数据资源中心、空间资产中心、应用服务中心。依托数字底座的支撑，外部第三方软件开放商可以按照标准化的方式接入到未来社区生态圈，为广大用户提供专业的应用服务。另一方面，灵活可配的应用管理模式，可以实现标准应用和特色应用相结合的方式，充分满足社区平台用户多元化的业务需求。推进解决互联互通难、信息共享难、业务协同难的问题，将“大平台、大数据、大系统”作为未来社区信息化治理体系，促进治理机制协调化和治理手段高效化，形成部门联动的协同治理新局面。</w:t>
      </w:r>
    </w:p>
    <w:p>
      <w:pPr>
        <w:pStyle w:val="80"/>
        <w:keepNext w:val="0"/>
        <w:keepLines w:val="0"/>
        <w:pageBreakBefore w:val="0"/>
        <w:widowControl/>
        <w:numPr>
          <w:ilvl w:val="0"/>
          <w:numId w:val="0"/>
        </w:numPr>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b/>
          <w:highlight w:val="none"/>
          <w:lang w:val="en-US" w:eastAsia="zh-CN"/>
        </w:rPr>
        <w:t>2）</w:t>
      </w:r>
      <w:r>
        <w:rPr>
          <w:rFonts w:hint="eastAsia" w:ascii="宋体" w:hAnsi="宋体" w:eastAsia="宋体" w:cs="宋体"/>
          <w:b/>
          <w:highlight w:val="none"/>
        </w:rPr>
        <w:t>未来社区管理和服务平台：</w:t>
      </w:r>
      <w:r>
        <w:rPr>
          <w:rFonts w:hint="eastAsia" w:ascii="宋体" w:hAnsi="宋体" w:eastAsia="宋体" w:cs="宋体"/>
          <w:highlight w:val="none"/>
        </w:rPr>
        <w:t>面向社区圈中的各个组成部分，如政府、用户、商户等，提供便民服务和商业服务，面向居民和企业用户；提供人口管控、车辆管控、房屋管理、重点单位管理、治安防控、群防群治管理、消防管理等，面向物业的主要是物业管理、设施管理、消防管理、社区安全管理等；社区服务应包括便民服务、物业服务、家政服务、社区文化、居家养老、社区医疗、协商共治等，是人民群众最关心、最迫切解决问题的切入点和突破口。通过未来社区平台建设，将社区工作中的居民服务、物业监管、协商议事等内容，通过未来社区平台实现统一展现、管理，有助于提高社区治理工作的精细化水平。</w:t>
      </w:r>
    </w:p>
    <w:p>
      <w:pPr>
        <w:pStyle w:val="80"/>
        <w:keepNext w:val="0"/>
        <w:keepLines w:val="0"/>
        <w:pageBreakBefore w:val="0"/>
        <w:widowControl/>
        <w:numPr>
          <w:ilvl w:val="0"/>
          <w:numId w:val="0"/>
        </w:numPr>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b/>
          <w:highlight w:val="none"/>
          <w:lang w:val="en-US" w:eastAsia="zh-CN"/>
        </w:rPr>
        <w:t>3）</w:t>
      </w:r>
      <w:r>
        <w:rPr>
          <w:rFonts w:hint="eastAsia" w:ascii="宋体" w:hAnsi="宋体" w:eastAsia="宋体" w:cs="宋体"/>
          <w:b/>
          <w:highlight w:val="none"/>
        </w:rPr>
        <w:t>未来社区服务可视化应用：</w:t>
      </w:r>
      <w:r>
        <w:rPr>
          <w:rFonts w:hint="eastAsia" w:ascii="宋体" w:hAnsi="宋体" w:eastAsia="宋体" w:cs="宋体"/>
          <w:highlight w:val="none"/>
        </w:rPr>
        <w:t>需要建立一个社治运营中心，将社区的运行状态进行实时的展示，打造“看得见、看得清、看得全、看得远”“能管理”的可视化应用，全面赋能领导决策，提升政府治理能力和现代化水平。</w:t>
      </w:r>
    </w:p>
    <w:p>
      <w:pPr>
        <w:keepNext w:val="0"/>
        <w:keepLines w:val="0"/>
        <w:pageBreakBefore w:val="0"/>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bookmarkStart w:id="16" w:name="_Toc30332"/>
      <w:r>
        <w:rPr>
          <w:rFonts w:hint="eastAsia" w:ascii="宋体" w:hAnsi="宋体" w:eastAsia="宋体" w:cs="宋体"/>
          <w:highlight w:val="none"/>
        </w:rPr>
        <w:t>用户对象分析</w:t>
      </w:r>
      <w:bookmarkEnd w:id="16"/>
    </w:p>
    <w:p>
      <w:pPr>
        <w:keepNext w:val="0"/>
        <w:keepLines w:val="0"/>
        <w:pageBreakBefore w:val="0"/>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本项目用户对象主要包含社区居民、社区工作人员、街道工作人员、相关运营机构以及相关政府监管单位。</w:t>
      </w:r>
    </w:p>
    <w:p>
      <w:pPr>
        <w:keepNext w:val="0"/>
        <w:keepLines w:val="0"/>
        <w:pageBreakBefore w:val="0"/>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bookmarkStart w:id="17" w:name="_Toc27738"/>
      <w:r>
        <w:rPr>
          <w:rFonts w:hint="eastAsia" w:ascii="宋体" w:hAnsi="宋体" w:eastAsia="宋体" w:cs="宋体"/>
          <w:highlight w:val="none"/>
        </w:rPr>
        <w:t>业务处理量分析</w:t>
      </w:r>
      <w:bookmarkEnd w:id="17"/>
    </w:p>
    <w:p>
      <w:pPr>
        <w:keepNext w:val="0"/>
        <w:keepLines w:val="0"/>
        <w:pageBreakBefore w:val="0"/>
        <w:tabs>
          <w:tab w:val="left" w:pos="2127"/>
        </w:tabs>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用户数测算</w:t>
      </w:r>
    </w:p>
    <w:p>
      <w:pPr>
        <w:keepNext w:val="0"/>
        <w:keepLines w:val="0"/>
        <w:pageBreakBefore w:val="0"/>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湾头社区现有社工17人，其中网格长13人，网格长主力3人，社工党员9名。甬江街道办事处现有217人，宁波江北区管委会现有2900余人。</w:t>
      </w:r>
    </w:p>
    <w:p>
      <w:pPr>
        <w:keepNext w:val="0"/>
        <w:keepLines w:val="0"/>
        <w:pageBreakBefore w:val="0"/>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湾头社区居民总户数共计3150户，常驻人口规模达约7000余人，60岁以上比例23%。</w:t>
      </w:r>
    </w:p>
    <w:p>
      <w:pPr>
        <w:keepNext w:val="0"/>
        <w:keepLines w:val="0"/>
        <w:pageBreakBefore w:val="0"/>
        <w:kinsoku/>
        <w:wordWrap/>
        <w:overflowPunct/>
        <w:topLinePunct w:val="0"/>
        <w:autoSpaceDE/>
        <w:autoSpaceDN/>
        <w:bidi w:val="0"/>
        <w:adjustRightInd/>
        <w:snapToGrid/>
        <w:spacing w:line="360" w:lineRule="auto"/>
        <w:ind w:leftChars="0"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万丰社区居民总户数共计2019户，常驻人口规模达约3000人，60岁以上比例10%。</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万象社区居民总户数共计1488户，常驻人口规模达约2000余人，60岁以上比例10%。</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万润社区居民总户数共计2596户，常驻人口规模达约4000余人，60岁以上比例10%。</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星湖湾居民总户数共计500户，已售罄，尚未交付。</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本项目中的大部分业务系统面向社区居民、社区工作者使用，预估移动端使用用户数为16000人，最高并发访问量为100；后台管理系统使用人数为100人，最高并发量20。</w:t>
      </w:r>
    </w:p>
    <w:p>
      <w:pPr>
        <w:keepNext w:val="0"/>
        <w:keepLines w:val="0"/>
        <w:pageBreakBefore w:val="0"/>
        <w:tabs>
          <w:tab w:val="left" w:pos="2127"/>
        </w:tabs>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highlight w:val="none"/>
        </w:rPr>
      </w:pPr>
      <w:r>
        <w:rPr>
          <w:rFonts w:hint="eastAsia" w:ascii="宋体" w:hAnsi="宋体" w:eastAsia="宋体" w:cs="宋体"/>
          <w:highlight w:val="none"/>
        </w:rPr>
        <w:t>数据资源测算</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湾头未来社区智慧服务平台的每个月的高频应用如下：</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浙里办、小程序等签到每天200条数据，30（天）*200= 6000条；</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社区活动广场进出数据每天400条数据 ，30（天）*400= 12000条；</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 xml:space="preserve">社区超话区数据产出，30*100=3000条； </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物联网数据上报数据，30（天）*12*24*400（台）= 3456000条。</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其他场景应用30*300=9000条；</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合计1个月的数量为：2400+6000+1500+4500+1728000= 3486000条。</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 xml:space="preserve">可计算2年的数据量为：3486000*24（月）= 83664000约等于8000万条；2年时间业务端产生的数量为：1条数据大小按照5KB，8000万*5K=357GB（结构化数据）。 </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3年时间产生的数据量为：3486000*36*5KB/1024/1024=598GB。</w:t>
      </w:r>
    </w:p>
    <w:p>
      <w:pPr>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highlight w:val="none"/>
        </w:rPr>
      </w:pPr>
      <w:r>
        <w:rPr>
          <w:highlight w:val="none"/>
        </w:rPr>
        <w:t>3年时间后台管理系统数据量为：1条数据大小按照5KB，人口数据按照16000人，16000*5/1024=78MB 房屋数据按照9753户，9753*5/1024=47MB 其他基础数据按照30*100*5/1024=14MB。</w:t>
      </w:r>
    </w:p>
    <w:p>
      <w:pPr>
        <w:pStyle w:val="271"/>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highlight w:val="none"/>
        </w:rPr>
      </w:pPr>
      <w:r>
        <w:rPr>
          <w:rFonts w:ascii="Times New Roman" w:hAnsi="Times New Roman"/>
          <w:highlight w:val="none"/>
        </w:rPr>
        <w:t>未来社区智慧服务平台结构化数据3年数据量78MB+47MB+14MB=139MB。其余结构化数据则是全景图以及物联网数据图片的采集数据，3年估算为1条数据大小按20KB，30天24小时每隔1小时采集10张，那么可预估400台*20K*30*24*10*36/1024/1024=1977GB（结构化数据）。</w:t>
      </w:r>
    </w:p>
    <w:p>
      <w:pPr>
        <w:pStyle w:val="17"/>
        <w:spacing w:before="0" w:after="0" w:line="360" w:lineRule="auto"/>
        <w:jc w:val="center"/>
      </w:pPr>
      <w:r>
        <w:t xml:space="preserve">表 </w:t>
      </w:r>
      <w:r>
        <w:fldChar w:fldCharType="begin"/>
      </w:r>
      <w:r>
        <w:instrText xml:space="preserve"> STYLEREF 1 \s </w:instrText>
      </w:r>
      <w:r>
        <w:fldChar w:fldCharType="separate"/>
      </w:r>
      <w:r>
        <w:t>4</w:t>
      </w:r>
      <w:r>
        <w:fldChar w:fldCharType="end"/>
      </w:r>
      <w:r>
        <w:noBreakHyphen/>
      </w:r>
      <w:r>
        <w:fldChar w:fldCharType="begin"/>
      </w:r>
      <w:r>
        <w:instrText xml:space="preserve"> SEQ 表 \* ARABIC \s 1 </w:instrText>
      </w:r>
      <w:r>
        <w:fldChar w:fldCharType="separate"/>
      </w:r>
      <w:r>
        <w:t>1</w:t>
      </w:r>
      <w:r>
        <w:fldChar w:fldCharType="end"/>
      </w:r>
      <w:r>
        <w:t>数据资源测算</w:t>
      </w:r>
    </w:p>
    <w:tbl>
      <w:tblPr>
        <w:tblStyle w:val="50"/>
        <w:tblW w:w="9418" w:type="dxa"/>
        <w:jc w:val="center"/>
        <w:tblLayout w:type="autofit"/>
        <w:tblCellMar>
          <w:top w:w="0" w:type="dxa"/>
          <w:left w:w="108" w:type="dxa"/>
          <w:bottom w:w="0" w:type="dxa"/>
          <w:right w:w="108" w:type="dxa"/>
        </w:tblCellMar>
      </w:tblPr>
      <w:tblGrid>
        <w:gridCol w:w="808"/>
        <w:gridCol w:w="2298"/>
        <w:gridCol w:w="3704"/>
        <w:gridCol w:w="2608"/>
      </w:tblGrid>
      <w:tr>
        <w:tblPrEx>
          <w:tblCellMar>
            <w:top w:w="0" w:type="dxa"/>
            <w:left w:w="108" w:type="dxa"/>
            <w:bottom w:w="0" w:type="dxa"/>
            <w:right w:w="108" w:type="dxa"/>
          </w:tblCellMar>
        </w:tblPrEx>
        <w:trPr>
          <w:trHeight w:val="551" w:hRule="atLeast"/>
          <w:jc w:val="center"/>
        </w:trPr>
        <w:tc>
          <w:tcPr>
            <w:tcW w:w="808"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rPr>
                <w:b w:val="0"/>
                <w:bCs/>
                <w:kern w:val="0"/>
                <w:sz w:val="21"/>
                <w:szCs w:val="21"/>
              </w:rPr>
            </w:pPr>
            <w:r>
              <w:rPr>
                <w:b w:val="0"/>
                <w:bCs/>
                <w:sz w:val="21"/>
                <w:szCs w:val="21"/>
              </w:rPr>
              <w:t>序号</w:t>
            </w:r>
          </w:p>
        </w:tc>
        <w:tc>
          <w:tcPr>
            <w:tcW w:w="2298"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数据来源</w:t>
            </w:r>
          </w:p>
        </w:tc>
        <w:tc>
          <w:tcPr>
            <w:tcW w:w="370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月数据记录（条）</w:t>
            </w:r>
          </w:p>
        </w:tc>
        <w:tc>
          <w:tcPr>
            <w:tcW w:w="2608"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数据量（1条数据大小按照5KB）</w:t>
            </w:r>
          </w:p>
        </w:tc>
      </w:tr>
      <w:tr>
        <w:tblPrEx>
          <w:tblCellMar>
            <w:top w:w="0" w:type="dxa"/>
            <w:left w:w="108" w:type="dxa"/>
            <w:bottom w:w="0" w:type="dxa"/>
            <w:right w:w="108" w:type="dxa"/>
          </w:tblCellMar>
        </w:tblPrEx>
        <w:trPr>
          <w:trHeight w:val="280" w:hRule="atLeast"/>
          <w:jc w:val="center"/>
        </w:trPr>
        <w:tc>
          <w:tcPr>
            <w:tcW w:w="80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1</w:t>
            </w:r>
          </w:p>
        </w:tc>
        <w:tc>
          <w:tcPr>
            <w:tcW w:w="229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浙里办、小程序签到</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6000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29MB</w:t>
            </w:r>
          </w:p>
        </w:tc>
      </w:tr>
      <w:tr>
        <w:tblPrEx>
          <w:tblCellMar>
            <w:top w:w="0" w:type="dxa"/>
            <w:left w:w="108" w:type="dxa"/>
            <w:bottom w:w="0" w:type="dxa"/>
            <w:right w:w="108" w:type="dxa"/>
          </w:tblCellMar>
        </w:tblPrEx>
        <w:trPr>
          <w:trHeight w:val="280" w:hRule="atLeast"/>
          <w:jc w:val="center"/>
        </w:trPr>
        <w:tc>
          <w:tcPr>
            <w:tcW w:w="80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2</w:t>
            </w:r>
          </w:p>
        </w:tc>
        <w:tc>
          <w:tcPr>
            <w:tcW w:w="229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活动广场</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1200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5.86MB</w:t>
            </w:r>
          </w:p>
        </w:tc>
      </w:tr>
      <w:tr>
        <w:tblPrEx>
          <w:tblCellMar>
            <w:top w:w="0" w:type="dxa"/>
            <w:left w:w="108" w:type="dxa"/>
            <w:bottom w:w="0" w:type="dxa"/>
            <w:right w:w="108" w:type="dxa"/>
          </w:tblCellMar>
        </w:tblPrEx>
        <w:trPr>
          <w:trHeight w:val="280" w:hRule="atLeast"/>
          <w:jc w:val="center"/>
        </w:trPr>
        <w:tc>
          <w:tcPr>
            <w:tcW w:w="80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3</w:t>
            </w:r>
          </w:p>
        </w:tc>
        <w:tc>
          <w:tcPr>
            <w:tcW w:w="229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超话</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3000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14.65MB</w:t>
            </w:r>
          </w:p>
        </w:tc>
      </w:tr>
      <w:tr>
        <w:tblPrEx>
          <w:tblCellMar>
            <w:top w:w="0" w:type="dxa"/>
            <w:left w:w="108" w:type="dxa"/>
            <w:bottom w:w="0" w:type="dxa"/>
            <w:right w:w="108" w:type="dxa"/>
          </w:tblCellMar>
        </w:tblPrEx>
        <w:trPr>
          <w:trHeight w:val="280" w:hRule="atLeast"/>
          <w:jc w:val="center"/>
        </w:trPr>
        <w:tc>
          <w:tcPr>
            <w:tcW w:w="80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3</w:t>
            </w:r>
          </w:p>
        </w:tc>
        <w:tc>
          <w:tcPr>
            <w:tcW w:w="229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其他场景应用</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9000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43.94MB</w:t>
            </w:r>
          </w:p>
        </w:tc>
      </w:tr>
      <w:tr>
        <w:tblPrEx>
          <w:tblCellMar>
            <w:top w:w="0" w:type="dxa"/>
            <w:left w:w="108" w:type="dxa"/>
            <w:bottom w:w="0" w:type="dxa"/>
            <w:right w:w="108" w:type="dxa"/>
          </w:tblCellMar>
        </w:tblPrEx>
        <w:trPr>
          <w:trHeight w:val="781" w:hRule="atLeast"/>
          <w:jc w:val="center"/>
        </w:trPr>
        <w:tc>
          <w:tcPr>
            <w:tcW w:w="808" w:type="dxa"/>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4</w:t>
            </w:r>
          </w:p>
        </w:tc>
        <w:tc>
          <w:tcPr>
            <w:tcW w:w="229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物联网上报数据</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b w:val="0"/>
                <w:bCs/>
                <w:sz w:val="21"/>
                <w:szCs w:val="21"/>
              </w:rPr>
              <w:t>30</w:t>
            </w:r>
            <w:r>
              <w:rPr>
                <w:rFonts w:hint="eastAsia"/>
                <w:b w:val="0"/>
                <w:bCs/>
                <w:sz w:val="21"/>
                <w:szCs w:val="21"/>
              </w:rPr>
              <w:t>(天</w:t>
            </w:r>
            <w:r>
              <w:rPr>
                <w:b w:val="0"/>
                <w:bCs/>
                <w:sz w:val="21"/>
                <w:szCs w:val="21"/>
              </w:rPr>
              <w:t>)*12(</w:t>
            </w:r>
            <w:r>
              <w:rPr>
                <w:rFonts w:hint="eastAsia"/>
                <w:b w:val="0"/>
                <w:bCs/>
                <w:sz w:val="21"/>
                <w:szCs w:val="21"/>
              </w:rPr>
              <w:t>每小时12条数据</w:t>
            </w:r>
            <w:r>
              <w:rPr>
                <w:b w:val="0"/>
                <w:bCs/>
                <w:sz w:val="21"/>
                <w:szCs w:val="21"/>
              </w:rPr>
              <w:t>)*24</w:t>
            </w:r>
            <w:r>
              <w:rPr>
                <w:rFonts w:hint="eastAsia"/>
                <w:b w:val="0"/>
                <w:bCs/>
                <w:sz w:val="21"/>
                <w:szCs w:val="21"/>
              </w:rPr>
              <w:t>(小时)</w:t>
            </w:r>
            <w:r>
              <w:rPr>
                <w:b w:val="0"/>
                <w:bCs/>
                <w:sz w:val="21"/>
                <w:szCs w:val="21"/>
              </w:rPr>
              <w:t>*400(</w:t>
            </w:r>
            <w:r>
              <w:rPr>
                <w:rFonts w:hint="eastAsia"/>
                <w:b w:val="0"/>
                <w:bCs/>
                <w:sz w:val="21"/>
                <w:szCs w:val="21"/>
              </w:rPr>
              <w:t>台</w:t>
            </w:r>
            <w:r>
              <w:rPr>
                <w:b w:val="0"/>
                <w:bCs/>
                <w:sz w:val="21"/>
                <w:szCs w:val="21"/>
              </w:rPr>
              <w:t>)</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16875</w:t>
            </w:r>
            <w:r>
              <w:rPr>
                <w:b w:val="0"/>
                <w:bCs/>
                <w:sz w:val="21"/>
                <w:szCs w:val="21"/>
              </w:rPr>
              <w:t>MB</w:t>
            </w:r>
          </w:p>
        </w:tc>
      </w:tr>
      <w:tr>
        <w:tblPrEx>
          <w:tblCellMar>
            <w:top w:w="0" w:type="dxa"/>
            <w:left w:w="108" w:type="dxa"/>
            <w:bottom w:w="0" w:type="dxa"/>
            <w:right w:w="108" w:type="dxa"/>
          </w:tblCellMar>
        </w:tblPrEx>
        <w:trPr>
          <w:trHeight w:val="280"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合计（单  月）</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34752</w:t>
            </w:r>
            <w:r>
              <w:rPr>
                <w:b w:val="0"/>
                <w:bCs/>
                <w:sz w:val="21"/>
                <w:szCs w:val="21"/>
              </w:rPr>
              <w:t>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16.57</w:t>
            </w:r>
            <w:r>
              <w:rPr>
                <w:b w:val="0"/>
                <w:bCs/>
                <w:sz w:val="21"/>
                <w:szCs w:val="21"/>
              </w:rPr>
              <w:t>GB</w:t>
            </w:r>
          </w:p>
        </w:tc>
      </w:tr>
      <w:tr>
        <w:tblPrEx>
          <w:tblCellMar>
            <w:top w:w="0" w:type="dxa"/>
            <w:left w:w="108" w:type="dxa"/>
            <w:bottom w:w="0" w:type="dxa"/>
            <w:right w:w="108" w:type="dxa"/>
          </w:tblCellMar>
        </w:tblPrEx>
        <w:trPr>
          <w:trHeight w:val="280"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合计（第一年）</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417024</w:t>
            </w:r>
            <w:r>
              <w:rPr>
                <w:b w:val="0"/>
                <w:bCs/>
                <w:sz w:val="21"/>
                <w:szCs w:val="21"/>
              </w:rPr>
              <w:t>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198.84</w:t>
            </w:r>
            <w:r>
              <w:rPr>
                <w:b w:val="0"/>
                <w:bCs/>
                <w:sz w:val="21"/>
                <w:szCs w:val="21"/>
              </w:rPr>
              <w:t xml:space="preserve"> GB</w:t>
            </w:r>
          </w:p>
        </w:tc>
      </w:tr>
      <w:tr>
        <w:tblPrEx>
          <w:tblCellMar>
            <w:top w:w="0" w:type="dxa"/>
            <w:left w:w="108" w:type="dxa"/>
            <w:bottom w:w="0" w:type="dxa"/>
            <w:right w:w="108" w:type="dxa"/>
          </w:tblCellMar>
        </w:tblPrEx>
        <w:trPr>
          <w:trHeight w:val="280"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合计（第三年）</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94048</w:t>
            </w:r>
            <w:r>
              <w:rPr>
                <w:b w:val="0"/>
                <w:bCs/>
                <w:sz w:val="21"/>
                <w:szCs w:val="21"/>
              </w:rPr>
              <w:t>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397.68</w:t>
            </w:r>
            <w:r>
              <w:rPr>
                <w:b w:val="0"/>
                <w:bCs/>
                <w:sz w:val="21"/>
                <w:szCs w:val="21"/>
              </w:rPr>
              <w:t xml:space="preserve"> GB</w:t>
            </w:r>
          </w:p>
        </w:tc>
      </w:tr>
      <w:tr>
        <w:tblPrEx>
          <w:tblCellMar>
            <w:top w:w="0" w:type="dxa"/>
            <w:left w:w="108" w:type="dxa"/>
            <w:bottom w:w="0" w:type="dxa"/>
            <w:right w:w="108" w:type="dxa"/>
          </w:tblCellMar>
        </w:tblPrEx>
        <w:trPr>
          <w:trHeight w:val="289" w:hRule="atLeast"/>
          <w:jc w:val="center"/>
        </w:trPr>
        <w:tc>
          <w:tcPr>
            <w:tcW w:w="3106" w:type="dxa"/>
            <w:gridSpan w:val="2"/>
            <w:tcBorders>
              <w:top w:val="nil"/>
              <w:left w:val="single" w:color="auto" w:sz="4" w:space="0"/>
              <w:bottom w:val="single" w:color="auto" w:sz="4" w:space="0"/>
              <w:right w:val="single" w:color="auto" w:sz="4" w:space="0"/>
            </w:tcBorders>
            <w:noWrap/>
            <w:vAlign w:val="center"/>
          </w:tcPr>
          <w:p>
            <w:pPr>
              <w:spacing w:line="240" w:lineRule="auto"/>
              <w:ind w:firstLine="0" w:firstLineChars="0"/>
              <w:jc w:val="center"/>
              <w:rPr>
                <w:b w:val="0"/>
                <w:bCs/>
                <w:sz w:val="21"/>
                <w:szCs w:val="21"/>
              </w:rPr>
            </w:pPr>
            <w:r>
              <w:rPr>
                <w:b w:val="0"/>
                <w:bCs/>
                <w:sz w:val="21"/>
                <w:szCs w:val="21"/>
              </w:rPr>
              <w:t>合计（第五年）</w:t>
            </w:r>
          </w:p>
        </w:tc>
        <w:tc>
          <w:tcPr>
            <w:tcW w:w="3704"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141072</w:t>
            </w:r>
            <w:r>
              <w:rPr>
                <w:b w:val="0"/>
                <w:bCs/>
                <w:sz w:val="21"/>
                <w:szCs w:val="21"/>
              </w:rPr>
              <w:t>000</w:t>
            </w:r>
          </w:p>
        </w:tc>
        <w:tc>
          <w:tcPr>
            <w:tcW w:w="2608" w:type="dxa"/>
            <w:tcBorders>
              <w:top w:val="nil"/>
              <w:left w:val="nil"/>
              <w:bottom w:val="single" w:color="auto" w:sz="4" w:space="0"/>
              <w:right w:val="single" w:color="auto" w:sz="4" w:space="0"/>
            </w:tcBorders>
            <w:vAlign w:val="center"/>
          </w:tcPr>
          <w:p>
            <w:pPr>
              <w:spacing w:line="240" w:lineRule="auto"/>
              <w:ind w:firstLine="0" w:firstLineChars="0"/>
              <w:jc w:val="center"/>
              <w:rPr>
                <w:b w:val="0"/>
                <w:bCs/>
                <w:sz w:val="21"/>
                <w:szCs w:val="21"/>
              </w:rPr>
            </w:pPr>
            <w:r>
              <w:rPr>
                <w:rFonts w:hint="eastAsia"/>
                <w:b w:val="0"/>
                <w:bCs/>
                <w:sz w:val="21"/>
                <w:szCs w:val="21"/>
              </w:rPr>
              <w:t>596.52</w:t>
            </w:r>
            <w:r>
              <w:rPr>
                <w:b w:val="0"/>
                <w:bCs/>
                <w:sz w:val="21"/>
                <w:szCs w:val="21"/>
              </w:rPr>
              <w:t xml:space="preserve"> GB</w:t>
            </w:r>
          </w:p>
        </w:tc>
      </w:tr>
    </w:tbl>
    <w:p/>
    <w:p>
      <w:pPr>
        <w:pStyle w:val="7"/>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bookmarkStart w:id="18" w:name="_Toc13412"/>
      <w:r>
        <w:rPr>
          <w:rFonts w:hint="eastAsia"/>
          <w:lang w:val="en-US" w:eastAsia="zh-CN"/>
        </w:rPr>
        <w:t>4.2业务流程分析</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湾头未来社区数字化服务应用，分为三类交互端，包括社区居民服务端、社区运营端、政府人员数据查看端。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1.社区居民通过登录[湾头助手]小程序,注册填写个人信息并绑定房号，由社区人员审核，审核通过后，房屋绑定成功。数据返回大屏端，通过可视化数据图表展示小程序当前用户数目、用户类型以及人员分布等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2.社区运营人员通过管理后台，发布小程序应用内容信息，社区居民查看发布信息，并使用九大场景相关应用，产出数据内容由运营人员来查看、审核，并将数据返回大屏端。政府人员根据大屏数据展示，查看九大场景板块数据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3.大屏端展示小程序应用入口，社区居民查看后可扫码进入小程序，参与活动报名等相关内容，产生数据返回大屏端进行数据展示。</w:t>
      </w:r>
    </w:p>
    <w:p>
      <w:pPr>
        <w:pStyle w:val="17"/>
      </w:pPr>
      <w:r>
        <w:drawing>
          <wp:inline distT="0" distB="0" distL="114300" distR="114300">
            <wp:extent cx="4744720" cy="4345305"/>
            <wp:effectExtent l="0" t="0" r="5080"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4744720" cy="4345305"/>
                    </a:xfrm>
                    <a:prstGeom prst="rect">
                      <a:avLst/>
                    </a:prstGeom>
                    <a:noFill/>
                    <a:ln>
                      <a:noFill/>
                    </a:ln>
                  </pic:spPr>
                </pic:pic>
              </a:graphicData>
            </a:graphic>
          </wp:inline>
        </w:drawing>
      </w:r>
    </w:p>
    <w:p>
      <w:pPr>
        <w:pStyle w:val="17"/>
        <w:jc w:val="center"/>
      </w:pPr>
      <w:r>
        <w:t xml:space="preserve">图 </w:t>
      </w:r>
      <w:r>
        <w:fldChar w:fldCharType="begin"/>
      </w:r>
      <w:r>
        <w:instrText xml:space="preserve"> STYLEREF 1 \s </w:instrText>
      </w:r>
      <w:r>
        <w:fldChar w:fldCharType="separate"/>
      </w:r>
      <w:r>
        <w:t>4</w:t>
      </w:r>
      <w:r>
        <w:fldChar w:fldCharType="end"/>
      </w:r>
      <w:r>
        <w:noBreakHyphen/>
      </w:r>
      <w:r>
        <w:fldChar w:fldCharType="begin"/>
      </w:r>
      <w:r>
        <w:instrText xml:space="preserve"> SEQ 图 \* ARABIC \s 1 </w:instrText>
      </w:r>
      <w:r>
        <w:fldChar w:fldCharType="separate"/>
      </w:r>
      <w:r>
        <w:t>1</w:t>
      </w:r>
      <w:r>
        <w:fldChar w:fldCharType="end"/>
      </w:r>
      <w:r>
        <w:t>业务流程图</w:t>
      </w:r>
    </w:p>
    <w:p>
      <w:pPr>
        <w:pStyle w:val="7"/>
        <w:pageBreakBefore w:val="0"/>
        <w:kinsoku/>
        <w:wordWrap/>
        <w:overflowPunct/>
        <w:topLinePunct w:val="0"/>
        <w:autoSpaceDE/>
        <w:autoSpaceDN/>
        <w:bidi w:val="0"/>
        <w:adjustRightInd/>
        <w:snapToGrid/>
        <w:ind w:firstLine="420" w:firstLineChars="200"/>
        <w:textAlignment w:val="auto"/>
        <w:rPr>
          <w:rFonts w:hint="eastAsia"/>
          <w:lang w:val="en-US" w:eastAsia="zh-CN"/>
        </w:rPr>
      </w:pPr>
      <w:bookmarkStart w:id="19" w:name="_Toc25160"/>
      <w:r>
        <w:rPr>
          <w:rFonts w:hint="eastAsia"/>
          <w:lang w:val="en-US" w:eastAsia="zh-CN"/>
        </w:rPr>
        <w:t>4.3功能需求分析</w:t>
      </w:r>
      <w:bookmarkEnd w:id="19"/>
    </w:p>
    <w:p>
      <w:pPr>
        <w:keepNext w:val="0"/>
        <w:keepLines w:val="0"/>
        <w:pageBreakBefore w:val="0"/>
        <w:widowControl w:val="0"/>
        <w:numPr>
          <w:ilvl w:val="0"/>
          <w:numId w:val="0"/>
        </w:numPr>
        <w:tabs>
          <w:tab w:val="left" w:pos="2127"/>
        </w:tabs>
        <w:kinsoku/>
        <w:wordWrap/>
        <w:overflowPunct/>
        <w:topLinePunct w:val="0"/>
        <w:autoSpaceDE/>
        <w:autoSpaceDN/>
        <w:bidi w:val="0"/>
        <w:adjustRightInd/>
        <w:snapToGrid/>
        <w:spacing w:before="0" w:after="0" w:line="360" w:lineRule="auto"/>
        <w:ind w:leftChars="0" w:firstLine="420" w:firstLineChars="200"/>
        <w:jc w:val="both"/>
        <w:textAlignment w:val="auto"/>
        <w:outlineLvl w:val="9"/>
      </w:pPr>
      <w:r>
        <w:rPr>
          <w:rFonts w:hint="eastAsia"/>
          <w:lang w:val="en-US" w:eastAsia="zh-CN"/>
        </w:rPr>
        <w:t>4.3.1</w:t>
      </w:r>
      <w:r>
        <w:t>社区居民服务的需求</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为解决社区居民提供衣、食、住、行等方面的需求，未来社区服务应用系统通过与政府、服务商等合作，为社区居民提供具有本地特色的政务、民生、商业等信息服务: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1.</w:t>
      </w:r>
      <w:r>
        <w:t>为解决社区居民办事困难需求，未来社区服务应用系统提供了码上说应用，帮助居民解决办事难题。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2.</w:t>
      </w:r>
      <w:r>
        <w:t>为解决社区居民物业报事报修，社区治理需求，未来社区服务应用系统提供了报事报修、随手拍功能为居民提供家电维修、水电报修、开锁修锁等物业服务: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3.</w:t>
      </w:r>
      <w:r>
        <w:t>为解决社区居民健康管理的需求，未来社区服务应用系统提供了健康小屋、湾头健康功能，帮助居民解决医院信息查询、健康管理、养老服务等需求。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4.</w:t>
      </w:r>
      <w:r>
        <w:t>为促进邻里和谐、交流互助，未来社区服务应用系统提供了热门活动、幸福学堂功能板块，其内包括教育、文化、娱乐等形式的活动。线上预约，线下报名参与。</w:t>
      </w:r>
    </w:p>
    <w:p>
      <w:pPr>
        <w:keepNext w:val="0"/>
        <w:keepLines w:val="0"/>
        <w:pageBreakBefore w:val="0"/>
        <w:widowControl w:val="0"/>
        <w:numPr>
          <w:ilvl w:val="0"/>
          <w:numId w:val="0"/>
        </w:numPr>
        <w:tabs>
          <w:tab w:val="left" w:pos="2127"/>
        </w:tabs>
        <w:kinsoku/>
        <w:wordWrap/>
        <w:overflowPunct/>
        <w:topLinePunct w:val="0"/>
        <w:autoSpaceDE/>
        <w:autoSpaceDN/>
        <w:bidi w:val="0"/>
        <w:adjustRightInd/>
        <w:snapToGrid/>
        <w:spacing w:before="0" w:after="0" w:line="360" w:lineRule="auto"/>
        <w:ind w:leftChars="0" w:firstLine="420" w:firstLineChars="200"/>
        <w:jc w:val="both"/>
        <w:textAlignment w:val="auto"/>
        <w:outlineLvl w:val="9"/>
      </w:pPr>
      <w:r>
        <w:rPr>
          <w:rFonts w:hint="eastAsia"/>
          <w:lang w:val="en-US" w:eastAsia="zh-CN"/>
        </w:rPr>
        <w:t>4.3.2</w:t>
      </w:r>
      <w:r>
        <w:t>社区运营管理的需求</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为解决社区运营人员日常管理以及发布应用内容的工作，搭建未来社区运营维护系统。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1.</w:t>
      </w:r>
      <w:r>
        <w:t>为解决运营者的审核业主信息、人员管理工作，未来社区运营维护系统提供用户管理功能模块。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2.</w:t>
      </w:r>
      <w:r>
        <w:t>为解决运营者活动发布、积分配置、积分商品上架的工作，未来社区运营维护系统提供活动管理、场地管理、商品管理功能模块。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3.</w:t>
      </w:r>
      <w:r>
        <w:t>为解决运营者发布社区信息的工作，未来社区运营维护系统提供资讯管理模块，供运营者发布信息以及管理。</w:t>
      </w:r>
    </w:p>
    <w:p>
      <w:pPr>
        <w:keepNext w:val="0"/>
        <w:keepLines w:val="0"/>
        <w:pageBreakBefore w:val="0"/>
        <w:widowControl w:val="0"/>
        <w:numPr>
          <w:ilvl w:val="0"/>
          <w:numId w:val="0"/>
        </w:numPr>
        <w:tabs>
          <w:tab w:val="left" w:pos="2127"/>
        </w:tabs>
        <w:kinsoku/>
        <w:wordWrap/>
        <w:overflowPunct/>
        <w:topLinePunct w:val="0"/>
        <w:autoSpaceDE/>
        <w:autoSpaceDN/>
        <w:bidi w:val="0"/>
        <w:adjustRightInd/>
        <w:snapToGrid/>
        <w:spacing w:before="0" w:after="0" w:line="360" w:lineRule="auto"/>
        <w:ind w:leftChars="0" w:firstLine="420" w:firstLineChars="200"/>
        <w:jc w:val="both"/>
        <w:textAlignment w:val="auto"/>
        <w:outlineLvl w:val="9"/>
      </w:pPr>
      <w:r>
        <w:rPr>
          <w:rFonts w:hint="eastAsia"/>
          <w:lang w:val="en-US" w:eastAsia="zh-CN"/>
        </w:rPr>
        <w:t>4.3.3</w:t>
      </w:r>
      <w:r>
        <w:t>政府部门管理的需求</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为解决政务管理部门的监管需求，搭建未来社区服务可视化应用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1.</w:t>
      </w:r>
      <w:r>
        <w:t>为解决政府实施监测未来社区九大场景活跃程度，搭建未来社区服务可视化应用提供相应省级监测页面；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outlineLvl w:val="9"/>
      </w:pPr>
      <w:r>
        <w:rPr>
          <w:rFonts w:hint="eastAsia"/>
          <w:lang w:val="en-US" w:eastAsia="zh-CN"/>
        </w:rPr>
        <w:t>2.</w:t>
      </w:r>
      <w:r>
        <w:t>为了解决政府部门了解社区的运行状态进行实时的展示，基于未来社区服务可视化应用，结合空间数据，进行可视化展示。</w:t>
      </w:r>
    </w:p>
    <w:p>
      <w:pPr>
        <w:keepNext w:val="0"/>
        <w:keepLines w:val="0"/>
        <w:pageBreakBefore w:val="0"/>
        <w:widowControl w:val="0"/>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ascii="Times New Roman"/>
        </w:rPr>
      </w:pPr>
      <w:bookmarkStart w:id="20" w:name="_Toc22108"/>
      <w:r>
        <w:rPr>
          <w:rFonts w:hint="eastAsia" w:ascii="Times New Roman"/>
          <w:lang w:val="en-US" w:eastAsia="zh-CN"/>
        </w:rPr>
        <w:t>4.3.3.1</w:t>
      </w:r>
      <w:r>
        <w:rPr>
          <w:rFonts w:ascii="Times New Roman"/>
        </w:rPr>
        <w:t>应用发布端需求</w:t>
      </w:r>
      <w:bookmarkEnd w:id="20"/>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本次项目主要建设1个未来社区智慧服务平台（社区级），涉及应用发布3个端，即治理端（</w:t>
      </w:r>
      <w:r>
        <w:rPr>
          <w:rFonts w:hint="eastAsia"/>
        </w:rPr>
        <w:t>兼顾</w:t>
      </w:r>
      <w:r>
        <w:t>浙政钉扫码登录-网页端）、运营端（社区管理运营主体入口-网页端）、服务端（浙里办、小程序）。</w:t>
      </w:r>
    </w:p>
    <w:p>
      <w:pPr>
        <w:keepNext w:val="0"/>
        <w:keepLines w:val="0"/>
        <w:pageBreakBefore w:val="0"/>
        <w:widowControl w:val="0"/>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ascii="Times New Roman"/>
        </w:rPr>
      </w:pPr>
      <w:bookmarkStart w:id="21" w:name="_Toc15404"/>
      <w:r>
        <w:rPr>
          <w:rFonts w:hint="eastAsia" w:ascii="Times New Roman"/>
          <w:lang w:val="en-US" w:eastAsia="zh-CN"/>
        </w:rPr>
        <w:t>4.3.3.2</w:t>
      </w:r>
      <w:r>
        <w:rPr>
          <w:rFonts w:ascii="Times New Roman"/>
        </w:rPr>
        <w:t>应用支撑需求</w:t>
      </w:r>
      <w:bookmarkEnd w:id="21"/>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依托宁波市智能公共数据平台的应用支撑体系，通过对接浙江省政务服务中台，为宁波市提供基础的支撑能力，对接浙政钉和服务网用户身份认证等系统，实现对用户信息的统一管理，集中统一的系统用户信息，为所有用户在平台内所有应用建立统一的认证，使用户使用统一账号密码登录系统；集中管理所有应用授权信息；为用户访问平台提供“一站式”体验。</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同时本项目需建设应用支撑系统，包括社区物联感知接入支撑系统、空间数据管理系统、社区业务数据管理系统、应用开放接口管理系统。</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1）社区物联感知接入支撑系统需求：基于社区管辖下物联网设备数量繁多、接入方式复杂、各自孤立等面临的实际困难，需要一个系统对社区物联网设备进行统一综合管控，并能为结合各个物联场景服务居民生活。</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（2）空间数据管理系统需求：空间数据管理系统需求：基于全省未来社区CIM基础平台的标准化空间服务能力，实现社区空间全要素数字化、全状态可视化、管理精细化。</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（3）社区业务数据管理系统需求：基于社区九大场景业务的复杂程度，以及需要对接来自不同数据来源的业务要求，需要一个系统针对社区基本单元的数据集中管控的系统来解决业务数据的储存和消费。</w:t>
      </w:r>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（4）应用开放接口管理系统需求：基于社区应用低本高效的接入大量第三方应用开发商的优质服务，需要构建一个开放性的应用管理平台，来帮助社区应用生态圈的形成。</w:t>
      </w:r>
    </w:p>
    <w:p>
      <w:pPr>
        <w:keepNext w:val="0"/>
        <w:keepLines w:val="0"/>
        <w:pageBreakBefore w:val="0"/>
        <w:widowControl w:val="0"/>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ascii="Times New Roman"/>
        </w:rPr>
      </w:pPr>
      <w:bookmarkStart w:id="22" w:name="_Toc10693"/>
      <w:r>
        <w:rPr>
          <w:rFonts w:hint="eastAsia" w:ascii="Times New Roman"/>
          <w:lang w:val="en-US" w:eastAsia="zh-CN"/>
        </w:rPr>
        <w:t>4.3.3.3</w:t>
      </w:r>
      <w:r>
        <w:rPr>
          <w:rFonts w:ascii="Times New Roman"/>
        </w:rPr>
        <w:t>数据资源需求</w:t>
      </w:r>
      <w:bookmarkEnd w:id="22"/>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本项目建设需要应用大量数据资源，数据主要管理单位涉及江北区大数据管理部门，数据来源涉及本地数据和服务数据两种方式，打通市、区、街道、社区四级数据通道，重点加强人口、房屋、社区资源和空间地理等基础数据以及各部门业务数据的整合共享。为更合理预估系统运行期间涉及到的数据资源，将信息按照基础数据、空间数据、应用场景数据、物联网上报数据、其他信息进行分类，并在估算时考虑结构化和非结构化存储方式。</w:t>
      </w:r>
    </w:p>
    <w:p>
      <w:pPr>
        <w:keepNext w:val="0"/>
        <w:keepLines w:val="0"/>
        <w:pageBreakBefore w:val="0"/>
        <w:widowControl w:val="0"/>
        <w:tabs>
          <w:tab w:val="left" w:pos="851"/>
        </w:tabs>
        <w:kinsoku/>
        <w:wordWrap/>
        <w:overflowPunct/>
        <w:topLinePunct w:val="0"/>
        <w:autoSpaceDE/>
        <w:autoSpaceDN/>
        <w:bidi w:val="0"/>
        <w:adjustRightInd/>
        <w:snapToGrid/>
        <w:spacing w:line="360" w:lineRule="auto"/>
        <w:ind w:leftChars="0" w:firstLine="420" w:firstLineChars="200"/>
        <w:jc w:val="both"/>
        <w:textAlignment w:val="auto"/>
        <w:outlineLvl w:val="9"/>
        <w:rPr>
          <w:rFonts w:ascii="Times New Roman"/>
        </w:rPr>
      </w:pPr>
      <w:bookmarkStart w:id="23" w:name="_Toc31251"/>
      <w:r>
        <w:rPr>
          <w:rFonts w:hint="eastAsia" w:ascii="Times New Roman"/>
          <w:lang w:val="en-US" w:eastAsia="zh-CN"/>
        </w:rPr>
        <w:t>4.3.3.5</w:t>
      </w:r>
      <w:r>
        <w:rPr>
          <w:rFonts w:ascii="Times New Roman"/>
        </w:rPr>
        <w:t>基础设施支撑需求</w:t>
      </w:r>
      <w:bookmarkEnd w:id="23"/>
    </w:p>
    <w:p>
      <w:pPr>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both"/>
        <w:textAlignment w:val="auto"/>
        <w:outlineLvl w:val="9"/>
      </w:pPr>
      <w:r>
        <w:t>依托宁波市智能公共数据平台的基础设施资源，如计算资源、数据库资源、存储资源、网络资源以及安全资源，来实现未来社区可视化应用、管理系统和服务系统等的部署。</w:t>
      </w:r>
    </w:p>
    <w:p>
      <w:pPr>
        <w:pStyle w:val="7"/>
        <w:pageBreakBefore w:val="0"/>
        <w:kinsoku/>
        <w:wordWrap/>
        <w:overflowPunct/>
        <w:topLinePunct w:val="0"/>
        <w:autoSpaceDE/>
        <w:autoSpaceDN/>
        <w:bidi w:val="0"/>
        <w:adjustRightInd/>
        <w:snapToGrid/>
        <w:ind w:firstLine="420" w:firstLineChars="200"/>
        <w:textAlignment w:val="auto"/>
        <w:rPr>
          <w:rFonts w:hint="default"/>
          <w:lang w:val="en-US" w:eastAsia="zh-CN"/>
        </w:rPr>
      </w:pPr>
      <w:bookmarkStart w:id="24" w:name="_Toc6990"/>
      <w:r>
        <w:rPr>
          <w:rFonts w:hint="eastAsia"/>
          <w:lang w:val="en-US" w:eastAsia="zh-CN"/>
        </w:rPr>
        <w:t>4.4系统性能需求</w:t>
      </w:r>
      <w:bookmarkEnd w:id="24"/>
      <w:r>
        <w:rPr>
          <w:rFonts w:hint="eastAsia"/>
          <w:lang w:val="en-US" w:eastAsia="zh-CN"/>
        </w:rPr>
        <w:t>分析</w:t>
      </w:r>
    </w:p>
    <w:p>
      <w:pPr>
        <w:pStyle w:val="8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pPr>
      <w:r>
        <w:t>系统设计合理、架构科学，具有一定的技术先进性、具有较高的适应性和灵活性。在符合技术要求的前提下，系统开发、引入的技术构件等采用目前主流产品和成熟的技术，综合利用水平上具有先进性，从而保证建成系统具有良好的稳定性、可扩展性和安全性。应用系统的性能应满足业务处理流程的要求，稳定、可靠、实用，人机界面友好，输入输出便捷，查询功能简单明了。提供丰富的功能和业务组件，保证灵活扩展，相关组件相互调用简单易用。系统采用WEB Service的形式提供数据服务，遵循OGC规范的WMS/WFS标准。系统运维管理操作简便，平台监控时效性高，对低质量服务和恶意访问及时提示管理员，并能有效、方便地进行控制和管理。</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25" w:name="_Toc26307100"/>
      <w:bookmarkStart w:id="26" w:name="_Toc10456"/>
      <w:bookmarkStart w:id="27" w:name="_Toc66898225"/>
      <w:bookmarkStart w:id="28" w:name="_Toc27175800"/>
      <w:r>
        <w:rPr>
          <w:rFonts w:hint="eastAsia" w:ascii="Times New Roman"/>
          <w:lang w:val="en-US" w:eastAsia="zh-CN"/>
        </w:rPr>
        <w:t>4.4.1</w:t>
      </w:r>
      <w:r>
        <w:rPr>
          <w:rFonts w:ascii="Times New Roman"/>
        </w:rPr>
        <w:t>并发用户数要求</w:t>
      </w:r>
      <w:bookmarkEnd w:id="25"/>
      <w:bookmarkEnd w:id="26"/>
      <w:bookmarkEnd w:id="27"/>
      <w:bookmarkEnd w:id="28"/>
    </w:p>
    <w:p>
      <w:pPr>
        <w:pStyle w:val="8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pPr>
      <w:r>
        <w:t>本项目中的大部分业务系统面向湾头</w:t>
      </w:r>
      <w:r>
        <w:rPr>
          <w:rFonts w:hint="eastAsia"/>
        </w:rPr>
        <w:t>片区</w:t>
      </w:r>
      <w:r>
        <w:t>居民、社区工作者使用，预估移动端使用用户数为</w:t>
      </w:r>
      <w:r>
        <w:rPr>
          <w:rFonts w:hint="eastAsia"/>
        </w:rPr>
        <w:t>16</w:t>
      </w:r>
      <w:r>
        <w:t>000人，最高并发访问量为</w:t>
      </w:r>
      <w:r>
        <w:rPr>
          <w:rFonts w:hint="eastAsia"/>
        </w:rPr>
        <w:t>10</w:t>
      </w:r>
      <w:r>
        <w:t>0，后台管理系统使用人数为</w:t>
      </w:r>
      <w:r>
        <w:rPr>
          <w:rFonts w:hint="eastAsia"/>
        </w:rPr>
        <w:t>10</w:t>
      </w:r>
      <w:r>
        <w:t>0人，最高并发量</w:t>
      </w:r>
      <w:r>
        <w:rPr>
          <w:rFonts w:hint="eastAsia"/>
        </w:rPr>
        <w:t>2</w:t>
      </w:r>
      <w:r>
        <w:t>0。</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29" w:name="_Toc30066"/>
      <w:r>
        <w:rPr>
          <w:rFonts w:hint="eastAsia" w:ascii="Times New Roman"/>
          <w:lang w:val="en-US" w:eastAsia="zh-CN"/>
        </w:rPr>
        <w:t>4.4.2</w:t>
      </w:r>
      <w:r>
        <w:rPr>
          <w:rFonts w:ascii="Times New Roman"/>
        </w:rPr>
        <w:t>响应时间要求</w:t>
      </w:r>
      <w:bookmarkEnd w:id="29"/>
    </w:p>
    <w:p>
      <w:pPr>
        <w:pStyle w:val="8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pPr>
      <w:r>
        <w:t>要求系统平均响应时间（ART） ≤5秒；</w:t>
      </w:r>
    </w:p>
    <w:p>
      <w:pPr>
        <w:pStyle w:val="8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pPr>
      <w:r>
        <w:t>要求系统一般最大响应时间（MRT）≤5秒；</w:t>
      </w:r>
    </w:p>
    <w:p>
      <w:pPr>
        <w:pStyle w:val="8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pPr>
      <w:r>
        <w:t>要求离线业务统计分析最大响应时间（MRT）≤2小时；</w:t>
      </w:r>
    </w:p>
    <w:p>
      <w:pPr>
        <w:pStyle w:val="8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pPr>
      <w:r>
        <w:t>要求系统在地图放大，缩小，平移等操作时，无明显延迟感，响应时间≤3秒。</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0" w:name="_Toc5422"/>
      <w:r>
        <w:rPr>
          <w:rFonts w:hint="eastAsia" w:ascii="Times New Roman"/>
          <w:lang w:val="en-US" w:eastAsia="zh-CN"/>
        </w:rPr>
        <w:t>4.4.3</w:t>
      </w:r>
      <w:r>
        <w:rPr>
          <w:rFonts w:ascii="Times New Roman"/>
        </w:rPr>
        <w:t>系统资源利用率</w:t>
      </w:r>
      <w:bookmarkEnd w:id="30"/>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要求系统可对常见系统资源进行监控，包括：CPU占用率、内存使用率、磁盘I/O、网络I/O；</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要求依据资源利用率情况及时进行预警或自动切换负载；</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系统设计应满足未来5年内年增长20%的处理能力要求；</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应用系统并发数设计应该支持30%的冗余，保证系统在业务高峰期间稳定运行；</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服务器忙时CPU占用率＜70%。</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1" w:name="_Toc13774"/>
      <w:r>
        <w:rPr>
          <w:rFonts w:hint="eastAsia" w:ascii="Times New Roman"/>
          <w:lang w:val="en-US" w:eastAsia="zh-CN"/>
        </w:rPr>
        <w:t>4.4.4</w:t>
      </w:r>
      <w:r>
        <w:rPr>
          <w:rFonts w:ascii="Times New Roman"/>
        </w:rPr>
        <w:t>系统容错性要求</w:t>
      </w:r>
      <w:bookmarkEnd w:id="31"/>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核心应用要求多活，避免单点设计，自身有容错和修复能力；</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平台须具备数据冗余机制，数据存储的副本数可以设置，读写分离，冷热数据分离；应用出现问题时，要求能回滚到上一版本，或做功能开关或降级；确保系统的保密性能完整性，要求具有足够的防攻击能力。</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2" w:name="_Toc25380"/>
      <w:r>
        <w:rPr>
          <w:rFonts w:hint="eastAsia" w:ascii="Times New Roman"/>
          <w:lang w:val="en-US" w:eastAsia="zh-CN"/>
        </w:rPr>
        <w:t>4.4.5</w:t>
      </w:r>
      <w:r>
        <w:rPr>
          <w:rFonts w:ascii="Times New Roman"/>
        </w:rPr>
        <w:t>国产化支持要求</w:t>
      </w:r>
      <w:bookmarkEnd w:id="32"/>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系统应支持国产与非国产设备兼容访问。所有定制化的软件系统，均要求兼容用户端的国产化终端环境（如服务器、数据库、中间件、操作系统等），可使用国产化终端办公终端正常运行系统。</w:t>
      </w:r>
    </w:p>
    <w:p>
      <w:pPr>
        <w:pStyle w:val="7"/>
        <w:pageBreakBefore w:val="0"/>
        <w:kinsoku/>
        <w:wordWrap/>
        <w:overflowPunct/>
        <w:topLinePunct w:val="0"/>
        <w:autoSpaceDE/>
        <w:autoSpaceDN/>
        <w:bidi w:val="0"/>
        <w:adjustRightInd/>
        <w:snapToGrid/>
        <w:ind w:firstLine="420" w:firstLineChars="200"/>
        <w:textAlignment w:val="auto"/>
        <w:rPr>
          <w:rFonts w:hint="eastAsia"/>
          <w:lang w:val="en-US" w:eastAsia="zh-CN"/>
        </w:rPr>
      </w:pPr>
      <w:bookmarkStart w:id="33" w:name="_Toc16757"/>
      <w:r>
        <w:rPr>
          <w:rFonts w:hint="eastAsia"/>
          <w:lang w:val="en-US" w:eastAsia="zh-CN"/>
        </w:rPr>
        <w:t>4.5安全需求分析</w:t>
      </w:r>
      <w:bookmarkEnd w:id="33"/>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按照国家信息安全等级保护要求，结合宁波数字化建设总体部署，加快未来社区智慧服务平台网络与信息安全基础设施建设，建立完善网络安全保障机制，提高社区信息基础设施、数据资源、系统平台的安全保障能力。一是建立健全网络安全防护制度，在遵循国家、浙江省、宁波市安全策略和管控要求的基础上，制定未来社区智慧服务平台网络信息安全保护政策及实施办法，明确各级各部门责任主体，确保各项制度全面落实。二是加强网络安全技术防护，基于现有网络安全技术体系架构，构建“云网端”一体化安全防护技术体系，加强边界防护、远程访问权限管理，防范外部攻击和渗透，实施账号密码管理、数字身份认证、数据存储加密、容灾备份、流量监控等安全策略，防止数据外泄。三是提升网络安全态势感知和应急处置能力，强化安全分析早期预警、安全事件及时感知、渗透攻击有效阻断、事中事后完整追溯的四位一体网络安全防护体系，加强网络信息安全实时监测、防护评测、应急演练，提升基层信息安全预警、响应和处理能力。</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rPr>
          <w:szCs w:val="24"/>
        </w:rPr>
      </w:pPr>
      <w:r>
        <w:t>本项目建设需满足信息安全等级保护2.0</w:t>
      </w:r>
      <w:r>
        <w:rPr>
          <w:rFonts w:hint="eastAsia"/>
        </w:rPr>
        <w:t>二</w:t>
      </w:r>
      <w:r>
        <w:t>级要求。其中，安全物理环境、安全通信环境、安全区域边界、安全技术计算环境、安全管理中心主要依托市电子政务网、市电子政务云平台进行建设，应用层面做好访问控制、身份鉴别、恶意代码防范、入侵防范、安全审计、数据保密、数据安全及备份恢复等方面建设。</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4" w:name="_Toc30647"/>
      <w:r>
        <w:rPr>
          <w:rFonts w:hint="eastAsia" w:ascii="Times New Roman"/>
          <w:lang w:val="en-US" w:eastAsia="zh-CN"/>
        </w:rPr>
        <w:t>4.5.1</w:t>
      </w:r>
      <w:r>
        <w:rPr>
          <w:rFonts w:ascii="Times New Roman"/>
        </w:rPr>
        <w:t>部署安全需求</w:t>
      </w:r>
      <w:bookmarkEnd w:id="34"/>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本项目分业务应用系统（面向政府部门）和服务端应用（面向社会公众），分别部署在市政务云的政务外网资源共享区和公众服务区上，两个部分的应用程序、配置文件和数据库需分别部署，不能共用。</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5" w:name="_Toc5310"/>
      <w:r>
        <w:rPr>
          <w:rFonts w:hint="eastAsia" w:ascii="Times New Roman"/>
          <w:lang w:val="en-US" w:eastAsia="zh-CN"/>
        </w:rPr>
        <w:t>4.5.2</w:t>
      </w:r>
      <w:r>
        <w:rPr>
          <w:rFonts w:ascii="Times New Roman"/>
        </w:rPr>
        <w:t>应用安全需求</w:t>
      </w:r>
      <w:bookmarkEnd w:id="35"/>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通过专业的应用安全团队对业务系统应用进行漏洞扫描检测、上线安全测评、人工渗透测试。应对各业务进行统一防护。通过使用黑白名单的方式，对学习模式获取的变量长度、类型、规则进行定义，从而输出匹配规则进行防护。安全策略由安全专家根据日常的安全防护日志记录进行不断更新调优。在遭受新型攻击时，安全专家保证防护策略可优先代码修复，实现0day的防护能力。通过制定不同的安全标准，实现整体应用安全管理：</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应用安全管控标准：定义应用安全的过程文档、开发环境、代码安全、需求分析、安全设计、数据安全设计、安全检测、安全发布进行完整的要求说明。</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应用安全管理规范：主要规定应用上线应进行安全检测和审批，对审批的流程和角色进行定义。在产品进行功能需求、架构设计时，需进行安全评审，规范应用系统变更、维护的原则，对敏感系统隔离进行说明。</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配置变更安全管理：应用配置变更的安全管理，负责对版本变更、应用的文件数据变更、开发需求变更等进行详细的变更流程设计，加入安全审计。</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源代码安全管理：使得源代码的安全使用可跟踪。</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6" w:name="_Toc9201"/>
      <w:r>
        <w:rPr>
          <w:rFonts w:hint="eastAsia" w:ascii="Times New Roman"/>
          <w:lang w:val="en-US" w:eastAsia="zh-CN"/>
        </w:rPr>
        <w:t>4.5.3</w:t>
      </w:r>
      <w:r>
        <w:rPr>
          <w:rFonts w:ascii="Times New Roman"/>
        </w:rPr>
        <w:t>应用访问安全</w:t>
      </w:r>
      <w:bookmarkEnd w:id="36"/>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设置登录次数限制，对登录用户进行标识，只允许同一时间同一来源只有该用户登录；</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设置严格的密码管理和访问策略；</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设置认证失败处理和超时退出措施；</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重要应用系统需要设置双因子认证，对同一用户采用两种或两种以上组合的鉴别技术实现用户身份鉴别；</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依据安全策略控制用户对客体的访问；</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提供登录失败处理，可采取结束会话、限制非法登录次数和自动退出等措施；</w:t>
      </w:r>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启用身份鉴别、用户身份标识唯一性检查、用户身份鉴别信息复杂度检查以及登录失败处理，并根据安全策略配置相关参数。</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7" w:name="_Toc4722"/>
      <w:r>
        <w:rPr>
          <w:rFonts w:hint="eastAsia" w:ascii="Times New Roman"/>
          <w:lang w:val="en-US" w:eastAsia="zh-CN"/>
        </w:rPr>
        <w:t>4.5.4</w:t>
      </w:r>
      <w:r>
        <w:rPr>
          <w:rFonts w:ascii="Times New Roman"/>
        </w:rPr>
        <w:t>数据安全需求</w:t>
      </w:r>
      <w:bookmarkEnd w:id="37"/>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数据是应用系统的基础，要从授权管理、数据加密、数据脱敏、使用留痕等方面加强数据安全。</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 xml:space="preserve">授权管理。信用信息按照社会公开、政务共享、授权使用三大类进行管理，每一类还需对每个指标集设置更细的权限，如是否可以列表显示、是否可以查询。 </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数据加密。部署在互联网区域的数据库原则上要求加密，至少要对信用主体标识信息及有关自然人信用信息进行加密。有条件的市也可对政务网上的数据库进行加密。</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数据“脱敏”。在对外公示时，身份证号码、电话号码等敏感数据需进行“脱敏”处理，如将部分字符以*号代替。</w:t>
      </w:r>
    </w:p>
    <w:p>
      <w:pPr>
        <w:pStyle w:val="271"/>
        <w:pageBreakBefore w:val="0"/>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hAnsi="Times New Roman"/>
        </w:rPr>
      </w:pPr>
      <w:r>
        <w:rPr>
          <w:rFonts w:ascii="Times New Roman" w:hAnsi="Times New Roman"/>
        </w:rPr>
        <w:t>使用留痕。各部门对信用信息的使用都需要记录，包括申请使用权限、查询数据、交换数据、通过接口使用数据、下载数据，记录的数据项包括登录名、部门名、时间、IP地址等。对于网站上的信用信息查询，也需记录查询者的IP和时间。</w:t>
      </w:r>
    </w:p>
    <w:p>
      <w:pPr>
        <w:pageBreakBefore w:val="0"/>
        <w:tabs>
          <w:tab w:val="left" w:pos="851"/>
        </w:tabs>
        <w:kinsoku/>
        <w:wordWrap/>
        <w:overflowPunct/>
        <w:topLinePunct w:val="0"/>
        <w:autoSpaceDE/>
        <w:autoSpaceDN/>
        <w:bidi w:val="0"/>
        <w:adjustRightInd/>
        <w:snapToGrid/>
        <w:spacing w:line="360" w:lineRule="auto"/>
        <w:ind w:firstLine="420" w:firstLineChars="200"/>
        <w:jc w:val="both"/>
        <w:textAlignment w:val="auto"/>
        <w:outlineLvl w:val="9"/>
        <w:rPr>
          <w:rFonts w:ascii="Times New Roman"/>
        </w:rPr>
      </w:pPr>
      <w:bookmarkStart w:id="38" w:name="_Toc17870"/>
      <w:r>
        <w:rPr>
          <w:rFonts w:hint="eastAsia" w:ascii="Times New Roman"/>
          <w:lang w:val="en-US" w:eastAsia="zh-CN"/>
        </w:rPr>
        <w:t>4.4.5</w:t>
      </w:r>
      <w:r>
        <w:rPr>
          <w:rFonts w:ascii="Times New Roman"/>
        </w:rPr>
        <w:t>信息安全等级保护需求</w:t>
      </w:r>
      <w:bookmarkEnd w:id="38"/>
    </w:p>
    <w:p>
      <w:pPr>
        <w:pageBreakBefore w:val="0"/>
        <w:kinsoku/>
        <w:wordWrap/>
        <w:overflowPunct/>
        <w:topLinePunct w:val="0"/>
        <w:autoSpaceDE/>
        <w:autoSpaceDN/>
        <w:bidi w:val="0"/>
        <w:adjustRightInd/>
        <w:snapToGrid/>
        <w:spacing w:line="360" w:lineRule="auto"/>
        <w:ind w:firstLine="420" w:firstLineChars="200"/>
        <w:jc w:val="both"/>
        <w:textAlignment w:val="auto"/>
        <w:outlineLvl w:val="9"/>
      </w:pPr>
      <w:r>
        <w:t>依据《信息安全技术网络安全等级保护定级指南》（GB/T 22240-2020）的定级流程得出系统自定级结果及定级理由，按照《信息安全技术网络安全等级保护基本要求》（GB/T 22239-2019）及相关文件要求，遵循规范的流程，按照公安部及省公安厅信息安全等级保护工作相关要求，开展信息系统等级保护测评工作，本项目验收之前经过第三方测评机构进行信息系统安全等级保护测评，并提供加盖有第三方测评机构专用章的测评报告。</w:t>
      </w:r>
    </w:p>
    <w:p>
      <w:r>
        <w:br w:type="page"/>
      </w:r>
    </w:p>
    <w:p>
      <w:pPr>
        <w:pStyle w:val="6"/>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lang w:val="en-US" w:eastAsia="zh-CN"/>
        </w:rPr>
      </w:pPr>
      <w:bookmarkStart w:id="39" w:name="_Toc4666"/>
      <w:r>
        <w:rPr>
          <w:rFonts w:hint="eastAsia" w:ascii="宋体" w:hAnsi="宋体" w:eastAsia="宋体" w:cs="宋体"/>
          <w:sz w:val="21"/>
          <w:szCs w:val="21"/>
          <w:lang w:val="en-US" w:eastAsia="zh-CN"/>
        </w:rPr>
        <w:t>5.详细方案设计</w:t>
      </w:r>
    </w:p>
    <w:p>
      <w:pPr>
        <w:pStyle w:val="6"/>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w:t>
      </w:r>
      <w:r>
        <w:rPr>
          <w:rFonts w:hint="eastAsia" w:ascii="宋体" w:hAnsi="宋体" w:eastAsia="宋体" w:cs="宋体"/>
          <w:sz w:val="21"/>
          <w:szCs w:val="21"/>
        </w:rPr>
        <w:t>业务应用层设计</w:t>
      </w:r>
      <w:bookmarkEnd w:id="39"/>
    </w:p>
    <w:p>
      <w:pPr>
        <w:pStyle w:val="7"/>
        <w:pageBreakBefore w:val="0"/>
        <w:widowControl w:val="0"/>
        <w:tabs>
          <w:tab w:val="left" w:pos="851"/>
        </w:tabs>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bookmarkStart w:id="40" w:name="_Toc12099"/>
      <w:r>
        <w:rPr>
          <w:rFonts w:hint="eastAsia" w:ascii="宋体" w:hAnsi="宋体" w:eastAsia="宋体" w:cs="宋体"/>
          <w:sz w:val="21"/>
          <w:szCs w:val="21"/>
          <w:lang w:val="en-US" w:eastAsia="zh-CN"/>
        </w:rPr>
        <w:t>5.1.1</w:t>
      </w:r>
      <w:r>
        <w:rPr>
          <w:rFonts w:hint="eastAsia" w:ascii="宋体" w:hAnsi="宋体" w:eastAsia="宋体" w:cs="宋体"/>
          <w:sz w:val="21"/>
          <w:szCs w:val="21"/>
        </w:rPr>
        <w:t>未来社区服务应用系统</w:t>
      </w:r>
      <w:bookmarkEnd w:id="40"/>
    </w:p>
    <w:p>
      <w:pPr>
        <w:pStyle w:val="8"/>
        <w:pageBreakBefore w:val="0"/>
        <w:widowControl w:val="0"/>
        <w:tabs>
          <w:tab w:val="left" w:pos="2127"/>
        </w:tabs>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系统概述</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未来社区服务应用系统以移动端（浙里办、小程序）为载体，主要用户对象为社区居民，服务应用以未来社区九大场景为划分。在落实未来社区分项指标过程中，突出智慧互联，注重数字技术在社区建设运营中的应用，利用物联网、大数据、人工智能等先进技术赋能九大场景创新集成落地，打造数字孪生社区。通过线上的未来社区服务应用系统，叠加邻里中心和公共服务空间等线下设施，将旧改新建区域整合于一体，实现线上线下服务设施全社区普惠共享，构建较完备的社区生活圈。</w:t>
      </w:r>
    </w:p>
    <w:p>
      <w:pPr>
        <w:pStyle w:val="8"/>
        <w:pageBreakBefore w:val="0"/>
        <w:widowControl w:val="0"/>
        <w:tabs>
          <w:tab w:val="left" w:pos="2127"/>
        </w:tabs>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功能架构</w:t>
      </w:r>
    </w:p>
    <w:p>
      <w:pPr>
        <w:spacing w:before="160" w:after="120" w:line="240" w:lineRule="auto"/>
        <w:ind w:firstLine="0" w:firstLineChars="0"/>
        <w:rPr>
          <w:sz w:val="21"/>
          <w:szCs w:val="21"/>
        </w:rPr>
      </w:pPr>
      <w:r>
        <w:rPr>
          <w:sz w:val="21"/>
          <w:szCs w:val="21"/>
        </w:rPr>
        <w:drawing>
          <wp:inline distT="0" distB="0" distL="0" distR="0">
            <wp:extent cx="5274310" cy="2799715"/>
            <wp:effectExtent l="0" t="0" r="889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2799715"/>
                    </a:xfrm>
                    <a:prstGeom prst="rect">
                      <a:avLst/>
                    </a:prstGeom>
                  </pic:spPr>
                </pic:pic>
              </a:graphicData>
            </a:graphic>
          </wp:inline>
        </w:drawing>
      </w:r>
    </w:p>
    <w:p>
      <w:pPr>
        <w:spacing w:before="160" w:after="120" w:line="240" w:lineRule="auto"/>
        <w:ind w:firstLine="0" w:firstLineChars="0"/>
        <w:jc w:val="center"/>
        <w:rPr>
          <w:sz w:val="21"/>
          <w:szCs w:val="21"/>
        </w:rPr>
      </w:pPr>
      <w:r>
        <w:rPr>
          <w:sz w:val="21"/>
          <w:szCs w:val="21"/>
        </w:rPr>
        <w:t xml:space="preserve">图 </w:t>
      </w:r>
      <w:r>
        <w:rPr>
          <w:sz w:val="21"/>
          <w:szCs w:val="21"/>
        </w:rPr>
        <w:fldChar w:fldCharType="begin"/>
      </w:r>
      <w:r>
        <w:rPr>
          <w:sz w:val="21"/>
          <w:szCs w:val="21"/>
        </w:rPr>
        <w:instrText xml:space="preserve"> STYLEREF 1 \s </w:instrText>
      </w:r>
      <w:r>
        <w:rPr>
          <w:sz w:val="21"/>
          <w:szCs w:val="21"/>
        </w:rPr>
        <w:fldChar w:fldCharType="separate"/>
      </w:r>
      <w:r>
        <w:rPr>
          <w:sz w:val="21"/>
          <w:szCs w:val="21"/>
        </w:rPr>
        <w:t>6</w:t>
      </w:r>
      <w:r>
        <w:rPr>
          <w:sz w:val="21"/>
          <w:szCs w:val="21"/>
        </w:rPr>
        <w:fldChar w:fldCharType="end"/>
      </w:r>
      <w:r>
        <w:rPr>
          <w:sz w:val="21"/>
          <w:szCs w:val="21"/>
        </w:rPr>
        <w:noBreakHyphen/>
      </w:r>
      <w:r>
        <w:rPr>
          <w:sz w:val="21"/>
          <w:szCs w:val="21"/>
        </w:rPr>
        <w:fldChar w:fldCharType="begin"/>
      </w:r>
      <w:r>
        <w:rPr>
          <w:sz w:val="21"/>
          <w:szCs w:val="21"/>
        </w:rPr>
        <w:instrText xml:space="preserve"> SEQ 图 \* ARABIC \s 1 </w:instrText>
      </w:r>
      <w:r>
        <w:rPr>
          <w:sz w:val="21"/>
          <w:szCs w:val="21"/>
        </w:rPr>
        <w:fldChar w:fldCharType="separate"/>
      </w:r>
      <w:r>
        <w:rPr>
          <w:sz w:val="21"/>
          <w:szCs w:val="21"/>
        </w:rPr>
        <w:t>7</w:t>
      </w:r>
      <w:r>
        <w:rPr>
          <w:sz w:val="21"/>
          <w:szCs w:val="21"/>
        </w:rPr>
        <w:fldChar w:fldCharType="end"/>
      </w:r>
      <w:r>
        <w:rPr>
          <w:sz w:val="21"/>
          <w:szCs w:val="21"/>
        </w:rPr>
        <w:t xml:space="preserve"> 未来社区服务应用系统功能架构</w:t>
      </w:r>
    </w:p>
    <w:p>
      <w:pPr>
        <w:pStyle w:val="8"/>
        <w:pageBreakBefore w:val="0"/>
        <w:tabs>
          <w:tab w:val="left" w:pos="2127"/>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功能设计</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w:t>
      </w:r>
      <w:r>
        <w:rPr>
          <w:rFonts w:hint="eastAsia" w:ascii="宋体" w:hAnsi="宋体" w:eastAsia="宋体" w:cs="宋体"/>
          <w:sz w:val="21"/>
          <w:szCs w:val="21"/>
        </w:rPr>
        <w:t>基本功能</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3.1.1</w:t>
      </w:r>
      <w:r>
        <w:rPr>
          <w:rFonts w:hint="eastAsia" w:ascii="宋体" w:hAnsi="宋体" w:eastAsia="宋体" w:cs="宋体"/>
          <w:sz w:val="21"/>
          <w:szCs w:val="21"/>
        </w:rPr>
        <w:t>首页</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小程序首页集成顶部Banner栏、个人信息、我的账户、去签到、活动广场、应用配置区、湾头超话、湾头福利社、湾头广播站这几大主要栏目。</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3.1.2</w:t>
      </w:r>
      <w:r>
        <w:rPr>
          <w:rFonts w:hint="eastAsia" w:ascii="宋体" w:hAnsi="宋体" w:eastAsia="宋体" w:cs="宋体"/>
          <w:sz w:val="21"/>
          <w:szCs w:val="21"/>
        </w:rPr>
        <w:t>活动</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活动页面主要展示活动广场中的活动内容，分为热门活动、幸福学堂和时间银行等。</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3.1.3</w:t>
      </w:r>
      <w:r>
        <w:rPr>
          <w:rFonts w:hint="eastAsia" w:ascii="宋体" w:hAnsi="宋体" w:eastAsia="宋体" w:cs="宋体"/>
          <w:sz w:val="21"/>
          <w:szCs w:val="21"/>
        </w:rPr>
        <w:t>福利</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展示积分商城首页，包含个人总积分、个人可用积分、积分明细、积分排行榜、我的订单、积分商城商品展示区、积分获取规则等。</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3.1.4</w:t>
      </w:r>
      <w:r>
        <w:rPr>
          <w:rFonts w:hint="eastAsia" w:ascii="宋体" w:hAnsi="宋体" w:eastAsia="宋体" w:cs="宋体"/>
          <w:sz w:val="21"/>
          <w:szCs w:val="21"/>
        </w:rPr>
        <w:t>我的</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个人信息页面，包含个人姓名、个人头像、个人标签、房号信息、个人积分值、我的订单、我报名的活动等。</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邻里场景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邻里场景应用，在小程序首页应用配置区。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社区达人</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整合社区内有特长或有影响力的居民，申请成为社区达人后能够自行发起社区活动，增加社区活跃度促进增加邻里关系。</w:t>
      </w:r>
    </w:p>
    <w:p>
      <w:pPr>
        <w:pageBreakBefore w:val="0"/>
        <w:numPr>
          <w:ilvl w:val="0"/>
          <w:numId w:val="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达人申请：居民通过小程序端进行达人信息的填报，提交申请后由后台工作人员审。</w:t>
      </w:r>
    </w:p>
    <w:p>
      <w:pPr>
        <w:pageBreakBefore w:val="0"/>
        <w:numPr>
          <w:ilvl w:val="0"/>
          <w:numId w:val="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达人发起活动：已经成为达人的居民，可以在小程序发布活动信息，通过审核后社区内的其他居民可以报名参加。</w:t>
      </w:r>
    </w:p>
    <w:p>
      <w:pPr>
        <w:pageBreakBefore w:val="0"/>
        <w:numPr>
          <w:ilvl w:val="0"/>
          <w:numId w:val="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达人风采展示：展示达人优秀事迹、所举办活动的精彩瞬间。</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投票表决</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进行社区公共空间改造、社区民主决议、小区物业费调整、社区体育设施优化、社区文化活动提升公共事务投票，听取居民意见反馈，一事一议。</w:t>
      </w:r>
    </w:p>
    <w:p>
      <w:pPr>
        <w:pageBreakBefore w:val="0"/>
        <w:numPr>
          <w:ilvl w:val="0"/>
          <w:numId w:val="1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投票事项公告：查看由社区物业管理人员发布的各类投票表决事项。</w:t>
      </w:r>
    </w:p>
    <w:p>
      <w:pPr>
        <w:pageBreakBefore w:val="0"/>
        <w:numPr>
          <w:ilvl w:val="0"/>
          <w:numId w:val="1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查看投票信息：查看已经发布的全部投票表决信息，点击列表查看投票详情。</w:t>
      </w:r>
    </w:p>
    <w:p>
      <w:pPr>
        <w:pageBreakBefore w:val="0"/>
        <w:numPr>
          <w:ilvl w:val="0"/>
          <w:numId w:val="1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投票：在投票详情页面，点击各选项完成投票动作。</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活动广场</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活动广场应用作为未来社区各类活动的入口，业主可以通过小程序进行活动报名、报名管理、活动回顾等操作；由社区运营管理人员在管理后台发布和管理活动内容。</w:t>
      </w:r>
    </w:p>
    <w:p>
      <w:pPr>
        <w:pageBreakBefore w:val="0"/>
        <w:widowControl/>
        <w:numPr>
          <w:ilvl w:val="0"/>
          <w:numId w:val="1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活动内容展示：展示活动头图、活动主题、报名时间、活动时间、活动地点、可报名人数等信息。</w:t>
      </w:r>
    </w:p>
    <w:p>
      <w:pPr>
        <w:pageBreakBefore w:val="0"/>
        <w:widowControl/>
        <w:numPr>
          <w:ilvl w:val="0"/>
          <w:numId w:val="1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活动报名：在编辑报名者信息后，可以为个人或者他人进行活动报名。</w:t>
      </w:r>
    </w:p>
    <w:p>
      <w:pPr>
        <w:pageBreakBefore w:val="0"/>
        <w:widowControl/>
        <w:numPr>
          <w:ilvl w:val="0"/>
          <w:numId w:val="1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个人报名管理：管理自己的活动报名情况，可以查看已经报名的活动，支持取消报名。</w:t>
      </w:r>
    </w:p>
    <w:p>
      <w:pPr>
        <w:pageBreakBefore w:val="0"/>
        <w:widowControl/>
        <w:numPr>
          <w:ilvl w:val="0"/>
          <w:numId w:val="1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活动内容回顾：回顾活动过程，能够展示视频、文字和图片。</w:t>
      </w:r>
    </w:p>
    <w:p>
      <w:pPr>
        <w:pageBreakBefore w:val="0"/>
        <w:numPr>
          <w:ilvl w:val="0"/>
          <w:numId w:val="1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活动扫码签到：已经报名的活动可以在现场通过扫码二维码获得活动的参与积分。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场馆预约</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提供区级场馆、街道级场馆、社区级场馆等场馆综合在线预约服务。</w:t>
      </w:r>
    </w:p>
    <w:p>
      <w:pPr>
        <w:pageBreakBefore w:val="0"/>
        <w:numPr>
          <w:ilvl w:val="0"/>
          <w:numId w:val="1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场馆列表：查看可预约的场馆信息。</w:t>
      </w:r>
    </w:p>
    <w:p>
      <w:pPr>
        <w:pageBreakBefore w:val="0"/>
        <w:numPr>
          <w:ilvl w:val="0"/>
          <w:numId w:val="1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预约场馆：点击场馆详情，根据场馆配置的信息进行预约，主要分为：场次预约、电话预约、第三方预约界面接入、文字说明四种方式。</w:t>
      </w:r>
    </w:p>
    <w:p>
      <w:pPr>
        <w:pageBreakBefore w:val="0"/>
        <w:numPr>
          <w:ilvl w:val="0"/>
          <w:numId w:val="1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我的预约：查看我预约的场馆信息，支持取消预约。</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湾头社群</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打造湾头社区的各类特色社群，将社区中有共同追求、共同理想、共同目标、共同兴趣的人汇集在一起，实现了人与人、人与物之间的连接。促进居民间邻里关系，提升社区档次。</w:t>
      </w:r>
    </w:p>
    <w:p>
      <w:pPr>
        <w:pageBreakBefore w:val="0"/>
        <w:numPr>
          <w:ilvl w:val="0"/>
          <w:numId w:val="1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社群展示：查看社群列表及社群详情，展示社群基本信息，包含社群负责人、社群参与人数、社群组织方、社群成立时间、社群成员信息。</w:t>
      </w:r>
    </w:p>
    <w:p>
      <w:pPr>
        <w:pageBreakBefore w:val="0"/>
        <w:numPr>
          <w:ilvl w:val="0"/>
          <w:numId w:val="1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社群申请：根据居民喜好，可以自行选择社群提交申请加入。</w:t>
      </w:r>
    </w:p>
    <w:p>
      <w:pPr>
        <w:pageBreakBefore w:val="0"/>
        <w:numPr>
          <w:ilvl w:val="0"/>
          <w:numId w:val="1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社群审核：社群负责人可以对社群用户进行管理，支持通过申请、驳回申请、人员踢除操作。</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邻里公约</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线上发布邻里公约信息，支持居民在小程序端进行公约的查看和签订，发挥居民的主人翁精神，自觉遵守公约，大家一起努力创建一个和谐文明的品质社区。</w:t>
      </w:r>
    </w:p>
    <w:p>
      <w:pPr>
        <w:pageBreakBefore w:val="0"/>
        <w:numPr>
          <w:ilvl w:val="0"/>
          <w:numId w:val="1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邻里公约展示：查看邻里公约条款明细</w:t>
      </w:r>
    </w:p>
    <w:p>
      <w:pPr>
        <w:pageBreakBefore w:val="0"/>
        <w:numPr>
          <w:ilvl w:val="0"/>
          <w:numId w:val="1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签约功能：支持在线手写签名落款，完成邻里公约签约动作。</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每日签到</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居民可以每日在小程序端进行打卡签到，获取积分。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iNingbo免费上网</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接入iNingbo免费上网应用，提供免费上网。</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3.3</w:t>
      </w:r>
      <w:r>
        <w:rPr>
          <w:rFonts w:hint="eastAsia" w:ascii="宋体" w:hAnsi="宋体" w:eastAsia="宋体" w:cs="宋体"/>
          <w:sz w:val="21"/>
          <w:szCs w:val="21"/>
        </w:rPr>
        <w:t>教育场景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健康场景应用，在小程序首页应用配置区。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教育地图</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提供周边博物馆、美术馆、科技馆、户外营地等场所预约入口</w:t>
      </w:r>
    </w:p>
    <w:p>
      <w:pPr>
        <w:pageBreakBefore w:val="0"/>
        <w:numPr>
          <w:ilvl w:val="0"/>
          <w:numId w:val="1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场馆列表：查看可预约的场馆信息。</w:t>
      </w:r>
    </w:p>
    <w:p>
      <w:pPr>
        <w:pageBreakBefore w:val="0"/>
        <w:numPr>
          <w:ilvl w:val="0"/>
          <w:numId w:val="1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预约场馆：点击场馆详情，根据场馆配置的信息进行预约，主要分为：场次预约、电话预约、第三方预约界面接入、文字说明四种方式。</w:t>
      </w:r>
    </w:p>
    <w:p>
      <w:pPr>
        <w:pageBreakBefore w:val="0"/>
        <w:numPr>
          <w:ilvl w:val="0"/>
          <w:numId w:val="1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我的预约：查看我预约的场馆信息，支持取消预约。</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湾头托幼</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为完善托幼业务闭环，为居民提供在线托幼课程查看、托幼申请、托幼监控查看等功能</w:t>
      </w:r>
    </w:p>
    <w:p>
      <w:pPr>
        <w:pageBreakBefore w:val="0"/>
        <w:numPr>
          <w:ilvl w:val="0"/>
          <w:numId w:val="1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托幼课程列表：查看托幼课程信息</w:t>
      </w:r>
    </w:p>
    <w:p>
      <w:pPr>
        <w:pageBreakBefore w:val="0"/>
        <w:numPr>
          <w:ilvl w:val="0"/>
          <w:numId w:val="1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托幼预约：提交课程申请，待审核通过后可以在课程开课期间查看对应托幼场所的监控情况，实时掌握孩子的托幼情况。</w:t>
      </w:r>
    </w:p>
    <w:p>
      <w:pPr>
        <w:pageBreakBefore w:val="0"/>
        <w:numPr>
          <w:ilvl w:val="0"/>
          <w:numId w:val="1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我的预约：查看自己的托幼申请数据，及每条申请的处理状态。</w:t>
      </w:r>
    </w:p>
    <w:p>
      <w:pPr>
        <w:pageBreakBefore w:val="0"/>
        <w:numPr>
          <w:ilvl w:val="0"/>
          <w:numId w:val="1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托幼审核：管理人员通过小程序进行托幼申请的审核、驳回操作。</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幸福学堂</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为丰富社区居民的业余生活，不定期开展幸福学堂课程活动，线上报名，线下活动。</w:t>
      </w:r>
    </w:p>
    <w:p>
      <w:pPr>
        <w:pageBreakBefore w:val="0"/>
        <w:widowControl/>
        <w:numPr>
          <w:ilvl w:val="0"/>
          <w:numId w:val="1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活动内容展示：展示活动头图、活动主题、报名时间、活动时间、活动地点、可报名人数等信息。</w:t>
      </w:r>
    </w:p>
    <w:p>
      <w:pPr>
        <w:pageBreakBefore w:val="0"/>
        <w:widowControl/>
        <w:numPr>
          <w:ilvl w:val="0"/>
          <w:numId w:val="1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活动报名：在编辑报名者信息后，可以为个人或者他人进行活动报名。</w:t>
      </w:r>
    </w:p>
    <w:p>
      <w:pPr>
        <w:pageBreakBefore w:val="0"/>
        <w:numPr>
          <w:ilvl w:val="0"/>
          <w:numId w:val="1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个人报名管理：管理自己的活动报名情况，可以查看已经报名的活动，支持取消报名。</w:t>
      </w:r>
    </w:p>
    <w:p>
      <w:pPr>
        <w:pageBreakBefore w:val="0"/>
        <w:widowControl/>
        <w:numPr>
          <w:ilvl w:val="0"/>
          <w:numId w:val="1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活动内容回顾：回顾活动过程，能够展示视频、文字和图片。</w:t>
      </w:r>
    </w:p>
    <w:p>
      <w:pPr>
        <w:pageBreakBefore w:val="0"/>
        <w:numPr>
          <w:ilvl w:val="0"/>
          <w:numId w:val="1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活动扫码签到：已经报名的活动可以在现场通过扫码二维码获得活动的参与积分。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甬上云校</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接入宁波市级统一教育平台-甬上云校，为社区内的学生提供在线教育资源，</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支持在线课程查询和学习。</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听广播</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接入听广播的应用，提供在线听广播功能。</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看电视</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接入看电视的应用，提供在线看电视功能。</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3.4</w:t>
      </w:r>
      <w:r>
        <w:rPr>
          <w:rFonts w:hint="eastAsia" w:ascii="宋体" w:hAnsi="宋体" w:eastAsia="宋体" w:cs="宋体"/>
          <w:sz w:val="21"/>
          <w:szCs w:val="21"/>
        </w:rPr>
        <w:t>健康场景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健康场景应用，在小程序首页应用配置区。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湾头健康</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湾头健康：整合街道现有健康资源，考虑一些慢病管理、中医平台等健康资源的接入，小程序端有一个统一入口。</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远程视频问诊</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通过机顶盒接入问诊平台，进行远程视频问诊。</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安全智护</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为独居老人提供申请安装安全智护设备，通过对设备数据的监控、报警辅助判断老人当前的生活状态。</w:t>
      </w:r>
    </w:p>
    <w:p>
      <w:pPr>
        <w:pStyle w:val="80"/>
        <w:pageBreakBefore w:val="0"/>
        <w:numPr>
          <w:ilvl w:val="0"/>
          <w:numId w:val="18"/>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设备申请：提交老人信息及需要安装的设备内容，后台审核后提供上门安装服务。</w:t>
      </w:r>
    </w:p>
    <w:p>
      <w:pPr>
        <w:pStyle w:val="80"/>
        <w:pageBreakBefore w:val="0"/>
        <w:numPr>
          <w:ilvl w:val="0"/>
          <w:numId w:val="18"/>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设备详情：查看设备的在线状态及是否有报警信息。</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运动打卡</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居民每日上传自己的运动照片，获得对应积分。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点击应用进行拍照或者上传照片，提交当天打卡信息，每天只能提交一次有效信息。</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3.5</w:t>
      </w:r>
      <w:r>
        <w:rPr>
          <w:rFonts w:hint="eastAsia" w:ascii="宋体" w:hAnsi="宋体" w:eastAsia="宋体" w:cs="宋体"/>
          <w:sz w:val="21"/>
          <w:szCs w:val="21"/>
        </w:rPr>
        <w:t>创业场景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创业场景应用，全部在小程序首页应用配置区。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众创空间</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为社区内的创业者提供经济实惠的办公场所，可以通过小程序端进行空闲工位的查询、工位详情的查看，并在线提交使用申请。</w:t>
      </w:r>
    </w:p>
    <w:p>
      <w:pPr>
        <w:pageBreakBefore w:val="0"/>
        <w:numPr>
          <w:ilvl w:val="0"/>
          <w:numId w:val="1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众创空间列表：展示可出租工位信息，包含工位图片、工位名称、工位面积、是否暗间和出租状态。</w:t>
      </w:r>
    </w:p>
    <w:p>
      <w:pPr>
        <w:pageBreakBefore w:val="0"/>
        <w:numPr>
          <w:ilvl w:val="0"/>
          <w:numId w:val="1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租赁详情：展示选中工位的完整信息，以及租赁联系人信息，包含租赁人员微信二维码。</w:t>
      </w:r>
    </w:p>
    <w:p>
      <w:pPr>
        <w:pageBreakBefore w:val="0"/>
        <w:numPr>
          <w:ilvl w:val="0"/>
          <w:numId w:val="1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租赁审核：管理员能够在小程序端进行。</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湾头创业</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供创业者提供创业导师信息、创业服务联盟信息、创业达人信息。</w:t>
      </w:r>
    </w:p>
    <w:p>
      <w:pPr>
        <w:pageBreakBefore w:val="0"/>
        <w:numPr>
          <w:ilvl w:val="0"/>
          <w:numId w:val="2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创业导师：提供创业导师照片、姓名、电话、微信联系方式。</w:t>
      </w:r>
    </w:p>
    <w:p>
      <w:pPr>
        <w:pageBreakBefore w:val="0"/>
        <w:numPr>
          <w:ilvl w:val="0"/>
          <w:numId w:val="2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服务联盟：提供金融服务、人力资源、法律服务、中介服务方面的服务商，包含服务商展示图、服务商简介、服务商联系人、服务商联系电话。</w:t>
      </w:r>
    </w:p>
    <w:p>
      <w:pPr>
        <w:pageBreakBefore w:val="0"/>
        <w:numPr>
          <w:ilvl w:val="0"/>
          <w:numId w:val="2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创业达人：提供社区内的创业达人信息，包含达人照片、达人姓名、达人简介。</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3.6</w:t>
      </w:r>
      <w:r>
        <w:rPr>
          <w:rFonts w:hint="eastAsia" w:ascii="宋体" w:hAnsi="宋体" w:eastAsia="宋体" w:cs="宋体"/>
          <w:sz w:val="21"/>
          <w:szCs w:val="21"/>
        </w:rPr>
        <w:t>建筑场景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建筑场景应用，全部在小程序首页应用配置区。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数字社区</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提供未来社区运营数据总览，包含当前社区注册总人数、不同性别人员比例、注册用户空间分布情况、当日高频应用使用情况、总服务次数等信息，方便运营人员实时掌握社区最新运营状况。</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3.7</w:t>
      </w:r>
      <w:r>
        <w:rPr>
          <w:rFonts w:hint="eastAsia" w:ascii="宋体" w:hAnsi="宋体" w:eastAsia="宋体" w:cs="宋体"/>
          <w:sz w:val="21"/>
          <w:szCs w:val="21"/>
        </w:rPr>
        <w:t>交通场景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交通场景应用，全部在小程序首页应用配置区。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湾头公交</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湾头公交到站信息实时查询。</w:t>
      </w:r>
    </w:p>
    <w:p>
      <w:pPr>
        <w:pageBreakBefore w:val="0"/>
        <w:numPr>
          <w:ilvl w:val="0"/>
          <w:numId w:val="2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湾头地图：根据当前位置自动定位，点击红色地点按钮，可跳转到腾讯地图、高德地图、Apple地图。</w:t>
      </w:r>
    </w:p>
    <w:p>
      <w:pPr>
        <w:pageBreakBefore w:val="0"/>
        <w:numPr>
          <w:ilvl w:val="0"/>
          <w:numId w:val="2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天气：用户可查看到当日的天气信息。</w:t>
      </w:r>
    </w:p>
    <w:p>
      <w:pPr>
        <w:pageBreakBefore w:val="0"/>
        <w:numPr>
          <w:ilvl w:val="0"/>
          <w:numId w:val="2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实时公交：根据用户当前的位置，可查看到附近的公交站点距离自己有多少站。</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湾头停车</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对接宁波全市统一停车服务平台--甬城泊车，满足了道路泊位、封闭停车场、充电桩的多业态需求，实现停车服务、收费结算、车位共享、停车诱导等功能集成一体统一入口，极大地提高了社区居民的停车体验。</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3.8</w:t>
      </w:r>
      <w:r>
        <w:rPr>
          <w:rFonts w:hint="eastAsia" w:ascii="宋体" w:hAnsi="宋体" w:eastAsia="宋体" w:cs="宋体"/>
          <w:sz w:val="21"/>
          <w:szCs w:val="21"/>
        </w:rPr>
        <w:t>服务场景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服务场景应用中，湾头广播、湾头积分在小程序首页中单独透出，其他应用全部在小程序首页应用配置区。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湾头商圈</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湾头商业服务资源360全景挂接，优惠资源导流。</w:t>
      </w:r>
    </w:p>
    <w:p>
      <w:pPr>
        <w:pageBreakBefore w:val="0"/>
        <w:numPr>
          <w:ilvl w:val="0"/>
          <w:numId w:val="2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商户展示：对应商户商品，多少积分可进行兑换商品展现。</w:t>
      </w:r>
    </w:p>
    <w:p>
      <w:pPr>
        <w:pageBreakBefore w:val="0"/>
        <w:numPr>
          <w:ilvl w:val="0"/>
          <w:numId w:val="2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积分兑换：支持线上自动核销，自动发商家优惠码，通过优惠券引导居民去线下消费。</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时间银行</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社区志愿活动，居民可报名参与，获得奖励积分。</w:t>
      </w:r>
    </w:p>
    <w:p>
      <w:pPr>
        <w:pStyle w:val="80"/>
        <w:pageBreakBefore w:val="0"/>
        <w:widowControl/>
        <w:numPr>
          <w:ilvl w:val="0"/>
          <w:numId w:val="2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活动内容展示：展示活动头图、活动主题、报名时间、活动时间、活动地点、可报名人数等信息。</w:t>
      </w:r>
    </w:p>
    <w:p>
      <w:pPr>
        <w:pStyle w:val="80"/>
        <w:pageBreakBefore w:val="0"/>
        <w:widowControl/>
        <w:numPr>
          <w:ilvl w:val="0"/>
          <w:numId w:val="2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活动报名：在编辑报名者信息后，可以为个人或者他人进行活动报名。</w:t>
      </w:r>
    </w:p>
    <w:p>
      <w:pPr>
        <w:pStyle w:val="80"/>
        <w:pageBreakBefore w:val="0"/>
        <w:numPr>
          <w:ilvl w:val="0"/>
          <w:numId w:val="2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个人报名管理：管理自己的活动报名情况，可以查看已经报名的活动，支持取消报名。</w:t>
      </w:r>
    </w:p>
    <w:p>
      <w:pPr>
        <w:pStyle w:val="80"/>
        <w:pageBreakBefore w:val="0"/>
        <w:widowControl/>
        <w:numPr>
          <w:ilvl w:val="0"/>
          <w:numId w:val="2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活动内容回顾：回顾活动过程，能够展示视频、文字和图片。</w:t>
      </w:r>
    </w:p>
    <w:p>
      <w:pPr>
        <w:pStyle w:val="80"/>
        <w:pageBreakBefore w:val="0"/>
        <w:numPr>
          <w:ilvl w:val="0"/>
          <w:numId w:val="2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活动扫码签到：已经报名的活动可以在现场通过扫码二维码获得活动的参与积分。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湾头积分</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用户在线获得积分，兑换奖品，线下领取或使用。</w:t>
      </w:r>
    </w:p>
    <w:p>
      <w:pPr>
        <w:pageBreakBefore w:val="0"/>
        <w:numPr>
          <w:ilvl w:val="0"/>
          <w:numId w:val="2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商户展示：对应商户商品，多少积分可进行兑换商品展现。</w:t>
      </w:r>
    </w:p>
    <w:p>
      <w:pPr>
        <w:pageBreakBefore w:val="0"/>
        <w:numPr>
          <w:ilvl w:val="0"/>
          <w:numId w:val="2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积分兑换：支持线上自动核销，自动发商家优惠码，通过优惠券引导居民去线下消费。</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湾头报修</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社区面向居民的物业报修服务，含各类报修，如水管、燃气灶、灯泡等等。在线提交服务工单，线下提供上门服务，为用户提供住房维修，报事报修1v1的专项服务。</w:t>
      </w:r>
    </w:p>
    <w:p>
      <w:pPr>
        <w:pageBreakBefore w:val="0"/>
        <w:numPr>
          <w:ilvl w:val="0"/>
          <w:numId w:val="2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报修申报：在线提交服务工单，如报事报修，家电维修。</w:t>
      </w:r>
    </w:p>
    <w:p>
      <w:pPr>
        <w:pageBreakBefore w:val="0"/>
        <w:numPr>
          <w:ilvl w:val="0"/>
          <w:numId w:val="2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打分评价：支持对物业报修订单的评价，支持物业查看评价、反馈评价。</w:t>
      </w:r>
    </w:p>
    <w:p>
      <w:pPr>
        <w:pageBreakBefore w:val="0"/>
        <w:numPr>
          <w:ilvl w:val="0"/>
          <w:numId w:val="2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管理人员：物业管理人员可在小程序端进行工单处理。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湾头广播</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提供时政资讯、区镇新闻、政策宣传、社区热点、服务信息等。</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看广播：社区广播内容的查看，可根据最新、热门筛选广播站内容。</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3.9</w:t>
      </w:r>
      <w:r>
        <w:rPr>
          <w:rFonts w:hint="eastAsia" w:ascii="宋体" w:hAnsi="宋体" w:eastAsia="宋体" w:cs="宋体"/>
          <w:sz w:val="21"/>
          <w:szCs w:val="21"/>
        </w:rPr>
        <w:t>低碳场景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低碳场景应用，在小程序首页应用配置区。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垃圾分类</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垃圾分类检查活动以及垃圾分类知识分享，提高居民环保意识。</w:t>
      </w:r>
    </w:p>
    <w:p>
      <w:pPr>
        <w:pageBreakBefore w:val="0"/>
        <w:numPr>
          <w:ilvl w:val="0"/>
          <w:numId w:val="2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垃圾分类检查：业主垃圾桶照片排查，根据可回收垃圾、厨余垃圾、有害垃圾、其他垃圾进行垃圾分类。</w:t>
      </w:r>
    </w:p>
    <w:p>
      <w:pPr>
        <w:pageBreakBefore w:val="0"/>
        <w:numPr>
          <w:ilvl w:val="0"/>
          <w:numId w:val="2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垃圾分类知识答题库：业主通过答题库学习答题知识，可</w:t>
      </w:r>
      <w:r>
        <w:rPr>
          <w:rFonts w:hint="eastAsia" w:ascii="宋体" w:hAnsi="宋体" w:eastAsia="宋体" w:cs="宋体"/>
          <w:sz w:val="21"/>
          <w:szCs w:val="21"/>
          <w:lang w:val="en-US" w:eastAsia="zh-CN"/>
        </w:rPr>
        <w:t>货</w:t>
      </w:r>
      <w:r>
        <w:rPr>
          <w:rFonts w:hint="eastAsia" w:ascii="宋体" w:hAnsi="宋体" w:eastAsia="宋体" w:cs="宋体"/>
          <w:sz w:val="21"/>
          <w:szCs w:val="21"/>
        </w:rPr>
        <w:t>得二次拍照打卡机会。</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3.10</w:t>
      </w:r>
      <w:r>
        <w:rPr>
          <w:rFonts w:hint="eastAsia" w:ascii="宋体" w:hAnsi="宋体" w:eastAsia="宋体" w:cs="宋体"/>
          <w:sz w:val="21"/>
          <w:szCs w:val="21"/>
        </w:rPr>
        <w:t>治理场景</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治理场景应用中，湾头超话在小程序首页中单独透出，其他应用全部在小程序首页应用配置区。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随手拍</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居民随手拍照社区存在问题，可从环境卫生、消防安全、物业监管等方面上报问题，社区得到反馈，及时处理。</w:t>
      </w:r>
    </w:p>
    <w:p>
      <w:pPr>
        <w:pageBreakBefore w:val="0"/>
        <w:numPr>
          <w:ilvl w:val="0"/>
          <w:numId w:val="2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问题上报：居民通过移动端上报社区内的各类问题，事件等。</w:t>
      </w:r>
    </w:p>
    <w:p>
      <w:pPr>
        <w:pageBreakBefore w:val="0"/>
        <w:numPr>
          <w:ilvl w:val="0"/>
          <w:numId w:val="2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查看上报历史：可查看上报问题的解决进度，实时进行监管。</w:t>
      </w:r>
    </w:p>
    <w:p>
      <w:pPr>
        <w:pageBreakBefore w:val="0"/>
        <w:numPr>
          <w:ilvl w:val="0"/>
          <w:numId w:val="2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评价打分：对处理结果进行满意度打分，给与意见建议。</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湾头安防</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用于安防相关的物联设备信号实时查看，报警事件处理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智慧消防</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用于消防相关的物联设备状态实时查看，报警事件处理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湾头超话</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用于发布各类信息通知，业主在线接收。</w:t>
      </w:r>
    </w:p>
    <w:p>
      <w:pPr>
        <w:pageBreakBefore w:val="0"/>
        <w:numPr>
          <w:ilvl w:val="0"/>
          <w:numId w:val="28"/>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查看超话内容：查看超话内容详情并参与。</w:t>
      </w:r>
    </w:p>
    <w:p>
      <w:pPr>
        <w:pageBreakBefore w:val="0"/>
        <w:numPr>
          <w:ilvl w:val="0"/>
          <w:numId w:val="28"/>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参与讨论：居民参与超话讨论，发表优质评论的用户可获得积分奖励。</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湾头问卷</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用于管理配置调查问卷内容，可灵活配置调查的对象、覆盖园区等、调查问题等要素，并支持数据报表，直观清晰的呈现调查结果。</w:t>
      </w:r>
    </w:p>
    <w:p>
      <w:pPr>
        <w:pageBreakBefore w:val="0"/>
        <w:numPr>
          <w:ilvl w:val="0"/>
          <w:numId w:val="2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用户在线填写问卷：填写问卷题型包括单选、多选、填空、量表题。</w:t>
      </w:r>
    </w:p>
    <w:p>
      <w:pPr>
        <w:pageBreakBefore w:val="0"/>
        <w:numPr>
          <w:ilvl w:val="0"/>
          <w:numId w:val="2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查看问卷：提交完成问卷后，可查看每道选项的答题人数以及所占百分比情况。</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湾头党建</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党建风采相关资讯服务，在线学习红色文化</w:t>
      </w:r>
    </w:p>
    <w:p>
      <w:pPr>
        <w:pageBreakBefore w:val="0"/>
        <w:numPr>
          <w:ilvl w:val="0"/>
          <w:numId w:val="3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党建公告栏展示：湾头党务公开、居务公开展示。</w:t>
      </w:r>
    </w:p>
    <w:p>
      <w:pPr>
        <w:pageBreakBefore w:val="0"/>
        <w:numPr>
          <w:ilvl w:val="0"/>
          <w:numId w:val="3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亮相台人员架构图展示：部门架构一张图以及社区干部、社区党员信息展示。</w:t>
      </w:r>
    </w:p>
    <w:p>
      <w:pPr>
        <w:pageBreakBefore w:val="0"/>
        <w:numPr>
          <w:ilvl w:val="0"/>
          <w:numId w:val="3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党务通展示：党建风采相关资讯服务，在线学习三会一课、主题党日、党员评议。</w:t>
      </w:r>
    </w:p>
    <w:p>
      <w:pPr>
        <w:pageBreakBefore w:val="0"/>
        <w:numPr>
          <w:ilvl w:val="0"/>
          <w:numId w:val="3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红管家展示：物居业组织架构人员组成的展示。</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湾头防疫</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防疫表单登记：为疫情防控，进行防疫登记，以表单形式进行人员登记。</w:t>
      </w:r>
    </w:p>
    <w:p>
      <w:pPr>
        <w:pStyle w:val="7"/>
        <w:pageBreakBefore w:val="0"/>
        <w:tabs>
          <w:tab w:val="left" w:pos="851"/>
        </w:tabs>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bookmarkStart w:id="41" w:name="_Toc4620"/>
      <w:r>
        <w:rPr>
          <w:rFonts w:hint="eastAsia" w:ascii="宋体" w:hAnsi="宋体" w:eastAsia="宋体" w:cs="宋体"/>
          <w:sz w:val="21"/>
          <w:szCs w:val="21"/>
          <w:lang w:val="en-US" w:eastAsia="zh-CN"/>
        </w:rPr>
        <w:t>5.1.2</w:t>
      </w:r>
      <w:r>
        <w:rPr>
          <w:rFonts w:hint="eastAsia" w:ascii="宋体" w:hAnsi="宋体" w:eastAsia="宋体" w:cs="宋体"/>
          <w:sz w:val="21"/>
          <w:szCs w:val="21"/>
        </w:rPr>
        <w:t>未来社区运营维护系统</w:t>
      </w:r>
      <w:bookmarkEnd w:id="41"/>
    </w:p>
    <w:p>
      <w:pPr>
        <w:pStyle w:val="8"/>
        <w:pageBreakBefore w:val="0"/>
        <w:tabs>
          <w:tab w:val="left" w:pos="2127"/>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5.1.2.1</w:t>
      </w:r>
      <w:r>
        <w:rPr>
          <w:rFonts w:hint="eastAsia" w:ascii="宋体" w:hAnsi="宋体" w:eastAsia="宋体" w:cs="宋体"/>
          <w:sz w:val="21"/>
          <w:szCs w:val="21"/>
        </w:rPr>
        <w:t>系统概述</w:t>
      </w:r>
    </w:p>
    <w:p>
      <w:pPr>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未来社区运营维护系统以PC WEB端为载体，主要用户对象为社区运营方、物业公司，主要进行针对居民小程序进行活动发布、资讯发布、活动积分管理等功能。</w:t>
      </w:r>
    </w:p>
    <w:p>
      <w:pPr>
        <w:pStyle w:val="8"/>
        <w:pageBreakBefore w:val="0"/>
        <w:tabs>
          <w:tab w:val="left" w:pos="2127"/>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5.1.2.2</w:t>
      </w:r>
      <w:r>
        <w:rPr>
          <w:rFonts w:hint="eastAsia" w:ascii="宋体" w:hAnsi="宋体" w:eastAsia="宋体" w:cs="宋体"/>
          <w:sz w:val="21"/>
          <w:szCs w:val="21"/>
        </w:rPr>
        <w:t>功能架构</w:t>
      </w:r>
    </w:p>
    <w:p>
      <w:pPr>
        <w:spacing w:before="160" w:after="120" w:line="240" w:lineRule="auto"/>
        <w:ind w:firstLine="0" w:firstLineChars="0"/>
        <w:jc w:val="center"/>
        <w:rPr>
          <w:sz w:val="21"/>
          <w:szCs w:val="21"/>
        </w:rPr>
      </w:pPr>
      <w:r>
        <w:rPr>
          <w:sz w:val="21"/>
          <w:szCs w:val="21"/>
        </w:rPr>
        <w:drawing>
          <wp:inline distT="0" distB="0" distL="0" distR="0">
            <wp:extent cx="5274310" cy="2847975"/>
            <wp:effectExtent l="0" t="0" r="889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2847975"/>
                    </a:xfrm>
                    <a:prstGeom prst="rect">
                      <a:avLst/>
                    </a:prstGeom>
                  </pic:spPr>
                </pic:pic>
              </a:graphicData>
            </a:graphic>
          </wp:inline>
        </w:drawing>
      </w:r>
    </w:p>
    <w:p>
      <w:pPr>
        <w:spacing w:before="160" w:after="120" w:line="240" w:lineRule="auto"/>
        <w:ind w:firstLine="0" w:firstLineChars="0"/>
        <w:jc w:val="center"/>
        <w:rPr>
          <w:sz w:val="21"/>
          <w:szCs w:val="21"/>
        </w:rPr>
      </w:pPr>
      <w:r>
        <w:rPr>
          <w:sz w:val="21"/>
          <w:szCs w:val="21"/>
        </w:rPr>
        <w:t xml:space="preserve">图 </w:t>
      </w:r>
      <w:r>
        <w:rPr>
          <w:sz w:val="21"/>
          <w:szCs w:val="21"/>
        </w:rPr>
        <w:fldChar w:fldCharType="begin"/>
      </w:r>
      <w:r>
        <w:rPr>
          <w:sz w:val="21"/>
          <w:szCs w:val="21"/>
        </w:rPr>
        <w:instrText xml:space="preserve"> STYLEREF 1 \s </w:instrText>
      </w:r>
      <w:r>
        <w:rPr>
          <w:sz w:val="21"/>
          <w:szCs w:val="21"/>
        </w:rPr>
        <w:fldChar w:fldCharType="separate"/>
      </w:r>
      <w:r>
        <w:rPr>
          <w:sz w:val="21"/>
          <w:szCs w:val="21"/>
        </w:rPr>
        <w:t>6</w:t>
      </w:r>
      <w:r>
        <w:rPr>
          <w:sz w:val="21"/>
          <w:szCs w:val="21"/>
        </w:rPr>
        <w:fldChar w:fldCharType="end"/>
      </w:r>
      <w:r>
        <w:rPr>
          <w:sz w:val="21"/>
          <w:szCs w:val="21"/>
        </w:rPr>
        <w:noBreakHyphen/>
      </w:r>
      <w:r>
        <w:rPr>
          <w:sz w:val="21"/>
          <w:szCs w:val="21"/>
        </w:rPr>
        <w:fldChar w:fldCharType="begin"/>
      </w:r>
      <w:r>
        <w:rPr>
          <w:sz w:val="21"/>
          <w:szCs w:val="21"/>
        </w:rPr>
        <w:instrText xml:space="preserve"> SEQ 图 \* ARABIC \s 1 </w:instrText>
      </w:r>
      <w:r>
        <w:rPr>
          <w:sz w:val="21"/>
          <w:szCs w:val="21"/>
        </w:rPr>
        <w:fldChar w:fldCharType="separate"/>
      </w:r>
      <w:r>
        <w:rPr>
          <w:sz w:val="21"/>
          <w:szCs w:val="21"/>
        </w:rPr>
        <w:t>8</w:t>
      </w:r>
      <w:r>
        <w:rPr>
          <w:sz w:val="21"/>
          <w:szCs w:val="21"/>
        </w:rPr>
        <w:fldChar w:fldCharType="end"/>
      </w:r>
      <w:r>
        <w:rPr>
          <w:sz w:val="21"/>
          <w:szCs w:val="21"/>
        </w:rPr>
        <w:t xml:space="preserve"> 未来社区运营维护系统功能架构</w:t>
      </w:r>
    </w:p>
    <w:p>
      <w:pPr>
        <w:pStyle w:val="8"/>
        <w:pageBreakBefore w:val="0"/>
        <w:tabs>
          <w:tab w:val="left" w:pos="2127"/>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5.1.2.3</w:t>
      </w:r>
      <w:r>
        <w:rPr>
          <w:rFonts w:hint="eastAsia" w:ascii="宋体" w:hAnsi="宋体" w:eastAsia="宋体" w:cs="宋体"/>
          <w:sz w:val="21"/>
          <w:szCs w:val="21"/>
        </w:rPr>
        <w:t>功能设计</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用户管理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房号管理</w:t>
      </w:r>
    </w:p>
    <w:p>
      <w:pPr>
        <w:pageBreakBefore w:val="0"/>
        <w:widowControl/>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管理和维护社区内的物业小区、门牌地址、房屋楼栋、房屋单元等空间数据，房屋室户号等信息，可进行数据新增、删除、修改、查询等操作。</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房号审核</w:t>
      </w:r>
    </w:p>
    <w:p>
      <w:pPr>
        <w:pageBreakBefore w:val="0"/>
        <w:widowControl/>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支持居民与房号绑定申请的审核功能，审核通过后将作为人房关系数据储存入库。</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实名认证管理</w:t>
      </w:r>
    </w:p>
    <w:p>
      <w:pPr>
        <w:pageBreakBefore w:val="0"/>
        <w:widowControl/>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根据业主提交的姓名、身份证号码、身份证照片，判断是否人证合一，完成实名认证动作</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用户列表</w:t>
      </w:r>
    </w:p>
    <w:p>
      <w:pPr>
        <w:pageBreakBefore w:val="0"/>
        <w:widowControl/>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查询社区平台的用户信息，包含用户姓名、用户性别、用户手机号、用户房号等信息。</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车位管理</w:t>
      </w:r>
    </w:p>
    <w:p>
      <w:pPr>
        <w:pageBreakBefore w:val="0"/>
        <w:widowControl/>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查看社区内车位与各房号之间的关联关系，查询车位归属的产权信息。</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运营管理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积分规则配置</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积分规则配置：对平台中各场景应用可以获得积分值、可获得积分频率、可获得积分对象等信息的配置。</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系统设置</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3.1</w:t>
      </w:r>
      <w:r>
        <w:rPr>
          <w:rFonts w:hint="eastAsia" w:ascii="宋体" w:hAnsi="宋体" w:eastAsia="宋体" w:cs="宋体"/>
          <w:sz w:val="21"/>
          <w:szCs w:val="21"/>
        </w:rPr>
        <w:t>账号管理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账号管理：管理平台登录的账号信息，包括创建账号、修改账号信息、删除账号。</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角色管理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角色管理：为平台分配不同的角色权限，每个权限有对应的可见菜单。角色能够和账号绑定，给不同的用户进行使用，实现分级分权控制。</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3.3</w:t>
      </w:r>
      <w:r>
        <w:rPr>
          <w:rFonts w:hint="eastAsia" w:ascii="宋体" w:hAnsi="宋体" w:eastAsia="宋体" w:cs="宋体"/>
          <w:sz w:val="21"/>
          <w:szCs w:val="21"/>
        </w:rPr>
        <w:t>登录页面</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登录页面：运营维护系统登录页面，输入账号密码后根据不同用户权限，首页展示不同菜单信息。</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3.4</w:t>
      </w:r>
      <w:r>
        <w:rPr>
          <w:rFonts w:hint="eastAsia" w:ascii="宋体" w:hAnsi="宋体" w:eastAsia="宋体" w:cs="宋体"/>
          <w:sz w:val="21"/>
          <w:szCs w:val="21"/>
        </w:rPr>
        <w:t>应用管理</w:t>
      </w:r>
    </w:p>
    <w:p>
      <w:pPr>
        <w:pageBreakBefore w:val="0"/>
        <w:numPr>
          <w:ilvl w:val="0"/>
          <w:numId w:val="3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平台应用管理：配置未来社区平台级别小程序端展示的服务应用名称、功能、以及是否与第三方打通、是否需要设置用户信息授权等功能。</w:t>
      </w:r>
    </w:p>
    <w:p>
      <w:pPr>
        <w:pageBreakBefore w:val="0"/>
        <w:numPr>
          <w:ilvl w:val="0"/>
          <w:numId w:val="3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租户应用管理：可查看根据平台应用管理下发到租户层级的应用信息，支持平台应用针对各租户单独设置独立应用名称、应用图片等信息。</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邻里场景管理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4.1</w:t>
      </w:r>
      <w:r>
        <w:rPr>
          <w:rFonts w:hint="eastAsia" w:ascii="宋体" w:hAnsi="宋体" w:eastAsia="宋体" w:cs="宋体"/>
          <w:sz w:val="21"/>
          <w:szCs w:val="21"/>
        </w:rPr>
        <w:t>社区达人管理</w:t>
      </w:r>
    </w:p>
    <w:p>
      <w:pPr>
        <w:pageBreakBefore w:val="0"/>
        <w:numPr>
          <w:ilvl w:val="0"/>
          <w:numId w:val="3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达人审核：审核达人申请信息，可以选择通过、不通过两种状态。</w:t>
      </w:r>
    </w:p>
    <w:p>
      <w:pPr>
        <w:pageBreakBefore w:val="0"/>
        <w:numPr>
          <w:ilvl w:val="0"/>
          <w:numId w:val="3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达人发起活动审核：审核达人发起的活动，可以选择通过、不通过两种状态。</w:t>
      </w:r>
    </w:p>
    <w:p>
      <w:pPr>
        <w:pageBreakBefore w:val="0"/>
        <w:numPr>
          <w:ilvl w:val="0"/>
          <w:numId w:val="3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达人风采发布：新增和编辑达人风采信息，支持发布、取消发布两种状态。</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4.2</w:t>
      </w:r>
      <w:r>
        <w:rPr>
          <w:rFonts w:hint="eastAsia" w:ascii="宋体" w:hAnsi="宋体" w:eastAsia="宋体" w:cs="宋体"/>
          <w:sz w:val="21"/>
          <w:szCs w:val="21"/>
        </w:rPr>
        <w:t>投票管理</w:t>
      </w:r>
    </w:p>
    <w:p>
      <w:pPr>
        <w:pageBreakBefore w:val="0"/>
        <w:numPr>
          <w:ilvl w:val="0"/>
          <w:numId w:val="3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投票管理：支持对投票的新增、修改、删除、发布、下架操作。支持生成投票二维码，使用小程序扫码进行投票。支持投票结果的查看。</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4.3</w:t>
      </w:r>
      <w:r>
        <w:rPr>
          <w:rFonts w:hint="eastAsia" w:ascii="宋体" w:hAnsi="宋体" w:eastAsia="宋体" w:cs="宋体"/>
          <w:sz w:val="21"/>
          <w:szCs w:val="21"/>
        </w:rPr>
        <w:t>活动管理</w:t>
      </w:r>
    </w:p>
    <w:p>
      <w:pPr>
        <w:pageBreakBefore w:val="0"/>
        <w:numPr>
          <w:ilvl w:val="0"/>
          <w:numId w:val="3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活动列表：支持活动的新增、编辑、发布、取消操作，活动内容支持文字、图片视频的播放。支持查看活动报名二维码、查看活动签到二维码。支持编辑活动回顾信息。支持查看活动报名用户信息。</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4.4</w:t>
      </w:r>
      <w:r>
        <w:rPr>
          <w:rFonts w:hint="eastAsia" w:ascii="宋体" w:hAnsi="宋体" w:eastAsia="宋体" w:cs="宋体"/>
          <w:sz w:val="21"/>
          <w:szCs w:val="21"/>
        </w:rPr>
        <w:t>邻里场馆管理</w:t>
      </w:r>
    </w:p>
    <w:p>
      <w:pPr>
        <w:pageBreakBefore w:val="0"/>
        <w:numPr>
          <w:ilvl w:val="0"/>
          <w:numId w:val="3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邻里场馆类型管理：配置邻里场馆对应的类型，支持新增、修改、删除。</w:t>
      </w:r>
    </w:p>
    <w:p>
      <w:pPr>
        <w:pageBreakBefore w:val="0"/>
        <w:numPr>
          <w:ilvl w:val="0"/>
          <w:numId w:val="3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邻里场馆管理：支持邻里场馆信息的配置，支持新增、修改、删除、开启、关闭操作，邻里场馆信息支持图片和文字描述。预约方式支持场次预约、电话预约、第三方预约界面接入、文字说明四种。支持邻里场馆点位配置。</w:t>
      </w:r>
    </w:p>
    <w:p>
      <w:pPr>
        <w:pageBreakBefore w:val="0"/>
        <w:numPr>
          <w:ilvl w:val="0"/>
          <w:numId w:val="3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邻里场馆预约订单：查看用户预约订单详情信息，支持取消预约订单。</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4.5</w:t>
      </w:r>
      <w:r>
        <w:rPr>
          <w:rFonts w:hint="eastAsia" w:ascii="宋体" w:hAnsi="宋体" w:eastAsia="宋体" w:cs="宋体"/>
          <w:sz w:val="21"/>
          <w:szCs w:val="21"/>
        </w:rPr>
        <w:t>社群管理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社群列表：支持社群的新增、编辑、删除操作。支持社群成员管理，社群负责人的任命、罢免操作。</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教育场景管理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w:t>
      </w:r>
      <w:r>
        <w:rPr>
          <w:rFonts w:hint="eastAsia" w:ascii="宋体" w:hAnsi="宋体" w:eastAsia="宋体" w:cs="宋体"/>
          <w:sz w:val="21"/>
          <w:szCs w:val="21"/>
        </w:rPr>
        <w:t>教育地图管理</w:t>
      </w:r>
    </w:p>
    <w:p>
      <w:pPr>
        <w:pageBreakBefore w:val="0"/>
        <w:numPr>
          <w:ilvl w:val="0"/>
          <w:numId w:val="3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教育场馆类型管理：配置不同教育场景下的场馆类型。</w:t>
      </w:r>
    </w:p>
    <w:p>
      <w:pPr>
        <w:pageBreakBefore w:val="0"/>
        <w:numPr>
          <w:ilvl w:val="0"/>
          <w:numId w:val="3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教育场馆管理：支持教育场馆的新增、修改、删除、开启、关闭操作，教育场馆信息展示支持图片和文字描述。场馆预约方式支持电话预约、第三方预约界面接入、文字说明三种。教育场馆信息能与空间点位关联，支持实景点位展示。</w:t>
      </w:r>
    </w:p>
    <w:p>
      <w:pPr>
        <w:pageBreakBefore w:val="0"/>
        <w:numPr>
          <w:ilvl w:val="0"/>
          <w:numId w:val="3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教育地图预约订单：查看用户预约订单详情信息，支持取消预约订单。</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w:t>
      </w:r>
      <w:r>
        <w:rPr>
          <w:rFonts w:hint="eastAsia" w:ascii="宋体" w:hAnsi="宋体" w:eastAsia="宋体" w:cs="宋体"/>
          <w:sz w:val="21"/>
          <w:szCs w:val="21"/>
        </w:rPr>
        <w:t>托幼管理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托幼空间管理：配置托幼场</w:t>
      </w:r>
      <w:r>
        <w:rPr>
          <w:rFonts w:hint="eastAsia" w:ascii="宋体" w:hAnsi="宋体" w:eastAsia="宋体" w:cs="宋体"/>
          <w:sz w:val="21"/>
          <w:szCs w:val="21"/>
        </w:rPr>
        <w:tab/>
      </w:r>
      <w:r>
        <w:rPr>
          <w:rFonts w:hint="eastAsia" w:ascii="宋体" w:hAnsi="宋体" w:eastAsia="宋体" w:cs="宋体"/>
          <w:sz w:val="21"/>
          <w:szCs w:val="21"/>
        </w:rPr>
        <w:t>馆信息、排班信息以及对应空间监控摄像头信息。</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5.3</w:t>
      </w:r>
      <w:r>
        <w:rPr>
          <w:rFonts w:hint="eastAsia" w:ascii="宋体" w:hAnsi="宋体" w:eastAsia="宋体" w:cs="宋体"/>
          <w:sz w:val="21"/>
          <w:szCs w:val="21"/>
        </w:rPr>
        <w:t>幸福学堂活动管理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活动列表：支持活动的新增、编辑、发布、取消操作，活动内容支持文字、图片视频的播放。支持查看活动报名二维码、查看活动签到二维码。支持编辑活动回顾信息。支持查看活动报名用户信息。</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健康场景管理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6.1</w:t>
      </w:r>
      <w:r>
        <w:rPr>
          <w:rFonts w:hint="eastAsia" w:ascii="宋体" w:hAnsi="宋体" w:eastAsia="宋体" w:cs="宋体"/>
          <w:sz w:val="21"/>
          <w:szCs w:val="21"/>
        </w:rPr>
        <w:t>康养地图管理</w:t>
      </w:r>
    </w:p>
    <w:p>
      <w:pPr>
        <w:pageBreakBefore w:val="0"/>
        <w:numPr>
          <w:ilvl w:val="0"/>
          <w:numId w:val="3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健康场所类型管理：配置健康场所对应的类型，支持新增、修改、删除。</w:t>
      </w:r>
    </w:p>
    <w:p>
      <w:pPr>
        <w:pageBreakBefore w:val="0"/>
        <w:numPr>
          <w:ilvl w:val="0"/>
          <w:numId w:val="3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健康场所管理：支持健康场所信息的配置，支持新增、修改、删除、开启、关闭操作，健康场所支持图片和文字描述，能够设置排班预约、拨打电话预约、嵌入官网预约页面、预约负责人微信二维码。</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6.2</w:t>
      </w:r>
      <w:r>
        <w:rPr>
          <w:rFonts w:hint="eastAsia" w:ascii="宋体" w:hAnsi="宋体" w:eastAsia="宋体" w:cs="宋体"/>
          <w:sz w:val="21"/>
          <w:szCs w:val="21"/>
        </w:rPr>
        <w:t>安全智护设备管理</w:t>
      </w:r>
    </w:p>
    <w:p>
      <w:pPr>
        <w:pageBreakBefore w:val="0"/>
        <w:numPr>
          <w:ilvl w:val="0"/>
          <w:numId w:val="38"/>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设备申请管理：居民提交申请后，在管理页面进行申请的审批或者驳回。</w:t>
      </w:r>
    </w:p>
    <w:p>
      <w:pPr>
        <w:pageBreakBefore w:val="0"/>
        <w:numPr>
          <w:ilvl w:val="0"/>
          <w:numId w:val="38"/>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智护设备管理：查询智护设备的在线状态，人员和设备关联关系的绑定。</w:t>
      </w:r>
    </w:p>
    <w:p>
      <w:pPr>
        <w:pageBreakBefore w:val="0"/>
        <w:numPr>
          <w:ilvl w:val="0"/>
          <w:numId w:val="38"/>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智护设备报警管理：查看设备的报警信息，并接入工单系统自动生成工单，在工单流程中完成报警信息的处理。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6.3</w:t>
      </w:r>
      <w:r>
        <w:rPr>
          <w:rFonts w:hint="eastAsia" w:ascii="宋体" w:hAnsi="宋体" w:eastAsia="宋体" w:cs="宋体"/>
          <w:sz w:val="21"/>
          <w:szCs w:val="21"/>
        </w:rPr>
        <w:t>运动打卡管理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运动打卡管理：审核用户上传的运动打卡图片，支持通过和驳回两种操作，审核通过后为用户增加对应积分值。</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创业场景管理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7.1</w:t>
      </w:r>
      <w:r>
        <w:rPr>
          <w:rFonts w:hint="eastAsia" w:ascii="宋体" w:hAnsi="宋体" w:eastAsia="宋体" w:cs="宋体"/>
          <w:sz w:val="21"/>
          <w:szCs w:val="21"/>
        </w:rPr>
        <w:t>众创空间租赁场所管理</w:t>
      </w:r>
    </w:p>
    <w:p>
      <w:pPr>
        <w:pageBreakBefore w:val="0"/>
        <w:numPr>
          <w:ilvl w:val="0"/>
          <w:numId w:val="3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租赁场所管理：众创空间工位信息的新增、修改、删除，支持已出租、未出租两种状态的变更。</w:t>
      </w:r>
    </w:p>
    <w:p>
      <w:pPr>
        <w:pageBreakBefore w:val="0"/>
        <w:numPr>
          <w:ilvl w:val="0"/>
          <w:numId w:val="39"/>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租赁订单管理：众创空间预约订单的查看。</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7.2</w:t>
      </w:r>
      <w:r>
        <w:rPr>
          <w:rFonts w:hint="eastAsia" w:ascii="宋体" w:hAnsi="宋体" w:eastAsia="宋体" w:cs="宋体"/>
          <w:sz w:val="21"/>
          <w:szCs w:val="21"/>
        </w:rPr>
        <w:t>湾头创业管理</w:t>
      </w:r>
    </w:p>
    <w:p>
      <w:pPr>
        <w:pageBreakBefore w:val="0"/>
        <w:numPr>
          <w:ilvl w:val="0"/>
          <w:numId w:val="4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创业达人管理：支持创业达人信息的新增、修改、删除功能，支持发布、取消两种状态的变更，支持排序。</w:t>
      </w:r>
    </w:p>
    <w:p>
      <w:pPr>
        <w:pageBreakBefore w:val="0"/>
        <w:numPr>
          <w:ilvl w:val="0"/>
          <w:numId w:val="4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创业导师：支持创业导师信息的新增、修改、删除功能，支持为导师附加标签信息，支持排序。</w:t>
      </w:r>
    </w:p>
    <w:p>
      <w:pPr>
        <w:pageBreakBefore w:val="0"/>
        <w:numPr>
          <w:ilvl w:val="0"/>
          <w:numId w:val="40"/>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服务联盟：支持服务联盟信息的新增、修改、删除功能，支持排序。</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服务场景管理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8.1</w:t>
      </w:r>
      <w:r>
        <w:rPr>
          <w:rFonts w:hint="eastAsia" w:ascii="宋体" w:hAnsi="宋体" w:eastAsia="宋体" w:cs="宋体"/>
          <w:sz w:val="21"/>
          <w:szCs w:val="21"/>
        </w:rPr>
        <w:t>湾头商圈管理</w:t>
      </w:r>
    </w:p>
    <w:p>
      <w:pPr>
        <w:pageBreakBefore w:val="0"/>
        <w:numPr>
          <w:ilvl w:val="0"/>
          <w:numId w:val="41"/>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商圈优惠券管理：支持优惠券的上下架、兑换所需积分设置、单人兑换限额设置。</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8.2</w:t>
      </w:r>
      <w:r>
        <w:rPr>
          <w:rFonts w:hint="eastAsia" w:ascii="宋体" w:hAnsi="宋体" w:eastAsia="宋体" w:cs="宋体"/>
          <w:sz w:val="21"/>
          <w:szCs w:val="21"/>
        </w:rPr>
        <w:t>时间银行活动管理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时间银行志愿活动管理：支持志愿活动的新增、编辑、发布、取消操作，志愿活动可以设置活动名称、活动介绍、报名开始时间、报名结束时间、完成活动可获得时间银行分值。支持查看时间银行活动报名二维码、签到二维码。可查看活动报名情况，并对报名人员进行管理。</w:t>
      </w:r>
    </w:p>
    <w:p>
      <w:pPr>
        <w:pStyle w:val="2"/>
        <w:pageBreakBefore w:val="0"/>
        <w:kinsoku/>
        <w:wordWrap/>
        <w:overflowPunct/>
        <w:topLinePunct w:val="0"/>
        <w:autoSpaceDE/>
        <w:autoSpaceDN/>
        <w:bidi w:val="0"/>
        <w:adjustRightInd/>
        <w:snapToGrid/>
        <w:spacing w:after="0" w:line="360" w:lineRule="auto"/>
        <w:ind w:left="0" w:leftChars="0" w:firstLine="420" w:firstLineChars="200"/>
        <w:jc w:val="both"/>
        <w:textAlignment w:val="auto"/>
        <w:rPr>
          <w:rFonts w:hint="eastAsia" w:ascii="宋体" w:hAnsi="宋体" w:eastAsia="宋体" w:cs="宋体"/>
          <w:sz w:val="21"/>
          <w:szCs w:val="21"/>
        </w:rPr>
      </w:pP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8.3</w:t>
      </w:r>
      <w:r>
        <w:rPr>
          <w:rFonts w:hint="eastAsia" w:ascii="宋体" w:hAnsi="宋体" w:eastAsia="宋体" w:cs="宋体"/>
          <w:sz w:val="21"/>
          <w:szCs w:val="21"/>
        </w:rPr>
        <w:t>湾头积分商城管理</w:t>
      </w:r>
    </w:p>
    <w:p>
      <w:pPr>
        <w:pageBreakBefore w:val="0"/>
        <w:numPr>
          <w:ilvl w:val="0"/>
          <w:numId w:val="4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积分商品管理：配置积分商品名称、商品分类、商品分值、商品SKU信息，支持同种商品多款式，支持商品上下架。</w:t>
      </w:r>
    </w:p>
    <w:p>
      <w:pPr>
        <w:pageBreakBefore w:val="0"/>
        <w:numPr>
          <w:ilvl w:val="0"/>
          <w:numId w:val="42"/>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数据统计：用户每日积分变化、用户持有分数、累计产生分数、消费分数、待兑换分数、已兑换分数。</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8.4</w:t>
      </w:r>
      <w:r>
        <w:rPr>
          <w:rFonts w:hint="eastAsia" w:ascii="宋体" w:hAnsi="宋体" w:eastAsia="宋体" w:cs="宋体"/>
          <w:sz w:val="21"/>
          <w:szCs w:val="21"/>
        </w:rPr>
        <w:t>湾头工单管理</w:t>
      </w:r>
    </w:p>
    <w:p>
      <w:pPr>
        <w:pageBreakBefore w:val="0"/>
        <w:numPr>
          <w:ilvl w:val="0"/>
          <w:numId w:val="4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工单管理订单：根据小区、楼栋，配备相应的管理员进行处理，下单和超时的进行短信提醒。</w:t>
      </w:r>
    </w:p>
    <w:p>
      <w:pPr>
        <w:pageBreakBefore w:val="0"/>
        <w:numPr>
          <w:ilvl w:val="0"/>
          <w:numId w:val="43"/>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工单类型管理：可进行增加修改内容等操作。</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8.5</w:t>
      </w:r>
      <w:r>
        <w:rPr>
          <w:rFonts w:hint="eastAsia" w:ascii="宋体" w:hAnsi="宋体" w:eastAsia="宋体" w:cs="宋体"/>
          <w:sz w:val="21"/>
          <w:szCs w:val="21"/>
        </w:rPr>
        <w:t>湾头广播管理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广播站信息管理：资讯信息的发布、编辑，信息发布审核，支持设置需签收通知。</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低碳场景管理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9.1</w:t>
      </w:r>
      <w:r>
        <w:rPr>
          <w:rFonts w:hint="eastAsia" w:ascii="宋体" w:hAnsi="宋体" w:eastAsia="宋体" w:cs="宋体"/>
          <w:sz w:val="21"/>
          <w:szCs w:val="21"/>
        </w:rPr>
        <w:t>垃圾分类管理</w:t>
      </w:r>
    </w:p>
    <w:p>
      <w:pPr>
        <w:pageBreakBefore w:val="0"/>
        <w:numPr>
          <w:ilvl w:val="0"/>
          <w:numId w:val="4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答题库管理：知识答题库题型的增添修改。</w:t>
      </w:r>
    </w:p>
    <w:p>
      <w:pPr>
        <w:pageBreakBefore w:val="0"/>
        <w:numPr>
          <w:ilvl w:val="0"/>
          <w:numId w:val="4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照片审核：管理员审核垃圾桶照片。</w:t>
      </w:r>
    </w:p>
    <w:p>
      <w:pPr>
        <w:pageBreakBefore w:val="0"/>
        <w:numPr>
          <w:ilvl w:val="0"/>
          <w:numId w:val="44"/>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完成度查看：查看本期答题整体完成情况。</w:t>
      </w:r>
    </w:p>
    <w:p>
      <w:pPr>
        <w:pStyle w:val="9"/>
        <w:pageBreakBefore w:val="0"/>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治理场景管理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10.1</w:t>
      </w:r>
      <w:r>
        <w:rPr>
          <w:rFonts w:hint="eastAsia" w:ascii="宋体" w:hAnsi="宋体" w:eastAsia="宋体" w:cs="宋体"/>
          <w:sz w:val="21"/>
          <w:szCs w:val="21"/>
        </w:rPr>
        <w:t>随手拍上报管理</w:t>
      </w:r>
    </w:p>
    <w:p>
      <w:pPr>
        <w:pageBreakBefore w:val="0"/>
        <w:numPr>
          <w:ilvl w:val="0"/>
          <w:numId w:val="4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上报管理：居民反馈的邻里纠纷、设施损坏、违法举报信息的查看，处理和反馈。</w:t>
      </w:r>
    </w:p>
    <w:p>
      <w:pPr>
        <w:pageBreakBefore w:val="0"/>
        <w:numPr>
          <w:ilvl w:val="0"/>
          <w:numId w:val="45"/>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人员配置：根据社区网格人员，分配对应的上报事件处理权限。</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10.2</w:t>
      </w:r>
      <w:r>
        <w:rPr>
          <w:rFonts w:hint="eastAsia" w:ascii="宋体" w:hAnsi="宋体" w:eastAsia="宋体" w:cs="宋体"/>
          <w:sz w:val="21"/>
          <w:szCs w:val="21"/>
        </w:rPr>
        <w:t>湾头安防、消防设备管理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物联网安防消防设备管理：物联网平台实现安防监控、高空抛物、防通道占道、智慧消防、客流统计、门禁管理等多种类型的不同型号设备的报警信息采集与上报，报警信息自动生成工单。</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10.3</w:t>
      </w:r>
      <w:r>
        <w:rPr>
          <w:rFonts w:hint="eastAsia" w:ascii="宋体" w:hAnsi="宋体" w:eastAsia="宋体" w:cs="宋体"/>
          <w:sz w:val="21"/>
          <w:szCs w:val="21"/>
        </w:rPr>
        <w:t>湾头超话管理</w:t>
      </w:r>
    </w:p>
    <w:p>
      <w:pPr>
        <w:pageBreakBefore w:val="0"/>
        <w:numPr>
          <w:ilvl w:val="0"/>
          <w:numId w:val="4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超话发布：支持超话内容的新增、修改、删除。</w:t>
      </w:r>
    </w:p>
    <w:p>
      <w:pPr>
        <w:pageBreakBefore w:val="0"/>
        <w:numPr>
          <w:ilvl w:val="0"/>
          <w:numId w:val="46"/>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积分发放：根据超话中点赞数，对指定人员进行积分发放。</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10.4</w:t>
      </w:r>
      <w:r>
        <w:rPr>
          <w:rFonts w:hint="eastAsia" w:ascii="宋体" w:hAnsi="宋体" w:eastAsia="宋体" w:cs="宋体"/>
          <w:sz w:val="21"/>
          <w:szCs w:val="21"/>
        </w:rPr>
        <w:t>湾头问卷管理</w:t>
      </w:r>
    </w:p>
    <w:p>
      <w:pPr>
        <w:pageBreakBefore w:val="0"/>
        <w:numPr>
          <w:ilvl w:val="0"/>
          <w:numId w:val="4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问卷题型管理：根据问题类型选择单选题、多选题、填空题、以及量表题。</w:t>
      </w:r>
    </w:p>
    <w:p>
      <w:pPr>
        <w:pageBreakBefore w:val="0"/>
        <w:numPr>
          <w:ilvl w:val="0"/>
          <w:numId w:val="47"/>
        </w:numPr>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问卷情况展示：查看问卷统计、选择的情况。</w:t>
      </w:r>
    </w:p>
    <w:p>
      <w:pPr>
        <w:pStyle w:val="10"/>
        <w:pageBreakBefore w:val="0"/>
        <w:tabs>
          <w:tab w:val="left" w:pos="1418"/>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10.5</w:t>
      </w:r>
      <w:r>
        <w:rPr>
          <w:rFonts w:hint="eastAsia" w:ascii="宋体" w:hAnsi="宋体" w:eastAsia="宋体" w:cs="宋体"/>
          <w:sz w:val="21"/>
          <w:szCs w:val="21"/>
        </w:rPr>
        <w:t>湾头公告管理</w:t>
      </w:r>
    </w:p>
    <w:p>
      <w:pPr>
        <w:pStyle w:val="271"/>
        <w:pageBreakBefore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公告管理：电子公告栏信息的新增、修改和删除，以及发布和取消发布操作。</w:t>
      </w:r>
    </w:p>
    <w:p>
      <w:pPr>
        <w:pStyle w:val="7"/>
        <w:pageBreakBefore w:val="0"/>
        <w:tabs>
          <w:tab w:val="left" w:pos="851"/>
        </w:tabs>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bookmarkStart w:id="42" w:name="_Toc23476"/>
      <w:r>
        <w:rPr>
          <w:rFonts w:hint="eastAsia" w:ascii="宋体" w:hAnsi="宋体" w:eastAsia="宋体" w:cs="宋体"/>
          <w:sz w:val="21"/>
          <w:szCs w:val="21"/>
          <w:lang w:val="en-US" w:eastAsia="zh-CN"/>
        </w:rPr>
        <w:t>5.1.3</w:t>
      </w:r>
      <w:r>
        <w:rPr>
          <w:rFonts w:hint="eastAsia" w:ascii="宋体" w:hAnsi="宋体" w:eastAsia="宋体" w:cs="宋体"/>
          <w:sz w:val="21"/>
          <w:szCs w:val="21"/>
        </w:rPr>
        <w:t>未来社区综合治理系统</w:t>
      </w:r>
      <w:bookmarkEnd w:id="42"/>
    </w:p>
    <w:p>
      <w:pPr>
        <w:pStyle w:val="8"/>
        <w:pageBreakBefore w:val="0"/>
        <w:widowControl w:val="0"/>
        <w:tabs>
          <w:tab w:val="left" w:pos="2127"/>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5.1.3.1</w:t>
      </w:r>
      <w:r>
        <w:rPr>
          <w:rFonts w:hint="eastAsia" w:ascii="宋体" w:hAnsi="宋体" w:eastAsia="宋体" w:cs="宋体"/>
          <w:sz w:val="21"/>
          <w:szCs w:val="21"/>
        </w:rPr>
        <w:t>系统概述</w:t>
      </w:r>
    </w:p>
    <w:p>
      <w:pPr>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未来社区综合治理系统以PCWEB端为载体，主要用户对象为社区工作人员及政府人员，主要进行针对未来社区数字化综合治理的场景管理和数据查阅。</w:t>
      </w:r>
    </w:p>
    <w:p>
      <w:pPr>
        <w:pStyle w:val="8"/>
        <w:pageBreakBefore w:val="0"/>
        <w:widowControl w:val="0"/>
        <w:tabs>
          <w:tab w:val="left" w:pos="2127"/>
        </w:tabs>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5.1.3.2</w:t>
      </w:r>
      <w:r>
        <w:rPr>
          <w:rFonts w:hint="eastAsia" w:ascii="宋体" w:hAnsi="宋体" w:eastAsia="宋体" w:cs="宋体"/>
          <w:sz w:val="21"/>
          <w:szCs w:val="21"/>
        </w:rPr>
        <w:t>功能架构</w:t>
      </w:r>
    </w:p>
    <w:p>
      <w:pPr>
        <w:spacing w:before="160" w:after="120" w:line="240" w:lineRule="auto"/>
        <w:ind w:firstLine="0" w:firstLineChars="0"/>
        <w:jc w:val="center"/>
        <w:rPr>
          <w:sz w:val="21"/>
          <w:szCs w:val="21"/>
        </w:rPr>
      </w:pPr>
      <w:r>
        <w:rPr>
          <w:sz w:val="21"/>
          <w:szCs w:val="21"/>
        </w:rPr>
        <w:drawing>
          <wp:inline distT="0" distB="0" distL="0" distR="0">
            <wp:extent cx="5274310" cy="3692525"/>
            <wp:effectExtent l="0" t="0" r="889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4310" cy="3692525"/>
                    </a:xfrm>
                    <a:prstGeom prst="rect">
                      <a:avLst/>
                    </a:prstGeom>
                  </pic:spPr>
                </pic:pic>
              </a:graphicData>
            </a:graphic>
          </wp:inline>
        </w:drawing>
      </w:r>
    </w:p>
    <w:p>
      <w:pPr>
        <w:spacing w:before="160" w:after="120" w:line="240" w:lineRule="auto"/>
        <w:ind w:firstLine="0" w:firstLineChars="0"/>
        <w:jc w:val="center"/>
        <w:rPr>
          <w:sz w:val="21"/>
          <w:szCs w:val="21"/>
        </w:rPr>
      </w:pPr>
      <w:r>
        <w:rPr>
          <w:sz w:val="21"/>
          <w:szCs w:val="21"/>
        </w:rPr>
        <w:t xml:space="preserve">图 </w:t>
      </w:r>
      <w:r>
        <w:rPr>
          <w:sz w:val="21"/>
          <w:szCs w:val="21"/>
        </w:rPr>
        <w:fldChar w:fldCharType="begin"/>
      </w:r>
      <w:r>
        <w:rPr>
          <w:sz w:val="21"/>
          <w:szCs w:val="21"/>
        </w:rPr>
        <w:instrText xml:space="preserve"> STYLEREF 1 \s </w:instrText>
      </w:r>
      <w:r>
        <w:rPr>
          <w:sz w:val="21"/>
          <w:szCs w:val="21"/>
        </w:rPr>
        <w:fldChar w:fldCharType="separate"/>
      </w:r>
      <w:r>
        <w:rPr>
          <w:sz w:val="21"/>
          <w:szCs w:val="21"/>
        </w:rPr>
        <w:t>6</w:t>
      </w:r>
      <w:r>
        <w:rPr>
          <w:sz w:val="21"/>
          <w:szCs w:val="21"/>
        </w:rPr>
        <w:fldChar w:fldCharType="end"/>
      </w:r>
      <w:r>
        <w:rPr>
          <w:sz w:val="21"/>
          <w:szCs w:val="21"/>
        </w:rPr>
        <w:noBreakHyphen/>
      </w:r>
      <w:r>
        <w:rPr>
          <w:sz w:val="21"/>
          <w:szCs w:val="21"/>
        </w:rPr>
        <w:fldChar w:fldCharType="begin"/>
      </w:r>
      <w:r>
        <w:rPr>
          <w:sz w:val="21"/>
          <w:szCs w:val="21"/>
        </w:rPr>
        <w:instrText xml:space="preserve"> SEQ 图 \* ARABIC \s 1 </w:instrText>
      </w:r>
      <w:r>
        <w:rPr>
          <w:sz w:val="21"/>
          <w:szCs w:val="21"/>
        </w:rPr>
        <w:fldChar w:fldCharType="separate"/>
      </w:r>
      <w:r>
        <w:rPr>
          <w:sz w:val="21"/>
          <w:szCs w:val="21"/>
        </w:rPr>
        <w:t>9</w:t>
      </w:r>
      <w:r>
        <w:rPr>
          <w:sz w:val="21"/>
          <w:szCs w:val="21"/>
        </w:rPr>
        <w:fldChar w:fldCharType="end"/>
      </w:r>
      <w:r>
        <w:rPr>
          <w:sz w:val="21"/>
          <w:szCs w:val="21"/>
        </w:rPr>
        <w:t xml:space="preserve"> 未来社区综合治理系统功能架构</w:t>
      </w:r>
    </w:p>
    <w:p>
      <w:pPr>
        <w:pStyle w:val="8"/>
        <w:pageBreakBefore w:val="0"/>
        <w:tabs>
          <w:tab w:val="left" w:pos="2127"/>
        </w:tabs>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5.1.3.3</w:t>
      </w:r>
      <w:r>
        <w:rPr>
          <w:rFonts w:hint="eastAsia" w:ascii="宋体" w:hAnsi="宋体" w:eastAsia="宋体" w:cs="宋体"/>
          <w:sz w:val="21"/>
          <w:szCs w:val="21"/>
        </w:rPr>
        <w:t>功能设计</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场景管理</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邻里场景</w:t>
      </w:r>
    </w:p>
    <w:p>
      <w:pPr>
        <w:pStyle w:val="11"/>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投票数据总览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投票数据总览：查询未来社区运营过程中举办过的投票次数，以及每次投票的结果数据。</w:t>
      </w:r>
    </w:p>
    <w:p>
      <w:pPr>
        <w:pStyle w:val="11"/>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邻里公约设置</w:t>
      </w:r>
    </w:p>
    <w:p>
      <w:pPr>
        <w:pageBreakBefore w:val="0"/>
        <w:numPr>
          <w:ilvl w:val="0"/>
          <w:numId w:val="4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邻里公约管理：编辑邻里公约内容。</w:t>
      </w:r>
    </w:p>
    <w:p>
      <w:pPr>
        <w:pageBreakBefore w:val="0"/>
        <w:numPr>
          <w:ilvl w:val="0"/>
          <w:numId w:val="4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邻里公约签订查询：查看邻里公约的签订情况，查询签订率和签订详情。</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教育场景</w:t>
      </w:r>
    </w:p>
    <w:p>
      <w:pPr>
        <w:pStyle w:val="11"/>
        <w:pageBreakBefore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教育地图总览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教育地图总览：展示教育地图相关的场所名称、简介、负责人、负责人联系方式、场所点位等信息。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健康场景</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1</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康养地图场馆总览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康养地图总览：展示康养地图上各康养机构的数据信息，包含服务时间、服务范围、服务内容、服务咨询方式、服务预约方式等信息。</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2</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安全智护报警总览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智护报警总览：查看设备的报警信息，以及报警后生成的工单的处理情况和平台情况。</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服务场景</w:t>
      </w:r>
    </w:p>
    <w:p>
      <w:pPr>
        <w:pStyle w:val="11"/>
        <w:pageBreakBefore w:val="0"/>
        <w:numPr>
          <w:ilvl w:val="0"/>
          <w:numId w:val="0"/>
        </w:numPr>
        <w:kinsoku/>
        <w:wordWrap/>
        <w:overflowPunct/>
        <w:topLinePunct w:val="0"/>
        <w:autoSpaceDE/>
        <w:autoSpaceDN/>
        <w:bidi w:val="0"/>
        <w:adjustRightInd/>
        <w:snapToGrid/>
        <w:spacing w:before="0" w:after="0" w:line="360" w:lineRule="auto"/>
        <w:ind w:left="0"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政策发布管理</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政策发布管理：政策公告信息发布，针对部分需要居民签收的公告可以进行消息签收设置。</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低碳场景</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1</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垃圾分类完成度总览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完成度总览：查看已有各期答题数据，能展示当前的总体完成度以及每一户人员的完成情况和评分情况。</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1.5</w:t>
      </w:r>
      <w:r>
        <w:rPr>
          <w:rFonts w:hint="eastAsia" w:ascii="宋体" w:hAnsi="宋体" w:eastAsia="宋体" w:cs="宋体"/>
          <w:sz w:val="21"/>
          <w:szCs w:val="21"/>
        </w:rPr>
        <w:t>治理场景</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1</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随手拍总览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随手拍总览：查看居民随手拍的事件信息，以及处理结果和平台，可根据社区楼幢查询不同维度下的反馈数量和处理完成百分比。</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2</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安防、消防数据总览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安防、消防数据总览：安防、消防物联网设备的在线状态、设备名称、点位信息。以及对应设备产生的告警工单信息的查看。</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3</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湾头问卷总览</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问卷总览：查看社区中已经举办的各种问卷数据及每份问卷的答题情况。</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4</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电子屏政务发布管理</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电子屏政务发布管理：在线编辑电子屏发布内容，支持新增、修改、删除支持文本、图片和视频片段的发布。</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5</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防疫登记管理</w:t>
      </w:r>
    </w:p>
    <w:p>
      <w:pPr>
        <w:pageBreakBefore w:val="0"/>
        <w:numPr>
          <w:ilvl w:val="0"/>
          <w:numId w:val="4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表单类型管理：问题类型为下拉选项、问答。</w:t>
      </w:r>
    </w:p>
    <w:p>
      <w:pPr>
        <w:pageBreakBefore w:val="0"/>
        <w:numPr>
          <w:ilvl w:val="0"/>
          <w:numId w:val="4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登记表单管理：登记表单的新增、修改、删除，支持发布和取消发布。</w:t>
      </w:r>
    </w:p>
    <w:p>
      <w:pPr>
        <w:pageBreakBefore w:val="0"/>
        <w:numPr>
          <w:ilvl w:val="0"/>
          <w:numId w:val="4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登记信息查询：查看居民填写的登记信息。</w:t>
      </w:r>
    </w:p>
    <w:p>
      <w:pPr>
        <w:keepNext/>
        <w:keepLines/>
        <w:pageBreakBefore w:val="0"/>
        <w:widowControl/>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6"/>
        <w:rPr>
          <w:rFonts w:hint="eastAsia" w:ascii="宋体" w:hAnsi="宋体" w:eastAsia="宋体" w:cs="宋体"/>
          <w:b/>
          <w:bCs/>
          <w:kern w:val="0"/>
          <w:sz w:val="21"/>
          <w:szCs w:val="21"/>
        </w:rPr>
      </w:pP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lang w:val="en-US" w:eastAsia="zh-CN"/>
        </w:rPr>
        <w:t>6</w:t>
      </w:r>
      <w:r>
        <w:rPr>
          <w:rFonts w:hint="eastAsia" w:ascii="宋体" w:hAnsi="宋体" w:eastAsia="宋体" w:cs="宋体"/>
          <w:b/>
          <w:bCs/>
          <w:kern w:val="0"/>
          <w:sz w:val="21"/>
          <w:szCs w:val="21"/>
          <w:lang w:eastAsia="zh-CN"/>
        </w:rPr>
        <w:t>）</w:t>
      </w:r>
      <w:r>
        <w:rPr>
          <w:rFonts w:hint="eastAsia" w:ascii="宋体" w:hAnsi="宋体" w:eastAsia="宋体" w:cs="宋体"/>
          <w:b/>
          <w:bCs/>
          <w:kern w:val="0"/>
          <w:sz w:val="21"/>
          <w:szCs w:val="21"/>
        </w:rPr>
        <w:t>湾头党建管理</w:t>
      </w:r>
    </w:p>
    <w:p>
      <w:pPr>
        <w:pageBreakBefore w:val="0"/>
        <w:numPr>
          <w:ilvl w:val="0"/>
          <w:numId w:val="5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资讯管理：党务通内资讯可进行添加编辑删除。</w:t>
      </w:r>
    </w:p>
    <w:p>
      <w:pPr>
        <w:pageBreakBefore w:val="0"/>
        <w:numPr>
          <w:ilvl w:val="0"/>
          <w:numId w:val="5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人员管理：党员干部身份管理。</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运营管理</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功能与未来社区运营维护系统共用。</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用户管理</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采用浙里办和浙政钉用户体系、组织架构体系，进行用户身份统一认证。其余功能与未来社区运营维护系统共用。</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系统设置</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功能与未来社区运营维护系统共用。</w:t>
      </w:r>
    </w:p>
    <w:p>
      <w:pPr>
        <w:pStyle w:val="7"/>
        <w:pageBreakBefore w:val="0"/>
        <w:tabs>
          <w:tab w:val="left" w:pos="851"/>
        </w:tabs>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bookmarkStart w:id="43" w:name="_Toc2467"/>
      <w:r>
        <w:rPr>
          <w:rFonts w:hint="eastAsia" w:ascii="宋体" w:hAnsi="宋体" w:eastAsia="宋体" w:cs="宋体"/>
          <w:sz w:val="21"/>
          <w:szCs w:val="21"/>
          <w:lang w:val="en-US" w:eastAsia="zh-CN"/>
        </w:rPr>
        <w:t>5.1.4</w:t>
      </w:r>
      <w:r>
        <w:rPr>
          <w:rFonts w:hint="eastAsia" w:ascii="宋体" w:hAnsi="宋体" w:eastAsia="宋体" w:cs="宋体"/>
          <w:sz w:val="21"/>
          <w:szCs w:val="21"/>
        </w:rPr>
        <w:t>未来社区服务可视化应用</w:t>
      </w:r>
      <w:bookmarkEnd w:id="43"/>
    </w:p>
    <w:p>
      <w:pPr>
        <w:pStyle w:val="8"/>
        <w:pageBreakBefore w:val="0"/>
        <w:tabs>
          <w:tab w:val="left" w:pos="2127"/>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5.1.4.1</w:t>
      </w:r>
      <w:r>
        <w:rPr>
          <w:rFonts w:hint="eastAsia" w:ascii="宋体" w:hAnsi="宋体" w:eastAsia="宋体" w:cs="宋体"/>
          <w:sz w:val="21"/>
          <w:szCs w:val="21"/>
        </w:rPr>
        <w:t>系统概述</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未来社区</w:t>
      </w:r>
      <w:r>
        <w:rPr>
          <w:rFonts w:hint="eastAsia" w:ascii="宋体" w:hAnsi="宋体" w:eastAsia="宋体" w:cs="宋体"/>
          <w:bCs/>
          <w:sz w:val="21"/>
          <w:szCs w:val="21"/>
        </w:rPr>
        <w:t>服务</w:t>
      </w:r>
      <w:r>
        <w:rPr>
          <w:rFonts w:hint="eastAsia" w:ascii="宋体" w:hAnsi="宋体" w:eastAsia="宋体" w:cs="宋体"/>
          <w:sz w:val="21"/>
          <w:szCs w:val="21"/>
        </w:rPr>
        <w:t>可视化应用以网页版数字化大屏为载体，主要用户对象为社区居民、社区工作人员、社区治理人员等，结合空间数据资产，针对未来社区整体运营情况、周边物联设备数据进行可视化展示。</w:t>
      </w:r>
    </w:p>
    <w:p>
      <w:pPr>
        <w:pStyle w:val="8"/>
        <w:pageBreakBefore w:val="0"/>
        <w:tabs>
          <w:tab w:val="left" w:pos="2127"/>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5.1.4.2</w:t>
      </w:r>
      <w:r>
        <w:rPr>
          <w:rFonts w:hint="eastAsia" w:ascii="宋体" w:hAnsi="宋体" w:eastAsia="宋体" w:cs="宋体"/>
          <w:sz w:val="21"/>
          <w:szCs w:val="21"/>
        </w:rPr>
        <w:t>功能架构</w:t>
      </w:r>
    </w:p>
    <w:p>
      <w:pPr>
        <w:spacing w:before="160" w:after="120" w:line="240" w:lineRule="auto"/>
        <w:ind w:firstLine="0" w:firstLineChars="0"/>
        <w:jc w:val="center"/>
        <w:rPr>
          <w:sz w:val="21"/>
          <w:szCs w:val="21"/>
        </w:rPr>
      </w:pPr>
      <w:r>
        <w:rPr>
          <w:sz w:val="21"/>
          <w:szCs w:val="21"/>
        </w:rPr>
        <w:drawing>
          <wp:inline distT="0" distB="0" distL="0" distR="0">
            <wp:extent cx="4173855" cy="1990725"/>
            <wp:effectExtent l="0" t="0" r="4445"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4173855" cy="1990725"/>
                    </a:xfrm>
                    <a:prstGeom prst="rect">
                      <a:avLst/>
                    </a:prstGeom>
                  </pic:spPr>
                </pic:pic>
              </a:graphicData>
            </a:graphic>
          </wp:inline>
        </w:drawing>
      </w:r>
    </w:p>
    <w:p>
      <w:pPr>
        <w:spacing w:before="160" w:after="120" w:line="240" w:lineRule="auto"/>
        <w:ind w:firstLine="0" w:firstLineChars="0"/>
        <w:jc w:val="center"/>
        <w:rPr>
          <w:sz w:val="21"/>
          <w:szCs w:val="21"/>
        </w:rPr>
      </w:pPr>
      <w:r>
        <w:rPr>
          <w:sz w:val="21"/>
          <w:szCs w:val="21"/>
        </w:rPr>
        <w:t xml:space="preserve">图 </w:t>
      </w:r>
      <w:r>
        <w:rPr>
          <w:sz w:val="21"/>
          <w:szCs w:val="21"/>
        </w:rPr>
        <w:fldChar w:fldCharType="begin"/>
      </w:r>
      <w:r>
        <w:rPr>
          <w:sz w:val="21"/>
          <w:szCs w:val="21"/>
        </w:rPr>
        <w:instrText xml:space="preserve"> STYLEREF 1 \s </w:instrText>
      </w:r>
      <w:r>
        <w:rPr>
          <w:sz w:val="21"/>
          <w:szCs w:val="21"/>
        </w:rPr>
        <w:fldChar w:fldCharType="separate"/>
      </w:r>
      <w:r>
        <w:rPr>
          <w:sz w:val="21"/>
          <w:szCs w:val="21"/>
        </w:rPr>
        <w:t>6</w:t>
      </w:r>
      <w:r>
        <w:rPr>
          <w:sz w:val="21"/>
          <w:szCs w:val="21"/>
        </w:rPr>
        <w:fldChar w:fldCharType="end"/>
      </w:r>
      <w:r>
        <w:rPr>
          <w:sz w:val="21"/>
          <w:szCs w:val="21"/>
        </w:rPr>
        <w:noBreakHyphen/>
      </w:r>
      <w:r>
        <w:rPr>
          <w:sz w:val="21"/>
          <w:szCs w:val="21"/>
        </w:rPr>
        <w:fldChar w:fldCharType="begin"/>
      </w:r>
      <w:r>
        <w:rPr>
          <w:sz w:val="21"/>
          <w:szCs w:val="21"/>
        </w:rPr>
        <w:instrText xml:space="preserve"> SEQ 图 \* ARABIC \s 1 </w:instrText>
      </w:r>
      <w:r>
        <w:rPr>
          <w:sz w:val="21"/>
          <w:szCs w:val="21"/>
        </w:rPr>
        <w:fldChar w:fldCharType="separate"/>
      </w:r>
      <w:r>
        <w:rPr>
          <w:sz w:val="21"/>
          <w:szCs w:val="21"/>
        </w:rPr>
        <w:t>10</w:t>
      </w:r>
      <w:r>
        <w:rPr>
          <w:sz w:val="21"/>
          <w:szCs w:val="21"/>
        </w:rPr>
        <w:fldChar w:fldCharType="end"/>
      </w:r>
      <w:r>
        <w:rPr>
          <w:sz w:val="21"/>
          <w:szCs w:val="21"/>
        </w:rPr>
        <w:t xml:space="preserve"> </w:t>
      </w:r>
      <w:r>
        <w:t>未来社区</w:t>
      </w:r>
      <w:r>
        <w:rPr>
          <w:bCs/>
        </w:rPr>
        <w:t>服务</w:t>
      </w:r>
      <w:r>
        <w:t>可视化应用</w:t>
      </w:r>
      <w:r>
        <w:rPr>
          <w:sz w:val="21"/>
          <w:szCs w:val="21"/>
        </w:rPr>
        <w:t>功能架构</w:t>
      </w:r>
    </w:p>
    <w:p>
      <w:pPr>
        <w:pStyle w:val="8"/>
        <w:pageBreakBefore w:val="0"/>
        <w:tabs>
          <w:tab w:val="left" w:pos="2127"/>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5.1.4.3</w:t>
      </w:r>
      <w:r>
        <w:rPr>
          <w:rFonts w:hint="eastAsia" w:ascii="宋体" w:hAnsi="宋体" w:eastAsia="宋体" w:cs="宋体"/>
          <w:sz w:val="21"/>
          <w:szCs w:val="21"/>
        </w:rPr>
        <w:t>功能设计</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综合态势总览</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综合态势总览页面基于湾头社区360全景照片，提供了各大场景的初始入口。同时介绍了社区基本情况、社区热门关注、社区建筑基本情况，同时结合了各大场景的动态数据管控。</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其中社区基本情况，用图片和数据标签方式，展示居民总数、男女比例、企业总数、居民建筑面积、商业建筑面积、办公建筑面积等信息；社区热门关注，通过动态滚动排行榜方式，展示社区热门活动信息；建筑概况，用环形饼图方式，展示住宅、办公、教育、商业、餐饮、其他等不同房屋建筑使用性质的数量比例情况，以及展示无障碍设施和社区配套服务等数量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右侧包含不同场景卡片，未来邻里包含合伙人人数、社群数目、历史活动数；未来教育包含幼儿园、小学、中学、学前托幼、线上课程和幸福学堂数量；未来服务包含积分产生数、服务次数；未来治理显示党支部、业委会数量、物联网设备数量、问卷调查数量</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邻里场景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社区达人排行榜</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整合社区内有特长或有影响力的居民，申请成为社区达人后能够自行发起社区活动，增加社区活跃度促进增加邻里关系。</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5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社区达人分类：饼状图展示各类社区达人的分类及具体排布比例情况。</w:t>
      </w:r>
    </w:p>
    <w:p>
      <w:pPr>
        <w:pageBreakBefore w:val="0"/>
        <w:numPr>
          <w:ilvl w:val="0"/>
          <w:numId w:val="5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社区达人排行榜单：根据后期社区达人举办活动的参与人数、频率及居民关注度等多方因素对社区达人依据热度进行排名，形成排行榜。</w:t>
      </w:r>
    </w:p>
    <w:p>
      <w:pPr>
        <w:pageBreakBefore w:val="0"/>
        <w:numPr>
          <w:ilvl w:val="0"/>
          <w:numId w:val="5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申请成为社区达人二维码：用户可以通过扫码在小程序端报名成为社区达人。</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投票表决一览</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进行社区公共空间改造、社区民主决议等公共事务投票，听取居民意见反馈，一事一议。</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b/>
          <w:bCs/>
          <w:sz w:val="21"/>
          <w:szCs w:val="21"/>
        </w:rPr>
      </w:pPr>
      <w:r>
        <w:rPr>
          <w:rFonts w:hint="eastAsia" w:ascii="宋体" w:hAnsi="宋体" w:eastAsia="宋体" w:cs="宋体"/>
          <w:sz w:val="21"/>
          <w:szCs w:val="21"/>
        </w:rPr>
        <w:t>页面主要包含的功能有：</w:t>
      </w:r>
    </w:p>
    <w:p>
      <w:pPr>
        <w:pageBreakBefore w:val="0"/>
        <w:numPr>
          <w:ilvl w:val="0"/>
          <w:numId w:val="5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参与投票人员信息：展示参与投票人员的具体信息，包括男女比例、用户类别、调查区域等。</w:t>
      </w:r>
    </w:p>
    <w:p>
      <w:pPr>
        <w:pageBreakBefore w:val="0"/>
        <w:numPr>
          <w:ilvl w:val="0"/>
          <w:numId w:val="5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投票结果：对于居民投票或问卷所得出结果数据的动态展示。</w:t>
      </w:r>
    </w:p>
    <w:p>
      <w:pPr>
        <w:pageBreakBefore w:val="0"/>
        <w:numPr>
          <w:ilvl w:val="0"/>
          <w:numId w:val="5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投票二维码：用户可以通过扫码参与投票。</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邻里中心窗口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进行社区邻里中心改造，并对公共空间进行数字化、可视化管控。</w:t>
      </w:r>
    </w:p>
    <w:p>
      <w:pPr>
        <w:pageBreakBefore w:val="0"/>
        <w:numPr>
          <w:ilvl w:val="0"/>
          <w:numId w:val="5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可视化展示：对于邻里中心的场馆，进行三维建模，在模型中进行三维立体式查看。并区分不同功能的房间，点击不同的区域会弹出对应的房间信息弹窗，可获取活动场次信息等。</w:t>
      </w:r>
    </w:p>
    <w:p>
      <w:pPr>
        <w:pageBreakBefore w:val="0"/>
        <w:numPr>
          <w:ilvl w:val="0"/>
          <w:numId w:val="5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空间使用热度统计：利用现场装配的客流计数器进行邻里中心公共活动场所热度可视化管控，并通过每月度进入对应空间的人次展示空间使用热度。</w:t>
      </w:r>
    </w:p>
    <w:p>
      <w:pPr>
        <w:pageBreakBefore w:val="0"/>
        <w:numPr>
          <w:ilvl w:val="0"/>
          <w:numId w:val="5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活动热度排行：展示举办活动热度最高空间排行榜。</w:t>
      </w:r>
    </w:p>
    <w:p>
      <w:pPr>
        <w:pageBreakBefore w:val="0"/>
        <w:numPr>
          <w:ilvl w:val="0"/>
          <w:numId w:val="5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积分打卡二维码：用户可以通过扫码进行打卡来获得积分。</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活动广场公告</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活动广场应用作为未来社区各类活动的入口，业主可以通过此页进行活动报名、报名管理、活动回顾等操作。</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5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活动内容展示：展示最近一期活动的介绍信息。</w:t>
      </w:r>
    </w:p>
    <w:p>
      <w:pPr>
        <w:pageBreakBefore w:val="0"/>
        <w:numPr>
          <w:ilvl w:val="0"/>
          <w:numId w:val="5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活动报名二维码：展示最近一期的报名二维码，用户可以扫码直接报名该场活动。</w:t>
      </w:r>
    </w:p>
    <w:p>
      <w:pPr>
        <w:pageBreakBefore w:val="0"/>
        <w:numPr>
          <w:ilvl w:val="0"/>
          <w:numId w:val="5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活动内容回顾：活动回顾图片的轮播展示。</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场馆预约地图</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提供区级场馆、街道级场馆、社区级场馆等场馆综合在线预约服务。</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5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各级场馆所处位置可视化标注：利用360全景照片标注各个场馆的具体位置。</w:t>
      </w:r>
    </w:p>
    <w:p>
      <w:pPr>
        <w:pageBreakBefore w:val="0"/>
        <w:numPr>
          <w:ilvl w:val="0"/>
          <w:numId w:val="5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场馆情况可视化展示：点击全景图上的热点，会弹出具体的场馆信息及预约入口弹窗。</w:t>
      </w:r>
    </w:p>
    <w:p>
      <w:pPr>
        <w:pageBreakBefore w:val="0"/>
        <w:numPr>
          <w:ilvl w:val="0"/>
          <w:numId w:val="5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场馆分类：饼状图展示各类人文场馆的分类及具体排布比例情况。。</w:t>
      </w:r>
    </w:p>
    <w:p>
      <w:pPr>
        <w:pageBreakBefore w:val="0"/>
        <w:numPr>
          <w:ilvl w:val="0"/>
          <w:numId w:val="5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场馆热度排名：按照场馆的预约量、人流量、浏览量等因素对场馆进行热度排名。</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湾头社群板块</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打造湾头社区的各类特色社群，将社区中有共同追求、共同理想、共同目标、共同兴趣的人汇集在一起，实现了人与人、人与物之间的连接。促进居民间邻里关系，提升社区档次。</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5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活动看板：动态轮播展示社区已举办的活动的具体信息及现场照片。</w:t>
      </w:r>
    </w:p>
    <w:p>
      <w:pPr>
        <w:pageBreakBefore w:val="0"/>
        <w:numPr>
          <w:ilvl w:val="0"/>
          <w:numId w:val="5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社区运营官二维码：居民可以扫码添加社区运营官，向其了解未来待举办活动的具体信息，并报名。</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教育场景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教育场馆地图</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提供周边博物馆、美术馆、科技馆、户外营地等场所预约入口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5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各级场馆所处位置可视化标注：利用360全景照片标注周边博物馆、美术馆、科技馆、户外营地等教育场馆的具体位置。</w:t>
      </w:r>
    </w:p>
    <w:p>
      <w:pPr>
        <w:pageBreakBefore w:val="0"/>
        <w:numPr>
          <w:ilvl w:val="0"/>
          <w:numId w:val="5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场馆情况可视化展示：点击全景图上的热点，会弹出具体的场馆信息及预约情况弹窗。</w:t>
      </w:r>
    </w:p>
    <w:p>
      <w:pPr>
        <w:pageBreakBefore w:val="0"/>
        <w:numPr>
          <w:ilvl w:val="0"/>
          <w:numId w:val="5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场馆分类：饼状图展示各类教育场馆的分类及具体排布比例情况。</w:t>
      </w:r>
    </w:p>
    <w:p>
      <w:pPr>
        <w:pageBreakBefore w:val="0"/>
        <w:numPr>
          <w:ilvl w:val="0"/>
          <w:numId w:val="5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场馆热度排名：按照场馆的预约量、人流量、浏览量等因素对场馆进行热度排名。</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湾头托幼榜单</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完善托幼业务闭环，业主可以通过此页进行湾头托幼空间、余量、红黑榜动态监管等操作。</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5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可视化管理：对于幼儿托管点，进行三维建模，在模型中进行三维立体式查看。并区分不同功能的房间，点击不同的区域会弹出对应的房间信息弹窗，可获取空间余量信息等。</w:t>
      </w:r>
    </w:p>
    <w:p>
      <w:pPr>
        <w:pageBreakBefore w:val="0"/>
        <w:numPr>
          <w:ilvl w:val="0"/>
          <w:numId w:val="5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红黑榜：根据居民评分，生成社区托幼的红黑榜，动态监管托幼点。</w:t>
      </w:r>
    </w:p>
    <w:p>
      <w:pPr>
        <w:pageBreakBefore w:val="0"/>
        <w:numPr>
          <w:ilvl w:val="0"/>
          <w:numId w:val="5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托幼预约：托幼空间预约二维码透出。</w:t>
      </w:r>
    </w:p>
    <w:p>
      <w:pPr>
        <w:pageBreakBefore w:val="0"/>
        <w:numPr>
          <w:ilvl w:val="0"/>
          <w:numId w:val="5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托幼人数：托幼人数动态展示。</w:t>
      </w:r>
    </w:p>
    <w:p>
      <w:pPr>
        <w:pageBreakBefore w:val="0"/>
        <w:numPr>
          <w:ilvl w:val="0"/>
          <w:numId w:val="5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托幼服务统计：按年、月、日分项统计该时间段托幼人次。</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幸福学堂展板</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为丰富社区居民的业余生活，不定期开展幸福学堂课程活动，线上报名，线下活动。</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5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活动展示：以轮播图形式展示线下实际开展的幸福学堂的活动照片。</w:t>
      </w:r>
    </w:p>
    <w:p>
      <w:pPr>
        <w:pageBreakBefore w:val="0"/>
        <w:numPr>
          <w:ilvl w:val="0"/>
          <w:numId w:val="5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活动统计：利用折线图进行幸福学堂活动数量统计。</w:t>
      </w:r>
    </w:p>
    <w:p>
      <w:pPr>
        <w:pageBreakBefore w:val="0"/>
        <w:numPr>
          <w:ilvl w:val="0"/>
          <w:numId w:val="5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扫码预约：在幸福学堂活动界面，提供小程序端二维码预约入口。</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甬上云校电视版</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接入宁波市级统一教育平台-甬上云校，为社区内的学生提供在线教育资源。页面主要包含的功能有：</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页面引用：封装现有甬上云校页面，提供在线课程查询、学习功能。</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健康场景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康养场馆地图</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湾头健康、养老资源一张图，方便老年人及家庭设定条件，搜索附近养老设施，感知周边养老服务机构、康复医院、护理院、老年大学、老年用品商城等养老资源。</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可视化展示：结合360全景照片，展示健康、养老资源，点击会弹出具场馆信息的弹窗。</w:t>
      </w:r>
    </w:p>
    <w:p>
      <w:pPr>
        <w:pageBreakBefore w:val="0"/>
        <w:numPr>
          <w:ilvl w:val="0"/>
          <w:numId w:val="6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场馆分类：饼状图展示各类养老场馆的分类及具体排布比例情况。</w:t>
      </w:r>
    </w:p>
    <w:p>
      <w:pPr>
        <w:pageBreakBefore w:val="0"/>
        <w:numPr>
          <w:ilvl w:val="0"/>
          <w:numId w:val="6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场馆热度排名：按照场馆的预约量、人流量、浏览量等因素对场馆进行热度排名。</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安全智护设备</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为独居老人提供申请安装安全智护设备，通过对设备数据的监控、报警辅助判断老人当前的生活状态。</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Style w:val="271"/>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设备展示：结合三维模型将智能水表监测、一键报警、门磁等IOT设备位置与状态进行展示，点击可弹出设备详情弹窗，进行查看。</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创业场景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众创空间板块</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为社区内的创业者提供经济实惠的办公场所，可以进行空闲工位的查询、工位详情的查看，并在线提交使用申请。</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可视化管理：对于众创空间，进行三维建模，在模型中进行三维立体式查看。点击不同的房间会弹出对应的房间信息弹窗，包含出租价格、房间名称、房间面积、是否暗间和出租状态等。</w:t>
      </w:r>
    </w:p>
    <w:p>
      <w:pPr>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租用申请二维码：用户可以通过扫码提交工位的租用申请。</w:t>
      </w:r>
    </w:p>
    <w:p>
      <w:pPr>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服务统计：查看房间点击与申请租赁次数。</w:t>
      </w:r>
    </w:p>
    <w:p>
      <w:pPr>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房间分类：饼状图展示房间已租、未租分类及具体排布比例情况。</w:t>
      </w:r>
    </w:p>
    <w:p>
      <w:pPr>
        <w:pageBreakBefore w:val="0"/>
        <w:numPr>
          <w:ilvl w:val="0"/>
          <w:numId w:val="6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房间列表：展示众创空间所有房间的基本信息，包括房间号、面积、朝向和出租状态，形成列表方便直观查看。</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湾头创业指导</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为创业者提供创业导师信息、创业服务联盟信息、创业达人信息。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信息发布：企业、人才政策、惠企政策等信息发布以及公司及创业税务政策发布。</w:t>
      </w:r>
    </w:p>
    <w:p>
      <w:pPr>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办公租赁：提供办公工位租赁情况查询与申请。</w:t>
      </w:r>
    </w:p>
    <w:p>
      <w:pPr>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创业导师：展示创业导师照片、姓名、电话、微信联系方式、线下办公地点等信息，其为创业者提供租房、企业服务、政策咨询等一对一线下指导服务。</w:t>
      </w:r>
    </w:p>
    <w:p>
      <w:pPr>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创业达人：展示社区创业达人姓名、照片、履历等信息，为创业者提供创业领路人。</w:t>
      </w:r>
    </w:p>
    <w:p>
      <w:pPr>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企服联盟：展示社区内优质企业服务联盟资源，为创业者提供金融、人力、法律、中介类的优质企业服务。</w:t>
      </w:r>
    </w:p>
    <w:p>
      <w:pPr>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热门搜索：根据搜索频次对我要开企业、我要租赁办公场所、我要查询创业政策法规、我要咨询创业导师、我要寻求创业达人、我要查询企业服务联盟6个模块依据热度进行排名，形成排行榜。</w:t>
      </w:r>
    </w:p>
    <w:p>
      <w:pPr>
        <w:pageBreakBefore w:val="0"/>
        <w:numPr>
          <w:ilvl w:val="0"/>
          <w:numId w:val="6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湾头创业二维码：用户可以通过扫码在小程序端了解创业详情。</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建筑场景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数字社区总览</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通过社区级CIM模型，实现精确到户服务与管理，可视化展示居民注册情况、活动参与情况、积分持有情况、积分兑换情况等。</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可视化管理：对于整体社区，进行三维建模，在模型中进行三维立体式查看。展示各个用户积分热力分布，点击后查看该户的人员接口、每日点击、兴趣排行、用户积分趋势、积分分类情况、参与活动列表。</w:t>
      </w:r>
    </w:p>
    <w:p>
      <w:pPr>
        <w:pageBreakBefore w:val="0"/>
        <w:numPr>
          <w:ilvl w:val="0"/>
          <w:numId w:val="6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活跃度展示：展示每日日活、日活分布、点击排行榜的内容，其中每日日活采用折线图方式，展示移动端每日访问数据以及总访问量，日活分布通过柱状图方式，展示移动端不同板块访问情况，点击排行榜，采用柱状图方式，展示不同板块点击排行情况。</w:t>
      </w:r>
    </w:p>
    <w:p>
      <w:pPr>
        <w:pageBreakBefore w:val="0"/>
        <w:numPr>
          <w:ilvl w:val="0"/>
          <w:numId w:val="63"/>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居民注册情况：展示居民注册情况、积分排名、注册分布内容；居民注册情况采用折线图方式，展示按周、月、年方式统计人员注册数量；积分排名通过表格方式，展示居民、商圈、企业的积分获得排名；注册分布采用图片和标签方式，展示人员分布情况。</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交通场景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湾头实时公交</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实现公共公交实时信息查看与查询的动态看板。</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公共交通展示：以360全景上展示公交站点位置，点击公交图标，可展示出公交实时运行状况,统计出到站情况。</w:t>
      </w:r>
    </w:p>
    <w:p>
      <w:pPr>
        <w:pageBreakBefore w:val="0"/>
        <w:numPr>
          <w:ilvl w:val="0"/>
          <w:numId w:val="64"/>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反向查询：通过点击不同方向的热点，可以查看不同方向公交情况。</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服务场景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湾头商圈看板</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可以进行商户定位、商户线下优惠信息发布等功能。</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商户展示：在360全景上展示出商铺位置，点击位置点，能显示出商铺的详情、商铺优惠券信息。</w:t>
      </w:r>
    </w:p>
    <w:p>
      <w:pPr>
        <w:pageBreakBefore w:val="0"/>
        <w:numPr>
          <w:ilvl w:val="0"/>
          <w:numId w:val="65"/>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商户统计：以商户经营范围、热度来统计各类型的商户情况。</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湾头积分展板</w:t>
      </w:r>
    </w:p>
    <w:p>
      <w:pPr>
        <w:pageBreakBefore w:val="0"/>
        <w:widowControl/>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展示从积分产生到积分核销全生命周期。</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积分展示：以表格形式展示出用户实时获取积分的情况。</w:t>
      </w:r>
    </w:p>
    <w:p>
      <w:pPr>
        <w:pageBreakBefore w:val="0"/>
        <w:numPr>
          <w:ilvl w:val="0"/>
          <w:numId w:val="6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积分统计：以统计图的方式展示出用户每日积分变化、用户持有分数、累计产生分数、消费分数、待兑换分数、已兑换分数。</w:t>
      </w:r>
    </w:p>
    <w:p>
      <w:pPr>
        <w:pageBreakBefore w:val="0"/>
        <w:numPr>
          <w:ilvl w:val="0"/>
          <w:numId w:val="6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积分分类统计：以统计图的方式展现出各个类型的积分获取。</w:t>
      </w:r>
    </w:p>
    <w:p>
      <w:pPr>
        <w:pageBreakBefore w:val="0"/>
        <w:numPr>
          <w:ilvl w:val="0"/>
          <w:numId w:val="6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积分兑换情况：以表格、统计的方式展现出兑换物品的情况，点击后可显示兑换详情。</w:t>
      </w:r>
    </w:p>
    <w:p>
      <w:pPr>
        <w:pageBreakBefore w:val="0"/>
        <w:numPr>
          <w:ilvl w:val="0"/>
          <w:numId w:val="66"/>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积分兑换物品统计：以统计图的方式统计出各个物品兑换占比。</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湾头广播看板</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可视化：居民信息签收状态，BIM可视化展示。</w:t>
      </w:r>
    </w:p>
    <w:p>
      <w:pPr>
        <w:pageBreakBefore w:val="0"/>
        <w:numPr>
          <w:ilvl w:val="0"/>
          <w:numId w:val="6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签收率：分楼栋签收率展示居民签收趋势动态展示。</w:t>
      </w:r>
    </w:p>
    <w:p>
      <w:pPr>
        <w:pageBreakBefore w:val="0"/>
        <w:numPr>
          <w:ilvl w:val="0"/>
          <w:numId w:val="6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消息发布频率：发布频率可视化展示。</w:t>
      </w:r>
    </w:p>
    <w:p>
      <w:pPr>
        <w:pageBreakBefore w:val="0"/>
        <w:numPr>
          <w:ilvl w:val="0"/>
          <w:numId w:val="67"/>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精确单户查询：到户历史签收信息查询。</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治理场景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随手拍看板</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事件查看：查看居民上报的事件。</w:t>
      </w:r>
    </w:p>
    <w:p>
      <w:pPr>
        <w:pageBreakBefore w:val="0"/>
        <w:numPr>
          <w:ilvl w:val="0"/>
          <w:numId w:val="68"/>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事件统计：结合360全景查看上报事件统计图表。</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湾头安防总览</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6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安防设备展示：在倾斜摄影遥感影像和模型基础上展示出各设备的分布位置，点击设备可展示出设备详情。</w:t>
      </w:r>
    </w:p>
    <w:p>
      <w:pPr>
        <w:pageBreakBefore w:val="0"/>
        <w:numPr>
          <w:ilvl w:val="0"/>
          <w:numId w:val="6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安防设备统计：以统计图方式展示出各种类型设备数量统计。</w:t>
      </w:r>
    </w:p>
    <w:p>
      <w:pPr>
        <w:pageBreakBefore w:val="0"/>
        <w:numPr>
          <w:ilvl w:val="0"/>
          <w:numId w:val="69"/>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安防设备消息通知：以表格的形式展示出设备历史推送消息。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智慧消防看板</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7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消防设备展示：在倾斜摄影遥感影像和模型基础上展示出设备点的位置，点击设备可显示设备详情。</w:t>
      </w:r>
    </w:p>
    <w:p>
      <w:pPr>
        <w:pageBreakBefore w:val="0"/>
        <w:numPr>
          <w:ilvl w:val="0"/>
          <w:numId w:val="70"/>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设备监控数据展示：以统计图的方式展示各个设备的指标数据情况，点击计图以表格的形式展示出统计的相关设备防设备消息通知，并以表格的形式展示出设备历史推送消息。</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湾头问卷总览</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7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问卷统计：通过选择不同问卷（单选题、多选题）进行查看问卷统计、选择的情况。</w:t>
      </w:r>
    </w:p>
    <w:p>
      <w:pPr>
        <w:pageBreakBefore w:val="0"/>
        <w:numPr>
          <w:ilvl w:val="0"/>
          <w:numId w:val="71"/>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问卷二维码：通过扫码，用户可查看问卷或填写问卷。</w:t>
      </w:r>
    </w:p>
    <w:p>
      <w:pPr>
        <w:pStyle w:val="10"/>
        <w:pageBreakBefore w:val="0"/>
        <w:tabs>
          <w:tab w:val="left" w:pos="1418"/>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湾头党建看板</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页面主要包含的功能有：</w:t>
      </w:r>
    </w:p>
    <w:p>
      <w:pPr>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微网格：结合360全景，展示微网格，点击查询微网格长信息。</w:t>
      </w:r>
    </w:p>
    <w:p>
      <w:pPr>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党建阵地：通过VR全景进行红色阵地漫游，并通过文字和音频方式介绍阵地。</w:t>
      </w:r>
    </w:p>
    <w:p>
      <w:pPr>
        <w:pageBreakBefore w:val="0"/>
        <w:numPr>
          <w:ilvl w:val="0"/>
          <w:numId w:val="72"/>
        </w:numPr>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党建统领：展示联盟组织架构和组织架构人员组成。</w:t>
      </w:r>
    </w:p>
    <w:p>
      <w:pPr>
        <w:pStyle w:val="7"/>
        <w:pageBreakBefore w:val="0"/>
        <w:tabs>
          <w:tab w:val="left" w:pos="851"/>
        </w:tabs>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bookmarkStart w:id="44" w:name="_Toc31829"/>
      <w:r>
        <w:rPr>
          <w:rFonts w:hint="eastAsia" w:ascii="宋体" w:hAnsi="宋体" w:eastAsia="宋体" w:cs="宋体"/>
          <w:sz w:val="21"/>
          <w:szCs w:val="21"/>
          <w:lang w:val="en-US" w:eastAsia="zh-CN"/>
        </w:rPr>
        <w:t>5.1.5</w:t>
      </w:r>
      <w:r>
        <w:rPr>
          <w:rFonts w:hint="eastAsia" w:ascii="宋体" w:hAnsi="宋体" w:eastAsia="宋体" w:cs="宋体"/>
          <w:sz w:val="21"/>
          <w:szCs w:val="21"/>
        </w:rPr>
        <w:t>系统接口</w:t>
      </w:r>
      <w:bookmarkEnd w:id="44"/>
    </w:p>
    <w:p>
      <w:pPr>
        <w:pStyle w:val="8"/>
        <w:pageBreakBefore w:val="0"/>
        <w:tabs>
          <w:tab w:val="left" w:pos="2127"/>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5.1.5.1</w:t>
      </w:r>
      <w:r>
        <w:rPr>
          <w:rFonts w:hint="eastAsia" w:ascii="宋体" w:hAnsi="宋体" w:eastAsia="宋体" w:cs="宋体"/>
          <w:sz w:val="21"/>
          <w:szCs w:val="21"/>
        </w:rPr>
        <w:t>对外开放接口</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空间数字资产查询接口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未来社区三维数字资产信息共享接口供外部门访问，查看社区下所有三维数字资产和热点信息，其中三维数字资产包括三维模型、360全景、倾斜摄影遥感影像和模型等信息，热点信息包含经纬度、关联物联网设备、关联场馆信息、以及热点状态信息。</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小区信息共享接口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提供指定小区信息共享接口供外部门访问，查看特定社区下的所有小区，包含各个小区简称、空间类型等信息。</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房屋信息共享接口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房屋信息共享接口供外部门访问，查看房屋的空间位置、房屋基本信息、楼幢信息、不动产权信息等，其中空间位置包含经纬度、四至位置等；房屋基本信息包含房屋使用状态、住户人数、CIM相关的数字空间编号等，房屋楼幢信息包含小区、楼、幢、单元等；不动产权信息包含坐落、界址、空间界限、面积、用途等。</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车辆信息共享接口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 xml:space="preserve">提供车辆信息共享接口供外部门访问，查看指定小区下指定房屋下的车辆信息，其中包含车辆的车牌号、绑定的车位信息、车主信息等。 </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住户信息共享接口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提供小区住户信息共享接口供外部门访问，查看指定小区下的用户基本信息，包括用户所绑定的房产信息、用户所属角色、注册来源、系统编号、受限脱敏信息（如姓名、年龄等）等。</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物联网设备信息共享接口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小区内物联网信息共享接口供外部门访问，查看指定小区下的物联网设备列表信息，包括设备唯一编号、所属产品类型、设备名称、设备状态、设备扩展信息等；其中设备扩展信息包含设备安装地点、经纬度、设备维保信息等。</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事件信息共享接口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提供小区内物联网设备事件告警信息共享接口供外部门访问，查看指定小区下的物联网设备所产生的事件通知信息，包括设备唯一编号、事件发生时间、事件关闭时间、事件内容、事件等级、事件解决人等。</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积分信息共享接口</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提供小区内用户积分信息共享接口供外部门访问，查看指定小区下的用户使用积分的信息，包括当前积分、已使用的积分、剩余积分等。同时提供增加积分、扣除积分接口，即为当外部业务产生积分的时候，可以调用该接口进行增加积分；当用户在外部应用中使用服务时候，外部业务系统可以调用积分扣除接口进行积分扣除操作。</w:t>
      </w:r>
    </w:p>
    <w:p>
      <w:pPr>
        <w:pStyle w:val="8"/>
        <w:pageBreakBefore w:val="0"/>
        <w:tabs>
          <w:tab w:val="left" w:pos="2127"/>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5.1.5.2</w:t>
      </w:r>
      <w:r>
        <w:rPr>
          <w:rFonts w:hint="eastAsia" w:ascii="宋体" w:hAnsi="宋体" w:eastAsia="宋体" w:cs="宋体"/>
          <w:sz w:val="21"/>
          <w:szCs w:val="21"/>
        </w:rPr>
        <w:t>系统对接接口</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与智慧宁波时空信息云平台对接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智慧宁波时空信息云平台，获取地理空间框架数据、地名地址数据、遥感影像数据、倾斜摄影数据和城市三维空间信息-城市建（构）筑模型信息，主要包含行政区划、社区名、模型名称等信息；获取房屋实体信息，实体分类码、实体名称、实体别名等信息；获取企业地址标准化信息，包含工商内部、标准地址、匹配分数等信息。</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与宁波市智能公共数据平台对接</w:t>
      </w:r>
    </w:p>
    <w:p>
      <w:pPr>
        <w:pStyle w:val="11"/>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健康信息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通过省回流接口，获取宁波市健康码基础信息，包括本域内通行码、省内来本域的通行码、外省来本域的通行码等码类型、码状态、以及红码/橙码原因、个人身份等信息。</w:t>
      </w:r>
    </w:p>
    <w:p>
      <w:pPr>
        <w:pStyle w:val="11"/>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就业和失业保险信息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通过宁波市就业与失业保险管理信息系统，获取网上创业认定信息，包含身份证、姓名等信息；创业带动就业岗位补贴信息，包含业务流水、补贴金额、身份证等信息。</w:t>
      </w:r>
    </w:p>
    <w:p>
      <w:pPr>
        <w:pStyle w:val="11"/>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科技管理信息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通过宁波市科技管理系统，获取创新领域市级众创空间信息，包括认定年份、平台名称等信息。</w:t>
      </w:r>
    </w:p>
    <w:p>
      <w:pPr>
        <w:pStyle w:val="11"/>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人才信息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通过宁波市人才综合信息管理系统，获取人才中介服务信息，包含企业名称、营业地址等信息。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通过宁波市人才网，获取简历信息，包含简历名称、自我评价等信息。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通过宁波市云校招系统，获取职位信息，包含单位ID，职位名称等信息。</w:t>
      </w:r>
    </w:p>
    <w:p>
      <w:pPr>
        <w:pStyle w:val="11"/>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房屋信息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通过宁波基层社会治理服务管理综合信息系统，获取房屋数据信息，包含ID，网格、住房编码等信息。</w:t>
      </w:r>
    </w:p>
    <w:p>
      <w:pPr>
        <w:pStyle w:val="11"/>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公交自行车综合信息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市公交自行车综合信息管理系统，获取自行车网点信息，包含网点ID、网点编码、网点名称等信息；获取桩位信息，包含桩位表、桩位数、网点名称点等信息；获取桩位状态信息，包含网点ID、统计时间、租用量等信息。</w:t>
      </w:r>
    </w:p>
    <w:p>
      <w:pPr>
        <w:pStyle w:val="11"/>
        <w:pageBreakBefore w:val="0"/>
        <w:numPr>
          <w:ilvl w:val="0"/>
          <w:numId w:val="0"/>
        </w:numPr>
        <w:kinsoku/>
        <w:wordWrap/>
        <w:overflowPunct/>
        <w:topLinePunct w:val="0"/>
        <w:autoSpaceDE/>
        <w:autoSpaceDN/>
        <w:bidi w:val="0"/>
        <w:adjustRightInd/>
        <w:snapToGrid/>
        <w:spacing w:before="0" w:after="0" w:line="360" w:lineRule="auto"/>
        <w:ind w:leftChars="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充电设施公共数据</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宁波市级充电设施公共数据采集与监测服务系统，获取设备信息，包含设备编号、充电桩编号、制造商等信息；获取运营信息，包含充电站编号、名称、可用快充剩余数量等信息；获取充电站基础信息，包含编号、充电站名称、地址等信息；获取运营企业信息，包含运营商编号、运营商名称等信息。</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与江北区数据仓对接</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江北区医疗机构科室信息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获取江北区医疗机构科室信息，包含科室代码、科室名称、负责人、联系方式等信息。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江北区农家乐（客栈）调查汇总信息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农家乐（客栈）信息，包含带动基地面积、自有基地面积、周边农副产品销售收入、年接待游客数、季节性从业人数、常年从业人数、餐位数、床位数、客房数、累计投入资金、是否位于海山湖库四边、具体地址、联系电话及手机、联系人、获星级、评定级别、星级农家乐名称、带动农民人数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江北区在册企业信息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获取江北区企业信息，包含企业名称、统一社会信用代码、法定代表人、成立日期、企业类型、注册资本、经营地址等信息。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江北区出租车GPS信息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获取江北区出租车GPS信息，包含记录ID、出租车ID、车牌、数据时间、经度、纬度、速度、角度、重车车辆状态、入库时间、空车车辆状态、ACC状态、车辆颜色、SIM卡标识等信息。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宁波市市级统筹区医保定点医疗机构名单信息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获取医保定点医疗机构名单，包含医疗机构名称、单位地址、所在区域、机构代码等信息。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江北区博物馆景区信息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获取博物馆景区信息，包含场馆ID、名称、封面图、类型ID、别名、级别、标签、开放时间、门票信息、电话、网址、简介、语言、网络、类别ID、表ID等信息。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江北区幼儿园、幼儿班分年龄幼儿数信息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获取幼儿园分年龄幼儿数信息，包含在园大班、在园中班、在园小班、在园托班、其中女生数量、大班、中班、小班、托班、合计、学校名称、离园离班人数等信息。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w:t>
      </w:r>
      <w:r>
        <w:rPr>
          <w:rFonts w:hint="eastAsia" w:ascii="宋体" w:hAnsi="宋体" w:eastAsia="宋体" w:cs="宋体"/>
          <w:sz w:val="21"/>
          <w:szCs w:val="21"/>
          <w:lang w:eastAsia="zh-CN"/>
        </w:rPr>
        <w:t>）</w:t>
      </w:r>
      <w:r>
        <w:rPr>
          <w:rFonts w:hint="eastAsia" w:ascii="宋体" w:hAnsi="宋体" w:eastAsia="宋体" w:cs="宋体"/>
          <w:sz w:val="21"/>
          <w:szCs w:val="21"/>
        </w:rPr>
        <w:t>江北区幼儿园、特殊教育学校占地面积及其他办学条件信息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获取学校占地面积及其他办学条件信息，包含占地面积合计、其中绿化用地面积、其中运动场地面积、图书、电子图书、电子期刊、学位论文、音视频等信息。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w:t>
      </w:r>
      <w:r>
        <w:rPr>
          <w:rFonts w:hint="eastAsia" w:ascii="宋体" w:hAnsi="宋体" w:eastAsia="宋体" w:cs="宋体"/>
          <w:sz w:val="21"/>
          <w:szCs w:val="21"/>
        </w:rPr>
        <w:t>江北区幼儿园/托儿所地理位置信息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幼儿园位置信息，包含分类代码、名称、简称、别名、地址、标注点位置X坐标、标注点位置Y坐标、中心点位置X坐标、中心点位置Y坐标、类型、电话、网址、照片、要素对应的比例尺、符号化字段、更新参考数据源、更新时间、更新类型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w:t>
      </w:r>
      <w:r>
        <w:rPr>
          <w:rFonts w:hint="eastAsia" w:ascii="宋体" w:hAnsi="宋体" w:eastAsia="宋体" w:cs="宋体"/>
          <w:sz w:val="21"/>
          <w:szCs w:val="21"/>
        </w:rPr>
        <w:t>江北区中学地理位置信息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江北区中学地理位置信息，包含唯一码、分类代码、名称、简称、别名、地址、标注点位置X坐标、标注点位置Y坐标、中心点位置X坐标、中心点位置Y坐标、类型、电话、网址、照片、要素对应的比例尺、符号化字段、更新参考数据源、更新时间、更新类型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w:t>
      </w:r>
      <w:r>
        <w:rPr>
          <w:rFonts w:hint="eastAsia" w:ascii="宋体" w:hAnsi="宋体" w:eastAsia="宋体" w:cs="宋体"/>
          <w:sz w:val="21"/>
          <w:szCs w:val="21"/>
        </w:rPr>
        <w:t>江北区党员个人履历信息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获取江北区党员个人履历信息，包含UID、创建人ID、创建人姓名、修改人ID、修改人、创建时间、修改时间、版本号、人员信息UID、简历、其他、备注、前单位名称、结束时间、开始时间等信息。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w:t>
      </w:r>
      <w:r>
        <w:rPr>
          <w:rFonts w:hint="eastAsia" w:ascii="宋体" w:hAnsi="宋体" w:eastAsia="宋体" w:cs="宋体"/>
          <w:sz w:val="21"/>
          <w:szCs w:val="21"/>
        </w:rPr>
        <w:t>江北区体育场馆地理位置信息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江北区体育场馆地理位置信息，包含唯一码、分类代码、名称、简称、别名、地址、标注点位置X坐标、标注点位置Y坐标、中心点位置X坐标、中心点位置Y坐标、类型、电话、网址、照片、要素对应的比例尺、符号化字段、更新参考数据源、更新时间、更新类型等信息。</w:t>
      </w:r>
    </w:p>
    <w:p>
      <w:pPr>
        <w:pStyle w:val="11"/>
        <w:pageBreakBefore w:val="0"/>
        <w:numPr>
          <w:ilvl w:val="0"/>
          <w:numId w:val="0"/>
        </w:numPr>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13</w:t>
      </w:r>
      <w:r>
        <w:rPr>
          <w:rFonts w:hint="eastAsia" w:ascii="宋体" w:hAnsi="宋体" w:eastAsia="宋体" w:cs="宋体"/>
          <w:sz w:val="21"/>
          <w:szCs w:val="21"/>
          <w:lang w:eastAsia="zh-CN"/>
        </w:rPr>
        <w:t>）</w:t>
      </w:r>
      <w:r>
        <w:rPr>
          <w:rFonts w:hint="eastAsia" w:ascii="宋体" w:hAnsi="宋体" w:eastAsia="宋体" w:cs="宋体"/>
          <w:sz w:val="21"/>
          <w:szCs w:val="21"/>
        </w:rPr>
        <w:t>江北区一般停车场地理位置信息</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获取江北区一般停车场地理位置信息，包含唯一码、分类代码、名称、简称、别名、地址、标注点位置X坐标、标注点位置Y坐标、中心点位置X坐标、中心点位置Y坐标、类型、电话、网址、照片、要素对应的比例尺、符号化字段、更新参考数据源、更新时间、更新类型等信息。</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与宁波市公交交通GPS调度系统对接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通过与宁波市公交交通GPS调度系统对接，获取公交线路信息、公交站点信息、公交车定位数据信息、公交线路站点明细信息、公交线路首末班时间信息、公交线路发车时刻信息等。</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与宁波市甬城泊车市级智慧停车系统对接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通过与宁波市甬城泊车市级智慧停车系统，路内停车点当前时间的泊位使用情况信息、近30日路内泊位使用率情况信息、按停车点统计前一天路内泊位利用率信息、停车场当前时间的泊位使用情况信息、按每小时统计前一天24小时泊位使用情况信息、路内业务信息、路内停车点信息、停车统计信息等。</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“浙里办”我的家园开通</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湾头社区开通我的家园，上架数字社会的应用，便于企业和群众办事。</w:t>
      </w:r>
    </w:p>
    <w:p>
      <w:pPr>
        <w:pStyle w:val="9"/>
        <w:pageBreakBefore w:val="0"/>
        <w:tabs>
          <w:tab w:val="left" w:pos="1418"/>
          <w:tab w:val="left" w:pos="1873"/>
        </w:tabs>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与视频监控系统对接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与湾头社区、万丰社区、万象社区、万润社区的视频监控系统对接，获取安防监控、门禁道闸、进出车辆、电梯监控等视频监控信息。</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与物联设备平台对接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与物联设备平台对接，获取湾头社区、万丰社区、万象社区、万润社区管辖范围内的智能水表、电表、燃气表、噪声监测等物联感知设备监测的实时数据。</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与物业服务平台对接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绿城、万科、德信、融创等房地产公司的物业服务平台对接，获取各家物业服务公司的报事报修工单。</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与江北区区级底座平台对接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根据江北区区级底座平台的开放接口能力和要求，进行系统对接，上报区级底座平台所需的湾头社区、万丰社区、万象社区、万润社区的业务和运营数据以及物联网设备数据。</w:t>
      </w:r>
    </w:p>
    <w:p>
      <w:pPr>
        <w:pStyle w:val="9"/>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与湾头积分平台对接</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根据湾头积分平台的开放接口能力和要求，进行系统对接。上报积分获得、积分消费等积分异动数据。</w:t>
      </w:r>
    </w:p>
    <w:p>
      <w:pPr>
        <w:pStyle w:val="6"/>
        <w:pageBreakBefore w:val="0"/>
        <w:kinsoku/>
        <w:wordWrap/>
        <w:overflowPunct/>
        <w:topLinePunct w:val="0"/>
        <w:autoSpaceDE/>
        <w:autoSpaceDN/>
        <w:bidi w:val="0"/>
        <w:adjustRightInd/>
        <w:snapToGrid/>
        <w:spacing w:before="0" w:after="0" w:line="360" w:lineRule="auto"/>
        <w:ind w:left="0" w:firstLine="420" w:firstLineChars="200"/>
        <w:jc w:val="both"/>
        <w:textAlignment w:val="auto"/>
        <w:rPr>
          <w:rFonts w:hint="eastAsia" w:ascii="宋体" w:hAnsi="宋体" w:eastAsia="宋体" w:cs="宋体"/>
          <w:sz w:val="21"/>
          <w:szCs w:val="21"/>
        </w:rPr>
      </w:pPr>
      <w:bookmarkStart w:id="45" w:name="_Toc5936"/>
      <w:r>
        <w:rPr>
          <w:rFonts w:hint="eastAsia" w:ascii="宋体" w:hAnsi="宋体" w:eastAsia="宋体" w:cs="宋体"/>
          <w:sz w:val="21"/>
          <w:szCs w:val="21"/>
          <w:lang w:val="en-US" w:eastAsia="zh-CN"/>
        </w:rPr>
        <w:t>5.2</w:t>
      </w:r>
      <w:r>
        <w:rPr>
          <w:rFonts w:hint="eastAsia" w:ascii="宋体" w:hAnsi="宋体" w:eastAsia="宋体" w:cs="宋体"/>
          <w:sz w:val="21"/>
          <w:szCs w:val="21"/>
        </w:rPr>
        <w:t>应用支撑层设计</w:t>
      </w:r>
      <w:bookmarkEnd w:id="45"/>
    </w:p>
    <w:p>
      <w:pPr>
        <w:pStyle w:val="7"/>
        <w:pageBreakBefore w:val="0"/>
        <w:tabs>
          <w:tab w:val="left" w:pos="851"/>
        </w:tabs>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bookmarkStart w:id="46" w:name="_Toc29818"/>
      <w:r>
        <w:rPr>
          <w:rFonts w:hint="eastAsia" w:ascii="宋体" w:hAnsi="宋体" w:eastAsia="宋体" w:cs="宋体"/>
          <w:sz w:val="21"/>
          <w:szCs w:val="21"/>
          <w:lang w:val="en-US" w:eastAsia="zh-CN"/>
        </w:rPr>
        <w:t>5.2.1</w:t>
      </w:r>
      <w:r>
        <w:rPr>
          <w:rFonts w:hint="eastAsia" w:ascii="宋体" w:hAnsi="宋体" w:eastAsia="宋体" w:cs="宋体"/>
          <w:sz w:val="21"/>
          <w:szCs w:val="21"/>
        </w:rPr>
        <w:t>未来社区应用支撑系统</w:t>
      </w:r>
      <w:bookmarkEnd w:id="46"/>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基于宁波市智能公共数据平台的基础服务，开展项目所需的定制化开发，以补充宁波市智能公共数据平台（原城市大脑）其他方面的服务能力。</w:t>
      </w:r>
    </w:p>
    <w:p>
      <w:pPr>
        <w:pageBreakBefore w:val="0"/>
        <w:kinsoku/>
        <w:wordWrap/>
        <w:overflowPunct/>
        <w:topLinePunct w:val="0"/>
        <w:autoSpaceDE/>
        <w:autoSpaceDN/>
        <w:bidi w:val="0"/>
        <w:adjustRightInd/>
        <w:snapToGrid/>
        <w:spacing w:line="360" w:lineRule="auto"/>
        <w:ind w:lef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按照全区统一的社区应用系统建设需求，打造统一未来社区底层业务支撑能力，建设未来社区应用支撑系统，包含社区物联引擎感知接入支撑系统、空间数据管理系统、社区业务数据管理系统和应用开放接口管理系统等。</w:t>
      </w:r>
    </w:p>
    <w:p>
      <w:pPr>
        <w:ind w:firstLine="0" w:firstLineChars="0"/>
        <w:jc w:val="center"/>
      </w:pPr>
      <w:r>
        <w:drawing>
          <wp:inline distT="0" distB="0" distL="114300" distR="114300">
            <wp:extent cx="5405755" cy="1936750"/>
            <wp:effectExtent l="0" t="0" r="4445" b="635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1"/>
                    <a:stretch>
                      <a:fillRect/>
                    </a:stretch>
                  </pic:blipFill>
                  <pic:spPr>
                    <a:xfrm>
                      <a:off x="0" y="0"/>
                      <a:ext cx="5405755" cy="1936750"/>
                    </a:xfrm>
                    <a:prstGeom prst="rect">
                      <a:avLst/>
                    </a:prstGeom>
                  </pic:spPr>
                </pic:pic>
              </a:graphicData>
            </a:graphic>
          </wp:inline>
        </w:drawing>
      </w:r>
    </w:p>
    <w:p>
      <w:pPr>
        <w:pStyle w:val="17"/>
        <w:jc w:val="center"/>
      </w:pPr>
      <w:r>
        <w:t xml:space="preserve">图 </w:t>
      </w:r>
      <w:r>
        <w:fldChar w:fldCharType="begin"/>
      </w:r>
      <w:r>
        <w:instrText xml:space="preserve"> STYLEREF 1 \s </w:instrText>
      </w:r>
      <w:r>
        <w:fldChar w:fldCharType="separate"/>
      </w:r>
      <w:r>
        <w:t>6</w:t>
      </w:r>
      <w:r>
        <w:fldChar w:fldCharType="end"/>
      </w:r>
      <w:r>
        <w:t>-</w:t>
      </w:r>
      <w:r>
        <w:fldChar w:fldCharType="begin"/>
      </w:r>
      <w:r>
        <w:instrText xml:space="preserve"> SEQ 图 \* ARABIC \s 1 </w:instrText>
      </w:r>
      <w:r>
        <w:fldChar w:fldCharType="separate"/>
      </w:r>
      <w:r>
        <w:t>11</w:t>
      </w:r>
      <w:r>
        <w:fldChar w:fldCharType="end"/>
      </w:r>
      <w:r>
        <w:t>未来社区应用支撑系统功能架构图</w:t>
      </w:r>
    </w:p>
    <w:p/>
    <w:p>
      <w:pPr>
        <w:pStyle w:val="8"/>
        <w:pageBreakBefore w:val="0"/>
        <w:widowControl w:val="0"/>
        <w:tabs>
          <w:tab w:val="left" w:pos="2127"/>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5.2.2</w:t>
      </w:r>
      <w:r>
        <w:rPr>
          <w:rFonts w:hint="eastAsia" w:ascii="宋体" w:hAnsi="宋体" w:eastAsia="宋体" w:cs="宋体"/>
          <w:sz w:val="21"/>
          <w:szCs w:val="21"/>
        </w:rPr>
        <w:t>社区物联感知接入支撑系统</w:t>
      </w:r>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系统概述</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为社区数字基建提供物联技术服务，基于统一标准提供社区智能化设备认证、接入、监控、控制及管理能力，可实现社区内物联感知设备间、设备与业务应用系统间的运行联动。</w:t>
      </w:r>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功能架构</w:t>
      </w:r>
    </w:p>
    <w:p>
      <w:pPr>
        <w:ind w:firstLine="0" w:firstLineChars="0"/>
        <w:jc w:val="center"/>
      </w:pPr>
      <w:r>
        <w:drawing>
          <wp:inline distT="0" distB="0" distL="0" distR="0">
            <wp:extent cx="3496310" cy="1316990"/>
            <wp:effectExtent l="0" t="0" r="0" b="0"/>
            <wp:docPr id="30" name="图片 30" descr="C:\Users\Administrator\Downloads\物联网系统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ownloads\物联网系统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96310" cy="1316990"/>
                    </a:xfrm>
                    <a:prstGeom prst="rect">
                      <a:avLst/>
                    </a:prstGeom>
                    <a:noFill/>
                    <a:ln>
                      <a:noFill/>
                    </a:ln>
                  </pic:spPr>
                </pic:pic>
              </a:graphicData>
            </a:graphic>
          </wp:inline>
        </w:drawing>
      </w:r>
    </w:p>
    <w:p>
      <w:pPr>
        <w:pStyle w:val="17"/>
        <w:jc w:val="center"/>
      </w:pPr>
      <w:r>
        <w:t xml:space="preserve">图 </w:t>
      </w:r>
      <w:r>
        <w:fldChar w:fldCharType="begin"/>
      </w:r>
      <w:r>
        <w:instrText xml:space="preserve"> STYLEREF 1 \s </w:instrText>
      </w:r>
      <w:r>
        <w:fldChar w:fldCharType="separate"/>
      </w:r>
      <w:r>
        <w:t>6</w:t>
      </w:r>
      <w:r>
        <w:fldChar w:fldCharType="end"/>
      </w:r>
      <w:r>
        <w:noBreakHyphen/>
      </w:r>
      <w:r>
        <w:fldChar w:fldCharType="begin"/>
      </w:r>
      <w:r>
        <w:instrText xml:space="preserve"> SEQ 图 \* ARABIC \s 1 </w:instrText>
      </w:r>
      <w:r>
        <w:fldChar w:fldCharType="separate"/>
      </w:r>
      <w:r>
        <w:t>12</w:t>
      </w:r>
      <w:r>
        <w:fldChar w:fldCharType="end"/>
      </w:r>
      <w:r>
        <w:t>社区物联感知接入支撑系统功能架构图</w:t>
      </w:r>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功能设计</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总览</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展示社区范围内的所有接入的物联网设备的统一信息概览，包含总设备数、故障发生数、在线离线情况等。</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物联场景</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基于已经对接了的物联场景进行分场景管理，包含门禁管理、安防管理、车行管理等实际落地场景。</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产品管理</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针对海量物联设备的产品构建要求，维护统一的产品模型来适配不同设备的管理需求。</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设备管理</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提供海量传感设备的统一管理，包括设备状况监控、控制、维护、升级。</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事件管理</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基于流程引擎对海量物联数据进行预处置、设置规则、定义流程，从而赋能上层应用实现智能发现、智能处置、业务联动。</w:t>
      </w:r>
    </w:p>
    <w:p>
      <w:pPr>
        <w:pStyle w:val="8"/>
        <w:pageBreakBefore w:val="0"/>
        <w:widowControl w:val="0"/>
        <w:tabs>
          <w:tab w:val="left" w:pos="2127"/>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bookmarkStart w:id="47" w:name="_Hlk99094084"/>
      <w:bookmarkEnd w:id="47"/>
      <w:r>
        <w:rPr>
          <w:rFonts w:hint="eastAsia" w:ascii="宋体" w:hAnsi="宋体" w:eastAsia="宋体" w:cs="宋体"/>
          <w:sz w:val="21"/>
          <w:szCs w:val="21"/>
          <w:lang w:val="en-US" w:eastAsia="zh-CN"/>
        </w:rPr>
        <w:t>5.2.3</w:t>
      </w:r>
      <w:r>
        <w:rPr>
          <w:rFonts w:hint="eastAsia" w:ascii="宋体" w:hAnsi="宋体" w:eastAsia="宋体" w:cs="宋体"/>
          <w:sz w:val="21"/>
          <w:szCs w:val="21"/>
        </w:rPr>
        <w:t>空间数据管理系统</w:t>
      </w:r>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5.2.3.1</w:t>
      </w:r>
      <w:r>
        <w:rPr>
          <w:rFonts w:hint="eastAsia" w:ascii="宋体" w:hAnsi="宋体" w:eastAsia="宋体" w:cs="宋体"/>
          <w:sz w:val="21"/>
          <w:szCs w:val="21"/>
        </w:rPr>
        <w:t>系统概述</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空间数据管理系统，</w:t>
      </w:r>
      <w:bookmarkStart w:id="48" w:name="_Hlk99203091"/>
      <w:r>
        <w:rPr>
          <w:rFonts w:hint="eastAsia" w:ascii="宋体" w:hAnsi="宋体" w:eastAsia="宋体" w:cs="宋体"/>
          <w:sz w:val="21"/>
          <w:szCs w:val="21"/>
        </w:rPr>
        <w:t>基于全省未来社区CIM基础平台的标准化空间服务能力，实现社区空间全要素数字化、全状态可视化、管理精细化</w:t>
      </w:r>
      <w:bookmarkEnd w:id="48"/>
      <w:r>
        <w:rPr>
          <w:rFonts w:hint="eastAsia" w:ascii="宋体" w:hAnsi="宋体" w:eastAsia="宋体" w:cs="宋体"/>
          <w:sz w:val="21"/>
          <w:szCs w:val="21"/>
        </w:rPr>
        <w:t>。该系统主要提供空间数字资产的管理，包含模型上传、处理、分发等功能，便于通过三维模型辅助空间治理服务，还包含空间热点管理，通过热点将空间与物联网设备、活动场馆等信息紧密关联，更好为各个场景提供服务。</w:t>
      </w:r>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5.2.3.2</w:t>
      </w:r>
      <w:r>
        <w:rPr>
          <w:rFonts w:hint="eastAsia" w:ascii="宋体" w:hAnsi="宋体" w:eastAsia="宋体" w:cs="宋体"/>
          <w:sz w:val="21"/>
          <w:szCs w:val="21"/>
        </w:rPr>
        <w:t>功能架构</w:t>
      </w:r>
    </w:p>
    <w:p>
      <w:pPr>
        <w:ind w:firstLine="0" w:firstLineChars="0"/>
        <w:jc w:val="center"/>
      </w:pPr>
      <w:r>
        <w:t xml:space="preserve"> </w:t>
      </w:r>
      <w:r>
        <w:drawing>
          <wp:inline distT="0" distB="0" distL="114300" distR="114300">
            <wp:extent cx="4253865" cy="2813050"/>
            <wp:effectExtent l="0" t="0" r="0" b="0"/>
            <wp:docPr id="8" name="图片 8" descr="e0125ffae2c9de787e612a94192f2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125ffae2c9de787e612a94192f2e8"/>
                    <pic:cNvPicPr>
                      <a:picLocks noChangeAspect="1"/>
                    </pic:cNvPicPr>
                  </pic:nvPicPr>
                  <pic:blipFill>
                    <a:blip r:embed="rId23"/>
                    <a:stretch>
                      <a:fillRect/>
                    </a:stretch>
                  </pic:blipFill>
                  <pic:spPr>
                    <a:xfrm>
                      <a:off x="0" y="0"/>
                      <a:ext cx="4253865" cy="2813050"/>
                    </a:xfrm>
                    <a:prstGeom prst="rect">
                      <a:avLst/>
                    </a:prstGeom>
                  </pic:spPr>
                </pic:pic>
              </a:graphicData>
            </a:graphic>
          </wp:inline>
        </w:drawing>
      </w:r>
    </w:p>
    <w:p>
      <w:pPr>
        <w:ind w:firstLine="0" w:firstLineChars="0"/>
        <w:jc w:val="center"/>
      </w:pPr>
      <w:r>
        <w:t xml:space="preserve">图 </w:t>
      </w:r>
      <w:r>
        <w:fldChar w:fldCharType="begin"/>
      </w:r>
      <w:r>
        <w:instrText xml:space="preserve"> STYLEREF 1 \s </w:instrText>
      </w:r>
      <w:r>
        <w:fldChar w:fldCharType="separate"/>
      </w:r>
      <w:r>
        <w:t>6</w:t>
      </w:r>
      <w:r>
        <w:fldChar w:fldCharType="end"/>
      </w:r>
      <w:r>
        <w:noBreakHyphen/>
      </w:r>
      <w:r>
        <w:fldChar w:fldCharType="begin"/>
      </w:r>
      <w:r>
        <w:instrText xml:space="preserve"> SEQ 图 \* ARABIC \s 1 </w:instrText>
      </w:r>
      <w:r>
        <w:fldChar w:fldCharType="separate"/>
      </w:r>
      <w:r>
        <w:t>13</w:t>
      </w:r>
      <w:r>
        <w:fldChar w:fldCharType="end"/>
      </w:r>
      <w:r>
        <w:t>空间数据管理系统功能架构图</w:t>
      </w:r>
    </w:p>
    <w:p>
      <w:pPr>
        <w:pStyle w:val="9"/>
        <w:pageBreakBefore w:val="0"/>
        <w:widowControl w:val="0"/>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5.2.3.4</w:t>
      </w:r>
      <w:r>
        <w:rPr>
          <w:rFonts w:hint="eastAsia" w:ascii="宋体" w:hAnsi="宋体" w:eastAsia="宋体" w:cs="宋体"/>
          <w:sz w:val="21"/>
          <w:szCs w:val="21"/>
        </w:rPr>
        <w:t>功能设计</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仪表盘</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以仪表盘方式，通过卡片数字方式直观展示平台场景应用数量、三维数据数量、三维热点数量统计以及三维数据引用过程情况等统计。</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场景管理</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将三维数据与业务平台页面进行绑定管理，可以方便在页面中动态加载不同三维数据以及三维热点。</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三维数据管理</w:t>
      </w:r>
    </w:p>
    <w:p>
      <w:pPr>
        <w:pStyle w:val="11"/>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360全景</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提供360全景图片上传、预览、编辑、删除的功能，并在预览界面可以对热点进行增加、编辑、删除的功能。</w:t>
      </w:r>
    </w:p>
    <w:p>
      <w:pPr>
        <w:pStyle w:val="11"/>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三维模型</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提供三维模型上传、预览、编辑、删除的功能。</w:t>
      </w:r>
    </w:p>
    <w:p>
      <w:pPr>
        <w:pStyle w:val="11"/>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三维热点管理</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提供倾斜摄影遥感影像和模型数据的上传、预览、编辑、删除的功能，并在预览界面可以对热点进行增加、编辑、删除的功能。</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三维热点管理</w:t>
      </w:r>
    </w:p>
    <w:p>
      <w:pPr>
        <w:pStyle w:val="11"/>
        <w:pageBreakBefore w:val="0"/>
        <w:widowControl w:val="0"/>
        <w:numPr>
          <w:ilvl w:val="0"/>
          <w:numId w:val="0"/>
        </w:numPr>
        <w:kinsoku/>
        <w:wordWrap/>
        <w:overflowPunct/>
        <w:topLinePunct w:val="0"/>
        <w:autoSpaceDE/>
        <w:autoSpaceDN/>
        <w:bidi w:val="0"/>
        <w:adjustRightInd/>
        <w:snapToGrid/>
        <w:spacing w:before="0" w:after="0" w:line="360" w:lineRule="auto"/>
        <w:ind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热点信息管理</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提供热点信息管理，将热点与物联网设备、活动场馆等信息进行绑定，便于后续业务展开。</w:t>
      </w:r>
    </w:p>
    <w:p>
      <w:pPr>
        <w:pStyle w:val="11"/>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热点样式管理</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提供热点样式管理，包含热点边框颜色、边框粗细、填充色、使用图标等参数管理，并提供不同状态管理，针对业务需求提供不同样式展示。</w:t>
      </w:r>
    </w:p>
    <w:p>
      <w:pPr>
        <w:pStyle w:val="8"/>
        <w:pageBreakBefore w:val="0"/>
        <w:widowControl w:val="0"/>
        <w:tabs>
          <w:tab w:val="left" w:pos="2127"/>
        </w:tabs>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5.2.4</w:t>
      </w:r>
      <w:r>
        <w:rPr>
          <w:rFonts w:hint="eastAsia" w:ascii="宋体" w:hAnsi="宋体" w:eastAsia="宋体" w:cs="宋体"/>
          <w:sz w:val="21"/>
          <w:szCs w:val="21"/>
        </w:rPr>
        <w:t>社区业务数据管理系统</w:t>
      </w:r>
    </w:p>
    <w:p>
      <w:pPr>
        <w:pStyle w:val="9"/>
        <w:pageBreakBefore w:val="0"/>
        <w:widowControl w:val="0"/>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5.2.4.1</w:t>
      </w:r>
      <w:r>
        <w:rPr>
          <w:rFonts w:hint="eastAsia" w:ascii="宋体" w:hAnsi="宋体" w:eastAsia="宋体" w:cs="宋体"/>
          <w:sz w:val="21"/>
          <w:szCs w:val="21"/>
        </w:rPr>
        <w:t>系统概述</w:t>
      </w:r>
    </w:p>
    <w:p>
      <w:pPr>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实现社区数据的汇聚、治理和应用。汇聚社区物联感知数据、应用服务数据及社区各主体活动数据，包括社区空间、人、车、房、物、事、权等资产数据和动态记录数据存储及管理功能。在原有数据资产基础上，充分考虑数据安全与隐私保护，通过标准化数据接口对接宁波市智能公共数据平台（原城市大脑），全面对接下沉的政府治理数据和数字社会公共服务数据，赋能九场景落地应用，建立数据迭代更新机制，通过高频应用推动数据治理。</w:t>
      </w:r>
    </w:p>
    <w:p>
      <w:pPr>
        <w:pStyle w:val="9"/>
        <w:pageBreakBefore w:val="0"/>
        <w:widowControl w:val="0"/>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5.2.4.2</w:t>
      </w:r>
      <w:r>
        <w:rPr>
          <w:rFonts w:hint="eastAsia" w:ascii="宋体" w:hAnsi="宋体" w:eastAsia="宋体" w:cs="宋体"/>
          <w:sz w:val="21"/>
          <w:szCs w:val="21"/>
        </w:rPr>
        <w:t>功能架构</w:t>
      </w:r>
    </w:p>
    <w:p>
      <w:pPr>
        <w:pStyle w:val="17"/>
      </w:pPr>
      <w:r>
        <w:drawing>
          <wp:inline distT="0" distB="0" distL="0" distR="0">
            <wp:extent cx="5255260" cy="1638300"/>
            <wp:effectExtent l="0" t="0" r="0" b="0"/>
            <wp:docPr id="10" name="图片 10" descr="C:\Users\Administrator\Downloads\社区业务数据管理系统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ownloads\社区业务数据管理系统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55260" cy="1638300"/>
                    </a:xfrm>
                    <a:prstGeom prst="rect">
                      <a:avLst/>
                    </a:prstGeom>
                    <a:noFill/>
                    <a:ln>
                      <a:noFill/>
                    </a:ln>
                  </pic:spPr>
                </pic:pic>
              </a:graphicData>
            </a:graphic>
          </wp:inline>
        </w:drawing>
      </w:r>
    </w:p>
    <w:p>
      <w:pPr>
        <w:pStyle w:val="17"/>
        <w:jc w:val="center"/>
      </w:pPr>
      <w:r>
        <w:t xml:space="preserve">图 </w:t>
      </w:r>
      <w:r>
        <w:fldChar w:fldCharType="begin"/>
      </w:r>
      <w:r>
        <w:instrText xml:space="preserve"> STYLEREF 1 \s </w:instrText>
      </w:r>
      <w:r>
        <w:fldChar w:fldCharType="separate"/>
      </w:r>
      <w:r>
        <w:t>6</w:t>
      </w:r>
      <w:r>
        <w:fldChar w:fldCharType="end"/>
      </w:r>
      <w:r>
        <w:noBreakHyphen/>
      </w:r>
      <w:r>
        <w:fldChar w:fldCharType="begin"/>
      </w:r>
      <w:r>
        <w:instrText xml:space="preserve"> SEQ 图 \* ARABIC \s 1 </w:instrText>
      </w:r>
      <w:r>
        <w:fldChar w:fldCharType="separate"/>
      </w:r>
      <w:r>
        <w:t>14</w:t>
      </w:r>
      <w:r>
        <w:fldChar w:fldCharType="end"/>
      </w:r>
      <w:r>
        <w:t>社区业务数据管理系统功能架构图</w:t>
      </w:r>
    </w:p>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5.2.4.3</w:t>
      </w:r>
      <w:r>
        <w:rPr>
          <w:rFonts w:hint="eastAsia" w:ascii="宋体" w:hAnsi="宋体" w:eastAsia="宋体" w:cs="宋体"/>
          <w:sz w:val="21"/>
          <w:szCs w:val="21"/>
        </w:rPr>
        <w:t>功能设计</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总览</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展示业务数据管理流程，并可以对整个社区下的业务数据统计信息进行综合概览。</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数据源接入</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将不同的数据源接入要求，进行模块化管理，包含关系型数据库、非关系型数据库等多源数据源的接入。</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资产建模</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支持业务资产模型的创建、修改、删除，以及模型和分析任务的关联操作等功能。</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存储管理</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支持存储方式的选择、存储信息的配置，最终为数据消费提供基础。</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分析任务</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支持任务的创建、分析类型的选择、类SQL的查询任务、以及流数据的分析等功能。</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数据集市</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支持数据分析结果的展示、数据访问API的自动化生成、订阅等功能。</w:t>
      </w:r>
    </w:p>
    <w:p>
      <w:pPr>
        <w:pStyle w:val="8"/>
        <w:pageBreakBefore w:val="0"/>
        <w:widowControl w:val="0"/>
        <w:tabs>
          <w:tab w:val="left" w:pos="2127"/>
        </w:tabs>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5.2.5</w:t>
      </w:r>
      <w:r>
        <w:rPr>
          <w:rFonts w:hint="eastAsia" w:ascii="宋体" w:hAnsi="宋体" w:eastAsia="宋体" w:cs="宋体"/>
          <w:sz w:val="21"/>
          <w:szCs w:val="21"/>
        </w:rPr>
        <w:t>应用开放接口管理系统</w:t>
      </w:r>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5.2.5.1</w:t>
      </w:r>
      <w:r>
        <w:rPr>
          <w:rFonts w:hint="eastAsia" w:ascii="宋体" w:hAnsi="宋体" w:eastAsia="宋体" w:cs="宋体"/>
          <w:sz w:val="21"/>
          <w:szCs w:val="21"/>
        </w:rPr>
        <w:t>系统概述</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宁波市智能公共数据平台（原城市大脑）、数字社会和服务应用商城在社区智慧服务平台上实施应用提供标准的API接口，提供应用承接及落地集成的能力。通过社区统一的空间、用户、积分、权限、支付、评价、停车、安防等社区标准应用服务，实现应用接入、验证、发布等标准化管理，避免碎片化应用建设，有效降低成本、减少重复开发。</w:t>
      </w:r>
    </w:p>
    <w:p>
      <w:pPr>
        <w:pStyle w:val="9"/>
        <w:pageBreakBefore w:val="0"/>
        <w:widowControl w:val="0"/>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5.2.5.2</w:t>
      </w:r>
      <w:r>
        <w:rPr>
          <w:rFonts w:hint="eastAsia" w:ascii="宋体" w:hAnsi="宋体" w:eastAsia="宋体" w:cs="宋体"/>
          <w:sz w:val="21"/>
          <w:szCs w:val="21"/>
        </w:rPr>
        <w:t>功能架构</w:t>
      </w:r>
    </w:p>
    <w:p>
      <w:pPr>
        <w:pStyle w:val="17"/>
        <w:jc w:val="center"/>
      </w:pPr>
      <w:r>
        <w:drawing>
          <wp:inline distT="0" distB="0" distL="0" distR="0">
            <wp:extent cx="3037840" cy="1632585"/>
            <wp:effectExtent l="0" t="0" r="0" b="0"/>
            <wp:docPr id="31" name="图片 31" descr="C:\Users\Administrator\Downloads\开放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ownloads\开放平台.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037840" cy="1632585"/>
                    </a:xfrm>
                    <a:prstGeom prst="rect">
                      <a:avLst/>
                    </a:prstGeom>
                    <a:noFill/>
                    <a:ln>
                      <a:noFill/>
                    </a:ln>
                  </pic:spPr>
                </pic:pic>
              </a:graphicData>
            </a:graphic>
          </wp:inline>
        </w:drawing>
      </w:r>
    </w:p>
    <w:p>
      <w:pPr>
        <w:pStyle w:val="17"/>
        <w:jc w:val="center"/>
      </w:pPr>
      <w:r>
        <w:t xml:space="preserve">图 </w:t>
      </w:r>
      <w:r>
        <w:fldChar w:fldCharType="begin"/>
      </w:r>
      <w:r>
        <w:instrText xml:space="preserve"> STYLEREF 1 \s </w:instrText>
      </w:r>
      <w:r>
        <w:fldChar w:fldCharType="separate"/>
      </w:r>
      <w:r>
        <w:t>6</w:t>
      </w:r>
      <w:r>
        <w:fldChar w:fldCharType="end"/>
      </w:r>
      <w:r>
        <w:noBreakHyphen/>
      </w:r>
      <w:r>
        <w:fldChar w:fldCharType="begin"/>
      </w:r>
      <w:r>
        <w:instrText xml:space="preserve"> SEQ 图 \* ARABIC \s 1 </w:instrText>
      </w:r>
      <w:r>
        <w:fldChar w:fldCharType="separate"/>
      </w:r>
      <w:r>
        <w:t>15</w:t>
      </w:r>
      <w:r>
        <w:fldChar w:fldCharType="end"/>
      </w:r>
      <w:r>
        <w:t>应用开放接口管理系统功能架构图</w:t>
      </w:r>
    </w:p>
    <w:p/>
    <w:p>
      <w:pPr>
        <w:pStyle w:val="9"/>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5.2.5.3</w:t>
      </w:r>
      <w:r>
        <w:rPr>
          <w:rFonts w:hint="eastAsia" w:ascii="宋体" w:hAnsi="宋体" w:eastAsia="宋体" w:cs="宋体"/>
          <w:sz w:val="21"/>
          <w:szCs w:val="21"/>
        </w:rPr>
        <w:t>功能设计</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开发入驻</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highlight w:val="yellow"/>
        </w:rPr>
      </w:pPr>
      <w:r>
        <w:rPr>
          <w:rFonts w:hint="eastAsia" w:ascii="宋体" w:hAnsi="宋体" w:eastAsia="宋体" w:cs="宋体"/>
          <w:sz w:val="21"/>
          <w:szCs w:val="21"/>
        </w:rPr>
        <w:t>支持开发者账号申请、后台审核开发者资格、发放开发者凭证等功能。</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接口管理</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支持开发者接口权限申请、接口文档在线下载、接口调用安全审计等功能。</w:t>
      </w:r>
    </w:p>
    <w:p>
      <w:pPr>
        <w:pStyle w:val="10"/>
        <w:pageBreakBefore w:val="0"/>
        <w:widowControl w:val="0"/>
        <w:tabs>
          <w:tab w:val="left" w:pos="1418"/>
        </w:tabs>
        <w:kinsoku/>
        <w:wordWrap/>
        <w:overflowPunct/>
        <w:topLinePunct w:val="0"/>
        <w:autoSpaceDE/>
        <w:autoSpaceDN/>
        <w:bidi w:val="0"/>
        <w:adjustRightInd/>
        <w:snapToGrid/>
        <w:spacing w:before="0" w:after="0"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应用管理</w:t>
      </w:r>
    </w:p>
    <w:p>
      <w:pPr>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支持开发者提供的应用进行配置信息管理、应用上架发布、应用下架等功能。</w:t>
      </w:r>
    </w:p>
    <w:p>
      <w:r>
        <w:br w:type="page"/>
      </w:r>
    </w:p>
    <w:p>
      <w:pPr>
        <w:pStyle w:val="7"/>
      </w:pPr>
      <w:r>
        <w:rPr>
          <w:rFonts w:hint="eastAsia"/>
          <w:lang w:val="en-US" w:eastAsia="zh-CN"/>
        </w:rPr>
        <w:t>四</w:t>
      </w:r>
      <w:r>
        <w:rPr>
          <w:rFonts w:hint="eastAsia"/>
        </w:rPr>
        <w:t>、主要设备参数清单</w:t>
      </w:r>
    </w:p>
    <w:p>
      <w:pPr>
        <w:pStyle w:val="7"/>
      </w:pPr>
      <w:r>
        <w:rPr>
          <w:rFonts w:hint="eastAsia"/>
        </w:rPr>
        <w:t>1、</w:t>
      </w:r>
      <w:r>
        <w:rPr>
          <w:rFonts w:hint="eastAsia"/>
          <w:lang w:val="en-US" w:eastAsia="zh-CN"/>
        </w:rPr>
        <w:t>软件</w:t>
      </w:r>
      <w:r>
        <w:rPr>
          <w:rFonts w:hint="eastAsia"/>
        </w:rPr>
        <w:t>模块开发</w:t>
      </w:r>
    </w:p>
    <w:tbl>
      <w:tblPr>
        <w:tblStyle w:val="50"/>
        <w:tblpPr w:leftFromText="180" w:rightFromText="180" w:vertAnchor="text" w:horzAnchor="page" w:tblpXSpec="center" w:tblpY="638"/>
        <w:tblOverlap w:val="never"/>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380"/>
        <w:gridCol w:w="2230"/>
        <w:gridCol w:w="791"/>
        <w:gridCol w:w="4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073"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工作项</w:t>
            </w:r>
          </w:p>
        </w:tc>
        <w:tc>
          <w:tcPr>
            <w:tcW w:w="1380"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场景</w:t>
            </w:r>
          </w:p>
        </w:tc>
        <w:tc>
          <w:tcPr>
            <w:tcW w:w="2230"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软件模块名称</w:t>
            </w:r>
          </w:p>
        </w:tc>
        <w:tc>
          <w:tcPr>
            <w:tcW w:w="791"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入口</w:t>
            </w:r>
          </w:p>
        </w:tc>
        <w:tc>
          <w:tcPr>
            <w:tcW w:w="4486"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需求描述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综合</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导览页</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G、B、C端三端初始入口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综合态势</w:t>
            </w:r>
            <w:r>
              <w:rPr>
                <w:rFonts w:hint="eastAsia" w:ascii="宋体" w:hAnsi="宋体" w:cs="宋体"/>
                <w:kern w:val="0"/>
                <w:szCs w:val="21"/>
                <w:lang w:bidi="ar"/>
              </w:rPr>
              <w:br w:type="textWrapping"/>
            </w:r>
            <w:r>
              <w:rPr>
                <w:rFonts w:hint="eastAsia" w:ascii="宋体" w:hAnsi="宋体" w:cs="宋体"/>
                <w:kern w:val="0"/>
                <w:szCs w:val="21"/>
                <w:lang w:bidi="ar"/>
              </w:rPr>
              <w:t>（社区一张图）</w:t>
            </w:r>
          </w:p>
        </w:tc>
        <w:tc>
          <w:tcPr>
            <w:tcW w:w="791"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vMerge w:val="restart"/>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湾头社区九场景动态数据管控，结合省级大屏</w:t>
            </w:r>
            <w:r>
              <w:rPr>
                <w:rFonts w:hint="eastAsia" w:ascii="宋体" w:hAnsi="宋体" w:cs="宋体"/>
                <w:kern w:val="0"/>
                <w:szCs w:val="21"/>
                <w:lang w:bidi="ar"/>
              </w:rPr>
              <w:br w:type="textWrapping"/>
            </w:r>
            <w:r>
              <w:rPr>
                <w:rFonts w:hint="eastAsia" w:ascii="宋体" w:hAnsi="宋体" w:cs="宋体"/>
                <w:kern w:val="0"/>
                <w:szCs w:val="21"/>
                <w:lang w:bidi="ar"/>
              </w:rPr>
              <w:t>包含：</w:t>
            </w:r>
            <w:r>
              <w:rPr>
                <w:rFonts w:hint="eastAsia" w:ascii="宋体" w:hAnsi="宋体" w:cs="宋体"/>
                <w:kern w:val="0"/>
                <w:szCs w:val="21"/>
                <w:lang w:bidi="ar"/>
              </w:rPr>
              <w:br w:type="textWrapping"/>
            </w:r>
            <w:r>
              <w:rPr>
                <w:rFonts w:hint="eastAsia" w:ascii="宋体" w:hAnsi="宋体" w:cs="宋体"/>
                <w:kern w:val="0"/>
                <w:szCs w:val="21"/>
                <w:lang w:bidi="ar"/>
              </w:rPr>
              <w:t>社区模型展示</w:t>
            </w:r>
            <w:r>
              <w:rPr>
                <w:rFonts w:hint="eastAsia" w:ascii="宋体" w:hAnsi="宋体" w:cs="宋体"/>
                <w:kern w:val="0"/>
                <w:szCs w:val="21"/>
                <w:lang w:bidi="ar"/>
              </w:rPr>
              <w:br w:type="textWrapping"/>
            </w:r>
            <w:r>
              <w:rPr>
                <w:rFonts w:hint="eastAsia" w:ascii="宋体" w:hAnsi="宋体" w:cs="宋体"/>
                <w:kern w:val="0"/>
                <w:szCs w:val="21"/>
                <w:lang w:bidi="ar"/>
              </w:rPr>
              <w:t>9大场景落位</w:t>
            </w:r>
            <w:r>
              <w:rPr>
                <w:rFonts w:hint="eastAsia" w:ascii="宋体" w:hAnsi="宋体" w:cs="宋体"/>
                <w:kern w:val="0"/>
                <w:szCs w:val="21"/>
                <w:lang w:bidi="ar"/>
              </w:rPr>
              <w:br w:type="textWrapping"/>
            </w:r>
            <w:r>
              <w:rPr>
                <w:rFonts w:hint="eastAsia" w:ascii="宋体" w:hAnsi="宋体" w:cs="宋体"/>
                <w:kern w:val="0"/>
                <w:szCs w:val="21"/>
                <w:lang w:bidi="ar"/>
              </w:rPr>
              <w:t>社区态势感知</w:t>
            </w:r>
            <w:r>
              <w:rPr>
                <w:rFonts w:hint="eastAsia" w:ascii="宋体" w:hAnsi="宋体" w:cs="宋体"/>
                <w:kern w:val="0"/>
                <w:szCs w:val="21"/>
                <w:lang w:bidi="ar"/>
              </w:rPr>
              <w:br w:type="textWrapping"/>
            </w:r>
            <w:r>
              <w:rPr>
                <w:rFonts w:hint="eastAsia" w:ascii="宋体" w:hAnsi="宋体" w:cs="宋体"/>
                <w:kern w:val="0"/>
                <w:szCs w:val="21"/>
                <w:lang w:bidi="ar"/>
              </w:rPr>
              <w:t>社区体征监测</w:t>
            </w:r>
            <w:r>
              <w:rPr>
                <w:rFonts w:hint="eastAsia" w:ascii="宋体" w:hAnsi="宋体" w:cs="宋体"/>
                <w:kern w:val="0"/>
                <w:szCs w:val="21"/>
                <w:lang w:bidi="ar"/>
              </w:rPr>
              <w:br w:type="textWrapping"/>
            </w:r>
            <w:r>
              <w:rPr>
                <w:rFonts w:hint="eastAsia" w:ascii="宋体" w:hAnsi="宋体" w:cs="宋体"/>
                <w:kern w:val="0"/>
                <w:szCs w:val="21"/>
                <w:lang w:bidi="ar"/>
              </w:rPr>
              <w:t>设施设备联动管理</w:t>
            </w:r>
            <w:r>
              <w:rPr>
                <w:rFonts w:hint="eastAsia" w:ascii="宋体" w:hAnsi="宋体" w:cs="宋体"/>
                <w:kern w:val="0"/>
                <w:szCs w:val="21"/>
                <w:lang w:bidi="ar"/>
              </w:rPr>
              <w:br w:type="textWrapping"/>
            </w:r>
            <w:r>
              <w:rPr>
                <w:rFonts w:hint="eastAsia" w:ascii="宋体" w:hAnsi="宋体" w:cs="宋体"/>
                <w:kern w:val="0"/>
                <w:szCs w:val="21"/>
                <w:lang w:bidi="ar"/>
              </w:rPr>
              <w:t>基础信息展示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continue"/>
            <w:shd w:val="clear" w:color="auto" w:fill="auto"/>
            <w:vAlign w:val="center"/>
          </w:tcPr>
          <w:p>
            <w:pPr>
              <w:jc w:val="center"/>
              <w:rPr>
                <w:rFonts w:ascii="宋体" w:hAnsi="宋体" w:cs="宋体"/>
                <w:szCs w:val="21"/>
              </w:rPr>
            </w:pPr>
          </w:p>
        </w:tc>
        <w:tc>
          <w:tcPr>
            <w:tcW w:w="4486" w:type="dxa"/>
            <w:vMerge w:val="continue"/>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邻里场景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社区合伙人</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鼓励居民积极参与邻里活动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G端大屏增加四类和伙人排名榜单(根据后期和伙人举办活动的人数、频率)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和伙人管理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投票表决</w:t>
            </w:r>
            <w:r>
              <w:rPr>
                <w:rFonts w:hint="eastAsia" w:ascii="宋体" w:hAnsi="宋体" w:cs="宋体"/>
                <w:kern w:val="0"/>
                <w:szCs w:val="21"/>
                <w:lang w:bidi="ar"/>
              </w:rPr>
              <w:br w:type="textWrapping"/>
            </w:r>
            <w:r>
              <w:rPr>
                <w:rFonts w:hint="eastAsia" w:ascii="宋体" w:hAnsi="宋体" w:cs="宋体"/>
                <w:kern w:val="0"/>
                <w:szCs w:val="21"/>
                <w:lang w:bidi="ar"/>
              </w:rPr>
              <w:t>（特色*邻来投）</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发布各类投票</w:t>
            </w:r>
            <w:r>
              <w:rPr>
                <w:rFonts w:hint="eastAsia" w:ascii="宋体" w:hAnsi="宋体" w:cs="宋体"/>
                <w:kern w:val="0"/>
                <w:szCs w:val="21"/>
                <w:lang w:bidi="ar"/>
              </w:rPr>
              <w:br w:type="textWrapping"/>
            </w:r>
            <w:r>
              <w:rPr>
                <w:rFonts w:hint="eastAsia" w:ascii="宋体" w:hAnsi="宋体" w:cs="宋体"/>
                <w:kern w:val="0"/>
                <w:szCs w:val="21"/>
                <w:lang w:bidi="ar"/>
              </w:rPr>
              <w:t>通过浙里办服务与政府数据打通（产权所有人、户籍数据、实名信息）</w:t>
            </w:r>
            <w:r>
              <w:rPr>
                <w:rStyle w:val="269"/>
                <w:rFonts w:ascii="宋体" w:hAnsi="宋体" w:eastAsia="宋体" w:cs="宋体"/>
                <w:b w:val="0"/>
                <w:bCs w:val="0"/>
                <w:color w:val="auto"/>
                <w:sz w:val="21"/>
                <w:szCs w:val="21"/>
                <w:lang w:bidi="ar"/>
              </w:rPr>
              <w:t>，在应用内完成身份认证后即可进行所在小区的投票</w:t>
            </w:r>
            <w:r>
              <w:rPr>
                <w:rFonts w:hint="eastAsia" w:ascii="宋体" w:hAnsi="宋体" w:cs="宋体"/>
                <w:kern w:val="0"/>
                <w:szCs w:val="21"/>
                <w:lang w:bidi="ar"/>
              </w:rPr>
              <w:t>，同时提供管理后台对数据进行溯源及统计分析。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投票数据图表展示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投票配置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邻里中心</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采用BIM、客流计数器进行邻里中心公共活动场所热度可视化管控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活动广场</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报名参加各种社区活动，支持多个场次</w:t>
            </w:r>
            <w:r>
              <w:rPr>
                <w:rFonts w:hint="eastAsia" w:ascii="宋体" w:hAnsi="宋体" w:cs="宋体"/>
                <w:kern w:val="0"/>
                <w:szCs w:val="21"/>
                <w:lang w:bidi="ar"/>
              </w:rPr>
              <w:br w:type="textWrapping"/>
            </w:r>
            <w:r>
              <w:rPr>
                <w:rFonts w:hint="eastAsia" w:ascii="宋体" w:hAnsi="宋体" w:cs="宋体"/>
                <w:kern w:val="0"/>
                <w:szCs w:val="21"/>
                <w:lang w:bidi="ar"/>
              </w:rPr>
              <w:t>活动分类:邻里活动、教育活动、公益法律咨询会（共享法庭）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实时活动与历史活动看板，二维码扫码报名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活动配置，支持多个场次，富文本编辑，视频上传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场馆预约</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各级场馆状态可视化展示，场馆热度根据活动情况形成热度排名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场馆预约管理</w:t>
            </w:r>
            <w:r>
              <w:rPr>
                <w:rFonts w:hint="eastAsia" w:ascii="宋体" w:hAnsi="宋体" w:cs="宋体"/>
                <w:kern w:val="0"/>
                <w:szCs w:val="21"/>
                <w:lang w:bidi="ar"/>
              </w:rPr>
              <w:br w:type="textWrapping"/>
            </w:r>
            <w:r>
              <w:rPr>
                <w:rFonts w:hint="eastAsia" w:ascii="宋体" w:hAnsi="宋体" w:cs="宋体"/>
                <w:kern w:val="0"/>
                <w:szCs w:val="21"/>
                <w:lang w:bidi="ar"/>
              </w:rPr>
              <w:t>提供文化场馆点位管理功能，场地配置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区级场馆、街道级场馆、社区级场馆等场馆综合在线预约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湾头社群</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社群展示、社群历史活动风采、社群互动、社群活动列表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社群配置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社群动态看板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邻里公约</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线上邻里公约商议、修改、公示、签订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邻里公约后台管理</w:t>
            </w:r>
            <w:r>
              <w:rPr>
                <w:rFonts w:hint="eastAsia" w:ascii="宋体" w:hAnsi="宋体" w:cs="宋体"/>
                <w:kern w:val="0"/>
                <w:szCs w:val="21"/>
                <w:lang w:bidi="ar"/>
              </w:rPr>
              <w:br w:type="textWrapping"/>
            </w:r>
            <w:r>
              <w:rPr>
                <w:rFonts w:hint="eastAsia" w:ascii="宋体" w:hAnsi="宋体" w:cs="宋体"/>
                <w:kern w:val="0"/>
                <w:szCs w:val="21"/>
                <w:lang w:bidi="ar"/>
              </w:rPr>
              <w:t>或线下签订公约，运营官根据奖惩增减积分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iNingbo免费上网</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对接iNingbo，提供应用入口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每日签到</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每日签到获取邻里积分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教育场景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教育地图</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1、信息查询界面，展示各个教育点的地址、电话、营业时间、基本简介</w:t>
            </w:r>
            <w:r>
              <w:rPr>
                <w:rFonts w:hint="eastAsia" w:ascii="宋体" w:hAnsi="宋体" w:cs="宋体"/>
                <w:kern w:val="0"/>
                <w:szCs w:val="21"/>
                <w:lang w:bidi="ar"/>
              </w:rPr>
              <w:br w:type="textWrapping"/>
            </w:r>
            <w:r>
              <w:rPr>
                <w:rFonts w:hint="eastAsia" w:ascii="宋体" w:hAnsi="宋体" w:cs="宋体"/>
                <w:kern w:val="0"/>
                <w:szCs w:val="21"/>
                <w:lang w:bidi="ar"/>
              </w:rPr>
              <w:t>2、根据教育点分类，显示热点排名</w:t>
            </w:r>
            <w:r>
              <w:rPr>
                <w:rFonts w:hint="eastAsia" w:ascii="宋体" w:hAnsi="宋体" w:cs="宋体"/>
                <w:kern w:val="0"/>
                <w:szCs w:val="21"/>
                <w:lang w:bidi="ar"/>
              </w:rPr>
              <w:br w:type="textWrapping"/>
            </w:r>
            <w:r>
              <w:rPr>
                <w:rFonts w:hint="eastAsia" w:ascii="宋体" w:hAnsi="宋体" w:cs="宋体"/>
                <w:kern w:val="0"/>
                <w:szCs w:val="21"/>
                <w:lang w:bidi="ar"/>
              </w:rPr>
              <w:t>提供周边博物馆、美术馆、科技馆、户外营地等教育场所信息查询入口与二维码预约入口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后台提供教育资源配置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学区信息展示、招生简章下载</w:t>
            </w:r>
            <w:r>
              <w:rPr>
                <w:rFonts w:hint="eastAsia" w:ascii="宋体" w:hAnsi="宋体" w:cs="宋体"/>
                <w:kern w:val="0"/>
                <w:szCs w:val="21"/>
                <w:lang w:bidi="ar"/>
              </w:rPr>
              <w:br w:type="textWrapping"/>
            </w:r>
            <w:r>
              <w:rPr>
                <w:rFonts w:hint="eastAsia" w:ascii="宋体" w:hAnsi="宋体" w:cs="宋体"/>
                <w:kern w:val="0"/>
                <w:szCs w:val="21"/>
                <w:lang w:bidi="ar"/>
              </w:rPr>
              <w:t>或提供周边博物馆、美术馆、科技馆、户外营地等场所预约入口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湾头托幼</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1、托幼监控的查看</w:t>
            </w:r>
            <w:r>
              <w:rPr>
                <w:rFonts w:hint="eastAsia" w:ascii="宋体" w:hAnsi="宋体" w:cs="宋体"/>
                <w:kern w:val="0"/>
                <w:szCs w:val="21"/>
                <w:lang w:bidi="ar"/>
              </w:rPr>
              <w:br w:type="textWrapping"/>
            </w:r>
            <w:r>
              <w:rPr>
                <w:rFonts w:hint="eastAsia" w:ascii="宋体" w:hAnsi="宋体" w:cs="宋体"/>
                <w:kern w:val="0"/>
                <w:szCs w:val="21"/>
                <w:lang w:bidi="ar"/>
              </w:rPr>
              <w:t>2、托幼功能升级，依托有政府背书的第三方进行智慧化改造或者依托幼儿园进行三岁前的托育（建议就在自身小区进行）</w:t>
            </w:r>
            <w:r>
              <w:rPr>
                <w:rFonts w:hint="eastAsia" w:ascii="宋体" w:hAnsi="宋体" w:cs="宋体"/>
                <w:kern w:val="0"/>
                <w:szCs w:val="21"/>
                <w:lang w:bidi="ar"/>
              </w:rPr>
              <w:br w:type="textWrapping"/>
            </w:r>
            <w:r>
              <w:rPr>
                <w:rFonts w:hint="eastAsia" w:ascii="宋体" w:hAnsi="宋体" w:cs="宋体"/>
                <w:kern w:val="0"/>
                <w:szCs w:val="21"/>
                <w:lang w:bidi="ar"/>
              </w:rPr>
              <w:t>3、托幼空间预约</w:t>
            </w:r>
            <w:r>
              <w:rPr>
                <w:rFonts w:hint="eastAsia" w:ascii="宋体" w:hAnsi="宋体" w:cs="宋体"/>
                <w:kern w:val="0"/>
                <w:szCs w:val="21"/>
                <w:lang w:bidi="ar"/>
              </w:rPr>
              <w:br w:type="textWrapping"/>
            </w:r>
            <w:r>
              <w:rPr>
                <w:rFonts w:hint="eastAsia" w:ascii="宋体" w:hAnsi="宋体" w:cs="宋体"/>
                <w:kern w:val="0"/>
                <w:szCs w:val="21"/>
                <w:lang w:bidi="ar"/>
              </w:rPr>
              <w:t>4、托幼满意度调查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托幼空间管理、幼儿入园管理、托幼监控管理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湾头托幼空间、余量、红黑榜动态监管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幸福学堂</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vMerge w:val="restart"/>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利用现有邻里活动模块，以教育活动标签区分活动类型</w:t>
            </w:r>
            <w:r>
              <w:rPr>
                <w:rFonts w:hint="eastAsia" w:ascii="宋体" w:hAnsi="宋体" w:cs="宋体"/>
                <w:kern w:val="0"/>
                <w:szCs w:val="21"/>
                <w:lang w:bidi="ar"/>
              </w:rPr>
              <w:br w:type="textWrapping"/>
            </w:r>
            <w:r>
              <w:rPr>
                <w:rFonts w:hint="eastAsia" w:ascii="宋体" w:hAnsi="宋体" w:cs="宋体"/>
                <w:kern w:val="0"/>
                <w:szCs w:val="21"/>
                <w:lang w:bidi="ar"/>
              </w:rPr>
              <w:t>此模块不可单独上线，需和邻里场景的活动广场绑定使用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vMerge w:val="continue"/>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vMerge w:val="continue"/>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甬上云校</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甬上云校页面引入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可选择对接甬上云校，使用甬上云校的功能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听广播</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收听宁波本地广播电台。提供应用入口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看电视</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收看宁波本地电视频道。提供应用入口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健康场景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康养地图</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湾头健康、养老资源一张图，方便老年人及家庭设定条件，搜索附近养老设施，感知周边养老服务机构、康复医院、护理院、老年大学、老年用品商城等养老资源，了解详细地址、联系电话、开放时间等基本信息，方便线下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后台提供健康场馆点位管理功能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湾头健康</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接入健康宁波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远程视频问诊</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val="en-US" w:eastAsia="zh-CN" w:bidi="ar"/>
              </w:rPr>
              <w:t>设备</w:t>
            </w:r>
            <w:r>
              <w:rPr>
                <w:rFonts w:hint="eastAsia" w:ascii="宋体" w:hAnsi="宋体" w:cs="宋体"/>
                <w:kern w:val="0"/>
                <w:szCs w:val="21"/>
                <w:lang w:bidi="ar"/>
              </w:rPr>
              <w:t>C端接入问诊平台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安全智护</w:t>
            </w:r>
            <w:r>
              <w:rPr>
                <w:rFonts w:hint="eastAsia" w:ascii="宋体" w:hAnsi="宋体" w:cs="宋体"/>
                <w:kern w:val="0"/>
                <w:szCs w:val="21"/>
                <w:lang w:bidi="ar"/>
              </w:rPr>
              <w:br w:type="textWrapping"/>
            </w:r>
            <w:r>
              <w:rPr>
                <w:rFonts w:hint="eastAsia" w:ascii="宋体" w:hAnsi="宋体" w:cs="宋体"/>
                <w:kern w:val="0"/>
                <w:szCs w:val="21"/>
                <w:lang w:bidi="ar"/>
              </w:rPr>
              <w:t>居家养老四件套</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IOT设备安装申请及设备状态查看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物联网设备管理</w:t>
            </w:r>
            <w:r>
              <w:rPr>
                <w:rStyle w:val="270"/>
                <w:rFonts w:ascii="宋体" w:hAnsi="宋体" w:eastAsia="宋体" w:cs="宋体"/>
                <w:color w:val="auto"/>
                <w:sz w:val="21"/>
                <w:szCs w:val="21"/>
                <w:lang w:bidi="ar"/>
              </w:rPr>
              <w:t>（并入湾头安防）</w:t>
            </w:r>
            <w:r>
              <w:rPr>
                <w:rFonts w:hint="eastAsia" w:ascii="宋体" w:hAnsi="宋体" w:cs="宋体"/>
                <w:kern w:val="0"/>
                <w:szCs w:val="21"/>
                <w:lang w:bidi="ar"/>
              </w:rPr>
              <w:t>及报警信息处理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智能IOT设备状态及报警信息可视化管控与处理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运动打卡</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用户完成每日运动，打卡上传照片获得积分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打卡审核，发放积分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创业场景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众创空间</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小程序进行办公空间租用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1、大屏展示众创空间租赁的相关详情</w:t>
            </w:r>
            <w:r>
              <w:rPr>
                <w:rFonts w:hint="eastAsia" w:ascii="宋体" w:hAnsi="宋体" w:cs="宋体"/>
                <w:kern w:val="0"/>
                <w:szCs w:val="21"/>
                <w:lang w:bidi="ar"/>
              </w:rPr>
              <w:br w:type="textWrapping"/>
            </w:r>
            <w:r>
              <w:rPr>
                <w:rFonts w:hint="eastAsia" w:ascii="宋体" w:hAnsi="宋体" w:cs="宋体"/>
                <w:kern w:val="0"/>
                <w:szCs w:val="21"/>
                <w:lang w:bidi="ar"/>
              </w:rPr>
              <w:t>2、小程序扫码申请</w:t>
            </w:r>
            <w:r>
              <w:rPr>
                <w:rFonts w:hint="eastAsia" w:ascii="宋体" w:hAnsi="宋体" w:cs="宋体"/>
                <w:kern w:val="0"/>
                <w:szCs w:val="21"/>
                <w:lang w:bidi="ar"/>
              </w:rPr>
              <w:br w:type="textWrapping"/>
            </w:r>
            <w:r>
              <w:rPr>
                <w:rFonts w:hint="eastAsia" w:ascii="宋体" w:hAnsi="宋体" w:cs="宋体"/>
                <w:kern w:val="0"/>
                <w:szCs w:val="21"/>
                <w:lang w:bidi="ar"/>
              </w:rPr>
              <w:t>3、服务统计:房间查看与申请租赁次数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湾头创业</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企业、人才政策、惠企政策等信息发布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企业、人才政策、惠企政策等信息发布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信息发布配置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建筑场景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数字社区</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通过社区级CIM模型，实现精确到户服务与管理，可视化展示居民注册情况、活动参与情况、积分持有情况、积分兑换情况等。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湾头社区运营数据每日简报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交通场景</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湾头停车</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对接“甬城泊车”，能授权给到本地区使用的前提下，跳转甬城泊车模块提供应用入口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湾头公交</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公共交通实时信息的看板；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服务场景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湾头商圈</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湾头社区商业服务资源导流。通过优惠券引导居民去线下消费。</w:t>
            </w:r>
            <w:r>
              <w:rPr>
                <w:rFonts w:hint="eastAsia" w:ascii="宋体" w:hAnsi="宋体" w:cs="宋体"/>
                <w:kern w:val="0"/>
                <w:szCs w:val="21"/>
                <w:lang w:bidi="ar"/>
              </w:rPr>
              <w:br w:type="textWrapping"/>
            </w:r>
            <w:r>
              <w:rPr>
                <w:rFonts w:hint="eastAsia" w:ascii="宋体" w:hAnsi="宋体" w:cs="宋体"/>
                <w:kern w:val="0"/>
                <w:szCs w:val="21"/>
                <w:lang w:bidi="ar"/>
              </w:rPr>
              <w:t>支持线上自动核销，自动发商家优惠码。</w:t>
            </w:r>
            <w:r>
              <w:rPr>
                <w:rFonts w:hint="eastAsia" w:ascii="宋体" w:hAnsi="宋体" w:cs="宋体"/>
                <w:kern w:val="0"/>
                <w:szCs w:val="21"/>
                <w:lang w:bidi="ar"/>
              </w:rPr>
              <w:br w:type="textWrapping"/>
            </w:r>
            <w:r>
              <w:rPr>
                <w:rFonts w:hint="eastAsia" w:ascii="宋体" w:hAnsi="宋体" w:cs="宋体"/>
                <w:kern w:val="0"/>
                <w:szCs w:val="21"/>
                <w:lang w:bidi="ar"/>
              </w:rPr>
              <w:t>允许商家自主申请入驻积分商城；商品上架走商家和运营方线下沟通后由运营方进行商品上架。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后台进行优惠券管理。录入商家优惠码。</w:t>
            </w:r>
            <w:r>
              <w:rPr>
                <w:rFonts w:hint="eastAsia" w:ascii="宋体" w:hAnsi="宋体" w:cs="宋体"/>
                <w:kern w:val="0"/>
                <w:szCs w:val="21"/>
                <w:lang w:bidi="ar"/>
              </w:rPr>
              <w:br w:type="textWrapping"/>
            </w:r>
            <w:r>
              <w:rPr>
                <w:rFonts w:hint="eastAsia" w:ascii="宋体" w:hAnsi="宋体" w:cs="宋体"/>
                <w:kern w:val="0"/>
                <w:szCs w:val="21"/>
                <w:lang w:bidi="ar"/>
              </w:rPr>
              <w:t>审核商家入驻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时间银行</w:t>
            </w:r>
            <w:r>
              <w:rPr>
                <w:rFonts w:hint="eastAsia" w:ascii="宋体" w:hAnsi="宋体" w:cs="宋体"/>
                <w:kern w:val="0"/>
                <w:szCs w:val="21"/>
                <w:lang w:bidi="ar"/>
              </w:rPr>
              <w:br w:type="textWrapping"/>
            </w:r>
            <w:r>
              <w:rPr>
                <w:rFonts w:hint="eastAsia" w:ascii="宋体" w:hAnsi="宋体" w:cs="宋体"/>
                <w:kern w:val="0"/>
                <w:szCs w:val="21"/>
                <w:lang w:bidi="ar"/>
              </w:rPr>
              <w:t>（利用积分商城上架虚拟类商品服务，通过积分兑换某类服务；</w:t>
            </w:r>
            <w:r>
              <w:rPr>
                <w:rFonts w:hint="eastAsia" w:ascii="宋体" w:hAnsi="宋体" w:cs="宋体"/>
                <w:kern w:val="0"/>
                <w:szCs w:val="21"/>
                <w:lang w:bidi="ar"/>
              </w:rPr>
              <w:br w:type="textWrapping"/>
            </w:r>
            <w:r>
              <w:rPr>
                <w:rFonts w:hint="eastAsia" w:ascii="宋体" w:hAnsi="宋体" w:cs="宋体"/>
                <w:kern w:val="0"/>
                <w:szCs w:val="21"/>
                <w:lang w:bidi="ar"/>
              </w:rPr>
              <w:t>活动广场参加志愿服务赚取积分）</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利用现有邻里活动模块，以时间银行标签区分活动类型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湾头积分</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1、用户在线获得积分</w:t>
            </w:r>
            <w:r>
              <w:rPr>
                <w:rFonts w:hint="eastAsia" w:ascii="宋体" w:hAnsi="宋体" w:cs="宋体"/>
                <w:kern w:val="0"/>
                <w:szCs w:val="21"/>
                <w:lang w:bidi="ar"/>
              </w:rPr>
              <w:br w:type="textWrapping"/>
            </w:r>
            <w:r>
              <w:rPr>
                <w:rFonts w:hint="eastAsia" w:ascii="宋体" w:hAnsi="宋体" w:cs="宋体"/>
                <w:kern w:val="0"/>
                <w:szCs w:val="21"/>
                <w:lang w:bidi="ar"/>
              </w:rPr>
              <w:t>2、线上兑换奖品</w:t>
            </w:r>
            <w:r>
              <w:rPr>
                <w:rFonts w:hint="eastAsia" w:ascii="宋体" w:hAnsi="宋体" w:cs="宋体"/>
                <w:kern w:val="0"/>
                <w:szCs w:val="21"/>
                <w:lang w:bidi="ar"/>
              </w:rPr>
              <w:br w:type="textWrapping"/>
            </w:r>
            <w:r>
              <w:rPr>
                <w:rFonts w:hint="eastAsia" w:ascii="宋体" w:hAnsi="宋体" w:cs="宋体"/>
                <w:kern w:val="0"/>
                <w:szCs w:val="21"/>
                <w:lang w:bidi="ar"/>
              </w:rPr>
              <w:t>3、线下领取或使用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大屏展示从积分产生到积分核销全生命周期(运动打卡、健康积分)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1、积分商城的商品编辑与管理</w:t>
            </w:r>
            <w:r>
              <w:rPr>
                <w:rFonts w:hint="eastAsia" w:ascii="宋体" w:hAnsi="宋体" w:cs="宋体"/>
                <w:kern w:val="0"/>
                <w:szCs w:val="21"/>
                <w:lang w:bidi="ar"/>
              </w:rPr>
              <w:br w:type="textWrapping"/>
            </w:r>
            <w:r>
              <w:rPr>
                <w:rFonts w:hint="eastAsia" w:ascii="宋体" w:hAnsi="宋体" w:cs="宋体"/>
                <w:kern w:val="0"/>
                <w:szCs w:val="21"/>
                <w:lang w:bidi="ar"/>
              </w:rPr>
              <w:t>2、兑换商品的列表的查看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湾头报修</w:t>
            </w:r>
            <w:r>
              <w:rPr>
                <w:rFonts w:hint="eastAsia" w:ascii="宋体" w:hAnsi="宋体" w:cs="宋体"/>
                <w:kern w:val="0"/>
                <w:szCs w:val="21"/>
                <w:lang w:bidi="ar"/>
              </w:rPr>
              <w:br w:type="textWrapping"/>
            </w:r>
            <w:r>
              <w:rPr>
                <w:rFonts w:hint="eastAsia" w:ascii="宋体" w:hAnsi="宋体" w:cs="宋体"/>
                <w:kern w:val="0"/>
                <w:szCs w:val="21"/>
                <w:lang w:bidi="ar"/>
              </w:rPr>
              <w:t>物业报修</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在线提交服务工单，如报事报修，家电维修。对已完成工单可填写评价。</w:t>
            </w:r>
            <w:r>
              <w:rPr>
                <w:rFonts w:hint="eastAsia" w:ascii="宋体" w:hAnsi="宋体" w:cs="宋体"/>
                <w:kern w:val="0"/>
                <w:szCs w:val="21"/>
                <w:lang w:bidi="ar"/>
              </w:rPr>
              <w:br w:type="textWrapping"/>
            </w:r>
            <w:r>
              <w:rPr>
                <w:rFonts w:hint="eastAsia" w:ascii="宋体" w:hAnsi="宋体" w:cs="宋体"/>
                <w:kern w:val="0"/>
                <w:szCs w:val="21"/>
                <w:lang w:bidi="ar"/>
              </w:rPr>
              <w:t>物业管理人员可在小程序端进行工单处理。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工单管理，下单和超时的短信提醒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湾头广播</w:t>
            </w:r>
            <w:r>
              <w:rPr>
                <w:rFonts w:hint="eastAsia" w:ascii="宋体" w:hAnsi="宋体" w:cs="宋体"/>
                <w:kern w:val="0"/>
                <w:szCs w:val="21"/>
                <w:lang w:bidi="ar"/>
              </w:rPr>
              <w:br w:type="textWrapping"/>
            </w:r>
            <w:r>
              <w:rPr>
                <w:rFonts w:hint="eastAsia" w:ascii="宋体" w:hAnsi="宋体" w:cs="宋体"/>
                <w:kern w:val="0"/>
                <w:szCs w:val="21"/>
                <w:lang w:bidi="ar"/>
              </w:rPr>
              <w:t>带签收通知功能</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首页banner图的展示。</w:t>
            </w:r>
            <w:r>
              <w:rPr>
                <w:rFonts w:hint="eastAsia" w:ascii="宋体" w:hAnsi="宋体" w:cs="宋体"/>
                <w:kern w:val="0"/>
                <w:szCs w:val="21"/>
                <w:lang w:bidi="ar"/>
              </w:rPr>
              <w:br w:type="textWrapping"/>
            </w:r>
            <w:r>
              <w:rPr>
                <w:rFonts w:hint="eastAsia" w:ascii="宋体" w:hAnsi="宋体" w:cs="宋体"/>
                <w:kern w:val="0"/>
                <w:szCs w:val="21"/>
                <w:lang w:bidi="ar"/>
              </w:rPr>
              <w:t>能够完成公告签收功能。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需要签收的通知消息完成率可视化管理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1、后台信息管理</w:t>
            </w:r>
            <w:r>
              <w:rPr>
                <w:rFonts w:hint="eastAsia" w:ascii="宋体" w:hAnsi="宋体" w:cs="宋体"/>
                <w:kern w:val="0"/>
                <w:szCs w:val="21"/>
                <w:lang w:bidi="ar"/>
              </w:rPr>
              <w:br w:type="textWrapping"/>
            </w:r>
            <w:r>
              <w:rPr>
                <w:rFonts w:hint="eastAsia" w:ascii="宋体" w:hAnsi="宋体" w:cs="宋体"/>
                <w:kern w:val="0"/>
                <w:szCs w:val="21"/>
                <w:lang w:bidi="ar"/>
              </w:rPr>
              <w:t>2、信息发布审核</w:t>
            </w:r>
            <w:r>
              <w:rPr>
                <w:rFonts w:hint="eastAsia" w:ascii="宋体" w:hAnsi="宋体" w:cs="宋体"/>
                <w:kern w:val="0"/>
                <w:szCs w:val="21"/>
                <w:lang w:bidi="ar"/>
              </w:rPr>
              <w:br w:type="textWrapping"/>
            </w:r>
            <w:r>
              <w:rPr>
                <w:rFonts w:hint="eastAsia" w:ascii="宋体" w:hAnsi="宋体" w:cs="宋体"/>
                <w:kern w:val="0"/>
                <w:szCs w:val="21"/>
                <w:lang w:bidi="ar"/>
              </w:rPr>
              <w:t>3、需签收通知的发布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低碳场景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垃圾分类</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垃圾分类检查数据展示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答题库管理、垃圾桶照片审核管理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垃圾分类检查，垃圾分类知识答题库以及业主垃圾桶拍照审核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模块开发</w:t>
            </w:r>
          </w:p>
        </w:tc>
        <w:tc>
          <w:tcPr>
            <w:tcW w:w="1380"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治理场景</w:t>
            </w: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随手拍</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1、居民通过移动端上报社区内的各类问题，事件等</w:t>
            </w:r>
            <w:r>
              <w:rPr>
                <w:rFonts w:hint="eastAsia" w:ascii="宋体" w:hAnsi="宋体" w:cs="宋体"/>
                <w:kern w:val="0"/>
                <w:szCs w:val="21"/>
                <w:lang w:bidi="ar"/>
              </w:rPr>
              <w:br w:type="textWrapping"/>
            </w:r>
            <w:r>
              <w:rPr>
                <w:rFonts w:hint="eastAsia" w:ascii="宋体" w:hAnsi="宋体" w:cs="宋体"/>
                <w:kern w:val="0"/>
                <w:szCs w:val="21"/>
                <w:lang w:bidi="ar"/>
              </w:rPr>
              <w:t>2、增加老百姓建议/协商/矛盾调解的渠道，并有对应人员进行答复</w:t>
            </w:r>
            <w:r>
              <w:rPr>
                <w:rFonts w:hint="eastAsia" w:ascii="宋体" w:hAnsi="宋体" w:cs="宋体"/>
                <w:kern w:val="0"/>
                <w:szCs w:val="21"/>
                <w:lang w:bidi="ar"/>
              </w:rPr>
              <w:br w:type="textWrapping"/>
            </w:r>
            <w:r>
              <w:rPr>
                <w:rFonts w:hint="eastAsia" w:ascii="宋体" w:hAnsi="宋体" w:cs="宋体"/>
                <w:kern w:val="0"/>
                <w:szCs w:val="21"/>
                <w:lang w:bidi="ar"/>
              </w:rPr>
              <w:t>此模块不可单独上线，需和服务场景的湾头报修绑定使用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利用本平台的工单系统进行处理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湾头安防</w:t>
            </w:r>
          </w:p>
        </w:tc>
        <w:tc>
          <w:tcPr>
            <w:tcW w:w="791"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vMerge w:val="restart"/>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实现智能IOT设备在线状态及报警信息24小时监控，打造社区全方位无盲区安全防护网。</w:t>
            </w:r>
            <w:r>
              <w:rPr>
                <w:rFonts w:hint="eastAsia" w:ascii="宋体" w:hAnsi="宋体" w:cs="宋体"/>
                <w:kern w:val="0"/>
                <w:szCs w:val="21"/>
                <w:lang w:bidi="ar"/>
              </w:rPr>
              <w:br w:type="textWrapping"/>
            </w:r>
            <w:r>
              <w:rPr>
                <w:rFonts w:hint="eastAsia" w:ascii="宋体" w:hAnsi="宋体" w:cs="宋体"/>
                <w:kern w:val="0"/>
                <w:szCs w:val="21"/>
                <w:lang w:bidi="ar"/>
              </w:rPr>
              <w:t>1、IOT设备可视化管控</w:t>
            </w:r>
            <w:r>
              <w:rPr>
                <w:rFonts w:hint="eastAsia" w:ascii="宋体" w:hAnsi="宋体" w:cs="宋体"/>
                <w:kern w:val="0"/>
                <w:szCs w:val="21"/>
                <w:lang w:bidi="ar"/>
              </w:rPr>
              <w:br w:type="textWrapping"/>
            </w:r>
            <w:r>
              <w:rPr>
                <w:rFonts w:hint="eastAsia" w:ascii="宋体" w:hAnsi="宋体" w:cs="宋体"/>
                <w:kern w:val="0"/>
                <w:szCs w:val="21"/>
                <w:lang w:bidi="ar"/>
              </w:rPr>
              <w:t>2、数据展示:监控总数、异常数据、故障数据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continue"/>
            <w:shd w:val="clear" w:color="auto" w:fill="auto"/>
            <w:vAlign w:val="center"/>
          </w:tcPr>
          <w:p>
            <w:pPr>
              <w:jc w:val="center"/>
              <w:rPr>
                <w:rFonts w:ascii="宋体" w:hAnsi="宋体" w:cs="宋体"/>
                <w:szCs w:val="21"/>
              </w:rPr>
            </w:pPr>
          </w:p>
        </w:tc>
        <w:tc>
          <w:tcPr>
            <w:tcW w:w="4486" w:type="dxa"/>
            <w:vMerge w:val="continue"/>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continue"/>
            <w:shd w:val="clear" w:color="auto" w:fill="auto"/>
            <w:vAlign w:val="center"/>
          </w:tcPr>
          <w:p>
            <w:pPr>
              <w:jc w:val="center"/>
              <w:rPr>
                <w:rFonts w:ascii="宋体" w:hAnsi="宋体" w:cs="宋体"/>
                <w:szCs w:val="21"/>
              </w:rPr>
            </w:pPr>
          </w:p>
        </w:tc>
        <w:tc>
          <w:tcPr>
            <w:tcW w:w="4486" w:type="dxa"/>
            <w:vMerge w:val="continue"/>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vMerge w:val="restart"/>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物联网设备的管理</w:t>
            </w:r>
            <w:r>
              <w:rPr>
                <w:rFonts w:hint="eastAsia" w:ascii="宋体" w:hAnsi="宋体" w:cs="宋体"/>
                <w:kern w:val="0"/>
                <w:szCs w:val="21"/>
                <w:lang w:bidi="ar"/>
              </w:rPr>
              <w:br w:type="textWrapping"/>
            </w:r>
            <w:r>
              <w:rPr>
                <w:rFonts w:hint="eastAsia" w:ascii="宋体" w:hAnsi="宋体" w:cs="宋体"/>
                <w:kern w:val="0"/>
                <w:szCs w:val="21"/>
                <w:lang w:bidi="ar"/>
              </w:rPr>
              <w:t>异常数据、故障数据、监控总数的数据展示；空间位置配置页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continue"/>
            <w:shd w:val="clear" w:color="auto" w:fill="auto"/>
            <w:vAlign w:val="center"/>
          </w:tcPr>
          <w:p>
            <w:pPr>
              <w:jc w:val="center"/>
              <w:rPr>
                <w:rFonts w:ascii="宋体" w:hAnsi="宋体" w:cs="宋体"/>
                <w:szCs w:val="21"/>
              </w:rPr>
            </w:pPr>
          </w:p>
        </w:tc>
        <w:tc>
          <w:tcPr>
            <w:tcW w:w="4486" w:type="dxa"/>
            <w:vMerge w:val="continue"/>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vMerge w:val="restart"/>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物联设备信号实时查看，报警事件处理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continue"/>
            <w:shd w:val="clear" w:color="auto" w:fill="auto"/>
            <w:vAlign w:val="center"/>
          </w:tcPr>
          <w:p>
            <w:pPr>
              <w:jc w:val="center"/>
              <w:rPr>
                <w:rFonts w:ascii="宋体" w:hAnsi="宋体" w:cs="宋体"/>
                <w:szCs w:val="21"/>
              </w:rPr>
            </w:pPr>
          </w:p>
        </w:tc>
        <w:tc>
          <w:tcPr>
            <w:tcW w:w="4486" w:type="dxa"/>
            <w:vMerge w:val="continue"/>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智慧消防</w:t>
            </w:r>
          </w:p>
        </w:tc>
        <w:tc>
          <w:tcPr>
            <w:tcW w:w="791"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szCs w:val="21"/>
              </w:rPr>
            </w:pPr>
            <w:r>
              <w:rPr>
                <w:rFonts w:hint="eastAsia" w:ascii="宋体" w:hAnsi="宋体" w:cs="宋体"/>
                <w:kern w:val="0"/>
                <w:szCs w:val="21"/>
                <w:lang w:bidi="ar"/>
              </w:rPr>
              <w:t>物联网平台实现消防设备报警信息采集与上报，报警信息自动生成工单。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宋体" w:hAnsi="宋体" w:cs="宋体"/>
                <w:szCs w:val="21"/>
              </w:rPr>
            </w:pPr>
            <w:r>
              <w:rPr>
                <w:rFonts w:hint="eastAsia" w:ascii="宋体" w:hAnsi="宋体" w:cs="宋体"/>
                <w:kern w:val="0"/>
                <w:szCs w:val="21"/>
                <w:lang w:bidi="ar"/>
              </w:rPr>
              <w:t>C端</w:t>
            </w:r>
          </w:p>
        </w:tc>
        <w:tc>
          <w:tcPr>
            <w:tcW w:w="4486"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tLeast"/>
              <w:jc w:val="left"/>
              <w:textAlignment w:val="center"/>
              <w:rPr>
                <w:rFonts w:ascii="宋体" w:hAnsi="宋体" w:cs="宋体"/>
                <w:szCs w:val="21"/>
              </w:rPr>
            </w:pPr>
            <w:r>
              <w:rPr>
                <w:rFonts w:hint="eastAsia" w:ascii="宋体" w:hAnsi="宋体" w:cs="宋体"/>
                <w:kern w:val="0"/>
                <w:szCs w:val="21"/>
                <w:lang w:bidi="ar"/>
              </w:rPr>
              <w:t>物联设备信号实时查看，报警事件处理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rFonts w:ascii="宋体" w:hAnsi="宋体" w:cs="宋体"/>
                <w:szCs w:val="21"/>
              </w:rPr>
            </w:pPr>
          </w:p>
        </w:tc>
        <w:tc>
          <w:tcPr>
            <w:tcW w:w="4486"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center"/>
              <w:rPr>
                <w:rFonts w:ascii="宋体" w:hAnsi="宋体" w:cs="宋体"/>
                <w:szCs w:val="21"/>
              </w:rPr>
            </w:pPr>
          </w:p>
        </w:tc>
        <w:tc>
          <w:tcPr>
            <w:tcW w:w="4486" w:type="dxa"/>
            <w:vMerge w:val="continue"/>
            <w:shd w:val="clear" w:color="auto" w:fill="auto"/>
            <w:vAlign w:val="center"/>
          </w:tcPr>
          <w:p>
            <w:pPr>
              <w:keepNext w:val="0"/>
              <w:keepLines w:val="0"/>
              <w:pageBreakBefore w:val="0"/>
              <w:kinsoku/>
              <w:wordWrap/>
              <w:overflowPunct/>
              <w:topLinePunct w:val="0"/>
              <w:autoSpaceDE/>
              <w:autoSpaceDN/>
              <w:bidi w:val="0"/>
              <w:adjustRightInd/>
              <w:snapToGrid/>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szCs w:val="21"/>
              </w:rPr>
            </w:pPr>
            <w:r>
              <w:rPr>
                <w:rFonts w:hint="eastAsia" w:ascii="宋体" w:hAnsi="宋体" w:cs="宋体"/>
                <w:kern w:val="0"/>
                <w:szCs w:val="21"/>
                <w:lang w:bidi="ar"/>
              </w:rPr>
              <w:t>实现消防设备在线状态监测、消防报警信息在线监测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湾头超话</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话题发布，居民参与讨论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话题管理，积分礼品发放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湾头问卷</w:t>
            </w:r>
            <w:r>
              <w:rPr>
                <w:rFonts w:hint="eastAsia" w:ascii="宋体" w:hAnsi="宋体" w:cs="宋体"/>
                <w:kern w:val="0"/>
                <w:szCs w:val="21"/>
                <w:lang w:bidi="ar"/>
              </w:rPr>
              <w:br w:type="textWrapping"/>
            </w:r>
            <w:r>
              <w:rPr>
                <w:rFonts w:hint="eastAsia" w:ascii="宋体" w:hAnsi="宋体" w:cs="宋体"/>
                <w:kern w:val="0"/>
                <w:szCs w:val="21"/>
                <w:lang w:bidi="ar"/>
              </w:rPr>
              <w:t>满意度调查</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用户填写调查问卷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反馈数据的呈现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调查问卷配置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湾头公告</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电子公告栏空间分布、历史发布信息可视化管理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电子公告栏内容发布；需对接第三方电子公告大屏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湾头党建</w:t>
            </w:r>
            <w:r>
              <w:rPr>
                <w:rFonts w:hint="eastAsia" w:ascii="宋体" w:hAnsi="宋体" w:cs="宋体"/>
                <w:kern w:val="0"/>
                <w:szCs w:val="21"/>
                <w:lang w:bidi="ar"/>
              </w:rPr>
              <w:br w:type="textWrapping"/>
            </w:r>
            <w:r>
              <w:rPr>
                <w:rFonts w:hint="eastAsia" w:ascii="宋体" w:hAnsi="宋体" w:cs="宋体"/>
                <w:kern w:val="0"/>
                <w:szCs w:val="21"/>
                <w:lang w:bidi="ar"/>
              </w:rPr>
              <w:t>（特色*党建智治平台）</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党建风采相关资讯服务，在线学习红色文化；亮相台，党务通，红管家，物居业组织架构人员组成的展示；通过流程化的社区党建服务管理，减少社工工作压力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资讯管理；党建服务处理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湾头防疫</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通过问卷调查形式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B端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问卷调查发布、编辑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vMerge w:val="continue"/>
            <w:shd w:val="clear" w:color="auto" w:fill="auto"/>
            <w:noWrap/>
            <w:vAlign w:val="center"/>
          </w:tcPr>
          <w:p>
            <w:pPr>
              <w:jc w:val="center"/>
              <w:rPr>
                <w:rFonts w:ascii="宋体" w:hAnsi="宋体" w:cs="宋体"/>
                <w:szCs w:val="21"/>
              </w:rPr>
            </w:pPr>
          </w:p>
        </w:tc>
        <w:tc>
          <w:tcPr>
            <w:tcW w:w="2230" w:type="dxa"/>
            <w:vMerge w:val="continue"/>
            <w:shd w:val="clear" w:color="auto" w:fill="auto"/>
            <w:vAlign w:val="center"/>
          </w:tcPr>
          <w:p>
            <w:pPr>
              <w:jc w:val="center"/>
              <w:rPr>
                <w:rFonts w:ascii="宋体" w:hAnsi="宋体" w:cs="宋体"/>
                <w:szCs w:val="21"/>
              </w:rPr>
            </w:pP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G端</w:t>
            </w: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1、疫情数据统计，并进行可视化数据展示</w:t>
            </w:r>
            <w:r>
              <w:rPr>
                <w:rFonts w:hint="eastAsia" w:ascii="宋体" w:hAnsi="宋体" w:cs="宋体"/>
                <w:kern w:val="0"/>
                <w:szCs w:val="21"/>
                <w:lang w:bidi="ar"/>
              </w:rPr>
              <w:br w:type="textWrapping"/>
            </w:r>
            <w:r>
              <w:rPr>
                <w:rFonts w:hint="eastAsia" w:ascii="宋体" w:hAnsi="宋体" w:cs="宋体"/>
                <w:kern w:val="0"/>
                <w:szCs w:val="21"/>
                <w:lang w:bidi="ar"/>
              </w:rPr>
              <w:t>2、防疫资讯的展示</w:t>
            </w:r>
            <w:r>
              <w:rPr>
                <w:rFonts w:hint="eastAsia" w:ascii="宋体" w:hAnsi="宋体" w:cs="宋体"/>
                <w:kern w:val="0"/>
                <w:szCs w:val="21"/>
                <w:lang w:bidi="ar"/>
              </w:rPr>
              <w:br w:type="textWrapping"/>
            </w:r>
            <w:r>
              <w:rPr>
                <w:rFonts w:hint="eastAsia" w:ascii="宋体" w:hAnsi="宋体" w:cs="宋体"/>
                <w:kern w:val="0"/>
                <w:szCs w:val="21"/>
                <w:lang w:bidi="ar"/>
              </w:rPr>
              <w:t>3、社区核酸检查结果分时段进行统计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07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工作项</w:t>
            </w:r>
          </w:p>
        </w:tc>
        <w:tc>
          <w:tcPr>
            <w:tcW w:w="138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791"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入口</w:t>
            </w:r>
          </w:p>
        </w:tc>
        <w:tc>
          <w:tcPr>
            <w:tcW w:w="448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需求描述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73"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基础信息收集</w:t>
            </w:r>
          </w:p>
        </w:tc>
        <w:tc>
          <w:tcPr>
            <w:tcW w:w="1380"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360影像采集</w:t>
            </w: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CIM建模</w:t>
            </w:r>
          </w:p>
        </w:tc>
        <w:tc>
          <w:tcPr>
            <w:tcW w:w="791" w:type="dxa"/>
            <w:shd w:val="clear" w:color="auto" w:fill="auto"/>
            <w:vAlign w:val="center"/>
          </w:tcPr>
          <w:p>
            <w:pPr>
              <w:jc w:val="center"/>
              <w:rPr>
                <w:rFonts w:ascii="宋体" w:hAnsi="宋体" w:cs="宋体"/>
                <w:szCs w:val="21"/>
              </w:rPr>
            </w:pPr>
          </w:p>
        </w:tc>
        <w:tc>
          <w:tcPr>
            <w:tcW w:w="4486" w:type="dxa"/>
            <w:shd w:val="clear" w:color="auto" w:fill="auto"/>
            <w:noWrap/>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1073" w:type="dxa"/>
            <w:vMerge w:val="continue"/>
            <w:shd w:val="clear" w:color="auto" w:fill="auto"/>
            <w:noWrap/>
            <w:vAlign w:val="center"/>
          </w:tcPr>
          <w:p>
            <w:pPr>
              <w:jc w:val="center"/>
              <w:rPr>
                <w:rFonts w:ascii="宋体" w:hAnsi="宋体" w:cs="宋体"/>
                <w:szCs w:val="21"/>
              </w:rPr>
            </w:pPr>
          </w:p>
        </w:tc>
        <w:tc>
          <w:tcPr>
            <w:tcW w:w="1380"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硬件解析接入费用</w:t>
            </w: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智能设备、智慧消防等IOT设备测试、协议解析和接入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073"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十二有对接</w:t>
            </w:r>
          </w:p>
        </w:tc>
        <w:tc>
          <w:tcPr>
            <w:tcW w:w="1380"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数字社会十二有</w:t>
            </w: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根据省市级要求，接入数字社会十二有应用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073"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浙里办对接</w:t>
            </w:r>
          </w:p>
        </w:tc>
        <w:tc>
          <w:tcPr>
            <w:tcW w:w="1380"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浙里办对接</w:t>
            </w: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根据省市级要求，开通浙里办我的家园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073"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北向对接</w:t>
            </w:r>
          </w:p>
        </w:tc>
        <w:tc>
          <w:tcPr>
            <w:tcW w:w="1380"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省、市监测平台定期上报</w:t>
            </w: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根据省市级要求，定期数据上报运营数据、基础数据月更。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07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江北区</w:t>
            </w:r>
            <w:r>
              <w:rPr>
                <w:rFonts w:hint="eastAsia" w:ascii="宋体" w:hAnsi="宋体" w:cs="宋体"/>
                <w:kern w:val="0"/>
                <w:szCs w:val="21"/>
                <w:lang w:bidi="ar"/>
              </w:rPr>
              <w:br w:type="textWrapping"/>
            </w:r>
            <w:r>
              <w:rPr>
                <w:rFonts w:hint="eastAsia" w:ascii="宋体" w:hAnsi="宋体" w:cs="宋体"/>
                <w:kern w:val="0"/>
                <w:szCs w:val="21"/>
                <w:lang w:bidi="ar"/>
              </w:rPr>
              <w:t>区级底座</w:t>
            </w:r>
          </w:p>
        </w:tc>
        <w:tc>
          <w:tcPr>
            <w:tcW w:w="1380" w:type="dxa"/>
            <w:shd w:val="clear" w:color="auto" w:fill="auto"/>
            <w:noWrap/>
            <w:vAlign w:val="center"/>
          </w:tcPr>
          <w:p>
            <w:pPr>
              <w:jc w:val="center"/>
              <w:rPr>
                <w:rFonts w:ascii="宋体" w:hAnsi="宋体" w:cs="宋体"/>
                <w:szCs w:val="21"/>
              </w:rPr>
            </w:pPr>
          </w:p>
        </w:tc>
        <w:tc>
          <w:tcPr>
            <w:tcW w:w="2230"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江北区</w:t>
            </w:r>
            <w:r>
              <w:rPr>
                <w:rFonts w:hint="eastAsia" w:ascii="宋体" w:hAnsi="宋体" w:cs="宋体"/>
                <w:kern w:val="0"/>
                <w:szCs w:val="21"/>
                <w:lang w:bidi="ar"/>
              </w:rPr>
              <w:br w:type="textWrapping"/>
            </w:r>
            <w:r>
              <w:rPr>
                <w:rFonts w:hint="eastAsia" w:ascii="宋体" w:hAnsi="宋体" w:cs="宋体"/>
                <w:kern w:val="0"/>
                <w:szCs w:val="21"/>
                <w:lang w:bidi="ar"/>
              </w:rPr>
              <w:t>区级底座</w:t>
            </w: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采用江北区区级底座平台。</w:t>
            </w:r>
            <w:r>
              <w:rPr>
                <w:rFonts w:hint="eastAsia" w:ascii="宋体" w:hAnsi="宋体" w:cs="宋体"/>
                <w:kern w:val="0"/>
                <w:szCs w:val="21"/>
                <w:lang w:bidi="ar"/>
              </w:rPr>
              <w:br w:type="textWrapping"/>
            </w:r>
            <w:r>
              <w:rPr>
                <w:rFonts w:hint="eastAsia" w:ascii="宋体" w:hAnsi="宋体" w:cs="宋体"/>
                <w:kern w:val="0"/>
                <w:szCs w:val="21"/>
                <w:lang w:bidi="ar"/>
              </w:rPr>
              <w:t>同时根据的开放接口能力要求，进行系统对接；</w:t>
            </w:r>
            <w:r>
              <w:rPr>
                <w:rFonts w:hint="eastAsia" w:ascii="宋体" w:hAnsi="宋体" w:cs="宋体"/>
                <w:kern w:val="0"/>
                <w:szCs w:val="21"/>
                <w:lang w:bidi="ar"/>
              </w:rPr>
              <w:br w:type="textWrapping"/>
            </w:r>
            <w:r>
              <w:rPr>
                <w:rFonts w:hint="eastAsia" w:ascii="宋体" w:hAnsi="宋体" w:cs="宋体"/>
                <w:kern w:val="0"/>
                <w:szCs w:val="21"/>
                <w:lang w:bidi="ar"/>
              </w:rPr>
              <w:t>通过积分接口进行积分数据的交换和同步；</w:t>
            </w:r>
            <w:r>
              <w:rPr>
                <w:rFonts w:hint="eastAsia" w:ascii="宋体" w:hAnsi="宋体" w:cs="宋体"/>
                <w:kern w:val="0"/>
                <w:szCs w:val="21"/>
                <w:lang w:bidi="ar"/>
              </w:rPr>
              <w:br w:type="textWrapping"/>
            </w:r>
            <w:r>
              <w:rPr>
                <w:rFonts w:hint="eastAsia" w:ascii="宋体" w:hAnsi="宋体" w:cs="宋体"/>
                <w:kern w:val="0"/>
                <w:szCs w:val="21"/>
                <w:lang w:bidi="ar"/>
              </w:rPr>
              <w:t>社区业务数据和区级平台数仓的同步上报；</w:t>
            </w:r>
            <w:r>
              <w:rPr>
                <w:rFonts w:hint="eastAsia" w:ascii="宋体" w:hAnsi="宋体" w:cs="宋体"/>
                <w:kern w:val="0"/>
                <w:szCs w:val="21"/>
                <w:lang w:bidi="ar"/>
              </w:rPr>
              <w:br w:type="textWrapping"/>
            </w:r>
            <w:r>
              <w:rPr>
                <w:rFonts w:hint="eastAsia" w:ascii="宋体" w:hAnsi="宋体" w:cs="宋体"/>
                <w:kern w:val="0"/>
                <w:szCs w:val="21"/>
                <w:lang w:bidi="ar"/>
              </w:rPr>
              <w:t>物联网设备数据的同步上报；</w:t>
            </w:r>
            <w:r>
              <w:rPr>
                <w:rFonts w:hint="eastAsia" w:ascii="宋体" w:hAnsi="宋体" w:cs="宋体"/>
                <w:kern w:val="0"/>
                <w:szCs w:val="21"/>
                <w:lang w:bidi="ar"/>
              </w:rPr>
              <w:br w:type="textWrapping"/>
            </w:r>
            <w:r>
              <w:rPr>
                <w:rFonts w:hint="eastAsia" w:ascii="宋体" w:hAnsi="宋体" w:cs="宋体"/>
                <w:kern w:val="0"/>
                <w:szCs w:val="21"/>
                <w:lang w:bidi="ar"/>
              </w:rPr>
              <w:t>一部分优质特色应用上架至区级平台服务应用商城。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7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服务器</w:t>
            </w:r>
            <w:r>
              <w:rPr>
                <w:rFonts w:hint="eastAsia" w:ascii="宋体" w:hAnsi="宋体" w:cs="宋体"/>
                <w:kern w:val="0"/>
                <w:szCs w:val="21"/>
                <w:lang w:bidi="ar"/>
              </w:rPr>
              <w:br w:type="textWrapping"/>
            </w:r>
            <w:r>
              <w:rPr>
                <w:rFonts w:hint="eastAsia" w:ascii="宋体" w:hAnsi="宋体" w:cs="宋体"/>
                <w:kern w:val="0"/>
                <w:szCs w:val="21"/>
                <w:lang w:bidi="ar"/>
              </w:rPr>
              <w:t>软件资源</w:t>
            </w:r>
          </w:p>
        </w:tc>
        <w:tc>
          <w:tcPr>
            <w:tcW w:w="1380" w:type="dxa"/>
            <w:shd w:val="clear" w:color="auto" w:fill="auto"/>
            <w:noWrap/>
            <w:vAlign w:val="center"/>
          </w:tcPr>
          <w:p>
            <w:pPr>
              <w:jc w:val="center"/>
              <w:rPr>
                <w:rFonts w:ascii="宋体" w:hAnsi="宋体" w:cs="宋体"/>
                <w:szCs w:val="21"/>
              </w:rPr>
            </w:pPr>
          </w:p>
        </w:tc>
        <w:tc>
          <w:tcPr>
            <w:tcW w:w="2230" w:type="dxa"/>
            <w:shd w:val="clear" w:color="auto" w:fill="auto"/>
            <w:vAlign w:val="center"/>
          </w:tcPr>
          <w:p>
            <w:pPr>
              <w:jc w:val="center"/>
              <w:rPr>
                <w:rFonts w:ascii="宋体" w:hAnsi="宋体" w:cs="宋体"/>
                <w:szCs w:val="21"/>
              </w:rPr>
            </w:pP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国产化软件采购</w:t>
            </w:r>
            <w:r>
              <w:rPr>
                <w:rFonts w:hint="eastAsia" w:ascii="宋体" w:hAnsi="宋体" w:cs="宋体"/>
                <w:kern w:val="0"/>
                <w:szCs w:val="21"/>
                <w:lang w:bidi="ar"/>
              </w:rPr>
              <w:br w:type="textWrapping"/>
            </w:r>
            <w:r>
              <w:rPr>
                <w:rFonts w:hint="eastAsia" w:ascii="宋体" w:hAnsi="宋体" w:cs="宋体"/>
                <w:kern w:val="0"/>
                <w:szCs w:val="21"/>
                <w:lang w:bidi="ar"/>
              </w:rPr>
              <w:t>1）国产化服务器操作系统</w:t>
            </w:r>
            <w:r>
              <w:rPr>
                <w:rFonts w:hint="eastAsia" w:ascii="宋体" w:hAnsi="宋体" w:cs="宋体"/>
                <w:kern w:val="0"/>
                <w:szCs w:val="21"/>
                <w:lang w:bidi="ar"/>
              </w:rPr>
              <w:br w:type="textWrapping"/>
            </w:r>
            <w:r>
              <w:rPr>
                <w:rFonts w:hint="eastAsia" w:ascii="宋体" w:hAnsi="宋体" w:cs="宋体"/>
                <w:kern w:val="0"/>
                <w:szCs w:val="21"/>
                <w:lang w:bidi="ar"/>
              </w:rPr>
              <w:t>2）国产化集群版数据库软件</w:t>
            </w:r>
            <w:r>
              <w:rPr>
                <w:rFonts w:hint="eastAsia" w:ascii="宋体" w:hAnsi="宋体" w:cs="宋体"/>
                <w:kern w:val="0"/>
                <w:szCs w:val="21"/>
                <w:lang w:bidi="ar"/>
              </w:rPr>
              <w:br w:type="textWrapping"/>
            </w:r>
            <w:r>
              <w:rPr>
                <w:rFonts w:hint="eastAsia" w:ascii="宋体" w:hAnsi="宋体" w:cs="宋体"/>
                <w:kern w:val="0"/>
                <w:szCs w:val="21"/>
                <w:lang w:bidi="ar"/>
              </w:rPr>
              <w:t>3）国产化web应用中间件</w:t>
            </w:r>
            <w:r>
              <w:rPr>
                <w:rFonts w:hint="eastAsia" w:ascii="宋体" w:hAnsi="宋体" w:cs="宋体"/>
                <w:kern w:val="0"/>
                <w:szCs w:val="21"/>
                <w:lang w:bidi="ar"/>
              </w:rPr>
              <w:br w:type="textWrapping"/>
            </w:r>
            <w:r>
              <w:rPr>
                <w:rFonts w:hint="eastAsia" w:ascii="宋体" w:hAnsi="宋体" w:cs="宋体"/>
                <w:kern w:val="0"/>
                <w:szCs w:val="21"/>
                <w:lang w:bidi="ar"/>
              </w:rPr>
              <w:t>4）国产化其他中间件软件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073"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等保实施</w:t>
            </w:r>
          </w:p>
        </w:tc>
        <w:tc>
          <w:tcPr>
            <w:tcW w:w="1380" w:type="dxa"/>
            <w:shd w:val="clear" w:color="auto" w:fill="auto"/>
            <w:noWrap/>
            <w:vAlign w:val="center"/>
          </w:tcPr>
          <w:p>
            <w:pPr>
              <w:jc w:val="center"/>
              <w:rPr>
                <w:rFonts w:ascii="宋体" w:hAnsi="宋体" w:cs="宋体"/>
                <w:szCs w:val="21"/>
              </w:rPr>
            </w:pPr>
          </w:p>
        </w:tc>
        <w:tc>
          <w:tcPr>
            <w:tcW w:w="2230" w:type="dxa"/>
            <w:shd w:val="clear" w:color="auto" w:fill="auto"/>
            <w:vAlign w:val="center"/>
          </w:tcPr>
          <w:p>
            <w:pPr>
              <w:jc w:val="center"/>
              <w:rPr>
                <w:rFonts w:ascii="宋体" w:hAnsi="宋体" w:cs="宋体"/>
                <w:szCs w:val="21"/>
              </w:rPr>
            </w:pPr>
          </w:p>
        </w:tc>
        <w:tc>
          <w:tcPr>
            <w:tcW w:w="791" w:type="dxa"/>
            <w:shd w:val="clear" w:color="auto" w:fill="auto"/>
            <w:vAlign w:val="center"/>
          </w:tcPr>
          <w:p>
            <w:pPr>
              <w:jc w:val="center"/>
              <w:rPr>
                <w:rFonts w:ascii="宋体" w:hAnsi="宋体" w:cs="宋体"/>
                <w:szCs w:val="21"/>
              </w:rPr>
            </w:pPr>
          </w:p>
        </w:tc>
        <w:tc>
          <w:tcPr>
            <w:tcW w:w="448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系统等保测评</w:t>
            </w:r>
          </w:p>
        </w:tc>
      </w:tr>
    </w:tbl>
    <w:p/>
    <w:p>
      <w:r>
        <w:rPr>
          <w:rFonts w:hint="eastAsia"/>
        </w:rPr>
        <w:br w:type="page"/>
      </w:r>
    </w:p>
    <w:p>
      <w:pPr>
        <w:pStyle w:val="7"/>
      </w:pPr>
      <w:r>
        <w:rPr>
          <w:rFonts w:hint="eastAsia"/>
        </w:rPr>
        <w:t>2、万象公园数字化建设</w:t>
      </w:r>
    </w:p>
    <w:tbl>
      <w:tblPr>
        <w:tblStyle w:val="50"/>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98"/>
        <w:gridCol w:w="1138"/>
        <w:gridCol w:w="5586"/>
        <w:gridCol w:w="427"/>
        <w:gridCol w:w="427"/>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998"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功能点及场景</w:t>
            </w:r>
          </w:p>
        </w:tc>
        <w:tc>
          <w:tcPr>
            <w:tcW w:w="1138"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硬件名称</w:t>
            </w:r>
          </w:p>
        </w:tc>
        <w:tc>
          <w:tcPr>
            <w:tcW w:w="558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功能参数</w:t>
            </w:r>
          </w:p>
        </w:tc>
        <w:tc>
          <w:tcPr>
            <w:tcW w:w="42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42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89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98"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安防监控</w:t>
            </w: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红外一体化摄像机</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200万 1/2.7" CMOS 红外筒型网络摄像机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最低照度: 彩色：0.002 Lux @（F1.2，AGC ON），0 Lux with IR</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宽动态: 120 dB</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焦距&amp;视场角: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mm，水平视场角：87.6°，垂直视场角：44.4°，对角视场角：104.9°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 mm，水平视场角：53.9°，垂直视场角：28.8°，对角视场角：62.8°</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 mm，水平视场角：40.9°，垂直视场角：22.5°，对角视场角：47.4°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 mm，水平视场角：25.4°，垂直视场角：14.4°，对角视场角：29.1°</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补光灯类型: 红外灯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补光距离: 最远可达30 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防补光过曝: 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红外波长范围: 850 nm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最大图像尺寸: 1920 × 1080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视频压缩标准: 主码流：H.265/H.264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网络存储: 支持NAS（NFS，SMB/CIFS均支持）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 1个RJ45 10 M/100 M自适应以太网口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音频: 1个内置麦克风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产品尺寸: 186.6 × 92.7 × 87.6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包装尺寸: 235 × 120 × 125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设备重量: 600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带包装重量:  785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启动和工作温湿度: -30 ℃~60 ℃，湿度小于95%（无凝结）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电流及功耗: DC：12 V，0.41 A，最大功耗：5 W；PoE：802.3af，36 V~57 V，0.18 A~0.11 A，最大功耗：6.5 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供电方式: DC：12 V ± 25%，支持防反接保护；PoE：802.3af，Class 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电源接口类型: Ø5.5 mm圆口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 IP66</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37 </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筒机支架</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壁装支架/白/铝合金</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37 </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摄像机电源</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12DC/10A</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 立竿</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3.5m，厚度3mm镀锌钢管，烤漆色结合景观；带横杆、地笼、2~3头枪机横臂；顶部带有防雨球。</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室外监控箱</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800*600*400， 含电源空开、电源避雷器、光纤盒、光纤接头等附件</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1"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普通硬盘录像机</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硬件规格：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2U标准机架式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2个HDMI，2个VGA,HDMI+VGA组内同源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8盘位，可满配8T、10T硬盘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2个千兆网口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2个USB2.0接口、1个USB3.0接口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1个eSATA接口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报警IO：16进8出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支持RAID0、1、5、10，支持全局热备盘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软件性能：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输入带宽：320M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64路H.264、H.265混合接入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最大支持16×1080P解码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支持H.265、H.264解码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Smart 2.0/整机热备/ANR/智能检索/智能回放/车牌检索/人脸检索/热度图/客流量统计/分时段回放/超高倍速回放/双系统备份★支持秒级检索查看硬盘中录像文件，秒级检索录像文件中的人员、车辆、人体等活动目标，并以弹窗形式来展示活动目标关联的录像片段（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★支持图表形式展示已添加的IP通道，支持自动抓拍一张图片作为IP通道封面（以公安部检测报告为准）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★支持查看希捷硬盘健康状态信息，包括温度，震动，链路稳定性。并支持状态信息预警显示；支持查看最近7天（168小时）的硬盘状态信息（以公安部检测报告为准）</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硬盘</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 HDD,8TB,7200RPM, 256MB, SATA 6Gb/s</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22寸液晶显示器</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22寸液晶显示器，显示：LED背光；物理分辨率1920×1080P；亮度250cd/㎡；对比度1000:1，</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机柜</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19英寸  42U 600*600*2000，带隔板，配置8位PDU插座</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图腾、德塔森特、清华同方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工控主机</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处理器I5 7200U双核四线程,内存8G,硬盘128G显示芯片：集成显卡，2*千兆网卡，分辨率1*VGA 1*HDMI ,4*USB3.0,支持来电开机，RS232/422/485串口*2。</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电源配电箱</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根据配电回路，带防雷器</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PDU插座</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防雷8插位带线1.8米10A</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8口千兆交换机</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≥18Gbps，转发性能 ≥13.4Mpps，，千兆电口≥8个，千兆光口≥1个；机架式</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24口千兆交换机</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≥52Gbps，转发性能 ≥38.7Mpps，，千兆电口≥24个，千兆光口≥2个；机架式</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24口全光交换机</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24*100/1000Base-X 千兆光口，8*千兆电口，4*10G BASE-X SFP+万兆光口</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路由器及网络宽带</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转发性能9Mpps，内存4GB，配置8*GE Combo端口，双电源，含1条100M无IP宽带2年</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千兆SFP单模</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千兆光模块(1310nm,10km,LC)</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光跳线</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LC跳线</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24口光配线架</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24口光配  1U  （带耦合器等附件）</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998"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室外报警</w:t>
            </w: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一键式语音紧急求助设备</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音频输入：内置1路高灵敏度全指向麦克风，拾音距离5米、支持1路3.5mm音频插口用于外接音频输入；音频输出：内置1路30W扬声器、支持1路3.5mm音频插口用于外接音频输出；报警输入：防拆检测、按键触发；以太网：10M/100M自适应网口；</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海康威视、莱邦、 世邦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5"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报警柱管理机</w:t>
            </w:r>
          </w:p>
        </w:tc>
        <w:tc>
          <w:tcPr>
            <w:tcW w:w="558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10.1寸触摸屏紧急报警管理机；集成视频查看、双向对讲、呼叫前端等功能，用于管理前端一键求助报警产品。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支持1080P视频显示，支持H.264/H.265解码，支持最大256G Micro SD卡存储；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 支持4路开关量输入，4路继电器输出；支持VGA、HDMI同源输出；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支持1路3.5mm音频输入，1路3.5mm音频输出；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话柄、鹅颈话筒杆可拆卸，支持DC12V、PoE(IEEE 802.3 at/af)供电。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当管理前端紧急报警设备数量超过128路，或者需多中心分级管理，加配服务对讲管理软件★对接显示器功能：设备支持通过HDMI和VGA接口扩展显示关联视频通道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  ★支持H264/H265视频编码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★支持外接IPC，并在中心管理机上显示</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海康威视、莱邦、 世邦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998"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智慧空开</w:t>
            </w: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4G通讯模组（全网通）</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【4G通讯模组】</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支持4G无线通信方式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数据计算分析存储功能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工作电压：DC12V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安装方式：导轨卡口</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三相 4P智慧微断（漏保）</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4P带漏保 智能微型断路器】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输入电压：AC380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额定电流：63A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分断能力：≥6KA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短路保护：线路短路时，断路器0.04s断电保护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功率限定：达到限定功率，10秒内断路保护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电流限定：达到限定电流，10秒内断路保护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过压（欠压）保护：输入电压超过263V，10S内断电保护。超过250V预警，低于190V预警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漏电保护功能自动检测：可设置漏电保护功能每月自动检测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自动送电：漏电检测断电5s后自动送电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线路打火报警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手自一体控制：手机遥控，可以按键自动控制，也可通过手动推杆控制通断</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定时控制功能：智能断路器内置时钟芯片，脱网状态下可保证时间的精准性，真正实现各线路定时开关变得轻松、准确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外壳防火等级：智能断路器外壳采用PA66+玻璃纤维等高规格防火阻燃材料、防火等级达到V0级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安装方式：导轨卡口</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智慧空开管理软件</w:t>
            </w:r>
          </w:p>
        </w:tc>
        <w:tc>
          <w:tcPr>
            <w:tcW w:w="5586" w:type="dxa"/>
            <w:shd w:val="clear" w:color="auto" w:fill="auto"/>
            <w:vAlign w:val="center"/>
          </w:tcPr>
          <w:p>
            <w:pPr>
              <w:jc w:val="center"/>
              <w:rPr>
                <w:rFonts w:ascii="宋体" w:hAnsi="宋体" w:cs="宋体"/>
                <w:color w:val="000000"/>
                <w:szCs w:val="21"/>
              </w:rPr>
            </w:pPr>
            <w:r>
              <w:rPr>
                <w:rFonts w:hint="eastAsia" w:ascii="宋体" w:hAnsi="宋体" w:cs="宋体"/>
                <w:color w:val="000000"/>
                <w:szCs w:val="21"/>
              </w:rPr>
              <w:t>配套定制</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2"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998"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足球场、篮球场、网球场设置智慧门禁</w:t>
            </w:r>
          </w:p>
        </w:tc>
        <w:tc>
          <w:tcPr>
            <w:tcW w:w="1138"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智慧门禁</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操作系统：嵌入式Linux操作系统；</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屏幕参数： 7英寸触摸显示屏，屏幕比例9:16，屏幕分辨率600*1024；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摄像头参数：采用宽动态200万双目摄像头；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认证方式：支持人脸、刷卡（Mifare卡/IC卡、手机NFC卡、CPU卡序列号/内容、身份证卡序列号）、密码认证方式，可外接身份证、指纹、蓝牙、二维码功能模块；</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人脸识别：采用深度学习算法，支持单人或多人识别（最多5人同时认证）功能；支持照片、视频防假；1:N人脸识别速度≤0.2s，人脸验证准确率≥99%；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存储容量：本地支持10000人脸库、50000张卡，15万条事件记录；</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硬件接口：LAN*1、RS485*1、Wiegand * 1(支持双向)、typeC类型USB接口*1、电锁*1、门磁*1、报警输入*2、报警输出*1、开门按钮*1、SD卡槽*1（最大支持512GB）、3.5mm音频输出接口*1；</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通信方式及网络协议：有线网络；萤石协议/ISAPI/ISUP5.0；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使用环境：IP65，室内外环境（室外使用必须搭配遮阳罩）；</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安装方式：壁挂安装（标配挂板，适配86底盒）；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工作电压： DC12V~24V/2A（电源需另配）；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产品尺寸：209.2*110.5*24mm；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设备重量：净重0.56kg，毛重0.88kg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功能介绍：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可视对讲：支持和云眸、4200客户端、室内机、管理机进行可视对讲；支持配置一键呼叫室内机或管理机；支持副门口机或围墙机模式；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视频预览：支持管理中心远程视频预览，支持接入NVR设备，实现视频监控录像，编码格式H.264；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口罩检测：支持口罩检测模式，可配置提醒戴口罩模式、强制戴口罩模式，关联门禁控制；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识别界面可配：识别主界面的“呼叫”、“二维码”、“密码”的按键图标可分别配置是否显示；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认证结果显示可配：支持认证成功界面的“照片”、“姓名”、“工号”信息可配置是否显示；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认证结果语音自定义：集成文字转语音（TTS）和语音合成技术，认证成功和认证失败的语音可以分别配置4个时间段进行自定义播报，同时认证成功的语音可叠加播报姓名；</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工作模式：支持广告模式、简洁模式主题模式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外接安全模块：支持通过RS485接入门控安全模块，防止主机被恶意破坏的情况下，门锁不被打开；</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外接读卡器：支持通过RS485或韦根（W26/W34）接口外接1个读卡器，同时可实现单门反潜回功能；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读卡器模式：支持通过RS485或韦根（W26/W34）接入门禁控制器，作为读卡器模式使用；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门禁计划模板：支持255组计划模板管理，128个周计划，1024个假日计划；支持常开、常闭时段管理；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组合认证：刷卡+密码、刷卡+人脸、人脸+密码等组合认证方式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多重认证：支持多个人员认证（人脸、刷卡等）通过后才开门；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黑名单核验：支持中心下发黑名单人员信息，实现本地黑名单核验；</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报警功能：设备支持防拆报警、门被外力开起报警、胁迫卡和胁迫密码报警、黑名单报警等；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事件上传：在线状态下将设备认证结果信息及联动抓拍照片实时上传给平台，支持断网续传功能，设备离线状态下产生事件在与平台连接后会重新上传；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单机使用：设备可进行本地管理，支持本地注册人脸、查询、设置、管理设备参数等；</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WEB管理：支持Web端管理，可进行人员管理、参数配置、事件查询、系统维护等操作</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海康威视、视得安、旷视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门禁门锁 、开门按钮</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配套定制</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w:t>
            </w:r>
          </w:p>
        </w:tc>
        <w:tc>
          <w:tcPr>
            <w:tcW w:w="998" w:type="dxa"/>
            <w:vMerge w:val="continue"/>
            <w:shd w:val="clear" w:color="auto" w:fill="auto"/>
            <w:vAlign w:val="center"/>
          </w:tcPr>
          <w:p>
            <w:pPr>
              <w:jc w:val="center"/>
              <w:rPr>
                <w:rFonts w:ascii="宋体" w:hAnsi="宋体" w:cs="宋体"/>
                <w:color w:val="000000"/>
                <w:szCs w:val="21"/>
              </w:rPr>
            </w:pPr>
          </w:p>
        </w:tc>
        <w:tc>
          <w:tcPr>
            <w:tcW w:w="1138"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智慧门禁远程控制软件</w:t>
            </w:r>
          </w:p>
        </w:tc>
        <w:tc>
          <w:tcPr>
            <w:tcW w:w="558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配套定制</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w:t>
            </w:r>
          </w:p>
        </w:tc>
        <w:tc>
          <w:tcPr>
            <w:tcW w:w="2136" w:type="dxa"/>
            <w:gridSpan w:val="2"/>
            <w:shd w:val="clear" w:color="auto" w:fill="auto"/>
            <w:vAlign w:val="center"/>
          </w:tcPr>
          <w:p>
            <w:pPr>
              <w:jc w:val="center"/>
              <w:rPr>
                <w:rFonts w:ascii="宋体" w:hAnsi="宋体" w:cs="宋体"/>
                <w:color w:val="000000"/>
                <w:szCs w:val="21"/>
              </w:rPr>
            </w:pPr>
            <w:r>
              <w:rPr>
                <w:rFonts w:hint="eastAsia" w:ascii="宋体" w:hAnsi="宋体" w:cs="宋体"/>
                <w:kern w:val="0"/>
                <w:szCs w:val="21"/>
                <w:lang w:bidi="ar"/>
              </w:rPr>
              <w:t>安装调试施工</w:t>
            </w:r>
          </w:p>
        </w:tc>
        <w:tc>
          <w:tcPr>
            <w:tcW w:w="5586" w:type="dxa"/>
            <w:shd w:val="clear" w:color="auto" w:fill="auto"/>
            <w:vAlign w:val="center"/>
          </w:tcPr>
          <w:p>
            <w:pPr>
              <w:jc w:val="center"/>
              <w:rPr>
                <w:rFonts w:ascii="宋体" w:hAnsi="宋体" w:cs="宋体"/>
                <w:color w:val="000000"/>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27" w:type="dxa"/>
            <w:shd w:val="clear" w:color="auto" w:fill="auto"/>
            <w:vAlign w:val="center"/>
          </w:tcPr>
          <w:p>
            <w:pPr>
              <w:jc w:val="center"/>
              <w:rPr>
                <w:rFonts w:ascii="宋体" w:hAnsi="宋体" w:cs="宋体"/>
                <w:color w:val="000000"/>
                <w:szCs w:val="21"/>
              </w:rPr>
            </w:pPr>
            <w:r>
              <w:rPr>
                <w:rFonts w:hint="eastAsia" w:ascii="宋体" w:hAnsi="宋体" w:cs="宋体"/>
                <w:szCs w:val="21"/>
              </w:rPr>
              <w:t>项</w:t>
            </w:r>
          </w:p>
        </w:tc>
        <w:tc>
          <w:tcPr>
            <w:tcW w:w="427" w:type="dxa"/>
            <w:shd w:val="clear" w:color="auto" w:fill="auto"/>
            <w:vAlign w:val="center"/>
          </w:tcPr>
          <w:p>
            <w:pPr>
              <w:jc w:val="center"/>
              <w:rPr>
                <w:rFonts w:ascii="宋体" w:hAnsi="宋体" w:cs="宋体"/>
                <w:color w:val="000000"/>
                <w:szCs w:val="21"/>
              </w:rPr>
            </w:pPr>
            <w:r>
              <w:rPr>
                <w:rFonts w:hint="eastAsia" w:ascii="宋体" w:hAnsi="宋体" w:cs="宋体"/>
                <w:szCs w:val="21"/>
              </w:rPr>
              <w:t>1</w:t>
            </w:r>
          </w:p>
        </w:tc>
        <w:tc>
          <w:tcPr>
            <w:tcW w:w="89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定制</w:t>
            </w:r>
          </w:p>
        </w:tc>
      </w:tr>
    </w:tbl>
    <w:p/>
    <w:p/>
    <w:p>
      <w:r>
        <w:rPr>
          <w:rFonts w:hint="eastAsia"/>
        </w:rPr>
        <w:br w:type="page"/>
      </w:r>
    </w:p>
    <w:p>
      <w:pPr>
        <w:pStyle w:val="7"/>
      </w:pPr>
      <w:r>
        <w:rPr>
          <w:rFonts w:hint="eastAsia"/>
        </w:rPr>
        <w:t>3、亲子公园数字化建设</w:t>
      </w:r>
    </w:p>
    <w:tbl>
      <w:tblPr>
        <w:tblStyle w:val="50"/>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70"/>
        <w:gridCol w:w="1191"/>
        <w:gridCol w:w="4008"/>
        <w:gridCol w:w="450"/>
        <w:gridCol w:w="69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2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17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功能点及场景</w:t>
            </w:r>
          </w:p>
        </w:tc>
        <w:tc>
          <w:tcPr>
            <w:tcW w:w="1191"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硬件名称</w:t>
            </w:r>
          </w:p>
        </w:tc>
        <w:tc>
          <w:tcPr>
            <w:tcW w:w="4009"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功能参数</w:t>
            </w:r>
          </w:p>
        </w:tc>
        <w:tc>
          <w:tcPr>
            <w:tcW w:w="45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69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144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70"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安防监控</w:t>
            </w: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红外一体化摄像机</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200万 1/2.7" CMOS 红外筒型网络摄像机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最低照度: 彩色：0.002 Lux @（F1.2，AGC ON），0 Lux with IR</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宽动态: 120 dB</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焦距&amp;视场角: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mm，水平视场角：87.6°，垂直视场角：44.4°，对角视场角：104.9°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 mm，水平视场角：53.9°，垂直视场角：28.8°，对角视场角：62.8°</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 mm，水平视场角：40.9°，垂直视场角：22.5°，对角视场角：47.4°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 mm，水平视场角：25.4°，垂直视场角：14.4°，对角视场角：29.1°</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补光灯类型: 红外灯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补光距离: 最远可达30 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防补光过曝: 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红外波长范围: 850 nm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最大图像尺寸: 1920 × 1080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视频压缩标准: 主码流：H.265/H.264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网络存储: 支持NAS（NFS，SMB/CIFS均支持）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 1个RJ45 10 M/100 M自适应以太网口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音频: 1个内置麦克风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产品尺寸: 186.6 × 92.7 × 87.6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包装尺寸: 235 × 120 × 125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设备重量: 600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带包装重量:  785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启动和工作温湿度: -30 ℃~60 ℃，湿度小于95%（无凝结）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电流及功耗: DC：12 V，0.41 A，最大功耗：5 W；PoE：802.3af，36 V~57 V，0.18 A~0.11 A，最大功耗：6.5 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供电方式: DC：12 V ± 25%，支持防反接保护；PoE：802.3af，Class 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电源接口类型: Ø5.5 mm圆口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 IP66</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45 </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筒机支架</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壁装支架白/铝合金</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45 </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摄像机电源</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12DC/10A</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 立竿</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3.5m，厚度3mm镀锌钢管，烤漆色结合景观；带横杆、地笼、2~3头枪机横臂；顶部带有防雨球。</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室外监控箱</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800*600*400， 含电源空开、电源避雷器、光纤盒、光纤接头等附件</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普通硬盘录像机</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硬件规格：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2U标准机架式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2个HDMI，2个VGA,HDMI+VGA组内同源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8盘位，可满配8T、10T硬盘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2个千兆网口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2个USB2.0接口、1个USB3.0接口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1个eSATA接口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报警IO：16进8出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支持RAID0、1、5、10，支持全局热备盘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软件性能：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输入带宽：320M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64路H.264、H.265混合接入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最大支持16×1080P解码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支持H.265、H.264解码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Smart 2.0/整机热备/ANR/智能检索/智能回放/车牌检索/人脸检索/热度图/客流量统计/分时段回放/超高倍速回放/双系统备份★支持秒级检索查看硬盘中录像文件，秒级检索录像文件中的人员、车辆、人体等活动目标，并以弹窗形式来展示活动目标关联的录像片段（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★支持图表形式展示已添加的IP通道，支持自动抓拍一张图片作为IP通道封面（以公安部检测报告为准）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★支持查看希捷硬盘健康状态信息，包括温度，震动，链路稳定性。并支持状态信息预警显示；支持查看最近7天（168小时）的硬盘状态信息（以公安部检测报告为准）</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硬盘</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 HDD,8TB,7200RPM, 256MB, SATA 6Gb/s</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22寸液晶显示器</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22寸液晶显示器，显示：LED背光；物理分辨率1920×1080P；亮度250cd/㎡；对比度1000:1，</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机柜</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19英寸  42U 600*600*2000，带隔板，配置8位PDU插座</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图腾、德塔森特、清华同方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工控主机</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处理器I5 7200U双核四线程,内存8G,硬盘128G显示芯片：集成显卡，2*千兆网卡，分辨率1*VGA 1*HDMI ,4*USB3.0,支持来电开机，RS232/422/485串口*2。</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电源配电箱</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根据配电回路，带防雷器</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PDU插座</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防雷8插位带线1.8米10A</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8口千兆交换机</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≥18Gbps，转发性能 ≥13.4Mpps，，千兆电口≥8个，千兆光口≥1个；机架式</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24口千兆交换机</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≥52Gbps，转发性能 ≥38.7Mpps，，千兆电口≥24个，千兆光口≥2个；机架式</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24口全光交换机</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24*100/1000Base-X 千兆光口，8*千兆电口，4*10G BASE-X SFP+万兆光口</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路由器及网络宽带</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转发性能9Mpps，内存4GB，配置8*GE Combo端口，双电源，含1条100M无IP宽带2年</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批</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千兆SFP单模</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千兆光模块(1310nm,10km,LC)</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光跳线</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LC跳线</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24口光配线架</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24口光配  1U  （带耦合器等附件）</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170"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室外报警</w:t>
            </w: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一键式语音紧急求助设备</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音频输入：内置1路高灵敏度全指向麦克风，拾音距离5米、支持1路3.5mm音频插口用于外接音频输入；音频输出：内置1路30W扬声器、支持1路3.5mm音频插口用于外接音频输出；报警输入：防拆检测、按键触发；以太网：10M/100M自适应网口；</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海康威视、莱邦、 世邦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2"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1170" w:type="dxa"/>
            <w:vMerge w:val="continue"/>
            <w:shd w:val="clear" w:color="auto" w:fill="auto"/>
            <w:vAlign w:val="center"/>
          </w:tcPr>
          <w:p>
            <w:pPr>
              <w:jc w:val="center"/>
              <w:rPr>
                <w:rFonts w:ascii="宋体" w:hAnsi="宋体" w:cs="宋体"/>
                <w:color w:val="000000"/>
                <w:szCs w:val="21"/>
              </w:rPr>
            </w:pPr>
          </w:p>
        </w:tc>
        <w:tc>
          <w:tcPr>
            <w:tcW w:w="11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报警柱管理机</w:t>
            </w:r>
          </w:p>
        </w:tc>
        <w:tc>
          <w:tcPr>
            <w:tcW w:w="400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10.1寸触摸屏紧急报警管理机；集成视频查看、双向对讲、呼叫前端等功能，用于管理前端一键求助报警产品。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支持1080P视频显示，支持H.264/H.265解码，支持最大256G Micro SD卡存储；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 支持4路开关量输入，4路继电器输出；支持VGA、HDMI同源输出；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支持1路3.5mm音频输入，1路3.5mm音频输出；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话柄、鹅颈话筒杆可拆卸，支持DC12V、PoE(IEEE 802.3 at/af)供电。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当管理前端紧急报警设备数量超过128路，或者需多中心分级管理，加配服务对讲管理软件★对接显示器功能：设备支持通过HDMI和VGA接口扩展显示关联视频通道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★支持H264/H265视频编码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★支持外接IPC，并在中心管理机上显示</w:t>
            </w:r>
          </w:p>
        </w:tc>
        <w:tc>
          <w:tcPr>
            <w:tcW w:w="45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海康威视、莱邦、 世邦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2361" w:type="dxa"/>
            <w:gridSpan w:val="2"/>
            <w:shd w:val="clear" w:color="auto" w:fill="auto"/>
            <w:vAlign w:val="center"/>
          </w:tcPr>
          <w:p>
            <w:pPr>
              <w:jc w:val="center"/>
              <w:rPr>
                <w:rFonts w:ascii="宋体" w:hAnsi="宋体" w:cs="宋体"/>
                <w:color w:val="000000"/>
                <w:szCs w:val="21"/>
              </w:rPr>
            </w:pPr>
            <w:r>
              <w:rPr>
                <w:rFonts w:hint="eastAsia" w:ascii="宋体" w:hAnsi="宋体" w:cs="宋体"/>
                <w:kern w:val="0"/>
                <w:szCs w:val="21"/>
                <w:lang w:bidi="ar"/>
              </w:rPr>
              <w:t>安装调试施工</w:t>
            </w:r>
          </w:p>
        </w:tc>
        <w:tc>
          <w:tcPr>
            <w:tcW w:w="4009" w:type="dxa"/>
            <w:shd w:val="clear" w:color="auto" w:fill="auto"/>
            <w:vAlign w:val="center"/>
          </w:tcPr>
          <w:p>
            <w:pPr>
              <w:jc w:val="center"/>
              <w:rPr>
                <w:rFonts w:ascii="宋体" w:hAnsi="宋体" w:cs="宋体"/>
                <w:color w:val="000000"/>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50" w:type="dxa"/>
            <w:shd w:val="clear" w:color="auto" w:fill="auto"/>
            <w:vAlign w:val="center"/>
          </w:tcPr>
          <w:p>
            <w:pPr>
              <w:jc w:val="center"/>
              <w:rPr>
                <w:rFonts w:ascii="宋体" w:hAnsi="宋体" w:cs="宋体"/>
                <w:color w:val="000000"/>
                <w:szCs w:val="21"/>
              </w:rPr>
            </w:pPr>
            <w:r>
              <w:rPr>
                <w:rFonts w:hint="eastAsia" w:ascii="宋体" w:hAnsi="宋体" w:cs="宋体"/>
                <w:szCs w:val="21"/>
              </w:rPr>
              <w:t>项</w:t>
            </w:r>
          </w:p>
        </w:tc>
        <w:tc>
          <w:tcPr>
            <w:tcW w:w="695" w:type="dxa"/>
            <w:shd w:val="clear" w:color="auto" w:fill="auto"/>
            <w:vAlign w:val="center"/>
          </w:tcPr>
          <w:p>
            <w:pPr>
              <w:jc w:val="center"/>
              <w:rPr>
                <w:rFonts w:ascii="宋体" w:hAnsi="宋体" w:cs="宋体"/>
                <w:color w:val="000000"/>
                <w:szCs w:val="21"/>
              </w:rPr>
            </w:pPr>
            <w:r>
              <w:rPr>
                <w:rFonts w:hint="eastAsia" w:ascii="宋体" w:hAnsi="宋体" w:cs="宋体"/>
                <w:szCs w:val="21"/>
              </w:rPr>
              <w:t>1</w:t>
            </w:r>
          </w:p>
        </w:tc>
        <w:tc>
          <w:tcPr>
            <w:tcW w:w="144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定制</w:t>
            </w:r>
          </w:p>
        </w:tc>
      </w:tr>
    </w:tbl>
    <w:p>
      <w:r>
        <w:rPr>
          <w:rFonts w:hint="eastAsia"/>
        </w:rPr>
        <w:br w:type="page"/>
      </w:r>
    </w:p>
    <w:p>
      <w:pPr>
        <w:pStyle w:val="7"/>
      </w:pPr>
      <w:r>
        <w:rPr>
          <w:rFonts w:hint="eastAsia"/>
        </w:rPr>
        <w:t>4、万象水上运动公园数字化建设</w:t>
      </w:r>
    </w:p>
    <w:tbl>
      <w:tblPr>
        <w:tblStyle w:val="50"/>
        <w:tblpPr w:leftFromText="180" w:rightFromText="180" w:vertAnchor="text" w:horzAnchor="page" w:tblpXSpec="center" w:tblpY="629"/>
        <w:tblOverlap w:val="never"/>
        <w:tblW w:w="9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808"/>
        <w:gridCol w:w="910"/>
        <w:gridCol w:w="4925"/>
        <w:gridCol w:w="427"/>
        <w:gridCol w:w="42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4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808"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功能点及场景</w:t>
            </w:r>
          </w:p>
        </w:tc>
        <w:tc>
          <w:tcPr>
            <w:tcW w:w="91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硬件名称</w:t>
            </w:r>
          </w:p>
        </w:tc>
        <w:tc>
          <w:tcPr>
            <w:tcW w:w="492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功能参数</w:t>
            </w:r>
          </w:p>
        </w:tc>
        <w:tc>
          <w:tcPr>
            <w:tcW w:w="42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42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983" w:type="dxa"/>
            <w:shd w:val="clear" w:color="auto" w:fill="auto"/>
            <w:vAlign w:val="center"/>
          </w:tcPr>
          <w:p>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推荐</w:t>
            </w:r>
          </w:p>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08"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安防监控</w:t>
            </w: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红外一体化摄像机</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200万 1/2.7" CMOS 红外筒型网络摄像机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最低照度: 彩色：0.002 Lux @（F1.2，AGC ON），0 Lux with IR</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宽动态: 120 dB</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焦距&amp;视场角: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 mm，水平视场角：87.6°，垂直视场角：44.4°，对角视场角：104.9°</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 mm，水平视场角：53.9°，垂直视场角：28.8°，对角视场角：62.8°</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 mm，水平视场角：40.9°，垂直视场角：22.5°，对角视场角：47.4°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 mm，水平视场角：25.4°，垂直视场角：14.4°，对角视场角：29.1°</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补光灯类型: 红外灯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补光距离: 最远可达30 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防补光过曝: 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红外波长范围: 850 nm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最大图像尺寸: 1920 × 1080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视频压缩标准: 主码流：H.265/H.264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网络存储: 支持NAS（NFS，SMB/CIFS均支持）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 1个RJ45 10 M/100 M自适应以太网口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音频: 1个内置麦克风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产品尺寸: 186.6 × 92.7 × 87.6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包装尺寸: 235 × 120 × 125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设备重量: 600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带包装重量:  785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启动和工作温湿度: -30 ℃~60 ℃，湿度小于95%（无凝结）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电流及功耗: DC：12 V，0.41 A，最大功耗：5 W；PoE：802.3af，36 V~57 V，0.18 A~0.11 A，最大功耗：6.5 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供电方式: DC：12 V ± 25%，支持防反接保护；PoE：802.3af，Class 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电源接口类型: Ø5.5 mm圆口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 IP66</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26 </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筒机支架</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壁装支架/白/铝合金</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26 </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摄像机电源</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12DC/10A</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 立竿</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3.5m，厚度3mm镀锌钢管，烤漆色结合景观；带横杆、地笼、2~3头枪机横臂；顶部带有防雨球。</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室外监控箱</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800*600*400， 含电源空开、电源避雷器、光纤盒、光纤接头等附件</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普通硬盘录像机</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硬件规格：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2U标准机架式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2个HDMI，2个VGA,HDMI+VGA组内同源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8盘位，可满配8T、10T硬盘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2个千兆网口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2个USB2.0接口、1个USB3.0接口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1个eSATA接口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报警IO：16进8出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支持RAID0、1、5、10，支持全局热备盘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软件性能：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输入带宽：320M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64路H.264、H.265混合接入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最大支持16×1080P解码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支持H.265、H.264解码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Smart 2.0/整机热备/ANR/智能检索/智能回放/车牌检索/人脸检索/热度图/客流量统计/分时段回放/超高倍速回放/双系统备份★支持秒级检索查看硬盘中录像文件，秒级检索录像文件中的人员、车辆、人体等活动目标，并以弹窗形式来展示活动目标关联的录像片段（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★支持图表形式展示已添加的IP通道，支持自动抓拍一张图片作为IP通道封面（以公安部检测报告为准）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★支持查看希捷硬盘健康状态信息，包括温度，震动，链路稳定性。并支持状态信息预警显示；支持查看最近7天（168小时）的硬盘状态信息（以公安部检测报告为准）</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硬盘</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 HDD,8TB,7200RPM, 256MB, SATA 6Gb/s</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希捷、西数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22寸液晶显示器</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22寸液晶显示器，显示：LED背光；物理分辨率1920×1080P；亮度250cd/㎡；对比度1000:1，</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机柜</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19英寸  42U 600*600*2000，带隔板，配置8位PDU插座</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图腾、德塔森特、清华同方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工控主机</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处理器I5 7200U双核四线程,内存8G,硬盘128G显示芯片：集成显卡，2*千兆网卡，分辨率1*VGA 1*HDMI ,4*USB3.0,支持来电开机，RS232/422/485串口*2。</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电源配电箱</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根据配电回路，带防雷器</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PDU插座</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防雷8插位带线1.8米10A</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8口千兆交换机</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≥18Gbps，转发性能 ≥13.4Mpps，，千兆电口≥8个，千兆光口≥1个；机架式</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24口千兆交换机</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≥52Gbps，转发性能 ≥38.7Mpps，，千兆电口≥24个，千兆光口≥2个；机架式</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24口千兆接入交换机</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≥336Gbps，转发性能 ≥50Mpps，官网双指标的以最小的为准；固化Console管理端口≥1个，千兆电口≥24个，千兆非复用光口≥4个；MAC地址数≥16K，支持横向虚拟化</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路由器及网络宽带</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转发性能9Mpps，内存4GB，配置8*GE Combo端口，双电源，含1条100M无IP宽带2年</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千兆SFP单模</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千兆光模块(1310nm,10km,LC)</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光跳线</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LC跳线</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条</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4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808" w:type="dxa"/>
            <w:vMerge w:val="continue"/>
            <w:shd w:val="clear" w:color="auto" w:fill="auto"/>
            <w:vAlign w:val="center"/>
          </w:tcPr>
          <w:p>
            <w:pPr>
              <w:jc w:val="center"/>
              <w:rPr>
                <w:rFonts w:ascii="宋体" w:hAnsi="宋体" w:cs="宋体"/>
                <w:color w:val="000000"/>
                <w:szCs w:val="21"/>
              </w:rPr>
            </w:pPr>
          </w:p>
        </w:tc>
        <w:tc>
          <w:tcPr>
            <w:tcW w:w="91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24口光配线架</w:t>
            </w:r>
          </w:p>
        </w:tc>
        <w:tc>
          <w:tcPr>
            <w:tcW w:w="492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24口光配  1U  （带耦合器等附件）</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7"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83"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74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20</w:t>
            </w:r>
          </w:p>
        </w:tc>
        <w:tc>
          <w:tcPr>
            <w:tcW w:w="1718" w:type="dxa"/>
            <w:gridSpan w:val="2"/>
            <w:shd w:val="clear" w:color="auto" w:fill="auto"/>
            <w:vAlign w:val="center"/>
          </w:tcPr>
          <w:p>
            <w:pPr>
              <w:jc w:val="center"/>
              <w:rPr>
                <w:rFonts w:ascii="宋体" w:hAnsi="宋体" w:cs="宋体"/>
                <w:color w:val="000000"/>
                <w:kern w:val="0"/>
                <w:szCs w:val="21"/>
                <w:lang w:bidi="ar"/>
              </w:rPr>
            </w:pPr>
            <w:r>
              <w:rPr>
                <w:rFonts w:hint="eastAsia" w:ascii="宋体" w:hAnsi="宋体" w:cs="宋体"/>
                <w:kern w:val="0"/>
                <w:szCs w:val="21"/>
                <w:lang w:bidi="ar"/>
              </w:rPr>
              <w:t>安装调试施工</w:t>
            </w:r>
          </w:p>
        </w:tc>
        <w:tc>
          <w:tcPr>
            <w:tcW w:w="4925" w:type="dxa"/>
            <w:shd w:val="clear" w:color="auto" w:fill="auto"/>
            <w:vAlign w:val="center"/>
          </w:tcPr>
          <w:p>
            <w:pPr>
              <w:jc w:val="center"/>
              <w:rPr>
                <w:rFonts w:ascii="宋体" w:hAnsi="宋体" w:cs="宋体"/>
                <w:color w:val="000000"/>
                <w:kern w:val="0"/>
                <w:szCs w:val="21"/>
                <w:lang w:bidi="ar"/>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27" w:type="dxa"/>
            <w:shd w:val="clear" w:color="auto" w:fill="auto"/>
            <w:vAlign w:val="center"/>
          </w:tcPr>
          <w:p>
            <w:pPr>
              <w:jc w:val="center"/>
              <w:rPr>
                <w:rFonts w:ascii="宋体" w:hAnsi="宋体" w:cs="宋体"/>
                <w:color w:val="000000"/>
                <w:kern w:val="0"/>
                <w:szCs w:val="21"/>
                <w:lang w:bidi="ar"/>
              </w:rPr>
            </w:pPr>
            <w:r>
              <w:rPr>
                <w:rFonts w:hint="eastAsia" w:ascii="宋体" w:hAnsi="宋体" w:cs="宋体"/>
                <w:szCs w:val="21"/>
              </w:rPr>
              <w:t>项</w:t>
            </w:r>
          </w:p>
        </w:tc>
        <w:tc>
          <w:tcPr>
            <w:tcW w:w="427" w:type="dxa"/>
            <w:shd w:val="clear" w:color="auto" w:fill="auto"/>
            <w:vAlign w:val="center"/>
          </w:tcPr>
          <w:p>
            <w:pPr>
              <w:jc w:val="center"/>
              <w:rPr>
                <w:rFonts w:ascii="宋体" w:hAnsi="宋体" w:cs="宋体"/>
                <w:color w:val="000000"/>
                <w:kern w:val="0"/>
                <w:szCs w:val="21"/>
                <w:lang w:bidi="ar"/>
              </w:rPr>
            </w:pPr>
            <w:r>
              <w:rPr>
                <w:rFonts w:hint="eastAsia" w:ascii="宋体" w:hAnsi="宋体" w:cs="宋体"/>
                <w:szCs w:val="21"/>
              </w:rPr>
              <w:t>1</w:t>
            </w:r>
          </w:p>
        </w:tc>
        <w:tc>
          <w:tcPr>
            <w:tcW w:w="983"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szCs w:val="21"/>
              </w:rPr>
              <w:t>定制</w:t>
            </w:r>
          </w:p>
        </w:tc>
      </w:tr>
    </w:tbl>
    <w:p>
      <w:r>
        <w:rPr>
          <w:rFonts w:hint="eastAsia"/>
        </w:rPr>
        <w:br w:type="page"/>
      </w:r>
    </w:p>
    <w:p>
      <w:pPr>
        <w:pStyle w:val="7"/>
        <w:numPr>
          <w:ilvl w:val="0"/>
          <w:numId w:val="73"/>
        </w:numPr>
      </w:pPr>
      <w:r>
        <w:rPr>
          <w:rFonts w:hint="eastAsia"/>
        </w:rPr>
        <w:t>三水湾公园数字化建设</w:t>
      </w:r>
    </w:p>
    <w:tbl>
      <w:tblPr>
        <w:tblStyle w:val="50"/>
        <w:tblW w:w="10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283"/>
        <w:gridCol w:w="1711"/>
        <w:gridCol w:w="5070"/>
        <w:gridCol w:w="538"/>
        <w:gridCol w:w="50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序号</w:t>
            </w:r>
          </w:p>
        </w:tc>
        <w:tc>
          <w:tcPr>
            <w:tcW w:w="1283" w:type="dxa"/>
            <w:shd w:val="clear" w:color="auto" w:fill="auto"/>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功能点及场景</w:t>
            </w:r>
          </w:p>
        </w:tc>
        <w:tc>
          <w:tcPr>
            <w:tcW w:w="1711" w:type="dxa"/>
            <w:shd w:val="clear" w:color="auto" w:fill="auto"/>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硬件名称</w:t>
            </w:r>
          </w:p>
        </w:tc>
        <w:tc>
          <w:tcPr>
            <w:tcW w:w="5070" w:type="dxa"/>
            <w:shd w:val="clear" w:color="auto" w:fill="auto"/>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功能参数</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单位</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数量</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83" w:type="dxa"/>
            <w:vMerge w:val="restart"/>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安防监控</w:t>
            </w: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红外一体化摄像机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200万 1/2.7" CMOS 红外筒型网络摄像机</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最低照度: 彩色：0.002 Lux @（F1.2，AGC ON），0 Lux with IR</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宽动态: 120 dB</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 xml:space="preserve">焦距&amp;视场角:  </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4 mm，水平视场角：87.6°，垂直视场角：44.4°，对角视场角：104.9°</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6 mm，水平视场角：53.9°，垂直视场角：28.8°，对角视场角：62.8°</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8 mm，水平视场角：40.9°，垂直视场角：22.5°，对角视场角：47.4°</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12 mm，水平视场角：25.4°，垂直视场角：14.4°，对角视场角：29.1°</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补光灯类型: 红外灯</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补光距离: 最远可达30 m</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防补光过曝: 支持</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红外波长范围: 850 nm</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最大图像尺寸: 1920 × 1080</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视频压缩标准: 主码流：H.265/H.264</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网络存储: 支持NAS（NFS，SMB/CIFS均支持）</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网络: 1个RJ45 10 M/100 M自适应以太网口</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音频: 1个内置麦克风</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产品尺寸: 186.6 × 92.7 × 87.6 mm</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包装尺寸: 235 × 120 × 125 mm</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设备重量: 600 g</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带包装重量:  785 g</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启动和工作温湿度: -30 ℃~60 ℃，湿度小于95%（无凝结）</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电流及功耗: DC：12 V，0.41 A，最大功耗：5 W；PoE：802.3af，36 V~57 V，0.18 A~0.11 A，最大功耗：6.5 W</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供电方式: DC：12 V ± 25%，支持防反接保护；PoE：802.3af，Class 3</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电源接口类型: Ø5.5 mm圆口</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防护: IP66</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台</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50 </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筒机支架</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壁装支架/白/铝合金</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 xml:space="preserve">50 </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摄像机电源</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12DC/10A</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25</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4</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摄像机 立竿</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3.5m，厚度3mm镀锌钢管，烤漆色结合景观；带横杆、地笼、2~3头枪机横臂；顶部带有防雨球。</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25</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室外监控箱</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800*600*400， 含电源空开、电源避雷器、光纤盒、光纤接头等附件</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25</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室内监控箱</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800*600*200， 含电源空开、电源避雷器、光纤盒、光纤接头等附件</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7</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普通硬盘录像机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硬件规格：</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2U标准机架式</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2个HDMI，2个VGA,HDMI+VGA组内同源</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 xml:space="preserve">8盘位，可满配8T、10T硬盘 </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2个千兆网口</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2个USB2.0接口、1个USB3.0接口</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1个eSATA接口</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报警IO：16进8出</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支持RAID0、1、5、10，支持全局热备盘</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软件性能：</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输入带宽：320M</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64路H.264、H.265混合接入</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最大支持16×1080P解码</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支持H.265、H.264解码</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Smart 2.0/整机热备/ANR/智能检索/智能回放/车牌检索/人脸检索/热度图/客流量统计/分时段回放/超高倍速回放/双系统备份★支持秒级检索查看硬盘中录像文件，秒级检索录像文件中的人员、车辆、人体等活动目标，并以弹窗形式来展示活动目标关联的录像片段（以公安部检测报告为准）</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★支持图表形式展示已添加的IP通道，支持自动抓拍一张图片作为IP通道封面（以公安部检测报告为准）</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★支持查看希捷硬盘健康状态信息，包括温度，震动，链路稳定性。并支持状态信息预警显示；支持查看最近7天（168小时）的硬盘状态信息（以公安部检测报告为准）</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台</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8</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0" w:type="auto"/>
            <w:shd w:val="clear" w:color="auto" w:fill="auto"/>
            <w:noWrap/>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硬盘</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3.5 HDD,8TB,7200RPM, 256MB, SATA 6Gb/s</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6</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9</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22寸液晶显示器</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22寸液晶显示器，显示：LED背光；物理分辨率1920×1080P；亮度250cd/㎡；对比度1000:1，</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台</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机柜</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19英寸  42U 600*600*2000，带隔板，配置8位PDU插座</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图腾、德塔森特、清华同方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11</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工控主机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处理器I5 7200U双核四线程,内存8G,硬盘128G显示芯片：集成显卡，2*千兆网卡，分辨率1*VGA 1*HDMI ,4*USB3.0,支持来电开机，RS232/422/485串口*2。</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12</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电源配电箱</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根据配电回路，带防雷器</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13</w:t>
            </w:r>
          </w:p>
        </w:tc>
        <w:tc>
          <w:tcPr>
            <w:tcW w:w="1283" w:type="dxa"/>
            <w:vMerge w:val="continue"/>
            <w:shd w:val="clear" w:color="auto" w:fill="auto"/>
            <w:vAlign w:val="center"/>
          </w:tcPr>
          <w:p>
            <w:pPr>
              <w:jc w:val="center"/>
              <w:rPr>
                <w:rFonts w:asciiTheme="minorEastAsia" w:hAnsiTheme="minorEastAsia" w:eastAsiaTheme="minorEastAsia" w:cstheme="minorEastAsia"/>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PDU插座</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防雷8插位带线1.8米10A</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14</w:t>
            </w:r>
          </w:p>
        </w:tc>
        <w:tc>
          <w:tcPr>
            <w:tcW w:w="1283" w:type="dxa"/>
            <w:vMerge w:val="continue"/>
            <w:shd w:val="clear" w:color="auto" w:fill="auto"/>
            <w:vAlign w:val="center"/>
          </w:tcPr>
          <w:p>
            <w:pPr>
              <w:jc w:val="center"/>
              <w:rPr>
                <w:rFonts w:asciiTheme="minorEastAsia" w:hAnsiTheme="minorEastAsia" w:eastAsiaTheme="minorEastAsia" w:cstheme="minorEastAsia"/>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8口千兆交换机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交换容量 ≥18Gbps，转发性能 ≥13.4Mpps，，千兆电口≥8个，千兆光口≥2个；机架式</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台</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25</w:t>
            </w:r>
          </w:p>
        </w:tc>
        <w:tc>
          <w:tcPr>
            <w:tcW w:w="1296"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15</w:t>
            </w:r>
          </w:p>
        </w:tc>
        <w:tc>
          <w:tcPr>
            <w:tcW w:w="1283" w:type="dxa"/>
            <w:vMerge w:val="continue"/>
            <w:shd w:val="clear" w:color="auto" w:fill="auto"/>
            <w:vAlign w:val="center"/>
          </w:tcPr>
          <w:p>
            <w:pPr>
              <w:jc w:val="center"/>
              <w:rPr>
                <w:rFonts w:asciiTheme="minorEastAsia" w:hAnsiTheme="minorEastAsia" w:eastAsiaTheme="minorEastAsia" w:cstheme="minorEastAsia"/>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24口千兆交换机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千兆电口≥24个，8个光电复用，4口万兆；机架式</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台</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1296"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16</w:t>
            </w:r>
          </w:p>
        </w:tc>
        <w:tc>
          <w:tcPr>
            <w:tcW w:w="1283" w:type="dxa"/>
            <w:vMerge w:val="continue"/>
            <w:shd w:val="clear" w:color="auto" w:fill="auto"/>
            <w:vAlign w:val="center"/>
          </w:tcPr>
          <w:p>
            <w:pPr>
              <w:jc w:val="center"/>
              <w:rPr>
                <w:rFonts w:asciiTheme="minorEastAsia" w:hAnsiTheme="minorEastAsia" w:eastAsiaTheme="minorEastAsia" w:cstheme="minorEastAsia"/>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24口全光交换机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24*100/1000Base-X 千兆光口（8*Combo口）4*10G BASE-X SFP+万兆光口</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台</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w:t>
            </w:r>
          </w:p>
        </w:tc>
        <w:tc>
          <w:tcPr>
            <w:tcW w:w="1283" w:type="dxa"/>
            <w:vMerge w:val="continue"/>
            <w:shd w:val="clear" w:color="auto" w:fill="auto"/>
            <w:vAlign w:val="center"/>
          </w:tcPr>
          <w:p>
            <w:pPr>
              <w:jc w:val="center"/>
              <w:rPr>
                <w:rFonts w:asciiTheme="minorEastAsia" w:hAnsiTheme="minorEastAsia" w:eastAsiaTheme="minorEastAsia" w:cstheme="minorEastAsia"/>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24口千兆接入交换机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交换容量 ≥336Gbps，转发性能 ≥50Mpps，官网双指标的以最小的为准；固化Console管理端口≥1个，千兆电口≥24个，千兆非复用光口≥4个；MAC地址数≥16K，支持横向虚拟化</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台</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18</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路由器及网络宽带</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转发性能9Mpps，内存4GB，配置8*GE Combo端口，双电源，含1条100M无IP宽带2年</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批</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19</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千兆SFP单模</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千兆光模块(1310nm,10km,LC)</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50</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20</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光跳线</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LC跳线</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条</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50</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21</w:t>
            </w:r>
          </w:p>
        </w:tc>
        <w:tc>
          <w:tcPr>
            <w:tcW w:w="1283" w:type="dxa"/>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24口光配线架</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24口光配  1U  （带耦合器等附件）</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22</w:t>
            </w:r>
          </w:p>
        </w:tc>
        <w:tc>
          <w:tcPr>
            <w:tcW w:w="1283" w:type="dxa"/>
            <w:vMerge w:val="restart"/>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室外报警</w:t>
            </w: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一键式语音紧急求助设备</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音频输入：内置1路高灵敏度全指向麦克风，拾音距离5米、支持1路3.5mm音频插口用于外接音频输入；音频输出：内置1路30W扬声器、支持1路3.5mm音频插口用于外接音频输出；报警输入：防拆检测、按键触发；以太网：10M/100M自适应网口；</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海康威视、莱邦、 世邦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23</w:t>
            </w:r>
          </w:p>
        </w:tc>
        <w:tc>
          <w:tcPr>
            <w:tcW w:w="1283" w:type="dxa"/>
            <w:vMerge w:val="continue"/>
            <w:shd w:val="clear" w:color="auto" w:fill="auto"/>
            <w:vAlign w:val="center"/>
          </w:tcPr>
          <w:p>
            <w:pPr>
              <w:jc w:val="left"/>
              <w:rPr>
                <w:rFonts w:asciiTheme="minorEastAsia" w:hAnsiTheme="minorEastAsia" w:eastAsiaTheme="minorEastAsia" w:cstheme="minorEastAsia"/>
                <w:color w:val="000000"/>
                <w:szCs w:val="21"/>
              </w:rPr>
            </w:pPr>
          </w:p>
        </w:tc>
        <w:tc>
          <w:tcPr>
            <w:tcW w:w="1711"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报警柱管理机</w:t>
            </w:r>
          </w:p>
        </w:tc>
        <w:tc>
          <w:tcPr>
            <w:tcW w:w="5070" w:type="dxa"/>
            <w:shd w:val="clear" w:color="auto" w:fill="auto"/>
            <w:vAlign w:val="center"/>
          </w:tcPr>
          <w:p>
            <w:pPr>
              <w:widowControl/>
              <w:jc w:val="left"/>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10.1寸触摸屏紧急报警管理机；集成视频查看、双向对讲、呼叫前端等功能，用于管理前端一键求助报警产品。</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支持1080P视频显示，支持H.264/H.265解码，支持最大256G Micro SD卡存储；</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 xml:space="preserve"> 支持4路开关量输入，4路继电器输出；支持VGA、HDMI同源输出；</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支持1路3.5mm音频输入，1路3.5mm音频输出；</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话柄、鹅颈话筒杆可拆卸，支持DC12V、PoE(IEEE 802.3 at/af)供电。</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当管理前端紧急报警设备数量超过128路，或者需多中心分级管理，加配服务对讲管理软件★对接显示器功能：设备支持通过HDMI和VGA接口扩展显示关联视频通道</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 xml:space="preserve">  ★支持H264/H265视频编码 </w:t>
            </w:r>
            <w:r>
              <w:rPr>
                <w:rFonts w:hint="eastAsia" w:asciiTheme="minorEastAsia" w:hAnsiTheme="minorEastAsia" w:eastAsiaTheme="minorEastAsia" w:cstheme="minorEastAsia"/>
                <w:color w:val="000000"/>
                <w:kern w:val="0"/>
                <w:szCs w:val="21"/>
                <w:lang w:bidi="ar"/>
              </w:rPr>
              <w:br w:type="textWrapping"/>
            </w:r>
            <w:r>
              <w:rPr>
                <w:rFonts w:hint="eastAsia" w:asciiTheme="minorEastAsia" w:hAnsiTheme="minorEastAsia" w:eastAsiaTheme="minorEastAsia" w:cstheme="minorEastAsia"/>
                <w:color w:val="000000"/>
                <w:kern w:val="0"/>
                <w:szCs w:val="21"/>
                <w:lang w:bidi="ar"/>
              </w:rPr>
              <w:t>★支持外接IPC，并在中心管理机上显示</w:t>
            </w:r>
          </w:p>
        </w:tc>
        <w:tc>
          <w:tcPr>
            <w:tcW w:w="538"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个</w:t>
            </w:r>
          </w:p>
        </w:tc>
        <w:tc>
          <w:tcPr>
            <w:tcW w:w="509"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海康威视、莱邦、 世邦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shd w:val="clear" w:color="auto" w:fill="auto"/>
            <w:vAlign w:val="center"/>
          </w:tcPr>
          <w:p>
            <w:pPr>
              <w:widowControl/>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24</w:t>
            </w:r>
          </w:p>
        </w:tc>
        <w:tc>
          <w:tcPr>
            <w:tcW w:w="2994" w:type="dxa"/>
            <w:gridSpan w:val="2"/>
            <w:shd w:val="clear" w:color="auto" w:fill="auto"/>
            <w:vAlign w:val="center"/>
          </w:tcPr>
          <w:p>
            <w:pPr>
              <w:jc w:val="center"/>
              <w:rPr>
                <w:rFonts w:asciiTheme="minorEastAsia" w:hAnsiTheme="minorEastAsia" w:eastAsiaTheme="minorEastAsia" w:cstheme="minorEastAsia"/>
                <w:color w:val="000000"/>
                <w:kern w:val="0"/>
                <w:szCs w:val="21"/>
                <w:lang w:bidi="ar"/>
              </w:rPr>
            </w:pPr>
            <w:r>
              <w:rPr>
                <w:rFonts w:hint="eastAsia" w:ascii="宋体" w:hAnsi="宋体" w:cs="宋体"/>
                <w:kern w:val="0"/>
                <w:szCs w:val="21"/>
                <w:lang w:bidi="ar"/>
              </w:rPr>
              <w:t>安装调试施工</w:t>
            </w:r>
          </w:p>
        </w:tc>
        <w:tc>
          <w:tcPr>
            <w:tcW w:w="5070" w:type="dxa"/>
            <w:shd w:val="clear" w:color="auto" w:fill="auto"/>
            <w:vAlign w:val="center"/>
          </w:tcPr>
          <w:p>
            <w:pPr>
              <w:jc w:val="left"/>
              <w:rPr>
                <w:rFonts w:asciiTheme="minorEastAsia" w:hAnsiTheme="minorEastAsia" w:eastAsiaTheme="minorEastAsia" w:cstheme="minorEastAsia"/>
                <w:color w:val="000000"/>
                <w:kern w:val="0"/>
                <w:szCs w:val="21"/>
                <w:lang w:bidi="ar"/>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538" w:type="dxa"/>
            <w:shd w:val="clear" w:color="auto" w:fill="auto"/>
            <w:vAlign w:val="center"/>
          </w:tcPr>
          <w:p>
            <w:pPr>
              <w:jc w:val="center"/>
              <w:rPr>
                <w:rFonts w:asciiTheme="minorEastAsia" w:hAnsiTheme="minorEastAsia" w:eastAsiaTheme="minorEastAsia" w:cstheme="minorEastAsia"/>
                <w:color w:val="000000"/>
                <w:kern w:val="0"/>
                <w:szCs w:val="21"/>
                <w:lang w:bidi="ar"/>
              </w:rPr>
            </w:pPr>
            <w:r>
              <w:rPr>
                <w:rFonts w:hint="eastAsia" w:ascii="宋体" w:hAnsi="宋体" w:cs="宋体"/>
                <w:szCs w:val="21"/>
              </w:rPr>
              <w:t>项</w:t>
            </w:r>
          </w:p>
        </w:tc>
        <w:tc>
          <w:tcPr>
            <w:tcW w:w="509" w:type="dxa"/>
            <w:shd w:val="clear" w:color="auto" w:fill="auto"/>
            <w:vAlign w:val="center"/>
          </w:tcPr>
          <w:p>
            <w:pPr>
              <w:jc w:val="center"/>
              <w:rPr>
                <w:rFonts w:asciiTheme="minorEastAsia" w:hAnsiTheme="minorEastAsia" w:eastAsiaTheme="minorEastAsia" w:cstheme="minorEastAsia"/>
                <w:color w:val="000000"/>
                <w:kern w:val="0"/>
                <w:szCs w:val="21"/>
                <w:lang w:bidi="ar"/>
              </w:rPr>
            </w:pPr>
            <w:r>
              <w:rPr>
                <w:rFonts w:hint="eastAsia" w:ascii="宋体" w:hAnsi="宋体" w:cs="宋体"/>
                <w:szCs w:val="21"/>
              </w:rPr>
              <w:t>1</w:t>
            </w:r>
          </w:p>
        </w:tc>
        <w:tc>
          <w:tcPr>
            <w:tcW w:w="1296" w:type="dxa"/>
            <w:shd w:val="clear" w:color="auto" w:fill="auto"/>
            <w:vAlign w:val="center"/>
          </w:tcPr>
          <w:p>
            <w:pPr>
              <w:widowControl/>
              <w:jc w:val="center"/>
              <w:textAlignment w:val="center"/>
              <w:rPr>
                <w:rFonts w:asciiTheme="minorEastAsia" w:hAnsiTheme="minorEastAsia" w:eastAsiaTheme="minorEastAsia" w:cstheme="minorEastAsia"/>
                <w:color w:val="000000"/>
                <w:kern w:val="0"/>
                <w:szCs w:val="21"/>
                <w:lang w:bidi="ar"/>
              </w:rPr>
            </w:pPr>
            <w:r>
              <w:rPr>
                <w:rFonts w:hint="eastAsia" w:ascii="宋体" w:hAnsi="宋体" w:cs="宋体"/>
                <w:color w:val="000000"/>
                <w:szCs w:val="21"/>
              </w:rPr>
              <w:t>定制</w:t>
            </w:r>
          </w:p>
        </w:tc>
      </w:tr>
    </w:tbl>
    <w:p>
      <w:pPr>
        <w:rPr>
          <w:rFonts w:hAnsi="宋体" w:cs="宋体"/>
        </w:rPr>
      </w:pPr>
      <w:r>
        <w:rPr>
          <w:rFonts w:hint="eastAsia" w:hAnsi="宋体" w:cs="宋体"/>
        </w:rPr>
        <w:br w:type="page"/>
      </w:r>
    </w:p>
    <w:p>
      <w:pPr>
        <w:pStyle w:val="7"/>
      </w:pPr>
      <w:r>
        <w:rPr>
          <w:rFonts w:hint="eastAsia"/>
        </w:rPr>
        <w:t>6、万丰社区数字化建设</w:t>
      </w:r>
    </w:p>
    <w:p>
      <w:pPr>
        <w:pStyle w:val="4"/>
        <w:rPr>
          <w:rFonts w:hAnsi="宋体" w:cs="宋体"/>
        </w:rPr>
      </w:pPr>
    </w:p>
    <w:tbl>
      <w:tblPr>
        <w:tblStyle w:val="50"/>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238"/>
        <w:gridCol w:w="1301"/>
        <w:gridCol w:w="5306"/>
        <w:gridCol w:w="427"/>
        <w:gridCol w:w="445"/>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序号</w:t>
            </w:r>
          </w:p>
        </w:tc>
        <w:tc>
          <w:tcPr>
            <w:tcW w:w="1238"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功能点及场景</w:t>
            </w:r>
          </w:p>
        </w:tc>
        <w:tc>
          <w:tcPr>
            <w:tcW w:w="1301"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硬件名称</w:t>
            </w:r>
          </w:p>
        </w:tc>
        <w:tc>
          <w:tcPr>
            <w:tcW w:w="5306"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功能参数</w:t>
            </w:r>
          </w:p>
        </w:tc>
        <w:tc>
          <w:tcPr>
            <w:tcW w:w="427"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单位</w:t>
            </w:r>
          </w:p>
        </w:tc>
        <w:tc>
          <w:tcPr>
            <w:tcW w:w="445"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数量</w:t>
            </w:r>
          </w:p>
        </w:tc>
        <w:tc>
          <w:tcPr>
            <w:tcW w:w="896"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238" w:type="dxa"/>
            <w:vMerge w:val="restart"/>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功能用房客流统计</w:t>
            </w: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双目客流摄像机</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室内</w:t>
            </w:r>
            <w:r>
              <w:rPr>
                <w:rFonts w:hint="eastAsia" w:ascii="宋体" w:hAnsi="宋体" w:cs="宋体"/>
                <w:kern w:val="0"/>
                <w:szCs w:val="21"/>
                <w:lang w:bidi="ar"/>
              </w:rPr>
              <w:br w:type="textWrapping"/>
            </w:r>
            <w:r>
              <w:rPr>
                <w:rFonts w:hint="eastAsia" w:ascii="宋体" w:hAnsi="宋体" w:cs="宋体"/>
                <w:kern w:val="0"/>
                <w:szCs w:val="21"/>
                <w:lang w:bidi="ar"/>
              </w:rPr>
              <w:t>1/2.7”CMOS商业双目智能客流统计网络摄像机</w:t>
            </w:r>
            <w:r>
              <w:rPr>
                <w:rFonts w:hint="eastAsia" w:ascii="宋体" w:hAnsi="宋体" w:cs="宋体"/>
                <w:kern w:val="0"/>
                <w:szCs w:val="21"/>
                <w:lang w:bidi="ar"/>
              </w:rPr>
              <w:br w:type="textWrapping"/>
            </w:r>
            <w:r>
              <w:rPr>
                <w:rFonts w:hint="eastAsia" w:ascii="宋体" w:hAnsi="宋体" w:cs="宋体"/>
                <w:kern w:val="0"/>
                <w:szCs w:val="21"/>
                <w:lang w:bidi="ar"/>
              </w:rPr>
              <w:t>采用领先的双目立体视觉技术，基于双镜头的立体摄像，获取目标的高度信息，结合智能跟踪算法分析行人的行为轨迹，从而精确计算出客流人数及行走方向</w:t>
            </w:r>
            <w:r>
              <w:rPr>
                <w:rFonts w:hint="eastAsia" w:ascii="宋体" w:hAnsi="宋体" w:cs="宋体"/>
                <w:kern w:val="0"/>
                <w:szCs w:val="21"/>
                <w:lang w:bidi="ar"/>
              </w:rPr>
              <w:br w:type="textWrapping"/>
            </w:r>
            <w:r>
              <w:rPr>
                <w:rFonts w:hint="eastAsia" w:ascii="宋体" w:hAnsi="宋体" w:cs="宋体"/>
                <w:kern w:val="0"/>
                <w:szCs w:val="21"/>
                <w:lang w:bidi="ar"/>
              </w:rPr>
              <w:t>支持分类统计人员进入、离开情况</w:t>
            </w:r>
            <w:r>
              <w:rPr>
                <w:rFonts w:hint="eastAsia" w:ascii="宋体" w:hAnsi="宋体" w:cs="宋体"/>
                <w:kern w:val="0"/>
                <w:szCs w:val="21"/>
                <w:lang w:bidi="ar"/>
              </w:rPr>
              <w:br w:type="textWrapping"/>
            </w:r>
            <w:r>
              <w:rPr>
                <w:rFonts w:hint="eastAsia" w:ascii="宋体" w:hAnsi="宋体" w:cs="宋体"/>
                <w:kern w:val="0"/>
                <w:szCs w:val="21"/>
                <w:lang w:bidi="ar"/>
              </w:rPr>
              <w:t>支持实时数据上传和周期上传</w:t>
            </w:r>
            <w:r>
              <w:rPr>
                <w:rFonts w:hint="eastAsia" w:ascii="宋体" w:hAnsi="宋体" w:cs="宋体"/>
                <w:kern w:val="0"/>
                <w:szCs w:val="21"/>
                <w:lang w:bidi="ar"/>
              </w:rPr>
              <w:br w:type="textWrapping"/>
            </w:r>
            <w:r>
              <w:rPr>
                <w:rFonts w:hint="eastAsia" w:ascii="宋体" w:hAnsi="宋体" w:cs="宋体"/>
                <w:kern w:val="0"/>
                <w:szCs w:val="21"/>
                <w:lang w:bidi="ar"/>
              </w:rPr>
              <w:t>邮件报表支持日报表、周报表、月报表和年报表</w:t>
            </w:r>
            <w:r>
              <w:rPr>
                <w:rFonts w:hint="eastAsia" w:ascii="宋体" w:hAnsi="宋体" w:cs="宋体"/>
                <w:kern w:val="0"/>
                <w:szCs w:val="21"/>
                <w:lang w:bidi="ar"/>
              </w:rPr>
              <w:br w:type="textWrapping"/>
            </w:r>
            <w:r>
              <w:rPr>
                <w:rFonts w:hint="eastAsia" w:ascii="宋体" w:hAnsi="宋体" w:cs="宋体"/>
                <w:kern w:val="0"/>
                <w:szCs w:val="21"/>
                <w:lang w:bidi="ar"/>
              </w:rPr>
              <w:t>支持高度过滤</w:t>
            </w:r>
            <w:r>
              <w:rPr>
                <w:rFonts w:hint="eastAsia" w:ascii="宋体" w:hAnsi="宋体" w:cs="宋体"/>
                <w:kern w:val="0"/>
                <w:szCs w:val="21"/>
                <w:lang w:bidi="ar"/>
              </w:rPr>
              <w:br w:type="textWrapping"/>
            </w:r>
            <w:r>
              <w:rPr>
                <w:rFonts w:hint="eastAsia" w:ascii="宋体" w:hAnsi="宋体" w:cs="宋体"/>
                <w:kern w:val="0"/>
                <w:szCs w:val="21"/>
                <w:lang w:bidi="ar"/>
              </w:rPr>
              <w:t>支持内置存储（EMMC）</w:t>
            </w:r>
            <w:r>
              <w:rPr>
                <w:rFonts w:hint="eastAsia" w:ascii="宋体" w:hAnsi="宋体" w:cs="宋体"/>
                <w:kern w:val="0"/>
                <w:szCs w:val="21"/>
                <w:lang w:bidi="ar"/>
              </w:rPr>
              <w:br w:type="textWrapping"/>
            </w:r>
            <w:r>
              <w:rPr>
                <w:rFonts w:hint="eastAsia" w:ascii="宋体" w:hAnsi="宋体" w:cs="宋体"/>
                <w:kern w:val="0"/>
                <w:szCs w:val="21"/>
                <w:lang w:bidi="ar"/>
              </w:rPr>
              <w:t>最低照度: 彩色:0.005 Lux @ (F1.2, AGC ON)，0.0176 Lux @ (F2.25, AGC ON) ; 黑白:0.001 Lux @ (F1.2, AGC ON)，0.0035Lux @ (F2.25, AGC ON)，0 Lux with IR</w:t>
            </w:r>
            <w:r>
              <w:rPr>
                <w:rFonts w:hint="eastAsia" w:ascii="宋体" w:hAnsi="宋体" w:cs="宋体"/>
                <w:kern w:val="0"/>
                <w:szCs w:val="21"/>
                <w:lang w:bidi="ar"/>
              </w:rPr>
              <w:br w:type="textWrapping"/>
            </w:r>
            <w:r>
              <w:rPr>
                <w:rFonts w:hint="eastAsia" w:ascii="宋体" w:hAnsi="宋体" w:cs="宋体"/>
                <w:kern w:val="0"/>
                <w:szCs w:val="21"/>
                <w:lang w:bidi="ar"/>
              </w:rPr>
              <w:t>镜头: 2.0mm@F2.25,水平视场角：104.5°，垂直视场角：70.5°</w:t>
            </w:r>
            <w:r>
              <w:rPr>
                <w:rFonts w:hint="eastAsia" w:ascii="宋体" w:hAnsi="宋体" w:cs="宋体"/>
                <w:kern w:val="0"/>
                <w:szCs w:val="21"/>
                <w:lang w:bidi="ar"/>
              </w:rPr>
              <w:br w:type="textWrapping"/>
            </w:r>
            <w:r>
              <w:rPr>
                <w:rFonts w:hint="eastAsia" w:ascii="宋体" w:hAnsi="宋体" w:cs="宋体"/>
                <w:kern w:val="0"/>
                <w:szCs w:val="21"/>
                <w:lang w:bidi="ar"/>
              </w:rPr>
              <w:t>视频压缩标准: H.265/H.264 / MJPEG</w:t>
            </w:r>
            <w:r>
              <w:rPr>
                <w:rFonts w:hint="eastAsia" w:ascii="宋体" w:hAnsi="宋体" w:cs="宋体"/>
                <w:kern w:val="0"/>
                <w:szCs w:val="21"/>
                <w:lang w:bidi="ar"/>
              </w:rPr>
              <w:br w:type="textWrapping"/>
            </w:r>
            <w:r>
              <w:rPr>
                <w:rFonts w:hint="eastAsia" w:ascii="宋体" w:hAnsi="宋体" w:cs="宋体"/>
                <w:kern w:val="0"/>
                <w:szCs w:val="21"/>
                <w:lang w:bidi="ar"/>
              </w:rPr>
              <w:t>最大图像尺寸: 2560×1440</w:t>
            </w:r>
            <w:r>
              <w:rPr>
                <w:rFonts w:hint="eastAsia" w:ascii="宋体" w:hAnsi="宋体" w:cs="宋体"/>
                <w:kern w:val="0"/>
                <w:szCs w:val="21"/>
                <w:lang w:bidi="ar"/>
              </w:rPr>
              <w:br w:type="textWrapping"/>
            </w:r>
            <w:r>
              <w:rPr>
                <w:rFonts w:hint="eastAsia" w:ascii="宋体" w:hAnsi="宋体" w:cs="宋体"/>
                <w:kern w:val="0"/>
                <w:szCs w:val="21"/>
                <w:lang w:bidi="ar"/>
              </w:rPr>
              <w:t>无线参数</w:t>
            </w:r>
            <w:r>
              <w:rPr>
                <w:rFonts w:hint="eastAsia" w:ascii="宋体" w:hAnsi="宋体" w:cs="宋体"/>
                <w:kern w:val="0"/>
                <w:szCs w:val="21"/>
                <w:lang w:bidi="ar"/>
              </w:rPr>
              <w:br w:type="textWrapping"/>
            </w:r>
            <w:r>
              <w:rPr>
                <w:rFonts w:hint="eastAsia" w:ascii="宋体" w:hAnsi="宋体" w:cs="宋体"/>
                <w:kern w:val="0"/>
                <w:szCs w:val="21"/>
                <w:lang w:bidi="ar"/>
              </w:rPr>
              <w:t>WiFi协议: IEEE802.11b, 802.11g, 802.11n</w:t>
            </w:r>
            <w:r>
              <w:rPr>
                <w:rFonts w:hint="eastAsia" w:ascii="宋体" w:hAnsi="宋体" w:cs="宋体"/>
                <w:kern w:val="0"/>
                <w:szCs w:val="21"/>
                <w:lang w:bidi="ar"/>
              </w:rPr>
              <w:br w:type="textWrapping"/>
            </w:r>
            <w:r>
              <w:rPr>
                <w:rFonts w:hint="eastAsia" w:ascii="宋体" w:hAnsi="宋体" w:cs="宋体"/>
                <w:kern w:val="0"/>
                <w:szCs w:val="21"/>
                <w:lang w:bidi="ar"/>
              </w:rPr>
              <w:t>频率范围: 2.4GHz</w:t>
            </w:r>
            <w:r>
              <w:rPr>
                <w:rFonts w:hint="eastAsia" w:ascii="宋体" w:hAnsi="宋体" w:cs="宋体"/>
                <w:kern w:val="0"/>
                <w:szCs w:val="21"/>
                <w:lang w:bidi="ar"/>
              </w:rPr>
              <w:br w:type="textWrapping"/>
            </w:r>
            <w:r>
              <w:rPr>
                <w:rFonts w:hint="eastAsia" w:ascii="宋体" w:hAnsi="宋体" w:cs="宋体"/>
                <w:kern w:val="0"/>
                <w:szCs w:val="21"/>
                <w:lang w:bidi="ar"/>
              </w:rPr>
              <w:t>信道带宽: 20/40MHz</w:t>
            </w:r>
            <w:r>
              <w:rPr>
                <w:rFonts w:hint="eastAsia" w:ascii="宋体" w:hAnsi="宋体" w:cs="宋体"/>
                <w:kern w:val="0"/>
                <w:szCs w:val="21"/>
                <w:lang w:bidi="ar"/>
              </w:rPr>
              <w:br w:type="textWrapping"/>
            </w:r>
            <w:r>
              <w:rPr>
                <w:rFonts w:hint="eastAsia" w:ascii="宋体" w:hAnsi="宋体" w:cs="宋体"/>
                <w:kern w:val="0"/>
                <w:szCs w:val="21"/>
                <w:lang w:bidi="ar"/>
              </w:rPr>
              <w:t>调制方式: 802.11b: CCK, QPSK, BPSK, 802.11g/n: OFDM</w:t>
            </w:r>
            <w:r>
              <w:rPr>
                <w:rFonts w:hint="eastAsia" w:ascii="宋体" w:hAnsi="宋体" w:cs="宋体"/>
                <w:kern w:val="0"/>
                <w:szCs w:val="21"/>
                <w:lang w:bidi="ar"/>
              </w:rPr>
              <w:br w:type="textWrapping"/>
            </w:r>
            <w:r>
              <w:rPr>
                <w:rFonts w:hint="eastAsia" w:ascii="宋体" w:hAnsi="宋体" w:cs="宋体"/>
                <w:kern w:val="0"/>
                <w:szCs w:val="21"/>
                <w:lang w:bidi="ar"/>
              </w:rPr>
              <w:t>传输速率: 11b: 11Mbps, 11g: 54Mbps, 11n: up to 150Mbps</w:t>
            </w:r>
            <w:r>
              <w:rPr>
                <w:rFonts w:hint="eastAsia" w:ascii="宋体" w:hAnsi="宋体" w:cs="宋体"/>
                <w:kern w:val="0"/>
                <w:szCs w:val="21"/>
                <w:lang w:bidi="ar"/>
              </w:rPr>
              <w:br w:type="textWrapping"/>
            </w:r>
            <w:r>
              <w:rPr>
                <w:rFonts w:hint="eastAsia" w:ascii="宋体" w:hAnsi="宋体" w:cs="宋体"/>
                <w:kern w:val="0"/>
                <w:szCs w:val="21"/>
                <w:lang w:bidi="ar"/>
              </w:rPr>
              <w:t>有效传输距离: 50m</w:t>
            </w:r>
            <w:r>
              <w:rPr>
                <w:rFonts w:hint="eastAsia" w:ascii="宋体" w:hAnsi="宋体" w:cs="宋体"/>
                <w:kern w:val="0"/>
                <w:szCs w:val="21"/>
                <w:lang w:bidi="ar"/>
              </w:rPr>
              <w:br w:type="textWrapping"/>
            </w:r>
            <w:r>
              <w:rPr>
                <w:rFonts w:hint="eastAsia" w:ascii="宋体" w:hAnsi="宋体" w:cs="宋体"/>
                <w:kern w:val="0"/>
                <w:szCs w:val="21"/>
                <w:lang w:bidi="ar"/>
              </w:rPr>
              <w:t>接口类型: 甩线</w:t>
            </w:r>
            <w:r>
              <w:rPr>
                <w:rFonts w:hint="eastAsia" w:ascii="宋体" w:hAnsi="宋体" w:cs="宋体"/>
                <w:kern w:val="0"/>
                <w:szCs w:val="21"/>
                <w:lang w:bidi="ar"/>
              </w:rPr>
              <w:br w:type="textWrapping"/>
            </w:r>
            <w:r>
              <w:rPr>
                <w:rFonts w:hint="eastAsia" w:ascii="宋体" w:hAnsi="宋体" w:cs="宋体"/>
                <w:kern w:val="0"/>
                <w:szCs w:val="21"/>
                <w:lang w:bidi="ar"/>
              </w:rPr>
              <w:t>通讯接口: 1个RJ45 10M / 100M /1000M自适应以太网口</w:t>
            </w:r>
            <w:r>
              <w:rPr>
                <w:rFonts w:hint="eastAsia" w:ascii="宋体" w:hAnsi="宋体" w:cs="宋体"/>
                <w:kern w:val="0"/>
                <w:szCs w:val="21"/>
                <w:lang w:bidi="ar"/>
              </w:rPr>
              <w:br w:type="textWrapping"/>
            </w:r>
            <w:r>
              <w:rPr>
                <w:rFonts w:hint="eastAsia" w:ascii="宋体" w:hAnsi="宋体" w:cs="宋体"/>
                <w:kern w:val="0"/>
                <w:szCs w:val="21"/>
                <w:lang w:bidi="ar"/>
              </w:rPr>
              <w:t>音频接口: 标配mic in</w:t>
            </w:r>
            <w:r>
              <w:rPr>
                <w:rFonts w:hint="eastAsia" w:ascii="宋体" w:hAnsi="宋体" w:cs="宋体"/>
                <w:kern w:val="0"/>
                <w:szCs w:val="21"/>
                <w:lang w:bidi="ar"/>
              </w:rPr>
              <w:br w:type="textWrapping"/>
            </w:r>
            <w:r>
              <w:rPr>
                <w:rFonts w:hint="eastAsia" w:ascii="宋体" w:hAnsi="宋体" w:cs="宋体"/>
                <w:kern w:val="0"/>
                <w:szCs w:val="21"/>
                <w:lang w:bidi="ar"/>
              </w:rPr>
              <w:t>工作温度和湿度: -30℃~45℃,湿度小于95%(无凝结)</w:t>
            </w:r>
            <w:r>
              <w:rPr>
                <w:rFonts w:hint="eastAsia" w:ascii="宋体" w:hAnsi="宋体" w:cs="宋体"/>
                <w:kern w:val="0"/>
                <w:szCs w:val="21"/>
                <w:lang w:bidi="ar"/>
              </w:rPr>
              <w:br w:type="textWrapping"/>
            </w:r>
            <w:r>
              <w:rPr>
                <w:rFonts w:hint="eastAsia" w:ascii="宋体" w:hAnsi="宋体" w:cs="宋体"/>
                <w:kern w:val="0"/>
                <w:szCs w:val="21"/>
                <w:lang w:bidi="ar"/>
              </w:rPr>
              <w:t>电源供应: DC12±20%；支持防反接保护；POE（36v-57v，802.3af）Calss3</w:t>
            </w:r>
            <w:r>
              <w:rPr>
                <w:rFonts w:hint="eastAsia" w:ascii="宋体" w:hAnsi="宋体" w:cs="宋体"/>
                <w:kern w:val="0"/>
                <w:szCs w:val="21"/>
                <w:lang w:bidi="ar"/>
              </w:rPr>
              <w:br w:type="textWrapping"/>
            </w:r>
            <w:r>
              <w:rPr>
                <w:rFonts w:hint="eastAsia" w:ascii="宋体" w:hAnsi="宋体" w:cs="宋体"/>
                <w:kern w:val="0"/>
                <w:szCs w:val="21"/>
                <w:lang w:bidi="ar"/>
              </w:rPr>
              <w:t>功耗: DC12V 0.66A Max8W; PoE：(802.3af, 36V-57V), 0.23 A to 0.14 A，Max：8.3W</w:t>
            </w:r>
            <w:r>
              <w:rPr>
                <w:rFonts w:hint="eastAsia" w:ascii="宋体" w:hAnsi="宋体" w:cs="宋体"/>
                <w:kern w:val="0"/>
                <w:szCs w:val="21"/>
                <w:lang w:bidi="ar"/>
              </w:rPr>
              <w:br w:type="textWrapping"/>
            </w:r>
            <w:r>
              <w:rPr>
                <w:rFonts w:hint="eastAsia" w:ascii="宋体" w:hAnsi="宋体" w:cs="宋体"/>
                <w:kern w:val="0"/>
                <w:szCs w:val="21"/>
                <w:lang w:bidi="ar"/>
              </w:rPr>
              <w:t>补光距离: 红外：6m</w:t>
            </w:r>
            <w:r>
              <w:rPr>
                <w:rFonts w:hint="eastAsia" w:ascii="宋体" w:hAnsi="宋体" w:cs="宋体"/>
                <w:kern w:val="0"/>
                <w:szCs w:val="21"/>
                <w:lang w:bidi="ar"/>
              </w:rPr>
              <w:br w:type="textWrapping"/>
            </w:r>
            <w:r>
              <w:rPr>
                <w:rFonts w:hint="eastAsia" w:ascii="宋体" w:hAnsi="宋体" w:cs="宋体"/>
                <w:kern w:val="0"/>
                <w:szCs w:val="21"/>
                <w:lang w:bidi="ar"/>
              </w:rPr>
              <w:t>红外波长: 850nm</w:t>
            </w:r>
            <w:r>
              <w:rPr>
                <w:rFonts w:hint="eastAsia" w:ascii="宋体" w:hAnsi="宋体" w:cs="宋体"/>
                <w:kern w:val="0"/>
                <w:szCs w:val="21"/>
                <w:lang w:bidi="ar"/>
              </w:rPr>
              <w:br w:type="textWrapping"/>
            </w:r>
            <w:r>
              <w:rPr>
                <w:rFonts w:hint="eastAsia" w:ascii="宋体" w:hAnsi="宋体" w:cs="宋体"/>
                <w:kern w:val="0"/>
                <w:szCs w:val="21"/>
                <w:lang w:bidi="ar"/>
              </w:rPr>
              <w:t>产品尺寸(mm): 167×61×36mm</w:t>
            </w:r>
            <w:r>
              <w:rPr>
                <w:rFonts w:hint="eastAsia" w:ascii="宋体" w:hAnsi="宋体" w:cs="宋体"/>
                <w:kern w:val="0"/>
                <w:szCs w:val="21"/>
                <w:lang w:bidi="ar"/>
              </w:rPr>
              <w:br w:type="textWrapping"/>
            </w:r>
            <w:r>
              <w:rPr>
                <w:rFonts w:hint="eastAsia" w:ascii="宋体" w:hAnsi="宋体" w:cs="宋体"/>
                <w:kern w:val="0"/>
                <w:szCs w:val="21"/>
                <w:lang w:bidi="ar"/>
              </w:rPr>
              <w:t>包装尺寸(mm): 235×120×125mm</w:t>
            </w:r>
            <w:r>
              <w:rPr>
                <w:rFonts w:hint="eastAsia" w:ascii="宋体" w:hAnsi="宋体" w:cs="宋体"/>
                <w:kern w:val="0"/>
                <w:szCs w:val="21"/>
                <w:lang w:bidi="ar"/>
              </w:rPr>
              <w:br w:type="textWrapping"/>
            </w:r>
            <w:r>
              <w:rPr>
                <w:rFonts w:hint="eastAsia" w:ascii="宋体" w:hAnsi="宋体" w:cs="宋体"/>
                <w:kern w:val="0"/>
                <w:szCs w:val="21"/>
                <w:lang w:bidi="ar"/>
              </w:rPr>
              <w:t>裸机重量: 435g</w:t>
            </w:r>
            <w:r>
              <w:rPr>
                <w:rFonts w:hint="eastAsia" w:ascii="宋体" w:hAnsi="宋体" w:cs="宋体"/>
                <w:kern w:val="0"/>
                <w:szCs w:val="21"/>
                <w:lang w:bidi="ar"/>
              </w:rPr>
              <w:br w:type="textWrapping"/>
            </w:r>
            <w:r>
              <w:rPr>
                <w:rFonts w:hint="eastAsia" w:ascii="宋体" w:hAnsi="宋体" w:cs="宋体"/>
                <w:kern w:val="0"/>
                <w:szCs w:val="21"/>
                <w:lang w:bidi="ar"/>
              </w:rPr>
              <w:t>含包装重量: 725g</w:t>
            </w:r>
            <w:r>
              <w:rPr>
                <w:rFonts w:hint="eastAsia" w:ascii="宋体" w:hAnsi="宋体" w:cs="宋体"/>
                <w:kern w:val="0"/>
                <w:szCs w:val="21"/>
                <w:lang w:bidi="ar"/>
              </w:rPr>
              <w:br w:type="textWrapping"/>
            </w:r>
            <w:r>
              <w:rPr>
                <w:rFonts w:hint="eastAsia" w:ascii="宋体" w:hAnsi="宋体" w:cs="宋体"/>
                <w:kern w:val="0"/>
                <w:szCs w:val="21"/>
                <w:lang w:bidi="ar"/>
              </w:rPr>
              <w:t>★可开启/关闭反向进入报警功能，并可以按周为周期，设置每天的反向客流检测布防时间段，当功能开启后，检测到反向客流时，可触发报警并关联上传中心。（公安部检验报告证明）</w:t>
            </w:r>
            <w:r>
              <w:rPr>
                <w:rFonts w:hint="eastAsia" w:ascii="宋体" w:hAnsi="宋体" w:cs="宋体"/>
                <w:kern w:val="0"/>
                <w:szCs w:val="21"/>
                <w:lang w:bidi="ar"/>
              </w:rPr>
              <w:br w:type="textWrapping"/>
            </w:r>
            <w:r>
              <w:rPr>
                <w:rFonts w:hint="eastAsia" w:ascii="宋体" w:hAnsi="宋体" w:cs="宋体"/>
                <w:kern w:val="0"/>
                <w:szCs w:val="21"/>
                <w:lang w:bidi="ar"/>
              </w:rPr>
              <w:t>★支持徘徊排除功能，当试验人员在检测区域内徘徊并未离开检测区域时，不重复统计客流数量。（公安部检验报告证明）</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1238" w:type="dxa"/>
            <w:vMerge w:val="continue"/>
            <w:shd w:val="clear" w:color="auto" w:fill="auto"/>
            <w:vAlign w:val="center"/>
          </w:tcPr>
          <w:p>
            <w:pPr>
              <w:jc w:val="left"/>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摄像机支架</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重量: 266克</w:t>
            </w:r>
            <w:r>
              <w:rPr>
                <w:rFonts w:hint="eastAsia" w:ascii="宋体" w:hAnsi="宋体" w:cs="宋体"/>
                <w:kern w:val="0"/>
                <w:szCs w:val="21"/>
                <w:lang w:bidi="ar"/>
              </w:rPr>
              <w:br w:type="textWrapping"/>
            </w:r>
            <w:r>
              <w:rPr>
                <w:rFonts w:hint="eastAsia" w:ascii="宋体" w:hAnsi="宋体" w:cs="宋体"/>
                <w:kern w:val="0"/>
                <w:szCs w:val="21"/>
                <w:lang w:bidi="ar"/>
              </w:rPr>
              <w:t>颜色: 白色</w:t>
            </w:r>
            <w:r>
              <w:rPr>
                <w:rFonts w:hint="eastAsia" w:ascii="宋体" w:hAnsi="宋体" w:cs="宋体"/>
                <w:kern w:val="0"/>
                <w:szCs w:val="21"/>
                <w:lang w:bidi="ar"/>
              </w:rPr>
              <w:br w:type="textWrapping"/>
            </w:r>
            <w:r>
              <w:rPr>
                <w:rFonts w:hint="eastAsia" w:ascii="宋体" w:hAnsi="宋体" w:cs="宋体"/>
                <w:kern w:val="0"/>
                <w:szCs w:val="21"/>
                <w:lang w:bidi="ar"/>
              </w:rPr>
              <w:t>尺寸: 196 mm × 56.7 mm</w:t>
            </w:r>
            <w:r>
              <w:rPr>
                <w:rFonts w:hint="eastAsia" w:ascii="宋体" w:hAnsi="宋体" w:cs="宋体"/>
                <w:kern w:val="0"/>
                <w:szCs w:val="21"/>
                <w:lang w:bidi="ar"/>
              </w:rPr>
              <w:br w:type="textWrapping"/>
            </w:r>
            <w:r>
              <w:rPr>
                <w:rFonts w:hint="eastAsia" w:ascii="宋体" w:hAnsi="宋体" w:cs="宋体"/>
                <w:kern w:val="0"/>
                <w:szCs w:val="21"/>
                <w:lang w:bidi="ar"/>
              </w:rPr>
              <w:t>材质: 铝合金</w:t>
            </w:r>
            <w:r>
              <w:rPr>
                <w:rFonts w:hint="eastAsia" w:ascii="宋体" w:hAnsi="宋体" w:cs="宋体"/>
                <w:kern w:val="0"/>
                <w:szCs w:val="21"/>
                <w:lang w:bidi="ar"/>
              </w:rPr>
              <w:br w:type="textWrapping"/>
            </w:r>
            <w:r>
              <w:rPr>
                <w:rFonts w:hint="eastAsia" w:ascii="宋体" w:hAnsi="宋体" w:cs="宋体"/>
                <w:kern w:val="0"/>
                <w:szCs w:val="21"/>
                <w:lang w:bidi="ar"/>
              </w:rPr>
              <w:t>三轴或两轴调节角度: 单轴（0-60度）</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1238" w:type="dxa"/>
            <w:shd w:val="clear" w:color="auto" w:fill="auto"/>
            <w:vAlign w:val="center"/>
          </w:tcPr>
          <w:p>
            <w:pPr>
              <w:jc w:val="left"/>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75寸交互智慧屏</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触显参数：屏幕类型:DLED直下式，屏幕结构:工业级液晶屏，背光亮度:500cd/m²，面板分辨率:3840X2160，可视角度:178°，对比度:4500:1，透光率:98%，显示比例:16:9，响应时间:6ms，触控原理：红外触摸，触控点数:10点触控，识别精度:±1mm，定位精度:±1mm，扬声器:2x10W，防护玻璃:4mm，屏表硬度:莫氏度硬度8级，整机功耗:298W。</w:t>
            </w:r>
            <w:r>
              <w:rPr>
                <w:rFonts w:hint="eastAsia" w:ascii="宋体" w:hAnsi="宋体" w:cs="宋体"/>
                <w:kern w:val="0"/>
                <w:szCs w:val="21"/>
                <w:lang w:bidi="ar"/>
              </w:rPr>
              <w:br w:type="textWrapping"/>
            </w:r>
            <w:r>
              <w:rPr>
                <w:rFonts w:hint="eastAsia" w:ascii="宋体" w:hAnsi="宋体" w:cs="宋体"/>
                <w:kern w:val="0"/>
                <w:szCs w:val="21"/>
                <w:lang w:bidi="ar"/>
              </w:rPr>
              <w:t>系统参数：CPU型号:intel i5，内存:4G，硬盘:128G固态，WIFI:内置无线模块，操作系统:预装Win10，输出分辨率:1920x1080@60Hz，BIOS:支持上电开机/定制开机/远程开关机设备智能识别/网络唤醒。</w:t>
            </w:r>
            <w:r>
              <w:rPr>
                <w:rFonts w:hint="eastAsia" w:ascii="宋体" w:hAnsi="宋体" w:cs="宋体"/>
                <w:kern w:val="0"/>
                <w:szCs w:val="21"/>
                <w:lang w:bidi="ar"/>
              </w:rPr>
              <w:br w:type="textWrapping"/>
            </w:r>
            <w:r>
              <w:rPr>
                <w:rFonts w:hint="eastAsia" w:ascii="宋体" w:hAnsi="宋体" w:cs="宋体"/>
                <w:kern w:val="0"/>
                <w:szCs w:val="21"/>
                <w:lang w:bidi="ar"/>
              </w:rPr>
              <w:t>结构参数：显示尺寸:1650mm*高928mm，外形尺寸:1722mm*高1001mm*厚134mm含挂架，外形结构:四等边尺寸，外壳材质:铝型材+钣金，外壳颜色:黑色。</w:t>
            </w:r>
            <w:r>
              <w:rPr>
                <w:rFonts w:hint="eastAsia" w:ascii="宋体" w:hAnsi="宋体" w:cs="宋体"/>
                <w:kern w:val="0"/>
                <w:szCs w:val="21"/>
                <w:lang w:bidi="ar"/>
              </w:rPr>
              <w:br w:type="textWrapping"/>
            </w:r>
            <w:r>
              <w:rPr>
                <w:rFonts w:hint="eastAsia" w:ascii="宋体" w:hAnsi="宋体" w:cs="宋体"/>
                <w:kern w:val="0"/>
                <w:szCs w:val="21"/>
                <w:lang w:bidi="ar"/>
              </w:rPr>
              <w:t>★软件具有用户权限限制安全保密性,且通过无病毒检查,建立新窗口、场景保存、系统设置,对关键功能数据进行有效校验,当运行发生错误时,有提示并且可以恢复正常,具有中国软件评测中心出具的软件产品登记测试报告检测以上内容与大屏显示系统控制软件的软件产品证书。</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海康威视、迈创、天景山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1238" w:type="dxa"/>
            <w:shd w:val="clear" w:color="auto" w:fill="auto"/>
            <w:vAlign w:val="center"/>
          </w:tcPr>
          <w:p>
            <w:pPr>
              <w:jc w:val="left"/>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智慧屏支架</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一体机配套</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1238"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网络</w:t>
            </w: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24口POE千兆交换机</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≥52Gbps，转发性能 ≥38.7Mpps，，千兆电口≥24个，千兆光口≥2个；机架式支持POE供电</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1238" w:type="dxa"/>
            <w:vMerge w:val="continue"/>
            <w:shd w:val="clear" w:color="auto" w:fill="auto"/>
            <w:vAlign w:val="center"/>
          </w:tcPr>
          <w:p>
            <w:pPr>
              <w:jc w:val="center"/>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1238" w:type="dxa"/>
            <w:vMerge w:val="continue"/>
            <w:shd w:val="clear" w:color="auto" w:fill="auto"/>
            <w:vAlign w:val="center"/>
          </w:tcPr>
          <w:p>
            <w:pPr>
              <w:jc w:val="center"/>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1238" w:type="dxa"/>
            <w:vMerge w:val="continue"/>
            <w:shd w:val="clear" w:color="auto" w:fill="auto"/>
            <w:vAlign w:val="center"/>
          </w:tcPr>
          <w:p>
            <w:pPr>
              <w:jc w:val="center"/>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42U机柜</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19英寸  42U 600*600*2000，带隔板，配置8位PDU插座</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图腾、德塔森特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1238"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红外一体化摄像机</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红外筒型网络摄像机</w:t>
            </w:r>
            <w:r>
              <w:rPr>
                <w:rFonts w:hint="eastAsia" w:ascii="宋体" w:hAnsi="宋体" w:cs="宋体"/>
                <w:kern w:val="0"/>
                <w:szCs w:val="21"/>
                <w:lang w:bidi="ar"/>
              </w:rPr>
              <w:br w:type="textWrapping"/>
            </w:r>
            <w:r>
              <w:rPr>
                <w:rFonts w:hint="eastAsia" w:ascii="宋体" w:hAnsi="宋体" w:cs="宋体"/>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宋体" w:hAnsi="宋体" w:cs="宋体"/>
                <w:kern w:val="0"/>
                <w:szCs w:val="21"/>
                <w:lang w:bidi="ar"/>
              </w:rPr>
              <w:br w:type="textWrapping"/>
            </w:r>
            <w:r>
              <w:rPr>
                <w:rFonts w:hint="eastAsia" w:ascii="宋体" w:hAnsi="宋体" w:cs="宋体"/>
                <w:kern w:val="0"/>
                <w:szCs w:val="21"/>
                <w:lang w:bidi="ar"/>
              </w:rPr>
              <w:t>最低照度: 彩色：0.002 Lux @（F1.2，AGC ON），0 Lux with IR</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焦距&amp;视场角:  </w:t>
            </w:r>
            <w:r>
              <w:rPr>
                <w:rFonts w:hint="eastAsia" w:ascii="宋体" w:hAnsi="宋体" w:cs="宋体"/>
                <w:kern w:val="0"/>
                <w:szCs w:val="21"/>
                <w:lang w:bidi="ar"/>
              </w:rPr>
              <w:br w:type="textWrapping"/>
            </w:r>
            <w:r>
              <w:rPr>
                <w:rFonts w:hint="eastAsia" w:ascii="宋体" w:hAnsi="宋体" w:cs="宋体"/>
                <w:kern w:val="0"/>
                <w:szCs w:val="21"/>
                <w:lang w:bidi="ar"/>
              </w:rPr>
              <w:t>4 mm，水平视场角：87.6°，垂直视场角：44.4°，对角视场角：104.9°</w:t>
            </w:r>
            <w:r>
              <w:rPr>
                <w:rFonts w:hint="eastAsia" w:ascii="宋体" w:hAnsi="宋体" w:cs="宋体"/>
                <w:kern w:val="0"/>
                <w:szCs w:val="21"/>
                <w:lang w:bidi="ar"/>
              </w:rPr>
              <w:br w:type="textWrapping"/>
            </w:r>
            <w:r>
              <w:rPr>
                <w:rFonts w:hint="eastAsia" w:ascii="宋体" w:hAnsi="宋体" w:cs="宋体"/>
                <w:kern w:val="0"/>
                <w:szCs w:val="21"/>
                <w:lang w:bidi="ar"/>
              </w:rPr>
              <w:t>6 mm，水平视场角：53.9°，垂直视场角：28.8°，对角视场角：62.8°</w:t>
            </w:r>
            <w:r>
              <w:rPr>
                <w:rFonts w:hint="eastAsia" w:ascii="宋体" w:hAnsi="宋体" w:cs="宋体"/>
                <w:kern w:val="0"/>
                <w:szCs w:val="21"/>
                <w:lang w:bidi="ar"/>
              </w:rPr>
              <w:br w:type="textWrapping"/>
            </w:r>
            <w:r>
              <w:rPr>
                <w:rFonts w:hint="eastAsia" w:ascii="宋体" w:hAnsi="宋体" w:cs="宋体"/>
                <w:kern w:val="0"/>
                <w:szCs w:val="21"/>
                <w:lang w:bidi="ar"/>
              </w:rPr>
              <w:t>8 mm，水平视场角：40.9°，垂直视场角：22.5°，对角视场角：47.4°</w:t>
            </w:r>
            <w:r>
              <w:rPr>
                <w:rFonts w:hint="eastAsia" w:ascii="宋体" w:hAnsi="宋体" w:cs="宋体"/>
                <w:kern w:val="0"/>
                <w:szCs w:val="21"/>
                <w:lang w:bidi="ar"/>
              </w:rPr>
              <w:br w:type="textWrapping"/>
            </w:r>
            <w:r>
              <w:rPr>
                <w:rFonts w:hint="eastAsia" w:ascii="宋体" w:hAnsi="宋体" w:cs="宋体"/>
                <w:kern w:val="0"/>
                <w:szCs w:val="21"/>
                <w:lang w:bidi="ar"/>
              </w:rPr>
              <w:t>12 mm，水平视场角：25.4°，垂直视场角：14.4°，对角视场角：29.1°</w:t>
            </w:r>
            <w:r>
              <w:rPr>
                <w:rFonts w:hint="eastAsia" w:ascii="宋体" w:hAnsi="宋体" w:cs="宋体"/>
                <w:kern w:val="0"/>
                <w:szCs w:val="21"/>
                <w:lang w:bidi="ar"/>
              </w:rPr>
              <w:br w:type="textWrapping"/>
            </w:r>
            <w:r>
              <w:rPr>
                <w:rFonts w:hint="eastAsia" w:ascii="宋体" w:hAnsi="宋体" w:cs="宋体"/>
                <w:kern w:val="0"/>
                <w:szCs w:val="21"/>
                <w:lang w:bidi="ar"/>
              </w:rPr>
              <w:t>补光灯类型: 红外灯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红外波长范围: 850 nm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音频: 1个内置麦克风</w:t>
            </w:r>
            <w:r>
              <w:rPr>
                <w:rFonts w:hint="eastAsia" w:ascii="宋体" w:hAnsi="宋体" w:cs="宋体"/>
                <w:kern w:val="0"/>
                <w:szCs w:val="21"/>
                <w:lang w:bidi="ar"/>
              </w:rPr>
              <w:br w:type="textWrapping"/>
            </w:r>
            <w:r>
              <w:rPr>
                <w:rFonts w:hint="eastAsia" w:ascii="宋体" w:hAnsi="宋体" w:cs="宋体"/>
                <w:kern w:val="0"/>
                <w:szCs w:val="21"/>
                <w:lang w:bidi="ar"/>
              </w:rPr>
              <w:t>产品尺寸: 186.6 × 92.7 × 87.6 mm</w:t>
            </w:r>
            <w:r>
              <w:rPr>
                <w:rFonts w:hint="eastAsia" w:ascii="宋体" w:hAnsi="宋体" w:cs="宋体"/>
                <w:kern w:val="0"/>
                <w:szCs w:val="21"/>
                <w:lang w:bidi="ar"/>
              </w:rPr>
              <w:br w:type="textWrapping"/>
            </w:r>
            <w:r>
              <w:rPr>
                <w:rFonts w:hint="eastAsia" w:ascii="宋体" w:hAnsi="宋体" w:cs="宋体"/>
                <w:kern w:val="0"/>
                <w:szCs w:val="21"/>
                <w:lang w:bidi="ar"/>
              </w:rPr>
              <w:t>包装尺寸: 235 × 120 × 125 mm</w:t>
            </w:r>
            <w:r>
              <w:rPr>
                <w:rFonts w:hint="eastAsia" w:ascii="宋体" w:hAnsi="宋体" w:cs="宋体"/>
                <w:kern w:val="0"/>
                <w:szCs w:val="21"/>
                <w:lang w:bidi="ar"/>
              </w:rPr>
              <w:br w:type="textWrapping"/>
            </w:r>
            <w:r>
              <w:rPr>
                <w:rFonts w:hint="eastAsia" w:ascii="宋体" w:hAnsi="宋体" w:cs="宋体"/>
                <w:kern w:val="0"/>
                <w:szCs w:val="21"/>
                <w:lang w:bidi="ar"/>
              </w:rPr>
              <w:t>设备重量: 600 g</w:t>
            </w:r>
            <w:r>
              <w:rPr>
                <w:rFonts w:hint="eastAsia" w:ascii="宋体" w:hAnsi="宋体" w:cs="宋体"/>
                <w:kern w:val="0"/>
                <w:szCs w:val="21"/>
                <w:lang w:bidi="ar"/>
              </w:rPr>
              <w:br w:type="textWrapping"/>
            </w:r>
            <w:r>
              <w:rPr>
                <w:rFonts w:hint="eastAsia" w:ascii="宋体" w:hAnsi="宋体" w:cs="宋体"/>
                <w:kern w:val="0"/>
                <w:szCs w:val="21"/>
                <w:lang w:bidi="ar"/>
              </w:rPr>
              <w:t>带包装重量:  785 g</w:t>
            </w:r>
            <w:r>
              <w:rPr>
                <w:rFonts w:hint="eastAsia" w:ascii="宋体" w:hAnsi="宋体" w:cs="宋体"/>
                <w:kern w:val="0"/>
                <w:szCs w:val="21"/>
                <w:lang w:bidi="ar"/>
              </w:rPr>
              <w:br w:type="textWrapping"/>
            </w:r>
            <w:r>
              <w:rPr>
                <w:rFonts w:hint="eastAsia" w:ascii="宋体" w:hAnsi="宋体" w:cs="宋体"/>
                <w:kern w:val="0"/>
                <w:szCs w:val="21"/>
                <w:lang w:bidi="ar"/>
              </w:rPr>
              <w:t>启动和工作温湿度: -30 ℃~60 ℃，湿度小于95%（无凝结）</w:t>
            </w:r>
            <w:r>
              <w:rPr>
                <w:rFonts w:hint="eastAsia" w:ascii="宋体" w:hAnsi="宋体" w:cs="宋体"/>
                <w:kern w:val="0"/>
                <w:szCs w:val="21"/>
                <w:lang w:bidi="ar"/>
              </w:rPr>
              <w:br w:type="textWrapping"/>
            </w:r>
            <w:r>
              <w:rPr>
                <w:rFonts w:hint="eastAsia" w:ascii="宋体" w:hAnsi="宋体" w:cs="宋体"/>
                <w:kern w:val="0"/>
                <w:szCs w:val="21"/>
                <w:lang w:bidi="ar"/>
              </w:rPr>
              <w:t>电流及功耗: DC：12 V，0.41 A，最大功耗：5 W；PoE：802.3af，36 V~57 V，0.18 A~0.11 A，最大功耗：6.5 W</w:t>
            </w:r>
            <w:r>
              <w:rPr>
                <w:rFonts w:hint="eastAsia" w:ascii="宋体" w:hAnsi="宋体" w:cs="宋体"/>
                <w:kern w:val="0"/>
                <w:szCs w:val="21"/>
                <w:lang w:bidi="ar"/>
              </w:rPr>
              <w:br w:type="textWrapping"/>
            </w:r>
            <w:r>
              <w:rPr>
                <w:rFonts w:hint="eastAsia" w:ascii="宋体" w:hAnsi="宋体" w:cs="宋体"/>
                <w:kern w:val="0"/>
                <w:szCs w:val="21"/>
                <w:lang w:bidi="ar"/>
              </w:rPr>
              <w:t>供电方式: DC：12 V ± 25%，支持防反接保护；PoE：802.3af，Class 3</w:t>
            </w:r>
            <w:r>
              <w:rPr>
                <w:rFonts w:hint="eastAsia" w:ascii="宋体" w:hAnsi="宋体" w:cs="宋体"/>
                <w:kern w:val="0"/>
                <w:szCs w:val="21"/>
                <w:lang w:bidi="ar"/>
              </w:rPr>
              <w:br w:type="textWrapping"/>
            </w:r>
            <w:r>
              <w:rPr>
                <w:rFonts w:hint="eastAsia" w:ascii="宋体" w:hAnsi="宋体" w:cs="宋体"/>
                <w:kern w:val="0"/>
                <w:szCs w:val="21"/>
                <w:lang w:bidi="ar"/>
              </w:rPr>
              <w:t>电源接口类型: Ø5.5 mm圆口</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4 </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1238" w:type="dxa"/>
            <w:vMerge w:val="continue"/>
            <w:shd w:val="clear" w:color="auto" w:fill="auto"/>
            <w:vAlign w:val="center"/>
          </w:tcPr>
          <w:p>
            <w:pPr>
              <w:jc w:val="center"/>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4 </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13</w:t>
            </w:r>
          </w:p>
        </w:tc>
        <w:tc>
          <w:tcPr>
            <w:tcW w:w="1238" w:type="dxa"/>
            <w:vMerge w:val="continue"/>
            <w:shd w:val="clear" w:color="auto" w:fill="auto"/>
            <w:vAlign w:val="center"/>
          </w:tcPr>
          <w:p>
            <w:pPr>
              <w:jc w:val="center"/>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硬件规格：</w:t>
            </w:r>
            <w:r>
              <w:rPr>
                <w:rFonts w:hint="eastAsia" w:ascii="宋体" w:hAnsi="宋体" w:cs="宋体"/>
                <w:kern w:val="0"/>
                <w:szCs w:val="21"/>
                <w:lang w:bidi="ar"/>
              </w:rPr>
              <w:br w:type="textWrapping"/>
            </w:r>
            <w:r>
              <w:rPr>
                <w:rFonts w:hint="eastAsia" w:ascii="宋体" w:hAnsi="宋体" w:cs="宋体"/>
                <w:kern w:val="0"/>
                <w:szCs w:val="21"/>
                <w:lang w:bidi="ar"/>
              </w:rPr>
              <w:t>2U标准机架式</w:t>
            </w:r>
            <w:r>
              <w:rPr>
                <w:rFonts w:hint="eastAsia" w:ascii="宋体" w:hAnsi="宋体" w:cs="宋体"/>
                <w:kern w:val="0"/>
                <w:szCs w:val="21"/>
                <w:lang w:bidi="ar"/>
              </w:rPr>
              <w:br w:type="textWrapping"/>
            </w:r>
            <w:r>
              <w:rPr>
                <w:rFonts w:hint="eastAsia" w:ascii="宋体" w:hAnsi="宋体" w:cs="宋体"/>
                <w:kern w:val="0"/>
                <w:szCs w:val="21"/>
                <w:lang w:bidi="ar"/>
              </w:rPr>
              <w:t>2个HDMI，2个VGA,HDMI+VGA组内同源</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4盘位，可满配8T、10T硬盘 </w:t>
            </w:r>
            <w:r>
              <w:rPr>
                <w:rFonts w:hint="eastAsia" w:ascii="宋体" w:hAnsi="宋体" w:cs="宋体"/>
                <w:kern w:val="0"/>
                <w:szCs w:val="21"/>
                <w:lang w:bidi="ar"/>
              </w:rPr>
              <w:br w:type="textWrapping"/>
            </w:r>
            <w:r>
              <w:rPr>
                <w:rFonts w:hint="eastAsia" w:ascii="宋体" w:hAnsi="宋体" w:cs="宋体"/>
                <w:kern w:val="0"/>
                <w:szCs w:val="21"/>
                <w:lang w:bidi="ar"/>
              </w:rPr>
              <w:t>2个千兆网口</w:t>
            </w:r>
            <w:r>
              <w:rPr>
                <w:rFonts w:hint="eastAsia" w:ascii="宋体" w:hAnsi="宋体" w:cs="宋体"/>
                <w:kern w:val="0"/>
                <w:szCs w:val="21"/>
                <w:lang w:bidi="ar"/>
              </w:rPr>
              <w:br w:type="textWrapping"/>
            </w:r>
            <w:r>
              <w:rPr>
                <w:rFonts w:hint="eastAsia" w:ascii="宋体" w:hAnsi="宋体" w:cs="宋体"/>
                <w:kern w:val="0"/>
                <w:szCs w:val="21"/>
                <w:lang w:bidi="ar"/>
              </w:rPr>
              <w:t>2个USB2.0接口、1个USB3.0接口</w:t>
            </w:r>
            <w:r>
              <w:rPr>
                <w:rFonts w:hint="eastAsia" w:ascii="宋体" w:hAnsi="宋体" w:cs="宋体"/>
                <w:kern w:val="0"/>
                <w:szCs w:val="21"/>
                <w:lang w:bidi="ar"/>
              </w:rPr>
              <w:br w:type="textWrapping"/>
            </w:r>
            <w:r>
              <w:rPr>
                <w:rFonts w:hint="eastAsia" w:ascii="宋体" w:hAnsi="宋体" w:cs="宋体"/>
                <w:kern w:val="0"/>
                <w:szCs w:val="21"/>
                <w:lang w:bidi="ar"/>
              </w:rPr>
              <w:t>1个eSATA接口</w:t>
            </w:r>
            <w:r>
              <w:rPr>
                <w:rFonts w:hint="eastAsia" w:ascii="宋体" w:hAnsi="宋体" w:cs="宋体"/>
                <w:kern w:val="0"/>
                <w:szCs w:val="21"/>
                <w:lang w:bidi="ar"/>
              </w:rPr>
              <w:br w:type="textWrapping"/>
            </w:r>
            <w:r>
              <w:rPr>
                <w:rFonts w:hint="eastAsia" w:ascii="宋体" w:hAnsi="宋体" w:cs="宋体"/>
                <w:kern w:val="0"/>
                <w:szCs w:val="21"/>
                <w:lang w:bidi="ar"/>
              </w:rPr>
              <w:t>报警IO：16进4出</w:t>
            </w:r>
            <w:r>
              <w:rPr>
                <w:rFonts w:hint="eastAsia" w:ascii="宋体" w:hAnsi="宋体" w:cs="宋体"/>
                <w:kern w:val="0"/>
                <w:szCs w:val="21"/>
                <w:lang w:bidi="ar"/>
              </w:rPr>
              <w:br w:type="textWrapping"/>
            </w:r>
            <w:r>
              <w:rPr>
                <w:rFonts w:hint="eastAsia" w:ascii="宋体" w:hAnsi="宋体" w:cs="宋体"/>
                <w:kern w:val="0"/>
                <w:szCs w:val="21"/>
                <w:lang w:bidi="ar"/>
              </w:rPr>
              <w:t>支持RAID0、1、5、10，支持全局热备盘</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软件性能：</w:t>
            </w:r>
            <w:r>
              <w:rPr>
                <w:rFonts w:hint="eastAsia" w:ascii="宋体" w:hAnsi="宋体" w:cs="宋体"/>
                <w:kern w:val="0"/>
                <w:szCs w:val="21"/>
                <w:lang w:bidi="ar"/>
              </w:rPr>
              <w:br w:type="textWrapping"/>
            </w:r>
            <w:r>
              <w:rPr>
                <w:rFonts w:hint="eastAsia" w:ascii="宋体" w:hAnsi="宋体" w:cs="宋体"/>
                <w:kern w:val="0"/>
                <w:szCs w:val="21"/>
                <w:lang w:bidi="ar"/>
              </w:rPr>
              <w:t>输入带宽：320M</w:t>
            </w:r>
            <w:r>
              <w:rPr>
                <w:rFonts w:hint="eastAsia" w:ascii="宋体" w:hAnsi="宋体" w:cs="宋体"/>
                <w:kern w:val="0"/>
                <w:szCs w:val="21"/>
                <w:lang w:bidi="ar"/>
              </w:rPr>
              <w:br w:type="textWrapping"/>
            </w:r>
            <w:r>
              <w:rPr>
                <w:rFonts w:hint="eastAsia" w:ascii="宋体" w:hAnsi="宋体" w:cs="宋体"/>
                <w:kern w:val="0"/>
                <w:szCs w:val="21"/>
                <w:lang w:bidi="ar"/>
              </w:rPr>
              <w:t>32路H.264、H.265混合接入</w:t>
            </w:r>
            <w:r>
              <w:rPr>
                <w:rFonts w:hint="eastAsia" w:ascii="宋体" w:hAnsi="宋体" w:cs="宋体"/>
                <w:kern w:val="0"/>
                <w:szCs w:val="21"/>
                <w:lang w:bidi="ar"/>
              </w:rPr>
              <w:br w:type="textWrapping"/>
            </w:r>
            <w:r>
              <w:rPr>
                <w:rFonts w:hint="eastAsia" w:ascii="宋体" w:hAnsi="宋体" w:cs="宋体"/>
                <w:kern w:val="0"/>
                <w:szCs w:val="21"/>
                <w:lang w:bidi="ar"/>
              </w:rPr>
              <w:t>最大支持8×1080P解码</w:t>
            </w:r>
            <w:r>
              <w:rPr>
                <w:rFonts w:hint="eastAsia" w:ascii="宋体" w:hAnsi="宋体" w:cs="宋体"/>
                <w:kern w:val="0"/>
                <w:szCs w:val="21"/>
                <w:lang w:bidi="ar"/>
              </w:rPr>
              <w:br w:type="textWrapping"/>
            </w:r>
            <w:r>
              <w:rPr>
                <w:rFonts w:hint="eastAsia" w:ascii="宋体" w:hAnsi="宋体" w:cs="宋体"/>
                <w:kern w:val="0"/>
                <w:szCs w:val="21"/>
                <w:lang w:bidi="ar"/>
              </w:rPr>
              <w:t>支持H.265、H.264解码</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支持秒级检索查看硬盘中录像文件，秒级检索录像文件中的人员、车辆、人体等活动目标，并以弹窗形式来展示活动目标关联的录像片段（以公安部检测报告为准）</w:t>
            </w:r>
            <w:r>
              <w:rPr>
                <w:rFonts w:hint="eastAsia" w:ascii="宋体" w:hAnsi="宋体" w:cs="宋体"/>
                <w:kern w:val="0"/>
                <w:szCs w:val="21"/>
                <w:lang w:bidi="ar"/>
              </w:rPr>
              <w:br w:type="textWrapping"/>
            </w:r>
            <w:r>
              <w:rPr>
                <w:rFonts w:hint="eastAsia" w:ascii="宋体" w:hAnsi="宋体" w:cs="宋体"/>
                <w:kern w:val="0"/>
                <w:szCs w:val="21"/>
                <w:lang w:bidi="ar"/>
              </w:rPr>
              <w:t>★支持图表形式展示已添加的IP通道，支持自动抓拍一张图片作为IP通道封面（以公安部检测报告为准）</w:t>
            </w:r>
            <w:r>
              <w:rPr>
                <w:rFonts w:hint="eastAsia" w:ascii="宋体" w:hAnsi="宋体" w:cs="宋体"/>
                <w:kern w:val="0"/>
                <w:szCs w:val="21"/>
                <w:lang w:bidi="ar"/>
              </w:rPr>
              <w:br w:type="textWrapping"/>
            </w:r>
            <w:r>
              <w:rPr>
                <w:rFonts w:hint="eastAsia" w:ascii="宋体" w:hAnsi="宋体" w:cs="宋体"/>
                <w:kern w:val="0"/>
                <w:szCs w:val="21"/>
                <w:lang w:bidi="ar"/>
              </w:rPr>
              <w:t>★支持查看希捷硬盘健康状态信息，包括温度，震动，链路稳定性。并支持状态信息预警显示；支持查看最近7天（168小时）的硬盘状态信息（以公安部检测报告为准）</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14</w:t>
            </w:r>
          </w:p>
        </w:tc>
        <w:tc>
          <w:tcPr>
            <w:tcW w:w="1238" w:type="dxa"/>
            <w:vMerge w:val="continue"/>
            <w:shd w:val="clear" w:color="auto" w:fill="auto"/>
            <w:vAlign w:val="center"/>
          </w:tcPr>
          <w:p>
            <w:pPr>
              <w:jc w:val="center"/>
              <w:rPr>
                <w:rFonts w:ascii="宋体" w:hAnsi="宋体" w:cs="宋体"/>
                <w:szCs w:val="21"/>
              </w:rPr>
            </w:pPr>
          </w:p>
        </w:tc>
        <w:tc>
          <w:tcPr>
            <w:tcW w:w="130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5306"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 HDD,8TB,7200RPM, 256MB, SATA 6Gb/s</w:t>
            </w:r>
          </w:p>
        </w:tc>
        <w:tc>
          <w:tcPr>
            <w:tcW w:w="42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89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7" w:type="dxa"/>
            <w:shd w:val="clear" w:color="auto" w:fill="auto"/>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15</w:t>
            </w:r>
          </w:p>
        </w:tc>
        <w:tc>
          <w:tcPr>
            <w:tcW w:w="2539" w:type="dxa"/>
            <w:gridSpan w:val="2"/>
            <w:shd w:val="clear" w:color="auto" w:fill="auto"/>
            <w:vAlign w:val="center"/>
          </w:tcPr>
          <w:p>
            <w:pPr>
              <w:jc w:val="center"/>
              <w:rPr>
                <w:rFonts w:ascii="宋体" w:hAnsi="宋体" w:cs="宋体"/>
                <w:kern w:val="0"/>
                <w:szCs w:val="21"/>
                <w:lang w:bidi="ar"/>
              </w:rPr>
            </w:pPr>
            <w:r>
              <w:rPr>
                <w:rFonts w:hint="eastAsia" w:ascii="宋体" w:hAnsi="宋体" w:cs="宋体"/>
                <w:kern w:val="0"/>
                <w:szCs w:val="21"/>
                <w:lang w:bidi="ar"/>
              </w:rPr>
              <w:t>安装调试施工</w:t>
            </w:r>
          </w:p>
        </w:tc>
        <w:tc>
          <w:tcPr>
            <w:tcW w:w="5306" w:type="dxa"/>
            <w:shd w:val="clear" w:color="auto" w:fill="auto"/>
            <w:vAlign w:val="center"/>
          </w:tcPr>
          <w:p>
            <w:pPr>
              <w:jc w:val="center"/>
              <w:rPr>
                <w:rFonts w:ascii="宋体" w:hAnsi="宋体" w:cs="宋体"/>
                <w:kern w:val="0"/>
                <w:szCs w:val="21"/>
                <w:lang w:bidi="ar"/>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27" w:type="dxa"/>
            <w:shd w:val="clear" w:color="auto" w:fill="auto"/>
            <w:vAlign w:val="center"/>
          </w:tcPr>
          <w:p>
            <w:pPr>
              <w:jc w:val="center"/>
              <w:rPr>
                <w:rFonts w:ascii="宋体" w:hAnsi="宋体" w:cs="宋体"/>
                <w:kern w:val="0"/>
                <w:szCs w:val="21"/>
                <w:lang w:bidi="ar"/>
              </w:rPr>
            </w:pPr>
            <w:r>
              <w:rPr>
                <w:rFonts w:hint="eastAsia" w:ascii="宋体" w:hAnsi="宋体" w:cs="宋体"/>
                <w:szCs w:val="21"/>
              </w:rPr>
              <w:t>项</w:t>
            </w:r>
          </w:p>
        </w:tc>
        <w:tc>
          <w:tcPr>
            <w:tcW w:w="445" w:type="dxa"/>
            <w:shd w:val="clear" w:color="auto" w:fill="auto"/>
            <w:vAlign w:val="center"/>
          </w:tcPr>
          <w:p>
            <w:pPr>
              <w:jc w:val="center"/>
              <w:rPr>
                <w:rFonts w:ascii="宋体" w:hAnsi="宋体" w:cs="宋体"/>
                <w:kern w:val="0"/>
                <w:szCs w:val="21"/>
                <w:lang w:bidi="ar"/>
              </w:rPr>
            </w:pPr>
            <w:r>
              <w:rPr>
                <w:rFonts w:hint="eastAsia" w:ascii="宋体" w:hAnsi="宋体" w:cs="宋体"/>
                <w:szCs w:val="21"/>
              </w:rPr>
              <w:t>1</w:t>
            </w:r>
          </w:p>
        </w:tc>
        <w:tc>
          <w:tcPr>
            <w:tcW w:w="896" w:type="dxa"/>
            <w:shd w:val="clear" w:color="auto" w:fill="auto"/>
            <w:vAlign w:val="center"/>
          </w:tcPr>
          <w:p>
            <w:pPr>
              <w:widowControl/>
              <w:jc w:val="center"/>
              <w:textAlignment w:val="center"/>
              <w:rPr>
                <w:rFonts w:ascii="宋体" w:hAnsi="宋体" w:cs="宋体"/>
                <w:kern w:val="0"/>
                <w:szCs w:val="21"/>
                <w:lang w:bidi="ar"/>
              </w:rPr>
            </w:pPr>
            <w:r>
              <w:rPr>
                <w:rFonts w:hint="eastAsia" w:ascii="宋体" w:hAnsi="宋体" w:cs="宋体"/>
                <w:color w:val="000000"/>
                <w:szCs w:val="21"/>
              </w:rPr>
              <w:t>定制</w:t>
            </w:r>
          </w:p>
        </w:tc>
      </w:tr>
    </w:tbl>
    <w:p>
      <w:r>
        <w:rPr>
          <w:rFonts w:hint="eastAsia"/>
        </w:rPr>
        <w:br w:type="page"/>
      </w:r>
    </w:p>
    <w:p>
      <w:pPr>
        <w:pStyle w:val="7"/>
      </w:pPr>
      <w:r>
        <w:rPr>
          <w:rFonts w:hint="eastAsia"/>
        </w:rPr>
        <w:t>7、湾头社区数字化建设</w:t>
      </w:r>
    </w:p>
    <w:tbl>
      <w:tblPr>
        <w:tblStyle w:val="50"/>
        <w:tblW w:w="10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5"/>
        <w:gridCol w:w="723"/>
        <w:gridCol w:w="6095"/>
        <w:gridCol w:w="426"/>
        <w:gridCol w:w="636"/>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序号</w:t>
            </w:r>
          </w:p>
        </w:tc>
        <w:tc>
          <w:tcPr>
            <w:tcW w:w="865"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功能点及场景</w:t>
            </w:r>
          </w:p>
        </w:tc>
        <w:tc>
          <w:tcPr>
            <w:tcW w:w="723"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硬件名称</w:t>
            </w:r>
          </w:p>
        </w:tc>
        <w:tc>
          <w:tcPr>
            <w:tcW w:w="6095"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功能参数</w:t>
            </w:r>
          </w:p>
        </w:tc>
        <w:tc>
          <w:tcPr>
            <w:tcW w:w="426"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单位</w:t>
            </w:r>
          </w:p>
        </w:tc>
        <w:tc>
          <w:tcPr>
            <w:tcW w:w="636"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数量</w:t>
            </w:r>
          </w:p>
        </w:tc>
        <w:tc>
          <w:tcPr>
            <w:tcW w:w="965"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65"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客流统计</w:t>
            </w: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双目客流摄像机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室内</w:t>
            </w:r>
            <w:r>
              <w:rPr>
                <w:rFonts w:hint="eastAsia" w:ascii="宋体" w:hAnsi="宋体" w:cs="宋体"/>
                <w:kern w:val="0"/>
                <w:szCs w:val="21"/>
                <w:lang w:bidi="ar"/>
              </w:rPr>
              <w:br w:type="textWrapping"/>
            </w:r>
            <w:r>
              <w:rPr>
                <w:rFonts w:hint="eastAsia" w:ascii="宋体" w:hAnsi="宋体" w:cs="宋体"/>
                <w:kern w:val="0"/>
                <w:szCs w:val="21"/>
                <w:lang w:bidi="ar"/>
              </w:rPr>
              <w:t>1/2.7”CMOS商业双目智能客流统计网络摄像机</w:t>
            </w:r>
            <w:r>
              <w:rPr>
                <w:rFonts w:hint="eastAsia" w:ascii="宋体" w:hAnsi="宋体" w:cs="宋体"/>
                <w:kern w:val="0"/>
                <w:szCs w:val="21"/>
                <w:lang w:bidi="ar"/>
              </w:rPr>
              <w:br w:type="textWrapping"/>
            </w:r>
            <w:r>
              <w:rPr>
                <w:rFonts w:hint="eastAsia" w:ascii="宋体" w:hAnsi="宋体" w:cs="宋体"/>
                <w:kern w:val="0"/>
                <w:szCs w:val="21"/>
                <w:lang w:bidi="ar"/>
              </w:rPr>
              <w:t>采用领先的双目立体视觉技术，基于双镜头的立体摄像，获取目标的高度信息，结合智能跟踪算法分析行人的行为轨迹，从而精确计算出客流人数及行走方向</w:t>
            </w:r>
            <w:r>
              <w:rPr>
                <w:rFonts w:hint="eastAsia" w:ascii="宋体" w:hAnsi="宋体" w:cs="宋体"/>
                <w:kern w:val="0"/>
                <w:szCs w:val="21"/>
                <w:lang w:bidi="ar"/>
              </w:rPr>
              <w:br w:type="textWrapping"/>
            </w:r>
            <w:r>
              <w:rPr>
                <w:rFonts w:hint="eastAsia" w:ascii="宋体" w:hAnsi="宋体" w:cs="宋体"/>
                <w:kern w:val="0"/>
                <w:szCs w:val="21"/>
                <w:lang w:bidi="ar"/>
              </w:rPr>
              <w:t>支持分类统计人员进入、离开情况</w:t>
            </w:r>
            <w:r>
              <w:rPr>
                <w:rFonts w:hint="eastAsia" w:ascii="宋体" w:hAnsi="宋体" w:cs="宋体"/>
                <w:kern w:val="0"/>
                <w:szCs w:val="21"/>
                <w:lang w:bidi="ar"/>
              </w:rPr>
              <w:br w:type="textWrapping"/>
            </w:r>
            <w:r>
              <w:rPr>
                <w:rFonts w:hint="eastAsia" w:ascii="宋体" w:hAnsi="宋体" w:cs="宋体"/>
                <w:kern w:val="0"/>
                <w:szCs w:val="21"/>
                <w:lang w:bidi="ar"/>
              </w:rPr>
              <w:t>支持实时数据上传和周期上传</w:t>
            </w:r>
            <w:r>
              <w:rPr>
                <w:rFonts w:hint="eastAsia" w:ascii="宋体" w:hAnsi="宋体" w:cs="宋体"/>
                <w:kern w:val="0"/>
                <w:szCs w:val="21"/>
                <w:lang w:bidi="ar"/>
              </w:rPr>
              <w:br w:type="textWrapping"/>
            </w:r>
            <w:r>
              <w:rPr>
                <w:rFonts w:hint="eastAsia" w:ascii="宋体" w:hAnsi="宋体" w:cs="宋体"/>
                <w:kern w:val="0"/>
                <w:szCs w:val="21"/>
                <w:lang w:bidi="ar"/>
              </w:rPr>
              <w:t>邮件报表支持日报表、周报表、月报表和年报表</w:t>
            </w:r>
            <w:r>
              <w:rPr>
                <w:rFonts w:hint="eastAsia" w:ascii="宋体" w:hAnsi="宋体" w:cs="宋体"/>
                <w:kern w:val="0"/>
                <w:szCs w:val="21"/>
                <w:lang w:bidi="ar"/>
              </w:rPr>
              <w:br w:type="textWrapping"/>
            </w:r>
            <w:r>
              <w:rPr>
                <w:rFonts w:hint="eastAsia" w:ascii="宋体" w:hAnsi="宋体" w:cs="宋体"/>
                <w:kern w:val="0"/>
                <w:szCs w:val="21"/>
                <w:lang w:bidi="ar"/>
              </w:rPr>
              <w:t>支持高度过滤</w:t>
            </w:r>
            <w:r>
              <w:rPr>
                <w:rFonts w:hint="eastAsia" w:ascii="宋体" w:hAnsi="宋体" w:cs="宋体"/>
                <w:kern w:val="0"/>
                <w:szCs w:val="21"/>
                <w:lang w:bidi="ar"/>
              </w:rPr>
              <w:br w:type="textWrapping"/>
            </w:r>
            <w:r>
              <w:rPr>
                <w:rFonts w:hint="eastAsia" w:ascii="宋体" w:hAnsi="宋体" w:cs="宋体"/>
                <w:kern w:val="0"/>
                <w:szCs w:val="21"/>
                <w:lang w:bidi="ar"/>
              </w:rPr>
              <w:t>支持内置存储（EMMC）</w:t>
            </w:r>
            <w:r>
              <w:rPr>
                <w:rFonts w:hint="eastAsia" w:ascii="宋体" w:hAnsi="宋体" w:cs="宋体"/>
                <w:kern w:val="0"/>
                <w:szCs w:val="21"/>
                <w:lang w:bidi="ar"/>
              </w:rPr>
              <w:br w:type="textWrapping"/>
            </w:r>
            <w:r>
              <w:rPr>
                <w:rFonts w:hint="eastAsia" w:ascii="宋体" w:hAnsi="宋体" w:cs="宋体"/>
                <w:kern w:val="0"/>
                <w:szCs w:val="21"/>
                <w:lang w:bidi="ar"/>
              </w:rPr>
              <w:t>最低照度: 彩色:0.005 Lux @ (F1.2, AGC ON)，0.0176 Lux @ (F2.25, AGC ON) ; 黑白:0.001 Lux @ (F1.2, AGC ON)，0.0035Lux @ (F2.25, AGC ON)，0 Lux with IR</w:t>
            </w:r>
            <w:r>
              <w:rPr>
                <w:rFonts w:hint="eastAsia" w:ascii="宋体" w:hAnsi="宋体" w:cs="宋体"/>
                <w:kern w:val="0"/>
                <w:szCs w:val="21"/>
                <w:lang w:bidi="ar"/>
              </w:rPr>
              <w:br w:type="textWrapping"/>
            </w:r>
            <w:r>
              <w:rPr>
                <w:rFonts w:hint="eastAsia" w:ascii="宋体" w:hAnsi="宋体" w:cs="宋体"/>
                <w:kern w:val="0"/>
                <w:szCs w:val="21"/>
                <w:lang w:bidi="ar"/>
              </w:rPr>
              <w:t>镜头: 2.0mm@F2.25,水平视场角：104.5°，垂直视场角：70.5°</w:t>
            </w:r>
            <w:r>
              <w:rPr>
                <w:rFonts w:hint="eastAsia" w:ascii="宋体" w:hAnsi="宋体" w:cs="宋体"/>
                <w:kern w:val="0"/>
                <w:szCs w:val="21"/>
                <w:lang w:bidi="ar"/>
              </w:rPr>
              <w:br w:type="textWrapping"/>
            </w:r>
            <w:r>
              <w:rPr>
                <w:rFonts w:hint="eastAsia" w:ascii="宋体" w:hAnsi="宋体" w:cs="宋体"/>
                <w:kern w:val="0"/>
                <w:szCs w:val="21"/>
                <w:lang w:bidi="ar"/>
              </w:rPr>
              <w:t>视频压缩标准: H.265/H.264 / MJPEG</w:t>
            </w:r>
            <w:r>
              <w:rPr>
                <w:rFonts w:hint="eastAsia" w:ascii="宋体" w:hAnsi="宋体" w:cs="宋体"/>
                <w:kern w:val="0"/>
                <w:szCs w:val="21"/>
                <w:lang w:bidi="ar"/>
              </w:rPr>
              <w:br w:type="textWrapping"/>
            </w:r>
            <w:r>
              <w:rPr>
                <w:rFonts w:hint="eastAsia" w:ascii="宋体" w:hAnsi="宋体" w:cs="宋体"/>
                <w:kern w:val="0"/>
                <w:szCs w:val="21"/>
                <w:lang w:bidi="ar"/>
              </w:rPr>
              <w:t>最大图像尺寸: 2560×1440</w:t>
            </w:r>
            <w:r>
              <w:rPr>
                <w:rFonts w:hint="eastAsia" w:ascii="宋体" w:hAnsi="宋体" w:cs="宋体"/>
                <w:kern w:val="0"/>
                <w:szCs w:val="21"/>
                <w:lang w:bidi="ar"/>
              </w:rPr>
              <w:br w:type="textWrapping"/>
            </w:r>
            <w:r>
              <w:rPr>
                <w:rFonts w:hint="eastAsia" w:ascii="宋体" w:hAnsi="宋体" w:cs="宋体"/>
                <w:kern w:val="0"/>
                <w:szCs w:val="21"/>
                <w:lang w:bidi="ar"/>
              </w:rPr>
              <w:t>无线参数</w:t>
            </w:r>
            <w:r>
              <w:rPr>
                <w:rFonts w:hint="eastAsia" w:ascii="宋体" w:hAnsi="宋体" w:cs="宋体"/>
                <w:kern w:val="0"/>
                <w:szCs w:val="21"/>
                <w:lang w:bidi="ar"/>
              </w:rPr>
              <w:br w:type="textWrapping"/>
            </w:r>
            <w:r>
              <w:rPr>
                <w:rFonts w:hint="eastAsia" w:ascii="宋体" w:hAnsi="宋体" w:cs="宋体"/>
                <w:kern w:val="0"/>
                <w:szCs w:val="21"/>
                <w:lang w:bidi="ar"/>
              </w:rPr>
              <w:t>WiFi协议: IEEE802.11b, 802.11g, 802.11n</w:t>
            </w:r>
            <w:r>
              <w:rPr>
                <w:rFonts w:hint="eastAsia" w:ascii="宋体" w:hAnsi="宋体" w:cs="宋体"/>
                <w:kern w:val="0"/>
                <w:szCs w:val="21"/>
                <w:lang w:bidi="ar"/>
              </w:rPr>
              <w:br w:type="textWrapping"/>
            </w:r>
            <w:r>
              <w:rPr>
                <w:rFonts w:hint="eastAsia" w:ascii="宋体" w:hAnsi="宋体" w:cs="宋体"/>
                <w:kern w:val="0"/>
                <w:szCs w:val="21"/>
                <w:lang w:bidi="ar"/>
              </w:rPr>
              <w:t>频率范围: 2.4GHz</w:t>
            </w:r>
            <w:r>
              <w:rPr>
                <w:rFonts w:hint="eastAsia" w:ascii="宋体" w:hAnsi="宋体" w:cs="宋体"/>
                <w:kern w:val="0"/>
                <w:szCs w:val="21"/>
                <w:lang w:bidi="ar"/>
              </w:rPr>
              <w:br w:type="textWrapping"/>
            </w:r>
            <w:r>
              <w:rPr>
                <w:rFonts w:hint="eastAsia" w:ascii="宋体" w:hAnsi="宋体" w:cs="宋体"/>
                <w:kern w:val="0"/>
                <w:szCs w:val="21"/>
                <w:lang w:bidi="ar"/>
              </w:rPr>
              <w:t>信道带宽: 20/40MHz</w:t>
            </w:r>
            <w:r>
              <w:rPr>
                <w:rFonts w:hint="eastAsia" w:ascii="宋体" w:hAnsi="宋体" w:cs="宋体"/>
                <w:kern w:val="0"/>
                <w:szCs w:val="21"/>
                <w:lang w:bidi="ar"/>
              </w:rPr>
              <w:br w:type="textWrapping"/>
            </w:r>
            <w:r>
              <w:rPr>
                <w:rFonts w:hint="eastAsia" w:ascii="宋体" w:hAnsi="宋体" w:cs="宋体"/>
                <w:kern w:val="0"/>
                <w:szCs w:val="21"/>
                <w:lang w:bidi="ar"/>
              </w:rPr>
              <w:t>调制方式: 802.11b: CCK, QPSK, BPSK, 802.11g/n: OFDM</w:t>
            </w:r>
            <w:r>
              <w:rPr>
                <w:rFonts w:hint="eastAsia" w:ascii="宋体" w:hAnsi="宋体" w:cs="宋体"/>
                <w:kern w:val="0"/>
                <w:szCs w:val="21"/>
                <w:lang w:bidi="ar"/>
              </w:rPr>
              <w:br w:type="textWrapping"/>
            </w:r>
            <w:r>
              <w:rPr>
                <w:rFonts w:hint="eastAsia" w:ascii="宋体" w:hAnsi="宋体" w:cs="宋体"/>
                <w:kern w:val="0"/>
                <w:szCs w:val="21"/>
                <w:lang w:bidi="ar"/>
              </w:rPr>
              <w:t>传输速率: 11b: 11Mbps, 11g: 54Mbps, 11n: up to 150Mbps</w:t>
            </w:r>
            <w:r>
              <w:rPr>
                <w:rFonts w:hint="eastAsia" w:ascii="宋体" w:hAnsi="宋体" w:cs="宋体"/>
                <w:kern w:val="0"/>
                <w:szCs w:val="21"/>
                <w:lang w:bidi="ar"/>
              </w:rPr>
              <w:br w:type="textWrapping"/>
            </w:r>
            <w:r>
              <w:rPr>
                <w:rFonts w:hint="eastAsia" w:ascii="宋体" w:hAnsi="宋体" w:cs="宋体"/>
                <w:kern w:val="0"/>
                <w:szCs w:val="21"/>
                <w:lang w:bidi="ar"/>
              </w:rPr>
              <w:t>有效传输距离: 50m</w:t>
            </w:r>
            <w:r>
              <w:rPr>
                <w:rFonts w:hint="eastAsia" w:ascii="宋体" w:hAnsi="宋体" w:cs="宋体"/>
                <w:kern w:val="0"/>
                <w:szCs w:val="21"/>
                <w:lang w:bidi="ar"/>
              </w:rPr>
              <w:br w:type="textWrapping"/>
            </w:r>
            <w:r>
              <w:rPr>
                <w:rFonts w:hint="eastAsia" w:ascii="宋体" w:hAnsi="宋体" w:cs="宋体"/>
                <w:kern w:val="0"/>
                <w:szCs w:val="21"/>
                <w:lang w:bidi="ar"/>
              </w:rPr>
              <w:t>接口类型: 甩线</w:t>
            </w:r>
            <w:r>
              <w:rPr>
                <w:rFonts w:hint="eastAsia" w:ascii="宋体" w:hAnsi="宋体" w:cs="宋体"/>
                <w:kern w:val="0"/>
                <w:szCs w:val="21"/>
                <w:lang w:bidi="ar"/>
              </w:rPr>
              <w:br w:type="textWrapping"/>
            </w:r>
            <w:r>
              <w:rPr>
                <w:rFonts w:hint="eastAsia" w:ascii="宋体" w:hAnsi="宋体" w:cs="宋体"/>
                <w:kern w:val="0"/>
                <w:szCs w:val="21"/>
                <w:lang w:bidi="ar"/>
              </w:rPr>
              <w:t>通讯接口: 1个RJ45 10M / 100M /1000M自适应以太网口</w:t>
            </w:r>
            <w:r>
              <w:rPr>
                <w:rFonts w:hint="eastAsia" w:ascii="宋体" w:hAnsi="宋体" w:cs="宋体"/>
                <w:kern w:val="0"/>
                <w:szCs w:val="21"/>
                <w:lang w:bidi="ar"/>
              </w:rPr>
              <w:br w:type="textWrapping"/>
            </w:r>
            <w:r>
              <w:rPr>
                <w:rFonts w:hint="eastAsia" w:ascii="宋体" w:hAnsi="宋体" w:cs="宋体"/>
                <w:kern w:val="0"/>
                <w:szCs w:val="21"/>
                <w:lang w:bidi="ar"/>
              </w:rPr>
              <w:t>音频接口: 标配mic in</w:t>
            </w:r>
            <w:r>
              <w:rPr>
                <w:rFonts w:hint="eastAsia" w:ascii="宋体" w:hAnsi="宋体" w:cs="宋体"/>
                <w:kern w:val="0"/>
                <w:szCs w:val="21"/>
                <w:lang w:bidi="ar"/>
              </w:rPr>
              <w:br w:type="textWrapping"/>
            </w:r>
            <w:r>
              <w:rPr>
                <w:rFonts w:hint="eastAsia" w:ascii="宋体" w:hAnsi="宋体" w:cs="宋体"/>
                <w:kern w:val="0"/>
                <w:szCs w:val="21"/>
                <w:lang w:bidi="ar"/>
              </w:rPr>
              <w:t>工作温度和湿度: -30℃~45℃,湿度小于95%(无凝结)</w:t>
            </w:r>
            <w:r>
              <w:rPr>
                <w:rFonts w:hint="eastAsia" w:ascii="宋体" w:hAnsi="宋体" w:cs="宋体"/>
                <w:kern w:val="0"/>
                <w:szCs w:val="21"/>
                <w:lang w:bidi="ar"/>
              </w:rPr>
              <w:br w:type="textWrapping"/>
            </w:r>
            <w:r>
              <w:rPr>
                <w:rFonts w:hint="eastAsia" w:ascii="宋体" w:hAnsi="宋体" w:cs="宋体"/>
                <w:kern w:val="0"/>
                <w:szCs w:val="21"/>
                <w:lang w:bidi="ar"/>
              </w:rPr>
              <w:t>电源供应: DC12±20%；支持防反接保护；POE（36v-57v，802.3af）Calss3</w:t>
            </w:r>
            <w:r>
              <w:rPr>
                <w:rFonts w:hint="eastAsia" w:ascii="宋体" w:hAnsi="宋体" w:cs="宋体"/>
                <w:kern w:val="0"/>
                <w:szCs w:val="21"/>
                <w:lang w:bidi="ar"/>
              </w:rPr>
              <w:br w:type="textWrapping"/>
            </w:r>
            <w:r>
              <w:rPr>
                <w:rFonts w:hint="eastAsia" w:ascii="宋体" w:hAnsi="宋体" w:cs="宋体"/>
                <w:kern w:val="0"/>
                <w:szCs w:val="21"/>
                <w:lang w:bidi="ar"/>
              </w:rPr>
              <w:t>功耗: DC12V 0.66A Max8W; PoE：(802.3af, 36V-57V), 0.23 A to 0.14 A，Max：8.3W</w:t>
            </w:r>
            <w:r>
              <w:rPr>
                <w:rFonts w:hint="eastAsia" w:ascii="宋体" w:hAnsi="宋体" w:cs="宋体"/>
                <w:kern w:val="0"/>
                <w:szCs w:val="21"/>
                <w:lang w:bidi="ar"/>
              </w:rPr>
              <w:br w:type="textWrapping"/>
            </w:r>
            <w:r>
              <w:rPr>
                <w:rFonts w:hint="eastAsia" w:ascii="宋体" w:hAnsi="宋体" w:cs="宋体"/>
                <w:kern w:val="0"/>
                <w:szCs w:val="21"/>
                <w:lang w:bidi="ar"/>
              </w:rPr>
              <w:t>补光距离: 红外：6m</w:t>
            </w:r>
            <w:r>
              <w:rPr>
                <w:rFonts w:hint="eastAsia" w:ascii="宋体" w:hAnsi="宋体" w:cs="宋体"/>
                <w:kern w:val="0"/>
                <w:szCs w:val="21"/>
                <w:lang w:bidi="ar"/>
              </w:rPr>
              <w:br w:type="textWrapping"/>
            </w:r>
            <w:r>
              <w:rPr>
                <w:rFonts w:hint="eastAsia" w:ascii="宋体" w:hAnsi="宋体" w:cs="宋体"/>
                <w:kern w:val="0"/>
                <w:szCs w:val="21"/>
                <w:lang w:bidi="ar"/>
              </w:rPr>
              <w:t>红外波长: 850nm</w:t>
            </w:r>
            <w:r>
              <w:rPr>
                <w:rFonts w:hint="eastAsia" w:ascii="宋体" w:hAnsi="宋体" w:cs="宋体"/>
                <w:kern w:val="0"/>
                <w:szCs w:val="21"/>
                <w:lang w:bidi="ar"/>
              </w:rPr>
              <w:br w:type="textWrapping"/>
            </w:r>
            <w:r>
              <w:rPr>
                <w:rFonts w:hint="eastAsia" w:ascii="宋体" w:hAnsi="宋体" w:cs="宋体"/>
                <w:kern w:val="0"/>
                <w:szCs w:val="21"/>
                <w:lang w:bidi="ar"/>
              </w:rPr>
              <w:t>产品尺寸(mm): 167×61×36mm</w:t>
            </w:r>
            <w:r>
              <w:rPr>
                <w:rFonts w:hint="eastAsia" w:ascii="宋体" w:hAnsi="宋体" w:cs="宋体"/>
                <w:kern w:val="0"/>
                <w:szCs w:val="21"/>
                <w:lang w:bidi="ar"/>
              </w:rPr>
              <w:br w:type="textWrapping"/>
            </w:r>
            <w:r>
              <w:rPr>
                <w:rFonts w:hint="eastAsia" w:ascii="宋体" w:hAnsi="宋体" w:cs="宋体"/>
                <w:kern w:val="0"/>
                <w:szCs w:val="21"/>
                <w:lang w:bidi="ar"/>
              </w:rPr>
              <w:t>包装尺寸(mm): 235×120×125mm</w:t>
            </w:r>
            <w:r>
              <w:rPr>
                <w:rFonts w:hint="eastAsia" w:ascii="宋体" w:hAnsi="宋体" w:cs="宋体"/>
                <w:kern w:val="0"/>
                <w:szCs w:val="21"/>
                <w:lang w:bidi="ar"/>
              </w:rPr>
              <w:br w:type="textWrapping"/>
            </w:r>
            <w:r>
              <w:rPr>
                <w:rFonts w:hint="eastAsia" w:ascii="宋体" w:hAnsi="宋体" w:cs="宋体"/>
                <w:kern w:val="0"/>
                <w:szCs w:val="21"/>
                <w:lang w:bidi="ar"/>
              </w:rPr>
              <w:t>裸机重量: 435g</w:t>
            </w:r>
            <w:r>
              <w:rPr>
                <w:rFonts w:hint="eastAsia" w:ascii="宋体" w:hAnsi="宋体" w:cs="宋体"/>
                <w:kern w:val="0"/>
                <w:szCs w:val="21"/>
                <w:lang w:bidi="ar"/>
              </w:rPr>
              <w:br w:type="textWrapping"/>
            </w:r>
            <w:r>
              <w:rPr>
                <w:rFonts w:hint="eastAsia" w:ascii="宋体" w:hAnsi="宋体" w:cs="宋体"/>
                <w:kern w:val="0"/>
                <w:szCs w:val="21"/>
                <w:lang w:bidi="ar"/>
              </w:rPr>
              <w:t>含包装重量: 725g</w:t>
            </w:r>
            <w:r>
              <w:rPr>
                <w:rFonts w:hint="eastAsia" w:ascii="宋体" w:hAnsi="宋体" w:cs="宋体"/>
                <w:kern w:val="0"/>
                <w:szCs w:val="21"/>
                <w:lang w:bidi="ar"/>
              </w:rPr>
              <w:br w:type="textWrapping"/>
            </w:r>
            <w:r>
              <w:rPr>
                <w:rFonts w:hint="eastAsia" w:ascii="宋体" w:hAnsi="宋体" w:cs="宋体"/>
                <w:kern w:val="0"/>
                <w:szCs w:val="21"/>
                <w:lang w:bidi="ar"/>
              </w:rPr>
              <w:t>★可开启/关闭反向进入报警功能，并可以按周为周期，设置每天的反向客流检测布防时间段，当功能开启后，检测到反向客流时，可触发报警并关联上传中心。（公安部检验报告证明）</w:t>
            </w:r>
            <w:r>
              <w:rPr>
                <w:rFonts w:hint="eastAsia" w:ascii="宋体" w:hAnsi="宋体" w:cs="宋体"/>
                <w:kern w:val="0"/>
                <w:szCs w:val="21"/>
                <w:lang w:bidi="ar"/>
              </w:rPr>
              <w:br w:type="textWrapping"/>
            </w:r>
            <w:r>
              <w:rPr>
                <w:rFonts w:hint="eastAsia" w:ascii="宋体" w:hAnsi="宋体" w:cs="宋体"/>
                <w:kern w:val="0"/>
                <w:szCs w:val="21"/>
                <w:lang w:bidi="ar"/>
              </w:rPr>
              <w:t>★支持徘徊排除功能，当试验人员在检测区域内徘徊并未离开检测区域时，不重复统计客流数量。（公安部检验报告证明）</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重量: 266克</w:t>
            </w:r>
            <w:r>
              <w:rPr>
                <w:rFonts w:hint="eastAsia" w:ascii="宋体" w:hAnsi="宋体" w:cs="宋体"/>
                <w:kern w:val="0"/>
                <w:szCs w:val="21"/>
                <w:lang w:bidi="ar"/>
              </w:rPr>
              <w:br w:type="textWrapping"/>
            </w:r>
            <w:r>
              <w:rPr>
                <w:rFonts w:hint="eastAsia" w:ascii="宋体" w:hAnsi="宋体" w:cs="宋体"/>
                <w:kern w:val="0"/>
                <w:szCs w:val="21"/>
                <w:lang w:bidi="ar"/>
              </w:rPr>
              <w:t>颜色: 白色</w:t>
            </w:r>
            <w:r>
              <w:rPr>
                <w:rFonts w:hint="eastAsia" w:ascii="宋体" w:hAnsi="宋体" w:cs="宋体"/>
                <w:kern w:val="0"/>
                <w:szCs w:val="21"/>
                <w:lang w:bidi="ar"/>
              </w:rPr>
              <w:br w:type="textWrapping"/>
            </w:r>
            <w:r>
              <w:rPr>
                <w:rFonts w:hint="eastAsia" w:ascii="宋体" w:hAnsi="宋体" w:cs="宋体"/>
                <w:kern w:val="0"/>
                <w:szCs w:val="21"/>
                <w:lang w:bidi="ar"/>
              </w:rPr>
              <w:t>尺寸: 196 mm × 56.7 mm</w:t>
            </w:r>
            <w:r>
              <w:rPr>
                <w:rFonts w:hint="eastAsia" w:ascii="宋体" w:hAnsi="宋体" w:cs="宋体"/>
                <w:kern w:val="0"/>
                <w:szCs w:val="21"/>
                <w:lang w:bidi="ar"/>
              </w:rPr>
              <w:br w:type="textWrapping"/>
            </w:r>
            <w:r>
              <w:rPr>
                <w:rFonts w:hint="eastAsia" w:ascii="宋体" w:hAnsi="宋体" w:cs="宋体"/>
                <w:kern w:val="0"/>
                <w:szCs w:val="21"/>
                <w:lang w:bidi="ar"/>
              </w:rPr>
              <w:t>材质: 铝合金</w:t>
            </w:r>
            <w:r>
              <w:rPr>
                <w:rFonts w:hint="eastAsia" w:ascii="宋体" w:hAnsi="宋体" w:cs="宋体"/>
                <w:kern w:val="0"/>
                <w:szCs w:val="21"/>
                <w:lang w:bidi="ar"/>
              </w:rPr>
              <w:br w:type="textWrapping"/>
            </w:r>
            <w:r>
              <w:rPr>
                <w:rFonts w:hint="eastAsia" w:ascii="宋体" w:hAnsi="宋体" w:cs="宋体"/>
                <w:kern w:val="0"/>
                <w:szCs w:val="21"/>
                <w:lang w:bidi="ar"/>
              </w:rPr>
              <w:t>三轴或两轴调节角度: 单轴（0-60度）</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865"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红外一体化摄像机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红外筒型网络摄像机</w:t>
            </w:r>
            <w:r>
              <w:rPr>
                <w:rFonts w:hint="eastAsia" w:ascii="宋体" w:hAnsi="宋体" w:cs="宋体"/>
                <w:kern w:val="0"/>
                <w:szCs w:val="21"/>
                <w:lang w:bidi="ar"/>
              </w:rPr>
              <w:br w:type="textWrapping"/>
            </w:r>
            <w:r>
              <w:rPr>
                <w:rFonts w:hint="eastAsia" w:ascii="宋体" w:hAnsi="宋体" w:cs="宋体"/>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宋体" w:hAnsi="宋体" w:cs="宋体"/>
                <w:kern w:val="0"/>
                <w:szCs w:val="21"/>
                <w:lang w:bidi="ar"/>
              </w:rPr>
              <w:br w:type="textWrapping"/>
            </w:r>
            <w:r>
              <w:rPr>
                <w:rFonts w:hint="eastAsia" w:ascii="宋体" w:hAnsi="宋体" w:cs="宋体"/>
                <w:kern w:val="0"/>
                <w:szCs w:val="21"/>
                <w:lang w:bidi="ar"/>
              </w:rPr>
              <w:t>最低照度: 彩色：0.002 Lux @（F1.2，AGC ON），0 Lux with IR</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焦距&amp;视场角:  </w:t>
            </w:r>
            <w:r>
              <w:rPr>
                <w:rFonts w:hint="eastAsia" w:ascii="宋体" w:hAnsi="宋体" w:cs="宋体"/>
                <w:kern w:val="0"/>
                <w:szCs w:val="21"/>
                <w:lang w:bidi="ar"/>
              </w:rPr>
              <w:br w:type="textWrapping"/>
            </w:r>
            <w:r>
              <w:rPr>
                <w:rFonts w:hint="eastAsia" w:ascii="宋体" w:hAnsi="宋体" w:cs="宋体"/>
                <w:kern w:val="0"/>
                <w:szCs w:val="21"/>
                <w:lang w:bidi="ar"/>
              </w:rPr>
              <w:t>4 mm，水平视场角：87.6°，垂直视场角：44.4°，对角视场角：104.9°</w:t>
            </w:r>
            <w:r>
              <w:rPr>
                <w:rFonts w:hint="eastAsia" w:ascii="宋体" w:hAnsi="宋体" w:cs="宋体"/>
                <w:kern w:val="0"/>
                <w:szCs w:val="21"/>
                <w:lang w:bidi="ar"/>
              </w:rPr>
              <w:br w:type="textWrapping"/>
            </w:r>
            <w:r>
              <w:rPr>
                <w:rFonts w:hint="eastAsia" w:ascii="宋体" w:hAnsi="宋体" w:cs="宋体"/>
                <w:kern w:val="0"/>
                <w:szCs w:val="21"/>
                <w:lang w:bidi="ar"/>
              </w:rPr>
              <w:t>6 mm，水平视场角：53.9°，垂直视场角：28.8°，对角视场角：62.8°</w:t>
            </w:r>
            <w:r>
              <w:rPr>
                <w:rFonts w:hint="eastAsia" w:ascii="宋体" w:hAnsi="宋体" w:cs="宋体"/>
                <w:kern w:val="0"/>
                <w:szCs w:val="21"/>
                <w:lang w:bidi="ar"/>
              </w:rPr>
              <w:br w:type="textWrapping"/>
            </w:r>
            <w:r>
              <w:rPr>
                <w:rFonts w:hint="eastAsia" w:ascii="宋体" w:hAnsi="宋体" w:cs="宋体"/>
                <w:kern w:val="0"/>
                <w:szCs w:val="21"/>
                <w:lang w:bidi="ar"/>
              </w:rPr>
              <w:t>8 mm，水平视场角：40.9°，垂直视场角：22.5°，对角视场角：47.4°</w:t>
            </w:r>
            <w:r>
              <w:rPr>
                <w:rFonts w:hint="eastAsia" w:ascii="宋体" w:hAnsi="宋体" w:cs="宋体"/>
                <w:kern w:val="0"/>
                <w:szCs w:val="21"/>
                <w:lang w:bidi="ar"/>
              </w:rPr>
              <w:br w:type="textWrapping"/>
            </w:r>
            <w:r>
              <w:rPr>
                <w:rFonts w:hint="eastAsia" w:ascii="宋体" w:hAnsi="宋体" w:cs="宋体"/>
                <w:kern w:val="0"/>
                <w:szCs w:val="21"/>
                <w:lang w:bidi="ar"/>
              </w:rPr>
              <w:t>12 mm，水平视场角：25.4°，垂直视场角：14.4°，对角视场角：29.1°</w:t>
            </w:r>
            <w:r>
              <w:rPr>
                <w:rFonts w:hint="eastAsia" w:ascii="宋体" w:hAnsi="宋体" w:cs="宋体"/>
                <w:kern w:val="0"/>
                <w:szCs w:val="21"/>
                <w:lang w:bidi="ar"/>
              </w:rPr>
              <w:br w:type="textWrapping"/>
            </w:r>
            <w:r>
              <w:rPr>
                <w:rFonts w:hint="eastAsia" w:ascii="宋体" w:hAnsi="宋体" w:cs="宋体"/>
                <w:kern w:val="0"/>
                <w:szCs w:val="21"/>
                <w:lang w:bidi="ar"/>
              </w:rPr>
              <w:t>补光灯类型: 红外灯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红外波长范围: 850 nm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音频: 1个内置麦克风</w:t>
            </w:r>
            <w:r>
              <w:rPr>
                <w:rFonts w:hint="eastAsia" w:ascii="宋体" w:hAnsi="宋体" w:cs="宋体"/>
                <w:kern w:val="0"/>
                <w:szCs w:val="21"/>
                <w:lang w:bidi="ar"/>
              </w:rPr>
              <w:br w:type="textWrapping"/>
            </w:r>
            <w:r>
              <w:rPr>
                <w:rFonts w:hint="eastAsia" w:ascii="宋体" w:hAnsi="宋体" w:cs="宋体"/>
                <w:kern w:val="0"/>
                <w:szCs w:val="21"/>
                <w:lang w:bidi="ar"/>
              </w:rPr>
              <w:t>产品尺寸: 186.6 × 92.7 × 87.6 mm</w:t>
            </w:r>
            <w:r>
              <w:rPr>
                <w:rFonts w:hint="eastAsia" w:ascii="宋体" w:hAnsi="宋体" w:cs="宋体"/>
                <w:kern w:val="0"/>
                <w:szCs w:val="21"/>
                <w:lang w:bidi="ar"/>
              </w:rPr>
              <w:br w:type="textWrapping"/>
            </w:r>
            <w:r>
              <w:rPr>
                <w:rFonts w:hint="eastAsia" w:ascii="宋体" w:hAnsi="宋体" w:cs="宋体"/>
                <w:kern w:val="0"/>
                <w:szCs w:val="21"/>
                <w:lang w:bidi="ar"/>
              </w:rPr>
              <w:t>包装尺寸: 235 × 120 × 125 mm</w:t>
            </w:r>
            <w:r>
              <w:rPr>
                <w:rFonts w:hint="eastAsia" w:ascii="宋体" w:hAnsi="宋体" w:cs="宋体"/>
                <w:kern w:val="0"/>
                <w:szCs w:val="21"/>
                <w:lang w:bidi="ar"/>
              </w:rPr>
              <w:br w:type="textWrapping"/>
            </w:r>
            <w:r>
              <w:rPr>
                <w:rFonts w:hint="eastAsia" w:ascii="宋体" w:hAnsi="宋体" w:cs="宋体"/>
                <w:kern w:val="0"/>
                <w:szCs w:val="21"/>
                <w:lang w:bidi="ar"/>
              </w:rPr>
              <w:t>设备重量: 600 g</w:t>
            </w:r>
            <w:r>
              <w:rPr>
                <w:rFonts w:hint="eastAsia" w:ascii="宋体" w:hAnsi="宋体" w:cs="宋体"/>
                <w:kern w:val="0"/>
                <w:szCs w:val="21"/>
                <w:lang w:bidi="ar"/>
              </w:rPr>
              <w:br w:type="textWrapping"/>
            </w:r>
            <w:r>
              <w:rPr>
                <w:rFonts w:hint="eastAsia" w:ascii="宋体" w:hAnsi="宋体" w:cs="宋体"/>
                <w:kern w:val="0"/>
                <w:szCs w:val="21"/>
                <w:lang w:bidi="ar"/>
              </w:rPr>
              <w:t>带包装重量:  785 g</w:t>
            </w:r>
            <w:r>
              <w:rPr>
                <w:rFonts w:hint="eastAsia" w:ascii="宋体" w:hAnsi="宋体" w:cs="宋体"/>
                <w:kern w:val="0"/>
                <w:szCs w:val="21"/>
                <w:lang w:bidi="ar"/>
              </w:rPr>
              <w:br w:type="textWrapping"/>
            </w:r>
            <w:r>
              <w:rPr>
                <w:rFonts w:hint="eastAsia" w:ascii="宋体" w:hAnsi="宋体" w:cs="宋体"/>
                <w:kern w:val="0"/>
                <w:szCs w:val="21"/>
                <w:lang w:bidi="ar"/>
              </w:rPr>
              <w:t>启动和工作温湿度: -30 ℃~60 ℃，湿度小于95%（无凝结）</w:t>
            </w:r>
            <w:r>
              <w:rPr>
                <w:rFonts w:hint="eastAsia" w:ascii="宋体" w:hAnsi="宋体" w:cs="宋体"/>
                <w:kern w:val="0"/>
                <w:szCs w:val="21"/>
                <w:lang w:bidi="ar"/>
              </w:rPr>
              <w:br w:type="textWrapping"/>
            </w:r>
            <w:r>
              <w:rPr>
                <w:rFonts w:hint="eastAsia" w:ascii="宋体" w:hAnsi="宋体" w:cs="宋体"/>
                <w:kern w:val="0"/>
                <w:szCs w:val="21"/>
                <w:lang w:bidi="ar"/>
              </w:rPr>
              <w:t>电流及功耗: DC：12 V，0.41 A，最大功耗：5 W；PoE：802.3af，36 V~57 V，0.18 A~0.11 A，最大功耗：6.5 W</w:t>
            </w:r>
            <w:r>
              <w:rPr>
                <w:rFonts w:hint="eastAsia" w:ascii="宋体" w:hAnsi="宋体" w:cs="宋体"/>
                <w:kern w:val="0"/>
                <w:szCs w:val="21"/>
                <w:lang w:bidi="ar"/>
              </w:rPr>
              <w:br w:type="textWrapping"/>
            </w:r>
            <w:r>
              <w:rPr>
                <w:rFonts w:hint="eastAsia" w:ascii="宋体" w:hAnsi="宋体" w:cs="宋体"/>
                <w:kern w:val="0"/>
                <w:szCs w:val="21"/>
                <w:lang w:bidi="ar"/>
              </w:rPr>
              <w:t>供电方式: DC：12 V ± 25%，支持防反接保护；PoE：802.3af，Class 3</w:t>
            </w:r>
            <w:r>
              <w:rPr>
                <w:rFonts w:hint="eastAsia" w:ascii="宋体" w:hAnsi="宋体" w:cs="宋体"/>
                <w:kern w:val="0"/>
                <w:szCs w:val="21"/>
                <w:lang w:bidi="ar"/>
              </w:rPr>
              <w:br w:type="textWrapping"/>
            </w:r>
            <w:r>
              <w:rPr>
                <w:rFonts w:hint="eastAsia" w:ascii="宋体" w:hAnsi="宋体" w:cs="宋体"/>
                <w:kern w:val="0"/>
                <w:szCs w:val="21"/>
                <w:lang w:bidi="ar"/>
              </w:rPr>
              <w:t>电源接口类型: Ø5.5 mm圆口</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15 </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15 </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硬件规格：</w:t>
            </w:r>
            <w:r>
              <w:rPr>
                <w:rFonts w:hint="eastAsia" w:ascii="宋体" w:hAnsi="宋体" w:cs="宋体"/>
                <w:kern w:val="0"/>
                <w:szCs w:val="21"/>
                <w:lang w:bidi="ar"/>
              </w:rPr>
              <w:br w:type="textWrapping"/>
            </w:r>
            <w:r>
              <w:rPr>
                <w:rFonts w:hint="eastAsia" w:ascii="宋体" w:hAnsi="宋体" w:cs="宋体"/>
                <w:kern w:val="0"/>
                <w:szCs w:val="21"/>
                <w:lang w:bidi="ar"/>
              </w:rPr>
              <w:t>2U标准机架式</w:t>
            </w:r>
            <w:r>
              <w:rPr>
                <w:rFonts w:hint="eastAsia" w:ascii="宋体" w:hAnsi="宋体" w:cs="宋体"/>
                <w:kern w:val="0"/>
                <w:szCs w:val="21"/>
                <w:lang w:bidi="ar"/>
              </w:rPr>
              <w:br w:type="textWrapping"/>
            </w:r>
            <w:r>
              <w:rPr>
                <w:rFonts w:hint="eastAsia" w:ascii="宋体" w:hAnsi="宋体" w:cs="宋体"/>
                <w:kern w:val="0"/>
                <w:szCs w:val="21"/>
                <w:lang w:bidi="ar"/>
              </w:rPr>
              <w:t>2个HDMI，2个VGA,HDMI+VGA组内同源</w:t>
            </w:r>
            <w:r>
              <w:rPr>
                <w:rFonts w:hint="eastAsia" w:ascii="宋体" w:hAnsi="宋体" w:cs="宋体"/>
                <w:kern w:val="0"/>
                <w:szCs w:val="21"/>
                <w:lang w:bidi="ar"/>
              </w:rPr>
              <w:br w:type="textWrapping"/>
            </w:r>
            <w:r>
              <w:rPr>
                <w:rFonts w:hint="eastAsia" w:ascii="宋体" w:hAnsi="宋体" w:cs="宋体"/>
                <w:kern w:val="0"/>
                <w:szCs w:val="21"/>
                <w:lang w:bidi="ar"/>
              </w:rPr>
              <w:t xml:space="preserve">8盘位，可满配8T硬盘 </w:t>
            </w:r>
            <w:r>
              <w:rPr>
                <w:rFonts w:hint="eastAsia" w:ascii="宋体" w:hAnsi="宋体" w:cs="宋体"/>
                <w:kern w:val="0"/>
                <w:szCs w:val="21"/>
                <w:lang w:bidi="ar"/>
              </w:rPr>
              <w:br w:type="textWrapping"/>
            </w:r>
            <w:r>
              <w:rPr>
                <w:rFonts w:hint="eastAsia" w:ascii="宋体" w:hAnsi="宋体" w:cs="宋体"/>
                <w:kern w:val="0"/>
                <w:szCs w:val="21"/>
                <w:lang w:bidi="ar"/>
              </w:rPr>
              <w:t>2个千兆网口</w:t>
            </w:r>
            <w:r>
              <w:rPr>
                <w:rFonts w:hint="eastAsia" w:ascii="宋体" w:hAnsi="宋体" w:cs="宋体"/>
                <w:kern w:val="0"/>
                <w:szCs w:val="21"/>
                <w:lang w:bidi="ar"/>
              </w:rPr>
              <w:br w:type="textWrapping"/>
            </w:r>
            <w:r>
              <w:rPr>
                <w:rFonts w:hint="eastAsia" w:ascii="宋体" w:hAnsi="宋体" w:cs="宋体"/>
                <w:kern w:val="0"/>
                <w:szCs w:val="21"/>
                <w:lang w:bidi="ar"/>
              </w:rPr>
              <w:t>2个USB2.0接口、1个USB3.0接口</w:t>
            </w:r>
            <w:r>
              <w:rPr>
                <w:rFonts w:hint="eastAsia" w:ascii="宋体" w:hAnsi="宋体" w:cs="宋体"/>
                <w:kern w:val="0"/>
                <w:szCs w:val="21"/>
                <w:lang w:bidi="ar"/>
              </w:rPr>
              <w:br w:type="textWrapping"/>
            </w:r>
            <w:r>
              <w:rPr>
                <w:rFonts w:hint="eastAsia" w:ascii="宋体" w:hAnsi="宋体" w:cs="宋体"/>
                <w:kern w:val="0"/>
                <w:szCs w:val="21"/>
                <w:lang w:bidi="ar"/>
              </w:rPr>
              <w:t>1个eSATA接口</w:t>
            </w:r>
            <w:r>
              <w:rPr>
                <w:rFonts w:hint="eastAsia" w:ascii="宋体" w:hAnsi="宋体" w:cs="宋体"/>
                <w:kern w:val="0"/>
                <w:szCs w:val="21"/>
                <w:lang w:bidi="ar"/>
              </w:rPr>
              <w:br w:type="textWrapping"/>
            </w:r>
            <w:r>
              <w:rPr>
                <w:rFonts w:hint="eastAsia" w:ascii="宋体" w:hAnsi="宋体" w:cs="宋体"/>
                <w:kern w:val="0"/>
                <w:szCs w:val="21"/>
                <w:lang w:bidi="ar"/>
              </w:rPr>
              <w:t>支持RAID0、1、5、10，支持全局热备盘</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软件性能：</w:t>
            </w:r>
            <w:r>
              <w:rPr>
                <w:rFonts w:hint="eastAsia" w:ascii="宋体" w:hAnsi="宋体" w:cs="宋体"/>
                <w:kern w:val="0"/>
                <w:szCs w:val="21"/>
                <w:lang w:bidi="ar"/>
              </w:rPr>
              <w:br w:type="textWrapping"/>
            </w:r>
            <w:r>
              <w:rPr>
                <w:rFonts w:hint="eastAsia" w:ascii="宋体" w:hAnsi="宋体" w:cs="宋体"/>
                <w:kern w:val="0"/>
                <w:szCs w:val="21"/>
                <w:lang w:bidi="ar"/>
              </w:rPr>
              <w:t>输入带宽：256M</w:t>
            </w:r>
            <w:r>
              <w:rPr>
                <w:rFonts w:hint="eastAsia" w:ascii="宋体" w:hAnsi="宋体" w:cs="宋体"/>
                <w:kern w:val="0"/>
                <w:szCs w:val="21"/>
                <w:lang w:bidi="ar"/>
              </w:rPr>
              <w:br w:type="textWrapping"/>
            </w:r>
            <w:r>
              <w:rPr>
                <w:rFonts w:hint="eastAsia" w:ascii="宋体" w:hAnsi="宋体" w:cs="宋体"/>
                <w:kern w:val="0"/>
                <w:szCs w:val="21"/>
                <w:lang w:bidi="ar"/>
              </w:rPr>
              <w:t>64路H.264、H.265混合接入</w:t>
            </w:r>
            <w:r>
              <w:rPr>
                <w:rFonts w:hint="eastAsia" w:ascii="宋体" w:hAnsi="宋体" w:cs="宋体"/>
                <w:kern w:val="0"/>
                <w:szCs w:val="21"/>
                <w:lang w:bidi="ar"/>
              </w:rPr>
              <w:br w:type="textWrapping"/>
            </w:r>
            <w:r>
              <w:rPr>
                <w:rFonts w:hint="eastAsia" w:ascii="宋体" w:hAnsi="宋体" w:cs="宋体"/>
                <w:kern w:val="0"/>
                <w:szCs w:val="21"/>
                <w:lang w:bidi="ar"/>
              </w:rPr>
              <w:t>最大支持16×1080P解码</w:t>
            </w:r>
            <w:r>
              <w:rPr>
                <w:rFonts w:hint="eastAsia" w:ascii="宋体" w:hAnsi="宋体" w:cs="宋体"/>
                <w:kern w:val="0"/>
                <w:szCs w:val="21"/>
                <w:lang w:bidi="ar"/>
              </w:rPr>
              <w:br w:type="textWrapping"/>
            </w:r>
            <w:r>
              <w:rPr>
                <w:rFonts w:hint="eastAsia" w:ascii="宋体" w:hAnsi="宋体" w:cs="宋体"/>
                <w:kern w:val="0"/>
                <w:szCs w:val="21"/>
                <w:lang w:bidi="ar"/>
              </w:rPr>
              <w:t>支持H.265、H.264解码</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 HDD,8TB,7200RPM, 256MB, SATA 6Gb/s</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4 </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865"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网络</w:t>
            </w: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24口POE千兆交换机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≥52Gbps，转发性能 ≥38.7Mpps，，千兆电口≥24个，千兆光口≥2个；机架式支持POE供电</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8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大屏显示</w:t>
            </w:r>
          </w:p>
        </w:tc>
        <w:tc>
          <w:tcPr>
            <w:tcW w:w="723"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110寸交互式智能红外触控平板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触显参数：屏幕类型:DLED直下式，屏幕结构:工业级液晶屏，背光亮度:500cd/m²，面板分辨率:3840X2160，可视角度:178°，对比度:4500:1，透光率:98%，显示比例:16:9，响应时间:6ms，触控原理：红外触摸，触控点数:10点触控，识别精度:±1mm，定位精度:±1mm，扬声器:2x10W，防护玻璃:4mm，屏表硬度:莫氏度硬度8级，整机功耗:495W。</w:t>
            </w:r>
            <w:r>
              <w:rPr>
                <w:rFonts w:hint="eastAsia" w:ascii="宋体" w:hAnsi="宋体" w:cs="宋体"/>
                <w:kern w:val="0"/>
                <w:szCs w:val="21"/>
                <w:lang w:bidi="ar"/>
              </w:rPr>
              <w:br w:type="textWrapping"/>
            </w:r>
            <w:r>
              <w:rPr>
                <w:rFonts w:hint="eastAsia" w:ascii="宋体" w:hAnsi="宋体" w:cs="宋体"/>
                <w:kern w:val="0"/>
                <w:szCs w:val="21"/>
                <w:lang w:bidi="ar"/>
              </w:rPr>
              <w:t>系统参数：CPU型号:intel i5，内存:4G，硬盘:128G固态，WIFI:内置无线模块，操作系统:预装Win10，输出分辨率:1920x1080@60Hz，BIOS:支持上电开机/定制开机/远程开关机设备智能识别/网络唤醒。</w:t>
            </w:r>
            <w:r>
              <w:rPr>
                <w:rFonts w:hint="eastAsia" w:ascii="宋体" w:hAnsi="宋体" w:cs="宋体"/>
                <w:kern w:val="0"/>
                <w:szCs w:val="21"/>
                <w:lang w:bidi="ar"/>
              </w:rPr>
              <w:br w:type="textWrapping"/>
            </w:r>
            <w:r>
              <w:rPr>
                <w:rFonts w:hint="eastAsia" w:ascii="宋体" w:hAnsi="宋体" w:cs="宋体"/>
                <w:kern w:val="0"/>
                <w:szCs w:val="21"/>
                <w:lang w:bidi="ar"/>
              </w:rPr>
              <w:t>结构参数显示尺寸:2436mm*1370mm，外形尺寸:2504mm*1471mm*99mm，外壳材质:铝型材+钣金，外壳颜色:黑色。</w:t>
            </w:r>
            <w:r>
              <w:rPr>
                <w:rFonts w:hint="eastAsia" w:ascii="宋体" w:hAnsi="宋体" w:cs="宋体"/>
                <w:kern w:val="0"/>
                <w:szCs w:val="21"/>
                <w:lang w:bidi="ar"/>
              </w:rPr>
              <w:br w:type="textWrapping"/>
            </w:r>
            <w:r>
              <w:rPr>
                <w:rFonts w:hint="eastAsia" w:ascii="宋体" w:hAnsi="宋体" w:cs="宋体"/>
                <w:kern w:val="0"/>
                <w:szCs w:val="21"/>
                <w:lang w:bidi="ar"/>
              </w:rPr>
              <w:t>★采用风冷散热可自动感应根据温度自动调节散热方式,具有国家知识产权局出具的智能温控散热装置证明文件与附上国家知识产权局官网查询截图证明且在国家强制性节能产品政府采购品目清单内,提供节能产品政府采购品目官网链接截图证明。</w:t>
            </w:r>
            <w:r>
              <w:rPr>
                <w:rFonts w:hint="eastAsia" w:ascii="宋体" w:hAnsi="宋体" w:cs="宋体"/>
                <w:kern w:val="0"/>
                <w:szCs w:val="21"/>
                <w:lang w:bidi="ar"/>
              </w:rPr>
              <w:br w:type="textWrapping"/>
            </w:r>
            <w:r>
              <w:rPr>
                <w:rFonts w:hint="eastAsia" w:ascii="宋体" w:hAnsi="宋体" w:cs="宋体"/>
                <w:kern w:val="0"/>
                <w:szCs w:val="21"/>
                <w:lang w:bidi="ar"/>
              </w:rPr>
              <w:t>★可见光投射比≧89.89%，因磨耗引起的雾度≦1.30%，抗磨性能符合JC/T 2130-2012标准中的技术要求，报告中须体现适用于可显示及防护用途，具有国家级质量监督中心出具的检验报告及可查询的报告编号。</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海康威视、迈创、天景山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865"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湾头社区中心2楼LED屏</w:t>
            </w: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KL1.8室内全彩LED显示屏</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1.像素间距＜1.87mm，SMD1515 LED黑灯，像素密度≥289000点/㎡；</w:t>
            </w:r>
            <w:r>
              <w:rPr>
                <w:rFonts w:hint="eastAsia" w:ascii="宋体" w:hAnsi="宋体" w:cs="宋体"/>
                <w:kern w:val="0"/>
                <w:szCs w:val="21"/>
                <w:lang w:bidi="ar"/>
              </w:rPr>
              <w:br w:type="textWrapping"/>
            </w:r>
            <w:r>
              <w:rPr>
                <w:rFonts w:hint="eastAsia" w:ascii="宋体" w:hAnsi="宋体" w:cs="宋体"/>
                <w:kern w:val="0"/>
                <w:szCs w:val="21"/>
                <w:lang w:bidi="ar"/>
              </w:rPr>
              <w:t>2．显示屏宽不小于5.44米，高不小于2.52米，面积不小于13.7平方米，偏差范围不超过3％；</w:t>
            </w:r>
            <w:r>
              <w:rPr>
                <w:rFonts w:hint="eastAsia" w:ascii="宋体" w:hAnsi="宋体" w:cs="宋体"/>
                <w:kern w:val="0"/>
                <w:szCs w:val="21"/>
                <w:lang w:bidi="ar"/>
              </w:rPr>
              <w:br w:type="textWrapping"/>
            </w:r>
            <w:r>
              <w:rPr>
                <w:rFonts w:hint="eastAsia" w:ascii="宋体" w:hAnsi="宋体" w:cs="宋体"/>
                <w:kern w:val="0"/>
                <w:szCs w:val="21"/>
                <w:lang w:bidi="ar"/>
              </w:rPr>
              <w:t>3．箱体结构：16:9的压铸铝箱体，模组、电源、接收卡支持前维护，单元箱体重量≤6Kg；箱体厚度不超过65mm；</w:t>
            </w:r>
            <w:r>
              <w:rPr>
                <w:rFonts w:hint="eastAsia" w:ascii="宋体" w:hAnsi="宋体" w:cs="宋体"/>
                <w:kern w:val="0"/>
                <w:szCs w:val="21"/>
                <w:lang w:bidi="ar"/>
              </w:rPr>
              <w:br w:type="textWrapping"/>
            </w:r>
            <w:r>
              <w:rPr>
                <w:rFonts w:hint="eastAsia" w:ascii="宋体" w:hAnsi="宋体" w:cs="宋体"/>
                <w:kern w:val="0"/>
                <w:szCs w:val="21"/>
                <w:lang w:bidi="ar"/>
              </w:rPr>
              <w:t>4．禁止模组磁吸钢结构或模组托架安装方式；本项目要求单元箱体为所投品牌整机出货，不接受市场组装机，采用原厂整机出厂方式供货安装，箱体带有显示屏制造商logo；</w:t>
            </w:r>
            <w:r>
              <w:rPr>
                <w:rFonts w:hint="eastAsia" w:ascii="宋体" w:hAnsi="宋体" w:cs="宋体"/>
                <w:kern w:val="0"/>
                <w:szCs w:val="21"/>
                <w:lang w:bidi="ar"/>
              </w:rPr>
              <w:br w:type="textWrapping"/>
            </w:r>
            <w:r>
              <w:rPr>
                <w:rFonts w:hint="eastAsia" w:ascii="宋体" w:hAnsi="宋体" w:cs="宋体"/>
                <w:kern w:val="0"/>
                <w:szCs w:val="21"/>
                <w:lang w:bidi="ar"/>
              </w:rPr>
              <w:t>5．★为适应室内长期观看，显示屏校正后亮度或白平衡亮度≥800nit（0-255无级可调）；（提供具有ilac-MRA、CNAS、CMA标志的权威认证的第三方检测机构出具的报告复印件）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6．显示屏亮度均匀性≥98%,色准△E≤0.9，色域≥120%NTSC，灰度等级≥14bit；</w:t>
            </w:r>
            <w:r>
              <w:rPr>
                <w:rFonts w:hint="eastAsia" w:ascii="宋体" w:hAnsi="宋体" w:cs="宋体"/>
                <w:kern w:val="0"/>
                <w:szCs w:val="21"/>
                <w:lang w:bidi="ar"/>
              </w:rPr>
              <w:br w:type="textWrapping"/>
            </w:r>
            <w:r>
              <w:rPr>
                <w:rFonts w:hint="eastAsia" w:ascii="宋体" w:hAnsi="宋体" w:cs="宋体"/>
                <w:kern w:val="0"/>
                <w:szCs w:val="21"/>
                <w:lang w:bidi="ar"/>
              </w:rPr>
              <w:t>7．人眼视觉健康舒适度VICO指数达到1级，画面延时≤2ms；</w:t>
            </w:r>
            <w:r>
              <w:rPr>
                <w:rFonts w:hint="eastAsia" w:ascii="宋体" w:hAnsi="宋体" w:cs="宋体"/>
                <w:kern w:val="0"/>
                <w:szCs w:val="21"/>
                <w:lang w:bidi="ar"/>
              </w:rPr>
              <w:br w:type="textWrapping"/>
            </w:r>
            <w:r>
              <w:rPr>
                <w:rFonts w:hint="eastAsia" w:ascii="宋体" w:hAnsi="宋体" w:cs="宋体"/>
                <w:kern w:val="0"/>
                <w:szCs w:val="21"/>
                <w:lang w:bidi="ar"/>
              </w:rPr>
              <w:t>8．★为减少显示屏播放画面的卡顿感，使得画面更连贯、更流畅、更清晰，要求产品支持120HZ高帧率模式；（提供具有ilac-MRA、CNAS、CMA标志的权威认证的第三方检测机构出具的报告复印件）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9．采用高端驱动芯片，刷新率不低于3840Hz；</w:t>
            </w:r>
            <w:r>
              <w:rPr>
                <w:rFonts w:hint="eastAsia" w:ascii="宋体" w:hAnsi="宋体" w:cs="宋体"/>
                <w:kern w:val="0"/>
                <w:szCs w:val="21"/>
                <w:lang w:bidi="ar"/>
              </w:rPr>
              <w:br w:type="textWrapping"/>
            </w:r>
            <w:r>
              <w:rPr>
                <w:rFonts w:hint="eastAsia" w:ascii="宋体" w:hAnsi="宋体" w:cs="宋体"/>
                <w:kern w:val="0"/>
                <w:szCs w:val="21"/>
                <w:lang w:bidi="ar"/>
              </w:rPr>
              <w:t>10.★连续工作7*24小时无故障，平均故障修复时间（MTTR）：≤3分钟。（提供具有ilac-MRA、CNAS、CMA标志的权威认证的第三方检测机构出具的报告复印件）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11．显示屏支持模块级亮度、色度校正功能，校正数据可保存及回读；</w:t>
            </w:r>
            <w:r>
              <w:rPr>
                <w:rFonts w:hint="eastAsia" w:ascii="宋体" w:hAnsi="宋体" w:cs="宋体"/>
                <w:kern w:val="0"/>
                <w:szCs w:val="21"/>
                <w:lang w:bidi="ar"/>
              </w:rPr>
              <w:br w:type="textWrapping"/>
            </w:r>
            <w:r>
              <w:rPr>
                <w:rFonts w:hint="eastAsia" w:ascii="宋体" w:hAnsi="宋体" w:cs="宋体"/>
                <w:kern w:val="0"/>
                <w:szCs w:val="21"/>
                <w:lang w:bidi="ar"/>
              </w:rPr>
              <w:t>12．产品峰值功耗：≤520W/㎡，平均功耗：≤174W/㎡，单元板功率≤18.06W；</w:t>
            </w:r>
            <w:r>
              <w:rPr>
                <w:rFonts w:hint="eastAsia" w:ascii="宋体" w:hAnsi="宋体" w:cs="宋体"/>
                <w:kern w:val="0"/>
                <w:szCs w:val="21"/>
                <w:lang w:bidi="ar"/>
              </w:rPr>
              <w:br w:type="textWrapping"/>
            </w:r>
            <w:r>
              <w:rPr>
                <w:rFonts w:hint="eastAsia" w:ascii="宋体" w:hAnsi="宋体" w:cs="宋体"/>
                <w:kern w:val="0"/>
                <w:szCs w:val="21"/>
                <w:lang w:bidi="ar"/>
              </w:rPr>
              <w:t>13.具有智能节电技术，能源效率值≥3cd/W，睡眠模式下功率密度≤125W/㎡；（提供具有ilac-MRA、CNAS、CMA标志的权威认证的第三方检测机构出具的报告复印件）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14．显示屏具备防眩光黑色电喷工艺，表面墨色一致性和散热性能好；支持对色彩及亮度自动调整，保持色彩亮度一致性。</w:t>
            </w:r>
            <w:r>
              <w:rPr>
                <w:rFonts w:hint="eastAsia" w:ascii="宋体" w:hAnsi="宋体" w:cs="宋体"/>
                <w:kern w:val="0"/>
                <w:szCs w:val="21"/>
                <w:lang w:bidi="ar"/>
              </w:rPr>
              <w:br w:type="textWrapping"/>
            </w:r>
            <w:r>
              <w:rPr>
                <w:rFonts w:hint="eastAsia" w:ascii="宋体" w:hAnsi="宋体" w:cs="宋体"/>
                <w:kern w:val="0"/>
                <w:szCs w:val="21"/>
                <w:lang w:bidi="ar"/>
              </w:rPr>
              <w:t>15．★为保证良好的观看体验，屏体前后左右方工作噪声声压dBA（距离1米）均≤3.5dB；（提供具有ilac-MRA、CNAS、CMA标志的权威认证的第三方检测机构出具的报告复印件）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16．产品盐雾试验符合盐雾10级要求，抗震等级满足8级要求，产品PCB、塑胶件、内部线材防火测试均满足V-0测试要求；</w:t>
            </w:r>
            <w:r>
              <w:rPr>
                <w:rFonts w:hint="eastAsia" w:ascii="宋体" w:hAnsi="宋体" w:cs="宋体"/>
                <w:kern w:val="0"/>
                <w:szCs w:val="21"/>
                <w:lang w:bidi="ar"/>
              </w:rPr>
              <w:br w:type="textWrapping"/>
            </w:r>
            <w:r>
              <w:rPr>
                <w:rFonts w:hint="eastAsia" w:ascii="宋体" w:hAnsi="宋体" w:cs="宋体"/>
                <w:kern w:val="0"/>
                <w:szCs w:val="21"/>
                <w:lang w:bidi="ar"/>
              </w:rPr>
              <w:t>17．★产品通过防火测试：满足BS476-7表面燃烧测试1级标准；燃烧烟气毒测试满足R值≤1。（提供具有ilac-MRA、CNAS、CMA标志的权威认证的第三方检测机构出具的报告复印件）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18．★产品支持1024级γ自动调整，通过构造非线性校正曲线和色坐标变换系数矩阵实现显示效果的不断改善，各项重要指标如色彩还原性、色温调节范围、亮度均匀性、色度均匀性、刷新率、换帧频率等均符合广电级标准；（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19.箱体支持1+1电源、接收卡冗余热备份功能，保证任一链路断开或硬件故障都不影响显示；</w:t>
            </w:r>
            <w:r>
              <w:rPr>
                <w:rFonts w:hint="eastAsia" w:ascii="宋体" w:hAnsi="宋体" w:cs="宋体"/>
                <w:kern w:val="0"/>
                <w:szCs w:val="21"/>
                <w:lang w:bidi="ar"/>
              </w:rPr>
              <w:br w:type="textWrapping"/>
            </w:r>
            <w:r>
              <w:rPr>
                <w:rFonts w:hint="eastAsia" w:ascii="宋体" w:hAnsi="宋体" w:cs="宋体"/>
                <w:kern w:val="0"/>
                <w:szCs w:val="21"/>
                <w:lang w:bidi="ar"/>
              </w:rPr>
              <w:t>20.产品满足基于GB 4943.1-2011标准下的温升测试，最大亮度连续工作2小时后，表面温升＜10K；（提供具有ilac-MRA、CNAS、CMA标志的权威认证的第三方检测机构出具的报告复印件）</w:t>
            </w:r>
            <w:r>
              <w:rPr>
                <w:rFonts w:hint="eastAsia" w:ascii="宋体" w:hAnsi="宋体" w:cs="宋体"/>
                <w:kern w:val="0"/>
                <w:szCs w:val="21"/>
                <w:lang w:bidi="ar"/>
              </w:rPr>
              <w:br w:type="textWrapping"/>
            </w:r>
            <w:r>
              <w:rPr>
                <w:rFonts w:hint="eastAsia" w:ascii="宋体" w:hAnsi="宋体" w:cs="宋体"/>
                <w:kern w:val="0"/>
                <w:szCs w:val="21"/>
                <w:lang w:bidi="ar"/>
              </w:rPr>
              <w:t>21.产品防尘性能满足IP6X防护等级要求，防水性能满足IPX5防护等级要求。（提供具有ilac-MRA、CNAS、CMA标志的权威认证的第三方检测机构出具的报告复印件）</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13.7</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艾比森  、Leyard（北京）、Daktronics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视频处理器</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1.支持常见的视频接口，包括1路3G-SDI，2路HDMI1.3，1路DVI，1路选配VGA子卡。</w:t>
            </w:r>
            <w:r>
              <w:rPr>
                <w:rFonts w:hint="eastAsia" w:ascii="宋体" w:hAnsi="宋体" w:cs="宋体"/>
                <w:kern w:val="0"/>
                <w:szCs w:val="21"/>
                <w:lang w:bidi="ar"/>
              </w:rPr>
              <w:br w:type="textWrapping"/>
            </w:r>
            <w:r>
              <w:rPr>
                <w:rFonts w:hint="eastAsia" w:ascii="宋体" w:hAnsi="宋体" w:cs="宋体"/>
                <w:kern w:val="0"/>
                <w:szCs w:val="21"/>
                <w:lang w:bidi="ar"/>
              </w:rPr>
              <w:t>2.支持选配投屏输入子卡2.0，子卡支持AP/WIFI无线模式，可实现手机，电脑的无线投屏和U盘播放。</w:t>
            </w:r>
            <w:r>
              <w:rPr>
                <w:rFonts w:hint="eastAsia" w:ascii="宋体" w:hAnsi="宋体" w:cs="宋体"/>
                <w:kern w:val="0"/>
                <w:szCs w:val="21"/>
                <w:lang w:bidi="ar"/>
              </w:rPr>
              <w:br w:type="textWrapping"/>
            </w:r>
            <w:r>
              <w:rPr>
                <w:rFonts w:hint="eastAsia" w:ascii="宋体" w:hAnsi="宋体" w:cs="宋体"/>
                <w:kern w:val="0"/>
                <w:szCs w:val="21"/>
                <w:lang w:bidi="ar"/>
              </w:rPr>
              <w:t>3.支持3个窗口和1路OSD。</w:t>
            </w:r>
            <w:r>
              <w:rPr>
                <w:rFonts w:hint="eastAsia" w:ascii="宋体" w:hAnsi="宋体" w:cs="宋体"/>
                <w:kern w:val="0"/>
                <w:szCs w:val="21"/>
                <w:lang w:bidi="ar"/>
              </w:rPr>
              <w:br w:type="textWrapping"/>
            </w:r>
            <w:r>
              <w:rPr>
                <w:rFonts w:hint="eastAsia" w:ascii="宋体" w:hAnsi="宋体" w:cs="宋体"/>
                <w:kern w:val="0"/>
                <w:szCs w:val="21"/>
                <w:lang w:bidi="ar"/>
              </w:rPr>
              <w:t>4.支持快捷配屏和高级配屏功能。</w:t>
            </w:r>
            <w:r>
              <w:rPr>
                <w:rFonts w:hint="eastAsia" w:ascii="宋体" w:hAnsi="宋体" w:cs="宋体"/>
                <w:kern w:val="0"/>
                <w:szCs w:val="21"/>
                <w:lang w:bidi="ar"/>
              </w:rPr>
              <w:br w:type="textWrapping"/>
            </w:r>
            <w:r>
              <w:rPr>
                <w:rFonts w:hint="eastAsia" w:ascii="宋体" w:hAnsi="宋体" w:cs="宋体"/>
                <w:kern w:val="0"/>
                <w:szCs w:val="21"/>
                <w:lang w:bidi="ar"/>
              </w:rPr>
              <w:t>5.支持HDMI、DVI输入分辨率自定义调节。</w:t>
            </w:r>
            <w:r>
              <w:rPr>
                <w:rFonts w:hint="eastAsia" w:ascii="宋体" w:hAnsi="宋体" w:cs="宋体"/>
                <w:kern w:val="0"/>
                <w:szCs w:val="21"/>
                <w:lang w:bidi="ar"/>
              </w:rPr>
              <w:br w:type="textWrapping"/>
            </w:r>
            <w:r>
              <w:rPr>
                <w:rFonts w:hint="eastAsia" w:ascii="宋体" w:hAnsi="宋体" w:cs="宋体"/>
                <w:kern w:val="0"/>
                <w:szCs w:val="21"/>
                <w:lang w:bidi="ar"/>
              </w:rPr>
              <w:t>6.支持设备间备份设置。</w:t>
            </w:r>
            <w:r>
              <w:rPr>
                <w:rFonts w:hint="eastAsia" w:ascii="宋体" w:hAnsi="宋体" w:cs="宋体"/>
                <w:kern w:val="0"/>
                <w:szCs w:val="21"/>
                <w:lang w:bidi="ar"/>
              </w:rPr>
              <w:br w:type="textWrapping"/>
            </w:r>
            <w:r>
              <w:rPr>
                <w:rFonts w:hint="eastAsia" w:ascii="宋体" w:hAnsi="宋体" w:cs="宋体"/>
                <w:kern w:val="0"/>
                <w:szCs w:val="21"/>
                <w:lang w:bidi="ar"/>
              </w:rPr>
              <w:t>7.视频输出最大带载高达500万像素。</w:t>
            </w:r>
            <w:r>
              <w:rPr>
                <w:rFonts w:hint="eastAsia" w:ascii="宋体" w:hAnsi="宋体" w:cs="宋体"/>
                <w:kern w:val="0"/>
                <w:szCs w:val="21"/>
                <w:lang w:bidi="ar"/>
              </w:rPr>
              <w:br w:type="textWrapping"/>
            </w:r>
            <w:r>
              <w:rPr>
                <w:rFonts w:hint="eastAsia" w:ascii="宋体" w:hAnsi="宋体" w:cs="宋体"/>
                <w:kern w:val="0"/>
                <w:szCs w:val="21"/>
                <w:lang w:bidi="ar"/>
              </w:rPr>
              <w:t>8.支持一键将优先级最低的窗口全屏自动缩放，增强产品实用性能。</w:t>
            </w:r>
            <w:r>
              <w:rPr>
                <w:rFonts w:hint="eastAsia" w:ascii="宋体" w:hAnsi="宋体" w:cs="宋体"/>
                <w:kern w:val="0"/>
                <w:szCs w:val="21"/>
                <w:lang w:bidi="ar"/>
              </w:rPr>
              <w:br w:type="textWrapping"/>
            </w:r>
            <w:r>
              <w:rPr>
                <w:rFonts w:hint="eastAsia" w:ascii="宋体" w:hAnsi="宋体" w:cs="宋体"/>
                <w:kern w:val="0"/>
                <w:szCs w:val="21"/>
                <w:lang w:bidi="ar"/>
              </w:rPr>
              <w:t>9.支持创建10个用户场景作为模板保存，方便使用。</w:t>
            </w:r>
            <w:r>
              <w:rPr>
                <w:rFonts w:hint="eastAsia" w:ascii="宋体" w:hAnsi="宋体" w:cs="宋体"/>
                <w:kern w:val="0"/>
                <w:szCs w:val="21"/>
                <w:lang w:bidi="ar"/>
              </w:rPr>
              <w:br w:type="textWrapping"/>
            </w:r>
            <w:r>
              <w:rPr>
                <w:rFonts w:hint="eastAsia" w:ascii="宋体" w:hAnsi="宋体" w:cs="宋体"/>
                <w:kern w:val="0"/>
                <w:szCs w:val="21"/>
                <w:lang w:bidi="ar"/>
              </w:rPr>
              <w:t>10.扩展子卡支持AP+WiFi无线模式，可实现手机，电脑的无线投屏。</w:t>
            </w:r>
            <w:r>
              <w:rPr>
                <w:rFonts w:hint="eastAsia" w:ascii="宋体" w:hAnsi="宋体" w:cs="宋体"/>
                <w:kern w:val="0"/>
                <w:szCs w:val="21"/>
                <w:lang w:bidi="ar"/>
              </w:rPr>
              <w:br w:type="textWrapping"/>
            </w:r>
            <w:r>
              <w:rPr>
                <w:rFonts w:hint="eastAsia" w:ascii="宋体" w:hAnsi="宋体" w:cs="宋体"/>
                <w:kern w:val="0"/>
                <w:szCs w:val="21"/>
                <w:lang w:bidi="ar"/>
              </w:rPr>
              <w:t>11.支持创建10个用户场景作为模板保存，方便使用。</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诺瓦  卡莱特 凯视达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控制软件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（1).直接方便排版、输入、设置字体、颜色、大小、显示动画方式、播放时间等等参数。可以方便的播放几乎所有的多媒体、动画、图画、文本等格式文件。 </w:t>
            </w:r>
            <w:r>
              <w:rPr>
                <w:rFonts w:hint="eastAsia" w:ascii="宋体" w:hAnsi="宋体" w:cs="宋体"/>
                <w:kern w:val="0"/>
                <w:szCs w:val="21"/>
                <w:lang w:bidi="ar"/>
              </w:rPr>
              <w:br w:type="textWrapping"/>
            </w:r>
            <w:r>
              <w:rPr>
                <w:rFonts w:hint="eastAsia" w:ascii="宋体" w:hAnsi="宋体" w:cs="宋体"/>
                <w:kern w:val="0"/>
                <w:szCs w:val="21"/>
                <w:lang w:bidi="ar"/>
              </w:rPr>
              <w:t xml:space="preserve">  (2).屏幕任意开多个小窗口，独立排版、编辑、显示效果，多个窗口组合成整体的界面。每个窗口文件独立显示，支持多种的字体颜色、动画显示方式、及调节速度。 方式：随机方式、立即显示。</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电路控制系统</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漏电保护，定时开关机</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安装售后</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专业安装及调试</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13.7</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钢结构</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定制结构、框架，包边，满足屏体安装使用需求，用材符合国家标准；</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13.7</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865"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湾头社区中心监控平台</w:t>
            </w: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视频综合管理平台</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负责本级平台视频资源、视频服务组件、智能分析服务的管理、配置和认证服务提供各种任务计划服务，设备校时，存储系统校时、设备重启、服务重启、监控点批量复位的自动化管理服务</w:t>
            </w:r>
            <w:r>
              <w:rPr>
                <w:rFonts w:hint="eastAsia" w:ascii="宋体" w:hAnsi="宋体" w:cs="宋体"/>
                <w:kern w:val="0"/>
                <w:szCs w:val="21"/>
                <w:lang w:bidi="ar"/>
              </w:rPr>
              <w:br w:type="textWrapping"/>
            </w:r>
            <w:r>
              <w:rPr>
                <w:rFonts w:hint="eastAsia" w:ascii="宋体" w:hAnsi="宋体" w:cs="宋体"/>
                <w:kern w:val="0"/>
                <w:szCs w:val="21"/>
                <w:lang w:bidi="ar"/>
              </w:rPr>
              <w:t>提供B/S客户端，C/S客户端，移动客户端的信息获取和消息转发服务</w:t>
            </w:r>
            <w:r>
              <w:rPr>
                <w:rFonts w:hint="eastAsia" w:ascii="宋体" w:hAnsi="宋体" w:cs="宋体"/>
                <w:kern w:val="0"/>
                <w:szCs w:val="21"/>
                <w:lang w:bidi="ar"/>
              </w:rPr>
              <w:br w:type="textWrapping"/>
            </w:r>
            <w:r>
              <w:rPr>
                <w:rFonts w:hint="eastAsia" w:ascii="宋体" w:hAnsi="宋体" w:cs="宋体"/>
                <w:kern w:val="0"/>
                <w:szCs w:val="21"/>
                <w:lang w:bidi="ar"/>
              </w:rPr>
              <w:t>提供多网域管理服务，支持平台跨网域访问；</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路</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300</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海康威视、大华、英飞拓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中心管理服务器</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4210×2/64G DDR4/600G 10K  SAS×4(RAID_1)/SAS_HBA/1GbE×2+10GbE×2/550W(1+1)/2U/16DIMM</w:t>
            </w:r>
            <w:r>
              <w:rPr>
                <w:rFonts w:hint="eastAsia" w:ascii="宋体" w:hAnsi="宋体" w:cs="宋体"/>
                <w:kern w:val="0"/>
                <w:szCs w:val="21"/>
                <w:lang w:bidi="ar"/>
              </w:rPr>
              <w:br w:type="textWrapping"/>
            </w:r>
            <w:r>
              <w:rPr>
                <w:rFonts w:hint="eastAsia" w:ascii="宋体" w:hAnsi="宋体" w:cs="宋体"/>
                <w:kern w:val="0"/>
                <w:szCs w:val="21"/>
                <w:lang w:bidi="ar"/>
              </w:rPr>
              <w:t>2U双路标准机架式服务器</w:t>
            </w:r>
            <w:r>
              <w:rPr>
                <w:rFonts w:hint="eastAsia" w:ascii="宋体" w:hAnsi="宋体" w:cs="宋体"/>
                <w:kern w:val="0"/>
                <w:szCs w:val="21"/>
                <w:lang w:bidi="ar"/>
              </w:rPr>
              <w:br w:type="textWrapping"/>
            </w:r>
            <w:r>
              <w:rPr>
                <w:rFonts w:hint="eastAsia" w:ascii="宋体" w:hAnsi="宋体" w:cs="宋体"/>
                <w:kern w:val="0"/>
                <w:szCs w:val="21"/>
                <w:lang w:bidi="ar"/>
              </w:rPr>
              <w:t>CPU：2颗intel至强系列处理器，核数≥10核，主频≥2.2GHz</w:t>
            </w:r>
            <w:r>
              <w:rPr>
                <w:rFonts w:hint="eastAsia" w:ascii="宋体" w:hAnsi="宋体" w:cs="宋体"/>
                <w:kern w:val="0"/>
                <w:szCs w:val="21"/>
                <w:lang w:bidi="ar"/>
              </w:rPr>
              <w:br w:type="textWrapping"/>
            </w:r>
            <w:r>
              <w:rPr>
                <w:rFonts w:hint="eastAsia" w:ascii="宋体" w:hAnsi="宋体" w:cs="宋体"/>
                <w:kern w:val="0"/>
                <w:szCs w:val="21"/>
                <w:lang w:bidi="ar"/>
              </w:rPr>
              <w:t>内存：64G DDR4，16根内存插槽，最大支持扩展至2TB内存</w:t>
            </w:r>
            <w:r>
              <w:rPr>
                <w:rFonts w:hint="eastAsia" w:ascii="宋体" w:hAnsi="宋体" w:cs="宋体"/>
                <w:kern w:val="0"/>
                <w:szCs w:val="21"/>
                <w:lang w:bidi="ar"/>
              </w:rPr>
              <w:br w:type="textWrapping"/>
            </w:r>
            <w:r>
              <w:rPr>
                <w:rFonts w:hint="eastAsia" w:ascii="宋体" w:hAnsi="宋体" w:cs="宋体"/>
                <w:kern w:val="0"/>
                <w:szCs w:val="21"/>
                <w:lang w:bidi="ar"/>
              </w:rPr>
              <w:t>硬盘：4块600G 10K 2.5寸 SAS硬盘</w:t>
            </w:r>
            <w:r>
              <w:rPr>
                <w:rFonts w:hint="eastAsia" w:ascii="宋体" w:hAnsi="宋体" w:cs="宋体"/>
                <w:kern w:val="0"/>
                <w:szCs w:val="21"/>
                <w:lang w:bidi="ar"/>
              </w:rPr>
              <w:br w:type="textWrapping"/>
            </w:r>
            <w:r>
              <w:rPr>
                <w:rFonts w:hint="eastAsia" w:ascii="宋体" w:hAnsi="宋体" w:cs="宋体"/>
                <w:kern w:val="0"/>
                <w:szCs w:val="21"/>
                <w:lang w:bidi="ar"/>
              </w:rPr>
              <w:t>阵列卡：SAS_HBA卡, 支持RAID 0/1/10</w:t>
            </w:r>
            <w:r>
              <w:rPr>
                <w:rFonts w:hint="eastAsia" w:ascii="宋体" w:hAnsi="宋体" w:cs="宋体"/>
                <w:kern w:val="0"/>
                <w:szCs w:val="21"/>
                <w:lang w:bidi="ar"/>
              </w:rPr>
              <w:br w:type="textWrapping"/>
            </w:r>
            <w:r>
              <w:rPr>
                <w:rFonts w:hint="eastAsia" w:ascii="宋体" w:hAnsi="宋体" w:cs="宋体"/>
                <w:kern w:val="0"/>
                <w:szCs w:val="21"/>
                <w:lang w:bidi="ar"/>
              </w:rPr>
              <w:t>PCIE扩展：最大可支持6个PCIE扩展插槽</w:t>
            </w:r>
            <w:r>
              <w:rPr>
                <w:rFonts w:hint="eastAsia" w:ascii="宋体" w:hAnsi="宋体" w:cs="宋体"/>
                <w:kern w:val="0"/>
                <w:szCs w:val="21"/>
                <w:lang w:bidi="ar"/>
              </w:rPr>
              <w:br w:type="textWrapping"/>
            </w:r>
            <w:r>
              <w:rPr>
                <w:rFonts w:hint="eastAsia" w:ascii="宋体" w:hAnsi="宋体" w:cs="宋体"/>
                <w:kern w:val="0"/>
                <w:szCs w:val="21"/>
                <w:lang w:bidi="ar"/>
              </w:rPr>
              <w:t>网口：2个千兆电口，2个万兆光口</w:t>
            </w:r>
            <w:r>
              <w:rPr>
                <w:rFonts w:hint="eastAsia" w:ascii="宋体" w:hAnsi="宋体" w:cs="宋体"/>
                <w:kern w:val="0"/>
                <w:szCs w:val="21"/>
                <w:lang w:bidi="ar"/>
              </w:rPr>
              <w:br w:type="textWrapping"/>
            </w:r>
            <w:r>
              <w:rPr>
                <w:rFonts w:hint="eastAsia" w:ascii="宋体" w:hAnsi="宋体" w:cs="宋体"/>
                <w:kern w:val="0"/>
                <w:szCs w:val="21"/>
                <w:lang w:bidi="ar"/>
              </w:rPr>
              <w:t>其他接口：1个RJ45管理接口，后置2个USB 3.0接口，前置2个USB2.0接口，1个VGA接口</w:t>
            </w:r>
            <w:r>
              <w:rPr>
                <w:rFonts w:hint="eastAsia" w:ascii="宋体" w:hAnsi="宋体" w:cs="宋体"/>
                <w:kern w:val="0"/>
                <w:szCs w:val="21"/>
                <w:lang w:bidi="ar"/>
              </w:rPr>
              <w:br w:type="textWrapping"/>
            </w:r>
            <w:r>
              <w:rPr>
                <w:rFonts w:hint="eastAsia" w:ascii="宋体" w:hAnsi="宋体" w:cs="宋体"/>
                <w:kern w:val="0"/>
                <w:szCs w:val="21"/>
                <w:lang w:bidi="ar"/>
              </w:rPr>
              <w:t xml:space="preserve">电源：标配550W（1+1）高效铂金CRPS冗余电源 </w:t>
            </w:r>
            <w:r>
              <w:rPr>
                <w:rFonts w:hint="eastAsia" w:ascii="宋体" w:hAnsi="宋体" w:cs="宋体"/>
                <w:kern w:val="0"/>
                <w:szCs w:val="21"/>
                <w:lang w:bidi="ar"/>
              </w:rPr>
              <w:br w:type="textWrapping"/>
            </w:r>
            <w:r>
              <w:rPr>
                <w:rFonts w:hint="eastAsia" w:ascii="宋体" w:hAnsi="宋体" w:cs="宋体"/>
                <w:kern w:val="0"/>
                <w:szCs w:val="21"/>
                <w:lang w:bidi="ar"/>
              </w:rPr>
              <w:t>机箱规格：87.8mm(高)x 448mm(宽)x729.8mm(深)</w:t>
            </w:r>
            <w:r>
              <w:rPr>
                <w:rFonts w:hint="eastAsia" w:ascii="宋体" w:hAnsi="宋体" w:cs="宋体"/>
                <w:kern w:val="0"/>
                <w:szCs w:val="21"/>
                <w:lang w:bidi="ar"/>
              </w:rPr>
              <w:br w:type="textWrapping"/>
            </w:r>
            <w:r>
              <w:rPr>
                <w:rFonts w:hint="eastAsia" w:ascii="宋体" w:hAnsi="宋体" w:cs="宋体"/>
                <w:kern w:val="0"/>
                <w:szCs w:val="21"/>
                <w:lang w:bidi="ar"/>
              </w:rPr>
              <w:t>设备重量：约26KG（含导轨）</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华为、H3C、戴尔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数据库服务器</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4210×2/64G DDR4/600G 10K  SAS×4(RAID_1)/SAS_HBA/1GbE×2+10GbE×2/550W(1+1)/2U/16DIMM</w:t>
            </w:r>
            <w:r>
              <w:rPr>
                <w:rFonts w:hint="eastAsia" w:ascii="宋体" w:hAnsi="宋体" w:cs="宋体"/>
                <w:kern w:val="0"/>
                <w:szCs w:val="21"/>
                <w:lang w:bidi="ar"/>
              </w:rPr>
              <w:br w:type="textWrapping"/>
            </w:r>
            <w:r>
              <w:rPr>
                <w:rFonts w:hint="eastAsia" w:ascii="宋体" w:hAnsi="宋体" w:cs="宋体"/>
                <w:kern w:val="0"/>
                <w:szCs w:val="21"/>
                <w:lang w:bidi="ar"/>
              </w:rPr>
              <w:t>2U双路标准机架式服务器</w:t>
            </w:r>
            <w:r>
              <w:rPr>
                <w:rFonts w:hint="eastAsia" w:ascii="宋体" w:hAnsi="宋体" w:cs="宋体"/>
                <w:kern w:val="0"/>
                <w:szCs w:val="21"/>
                <w:lang w:bidi="ar"/>
              </w:rPr>
              <w:br w:type="textWrapping"/>
            </w:r>
            <w:r>
              <w:rPr>
                <w:rFonts w:hint="eastAsia" w:ascii="宋体" w:hAnsi="宋体" w:cs="宋体"/>
                <w:kern w:val="0"/>
                <w:szCs w:val="21"/>
                <w:lang w:bidi="ar"/>
              </w:rPr>
              <w:t>CPU：2颗intel至强系列处理器，核数≥10核，主频≥2.2GHz</w:t>
            </w:r>
            <w:r>
              <w:rPr>
                <w:rFonts w:hint="eastAsia" w:ascii="宋体" w:hAnsi="宋体" w:cs="宋体"/>
                <w:kern w:val="0"/>
                <w:szCs w:val="21"/>
                <w:lang w:bidi="ar"/>
              </w:rPr>
              <w:br w:type="textWrapping"/>
            </w:r>
            <w:r>
              <w:rPr>
                <w:rFonts w:hint="eastAsia" w:ascii="宋体" w:hAnsi="宋体" w:cs="宋体"/>
                <w:kern w:val="0"/>
                <w:szCs w:val="21"/>
                <w:lang w:bidi="ar"/>
              </w:rPr>
              <w:t>内存：64G DDR4，16根内存插槽，最大支持扩展至2TB内存</w:t>
            </w:r>
            <w:r>
              <w:rPr>
                <w:rFonts w:hint="eastAsia" w:ascii="宋体" w:hAnsi="宋体" w:cs="宋体"/>
                <w:kern w:val="0"/>
                <w:szCs w:val="21"/>
                <w:lang w:bidi="ar"/>
              </w:rPr>
              <w:br w:type="textWrapping"/>
            </w:r>
            <w:r>
              <w:rPr>
                <w:rFonts w:hint="eastAsia" w:ascii="宋体" w:hAnsi="宋体" w:cs="宋体"/>
                <w:kern w:val="0"/>
                <w:szCs w:val="21"/>
                <w:lang w:bidi="ar"/>
              </w:rPr>
              <w:t>硬盘：4块600G 10K 2.5寸 SAS硬盘</w:t>
            </w:r>
            <w:r>
              <w:rPr>
                <w:rFonts w:hint="eastAsia" w:ascii="宋体" w:hAnsi="宋体" w:cs="宋体"/>
                <w:kern w:val="0"/>
                <w:szCs w:val="21"/>
                <w:lang w:bidi="ar"/>
              </w:rPr>
              <w:br w:type="textWrapping"/>
            </w:r>
            <w:r>
              <w:rPr>
                <w:rFonts w:hint="eastAsia" w:ascii="宋体" w:hAnsi="宋体" w:cs="宋体"/>
                <w:kern w:val="0"/>
                <w:szCs w:val="21"/>
                <w:lang w:bidi="ar"/>
              </w:rPr>
              <w:t>阵列卡：SAS_HBA卡, 支持RAID 0/1/10</w:t>
            </w:r>
            <w:r>
              <w:rPr>
                <w:rFonts w:hint="eastAsia" w:ascii="宋体" w:hAnsi="宋体" w:cs="宋体"/>
                <w:kern w:val="0"/>
                <w:szCs w:val="21"/>
                <w:lang w:bidi="ar"/>
              </w:rPr>
              <w:br w:type="textWrapping"/>
            </w:r>
            <w:r>
              <w:rPr>
                <w:rFonts w:hint="eastAsia" w:ascii="宋体" w:hAnsi="宋体" w:cs="宋体"/>
                <w:kern w:val="0"/>
                <w:szCs w:val="21"/>
                <w:lang w:bidi="ar"/>
              </w:rPr>
              <w:t>PCIE扩展：最大可支持6个PCIE扩展插槽</w:t>
            </w:r>
            <w:r>
              <w:rPr>
                <w:rFonts w:hint="eastAsia" w:ascii="宋体" w:hAnsi="宋体" w:cs="宋体"/>
                <w:kern w:val="0"/>
                <w:szCs w:val="21"/>
                <w:lang w:bidi="ar"/>
              </w:rPr>
              <w:br w:type="textWrapping"/>
            </w:r>
            <w:r>
              <w:rPr>
                <w:rFonts w:hint="eastAsia" w:ascii="宋体" w:hAnsi="宋体" w:cs="宋体"/>
                <w:kern w:val="0"/>
                <w:szCs w:val="21"/>
                <w:lang w:bidi="ar"/>
              </w:rPr>
              <w:t>网口：2个千兆电口，2个万兆光口</w:t>
            </w:r>
            <w:r>
              <w:rPr>
                <w:rFonts w:hint="eastAsia" w:ascii="宋体" w:hAnsi="宋体" w:cs="宋体"/>
                <w:kern w:val="0"/>
                <w:szCs w:val="21"/>
                <w:lang w:bidi="ar"/>
              </w:rPr>
              <w:br w:type="textWrapping"/>
            </w:r>
            <w:r>
              <w:rPr>
                <w:rFonts w:hint="eastAsia" w:ascii="宋体" w:hAnsi="宋体" w:cs="宋体"/>
                <w:kern w:val="0"/>
                <w:szCs w:val="21"/>
                <w:lang w:bidi="ar"/>
              </w:rPr>
              <w:t>其他接口：1个RJ45管理接口，后置2个USB 3.0接口，前置2个USB2.0接口，1个VGA接口</w:t>
            </w:r>
            <w:r>
              <w:rPr>
                <w:rFonts w:hint="eastAsia" w:ascii="宋体" w:hAnsi="宋体" w:cs="宋体"/>
                <w:kern w:val="0"/>
                <w:szCs w:val="21"/>
                <w:lang w:bidi="ar"/>
              </w:rPr>
              <w:br w:type="textWrapping"/>
            </w:r>
            <w:r>
              <w:rPr>
                <w:rFonts w:hint="eastAsia" w:ascii="宋体" w:hAnsi="宋体" w:cs="宋体"/>
                <w:kern w:val="0"/>
                <w:szCs w:val="21"/>
                <w:lang w:bidi="ar"/>
              </w:rPr>
              <w:t xml:space="preserve">电源：标配550W（1+1）高效铂金CRPS冗余电源 </w:t>
            </w:r>
            <w:r>
              <w:rPr>
                <w:rFonts w:hint="eastAsia" w:ascii="宋体" w:hAnsi="宋体" w:cs="宋体"/>
                <w:kern w:val="0"/>
                <w:szCs w:val="21"/>
                <w:lang w:bidi="ar"/>
              </w:rPr>
              <w:br w:type="textWrapping"/>
            </w:r>
            <w:r>
              <w:rPr>
                <w:rFonts w:hint="eastAsia" w:ascii="宋体" w:hAnsi="宋体" w:cs="宋体"/>
                <w:kern w:val="0"/>
                <w:szCs w:val="21"/>
                <w:lang w:bidi="ar"/>
              </w:rPr>
              <w:t>机箱规格：87.8mm(高)x 448mm(宽)x729.8mm(深)</w:t>
            </w:r>
            <w:r>
              <w:rPr>
                <w:rFonts w:hint="eastAsia" w:ascii="宋体" w:hAnsi="宋体" w:cs="宋体"/>
                <w:kern w:val="0"/>
                <w:szCs w:val="21"/>
                <w:lang w:bidi="ar"/>
              </w:rPr>
              <w:br w:type="textWrapping"/>
            </w:r>
            <w:r>
              <w:rPr>
                <w:rFonts w:hint="eastAsia" w:ascii="宋体" w:hAnsi="宋体" w:cs="宋体"/>
                <w:kern w:val="0"/>
                <w:szCs w:val="21"/>
                <w:lang w:bidi="ar"/>
              </w:rPr>
              <w:t>设备重量：约26KG（含导轨）</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华为、H3C、戴尔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SDK接入网关</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提供SDK接口，用于第三方平台调用入口</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空调</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3P、立式、一级能效、变频、冷暖、智能调节，自清洁，独立除湿</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TCL、格力、海尔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UPS主机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1、UPS主机容量10kVA，高频在线双变换式UPS，采用IGBT整流，功率变换器和系统元件均由DSP控制；</w:t>
            </w:r>
            <w:r>
              <w:rPr>
                <w:rFonts w:hint="eastAsia" w:ascii="宋体" w:hAnsi="宋体" w:cs="宋体"/>
                <w:kern w:val="0"/>
                <w:szCs w:val="21"/>
                <w:lang w:bidi="ar"/>
              </w:rPr>
              <w:br w:type="textWrapping"/>
            </w:r>
            <w:r>
              <w:rPr>
                <w:rFonts w:hint="eastAsia" w:ascii="宋体" w:hAnsi="宋体" w:cs="宋体"/>
                <w:kern w:val="0"/>
                <w:szCs w:val="21"/>
                <w:lang w:bidi="ar"/>
              </w:rPr>
              <w:t>2、输出功率因数不小于0.9；</w:t>
            </w:r>
            <w:r>
              <w:rPr>
                <w:rFonts w:hint="eastAsia" w:ascii="宋体" w:hAnsi="宋体" w:cs="宋体"/>
                <w:kern w:val="0"/>
                <w:szCs w:val="21"/>
                <w:lang w:bidi="ar"/>
              </w:rPr>
              <w:br w:type="textWrapping"/>
            </w:r>
            <w:r>
              <w:rPr>
                <w:rFonts w:hint="eastAsia" w:ascii="宋体" w:hAnsi="宋体" w:cs="宋体"/>
                <w:kern w:val="0"/>
                <w:szCs w:val="21"/>
                <w:lang w:bidi="ar"/>
              </w:rPr>
              <w:t>3、输入输出制式为单相输入单相输出；</w:t>
            </w:r>
            <w:r>
              <w:rPr>
                <w:rFonts w:hint="eastAsia" w:ascii="宋体" w:hAnsi="宋体" w:cs="宋体"/>
                <w:kern w:val="0"/>
                <w:szCs w:val="21"/>
                <w:lang w:bidi="ar"/>
              </w:rPr>
              <w:br w:type="textWrapping"/>
            </w:r>
            <w:r>
              <w:rPr>
                <w:rFonts w:hint="eastAsia" w:ascii="宋体" w:hAnsi="宋体" w:cs="宋体"/>
                <w:kern w:val="0"/>
                <w:szCs w:val="21"/>
                <w:lang w:bidi="ar"/>
              </w:rPr>
              <w:t>4、输入电压范围应不小于80V-280VAC，输入频率范围不小于：40Hz~70Hz；</w:t>
            </w:r>
            <w:r>
              <w:rPr>
                <w:rFonts w:hint="eastAsia" w:ascii="宋体" w:hAnsi="宋体" w:cs="宋体"/>
                <w:kern w:val="0"/>
                <w:szCs w:val="21"/>
                <w:lang w:bidi="ar"/>
              </w:rPr>
              <w:br w:type="textWrapping"/>
            </w:r>
            <w:r>
              <w:rPr>
                <w:rFonts w:hint="eastAsia" w:ascii="宋体" w:hAnsi="宋体" w:cs="宋体"/>
                <w:kern w:val="0"/>
                <w:szCs w:val="21"/>
                <w:lang w:bidi="ar"/>
              </w:rPr>
              <w:t>5、当输入额定电压，满载运行时，UPS设备输入功率因数应大于等于 0.99；</w:t>
            </w:r>
            <w:r>
              <w:rPr>
                <w:rFonts w:hint="eastAsia" w:ascii="宋体" w:hAnsi="宋体" w:cs="宋体"/>
                <w:kern w:val="0"/>
                <w:szCs w:val="21"/>
                <w:lang w:bidi="ar"/>
              </w:rPr>
              <w:br w:type="textWrapping"/>
            </w:r>
            <w:r>
              <w:rPr>
                <w:rFonts w:hint="eastAsia" w:ascii="宋体" w:hAnsi="宋体" w:cs="宋体"/>
                <w:kern w:val="0"/>
                <w:szCs w:val="21"/>
                <w:lang w:bidi="ar"/>
              </w:rPr>
              <w:t>6、输出电压稳压精度应小于220V±1％。输出频率范围应不超出50±0.5%Hz(电池逆变工作方式)；</w:t>
            </w:r>
            <w:r>
              <w:rPr>
                <w:rFonts w:hint="eastAsia" w:ascii="宋体" w:hAnsi="宋体" w:cs="宋体"/>
                <w:kern w:val="0"/>
                <w:szCs w:val="21"/>
                <w:lang w:bidi="ar"/>
              </w:rPr>
              <w:br w:type="textWrapping"/>
            </w:r>
            <w:r>
              <w:rPr>
                <w:rFonts w:hint="eastAsia" w:ascii="宋体" w:hAnsi="宋体" w:cs="宋体"/>
                <w:kern w:val="0"/>
                <w:szCs w:val="21"/>
                <w:lang w:bidi="ar"/>
              </w:rPr>
              <w:t>7、整机最高效率不小于96%；</w:t>
            </w:r>
            <w:r>
              <w:rPr>
                <w:rFonts w:hint="eastAsia" w:ascii="宋体" w:hAnsi="宋体" w:cs="宋体"/>
                <w:kern w:val="0"/>
                <w:szCs w:val="21"/>
                <w:lang w:bidi="ar"/>
              </w:rPr>
              <w:br w:type="textWrapping"/>
            </w:r>
            <w:r>
              <w:rPr>
                <w:rFonts w:hint="eastAsia" w:ascii="宋体" w:hAnsi="宋体" w:cs="宋体"/>
                <w:kern w:val="0"/>
                <w:szCs w:val="21"/>
                <w:lang w:bidi="ar"/>
              </w:rPr>
              <w:t>8、逆变过载能力：5分钟（125%额定负载），1分钟（150%额定负载）；</w:t>
            </w:r>
            <w:r>
              <w:rPr>
                <w:rFonts w:hint="eastAsia" w:ascii="宋体" w:hAnsi="宋体" w:cs="宋体"/>
                <w:kern w:val="0"/>
                <w:szCs w:val="21"/>
                <w:lang w:bidi="ar"/>
              </w:rPr>
              <w:br w:type="textWrapping"/>
            </w:r>
            <w:r>
              <w:rPr>
                <w:rFonts w:hint="eastAsia" w:ascii="宋体" w:hAnsi="宋体" w:cs="宋体"/>
                <w:kern w:val="0"/>
                <w:szCs w:val="21"/>
                <w:lang w:bidi="ar"/>
              </w:rPr>
              <w:t>9、UPS在市电和电池两种状态间切换的时间应为0ms；</w:t>
            </w:r>
            <w:r>
              <w:rPr>
                <w:rFonts w:hint="eastAsia" w:ascii="宋体" w:hAnsi="宋体" w:cs="宋体"/>
                <w:kern w:val="0"/>
                <w:szCs w:val="21"/>
                <w:lang w:bidi="ar"/>
              </w:rPr>
              <w:br w:type="textWrapping"/>
            </w:r>
            <w:r>
              <w:rPr>
                <w:rFonts w:hint="eastAsia" w:ascii="宋体" w:hAnsi="宋体" w:cs="宋体"/>
                <w:kern w:val="0"/>
                <w:szCs w:val="21"/>
                <w:lang w:bidi="ar"/>
              </w:rPr>
              <w:t>10、保护功能：具有输入频率异常保护功能，电池过压告警和过放电保护功能，高温自动切换旁路保护功能；</w:t>
            </w:r>
            <w:r>
              <w:rPr>
                <w:rFonts w:hint="eastAsia" w:ascii="宋体" w:hAnsi="宋体" w:cs="宋体"/>
                <w:kern w:val="0"/>
                <w:szCs w:val="21"/>
                <w:lang w:bidi="ar"/>
              </w:rPr>
              <w:br w:type="textWrapping"/>
            </w:r>
            <w:r>
              <w:rPr>
                <w:rFonts w:hint="eastAsia" w:ascii="宋体" w:hAnsi="宋体" w:cs="宋体"/>
                <w:kern w:val="0"/>
                <w:szCs w:val="21"/>
                <w:lang w:bidi="ar"/>
              </w:rPr>
              <w:t>11、具有声光告警功能，采用LCD屏幕显示，便于操作，通过控制面板设置UPS的工作电压和工作频率，查看UPS工作模式、负载大小、电池容量；</w:t>
            </w:r>
            <w:r>
              <w:rPr>
                <w:rFonts w:hint="eastAsia" w:ascii="宋体" w:hAnsi="宋体" w:cs="宋体"/>
                <w:kern w:val="0"/>
                <w:szCs w:val="21"/>
                <w:lang w:bidi="ar"/>
              </w:rPr>
              <w:br w:type="textWrapping"/>
            </w:r>
            <w:r>
              <w:rPr>
                <w:rFonts w:hint="eastAsia" w:ascii="宋体" w:hAnsi="宋体" w:cs="宋体"/>
                <w:kern w:val="0"/>
                <w:szCs w:val="21"/>
                <w:lang w:bidi="ar"/>
              </w:rPr>
              <w:t>12工作温度0℃～40℃。通讯：USB、SNMP、MODBUS、干接点；</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华为、、艾默生、易事特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vMerge w:val="continue"/>
            <w:shd w:val="clear" w:color="auto" w:fill="auto"/>
            <w:vAlign w:val="center"/>
          </w:tcPr>
          <w:p>
            <w:pPr>
              <w:jc w:val="center"/>
              <w:rPr>
                <w:rFonts w:ascii="宋体" w:hAnsi="宋体" w:cs="宋体"/>
                <w:szCs w:val="21"/>
              </w:rPr>
            </w:pPr>
          </w:p>
        </w:tc>
        <w:tc>
          <w:tcPr>
            <w:tcW w:w="865" w:type="dxa"/>
            <w:vMerge w:val="continue"/>
            <w:shd w:val="clear" w:color="auto" w:fill="auto"/>
            <w:vAlign w:val="center"/>
          </w:tcPr>
          <w:p>
            <w:pPr>
              <w:jc w:val="center"/>
              <w:rPr>
                <w:rFonts w:ascii="宋体" w:hAnsi="宋体" w:cs="宋体"/>
                <w:szCs w:val="21"/>
              </w:rPr>
            </w:pPr>
          </w:p>
        </w:tc>
        <w:tc>
          <w:tcPr>
            <w:tcW w:w="72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电池</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1、阀控密封式铅酸蓄电池；</w:t>
            </w:r>
            <w:r>
              <w:rPr>
                <w:rFonts w:hint="eastAsia" w:ascii="宋体" w:hAnsi="宋体" w:cs="宋体"/>
                <w:kern w:val="0"/>
                <w:szCs w:val="21"/>
                <w:lang w:bidi="ar"/>
              </w:rPr>
              <w:br w:type="textWrapping"/>
            </w:r>
            <w:r>
              <w:rPr>
                <w:rFonts w:hint="eastAsia" w:ascii="宋体" w:hAnsi="宋体" w:cs="宋体"/>
                <w:kern w:val="0"/>
                <w:szCs w:val="21"/>
                <w:lang w:bidi="ar"/>
              </w:rPr>
              <w:t>2、单体电池电压容量：10Hr 100Ah ，单体电池额定电压：12V。</w:t>
            </w:r>
            <w:r>
              <w:rPr>
                <w:rFonts w:hint="eastAsia" w:ascii="宋体" w:hAnsi="宋体" w:cs="宋体"/>
                <w:kern w:val="0"/>
                <w:szCs w:val="21"/>
                <w:lang w:bidi="ar"/>
              </w:rPr>
              <w:br w:type="textWrapping"/>
            </w:r>
            <w:r>
              <w:rPr>
                <w:rFonts w:hint="eastAsia" w:ascii="宋体" w:hAnsi="宋体" w:cs="宋体"/>
                <w:kern w:val="0"/>
                <w:szCs w:val="21"/>
                <w:lang w:bidi="ar"/>
              </w:rPr>
              <w:t>3、25℃时，蓄电池设计寿命≥8年；</w:t>
            </w:r>
            <w:r>
              <w:rPr>
                <w:rFonts w:hint="eastAsia" w:ascii="宋体" w:hAnsi="宋体" w:cs="宋体"/>
                <w:kern w:val="0"/>
                <w:szCs w:val="21"/>
                <w:lang w:bidi="ar"/>
              </w:rPr>
              <w:br w:type="textWrapping"/>
            </w:r>
            <w:r>
              <w:rPr>
                <w:rFonts w:hint="eastAsia" w:ascii="宋体" w:hAnsi="宋体" w:cs="宋体"/>
                <w:kern w:val="0"/>
                <w:szCs w:val="21"/>
                <w:lang w:bidi="ar"/>
              </w:rPr>
              <w:t xml:space="preserve">4、电池容量系数：40°C / 104°F ≥ 106%  </w:t>
            </w:r>
            <w:r>
              <w:rPr>
                <w:rFonts w:hint="eastAsia" w:ascii="宋体" w:hAnsi="宋体" w:cs="宋体"/>
                <w:kern w:val="0"/>
                <w:szCs w:val="21"/>
                <w:lang w:bidi="ar"/>
              </w:rPr>
              <w:br w:type="textWrapping"/>
            </w:r>
            <w:r>
              <w:rPr>
                <w:rFonts w:hint="eastAsia" w:ascii="宋体" w:hAnsi="宋体" w:cs="宋体"/>
                <w:kern w:val="0"/>
                <w:szCs w:val="21"/>
                <w:lang w:bidi="ar"/>
              </w:rPr>
              <w:t>5、25°C / 77°F≥ 100%  0°C / 32°F ≥86%   ， -10°C / 14°F  ≥65%；</w:t>
            </w:r>
            <w:r>
              <w:rPr>
                <w:rFonts w:hint="eastAsia" w:ascii="宋体" w:hAnsi="宋体" w:cs="宋体"/>
                <w:kern w:val="0"/>
                <w:szCs w:val="21"/>
                <w:lang w:bidi="ar"/>
              </w:rPr>
              <w:br w:type="textWrapping"/>
            </w:r>
            <w:r>
              <w:rPr>
                <w:rFonts w:hint="eastAsia" w:ascii="宋体" w:hAnsi="宋体" w:cs="宋体"/>
                <w:kern w:val="0"/>
                <w:szCs w:val="21"/>
                <w:lang w:bidi="ar"/>
              </w:rPr>
              <w:t>6、内阻（完全充电态）：≈5 mΩ@ 25℃ (77℉)；</w:t>
            </w:r>
            <w:r>
              <w:rPr>
                <w:rFonts w:hint="eastAsia" w:ascii="宋体" w:hAnsi="宋体" w:cs="宋体"/>
                <w:kern w:val="0"/>
                <w:szCs w:val="21"/>
                <w:lang w:bidi="ar"/>
              </w:rPr>
              <w:br w:type="textWrapping"/>
            </w:r>
            <w:r>
              <w:rPr>
                <w:rFonts w:hint="eastAsia" w:ascii="宋体" w:hAnsi="宋体" w:cs="宋体"/>
                <w:kern w:val="0"/>
                <w:szCs w:val="21"/>
                <w:lang w:bidi="ar"/>
              </w:rPr>
              <w:t>7、自放电率：@ 25℃ (77℉) 放置90天小于10 %；</w:t>
            </w:r>
            <w:r>
              <w:rPr>
                <w:rFonts w:hint="eastAsia" w:ascii="宋体" w:hAnsi="宋体" w:cs="宋体"/>
                <w:kern w:val="0"/>
                <w:szCs w:val="21"/>
                <w:lang w:bidi="ar"/>
              </w:rPr>
              <w:br w:type="textWrapping"/>
            </w:r>
            <w:r>
              <w:rPr>
                <w:rFonts w:hint="eastAsia" w:ascii="宋体" w:hAnsi="宋体" w:cs="宋体"/>
                <w:kern w:val="0"/>
                <w:szCs w:val="21"/>
                <w:lang w:bidi="ar"/>
              </w:rPr>
              <w:t>8、阻燃性与防腐性：蓄电池间接线板、终端接头应选择导电性能优良的材料，并具有防腐措施。蓄电池槽、盖、安全阀，极柱封口剂等材料应具有阻燃性</w:t>
            </w:r>
            <w:r>
              <w:rPr>
                <w:rFonts w:hint="eastAsia" w:ascii="宋体" w:hAnsi="宋体" w:cs="宋体"/>
                <w:kern w:val="0"/>
                <w:szCs w:val="21"/>
                <w:lang w:bidi="ar"/>
              </w:rPr>
              <w:br w:type="textWrapping"/>
            </w:r>
            <w:r>
              <w:rPr>
                <w:rFonts w:hint="eastAsia" w:ascii="宋体" w:hAnsi="宋体" w:cs="宋体"/>
                <w:kern w:val="0"/>
                <w:szCs w:val="21"/>
                <w:lang w:bidi="ar"/>
              </w:rPr>
              <w:t>9、抗震性：蓄电池组应按9度地震烈度考虑设备的设计能承受并保持结构的完整性；</w:t>
            </w:r>
            <w:r>
              <w:rPr>
                <w:rFonts w:hint="eastAsia" w:ascii="宋体" w:hAnsi="宋体" w:cs="宋体"/>
                <w:kern w:val="0"/>
                <w:szCs w:val="21"/>
                <w:lang w:bidi="ar"/>
              </w:rPr>
              <w:br w:type="textWrapping"/>
            </w:r>
            <w:r>
              <w:rPr>
                <w:rFonts w:hint="eastAsia" w:ascii="宋体" w:hAnsi="宋体" w:cs="宋体"/>
                <w:kern w:val="0"/>
                <w:szCs w:val="21"/>
                <w:lang w:bidi="ar"/>
              </w:rPr>
              <w:t>10、含电池柜</w:t>
            </w:r>
          </w:p>
        </w:tc>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节</w:t>
            </w:r>
          </w:p>
        </w:tc>
        <w:tc>
          <w:tcPr>
            <w:tcW w:w="63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26"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1588" w:type="dxa"/>
            <w:gridSpan w:val="2"/>
            <w:shd w:val="clear" w:color="auto" w:fill="auto"/>
            <w:vAlign w:val="center"/>
          </w:tcPr>
          <w:p>
            <w:pPr>
              <w:jc w:val="center"/>
              <w:rPr>
                <w:rFonts w:ascii="宋体" w:hAnsi="宋体" w:cs="宋体"/>
                <w:szCs w:val="21"/>
              </w:rPr>
            </w:pPr>
            <w:r>
              <w:rPr>
                <w:rFonts w:hint="eastAsia" w:ascii="宋体" w:hAnsi="宋体" w:cs="宋体"/>
                <w:kern w:val="0"/>
                <w:szCs w:val="21"/>
                <w:lang w:bidi="ar"/>
              </w:rPr>
              <w:t>安装调试施工</w:t>
            </w:r>
          </w:p>
        </w:tc>
        <w:tc>
          <w:tcPr>
            <w:tcW w:w="6095" w:type="dxa"/>
            <w:shd w:val="clear" w:color="auto" w:fill="auto"/>
            <w:vAlign w:val="center"/>
          </w:tcPr>
          <w:p>
            <w:pPr>
              <w:jc w:val="left"/>
              <w:rPr>
                <w:rFonts w:ascii="宋体" w:hAnsi="宋体" w:cs="宋体"/>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26" w:type="dxa"/>
            <w:shd w:val="clear" w:color="auto" w:fill="auto"/>
            <w:vAlign w:val="center"/>
          </w:tcPr>
          <w:p>
            <w:pPr>
              <w:jc w:val="center"/>
              <w:rPr>
                <w:rFonts w:ascii="宋体" w:hAnsi="宋体" w:cs="宋体"/>
                <w:szCs w:val="21"/>
              </w:rPr>
            </w:pPr>
            <w:r>
              <w:rPr>
                <w:rFonts w:hint="eastAsia" w:ascii="宋体" w:hAnsi="宋体" w:cs="宋体"/>
                <w:szCs w:val="21"/>
              </w:rPr>
              <w:t>项</w:t>
            </w:r>
          </w:p>
        </w:tc>
        <w:tc>
          <w:tcPr>
            <w:tcW w:w="636"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965" w:type="dxa"/>
            <w:shd w:val="clear" w:color="auto" w:fill="auto"/>
            <w:vAlign w:val="center"/>
          </w:tcPr>
          <w:p>
            <w:pPr>
              <w:widowControl/>
              <w:jc w:val="center"/>
              <w:textAlignment w:val="center"/>
              <w:rPr>
                <w:rFonts w:ascii="宋体" w:hAnsi="宋体" w:cs="宋体"/>
                <w:szCs w:val="21"/>
              </w:rPr>
            </w:pPr>
            <w:r>
              <w:rPr>
                <w:rFonts w:hint="eastAsia" w:ascii="宋体" w:hAnsi="宋体" w:cs="宋体"/>
                <w:color w:val="000000"/>
                <w:szCs w:val="21"/>
              </w:rPr>
              <w:t>定制</w:t>
            </w:r>
          </w:p>
        </w:tc>
      </w:tr>
    </w:tbl>
    <w:p>
      <w:pPr>
        <w:rPr>
          <w:rFonts w:hAnsi="宋体" w:cs="宋体"/>
        </w:rPr>
      </w:pPr>
    </w:p>
    <w:p>
      <w:r>
        <w:rPr>
          <w:rFonts w:hint="eastAsia"/>
        </w:rPr>
        <w:br w:type="page"/>
      </w:r>
    </w:p>
    <w:p>
      <w:pPr>
        <w:pStyle w:val="7"/>
      </w:pPr>
      <w:r>
        <w:rPr>
          <w:rFonts w:hint="eastAsia"/>
        </w:rPr>
        <w:t>8、万润社区数字化建设</w:t>
      </w:r>
    </w:p>
    <w:tbl>
      <w:tblPr>
        <w:tblStyle w:val="50"/>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42"/>
        <w:gridCol w:w="1029"/>
        <w:gridCol w:w="4237"/>
        <w:gridCol w:w="427"/>
        <w:gridCol w:w="427"/>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42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043"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功能点及场景</w:t>
            </w:r>
          </w:p>
        </w:tc>
        <w:tc>
          <w:tcPr>
            <w:tcW w:w="1029"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硬件名称</w:t>
            </w:r>
          </w:p>
        </w:tc>
        <w:tc>
          <w:tcPr>
            <w:tcW w:w="4239"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功能参数</w:t>
            </w:r>
          </w:p>
        </w:tc>
        <w:tc>
          <w:tcPr>
            <w:tcW w:w="42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42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1791"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8"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43"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功能用房客流统计</w:t>
            </w: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双目客流摄像机</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1/2.7”CMOS商业双目智能客流统计网络摄像机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采用领先的双目立体视觉技术，基于双镜头的立体摄像，获取目标的高度信息，结合智能跟踪算法分析行人的行为轨迹，从而精确计算出客流人数及行走方向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支持分类统计人员进入、离开情况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支持实时数据上传和周期上传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邮件报表支持日报表、周报表、月报表和年报表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支持高度过滤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支持内置存储（EMMC）</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最低照度: 彩色:0.005 Lux @ (F1.2, AGC ON)，0.0176 Lux @ (F2.25, AGC ON) ; 黑白:0.001 Lux @ (F1.2, AGC ON)，0.0035Lux @ (F2.25, AGC ON)，0 Lux with IR</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镜头: 2.0mm@F2.25,水平视场角：104.5°，垂直视场角：70.5°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视频压缩标准: H.265/H.264 / MJPEG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最大图像尺寸: 2560×1440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无线参数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WiFi协议: IEEE802.11b, 802.11g, 802.11n</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频率范围: 2.4GHz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信道带宽: 20/40MHz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调制方式: 802.11b: CCK, QPSK, BPSK, 802.11g/n: OFDM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传输速率: 11b: 11Mbps, 11g: 54Mbps, 11n: up to 150Mbps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有效传输距离: 50m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接口类型: 甩线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通讯接口: 1个RJ45 10M / 100M /1000M自适应以太网口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音频接口: 标配mic in</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工作温度和湿度: -30℃~45℃,湿度小于95%(无凝结)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电源供应: DC12±20%；支持防反接保护；POE（36v-57v，802.3af）Calss3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功耗: DC12V 0.66A Max8W; PoE：(802.3af, 36V-57V), 0.23 A to 0.14 A，Max：8.3W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补光距离: 红外：6m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红外波长: 850nm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产品尺寸(mm): 167×61×36mm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包装尺寸(mm): 235×120×125mm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裸机重量: 435g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含包装重量: 725g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★可开启/关闭反向进入报警功能，并可以按周为周期，设置每天的反向客流检测布防时间段，当功能开启后，检测到反向客流时，可触发报警并关联上传中心。（公安部检验报告证明）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★支持徘徊排除功能，当试验人员在检测区域内徘徊并未离开检测区域时，不重复统计客流数量。（公安部检验报告证明）</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43" w:type="dxa"/>
            <w:vMerge w:val="continue"/>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摄像机支架</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重量: 266克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颜色: 白色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尺寸: 196 mm × 56.7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 铝合金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三轴或两轴调节角度: 单轴（0-60度）</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43" w:type="dxa"/>
            <w:vMerge w:val="continue"/>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硬盘录像机</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硬件规格：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2U标准机架式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2个HDMI，2个VGA,HDMI+VGA组内同源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4盘位，可满配8T硬盘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2个千兆网口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2个USB2.0接口、1个USB3.0接口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1个eSATA接口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支持RAID0、1、5、10，支持全局热备盘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软件性能：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输入带宽：256M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32路H.264、H.265混合接入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最大支持16×1080P解码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支持H.265、H.264解码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Smart 2.0/整机热备/ANR/智能检索/智能回放/车牌检索/人脸检索/热度图/客流量统计/分时段回放/超高倍速回放/双系统备份</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791"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43" w:type="dxa"/>
            <w:vMerge w:val="continue"/>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硬盘</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 HDD,8TB,7200RPM, 256MB, SATA 6Gb/s</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9"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43" w:type="dxa"/>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75寸交互智慧屏</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触显参数：屏幕类型:DLED直下式，屏幕结构:工业级液晶屏，背光亮度:500cd/m²，面板分辨率:3840X2160，可视角度:178°，对比度:4500:1，透光率:98%，显示比例:16:9，响应时间:6ms，触控原理：红外触摸，触控点数:10点触控，识别精度:±1mm，定位精度:±1mm，扬声器:2x10W，防护玻璃:4mm，屏表硬度:莫氏度硬度8级，整机功耗:298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系统参数：CPU型号:intel i5，内存:4G，硬盘:128G固态，WIFI:内置无线模块，操作系统:预装Win10，输出分辨率:1920x1080@60Hz，BIOS:支持上电开机/定制开机/远程开关机设备智能识别/网络唤醒。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结构参数：显示尺寸:1650mm*高928mm，外形尺寸:1722mm*高1001mm*厚134mm含挂架，外形结构:四等边尺寸，外壳材质:铝型材+钣金，外壳颜色:黑色。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具有用户权限限制安全保密性,且通过无病毒检查,建立新窗口、场景保存、系统设置,对关键功能数据进行有效校验,当运行发生错误时,有提示并且可以恢复正常,具有中国软件评测中心出具的软件产品登记测试报告检测以上内容与大屏显示系统控制软件的软件产品证书。</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海康威视、迈创、天景山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1043" w:type="dxa"/>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智慧屏支架</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一体机配套</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043"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网络</w:t>
            </w: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24口POE千兆交换机</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≥52Gbps，转发性能 ≥38.7Mpps，，千兆电口≥24个，千兆光口≥2个；机架式支持POE供电</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0" w:type="auto"/>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043" w:type="dxa"/>
            <w:vMerge w:val="continue"/>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路由器及网络宽带</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转发性能9Mpps，内存4GB，配置8*GE Combo端口，双电源，含1条100M无IP宽带2年</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批</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043" w:type="dxa"/>
            <w:vMerge w:val="continue"/>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工控主机</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处理器I5 7200U双核四线程,内存8G,硬盘128G显示芯片：集成显卡，2*千兆网卡，分辨率1*VGA 1*HDMI ,4*USB3.0,支持来电开机，RS232/422/485串口*2。</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043" w:type="dxa"/>
            <w:vMerge w:val="continue"/>
            <w:shd w:val="clear" w:color="auto" w:fill="auto"/>
            <w:vAlign w:val="center"/>
          </w:tcPr>
          <w:p>
            <w:pPr>
              <w:jc w:val="center"/>
              <w:rPr>
                <w:rFonts w:ascii="宋体" w:hAnsi="宋体" w:cs="宋体"/>
                <w:color w:val="000000"/>
                <w:szCs w:val="21"/>
              </w:rPr>
            </w:pPr>
          </w:p>
        </w:tc>
        <w:tc>
          <w:tcPr>
            <w:tcW w:w="10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42U机柜</w:t>
            </w:r>
          </w:p>
        </w:tc>
        <w:tc>
          <w:tcPr>
            <w:tcW w:w="423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19英寸  42U 600*600*2000，带隔板，配置8位PDU插座</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图腾、德塔森特、清华同方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2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2072" w:type="dxa"/>
            <w:gridSpan w:val="2"/>
            <w:shd w:val="clear" w:color="auto" w:fill="auto"/>
            <w:vAlign w:val="center"/>
          </w:tcPr>
          <w:p>
            <w:pPr>
              <w:jc w:val="center"/>
              <w:rPr>
                <w:rFonts w:ascii="宋体" w:hAnsi="宋体" w:cs="宋体"/>
                <w:color w:val="000000"/>
                <w:szCs w:val="21"/>
              </w:rPr>
            </w:pPr>
            <w:r>
              <w:rPr>
                <w:rFonts w:hint="eastAsia" w:ascii="宋体" w:hAnsi="宋体" w:cs="宋体"/>
                <w:kern w:val="0"/>
                <w:szCs w:val="21"/>
                <w:lang w:bidi="ar"/>
              </w:rPr>
              <w:t>安装调试施工</w:t>
            </w:r>
          </w:p>
        </w:tc>
        <w:tc>
          <w:tcPr>
            <w:tcW w:w="4239" w:type="dxa"/>
            <w:shd w:val="clear" w:color="auto" w:fill="auto"/>
            <w:vAlign w:val="center"/>
          </w:tcPr>
          <w:p>
            <w:pPr>
              <w:jc w:val="center"/>
              <w:rPr>
                <w:rFonts w:ascii="宋体" w:hAnsi="宋体" w:cs="宋体"/>
                <w:color w:val="000000"/>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26" w:type="dxa"/>
            <w:shd w:val="clear" w:color="auto" w:fill="auto"/>
            <w:vAlign w:val="center"/>
          </w:tcPr>
          <w:p>
            <w:pPr>
              <w:jc w:val="center"/>
              <w:rPr>
                <w:rFonts w:ascii="宋体" w:hAnsi="宋体" w:cs="宋体"/>
                <w:color w:val="000000"/>
                <w:szCs w:val="21"/>
              </w:rPr>
            </w:pPr>
            <w:r>
              <w:rPr>
                <w:rFonts w:hint="eastAsia" w:ascii="宋体" w:hAnsi="宋体" w:cs="宋体"/>
                <w:szCs w:val="21"/>
              </w:rPr>
              <w:t>项</w:t>
            </w:r>
          </w:p>
        </w:tc>
        <w:tc>
          <w:tcPr>
            <w:tcW w:w="426" w:type="dxa"/>
            <w:shd w:val="clear" w:color="auto" w:fill="auto"/>
            <w:vAlign w:val="center"/>
          </w:tcPr>
          <w:p>
            <w:pPr>
              <w:jc w:val="center"/>
              <w:rPr>
                <w:rFonts w:ascii="宋体" w:hAnsi="宋体" w:cs="宋体"/>
                <w:color w:val="000000"/>
                <w:szCs w:val="21"/>
              </w:rPr>
            </w:pPr>
            <w:r>
              <w:rPr>
                <w:rFonts w:hint="eastAsia" w:ascii="宋体" w:hAnsi="宋体" w:cs="宋体"/>
                <w:szCs w:val="21"/>
              </w:rPr>
              <w:t>1</w:t>
            </w:r>
          </w:p>
        </w:tc>
        <w:tc>
          <w:tcPr>
            <w:tcW w:w="179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定制</w:t>
            </w:r>
          </w:p>
        </w:tc>
      </w:tr>
    </w:tbl>
    <w:p>
      <w:r>
        <w:rPr>
          <w:rFonts w:hint="eastAsia"/>
        </w:rPr>
        <w:br w:type="page"/>
      </w:r>
    </w:p>
    <w:p>
      <w:pPr>
        <w:pStyle w:val="7"/>
        <w:rPr>
          <w:rFonts w:hint="eastAsia"/>
        </w:rPr>
      </w:pPr>
      <w:r>
        <w:rPr>
          <w:rFonts w:hint="eastAsia"/>
        </w:rPr>
        <w:t>9、万象社区中心数字化建设</w:t>
      </w:r>
    </w:p>
    <w:tbl>
      <w:tblPr>
        <w:tblStyle w:val="50"/>
        <w:tblW w:w="928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60"/>
        <w:gridCol w:w="900"/>
        <w:gridCol w:w="4485"/>
        <w:gridCol w:w="510"/>
        <w:gridCol w:w="67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96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功能点及场景</w:t>
            </w:r>
          </w:p>
        </w:tc>
        <w:tc>
          <w:tcPr>
            <w:tcW w:w="90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硬件名称</w:t>
            </w:r>
          </w:p>
        </w:tc>
        <w:tc>
          <w:tcPr>
            <w:tcW w:w="448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功能参数</w:t>
            </w:r>
          </w:p>
        </w:tc>
        <w:tc>
          <w:tcPr>
            <w:tcW w:w="51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67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103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60" w:type="dxa"/>
            <w:vMerge w:val="restart"/>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功能用房客流统计</w:t>
            </w: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双目客流摄像机</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室内</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1/2.7”CMOS商业双目智能客流统计网络摄像机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采用领先的双目立体视觉技术，基于双镜头的立体摄像，获取目标的高度信息，结合智能跟踪算法分析行人的行为轨迹，从而精确计算出客流人数及行走方向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支持分类统计人员进入、离开情况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支持实时数据上传和周期上传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邮件报表支持日报表、周报表、月报表和年报表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支持高度过滤</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支持内置存储（EMMC）</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最低照度: 彩色:0.005 Lux @ (F1.2, AGC ON)，0.0176 Lux @ (F2.25, AGC ON) ; 黑白:0.001 Lux @ (F1.2, AGC ON)，0.0035Lux @ (F2.25, AGC ON)，0 Lux with IR</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镜头: 2.0mm@F2.25,水平视场角：104.5°，垂直视场角：70.5°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视频压缩标准: H.265/H.264 / MJPEG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最大图像尺寸: 2560×1440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无线参数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WiFi协议: IEEE802.11b, 802.11g, 802.11n</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频率范围: 2.4GHz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信道带宽: 20/40MHz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调制方式: 802.11b: CCK, QPSK, BPSK, 802.11g/n: OFDM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传输速率: 11b: 11Mbps, 11g: 54Mbps, 11n: up to 150Mbps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有效传输距离: 50m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接口类型: 甩线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通讯接口: 1个RJ45 10M / 100M /1000M自适应以太网口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音频接口: 标配mic in</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工作温度和湿度: -30℃~45℃,湿度小于95%(无凝结)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电源供应: DC12±20%；支持防反接保护；POE（36v-57v，802.3af）Calss3</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功耗: DC12V 0.66A Max8W; PoE：(802.3af, 36V-57V), 0.23 A to 0.14 A，Max：8.3W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补光距离: 红外：6m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红外波长: 850nm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产品尺寸(mm): 167×61×36mm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包装尺寸(mm): 235×120×125mm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裸机重量: 435g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含包装重量: 725g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★可开启/关闭反向进入报警功能，并可以按周为周期，设置每天的反向客流检测布防时间段，当功能开启后，检测到反向客流时，可触发报警并关联上传中心。（公安部检验报告证明）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★支持徘徊排除功能，当试验人员在检测区域内徘徊并未离开检测区域时，不重复统计客流数量。（公安部检验报告证明）</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3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960" w:type="dxa"/>
            <w:vMerge w:val="continue"/>
            <w:shd w:val="clear" w:color="auto" w:fill="auto"/>
            <w:vAlign w:val="center"/>
          </w:tcPr>
          <w:p>
            <w:pPr>
              <w:jc w:val="left"/>
              <w:rPr>
                <w:rFonts w:ascii="宋体" w:hAnsi="宋体" w:cs="宋体"/>
                <w:color w:val="000000"/>
                <w:szCs w:val="21"/>
              </w:rPr>
            </w:pP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摄像机支架</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重量: 266克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颜色: 白色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尺寸: 196 mm × 56.7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材质: 铝合金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三轴或两轴调节角度: 单轴（0-60度）</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3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960" w:type="dxa"/>
            <w:vMerge w:val="continue"/>
            <w:shd w:val="clear" w:color="auto" w:fill="auto"/>
            <w:vAlign w:val="center"/>
          </w:tcPr>
          <w:p>
            <w:pPr>
              <w:jc w:val="left"/>
              <w:rPr>
                <w:rFonts w:ascii="宋体" w:hAnsi="宋体" w:cs="宋体"/>
                <w:color w:val="000000"/>
                <w:szCs w:val="21"/>
              </w:rPr>
            </w:pP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硬盘录像机</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硬件规格：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2U标准机架式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2个HDMI，2个VGA,HDMI+VGA组内同源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4盘位，可满配8T硬盘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2个千兆网口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2个USB2.0接口、1个USB3.0接口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1个eSATA接口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支持RAID0、1、5、10，支持全局热备盘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软件性能：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输入带宽：256M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32路H.264、H.265混合接入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最大支持16×1080P解码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支持H.265、H.264解码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Smart 2.0/整机热备/ANR/智能检索/智能回放/车牌检索/人脸检索/热度图/客流量统计/分时段回放/超高倍速回放/双系统备份</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36"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960" w:type="dxa"/>
            <w:vMerge w:val="continue"/>
            <w:shd w:val="clear" w:color="auto" w:fill="auto"/>
            <w:vAlign w:val="center"/>
          </w:tcPr>
          <w:p>
            <w:pPr>
              <w:jc w:val="left"/>
              <w:rPr>
                <w:rFonts w:ascii="宋体" w:hAnsi="宋体" w:cs="宋体"/>
                <w:color w:val="000000"/>
                <w:szCs w:val="21"/>
              </w:rPr>
            </w:pP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硬盘</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3.5 HDD,8TB,7200RPM, 256MB, SATA 6Gb/s</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3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96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网络</w:t>
            </w: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24口POE千兆交换机</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≥52Gbps，转发性能 ≥38.7Mpps，，千兆电口≥24个，千兆光口≥2个；机架式支持POE供电</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36"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960" w:type="dxa"/>
            <w:shd w:val="clear" w:color="auto" w:fill="auto"/>
            <w:vAlign w:val="center"/>
          </w:tcPr>
          <w:p>
            <w:pPr>
              <w:jc w:val="left"/>
              <w:rPr>
                <w:rFonts w:ascii="宋体" w:hAnsi="宋体" w:cs="宋体"/>
                <w:color w:val="000000"/>
                <w:szCs w:val="21"/>
              </w:rPr>
            </w:pP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路由器及网络宽带</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转发性能9Mpps，内存4GB，配置8*GE Combo端口，双电源，含1条100M无IP宽带2年</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批</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3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960" w:type="dxa"/>
            <w:shd w:val="clear" w:color="auto" w:fill="auto"/>
            <w:vAlign w:val="center"/>
          </w:tcPr>
          <w:p>
            <w:pPr>
              <w:jc w:val="left"/>
              <w:rPr>
                <w:rFonts w:ascii="宋体" w:hAnsi="宋体" w:cs="宋体"/>
                <w:color w:val="000000"/>
                <w:szCs w:val="21"/>
              </w:rPr>
            </w:pP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工控主机</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处理器I5 7200U双核四线程,内存8G,硬盘128G显示芯片：集成显卡，2*千兆网卡，分辨率1*VGA 1*HDMI ,4*USB3.0,支持来电开机，RS232/422/485串口*2。</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3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960" w:type="dxa"/>
            <w:shd w:val="clear" w:color="auto" w:fill="auto"/>
            <w:vAlign w:val="center"/>
          </w:tcPr>
          <w:p>
            <w:pPr>
              <w:jc w:val="left"/>
              <w:rPr>
                <w:rFonts w:ascii="宋体" w:hAnsi="宋体" w:cs="宋体"/>
                <w:color w:val="000000"/>
                <w:szCs w:val="21"/>
              </w:rPr>
            </w:pPr>
          </w:p>
        </w:tc>
        <w:tc>
          <w:tcPr>
            <w:tcW w:w="900"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42U机柜</w:t>
            </w:r>
          </w:p>
        </w:tc>
        <w:tc>
          <w:tcPr>
            <w:tcW w:w="448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19英寸  42U 600*600*2000，带隔板，配置8位PDU插座</w:t>
            </w:r>
          </w:p>
        </w:tc>
        <w:tc>
          <w:tcPr>
            <w:tcW w:w="51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67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3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图腾、德塔森特、清华同方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right"/>
        </w:trPr>
        <w:tc>
          <w:tcPr>
            <w:tcW w:w="720"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860" w:type="dxa"/>
            <w:gridSpan w:val="2"/>
            <w:shd w:val="clear" w:color="auto" w:fill="auto"/>
            <w:vAlign w:val="center"/>
          </w:tcPr>
          <w:p>
            <w:pPr>
              <w:jc w:val="center"/>
              <w:rPr>
                <w:rFonts w:ascii="宋体" w:hAnsi="宋体" w:cs="宋体"/>
                <w:color w:val="000000"/>
                <w:szCs w:val="21"/>
              </w:rPr>
            </w:pPr>
            <w:r>
              <w:rPr>
                <w:rFonts w:hint="eastAsia" w:ascii="宋体" w:hAnsi="宋体" w:cs="宋体"/>
                <w:kern w:val="0"/>
                <w:szCs w:val="21"/>
                <w:lang w:bidi="ar"/>
              </w:rPr>
              <w:t>安装调试施工</w:t>
            </w:r>
          </w:p>
        </w:tc>
        <w:tc>
          <w:tcPr>
            <w:tcW w:w="4485" w:type="dxa"/>
            <w:shd w:val="clear" w:color="auto" w:fill="auto"/>
            <w:vAlign w:val="center"/>
          </w:tcPr>
          <w:p>
            <w:pPr>
              <w:jc w:val="center"/>
              <w:rPr>
                <w:rFonts w:ascii="宋体" w:hAnsi="宋体" w:cs="宋体"/>
                <w:color w:val="000000"/>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510" w:type="dxa"/>
            <w:shd w:val="clear" w:color="auto" w:fill="auto"/>
            <w:vAlign w:val="center"/>
          </w:tcPr>
          <w:p>
            <w:pPr>
              <w:jc w:val="center"/>
              <w:rPr>
                <w:rFonts w:ascii="宋体" w:hAnsi="宋体" w:cs="宋体"/>
                <w:color w:val="000000"/>
                <w:szCs w:val="21"/>
              </w:rPr>
            </w:pPr>
            <w:r>
              <w:rPr>
                <w:rFonts w:hint="eastAsia" w:ascii="宋体" w:hAnsi="宋体" w:cs="宋体"/>
                <w:szCs w:val="21"/>
              </w:rPr>
              <w:t>项</w:t>
            </w:r>
          </w:p>
        </w:tc>
        <w:tc>
          <w:tcPr>
            <w:tcW w:w="675" w:type="dxa"/>
            <w:shd w:val="clear" w:color="auto" w:fill="auto"/>
            <w:vAlign w:val="center"/>
          </w:tcPr>
          <w:p>
            <w:pPr>
              <w:jc w:val="center"/>
              <w:rPr>
                <w:rFonts w:ascii="宋体" w:hAnsi="宋体" w:cs="宋体"/>
                <w:color w:val="000000"/>
                <w:szCs w:val="21"/>
              </w:rPr>
            </w:pPr>
            <w:r>
              <w:rPr>
                <w:rFonts w:hint="eastAsia" w:ascii="宋体" w:hAnsi="宋体" w:cs="宋体"/>
                <w:szCs w:val="21"/>
              </w:rPr>
              <w:t>1</w:t>
            </w:r>
          </w:p>
        </w:tc>
        <w:tc>
          <w:tcPr>
            <w:tcW w:w="103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定制</w:t>
            </w:r>
          </w:p>
        </w:tc>
      </w:tr>
    </w:tbl>
    <w:p>
      <w:pPr>
        <w:pStyle w:val="4"/>
      </w:pPr>
    </w:p>
    <w:p>
      <w:pPr>
        <w:rPr>
          <w:rFonts w:hAnsi="宋体" w:cs="宋体"/>
          <w:b/>
          <w:bCs/>
          <w:kern w:val="0"/>
          <w:szCs w:val="21"/>
          <w:lang w:bidi="ar"/>
        </w:rPr>
      </w:pPr>
      <w:r>
        <w:rPr>
          <w:rFonts w:hint="eastAsia" w:hAnsi="宋体" w:cs="宋体"/>
          <w:b/>
          <w:bCs/>
          <w:kern w:val="0"/>
          <w:szCs w:val="21"/>
          <w:lang w:bidi="ar"/>
        </w:rPr>
        <w:br w:type="page"/>
      </w:r>
    </w:p>
    <w:p>
      <w:pPr>
        <w:pStyle w:val="7"/>
      </w:pPr>
      <w:r>
        <w:rPr>
          <w:rFonts w:hint="eastAsia"/>
        </w:rPr>
        <w:t>10、湾头社区适老化数字化建设</w:t>
      </w:r>
    </w:p>
    <w:tbl>
      <w:tblPr>
        <w:tblStyle w:val="50"/>
        <w:tblW w:w="10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780"/>
        <w:gridCol w:w="937"/>
        <w:gridCol w:w="5947"/>
        <w:gridCol w:w="474"/>
        <w:gridCol w:w="47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542"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780"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功能点及场景</w:t>
            </w:r>
          </w:p>
        </w:tc>
        <w:tc>
          <w:tcPr>
            <w:tcW w:w="93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硬件名称</w:t>
            </w:r>
          </w:p>
        </w:tc>
        <w:tc>
          <w:tcPr>
            <w:tcW w:w="5947"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功能参数</w:t>
            </w:r>
          </w:p>
        </w:tc>
        <w:tc>
          <w:tcPr>
            <w:tcW w:w="474"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471"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1051"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542"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780"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智能适老化家居</w:t>
            </w:r>
          </w:p>
        </w:tc>
        <w:tc>
          <w:tcPr>
            <w:tcW w:w="93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一键报警</w:t>
            </w:r>
          </w:p>
        </w:tc>
        <w:tc>
          <w:tcPr>
            <w:tcW w:w="594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无线紧急按钮；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通信频率：433MHz，并具备防止无线数据冲突功能；3V干电池供电, 正常供电约2年；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RF传输距离：800m(空旷区域)</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尺寸：64.9mm(直径)*16.7mm；</w:t>
            </w:r>
          </w:p>
        </w:tc>
        <w:tc>
          <w:tcPr>
            <w:tcW w:w="474"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7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w:t>
            </w:r>
          </w:p>
        </w:tc>
        <w:tc>
          <w:tcPr>
            <w:tcW w:w="105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海康威视、凯思特、黑铁砖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4" w:hRule="atLeast"/>
          <w:jc w:val="center"/>
        </w:trPr>
        <w:tc>
          <w:tcPr>
            <w:tcW w:w="542"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780" w:type="dxa"/>
            <w:vMerge w:val="continue"/>
            <w:shd w:val="clear" w:color="auto" w:fill="auto"/>
            <w:vAlign w:val="center"/>
          </w:tcPr>
          <w:p>
            <w:pPr>
              <w:jc w:val="center"/>
              <w:rPr>
                <w:rFonts w:ascii="宋体" w:hAnsi="宋体" w:cs="宋体"/>
                <w:color w:val="000000"/>
                <w:szCs w:val="21"/>
              </w:rPr>
            </w:pPr>
          </w:p>
        </w:tc>
        <w:tc>
          <w:tcPr>
            <w:tcW w:w="93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报警主机(3G/4G)</w:t>
            </w:r>
          </w:p>
        </w:tc>
        <w:tc>
          <w:tcPr>
            <w:tcW w:w="594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无线报警主机；白色外壳，</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支持最多32路无线防区，支持最多32个无线输出，最多2个中继器，最多4个继电器模块，支持最多8个遥控器，支持最多2个警号；</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远距离双向通信，数据AES-128加密；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支持WIFI、TCP/IP方式上传报警信息；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 支持接入2路视频，报警时可以联动视频复核，并通过邮件发送复核视频；</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支持报告上传至接警中心或中心平台；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支持手机APP布撤防；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支持Web、手机APP配置，主机配置和操作具备智能化语音向导提示；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尺寸：155mm（长）× 155mm(高）×34.7mm(厚)</w:t>
            </w:r>
          </w:p>
        </w:tc>
        <w:tc>
          <w:tcPr>
            <w:tcW w:w="474"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7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w:t>
            </w:r>
          </w:p>
        </w:tc>
        <w:tc>
          <w:tcPr>
            <w:tcW w:w="105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海康威视、凯思特、黑铁砖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0" w:hRule="atLeast"/>
          <w:jc w:val="center"/>
        </w:trPr>
        <w:tc>
          <w:tcPr>
            <w:tcW w:w="542"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780" w:type="dxa"/>
            <w:vMerge w:val="continue"/>
            <w:shd w:val="clear" w:color="auto" w:fill="auto"/>
            <w:vAlign w:val="center"/>
          </w:tcPr>
          <w:p>
            <w:pPr>
              <w:jc w:val="center"/>
              <w:rPr>
                <w:rFonts w:ascii="宋体" w:hAnsi="宋体" w:cs="宋体"/>
                <w:color w:val="000000"/>
                <w:szCs w:val="21"/>
              </w:rPr>
            </w:pPr>
          </w:p>
        </w:tc>
        <w:tc>
          <w:tcPr>
            <w:tcW w:w="93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NB-IOT无线门磁</w:t>
            </w:r>
          </w:p>
        </w:tc>
        <w:tc>
          <w:tcPr>
            <w:tcW w:w="594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无线NB门磁（室内款）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NB-IoT通讯方式；支持远端配置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双干簧管设计，安装灵活方便</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探测距离：&gt;20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防拆保护：开盖</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设备供电：CR123A 3.0V，正常供电约2年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工作温度：-10℃～+55℃；工作湿度：10%-90%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尺寸(宽x高x深)：104.69mm*25.84mm*28.98mm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重量：211g</w:t>
            </w:r>
          </w:p>
        </w:tc>
        <w:tc>
          <w:tcPr>
            <w:tcW w:w="474"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7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w:t>
            </w:r>
          </w:p>
        </w:tc>
        <w:tc>
          <w:tcPr>
            <w:tcW w:w="105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海康威视、凯思特、黑铁砖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542"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780" w:type="dxa"/>
            <w:vMerge w:val="continue"/>
            <w:shd w:val="clear" w:color="auto" w:fill="auto"/>
            <w:vAlign w:val="center"/>
          </w:tcPr>
          <w:p>
            <w:pPr>
              <w:jc w:val="center"/>
              <w:rPr>
                <w:rFonts w:ascii="宋体" w:hAnsi="宋体" w:cs="宋体"/>
                <w:color w:val="000000"/>
                <w:szCs w:val="21"/>
              </w:rPr>
            </w:pPr>
          </w:p>
        </w:tc>
        <w:tc>
          <w:tcPr>
            <w:tcW w:w="93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智能水表读表器</w:t>
            </w:r>
          </w:p>
        </w:tc>
        <w:tc>
          <w:tcPr>
            <w:tcW w:w="594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nb-lot通讯，电池容量8500mAh,视频拍照采集水表，外置天线</w:t>
            </w:r>
          </w:p>
        </w:tc>
        <w:tc>
          <w:tcPr>
            <w:tcW w:w="474"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7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w:t>
            </w:r>
          </w:p>
        </w:tc>
        <w:tc>
          <w:tcPr>
            <w:tcW w:w="105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海康威视、凯思特、黑铁砖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1" w:hRule="atLeast"/>
          <w:jc w:val="center"/>
        </w:trPr>
        <w:tc>
          <w:tcPr>
            <w:tcW w:w="542"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780" w:type="dxa"/>
            <w:vMerge w:val="continue"/>
            <w:shd w:val="clear" w:color="auto" w:fill="auto"/>
            <w:vAlign w:val="center"/>
          </w:tcPr>
          <w:p>
            <w:pPr>
              <w:jc w:val="center"/>
              <w:rPr>
                <w:rFonts w:ascii="宋体" w:hAnsi="宋体" w:cs="宋体"/>
                <w:color w:val="000000"/>
                <w:szCs w:val="21"/>
              </w:rPr>
            </w:pPr>
          </w:p>
        </w:tc>
        <w:tc>
          <w:tcPr>
            <w:tcW w:w="93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管理平台</w:t>
            </w:r>
          </w:p>
        </w:tc>
        <w:tc>
          <w:tcPr>
            <w:tcW w:w="594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1、支持管理最大组织数2000个，组织层级最大10级；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2、支持管理最大区域数2000个，区域层级最大10级。；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3、支持管理最大人员数量5万；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4、支持管理最大卡片数量5万；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5、支持管理最大车辆数量3万；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6、支持最大的在线用户数1000个，并发登录用户数50个。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7、支持最大事件并发处理500条/秒（不带图片）；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8、支持联动上墙并发1次/秒；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9、支持最大每秒联动100个不同的视频点位进行抓图；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10、支持最大每秒联动100个不同的视频点位进行录像；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11、支持联动并发发邮件2封/秒；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12、支持短信联动（云信留客短信网关：1-2秒/条；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短信猫：70字符以下，10秒/条；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70字符以上分条发送，20秒/条；）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13、支持最大事件存储7200万条；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14、支持管理资源上图数量2万个。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备注：以上是单台服务器部署系统基础规格，超出规格需考虑分布式部署。</w:t>
            </w:r>
          </w:p>
        </w:tc>
        <w:tc>
          <w:tcPr>
            <w:tcW w:w="474"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47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5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海康威视、凯思特、黑铁砖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4" w:hRule="atLeast"/>
          <w:jc w:val="center"/>
        </w:trPr>
        <w:tc>
          <w:tcPr>
            <w:tcW w:w="542"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780" w:type="dxa"/>
            <w:vMerge w:val="continue"/>
            <w:shd w:val="clear" w:color="auto" w:fill="auto"/>
            <w:vAlign w:val="center"/>
          </w:tcPr>
          <w:p>
            <w:pPr>
              <w:jc w:val="center"/>
              <w:rPr>
                <w:rFonts w:ascii="宋体" w:hAnsi="宋体" w:cs="宋体"/>
                <w:color w:val="000000"/>
                <w:szCs w:val="21"/>
              </w:rPr>
            </w:pPr>
          </w:p>
        </w:tc>
        <w:tc>
          <w:tcPr>
            <w:tcW w:w="93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管理服务器</w:t>
            </w:r>
          </w:p>
        </w:tc>
        <w:tc>
          <w:tcPr>
            <w:tcW w:w="5947"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4210R×1/32G DDR4/1.2T 10K  SAS×2(RAID_1)/SAS_HBA/1GbE×2/550W(1+1)/2U/16DIMM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2U双路标准机架式服务器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CPU：1颗intel至强系列处理器，核数≥10核，主频≥2.4GHz</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内存：16G*2 DDR4，16根内存插槽，最大支持扩展至2TB内存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硬盘：2块1.2T 10K 2.5寸 SAS硬盘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阵列卡：SAS_HBA卡, 支持RAID 0/1/10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PCIE扩展：最大可支持6个PCIE扩展插槽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网口：2个千兆电口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其他接口：1个RJ45管理接口，后置2个USB 3.0接口，前置2个USB2.0接口，1个VGA接口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电源：标配550W（1+1）高效铂金CRPS冗余电源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机箱规格：87.8mm(高)x 448mm(宽)x729.8mm(深)</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设备重量：约26KG（含导轨）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操作系统：HIK OS</w:t>
            </w:r>
          </w:p>
        </w:tc>
        <w:tc>
          <w:tcPr>
            <w:tcW w:w="474"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7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5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海康威视、凯思特、黑铁砖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7" w:hRule="atLeast"/>
          <w:jc w:val="center"/>
        </w:trPr>
        <w:tc>
          <w:tcPr>
            <w:tcW w:w="542"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717" w:type="dxa"/>
            <w:gridSpan w:val="2"/>
            <w:shd w:val="clear" w:color="auto" w:fill="auto"/>
            <w:vAlign w:val="center"/>
          </w:tcPr>
          <w:p>
            <w:pPr>
              <w:jc w:val="center"/>
              <w:rPr>
                <w:rFonts w:ascii="宋体" w:hAnsi="宋体" w:cs="宋体"/>
                <w:color w:val="000000"/>
                <w:szCs w:val="21"/>
              </w:rPr>
            </w:pPr>
            <w:r>
              <w:rPr>
                <w:rFonts w:hint="eastAsia" w:ascii="宋体" w:hAnsi="宋体" w:cs="宋体"/>
                <w:kern w:val="0"/>
                <w:szCs w:val="21"/>
                <w:lang w:bidi="ar"/>
              </w:rPr>
              <w:t>安装调试施工</w:t>
            </w:r>
          </w:p>
        </w:tc>
        <w:tc>
          <w:tcPr>
            <w:tcW w:w="5947" w:type="dxa"/>
            <w:shd w:val="clear" w:color="auto" w:fill="auto"/>
            <w:vAlign w:val="center"/>
          </w:tcPr>
          <w:p>
            <w:pPr>
              <w:jc w:val="center"/>
              <w:rPr>
                <w:rFonts w:ascii="宋体" w:hAnsi="宋体" w:cs="宋体"/>
                <w:color w:val="000000"/>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74" w:type="dxa"/>
            <w:shd w:val="clear" w:color="auto" w:fill="auto"/>
            <w:vAlign w:val="center"/>
          </w:tcPr>
          <w:p>
            <w:pPr>
              <w:jc w:val="center"/>
              <w:rPr>
                <w:rFonts w:ascii="宋体" w:hAnsi="宋体" w:cs="宋体"/>
                <w:color w:val="000000"/>
                <w:szCs w:val="21"/>
              </w:rPr>
            </w:pPr>
            <w:r>
              <w:rPr>
                <w:rFonts w:hint="eastAsia" w:ascii="宋体" w:hAnsi="宋体" w:cs="宋体"/>
                <w:szCs w:val="21"/>
              </w:rPr>
              <w:t>项</w:t>
            </w:r>
          </w:p>
        </w:tc>
        <w:tc>
          <w:tcPr>
            <w:tcW w:w="471" w:type="dxa"/>
            <w:shd w:val="clear" w:color="auto" w:fill="auto"/>
            <w:vAlign w:val="center"/>
          </w:tcPr>
          <w:p>
            <w:pPr>
              <w:jc w:val="center"/>
              <w:rPr>
                <w:rFonts w:ascii="宋体" w:hAnsi="宋体" w:cs="宋体"/>
                <w:color w:val="000000"/>
                <w:szCs w:val="21"/>
              </w:rPr>
            </w:pPr>
            <w:r>
              <w:rPr>
                <w:rFonts w:hint="eastAsia" w:ascii="宋体" w:hAnsi="宋体" w:cs="宋体"/>
                <w:szCs w:val="21"/>
              </w:rPr>
              <w:t>1</w:t>
            </w:r>
          </w:p>
        </w:tc>
        <w:tc>
          <w:tcPr>
            <w:tcW w:w="1051"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定制</w:t>
            </w:r>
          </w:p>
        </w:tc>
      </w:tr>
    </w:tbl>
    <w:p>
      <w:pPr>
        <w:rPr>
          <w:rFonts w:hAnsi="宋体" w:cs="宋体"/>
        </w:rPr>
      </w:pPr>
      <w:r>
        <w:rPr>
          <w:rFonts w:hint="eastAsia" w:hAnsi="宋体" w:cs="宋体"/>
        </w:rPr>
        <w:br w:type="page"/>
      </w:r>
    </w:p>
    <w:p>
      <w:pPr>
        <w:pStyle w:val="7"/>
      </w:pPr>
      <w:r>
        <w:rPr>
          <w:rFonts w:hint="eastAsia"/>
        </w:rPr>
        <w:t>11、智慧消防建设</w:t>
      </w:r>
    </w:p>
    <w:tbl>
      <w:tblPr>
        <w:tblStyle w:val="50"/>
        <w:tblW w:w="10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975"/>
        <w:gridCol w:w="1605"/>
        <w:gridCol w:w="5129"/>
        <w:gridCol w:w="495"/>
        <w:gridCol w:w="465"/>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6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975" w:type="dxa"/>
            <w:shd w:val="clear" w:color="auto" w:fill="auto"/>
            <w:vAlign w:val="center"/>
          </w:tcPr>
          <w:p>
            <w:pPr>
              <w:widowControl/>
              <w:jc w:val="left"/>
              <w:textAlignment w:val="center"/>
              <w:rPr>
                <w:rFonts w:ascii="宋体" w:hAnsi="宋体" w:cs="宋体"/>
                <w:b/>
                <w:bCs/>
                <w:color w:val="000000"/>
                <w:szCs w:val="21"/>
              </w:rPr>
            </w:pPr>
            <w:r>
              <w:rPr>
                <w:rFonts w:hint="eastAsia" w:ascii="宋体" w:hAnsi="宋体" w:cs="宋体"/>
                <w:b/>
                <w:bCs/>
                <w:color w:val="000000"/>
                <w:kern w:val="0"/>
                <w:szCs w:val="21"/>
                <w:lang w:bidi="ar"/>
              </w:rPr>
              <w:t>功能点及场景</w:t>
            </w:r>
          </w:p>
        </w:tc>
        <w:tc>
          <w:tcPr>
            <w:tcW w:w="1605" w:type="dxa"/>
            <w:shd w:val="clear" w:color="auto" w:fill="auto"/>
            <w:vAlign w:val="center"/>
          </w:tcPr>
          <w:p>
            <w:pPr>
              <w:widowControl/>
              <w:jc w:val="left"/>
              <w:textAlignment w:val="center"/>
              <w:rPr>
                <w:rFonts w:ascii="宋体" w:hAnsi="宋体" w:cs="宋体"/>
                <w:b/>
                <w:bCs/>
                <w:color w:val="000000"/>
                <w:szCs w:val="21"/>
              </w:rPr>
            </w:pPr>
            <w:r>
              <w:rPr>
                <w:rFonts w:hint="eastAsia" w:ascii="宋体" w:hAnsi="宋体" w:cs="宋体"/>
                <w:b/>
                <w:bCs/>
                <w:color w:val="000000"/>
                <w:kern w:val="0"/>
                <w:szCs w:val="21"/>
                <w:lang w:bidi="ar"/>
              </w:rPr>
              <w:t>硬件名称</w:t>
            </w:r>
          </w:p>
        </w:tc>
        <w:tc>
          <w:tcPr>
            <w:tcW w:w="5129" w:type="dxa"/>
            <w:shd w:val="clear" w:color="auto" w:fill="auto"/>
            <w:vAlign w:val="center"/>
          </w:tcPr>
          <w:p>
            <w:pPr>
              <w:widowControl/>
              <w:jc w:val="left"/>
              <w:textAlignment w:val="center"/>
              <w:rPr>
                <w:rFonts w:ascii="宋体" w:hAnsi="宋体" w:cs="宋体"/>
                <w:b/>
                <w:bCs/>
                <w:color w:val="000000"/>
                <w:szCs w:val="21"/>
              </w:rPr>
            </w:pPr>
            <w:r>
              <w:rPr>
                <w:rFonts w:hint="eastAsia" w:ascii="宋体" w:hAnsi="宋体" w:cs="宋体"/>
                <w:b/>
                <w:bCs/>
                <w:color w:val="000000"/>
                <w:kern w:val="0"/>
                <w:szCs w:val="21"/>
                <w:lang w:bidi="ar"/>
              </w:rPr>
              <w:t>功能参数</w:t>
            </w:r>
          </w:p>
        </w:tc>
        <w:tc>
          <w:tcPr>
            <w:tcW w:w="49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465"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1006" w:type="dxa"/>
            <w:shd w:val="clear" w:color="auto" w:fill="auto"/>
            <w:vAlign w:val="center"/>
          </w:tcPr>
          <w:p>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1"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75" w:type="dxa"/>
            <w:vMerge w:val="restart"/>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智慧消防</w:t>
            </w: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NB独立式感烟火灾探测报警器</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【独立式光电感烟火灾探测报警器(NB-IoT)】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产品认证：CCCF强制认证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通讯模块：NB-Iot通讯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工作原理：光电式、热敏元件感温</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工作电压：DC3.0V（锂电池）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工作电流：静态电流≤13μA，报警电流≤150mA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感温报警：定温57℃，差温约8℃/min</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报警方式：声光报警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报警音量：≥85dB@3m（A计权）</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报警分类：火灾报警、低压报警、故障报警、防拆报警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其他功能：自检按键、本地/远程消音、信号查询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电池寿命：3年（根据实际使用情况而定）</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使用环境：温度：-10℃～55℃， 相对湿度：≤95% （无凝露）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外形尺寸：φ120×高度55.5（mm）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重量：约200g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安装方式：螺钉固定/背胶固定</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执行标准：GB20517-2006★具备抗水汽干扰功能，能够在水汽环境中防止误报，并在水汽环境出现烟雾时能正常报警。（提供国家级检验机构委托检验报告复印件）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★在进行温度探测报警时，支持差温和定温报警功能。当环境温度达到57℃时或环境空气温度变化≥8℃/min,会发生报警。（提供国家级检验机构委托检验报告复印件）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★二级报警功能：在平台软件上可以展示二级报警，一级：感烟报警、感温报警；二级：感温报警或烟感报警（提供国家级检验机构委托检验报告复印件）</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1006" w:type="dxa"/>
            <w:shd w:val="clear" w:color="auto" w:fill="auto"/>
            <w:vAlign w:val="center"/>
          </w:tcPr>
          <w:p>
            <w:pPr>
              <w:widowControl/>
              <w:textAlignment w:val="center"/>
              <w:rPr>
                <w:rFonts w:ascii="宋体" w:hAnsi="宋体" w:cs="宋体"/>
                <w:color w:val="000000"/>
                <w:szCs w:val="21"/>
              </w:rPr>
            </w:pPr>
            <w:r>
              <w:rPr>
                <w:rFonts w:hint="eastAsia" w:ascii="宋体" w:hAnsi="宋体" w:cs="宋体"/>
                <w:color w:val="00000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9"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消火栓系统无线数显压力表（NB通讯）</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【无线数显压力表】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通讯方式：NB通讯方式</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电池供电：3.6V/7.2AH，可正常工作3年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测量范围：0~2.5MPa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响应时间：≤6mS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功耗：≤1.2mA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测量精度：±0.5%FS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过载压力：200%FS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爆破压力：500%FS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温度漂移：0.3%FS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零点漂移：0.2%/年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工作温度：-20~70℃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工作湿度：5%~95%RH（无凝露）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防护等级：IP68</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重量：400g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方式：壁挂式★所投的消防水系统设备采用一体式结构，传感器和主机一体式设计，可实现压力或液位数据获取，并能在屏幕上显示电池电量、信号强度、设备状态和实时数据值。（提供国家级检验机构委托检验报告复印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★测量精度满足0.4%FS的要求（提供国家级检验机构委托检验报告复印件）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★设备休眠电流＜4.92μA，发射电流＜401.5mA（提供国家级检验机构委托检验报告复印件）</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6"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智慧水采集终端</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【智慧用水采集终端】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通讯方式：4G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供电电压：AC 220V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接口：10路模拟量输入、8路开关量输入、4路开关量输出、2路RS485；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工作温度：-10~55℃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工作湿度：5%~95%RH（无凝露）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防护等级：IP30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尺寸：350*250*50mm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重量：5230g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安装方式：壁挂式</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4"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压力变送器</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【压力变送器】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测量范围：0~2.5MPa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输出：4-20mA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允许输入电压范围：12-30V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响应时间：≤6mS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设备供电： 12V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测量精度：±0.5%FS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补偿温度：-10~70℃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介质温度：0~70℃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温度漂移：3%FS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零点漂移：0.2%/年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绝缘：200MΩ/500V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工作温度：0~85℃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过载压力：200%FS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爆破压力：500%FS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防护等级：IP65</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6"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液位变送器</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【液位变送器】</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量程：0~5m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允许输入电压范围：12-30V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绝缘：≤200MΩ/250V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响应时间：≤6mS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设备供电： 12V</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测量精度：±0.5%FS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补偿温度：0~60℃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介质温度：0~60℃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温度漂移：3%FS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零点漂移：0.2%/年</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工作温度：-30~85℃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过载压力：300%FS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爆破压力：600%FS</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防护等级：IP68</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8"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室外消火栓智能采集终端</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【室外消火栓智能采集终端（NB-IOT） 全网通模组】</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工作模式：定时主动上报，上报周期可任意设置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通讯方式：NB-IOT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工业时钟：内置工业时钟，自动校时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数据间隔：采样时间间隔、上报时间间隔可设置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参数设置：本地串口设置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测量范围：0～2.5MPa，其他量程可定制</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过程连接：M20*1.5MM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供电方式：高能锂亚电池供电，30分钟上传一次可使用三年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工作电流：休眠&lt;5uA,发射&lt;200mA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工作环境：温度：-20℃～70℃，湿度：＜90%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防护等级：IP65，防水、防尘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外形尺寸：210 × 100 × 63mm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重量：≤3kg</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NB-IoT物联网卡</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szCs w:val="21"/>
              </w:rPr>
              <w:t>满足两年使用</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张</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62</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运营商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行为分析超脑</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【行为分析超脑】内置2颗GPU，每颗GPU支持以下智能分析功能五选一；</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1、安全帽佩戴检测（未佩戴检测报警）</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支持安全帽佩戴/未佩戴检测报警，可关联人脸；</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实时视频分析 200W及以下 4路/GPU，200W~400W 2路/GPU，400W~800W 1路/GPU</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轮巡视频分析 200W~800W 16路/GPU（每次分析1路，间隔60秒~3600秒）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2、岗位事件分析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岗位事件包含：离岗/睡岗、玩手机、人数异常、人员滞留</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实时视频分析 200W及以下 4路/GPU，200W~400W 2路/GPU，400W~800W 1路/GPU</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轮巡视频分析 200W~800W 16路/GPU（每次分析1路，间隔60秒~3600秒）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3、街面行为分析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街面事件包含：人员奔跑、人员聚集、剧烈运动、人员倒地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实时视频分析 200W及以下 4路/GPU，200W~400W 2路/GPU，400W~800W 1路/GPU</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轮巡视频分析 200W~800W 16路/GPU（每次分析1路，间隔60秒~3600秒）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4、小场景人数统计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包括倾斜客流统计，区域人数统计</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（架设方式与常规倾斜客流场景一致，场景内目标不大于64个）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实时视频分析 200W及以下 4路/GPU，200W~400W 2路/GPU，400W~800W 1路/GPU</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轮巡视频分析 200W~800W 16路/GPU（每次分析1路，间隔60秒~3600秒）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5、街道事件分析</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街道事件包含：</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摊位管理：店外经营、游摊小贩、占道经营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街面管理：乱堆物料、经营撑伞、违规广告、沿街晾晒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垃圾管理：打包垃圾、晾晒垃圾、垃圾箱满溢</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车辆管理：非机动车和机动车违停</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接入前端视频流（200W~800W），支持32路定时抓图分析（抓图间隔最低30秒）</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硬件规格：</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2U标准机箱</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1个eSATA接口，8个SATA接口， 已内置4块8T硬盘</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2个HDMI，2个VGA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2个千兆网口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2个USB2.0接口（前置）、1个USB3.0接口（后置）</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报警IO：16进8出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软件性能：</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支持32个人脸库，总库最大支持10万张人脸图片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输入/输出带宽：320M/256M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32路H.265、H.264编码混合自适应接入</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最大支持16路1080P解码，最大支持16路同步回放</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支持GB28181、Ehome和萤石协议接入平台。</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支持RAID0、RAID1、RAID5、RAID6和RAID10，支持全局热备</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 xml:space="preserve">★支持离线模型（本地）和在线模型（平台下发）两种模型导入方式 （以公安部检测报告为准）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★支持将导入模型与设备引擎绑定并进行配置 （以公安部检测报告为准）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★支持手动对不同的模型进行切换 （以公安部检测报告为准）</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★支持展示已添加的模型包数 （以公安部检测报告为准）</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975" w:type="dxa"/>
            <w:vMerge w:val="continue"/>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消防通道占道</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400万 1/1.8" 消防通道车辆占道检测全彩筒型网络摄像机</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支持室外消防通道停车侦测，对超过配置停留时间的车辆产生报警，并进行车牌的识别；</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支持消防通道停车侦测报警联动报警输出，事件结果可通过SDK上传中心，图片可上传FTP</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最低照度: 彩色：0.0005 Lux @（F1.0，AGC ON）；黑白：0.0001 Lux @（F1.0，AGC ON），0 Lux with Light</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宽动态: 超宽动态范围达120 dB，室内逆光环境下监控</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焦距&amp;视场角: （变焦）3.3~9 mm @F1.0，水平视场角：92.3°~48°，垂直视场角：48.4°~27°，对角线视场角：112.2°~55°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白光距离: 最远可达30 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最大图像尺寸: 2688 × 1520</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视频压缩标准: H.265/H.264/MJPEG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网络存储: 支持Micro SD(即TF卡)/Micro SDHC /Micro SDXC卡（最大256GB）断网本地存储及断网续传，NAS（NFS，SMB/CIFS均支持），配合海康黑卡支持SD卡加密及SD卡状态检测</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音频: 1路输入（Line in）（3.5 mm）；1路输出（3.5 mm）；2个内置麦克风（拾音范围最远7 m），1个内置扬声器（覆盖范围最大100 ㎡）</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报警: 2路输入，2路输出（报警输出最大支持AC/DC24 V，1 A）</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具有RS-485</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复位: 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网络: 1个RJ45 10 M/100 M自适应以太网口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电源输出: DC12 V，100 mA，用于拾音器供电</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过线计数: 支持</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启动和工作温湿度: -30 ℃~60 ℃，湿度小于95%（无凝结）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存储温湿度: -30 ℃~60 ℃，湿度小于95%（无凝结）</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供电方式: DC：12 V ± 20%；PoE：802.3at，Class 4</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电流及功耗: DC：12 V，0.96 A，最大功耗：11.5 W；PoE：802.3at，42.5 V~57 V，0.32 A~0.23 A，最大功耗：13.5 W</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电源接口类型: 三芯电源接口</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产品尺寸: 203.4 × 107.7 × 107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包装尺寸: 386 × 156 × 155 mm</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设备重量: 1200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带包装重量: 1850 g</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防护: IP66</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★像元尺寸不小于2.9um×2.9um。（公安部检验报告证明）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★支持固件安全检验功能，摄像机uboot应采用加密存储，通过离线烧写存储器方式写入的uboot执行程序，不能被硬件微引导程序加载执行。（公安部检验报告证明）</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★支持硬件微引导程序、uboot、OS、应用软件逐级校验功能，非法篡改的uboot、OS、应用软件固件包，不能通过命令行、浏览器、客户端方式进行升级。（公安部检验报告证明）</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4"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975" w:type="dxa"/>
            <w:vMerge w:val="restart"/>
            <w:shd w:val="clear" w:color="auto" w:fill="auto"/>
            <w:vAlign w:val="center"/>
          </w:tcPr>
          <w:p>
            <w:pPr>
              <w:jc w:val="center"/>
              <w:rPr>
                <w:rFonts w:ascii="宋体" w:hAnsi="宋体" w:cs="宋体"/>
                <w:color w:val="000000"/>
                <w:szCs w:val="21"/>
              </w:rPr>
            </w:pPr>
          </w:p>
        </w:tc>
        <w:tc>
          <w:tcPr>
            <w:tcW w:w="1605"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智慧安消平台软件（软硬件一体）</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1、支持监控点数量10W个（超过5000需要分布式部署）；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2、支持并发取流带宽2000M，例如以2M/路计算最大并发路数为1000路 （以千兆服务器为例，每台服务器并发取流带宽为600M，超过600M需要分布式部署）；</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3、解码能力：在i7、GTX1070的PC上，解码H264、720P的视频36路；</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4、支持电视墙最大场景数128个；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5、单个电视墙最大支持数量25*25个；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6、单个窗口最大分割数量16个。</w:t>
            </w:r>
          </w:p>
        </w:tc>
        <w:tc>
          <w:tcPr>
            <w:tcW w:w="495"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465"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06" w:type="dxa"/>
            <w:vMerge w:val="restart"/>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海康威视、大华、英飞拓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975" w:type="dxa"/>
            <w:vMerge w:val="continue"/>
            <w:shd w:val="clear" w:color="auto" w:fill="auto"/>
            <w:vAlign w:val="center"/>
          </w:tcPr>
          <w:p>
            <w:pPr>
              <w:jc w:val="center"/>
              <w:rPr>
                <w:rFonts w:ascii="宋体" w:hAnsi="宋体" w:cs="宋体"/>
                <w:color w:val="000000"/>
                <w:szCs w:val="21"/>
              </w:rPr>
            </w:pPr>
          </w:p>
        </w:tc>
        <w:tc>
          <w:tcPr>
            <w:tcW w:w="1605" w:type="dxa"/>
            <w:vMerge w:val="continue"/>
            <w:shd w:val="clear" w:color="auto" w:fill="auto"/>
            <w:vAlign w:val="center"/>
          </w:tcPr>
          <w:p>
            <w:pPr>
              <w:jc w:val="center"/>
              <w:rPr>
                <w:rFonts w:ascii="宋体" w:hAnsi="宋体" w:cs="宋体"/>
                <w:color w:val="000000"/>
                <w:szCs w:val="21"/>
              </w:rPr>
            </w:pP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水灾报警检测、消防水系统检测等</w:t>
            </w:r>
          </w:p>
        </w:tc>
        <w:tc>
          <w:tcPr>
            <w:tcW w:w="495" w:type="dxa"/>
            <w:vMerge w:val="continue"/>
            <w:shd w:val="clear" w:color="auto" w:fill="auto"/>
            <w:vAlign w:val="center"/>
          </w:tcPr>
          <w:p>
            <w:pPr>
              <w:jc w:val="center"/>
              <w:rPr>
                <w:rFonts w:ascii="宋体" w:hAnsi="宋体" w:cs="宋体"/>
                <w:color w:val="000000"/>
                <w:szCs w:val="21"/>
              </w:rPr>
            </w:pPr>
          </w:p>
        </w:tc>
        <w:tc>
          <w:tcPr>
            <w:tcW w:w="465" w:type="dxa"/>
            <w:vMerge w:val="continue"/>
            <w:shd w:val="clear" w:color="auto" w:fill="auto"/>
            <w:vAlign w:val="center"/>
          </w:tcPr>
          <w:p>
            <w:pPr>
              <w:jc w:val="center"/>
              <w:rPr>
                <w:rFonts w:ascii="宋体" w:hAnsi="宋体" w:cs="宋体"/>
                <w:color w:val="000000"/>
                <w:szCs w:val="21"/>
              </w:rPr>
            </w:pPr>
          </w:p>
        </w:tc>
        <w:tc>
          <w:tcPr>
            <w:tcW w:w="1006" w:type="dxa"/>
            <w:vMerge w:val="continue"/>
            <w:shd w:val="clear" w:color="auto" w:fill="auto"/>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975" w:type="dxa"/>
            <w:vMerge w:val="continue"/>
            <w:shd w:val="clear" w:color="auto" w:fill="auto"/>
            <w:vAlign w:val="center"/>
          </w:tcPr>
          <w:p>
            <w:pPr>
              <w:jc w:val="center"/>
              <w:rPr>
                <w:rFonts w:ascii="宋体" w:hAnsi="宋体" w:cs="宋体"/>
                <w:color w:val="000000"/>
                <w:szCs w:val="21"/>
              </w:rPr>
            </w:pPr>
          </w:p>
        </w:tc>
        <w:tc>
          <w:tcPr>
            <w:tcW w:w="1605" w:type="dxa"/>
            <w:vMerge w:val="continue"/>
            <w:shd w:val="clear" w:color="auto" w:fill="auto"/>
            <w:vAlign w:val="center"/>
          </w:tcPr>
          <w:p>
            <w:pPr>
              <w:jc w:val="center"/>
              <w:rPr>
                <w:rFonts w:ascii="宋体" w:hAnsi="宋体" w:cs="宋体"/>
                <w:color w:val="000000"/>
                <w:szCs w:val="21"/>
              </w:rPr>
            </w:pP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支持接入用水主机、室外消防栓、一体式无线压力液位表等设备，接入协议包含防国标扩展协议、NB协议，实现消防水系统的信号、电量、液位、水压的监测。</w:t>
            </w:r>
          </w:p>
        </w:tc>
        <w:tc>
          <w:tcPr>
            <w:tcW w:w="495" w:type="dxa"/>
            <w:vMerge w:val="continue"/>
            <w:shd w:val="clear" w:color="auto" w:fill="auto"/>
            <w:vAlign w:val="center"/>
          </w:tcPr>
          <w:p>
            <w:pPr>
              <w:jc w:val="center"/>
              <w:rPr>
                <w:rFonts w:ascii="宋体" w:hAnsi="宋体" w:cs="宋体"/>
                <w:color w:val="000000"/>
                <w:szCs w:val="21"/>
              </w:rPr>
            </w:pPr>
          </w:p>
        </w:tc>
        <w:tc>
          <w:tcPr>
            <w:tcW w:w="465" w:type="dxa"/>
            <w:vMerge w:val="continue"/>
            <w:shd w:val="clear" w:color="auto" w:fill="auto"/>
            <w:vAlign w:val="center"/>
          </w:tcPr>
          <w:p>
            <w:pPr>
              <w:jc w:val="center"/>
              <w:rPr>
                <w:rFonts w:ascii="宋体" w:hAnsi="宋体" w:cs="宋体"/>
                <w:color w:val="000000"/>
                <w:szCs w:val="21"/>
              </w:rPr>
            </w:pPr>
          </w:p>
        </w:tc>
        <w:tc>
          <w:tcPr>
            <w:tcW w:w="1006" w:type="dxa"/>
            <w:vMerge w:val="continue"/>
            <w:shd w:val="clear" w:color="auto" w:fill="auto"/>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975" w:type="dxa"/>
            <w:vMerge w:val="continue"/>
            <w:shd w:val="clear" w:color="auto" w:fill="auto"/>
            <w:vAlign w:val="center"/>
          </w:tcPr>
          <w:p>
            <w:pPr>
              <w:jc w:val="center"/>
              <w:rPr>
                <w:rFonts w:ascii="宋体" w:hAnsi="宋体" w:cs="宋体"/>
                <w:color w:val="000000"/>
                <w:szCs w:val="21"/>
              </w:rPr>
            </w:pPr>
          </w:p>
        </w:tc>
        <w:tc>
          <w:tcPr>
            <w:tcW w:w="1605" w:type="dxa"/>
            <w:vMerge w:val="continue"/>
            <w:shd w:val="clear" w:color="auto" w:fill="auto"/>
            <w:vAlign w:val="center"/>
          </w:tcPr>
          <w:p>
            <w:pPr>
              <w:jc w:val="center"/>
              <w:rPr>
                <w:rFonts w:ascii="宋体" w:hAnsi="宋体" w:cs="宋体"/>
                <w:color w:val="000000"/>
                <w:szCs w:val="21"/>
              </w:rPr>
            </w:pP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1. 支持最大监控点分组数量1000个；</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2. 支持高空抛物告警并发数量100条/秒；</w:t>
            </w:r>
          </w:p>
        </w:tc>
        <w:tc>
          <w:tcPr>
            <w:tcW w:w="495" w:type="dxa"/>
            <w:vMerge w:val="continue"/>
            <w:shd w:val="clear" w:color="auto" w:fill="auto"/>
            <w:vAlign w:val="center"/>
          </w:tcPr>
          <w:p>
            <w:pPr>
              <w:jc w:val="center"/>
              <w:rPr>
                <w:rFonts w:ascii="宋体" w:hAnsi="宋体" w:cs="宋体"/>
                <w:color w:val="000000"/>
                <w:szCs w:val="21"/>
              </w:rPr>
            </w:pPr>
          </w:p>
        </w:tc>
        <w:tc>
          <w:tcPr>
            <w:tcW w:w="465" w:type="dxa"/>
            <w:vMerge w:val="continue"/>
            <w:shd w:val="clear" w:color="auto" w:fill="auto"/>
            <w:vAlign w:val="center"/>
          </w:tcPr>
          <w:p>
            <w:pPr>
              <w:jc w:val="center"/>
              <w:rPr>
                <w:rFonts w:ascii="宋体" w:hAnsi="宋体" w:cs="宋体"/>
                <w:color w:val="000000"/>
                <w:szCs w:val="21"/>
              </w:rPr>
            </w:pPr>
          </w:p>
        </w:tc>
        <w:tc>
          <w:tcPr>
            <w:tcW w:w="1006" w:type="dxa"/>
            <w:vMerge w:val="continue"/>
            <w:shd w:val="clear" w:color="auto" w:fill="auto"/>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975" w:type="dxa"/>
            <w:vMerge w:val="continue"/>
            <w:shd w:val="clear" w:color="auto" w:fill="auto"/>
            <w:vAlign w:val="center"/>
          </w:tcPr>
          <w:p>
            <w:pPr>
              <w:jc w:val="center"/>
              <w:rPr>
                <w:rFonts w:ascii="宋体" w:hAnsi="宋体" w:cs="宋体"/>
                <w:color w:val="000000"/>
                <w:szCs w:val="21"/>
              </w:rPr>
            </w:pPr>
          </w:p>
        </w:tc>
        <w:tc>
          <w:tcPr>
            <w:tcW w:w="1605" w:type="dxa"/>
            <w:vMerge w:val="continue"/>
            <w:shd w:val="clear" w:color="auto" w:fill="auto"/>
            <w:vAlign w:val="center"/>
          </w:tcPr>
          <w:p>
            <w:pPr>
              <w:jc w:val="center"/>
              <w:rPr>
                <w:rFonts w:ascii="宋体" w:hAnsi="宋体" w:cs="宋体"/>
                <w:color w:val="000000"/>
                <w:szCs w:val="21"/>
              </w:rPr>
            </w:pP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Infovision PIE 巡检引擎软件，面向具备二次开发能力的客户或代理商，或独立使用巡检系统的用户；本产品提供了巡检业务的通用、灵活的全场景巡检框架。通过现场巡检巡检执行方式，运用物联网技术手段，驱动不同行业、不同场景巡检工作的执行</w:t>
            </w:r>
          </w:p>
        </w:tc>
        <w:tc>
          <w:tcPr>
            <w:tcW w:w="495" w:type="dxa"/>
            <w:vMerge w:val="continue"/>
            <w:shd w:val="clear" w:color="auto" w:fill="auto"/>
            <w:vAlign w:val="center"/>
          </w:tcPr>
          <w:p>
            <w:pPr>
              <w:jc w:val="center"/>
              <w:rPr>
                <w:rFonts w:ascii="宋体" w:hAnsi="宋体" w:cs="宋体"/>
                <w:color w:val="000000"/>
                <w:szCs w:val="21"/>
              </w:rPr>
            </w:pPr>
          </w:p>
        </w:tc>
        <w:tc>
          <w:tcPr>
            <w:tcW w:w="465" w:type="dxa"/>
            <w:vMerge w:val="continue"/>
            <w:shd w:val="clear" w:color="auto" w:fill="auto"/>
            <w:vAlign w:val="center"/>
          </w:tcPr>
          <w:p>
            <w:pPr>
              <w:jc w:val="center"/>
              <w:rPr>
                <w:rFonts w:ascii="宋体" w:hAnsi="宋体" w:cs="宋体"/>
                <w:color w:val="000000"/>
                <w:szCs w:val="21"/>
              </w:rPr>
            </w:pPr>
          </w:p>
        </w:tc>
        <w:tc>
          <w:tcPr>
            <w:tcW w:w="1006" w:type="dxa"/>
            <w:vMerge w:val="continue"/>
            <w:shd w:val="clear" w:color="auto" w:fill="auto"/>
            <w:vAlign w:val="center"/>
          </w:tcPr>
          <w:p>
            <w:pPr>
              <w:jc w:val="center"/>
              <w:rPr>
                <w:rFonts w:ascii="宋体"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975" w:type="dxa"/>
            <w:vMerge w:val="continue"/>
            <w:shd w:val="clear" w:color="auto" w:fill="auto"/>
            <w:vAlign w:val="center"/>
          </w:tcPr>
          <w:p>
            <w:pPr>
              <w:jc w:val="center"/>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管理终端</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CPU：Intel Core i5，SSD硬盘：240G,内存：8G，独显1G，显示器：22寸；</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975" w:type="dxa"/>
            <w:shd w:val="clear" w:color="auto" w:fill="auto"/>
            <w:vAlign w:val="center"/>
          </w:tcPr>
          <w:p>
            <w:pPr>
              <w:jc w:val="left"/>
              <w:rPr>
                <w:rFonts w:ascii="宋体" w:hAnsi="宋体" w:cs="宋体"/>
                <w:color w:val="000000"/>
                <w:szCs w:val="21"/>
              </w:rPr>
            </w:pPr>
          </w:p>
        </w:tc>
        <w:tc>
          <w:tcPr>
            <w:tcW w:w="1605"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24口千兆交换机</w:t>
            </w:r>
          </w:p>
        </w:tc>
        <w:tc>
          <w:tcPr>
            <w:tcW w:w="5129" w:type="dxa"/>
            <w:shd w:val="clear" w:color="auto" w:fill="auto"/>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交换容量 ≥52Gbps，转发性能 ≥38.7Mpps，，千兆电口≥24个，千兆光口≥2个；机架式</w:t>
            </w:r>
          </w:p>
        </w:tc>
        <w:tc>
          <w:tcPr>
            <w:tcW w:w="49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4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华为、华三、锐捷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65"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2580" w:type="dxa"/>
            <w:gridSpan w:val="2"/>
            <w:shd w:val="clear" w:color="auto" w:fill="auto"/>
            <w:vAlign w:val="center"/>
          </w:tcPr>
          <w:p>
            <w:pPr>
              <w:jc w:val="center"/>
              <w:rPr>
                <w:rFonts w:ascii="宋体" w:hAnsi="宋体" w:cs="宋体"/>
                <w:color w:val="000000"/>
                <w:szCs w:val="21"/>
              </w:rPr>
            </w:pPr>
            <w:r>
              <w:rPr>
                <w:rFonts w:hint="eastAsia" w:ascii="宋体" w:hAnsi="宋体" w:cs="宋体"/>
                <w:kern w:val="0"/>
                <w:szCs w:val="21"/>
                <w:lang w:bidi="ar"/>
              </w:rPr>
              <w:t>安装调试施工</w:t>
            </w:r>
          </w:p>
        </w:tc>
        <w:tc>
          <w:tcPr>
            <w:tcW w:w="5129" w:type="dxa"/>
            <w:shd w:val="clear" w:color="auto" w:fill="auto"/>
            <w:vAlign w:val="center"/>
          </w:tcPr>
          <w:p>
            <w:pPr>
              <w:jc w:val="center"/>
              <w:rPr>
                <w:rFonts w:ascii="宋体" w:hAnsi="宋体" w:cs="宋体"/>
                <w:color w:val="000000"/>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495" w:type="dxa"/>
            <w:shd w:val="clear" w:color="auto" w:fill="auto"/>
            <w:vAlign w:val="center"/>
          </w:tcPr>
          <w:p>
            <w:pPr>
              <w:jc w:val="center"/>
              <w:rPr>
                <w:rFonts w:ascii="宋体" w:hAnsi="宋体" w:cs="宋体"/>
                <w:color w:val="000000"/>
                <w:szCs w:val="21"/>
              </w:rPr>
            </w:pPr>
            <w:r>
              <w:rPr>
                <w:rFonts w:hint="eastAsia" w:ascii="宋体" w:hAnsi="宋体" w:cs="宋体"/>
                <w:szCs w:val="21"/>
              </w:rPr>
              <w:t>项</w:t>
            </w:r>
          </w:p>
        </w:tc>
        <w:tc>
          <w:tcPr>
            <w:tcW w:w="465" w:type="dxa"/>
            <w:shd w:val="clear" w:color="auto" w:fill="auto"/>
            <w:vAlign w:val="center"/>
          </w:tcPr>
          <w:p>
            <w:pPr>
              <w:jc w:val="center"/>
              <w:rPr>
                <w:rFonts w:ascii="宋体" w:hAnsi="宋体" w:cs="宋体"/>
                <w:color w:val="000000"/>
                <w:szCs w:val="21"/>
              </w:rPr>
            </w:pPr>
            <w:r>
              <w:rPr>
                <w:rFonts w:hint="eastAsia" w:ascii="宋体" w:hAnsi="宋体" w:cs="宋体"/>
                <w:szCs w:val="21"/>
              </w:rPr>
              <w:t>1</w:t>
            </w:r>
          </w:p>
        </w:tc>
        <w:tc>
          <w:tcPr>
            <w:tcW w:w="1006" w:type="dxa"/>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定制</w:t>
            </w:r>
          </w:p>
        </w:tc>
      </w:tr>
    </w:tbl>
    <w:p>
      <w:pPr>
        <w:rPr>
          <w:rFonts w:hAnsi="宋体" w:cs="宋体"/>
        </w:rPr>
      </w:pPr>
      <w:r>
        <w:rPr>
          <w:rFonts w:hint="eastAsia" w:hAnsi="宋体" w:cs="宋体"/>
        </w:rPr>
        <w:br w:type="page"/>
      </w:r>
    </w:p>
    <w:p>
      <w:pPr>
        <w:pStyle w:val="7"/>
      </w:pPr>
      <w:r>
        <w:rPr>
          <w:rFonts w:hint="eastAsia"/>
        </w:rPr>
        <w:t>12、架空层数字化建设</w:t>
      </w:r>
    </w:p>
    <w:tbl>
      <w:tblPr>
        <w:tblStyle w:val="50"/>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1470"/>
        <w:gridCol w:w="1207"/>
        <w:gridCol w:w="4031"/>
        <w:gridCol w:w="692"/>
        <w:gridCol w:w="996"/>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86" w:type="dxa"/>
            <w:shd w:val="clear" w:color="auto" w:fill="auto"/>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序号</w:t>
            </w:r>
          </w:p>
        </w:tc>
        <w:tc>
          <w:tcPr>
            <w:tcW w:w="1470" w:type="dxa"/>
            <w:shd w:val="clear" w:color="auto" w:fill="auto"/>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功能点及场景</w:t>
            </w:r>
          </w:p>
        </w:tc>
        <w:tc>
          <w:tcPr>
            <w:tcW w:w="1207" w:type="dxa"/>
            <w:shd w:val="clear" w:color="auto" w:fill="auto"/>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硬件名称</w:t>
            </w:r>
          </w:p>
        </w:tc>
        <w:tc>
          <w:tcPr>
            <w:tcW w:w="4031" w:type="dxa"/>
            <w:shd w:val="clear" w:color="auto" w:fill="auto"/>
            <w:noWrap/>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功能参数</w:t>
            </w:r>
          </w:p>
        </w:tc>
        <w:tc>
          <w:tcPr>
            <w:tcW w:w="692"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单位</w:t>
            </w:r>
          </w:p>
        </w:tc>
        <w:tc>
          <w:tcPr>
            <w:tcW w:w="996"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数量</w:t>
            </w:r>
          </w:p>
        </w:tc>
        <w:tc>
          <w:tcPr>
            <w:tcW w:w="838"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47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湾头社区架空层提升（1000平方米）安防监控</w:t>
            </w: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彩色筒形摄像机</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红外筒型网络摄像机</w:t>
            </w:r>
            <w:r>
              <w:rPr>
                <w:rFonts w:hint="eastAsia" w:ascii="宋体" w:hAnsi="宋体" w:cs="宋体"/>
                <w:kern w:val="0"/>
                <w:szCs w:val="21"/>
                <w:lang w:bidi="ar"/>
              </w:rPr>
              <w:br w:type="textWrapping"/>
            </w:r>
            <w:r>
              <w:rPr>
                <w:rFonts w:hint="eastAsia" w:ascii="宋体" w:hAnsi="宋体" w:cs="宋体"/>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宋体" w:hAnsi="宋体" w:cs="宋体"/>
                <w:kern w:val="0"/>
                <w:szCs w:val="21"/>
                <w:lang w:bidi="ar"/>
              </w:rPr>
              <w:br w:type="textWrapping"/>
            </w:r>
            <w:r>
              <w:rPr>
                <w:rFonts w:hint="eastAsia" w:ascii="宋体" w:hAnsi="宋体" w:cs="宋体"/>
                <w:kern w:val="0"/>
                <w:szCs w:val="21"/>
                <w:lang w:bidi="ar"/>
              </w:rPr>
              <w:t>最低照度: 彩色：0.002 Lux @（F1.2，AGC ON），0 Lux with IR</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焦距&amp;视场角:  </w:t>
            </w:r>
            <w:r>
              <w:rPr>
                <w:rFonts w:hint="eastAsia" w:ascii="宋体" w:hAnsi="宋体" w:cs="宋体"/>
                <w:kern w:val="0"/>
                <w:szCs w:val="21"/>
                <w:lang w:bidi="ar"/>
              </w:rPr>
              <w:br w:type="textWrapping"/>
            </w:r>
            <w:r>
              <w:rPr>
                <w:rFonts w:hint="eastAsia" w:ascii="宋体" w:hAnsi="宋体" w:cs="宋体"/>
                <w:kern w:val="0"/>
                <w:szCs w:val="21"/>
                <w:lang w:bidi="ar"/>
              </w:rPr>
              <w:t>4 mm，水平视场角：87.6°，垂直视场角：44.4°，对角视场角：104.9°</w:t>
            </w:r>
            <w:r>
              <w:rPr>
                <w:rFonts w:hint="eastAsia" w:ascii="宋体" w:hAnsi="宋体" w:cs="宋体"/>
                <w:kern w:val="0"/>
                <w:szCs w:val="21"/>
                <w:lang w:bidi="ar"/>
              </w:rPr>
              <w:br w:type="textWrapping"/>
            </w:r>
            <w:r>
              <w:rPr>
                <w:rFonts w:hint="eastAsia" w:ascii="宋体" w:hAnsi="宋体" w:cs="宋体"/>
                <w:kern w:val="0"/>
                <w:szCs w:val="21"/>
                <w:lang w:bidi="ar"/>
              </w:rPr>
              <w:t>6 mm，水平视场角：53.9°，垂直视场角：28.8°，对角视场角：62.8°</w:t>
            </w:r>
            <w:r>
              <w:rPr>
                <w:rFonts w:hint="eastAsia" w:ascii="宋体" w:hAnsi="宋体" w:cs="宋体"/>
                <w:kern w:val="0"/>
                <w:szCs w:val="21"/>
                <w:lang w:bidi="ar"/>
              </w:rPr>
              <w:br w:type="textWrapping"/>
            </w:r>
            <w:r>
              <w:rPr>
                <w:rFonts w:hint="eastAsia" w:ascii="宋体" w:hAnsi="宋体" w:cs="宋体"/>
                <w:kern w:val="0"/>
                <w:szCs w:val="21"/>
                <w:lang w:bidi="ar"/>
              </w:rPr>
              <w:t>8 mm，水平视场角：40.9°，垂直视场角：22.5°，对角视场角：47.4°</w:t>
            </w:r>
            <w:r>
              <w:rPr>
                <w:rFonts w:hint="eastAsia" w:ascii="宋体" w:hAnsi="宋体" w:cs="宋体"/>
                <w:kern w:val="0"/>
                <w:szCs w:val="21"/>
                <w:lang w:bidi="ar"/>
              </w:rPr>
              <w:br w:type="textWrapping"/>
            </w:r>
            <w:r>
              <w:rPr>
                <w:rFonts w:hint="eastAsia" w:ascii="宋体" w:hAnsi="宋体" w:cs="宋体"/>
                <w:kern w:val="0"/>
                <w:szCs w:val="21"/>
                <w:lang w:bidi="ar"/>
              </w:rPr>
              <w:t>12 mm，水平视场角：25.4°，垂直视场角：14.4°，对角视场角：29.1°</w:t>
            </w:r>
            <w:r>
              <w:rPr>
                <w:rFonts w:hint="eastAsia" w:ascii="宋体" w:hAnsi="宋体" w:cs="宋体"/>
                <w:kern w:val="0"/>
                <w:szCs w:val="21"/>
                <w:lang w:bidi="ar"/>
              </w:rPr>
              <w:br w:type="textWrapping"/>
            </w:r>
            <w:r>
              <w:rPr>
                <w:rFonts w:hint="eastAsia" w:ascii="宋体" w:hAnsi="宋体" w:cs="宋体"/>
                <w:kern w:val="0"/>
                <w:szCs w:val="21"/>
                <w:lang w:bidi="ar"/>
              </w:rPr>
              <w:t>补光灯类型: 红外灯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红外波长范围: 850 nm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音频: 1个内置麦克风</w:t>
            </w:r>
            <w:r>
              <w:rPr>
                <w:rFonts w:hint="eastAsia" w:ascii="宋体" w:hAnsi="宋体" w:cs="宋体"/>
                <w:kern w:val="0"/>
                <w:szCs w:val="21"/>
                <w:lang w:bidi="ar"/>
              </w:rPr>
              <w:br w:type="textWrapping"/>
            </w:r>
            <w:r>
              <w:rPr>
                <w:rFonts w:hint="eastAsia" w:ascii="宋体" w:hAnsi="宋体" w:cs="宋体"/>
                <w:kern w:val="0"/>
                <w:szCs w:val="21"/>
                <w:lang w:bidi="ar"/>
              </w:rPr>
              <w:t>产品尺寸: 186.6 × 92.7 × 87.6 mm</w:t>
            </w:r>
            <w:r>
              <w:rPr>
                <w:rFonts w:hint="eastAsia" w:ascii="宋体" w:hAnsi="宋体" w:cs="宋体"/>
                <w:kern w:val="0"/>
                <w:szCs w:val="21"/>
                <w:lang w:bidi="ar"/>
              </w:rPr>
              <w:br w:type="textWrapping"/>
            </w:r>
            <w:r>
              <w:rPr>
                <w:rFonts w:hint="eastAsia" w:ascii="宋体" w:hAnsi="宋体" w:cs="宋体"/>
                <w:kern w:val="0"/>
                <w:szCs w:val="21"/>
                <w:lang w:bidi="ar"/>
              </w:rPr>
              <w:t>包装尺寸: 235 × 120 × 125 mm</w:t>
            </w:r>
            <w:r>
              <w:rPr>
                <w:rFonts w:hint="eastAsia" w:ascii="宋体" w:hAnsi="宋体" w:cs="宋体"/>
                <w:kern w:val="0"/>
                <w:szCs w:val="21"/>
                <w:lang w:bidi="ar"/>
              </w:rPr>
              <w:br w:type="textWrapping"/>
            </w:r>
            <w:r>
              <w:rPr>
                <w:rFonts w:hint="eastAsia" w:ascii="宋体" w:hAnsi="宋体" w:cs="宋体"/>
                <w:kern w:val="0"/>
                <w:szCs w:val="21"/>
                <w:lang w:bidi="ar"/>
              </w:rPr>
              <w:t>设备重量: 600 g</w:t>
            </w:r>
            <w:r>
              <w:rPr>
                <w:rFonts w:hint="eastAsia" w:ascii="宋体" w:hAnsi="宋体" w:cs="宋体"/>
                <w:kern w:val="0"/>
                <w:szCs w:val="21"/>
                <w:lang w:bidi="ar"/>
              </w:rPr>
              <w:br w:type="textWrapping"/>
            </w:r>
            <w:r>
              <w:rPr>
                <w:rFonts w:hint="eastAsia" w:ascii="宋体" w:hAnsi="宋体" w:cs="宋体"/>
                <w:kern w:val="0"/>
                <w:szCs w:val="21"/>
                <w:lang w:bidi="ar"/>
              </w:rPr>
              <w:t>带包装重量:  785 g</w:t>
            </w:r>
            <w:r>
              <w:rPr>
                <w:rFonts w:hint="eastAsia" w:ascii="宋体" w:hAnsi="宋体" w:cs="宋体"/>
                <w:kern w:val="0"/>
                <w:szCs w:val="21"/>
                <w:lang w:bidi="ar"/>
              </w:rPr>
              <w:br w:type="textWrapping"/>
            </w:r>
            <w:r>
              <w:rPr>
                <w:rFonts w:hint="eastAsia" w:ascii="宋体" w:hAnsi="宋体" w:cs="宋体"/>
                <w:kern w:val="0"/>
                <w:szCs w:val="21"/>
                <w:lang w:bidi="ar"/>
              </w:rPr>
              <w:t>启动和工作温湿度: -30 ℃~60 ℃，湿度小于95%（无凝结）</w:t>
            </w:r>
            <w:r>
              <w:rPr>
                <w:rFonts w:hint="eastAsia" w:ascii="宋体" w:hAnsi="宋体" w:cs="宋体"/>
                <w:kern w:val="0"/>
                <w:szCs w:val="21"/>
                <w:lang w:bidi="ar"/>
              </w:rPr>
              <w:br w:type="textWrapping"/>
            </w:r>
            <w:r>
              <w:rPr>
                <w:rFonts w:hint="eastAsia" w:ascii="宋体" w:hAnsi="宋体" w:cs="宋体"/>
                <w:kern w:val="0"/>
                <w:szCs w:val="21"/>
                <w:lang w:bidi="ar"/>
              </w:rPr>
              <w:t>电流及功耗: DC：12 V，0.41 A，最大功耗：5 W；PoE：802.3af，36 V~57 V，0.18 A~0.11 A，最大功耗：6.5 W</w:t>
            </w:r>
            <w:r>
              <w:rPr>
                <w:rFonts w:hint="eastAsia" w:ascii="宋体" w:hAnsi="宋体" w:cs="宋体"/>
                <w:kern w:val="0"/>
                <w:szCs w:val="21"/>
                <w:lang w:bidi="ar"/>
              </w:rPr>
              <w:br w:type="textWrapping"/>
            </w:r>
            <w:r>
              <w:rPr>
                <w:rFonts w:hint="eastAsia" w:ascii="宋体" w:hAnsi="宋体" w:cs="宋体"/>
                <w:kern w:val="0"/>
                <w:szCs w:val="21"/>
                <w:lang w:bidi="ar"/>
              </w:rPr>
              <w:t>供电方式: DC：12 V ± 25%，支持防反接保护；PoE：802.3af，Class 3</w:t>
            </w:r>
            <w:r>
              <w:rPr>
                <w:rFonts w:hint="eastAsia" w:ascii="宋体" w:hAnsi="宋体" w:cs="宋体"/>
                <w:kern w:val="0"/>
                <w:szCs w:val="21"/>
                <w:lang w:bidi="ar"/>
              </w:rPr>
              <w:br w:type="textWrapping"/>
            </w:r>
            <w:r>
              <w:rPr>
                <w:rFonts w:hint="eastAsia" w:ascii="宋体" w:hAnsi="宋体" w:cs="宋体"/>
                <w:kern w:val="0"/>
                <w:szCs w:val="21"/>
                <w:lang w:bidi="ar"/>
              </w:rPr>
              <w:t>电源接口类型: Ø5.5 mm圆口</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692"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支架</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壁装支架/铝合金/尺寸70×97.1×173.4mm</w:t>
            </w:r>
          </w:p>
        </w:tc>
        <w:tc>
          <w:tcPr>
            <w:tcW w:w="692"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8口千兆交换机</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≥18Gbps，转发性能 ≥13.4Mpps，，千兆电口≥8个，千兆光口≥1个；机架式</w:t>
            </w:r>
          </w:p>
        </w:tc>
        <w:tc>
          <w:tcPr>
            <w:tcW w:w="692"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监控电源</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12V10A</w:t>
            </w:r>
          </w:p>
        </w:tc>
        <w:tc>
          <w:tcPr>
            <w:tcW w:w="692"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传输、辅材部分</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室内安防箱5个、千兆光纤收发器、六类室内网线、RVV2*1.0、PVC管25等；定制，500*600，含（空开、插座、绝缘板、零地排）</w:t>
            </w:r>
          </w:p>
        </w:tc>
        <w:tc>
          <w:tcPr>
            <w:tcW w:w="692"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147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江湾花苑架空层提升（800平方米）安防监控</w:t>
            </w: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红外一体化摄像机</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红外筒型网络摄像机</w:t>
            </w:r>
            <w:r>
              <w:rPr>
                <w:rFonts w:hint="eastAsia" w:ascii="宋体" w:hAnsi="宋体" w:cs="宋体"/>
                <w:kern w:val="0"/>
                <w:szCs w:val="21"/>
                <w:lang w:bidi="ar"/>
              </w:rPr>
              <w:br w:type="textWrapping"/>
            </w:r>
            <w:r>
              <w:rPr>
                <w:rFonts w:hint="eastAsia" w:ascii="宋体" w:hAnsi="宋体" w:cs="宋体"/>
                <w:kern w:val="0"/>
                <w:szCs w:val="21"/>
                <w:lang w:bidi="ar"/>
              </w:rPr>
              <w:t>支持Smart侦测：虚焦侦测，场景变更侦测，区域入侵侦测，越界侦测，进入区域侦测，离开区域侦测，物品遗留侦测，物品拿取侦测，徘徊侦测，停车侦测，人员聚集侦测，快速移动侦测，音频异常侦测，音频抖升侦测，音频抖降侦测</w:t>
            </w:r>
            <w:r>
              <w:rPr>
                <w:rFonts w:hint="eastAsia" w:ascii="宋体" w:hAnsi="宋体" w:cs="宋体"/>
                <w:kern w:val="0"/>
                <w:szCs w:val="21"/>
                <w:lang w:bidi="ar"/>
              </w:rPr>
              <w:br w:type="textWrapping"/>
            </w:r>
            <w:r>
              <w:rPr>
                <w:rFonts w:hint="eastAsia" w:ascii="宋体" w:hAnsi="宋体" w:cs="宋体"/>
                <w:kern w:val="0"/>
                <w:szCs w:val="21"/>
                <w:lang w:bidi="ar"/>
              </w:rPr>
              <w:t>最低照度: 彩色：0.002 Lux @（F1.2，AGC ON），0 Lux with IR</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焦距&amp;视场角:  </w:t>
            </w:r>
            <w:r>
              <w:rPr>
                <w:rFonts w:hint="eastAsia" w:ascii="宋体" w:hAnsi="宋体" w:cs="宋体"/>
                <w:kern w:val="0"/>
                <w:szCs w:val="21"/>
                <w:lang w:bidi="ar"/>
              </w:rPr>
              <w:br w:type="textWrapping"/>
            </w:r>
            <w:r>
              <w:rPr>
                <w:rFonts w:hint="eastAsia" w:ascii="宋体" w:hAnsi="宋体" w:cs="宋体"/>
                <w:kern w:val="0"/>
                <w:szCs w:val="21"/>
                <w:lang w:bidi="ar"/>
              </w:rPr>
              <w:t>4 mm，水平视场角：87.6°，垂直视场角：44.4°，对角视场角：104.9°</w:t>
            </w:r>
            <w:r>
              <w:rPr>
                <w:rFonts w:hint="eastAsia" w:ascii="宋体" w:hAnsi="宋体" w:cs="宋体"/>
                <w:kern w:val="0"/>
                <w:szCs w:val="21"/>
                <w:lang w:bidi="ar"/>
              </w:rPr>
              <w:br w:type="textWrapping"/>
            </w:r>
            <w:r>
              <w:rPr>
                <w:rFonts w:hint="eastAsia" w:ascii="宋体" w:hAnsi="宋体" w:cs="宋体"/>
                <w:kern w:val="0"/>
                <w:szCs w:val="21"/>
                <w:lang w:bidi="ar"/>
              </w:rPr>
              <w:t>6 mm，水平视场角：53.9°，垂直视场角：28.8°，对角视场角：62.8°</w:t>
            </w:r>
            <w:r>
              <w:rPr>
                <w:rFonts w:hint="eastAsia" w:ascii="宋体" w:hAnsi="宋体" w:cs="宋体"/>
                <w:kern w:val="0"/>
                <w:szCs w:val="21"/>
                <w:lang w:bidi="ar"/>
              </w:rPr>
              <w:br w:type="textWrapping"/>
            </w:r>
            <w:r>
              <w:rPr>
                <w:rFonts w:hint="eastAsia" w:ascii="宋体" w:hAnsi="宋体" w:cs="宋体"/>
                <w:kern w:val="0"/>
                <w:szCs w:val="21"/>
                <w:lang w:bidi="ar"/>
              </w:rPr>
              <w:t>8 mm，水平视场角：40.9°，垂直视场角：22.5°，对角视场角：47.4°</w:t>
            </w:r>
            <w:r>
              <w:rPr>
                <w:rFonts w:hint="eastAsia" w:ascii="宋体" w:hAnsi="宋体" w:cs="宋体"/>
                <w:kern w:val="0"/>
                <w:szCs w:val="21"/>
                <w:lang w:bidi="ar"/>
              </w:rPr>
              <w:br w:type="textWrapping"/>
            </w:r>
            <w:r>
              <w:rPr>
                <w:rFonts w:hint="eastAsia" w:ascii="宋体" w:hAnsi="宋体" w:cs="宋体"/>
                <w:kern w:val="0"/>
                <w:szCs w:val="21"/>
                <w:lang w:bidi="ar"/>
              </w:rPr>
              <w:t>12 mm，水平视场角：25.4°，垂直视场角：14.4°，对角视场角：29.1°</w:t>
            </w:r>
            <w:r>
              <w:rPr>
                <w:rFonts w:hint="eastAsia" w:ascii="宋体" w:hAnsi="宋体" w:cs="宋体"/>
                <w:kern w:val="0"/>
                <w:szCs w:val="21"/>
                <w:lang w:bidi="ar"/>
              </w:rPr>
              <w:br w:type="textWrapping"/>
            </w:r>
            <w:r>
              <w:rPr>
                <w:rFonts w:hint="eastAsia" w:ascii="宋体" w:hAnsi="宋体" w:cs="宋体"/>
                <w:kern w:val="0"/>
                <w:szCs w:val="21"/>
                <w:lang w:bidi="ar"/>
              </w:rPr>
              <w:t>补光灯类型: 红外灯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红外波长范围: 850 nm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音频: 1个内置麦克风</w:t>
            </w:r>
            <w:r>
              <w:rPr>
                <w:rFonts w:hint="eastAsia" w:ascii="宋体" w:hAnsi="宋体" w:cs="宋体"/>
                <w:kern w:val="0"/>
                <w:szCs w:val="21"/>
                <w:lang w:bidi="ar"/>
              </w:rPr>
              <w:br w:type="textWrapping"/>
            </w:r>
            <w:r>
              <w:rPr>
                <w:rFonts w:hint="eastAsia" w:ascii="宋体" w:hAnsi="宋体" w:cs="宋体"/>
                <w:kern w:val="0"/>
                <w:szCs w:val="21"/>
                <w:lang w:bidi="ar"/>
              </w:rPr>
              <w:t>产品尺寸: 186.6 × 92.7 × 87.6 mm</w:t>
            </w:r>
            <w:r>
              <w:rPr>
                <w:rFonts w:hint="eastAsia" w:ascii="宋体" w:hAnsi="宋体" w:cs="宋体"/>
                <w:kern w:val="0"/>
                <w:szCs w:val="21"/>
                <w:lang w:bidi="ar"/>
              </w:rPr>
              <w:br w:type="textWrapping"/>
            </w:r>
            <w:r>
              <w:rPr>
                <w:rFonts w:hint="eastAsia" w:ascii="宋体" w:hAnsi="宋体" w:cs="宋体"/>
                <w:kern w:val="0"/>
                <w:szCs w:val="21"/>
                <w:lang w:bidi="ar"/>
              </w:rPr>
              <w:t>包装尺寸: 235 × 120 × 125 mm</w:t>
            </w:r>
            <w:r>
              <w:rPr>
                <w:rFonts w:hint="eastAsia" w:ascii="宋体" w:hAnsi="宋体" w:cs="宋体"/>
                <w:kern w:val="0"/>
                <w:szCs w:val="21"/>
                <w:lang w:bidi="ar"/>
              </w:rPr>
              <w:br w:type="textWrapping"/>
            </w:r>
            <w:r>
              <w:rPr>
                <w:rFonts w:hint="eastAsia" w:ascii="宋体" w:hAnsi="宋体" w:cs="宋体"/>
                <w:kern w:val="0"/>
                <w:szCs w:val="21"/>
                <w:lang w:bidi="ar"/>
              </w:rPr>
              <w:t>设备重量: 600 g</w:t>
            </w:r>
            <w:r>
              <w:rPr>
                <w:rFonts w:hint="eastAsia" w:ascii="宋体" w:hAnsi="宋体" w:cs="宋体"/>
                <w:kern w:val="0"/>
                <w:szCs w:val="21"/>
                <w:lang w:bidi="ar"/>
              </w:rPr>
              <w:br w:type="textWrapping"/>
            </w:r>
            <w:r>
              <w:rPr>
                <w:rFonts w:hint="eastAsia" w:ascii="宋体" w:hAnsi="宋体" w:cs="宋体"/>
                <w:kern w:val="0"/>
                <w:szCs w:val="21"/>
                <w:lang w:bidi="ar"/>
              </w:rPr>
              <w:t>带包装重量:  785 g</w:t>
            </w:r>
            <w:r>
              <w:rPr>
                <w:rFonts w:hint="eastAsia" w:ascii="宋体" w:hAnsi="宋体" w:cs="宋体"/>
                <w:kern w:val="0"/>
                <w:szCs w:val="21"/>
                <w:lang w:bidi="ar"/>
              </w:rPr>
              <w:br w:type="textWrapping"/>
            </w:r>
            <w:r>
              <w:rPr>
                <w:rFonts w:hint="eastAsia" w:ascii="宋体" w:hAnsi="宋体" w:cs="宋体"/>
                <w:kern w:val="0"/>
                <w:szCs w:val="21"/>
                <w:lang w:bidi="ar"/>
              </w:rPr>
              <w:t>启动和工作温湿度: -30 ℃~60 ℃，湿度小于95%（无凝结）</w:t>
            </w:r>
            <w:r>
              <w:rPr>
                <w:rFonts w:hint="eastAsia" w:ascii="宋体" w:hAnsi="宋体" w:cs="宋体"/>
                <w:kern w:val="0"/>
                <w:szCs w:val="21"/>
                <w:lang w:bidi="ar"/>
              </w:rPr>
              <w:br w:type="textWrapping"/>
            </w:r>
            <w:r>
              <w:rPr>
                <w:rFonts w:hint="eastAsia" w:ascii="宋体" w:hAnsi="宋体" w:cs="宋体"/>
                <w:kern w:val="0"/>
                <w:szCs w:val="21"/>
                <w:lang w:bidi="ar"/>
              </w:rPr>
              <w:t>电流及功耗: DC：12 V，0.41 A，最大功耗：5 W；PoE：802.3af，36 V~57 V，0.18 A~0.11 A，最大功耗：6.5 W</w:t>
            </w:r>
            <w:r>
              <w:rPr>
                <w:rFonts w:hint="eastAsia" w:ascii="宋体" w:hAnsi="宋体" w:cs="宋体"/>
                <w:kern w:val="0"/>
                <w:szCs w:val="21"/>
                <w:lang w:bidi="ar"/>
              </w:rPr>
              <w:br w:type="textWrapping"/>
            </w:r>
            <w:r>
              <w:rPr>
                <w:rFonts w:hint="eastAsia" w:ascii="宋体" w:hAnsi="宋体" w:cs="宋体"/>
                <w:kern w:val="0"/>
                <w:szCs w:val="21"/>
                <w:lang w:bidi="ar"/>
              </w:rPr>
              <w:t>供电方式: DC：12 V ± 25%，支持防反接保护；PoE：802.3af，Class 3</w:t>
            </w:r>
            <w:r>
              <w:rPr>
                <w:rFonts w:hint="eastAsia" w:ascii="宋体" w:hAnsi="宋体" w:cs="宋体"/>
                <w:kern w:val="0"/>
                <w:szCs w:val="21"/>
                <w:lang w:bidi="ar"/>
              </w:rPr>
              <w:br w:type="textWrapping"/>
            </w:r>
            <w:r>
              <w:rPr>
                <w:rFonts w:hint="eastAsia" w:ascii="宋体" w:hAnsi="宋体" w:cs="宋体"/>
                <w:kern w:val="0"/>
                <w:szCs w:val="21"/>
                <w:lang w:bidi="ar"/>
              </w:rPr>
              <w:t>电源接口类型: Ø5.5 mm圆口</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支架</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壁装支架/铝合金/尺寸70×97.1×173.4mm</w:t>
            </w:r>
          </w:p>
        </w:tc>
        <w:tc>
          <w:tcPr>
            <w:tcW w:w="692"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8口千兆交换机</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≥18Gbps，转发性能 ≥13.4Mpps，，千兆电口≥8个，千兆光口≥1个；机架式</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监控电源</w:t>
            </w:r>
          </w:p>
        </w:tc>
        <w:tc>
          <w:tcPr>
            <w:tcW w:w="4031" w:type="dxa"/>
            <w:shd w:val="clear" w:color="auto" w:fill="auto"/>
            <w:vAlign w:val="center"/>
          </w:tcPr>
          <w:p>
            <w:pPr>
              <w:jc w:val="left"/>
              <w:rPr>
                <w:rFonts w:ascii="宋体" w:hAnsi="宋体" w:cs="宋体"/>
                <w:szCs w:val="21"/>
              </w:rPr>
            </w:pPr>
            <w:r>
              <w:rPr>
                <w:rFonts w:hint="eastAsia" w:ascii="宋体" w:hAnsi="宋体" w:cs="宋体"/>
                <w:szCs w:val="21"/>
              </w:rPr>
              <w:t>12V10A</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38"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传输、辅材部分</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室内安防箱4个、千兆光纤收发器、六类室内网线、RVV2*1.0、PVC管25等；定制，500*600，含（空开、插座、绝缘板、零地排）</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dxa"/>
            <w:vMerge w:val="restart"/>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1470"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清秀澜湾架空层提升（600平方米）安防监控</w:t>
            </w: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红外一体化摄像机</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红外筒型网络摄像机</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最低照度: 彩色：0.002 Lux @（F1.2，AGC ON），0 Lux with IR</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焦距&amp;视场角:  </w:t>
            </w:r>
            <w:r>
              <w:rPr>
                <w:rFonts w:hint="eastAsia" w:ascii="宋体" w:hAnsi="宋体" w:cs="宋体"/>
                <w:kern w:val="0"/>
                <w:szCs w:val="21"/>
                <w:lang w:bidi="ar"/>
              </w:rPr>
              <w:br w:type="textWrapping"/>
            </w:r>
            <w:r>
              <w:rPr>
                <w:rFonts w:hint="eastAsia" w:ascii="宋体" w:hAnsi="宋体" w:cs="宋体"/>
                <w:kern w:val="0"/>
                <w:szCs w:val="21"/>
                <w:lang w:bidi="ar"/>
              </w:rPr>
              <w:t>4 mm，水平视场角：87.6°，垂直视场角：44.4°，对角视场角：104.9°</w:t>
            </w:r>
            <w:r>
              <w:rPr>
                <w:rFonts w:hint="eastAsia" w:ascii="宋体" w:hAnsi="宋体" w:cs="宋体"/>
                <w:kern w:val="0"/>
                <w:szCs w:val="21"/>
                <w:lang w:bidi="ar"/>
              </w:rPr>
              <w:br w:type="textWrapping"/>
            </w:r>
            <w:r>
              <w:rPr>
                <w:rFonts w:hint="eastAsia" w:ascii="宋体" w:hAnsi="宋体" w:cs="宋体"/>
                <w:kern w:val="0"/>
                <w:szCs w:val="21"/>
                <w:lang w:bidi="ar"/>
              </w:rPr>
              <w:t>6 mm，水平视场角：53.9°，垂直视场角：28.8°，对角视场角：62.8°</w:t>
            </w:r>
            <w:r>
              <w:rPr>
                <w:rFonts w:hint="eastAsia" w:ascii="宋体" w:hAnsi="宋体" w:cs="宋体"/>
                <w:kern w:val="0"/>
                <w:szCs w:val="21"/>
                <w:lang w:bidi="ar"/>
              </w:rPr>
              <w:br w:type="textWrapping"/>
            </w:r>
            <w:r>
              <w:rPr>
                <w:rFonts w:hint="eastAsia" w:ascii="宋体" w:hAnsi="宋体" w:cs="宋体"/>
                <w:kern w:val="0"/>
                <w:szCs w:val="21"/>
                <w:lang w:bidi="ar"/>
              </w:rPr>
              <w:t>8 mm，水平视场角：40.9°，垂直视场角：22.5°，对角视场角：47.4°</w:t>
            </w:r>
            <w:r>
              <w:rPr>
                <w:rFonts w:hint="eastAsia" w:ascii="宋体" w:hAnsi="宋体" w:cs="宋体"/>
                <w:kern w:val="0"/>
                <w:szCs w:val="21"/>
                <w:lang w:bidi="ar"/>
              </w:rPr>
              <w:br w:type="textWrapping"/>
            </w:r>
            <w:r>
              <w:rPr>
                <w:rFonts w:hint="eastAsia" w:ascii="宋体" w:hAnsi="宋体" w:cs="宋体"/>
                <w:kern w:val="0"/>
                <w:szCs w:val="21"/>
                <w:lang w:bidi="ar"/>
              </w:rPr>
              <w:t>12 mm，水平视场角：25.4°，垂直视场角：14.4°，对角视场角：29.1°</w:t>
            </w:r>
            <w:r>
              <w:rPr>
                <w:rFonts w:hint="eastAsia" w:ascii="宋体" w:hAnsi="宋体" w:cs="宋体"/>
                <w:kern w:val="0"/>
                <w:szCs w:val="21"/>
                <w:lang w:bidi="ar"/>
              </w:rPr>
              <w:br w:type="textWrapping"/>
            </w:r>
            <w:r>
              <w:rPr>
                <w:rFonts w:hint="eastAsia" w:ascii="宋体" w:hAnsi="宋体" w:cs="宋体"/>
                <w:kern w:val="0"/>
                <w:szCs w:val="21"/>
                <w:lang w:bidi="ar"/>
              </w:rPr>
              <w:t>补光灯类型: 红外灯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红外波长范围: 850 nm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音频: 1个内置麦克风</w:t>
            </w:r>
            <w:r>
              <w:rPr>
                <w:rFonts w:hint="eastAsia" w:ascii="宋体" w:hAnsi="宋体" w:cs="宋体"/>
                <w:kern w:val="0"/>
                <w:szCs w:val="21"/>
                <w:lang w:bidi="ar"/>
              </w:rPr>
              <w:br w:type="textWrapping"/>
            </w:r>
            <w:r>
              <w:rPr>
                <w:rFonts w:hint="eastAsia" w:ascii="宋体" w:hAnsi="宋体" w:cs="宋体"/>
                <w:kern w:val="0"/>
                <w:szCs w:val="21"/>
                <w:lang w:bidi="ar"/>
              </w:rPr>
              <w:t>产品尺寸: 186.6 × 92.7 × 87.6 mm</w:t>
            </w:r>
            <w:r>
              <w:rPr>
                <w:rFonts w:hint="eastAsia" w:ascii="宋体" w:hAnsi="宋体" w:cs="宋体"/>
                <w:kern w:val="0"/>
                <w:szCs w:val="21"/>
                <w:lang w:bidi="ar"/>
              </w:rPr>
              <w:br w:type="textWrapping"/>
            </w:r>
            <w:r>
              <w:rPr>
                <w:rFonts w:hint="eastAsia" w:ascii="宋体" w:hAnsi="宋体" w:cs="宋体"/>
                <w:kern w:val="0"/>
                <w:szCs w:val="21"/>
                <w:lang w:bidi="ar"/>
              </w:rPr>
              <w:t>包装尺寸: 235 × 120 × 125 mm</w:t>
            </w:r>
            <w:r>
              <w:rPr>
                <w:rFonts w:hint="eastAsia" w:ascii="宋体" w:hAnsi="宋体" w:cs="宋体"/>
                <w:kern w:val="0"/>
                <w:szCs w:val="21"/>
                <w:lang w:bidi="ar"/>
              </w:rPr>
              <w:br w:type="textWrapping"/>
            </w:r>
            <w:r>
              <w:rPr>
                <w:rFonts w:hint="eastAsia" w:ascii="宋体" w:hAnsi="宋体" w:cs="宋体"/>
                <w:kern w:val="0"/>
                <w:szCs w:val="21"/>
                <w:lang w:bidi="ar"/>
              </w:rPr>
              <w:t>设备重量: 600 g</w:t>
            </w:r>
            <w:r>
              <w:rPr>
                <w:rFonts w:hint="eastAsia" w:ascii="宋体" w:hAnsi="宋体" w:cs="宋体"/>
                <w:kern w:val="0"/>
                <w:szCs w:val="21"/>
                <w:lang w:bidi="ar"/>
              </w:rPr>
              <w:br w:type="textWrapping"/>
            </w:r>
            <w:r>
              <w:rPr>
                <w:rFonts w:hint="eastAsia" w:ascii="宋体" w:hAnsi="宋体" w:cs="宋体"/>
                <w:kern w:val="0"/>
                <w:szCs w:val="21"/>
                <w:lang w:bidi="ar"/>
              </w:rPr>
              <w:t>带包装重量:  785 g</w:t>
            </w:r>
            <w:r>
              <w:rPr>
                <w:rFonts w:hint="eastAsia" w:ascii="宋体" w:hAnsi="宋体" w:cs="宋体"/>
                <w:kern w:val="0"/>
                <w:szCs w:val="21"/>
                <w:lang w:bidi="ar"/>
              </w:rPr>
              <w:br w:type="textWrapping"/>
            </w:r>
            <w:r>
              <w:rPr>
                <w:rFonts w:hint="eastAsia" w:ascii="宋体" w:hAnsi="宋体" w:cs="宋体"/>
                <w:kern w:val="0"/>
                <w:szCs w:val="21"/>
                <w:lang w:bidi="ar"/>
              </w:rPr>
              <w:t>启动和工作温湿度: -30 ℃~60 ℃，湿度小于95%（无凝结）</w:t>
            </w:r>
            <w:r>
              <w:rPr>
                <w:rFonts w:hint="eastAsia" w:ascii="宋体" w:hAnsi="宋体" w:cs="宋体"/>
                <w:kern w:val="0"/>
                <w:szCs w:val="21"/>
                <w:lang w:bidi="ar"/>
              </w:rPr>
              <w:br w:type="textWrapping"/>
            </w:r>
            <w:r>
              <w:rPr>
                <w:rFonts w:hint="eastAsia" w:ascii="宋体" w:hAnsi="宋体" w:cs="宋体"/>
                <w:kern w:val="0"/>
                <w:szCs w:val="21"/>
                <w:lang w:bidi="ar"/>
              </w:rPr>
              <w:t>电流及功耗: DC：12 V，0.41 A，最大功耗：5 W；PoE：802.3af，36 V~57 V，0.18 A~0.11 A，最大功耗：6.5 W</w:t>
            </w:r>
            <w:r>
              <w:rPr>
                <w:rFonts w:hint="eastAsia" w:ascii="宋体" w:hAnsi="宋体" w:cs="宋体"/>
                <w:kern w:val="0"/>
                <w:szCs w:val="21"/>
                <w:lang w:bidi="ar"/>
              </w:rPr>
              <w:br w:type="textWrapping"/>
            </w:r>
            <w:r>
              <w:rPr>
                <w:rFonts w:hint="eastAsia" w:ascii="宋体" w:hAnsi="宋体" w:cs="宋体"/>
                <w:kern w:val="0"/>
                <w:szCs w:val="21"/>
                <w:lang w:bidi="ar"/>
              </w:rPr>
              <w:t>供电方式: DC：12 V ± 25%，支持防反接保护；PoE：802.3af，Class 3</w:t>
            </w:r>
            <w:r>
              <w:rPr>
                <w:rFonts w:hint="eastAsia" w:ascii="宋体" w:hAnsi="宋体" w:cs="宋体"/>
                <w:kern w:val="0"/>
                <w:szCs w:val="21"/>
                <w:lang w:bidi="ar"/>
              </w:rPr>
              <w:br w:type="textWrapping"/>
            </w:r>
            <w:r>
              <w:rPr>
                <w:rFonts w:hint="eastAsia" w:ascii="宋体" w:hAnsi="宋体" w:cs="宋体"/>
                <w:kern w:val="0"/>
                <w:szCs w:val="21"/>
                <w:lang w:bidi="ar"/>
              </w:rPr>
              <w:t>电源接口类型: Ø5.5 mm圆口</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支架</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壁装支架/铝合金/尺寸70×97.1×173.4mm</w:t>
            </w:r>
          </w:p>
        </w:tc>
        <w:tc>
          <w:tcPr>
            <w:tcW w:w="692"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8口千兆交换机</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≥18Gbps，转发性能 ≥13.4Mpps，，千兆电口≥8个，千兆光口≥1个；机架式</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监控电源</w:t>
            </w:r>
          </w:p>
        </w:tc>
        <w:tc>
          <w:tcPr>
            <w:tcW w:w="4031" w:type="dxa"/>
            <w:shd w:val="clear" w:color="auto" w:fill="auto"/>
            <w:vAlign w:val="center"/>
          </w:tcPr>
          <w:p>
            <w:pPr>
              <w:jc w:val="left"/>
              <w:rPr>
                <w:rFonts w:ascii="宋体" w:hAnsi="宋体" w:cs="宋体"/>
                <w:szCs w:val="21"/>
              </w:rPr>
            </w:pPr>
            <w:r>
              <w:rPr>
                <w:rFonts w:hint="eastAsia" w:ascii="宋体" w:hAnsi="宋体" w:cs="宋体"/>
                <w:szCs w:val="21"/>
              </w:rPr>
              <w:t>12V10A</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38"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86" w:type="dxa"/>
            <w:vMerge w:val="continue"/>
            <w:shd w:val="clear" w:color="auto" w:fill="auto"/>
            <w:noWrap/>
            <w:vAlign w:val="center"/>
          </w:tcPr>
          <w:p>
            <w:pPr>
              <w:jc w:val="center"/>
              <w:rPr>
                <w:rFonts w:ascii="宋体" w:hAnsi="宋体" w:cs="宋体"/>
                <w:szCs w:val="21"/>
              </w:rPr>
            </w:pPr>
          </w:p>
        </w:tc>
        <w:tc>
          <w:tcPr>
            <w:tcW w:w="1470" w:type="dxa"/>
            <w:vMerge w:val="continue"/>
            <w:shd w:val="clear" w:color="auto" w:fill="auto"/>
            <w:vAlign w:val="center"/>
          </w:tcPr>
          <w:p>
            <w:pPr>
              <w:jc w:val="center"/>
              <w:rPr>
                <w:rFonts w:ascii="宋体" w:hAnsi="宋体" w:cs="宋体"/>
                <w:szCs w:val="21"/>
              </w:rPr>
            </w:pPr>
          </w:p>
        </w:tc>
        <w:tc>
          <w:tcPr>
            <w:tcW w:w="1207"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传输、辅材部分</w:t>
            </w:r>
          </w:p>
        </w:tc>
        <w:tc>
          <w:tcPr>
            <w:tcW w:w="4031"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室内安防箱4个、千兆光纤收发器、六类室内网线、RVV2*1.0、PVC管25等；定制，500*600，含（空开、插座、绝缘板、零地排）</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38"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86" w:type="dxa"/>
            <w:shd w:val="clear" w:color="auto" w:fill="auto"/>
            <w:noWrap/>
            <w:vAlign w:val="center"/>
          </w:tcPr>
          <w:p>
            <w:pPr>
              <w:rPr>
                <w:rFonts w:ascii="宋体" w:hAnsi="宋体" w:cs="宋体"/>
                <w:szCs w:val="21"/>
              </w:rPr>
            </w:pPr>
            <w:r>
              <w:rPr>
                <w:rFonts w:hint="eastAsia" w:ascii="宋体" w:hAnsi="宋体" w:cs="宋体"/>
                <w:szCs w:val="21"/>
              </w:rPr>
              <w:t>4</w:t>
            </w:r>
          </w:p>
        </w:tc>
        <w:tc>
          <w:tcPr>
            <w:tcW w:w="2677" w:type="dxa"/>
            <w:gridSpan w:val="2"/>
            <w:shd w:val="clear" w:color="auto" w:fill="auto"/>
            <w:noWrap/>
            <w:vAlign w:val="center"/>
          </w:tcPr>
          <w:p>
            <w:pPr>
              <w:jc w:val="center"/>
              <w:rPr>
                <w:rFonts w:ascii="宋体" w:hAnsi="宋体" w:cs="宋体"/>
                <w:szCs w:val="21"/>
              </w:rPr>
            </w:pPr>
            <w:r>
              <w:rPr>
                <w:rFonts w:hint="eastAsia" w:ascii="宋体" w:hAnsi="宋体" w:cs="宋体"/>
                <w:szCs w:val="21"/>
              </w:rPr>
              <w:t>安装施工调试</w:t>
            </w:r>
          </w:p>
        </w:tc>
        <w:tc>
          <w:tcPr>
            <w:tcW w:w="4031" w:type="dxa"/>
            <w:shd w:val="clear" w:color="auto" w:fill="auto"/>
            <w:noWrap/>
            <w:vAlign w:val="center"/>
          </w:tcPr>
          <w:p>
            <w:pPr>
              <w:jc w:val="center"/>
              <w:rPr>
                <w:rFonts w:ascii="宋体" w:hAnsi="宋体" w:cs="宋体"/>
                <w:szCs w:val="21"/>
              </w:rPr>
            </w:pPr>
            <w:r>
              <w:rPr>
                <w:rFonts w:hint="eastAsia" w:ascii="宋体" w:hAnsi="宋体" w:cs="宋体"/>
                <w:szCs w:val="21"/>
              </w:rPr>
              <w:t>安装施工调试</w:t>
            </w:r>
          </w:p>
        </w:tc>
        <w:tc>
          <w:tcPr>
            <w:tcW w:w="692" w:type="dxa"/>
            <w:shd w:val="clear" w:color="auto" w:fill="auto"/>
            <w:noWrap/>
            <w:vAlign w:val="center"/>
          </w:tcPr>
          <w:p>
            <w:pPr>
              <w:jc w:val="center"/>
              <w:rPr>
                <w:rFonts w:ascii="宋体" w:hAnsi="宋体" w:cs="宋体"/>
                <w:szCs w:val="21"/>
              </w:rPr>
            </w:pPr>
          </w:p>
        </w:tc>
        <w:tc>
          <w:tcPr>
            <w:tcW w:w="996" w:type="dxa"/>
            <w:shd w:val="clear" w:color="auto" w:fill="auto"/>
            <w:noWrap/>
            <w:vAlign w:val="center"/>
          </w:tcPr>
          <w:p>
            <w:pPr>
              <w:jc w:val="center"/>
              <w:rPr>
                <w:rFonts w:ascii="宋体" w:hAnsi="宋体" w:cs="宋体"/>
                <w:szCs w:val="21"/>
              </w:rPr>
            </w:pPr>
            <w:r>
              <w:rPr>
                <w:rFonts w:hint="eastAsia" w:ascii="宋体" w:hAnsi="宋体" w:cs="宋体"/>
                <w:szCs w:val="21"/>
              </w:rPr>
              <w:t>1</w:t>
            </w:r>
          </w:p>
        </w:tc>
        <w:tc>
          <w:tcPr>
            <w:tcW w:w="838" w:type="dxa"/>
            <w:shd w:val="clear" w:color="auto" w:fill="auto"/>
            <w:noWrap/>
            <w:vAlign w:val="center"/>
          </w:tcPr>
          <w:p>
            <w:pPr>
              <w:jc w:val="center"/>
              <w:rPr>
                <w:rFonts w:ascii="宋体" w:hAnsi="宋体" w:cs="宋体"/>
                <w:szCs w:val="21"/>
              </w:rPr>
            </w:pPr>
            <w:r>
              <w:rPr>
                <w:rFonts w:hint="eastAsia" w:ascii="宋体" w:hAnsi="宋体" w:cs="宋体"/>
                <w:szCs w:val="21"/>
              </w:rPr>
              <w:t>定制</w:t>
            </w:r>
          </w:p>
        </w:tc>
      </w:tr>
    </w:tbl>
    <w:p/>
    <w:p>
      <w:r>
        <w:rPr>
          <w:rFonts w:hint="eastAsia"/>
        </w:rPr>
        <w:br w:type="page"/>
      </w:r>
    </w:p>
    <w:p>
      <w:pPr>
        <w:pStyle w:val="7"/>
      </w:pPr>
      <w:r>
        <w:rPr>
          <w:rFonts w:hint="eastAsia"/>
        </w:rPr>
        <w:t>13、小区出入口监控建设</w:t>
      </w:r>
    </w:p>
    <w:tbl>
      <w:tblPr>
        <w:tblStyle w:val="50"/>
        <w:tblW w:w="10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879"/>
        <w:gridCol w:w="792"/>
        <w:gridCol w:w="6095"/>
        <w:gridCol w:w="545"/>
        <w:gridCol w:w="435"/>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序号</w:t>
            </w:r>
          </w:p>
        </w:tc>
        <w:tc>
          <w:tcPr>
            <w:tcW w:w="879"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功能点及场景</w:t>
            </w:r>
          </w:p>
        </w:tc>
        <w:tc>
          <w:tcPr>
            <w:tcW w:w="792"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硬件名称</w:t>
            </w:r>
          </w:p>
        </w:tc>
        <w:tc>
          <w:tcPr>
            <w:tcW w:w="6095"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功能参数</w:t>
            </w:r>
          </w:p>
        </w:tc>
        <w:tc>
          <w:tcPr>
            <w:tcW w:w="545"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单位</w:t>
            </w:r>
          </w:p>
        </w:tc>
        <w:tc>
          <w:tcPr>
            <w:tcW w:w="435"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数量</w:t>
            </w:r>
          </w:p>
        </w:tc>
        <w:tc>
          <w:tcPr>
            <w:tcW w:w="877"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一、江城国际</w:t>
            </w:r>
          </w:p>
        </w:tc>
        <w:tc>
          <w:tcPr>
            <w:tcW w:w="792" w:type="dxa"/>
            <w:shd w:val="clear" w:color="auto" w:fill="auto"/>
            <w:vAlign w:val="center"/>
          </w:tcPr>
          <w:p>
            <w:pPr>
              <w:jc w:val="center"/>
              <w:rPr>
                <w:rFonts w:ascii="宋体" w:hAnsi="宋体" w:cs="宋体"/>
                <w:szCs w:val="21"/>
              </w:rPr>
            </w:pPr>
          </w:p>
        </w:tc>
        <w:tc>
          <w:tcPr>
            <w:tcW w:w="6095" w:type="dxa"/>
            <w:shd w:val="clear" w:color="auto" w:fill="auto"/>
            <w:vAlign w:val="center"/>
          </w:tcPr>
          <w:p>
            <w:pPr>
              <w:jc w:val="center"/>
              <w:rPr>
                <w:rFonts w:ascii="宋体" w:hAnsi="宋体" w:cs="宋体"/>
                <w:szCs w:val="21"/>
              </w:rPr>
            </w:pPr>
          </w:p>
        </w:tc>
        <w:tc>
          <w:tcPr>
            <w:tcW w:w="545" w:type="dxa"/>
            <w:shd w:val="clear" w:color="auto" w:fill="auto"/>
            <w:vAlign w:val="center"/>
          </w:tcPr>
          <w:p>
            <w:pPr>
              <w:jc w:val="center"/>
              <w:rPr>
                <w:rFonts w:ascii="宋体" w:hAnsi="宋体" w:cs="宋体"/>
                <w:szCs w:val="21"/>
              </w:rPr>
            </w:pPr>
          </w:p>
        </w:tc>
        <w:tc>
          <w:tcPr>
            <w:tcW w:w="435" w:type="dxa"/>
            <w:shd w:val="clear" w:color="auto" w:fill="auto"/>
            <w:vAlign w:val="center"/>
          </w:tcPr>
          <w:p>
            <w:pPr>
              <w:jc w:val="center"/>
              <w:rPr>
                <w:rFonts w:ascii="宋体" w:hAnsi="宋体" w:cs="宋体"/>
                <w:szCs w:val="21"/>
              </w:rPr>
            </w:pPr>
          </w:p>
        </w:tc>
        <w:tc>
          <w:tcPr>
            <w:tcW w:w="877"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9" w:type="dxa"/>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消防主机 信号传输装置</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 采用高性能4G无线模块，支持移动、联通或电信网络制式；</w:t>
            </w:r>
            <w:r>
              <w:rPr>
                <w:rFonts w:hint="eastAsia" w:ascii="宋体" w:hAnsi="宋体" w:cs="宋体"/>
                <w:kern w:val="0"/>
                <w:szCs w:val="21"/>
                <w:lang w:bidi="ar"/>
              </w:rPr>
              <w:br w:type="textWrapping"/>
            </w:r>
            <w:r>
              <w:rPr>
                <w:rFonts w:hint="eastAsia" w:ascii="宋体" w:hAnsi="宋体" w:cs="宋体"/>
                <w:kern w:val="0"/>
                <w:szCs w:val="21"/>
                <w:lang w:bidi="ar"/>
              </w:rPr>
              <w:t>（2） 2 路 RS-232 通讯接口、 2 路 RS-485 通讯接口，1 路 CAN 通讯接口、 1 路 RJ45 网络通讯口,</w:t>
            </w:r>
            <w:r>
              <w:rPr>
                <w:rFonts w:hint="eastAsia" w:ascii="宋体" w:hAnsi="宋体" w:cs="宋体"/>
                <w:kern w:val="0"/>
                <w:szCs w:val="21"/>
                <w:lang w:bidi="ar"/>
              </w:rPr>
              <w:br w:type="textWrapping"/>
            </w:r>
            <w:r>
              <w:rPr>
                <w:rFonts w:hint="eastAsia" w:ascii="宋体" w:hAnsi="宋体" w:cs="宋体"/>
                <w:kern w:val="0"/>
                <w:szCs w:val="21"/>
                <w:lang w:bidi="ar"/>
              </w:rPr>
              <w:t>（3） 手动报警：具有手动火警按钮，可以向管理平台上传人工火灾报警信息 ；</w:t>
            </w:r>
            <w:r>
              <w:rPr>
                <w:rFonts w:hint="eastAsia" w:ascii="宋体" w:hAnsi="宋体" w:cs="宋体"/>
                <w:kern w:val="0"/>
                <w:szCs w:val="21"/>
                <w:lang w:bidi="ar"/>
              </w:rPr>
              <w:br w:type="textWrapping"/>
            </w:r>
            <w:r>
              <w:rPr>
                <w:rFonts w:hint="eastAsia" w:ascii="宋体" w:hAnsi="宋体" w:cs="宋体"/>
                <w:kern w:val="0"/>
                <w:szCs w:val="21"/>
                <w:lang w:bidi="ar"/>
              </w:rPr>
              <w:t>（4） 断网续传：网络断网恢复后，接续上传断网期间的数据；</w:t>
            </w:r>
            <w:r>
              <w:rPr>
                <w:rFonts w:hint="eastAsia" w:ascii="宋体" w:hAnsi="宋体" w:cs="宋体"/>
                <w:kern w:val="0"/>
                <w:szCs w:val="21"/>
                <w:lang w:bidi="ar"/>
              </w:rPr>
              <w:br w:type="textWrapping"/>
            </w:r>
            <w:r>
              <w:rPr>
                <w:rFonts w:hint="eastAsia" w:ascii="宋体" w:hAnsi="宋体" w:cs="宋体"/>
                <w:kern w:val="0"/>
                <w:szCs w:val="21"/>
                <w:lang w:bidi="ar"/>
              </w:rPr>
              <w:t>（5） 值班查岗：支持值班查岗功能；</w:t>
            </w:r>
            <w:r>
              <w:rPr>
                <w:rFonts w:hint="eastAsia" w:ascii="宋体" w:hAnsi="宋体" w:cs="宋体"/>
                <w:kern w:val="0"/>
                <w:szCs w:val="21"/>
                <w:lang w:bidi="ar"/>
              </w:rPr>
              <w:br w:type="textWrapping"/>
            </w:r>
            <w:r>
              <w:rPr>
                <w:rFonts w:hint="eastAsia" w:ascii="宋体" w:hAnsi="宋体" w:cs="宋体"/>
                <w:kern w:val="0"/>
                <w:szCs w:val="21"/>
                <w:lang w:bidi="ar"/>
              </w:rPr>
              <w:t>（6） 1路开关量输入，2路常开输出</w:t>
            </w:r>
            <w:r>
              <w:rPr>
                <w:rFonts w:hint="eastAsia" w:ascii="宋体" w:hAnsi="宋体" w:cs="宋体"/>
                <w:kern w:val="0"/>
                <w:szCs w:val="21"/>
                <w:lang w:bidi="ar"/>
              </w:rPr>
              <w:br w:type="textWrapping"/>
            </w:r>
            <w:r>
              <w:rPr>
                <w:rFonts w:hint="eastAsia" w:ascii="宋体" w:hAnsi="宋体" w:cs="宋体"/>
                <w:kern w:val="0"/>
                <w:szCs w:val="21"/>
                <w:lang w:bidi="ar"/>
              </w:rPr>
              <w:t>（7） 1 个以太网接口，能够对目标 IP，目标机号，本机机号设置；</w:t>
            </w:r>
            <w:r>
              <w:rPr>
                <w:rFonts w:hint="eastAsia" w:ascii="宋体" w:hAnsi="宋体" w:cs="宋体"/>
                <w:kern w:val="0"/>
                <w:szCs w:val="21"/>
                <w:lang w:bidi="ar"/>
              </w:rPr>
              <w:br w:type="textWrapping"/>
            </w:r>
            <w:r>
              <w:rPr>
                <w:rFonts w:hint="eastAsia" w:ascii="宋体" w:hAnsi="宋体" w:cs="宋体"/>
                <w:kern w:val="0"/>
                <w:szCs w:val="21"/>
                <w:lang w:bidi="ar"/>
              </w:rPr>
              <w:t>（8） 支持查找历史记录：历史火警、历史请求/反馈、历史故障、历史操作各 1000 条。</w:t>
            </w:r>
            <w:r>
              <w:rPr>
                <w:rFonts w:hint="eastAsia" w:ascii="宋体" w:hAnsi="宋体" w:cs="宋体"/>
                <w:kern w:val="0"/>
                <w:szCs w:val="21"/>
                <w:lang w:bidi="ar"/>
              </w:rPr>
              <w:br w:type="textWrapping"/>
            </w:r>
            <w:r>
              <w:rPr>
                <w:rFonts w:hint="eastAsia" w:ascii="宋体" w:hAnsi="宋体" w:cs="宋体"/>
                <w:kern w:val="0"/>
                <w:szCs w:val="21"/>
                <w:lang w:bidi="ar"/>
              </w:rPr>
              <w:t>（9） 提供液晶显示（128x64），提供实时时钟；</w:t>
            </w:r>
            <w:r>
              <w:rPr>
                <w:rFonts w:hint="eastAsia" w:ascii="宋体" w:hAnsi="宋体" w:cs="宋体"/>
                <w:kern w:val="0"/>
                <w:szCs w:val="21"/>
                <w:lang w:bidi="ar"/>
              </w:rPr>
              <w:br w:type="textWrapping"/>
            </w:r>
            <w:r>
              <w:rPr>
                <w:rFonts w:hint="eastAsia" w:ascii="宋体" w:hAnsi="宋体" w:cs="宋体"/>
                <w:kern w:val="0"/>
                <w:szCs w:val="21"/>
                <w:lang w:bidi="ar"/>
              </w:rPr>
              <w:t>（10） 蓄电池备用供电（待机 24 小时以上）</w:t>
            </w:r>
            <w:r>
              <w:rPr>
                <w:rFonts w:hint="eastAsia" w:ascii="宋体" w:hAnsi="宋体" w:cs="宋体"/>
                <w:kern w:val="0"/>
                <w:szCs w:val="21"/>
                <w:lang w:bidi="ar"/>
              </w:rPr>
              <w:br w:type="textWrapping"/>
            </w:r>
            <w:r>
              <w:rPr>
                <w:rFonts w:hint="eastAsia" w:ascii="宋体" w:hAnsi="宋体" w:cs="宋体"/>
                <w:kern w:val="0"/>
                <w:szCs w:val="21"/>
                <w:lang w:bidi="ar"/>
              </w:rPr>
              <w:t>（11） 交流输入电压 220V 50Hz</w:t>
            </w:r>
            <w:r>
              <w:rPr>
                <w:rFonts w:hint="eastAsia" w:ascii="宋体" w:hAnsi="宋体" w:cs="宋体"/>
                <w:kern w:val="0"/>
                <w:szCs w:val="21"/>
                <w:lang w:bidi="ar"/>
              </w:rPr>
              <w:br w:type="textWrapping"/>
            </w:r>
            <w:r>
              <w:rPr>
                <w:rFonts w:hint="eastAsia" w:ascii="宋体" w:hAnsi="宋体" w:cs="宋体"/>
                <w:kern w:val="0"/>
                <w:szCs w:val="21"/>
                <w:lang w:bidi="ar"/>
              </w:rPr>
              <w:t>（12） 直流备电 12V 7Ah 铅酸电池一节</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879"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全彩筒型变焦网络摄像机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全彩筒型网络摄像机</w:t>
            </w:r>
            <w:r>
              <w:rPr>
                <w:rFonts w:hint="eastAsia" w:ascii="宋体" w:hAnsi="宋体" w:cs="宋体"/>
                <w:kern w:val="0"/>
                <w:szCs w:val="21"/>
                <w:lang w:bidi="ar"/>
              </w:rPr>
              <w:br w:type="textWrapping"/>
            </w:r>
            <w:r>
              <w:rPr>
                <w:rFonts w:hint="eastAsia" w:ascii="宋体" w:hAnsi="宋体" w:cs="宋体"/>
                <w:kern w:val="0"/>
                <w:szCs w:val="21"/>
                <w:lang w:bidi="ar"/>
              </w:rPr>
              <w:t>全彩级高灵敏度传感器，F1.0超大光圈镜头，提供更清晰的视频流输入</w:t>
            </w:r>
            <w:r>
              <w:rPr>
                <w:rFonts w:hint="eastAsia" w:ascii="宋体" w:hAnsi="宋体" w:cs="宋体"/>
                <w:kern w:val="0"/>
                <w:szCs w:val="21"/>
                <w:lang w:bidi="ar"/>
              </w:rPr>
              <w:br w:type="textWrapping"/>
            </w:r>
            <w:r>
              <w:rPr>
                <w:rFonts w:hint="eastAsia" w:ascii="宋体" w:hAnsi="宋体" w:cs="宋体"/>
                <w:kern w:val="0"/>
                <w:szCs w:val="21"/>
                <w:lang w:bidi="ar"/>
              </w:rPr>
              <w:t>最低照度: 彩色：0.0005 Lux @（F1.0，AGC ON）, 0 Lux with Light</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景深范围: </w:t>
            </w:r>
            <w:r>
              <w:rPr>
                <w:rFonts w:hint="eastAsia" w:ascii="宋体" w:hAnsi="宋体" w:cs="宋体"/>
                <w:kern w:val="0"/>
                <w:szCs w:val="21"/>
                <w:lang w:bidi="ar"/>
              </w:rPr>
              <w:br w:type="textWrapping"/>
            </w:r>
            <w:r>
              <w:rPr>
                <w:rFonts w:hint="eastAsia" w:ascii="宋体" w:hAnsi="宋体" w:cs="宋体"/>
                <w:kern w:val="0"/>
                <w:szCs w:val="21"/>
                <w:lang w:bidi="ar"/>
              </w:rPr>
              <w:t>2.8 mm：1.7 m~∞</w:t>
            </w:r>
            <w:r>
              <w:rPr>
                <w:rFonts w:hint="eastAsia" w:ascii="宋体" w:hAnsi="宋体" w:cs="宋体"/>
                <w:kern w:val="0"/>
                <w:szCs w:val="21"/>
                <w:lang w:bidi="ar"/>
              </w:rPr>
              <w:br w:type="textWrapping"/>
            </w:r>
            <w:r>
              <w:rPr>
                <w:rFonts w:hint="eastAsia" w:ascii="宋体" w:hAnsi="宋体" w:cs="宋体"/>
                <w:kern w:val="0"/>
                <w:szCs w:val="21"/>
                <w:lang w:bidi="ar"/>
              </w:rPr>
              <w:t>4 mm：2.1 m~∞</w:t>
            </w:r>
            <w:r>
              <w:rPr>
                <w:rFonts w:hint="eastAsia" w:ascii="宋体" w:hAnsi="宋体" w:cs="宋体"/>
                <w:kern w:val="0"/>
                <w:szCs w:val="21"/>
                <w:lang w:bidi="ar"/>
              </w:rPr>
              <w:br w:type="textWrapping"/>
            </w:r>
            <w:r>
              <w:rPr>
                <w:rFonts w:hint="eastAsia" w:ascii="宋体" w:hAnsi="宋体" w:cs="宋体"/>
                <w:kern w:val="0"/>
                <w:szCs w:val="21"/>
                <w:lang w:bidi="ar"/>
              </w:rPr>
              <w:t xml:space="preserve">6 mm：3.5 m~∞ </w:t>
            </w:r>
            <w:r>
              <w:rPr>
                <w:rFonts w:hint="eastAsia" w:ascii="宋体" w:hAnsi="宋体" w:cs="宋体"/>
                <w:kern w:val="0"/>
                <w:szCs w:val="21"/>
                <w:lang w:bidi="ar"/>
              </w:rPr>
              <w:br w:type="textWrapping"/>
            </w:r>
            <w:r>
              <w:rPr>
                <w:rFonts w:hint="eastAsia" w:ascii="宋体" w:hAnsi="宋体" w:cs="宋体"/>
                <w:kern w:val="0"/>
                <w:szCs w:val="21"/>
                <w:lang w:bidi="ar"/>
              </w:rPr>
              <w:t xml:space="preserve">8 mm：4 m~∞ </w:t>
            </w:r>
            <w:r>
              <w:rPr>
                <w:rFonts w:hint="eastAsia" w:ascii="宋体" w:hAnsi="宋体" w:cs="宋体"/>
                <w:kern w:val="0"/>
                <w:szCs w:val="21"/>
                <w:lang w:bidi="ar"/>
              </w:rPr>
              <w:br w:type="textWrapping"/>
            </w:r>
            <w:r>
              <w:rPr>
                <w:rFonts w:hint="eastAsia" w:ascii="宋体" w:hAnsi="宋体" w:cs="宋体"/>
                <w:kern w:val="0"/>
                <w:szCs w:val="21"/>
                <w:lang w:bidi="ar"/>
              </w:rPr>
              <w:t>焦距&amp;视场角:</w:t>
            </w:r>
            <w:r>
              <w:rPr>
                <w:rFonts w:hint="eastAsia" w:ascii="宋体" w:hAnsi="宋体" w:cs="宋体"/>
                <w:kern w:val="0"/>
                <w:szCs w:val="21"/>
                <w:lang w:bidi="ar"/>
              </w:rPr>
              <w:br w:type="textWrapping"/>
            </w:r>
            <w:r>
              <w:rPr>
                <w:rFonts w:hint="eastAsia" w:ascii="宋体" w:hAnsi="宋体" w:cs="宋体"/>
                <w:kern w:val="0"/>
                <w:szCs w:val="21"/>
                <w:lang w:bidi="ar"/>
              </w:rPr>
              <w:t>2.8 mm，水平视场角：106.7°，垂直视场角：55.5°，对角线视场角：126.5°</w:t>
            </w:r>
            <w:r>
              <w:rPr>
                <w:rFonts w:hint="eastAsia" w:ascii="宋体" w:hAnsi="宋体" w:cs="宋体"/>
                <w:kern w:val="0"/>
                <w:szCs w:val="21"/>
                <w:lang w:bidi="ar"/>
              </w:rPr>
              <w:br w:type="textWrapping"/>
            </w:r>
            <w:r>
              <w:rPr>
                <w:rFonts w:hint="eastAsia" w:ascii="宋体" w:hAnsi="宋体" w:cs="宋体"/>
                <w:kern w:val="0"/>
                <w:szCs w:val="21"/>
                <w:lang w:bidi="ar"/>
              </w:rPr>
              <w:t>4 mm，水平视场角：83.6°，垂直视场角：44.6°，对角线视场角：99.1°</w:t>
            </w:r>
            <w:r>
              <w:rPr>
                <w:rFonts w:hint="eastAsia" w:ascii="宋体" w:hAnsi="宋体" w:cs="宋体"/>
                <w:kern w:val="0"/>
                <w:szCs w:val="21"/>
                <w:lang w:bidi="ar"/>
              </w:rPr>
              <w:br w:type="textWrapping"/>
            </w:r>
            <w:r>
              <w:rPr>
                <w:rFonts w:hint="eastAsia" w:ascii="宋体" w:hAnsi="宋体" w:cs="宋体"/>
                <w:kern w:val="0"/>
                <w:szCs w:val="21"/>
                <w:lang w:bidi="ar"/>
              </w:rPr>
              <w:t>6 mm，水平视场角：54.6°，垂直视场角：29.9°，对角线视场角：63.3°</w:t>
            </w:r>
            <w:r>
              <w:rPr>
                <w:rFonts w:hint="eastAsia" w:ascii="宋体" w:hAnsi="宋体" w:cs="宋体"/>
                <w:kern w:val="0"/>
                <w:szCs w:val="21"/>
                <w:lang w:bidi="ar"/>
              </w:rPr>
              <w:br w:type="textWrapping"/>
            </w:r>
            <w:r>
              <w:rPr>
                <w:rFonts w:hint="eastAsia" w:ascii="宋体" w:hAnsi="宋体" w:cs="宋体"/>
                <w:kern w:val="0"/>
                <w:szCs w:val="21"/>
                <w:lang w:bidi="ar"/>
              </w:rPr>
              <w:t>8 mm，水平视场角：42.2°，垂直视场角：23.1°，对角线视场角：49.2°</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补光灯类型: 暖白光灯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支持NAS（NFS，SMB/CIFS均支持），支持Micro SD(即TF卡)/Micro SDHC/Micro SDXC卡（最大256 GB），断网本地录像存储及断网续传，支持SD卡加密及SD卡状态检测</w:t>
            </w:r>
            <w:r>
              <w:rPr>
                <w:rFonts w:hint="eastAsia" w:ascii="宋体" w:hAnsi="宋体" w:cs="宋体"/>
                <w:kern w:val="0"/>
                <w:szCs w:val="21"/>
                <w:lang w:bidi="ar"/>
              </w:rPr>
              <w:br w:type="textWrapping"/>
            </w:r>
            <w:r>
              <w:rPr>
                <w:rFonts w:hint="eastAsia" w:ascii="宋体" w:hAnsi="宋体" w:cs="宋体"/>
                <w:kern w:val="0"/>
                <w:szCs w:val="21"/>
                <w:lang w:bidi="ar"/>
              </w:rPr>
              <w:t>报警: 1路输入，1路输出，三极管（最大支持DC12 V，20 mA）</w:t>
            </w:r>
            <w:r>
              <w:rPr>
                <w:rFonts w:hint="eastAsia" w:ascii="宋体" w:hAnsi="宋体" w:cs="宋体"/>
                <w:kern w:val="0"/>
                <w:szCs w:val="21"/>
                <w:lang w:bidi="ar"/>
              </w:rPr>
              <w:br w:type="textWrapping"/>
            </w:r>
            <w:r>
              <w:rPr>
                <w:rFonts w:hint="eastAsia" w:ascii="宋体" w:hAnsi="宋体" w:cs="宋体"/>
                <w:kern w:val="0"/>
                <w:szCs w:val="21"/>
                <w:lang w:bidi="ar"/>
              </w:rPr>
              <w:t>音频: 1个内置麦克风; 1路音频输入（Line in），1路音频输出（Line out）</w:t>
            </w:r>
            <w:r>
              <w:rPr>
                <w:rFonts w:hint="eastAsia" w:ascii="宋体" w:hAnsi="宋体" w:cs="宋体"/>
                <w:kern w:val="0"/>
                <w:szCs w:val="21"/>
                <w:lang w:bidi="ar"/>
              </w:rPr>
              <w:br w:type="textWrapping"/>
            </w:r>
            <w:r>
              <w:rPr>
                <w:rFonts w:hint="eastAsia" w:ascii="宋体" w:hAnsi="宋体" w:cs="宋体"/>
                <w:kern w:val="0"/>
                <w:szCs w:val="21"/>
                <w:lang w:bidi="ar"/>
              </w:rPr>
              <w:t>复位: 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电源输出: DC12 V，100 mA，建议用于拾音器供电</w:t>
            </w:r>
            <w:r>
              <w:rPr>
                <w:rFonts w:hint="eastAsia" w:ascii="宋体" w:hAnsi="宋体" w:cs="宋体"/>
                <w:kern w:val="0"/>
                <w:szCs w:val="21"/>
                <w:lang w:bidi="ar"/>
              </w:rPr>
              <w:br w:type="textWrapping"/>
            </w:r>
            <w:r>
              <w:rPr>
                <w:rFonts w:hint="eastAsia" w:ascii="宋体" w:hAnsi="宋体" w:cs="宋体"/>
                <w:kern w:val="0"/>
                <w:szCs w:val="21"/>
                <w:lang w:bidi="ar"/>
              </w:rPr>
              <w:t xml:space="preserve">启动及工作温湿度: -30 ℃~60 ℃，湿度小于95%（无凝结） </w:t>
            </w:r>
            <w:r>
              <w:rPr>
                <w:rFonts w:hint="eastAsia" w:ascii="宋体" w:hAnsi="宋体" w:cs="宋体"/>
                <w:kern w:val="0"/>
                <w:szCs w:val="21"/>
                <w:lang w:bidi="ar"/>
              </w:rPr>
              <w:br w:type="textWrapping"/>
            </w:r>
            <w:r>
              <w:rPr>
                <w:rFonts w:hint="eastAsia" w:ascii="宋体" w:hAnsi="宋体" w:cs="宋体"/>
                <w:kern w:val="0"/>
                <w:szCs w:val="21"/>
                <w:lang w:bidi="ar"/>
              </w:rPr>
              <w:t xml:space="preserve">供电方式 DC：12 V ± 25%，支持防反接保护; PoE：802.3af，Class 3 </w:t>
            </w:r>
            <w:r>
              <w:rPr>
                <w:rFonts w:hint="eastAsia" w:ascii="宋体" w:hAnsi="宋体" w:cs="宋体"/>
                <w:kern w:val="0"/>
                <w:szCs w:val="21"/>
                <w:lang w:bidi="ar"/>
              </w:rPr>
              <w:br w:type="textWrapping"/>
            </w:r>
            <w:r>
              <w:rPr>
                <w:rFonts w:hint="eastAsia" w:ascii="宋体" w:hAnsi="宋体" w:cs="宋体"/>
                <w:kern w:val="0"/>
                <w:szCs w:val="21"/>
                <w:lang w:bidi="ar"/>
              </w:rPr>
              <w:t xml:space="preserve">电流及功耗:  DC：12 V，0.56 A，最大功耗：6.8 W ; PoE：802.3af，36 V~57 V，0.22 A~0.14 A，最大功耗：8.0 W </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2 </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2 </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摄像机电源</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12DC/10A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 立竿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3.5m，厚度3mm镀锌钢管，烤漆色结合景观；带横杆、地笼、2~3头枪机横臂；顶部带有防雨球。</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室外监控箱</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800*600*400， 含电源空开、电源避雷器、光纤盒、光纤接头等附件</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硬件规格： </w:t>
            </w:r>
            <w:r>
              <w:rPr>
                <w:rFonts w:hint="eastAsia" w:ascii="宋体" w:hAnsi="宋体" w:cs="宋体"/>
                <w:kern w:val="0"/>
                <w:szCs w:val="21"/>
                <w:lang w:bidi="ar"/>
              </w:rPr>
              <w:br w:type="textWrapping"/>
            </w:r>
            <w:r>
              <w:rPr>
                <w:rFonts w:hint="eastAsia" w:ascii="宋体" w:hAnsi="宋体" w:cs="宋体"/>
                <w:kern w:val="0"/>
                <w:szCs w:val="21"/>
                <w:lang w:bidi="ar"/>
              </w:rPr>
              <w:t xml:space="preserve">1.5U标准机架式 </w:t>
            </w:r>
            <w:r>
              <w:rPr>
                <w:rFonts w:hint="eastAsia" w:ascii="宋体" w:hAnsi="宋体" w:cs="宋体"/>
                <w:kern w:val="0"/>
                <w:szCs w:val="21"/>
                <w:lang w:bidi="ar"/>
              </w:rPr>
              <w:br w:type="textWrapping"/>
            </w:r>
            <w:r>
              <w:rPr>
                <w:rFonts w:hint="eastAsia" w:ascii="宋体" w:hAnsi="宋体" w:cs="宋体"/>
                <w:kern w:val="0"/>
                <w:szCs w:val="21"/>
                <w:lang w:bidi="ar"/>
              </w:rPr>
              <w:t xml:space="preserve">1个HDMI，1个VGA，异源输出 </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4盘位，可满配6TB硬盘  </w:t>
            </w:r>
            <w:r>
              <w:rPr>
                <w:rFonts w:hint="eastAsia" w:ascii="宋体" w:hAnsi="宋体" w:cs="宋体"/>
                <w:kern w:val="0"/>
                <w:szCs w:val="21"/>
                <w:lang w:bidi="ar"/>
              </w:rPr>
              <w:br w:type="textWrapping"/>
            </w:r>
            <w:r>
              <w:rPr>
                <w:rFonts w:hint="eastAsia" w:ascii="宋体" w:hAnsi="宋体" w:cs="宋体"/>
                <w:kern w:val="0"/>
                <w:szCs w:val="21"/>
                <w:lang w:bidi="ar"/>
              </w:rPr>
              <w:t xml:space="preserve">2个千兆网口 </w:t>
            </w:r>
            <w:r>
              <w:rPr>
                <w:rFonts w:hint="eastAsia" w:ascii="宋体" w:hAnsi="宋体" w:cs="宋体"/>
                <w:kern w:val="0"/>
                <w:szCs w:val="21"/>
                <w:lang w:bidi="ar"/>
              </w:rPr>
              <w:br w:type="textWrapping"/>
            </w:r>
            <w:r>
              <w:rPr>
                <w:rFonts w:hint="eastAsia" w:ascii="宋体" w:hAnsi="宋体" w:cs="宋体"/>
                <w:kern w:val="0"/>
                <w:szCs w:val="21"/>
                <w:lang w:bidi="ar"/>
              </w:rPr>
              <w:t xml:space="preserve">2个USB2.0接口、1个USB3.0接口 </w:t>
            </w:r>
            <w:r>
              <w:rPr>
                <w:rFonts w:hint="eastAsia" w:ascii="宋体" w:hAnsi="宋体" w:cs="宋体"/>
                <w:kern w:val="0"/>
                <w:szCs w:val="21"/>
                <w:lang w:bidi="ar"/>
              </w:rPr>
              <w:br w:type="textWrapping"/>
            </w:r>
            <w:r>
              <w:rPr>
                <w:rFonts w:hint="eastAsia" w:ascii="宋体" w:hAnsi="宋体" w:cs="宋体"/>
                <w:kern w:val="0"/>
                <w:szCs w:val="21"/>
                <w:lang w:bidi="ar"/>
              </w:rPr>
              <w:t xml:space="preserve">选配：1个eSATA接口 </w:t>
            </w:r>
            <w:r>
              <w:rPr>
                <w:rFonts w:hint="eastAsia" w:ascii="宋体" w:hAnsi="宋体" w:cs="宋体"/>
                <w:kern w:val="0"/>
                <w:szCs w:val="21"/>
                <w:lang w:bidi="ar"/>
              </w:rPr>
              <w:br w:type="textWrapping"/>
            </w:r>
            <w:r>
              <w:rPr>
                <w:rFonts w:hint="eastAsia" w:ascii="宋体" w:hAnsi="宋体" w:cs="宋体"/>
                <w:kern w:val="0"/>
                <w:szCs w:val="21"/>
                <w:lang w:bidi="ar"/>
              </w:rPr>
              <w:t xml:space="preserve">报警IO：16进4路（可选配8出） </w:t>
            </w:r>
            <w:r>
              <w:rPr>
                <w:rFonts w:hint="eastAsia" w:ascii="宋体" w:hAnsi="宋体" w:cs="宋体"/>
                <w:kern w:val="0"/>
                <w:szCs w:val="21"/>
                <w:lang w:bidi="ar"/>
              </w:rPr>
              <w:br w:type="textWrapping"/>
            </w:r>
            <w:r>
              <w:rPr>
                <w:rFonts w:hint="eastAsia" w:ascii="宋体" w:hAnsi="宋体" w:cs="宋体"/>
                <w:kern w:val="0"/>
                <w:szCs w:val="21"/>
                <w:lang w:bidi="ar"/>
              </w:rPr>
              <w:t xml:space="preserve"> </w:t>
            </w:r>
            <w:r>
              <w:rPr>
                <w:rFonts w:hint="eastAsia" w:ascii="宋体" w:hAnsi="宋体" w:cs="宋体"/>
                <w:kern w:val="0"/>
                <w:szCs w:val="21"/>
                <w:lang w:bidi="ar"/>
              </w:rPr>
              <w:br w:type="textWrapping"/>
            </w:r>
            <w:r>
              <w:rPr>
                <w:rFonts w:hint="eastAsia" w:ascii="宋体" w:hAnsi="宋体" w:cs="宋体"/>
                <w:kern w:val="0"/>
                <w:szCs w:val="21"/>
                <w:lang w:bidi="ar"/>
              </w:rPr>
              <w:t xml:space="preserve">软件性能： </w:t>
            </w:r>
            <w:r>
              <w:rPr>
                <w:rFonts w:hint="eastAsia" w:ascii="宋体" w:hAnsi="宋体" w:cs="宋体"/>
                <w:kern w:val="0"/>
                <w:szCs w:val="21"/>
                <w:lang w:bidi="ar"/>
              </w:rPr>
              <w:br w:type="textWrapping"/>
            </w:r>
            <w:r>
              <w:rPr>
                <w:rFonts w:hint="eastAsia" w:ascii="宋体" w:hAnsi="宋体" w:cs="宋体"/>
                <w:kern w:val="0"/>
                <w:szCs w:val="21"/>
                <w:lang w:bidi="ar"/>
              </w:rPr>
              <w:t xml:space="preserve">输入带宽：160M </w:t>
            </w:r>
            <w:r>
              <w:rPr>
                <w:rFonts w:hint="eastAsia" w:ascii="宋体" w:hAnsi="宋体" w:cs="宋体"/>
                <w:kern w:val="0"/>
                <w:szCs w:val="21"/>
                <w:lang w:bidi="ar"/>
              </w:rPr>
              <w:br w:type="textWrapping"/>
            </w:r>
            <w:r>
              <w:rPr>
                <w:rFonts w:hint="eastAsia" w:ascii="宋体" w:hAnsi="宋体" w:cs="宋体"/>
                <w:kern w:val="0"/>
                <w:szCs w:val="21"/>
                <w:lang w:bidi="ar"/>
              </w:rPr>
              <w:t xml:space="preserve">16路H.264、H.265接入 </w:t>
            </w:r>
            <w:r>
              <w:rPr>
                <w:rFonts w:hint="eastAsia" w:ascii="宋体" w:hAnsi="宋体" w:cs="宋体"/>
                <w:kern w:val="0"/>
                <w:szCs w:val="21"/>
                <w:lang w:bidi="ar"/>
              </w:rPr>
              <w:br w:type="textWrapping"/>
            </w:r>
            <w:r>
              <w:rPr>
                <w:rFonts w:hint="eastAsia" w:ascii="宋体" w:hAnsi="宋体" w:cs="宋体"/>
                <w:kern w:val="0"/>
                <w:szCs w:val="21"/>
                <w:lang w:bidi="ar"/>
              </w:rPr>
              <w:t xml:space="preserve">最大支持8×1080P解码 </w:t>
            </w:r>
            <w:r>
              <w:rPr>
                <w:rFonts w:hint="eastAsia" w:ascii="宋体" w:hAnsi="宋体" w:cs="宋体"/>
                <w:kern w:val="0"/>
                <w:szCs w:val="21"/>
                <w:lang w:bidi="ar"/>
              </w:rPr>
              <w:br w:type="textWrapping"/>
            </w:r>
            <w:r>
              <w:rPr>
                <w:rFonts w:hint="eastAsia" w:ascii="宋体" w:hAnsi="宋体" w:cs="宋体"/>
                <w:kern w:val="0"/>
                <w:szCs w:val="21"/>
                <w:lang w:bidi="ar"/>
              </w:rPr>
              <w:t xml:space="preserve">支持H.264、H.265解码 </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4TB/64MB(6Gb/秒 NCQ)/5900RPM/SATA3</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11</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PDU插座</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防雷8插位带线1.8米10A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12</w:t>
            </w:r>
          </w:p>
        </w:tc>
        <w:tc>
          <w:tcPr>
            <w:tcW w:w="879" w:type="dxa"/>
            <w:vMerge w:val="restart"/>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24口千兆接入交换机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≥336Gbps，转发性能 ≥50Mpps，官网双指标的以最小的为准；固化Console管理端口≥1个，千兆电口≥24个，千兆非复用光口≥4个；MAC地址数≥16K，支持横向虚拟化</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13</w:t>
            </w:r>
          </w:p>
        </w:tc>
        <w:tc>
          <w:tcPr>
            <w:tcW w:w="879" w:type="dxa"/>
            <w:vMerge w:val="continue"/>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Combo端口，双电源，含6条100M无IP宽带和1条100M有固定IP宽带</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14</w:t>
            </w:r>
          </w:p>
        </w:tc>
        <w:tc>
          <w:tcPr>
            <w:tcW w:w="87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二、公园1872</w:t>
            </w:r>
          </w:p>
        </w:tc>
        <w:tc>
          <w:tcPr>
            <w:tcW w:w="792" w:type="dxa"/>
            <w:shd w:val="clear" w:color="auto" w:fill="auto"/>
            <w:vAlign w:val="center"/>
          </w:tcPr>
          <w:p>
            <w:pPr>
              <w:jc w:val="center"/>
              <w:rPr>
                <w:rFonts w:ascii="宋体" w:hAnsi="宋体" w:cs="宋体"/>
                <w:szCs w:val="21"/>
              </w:rPr>
            </w:pPr>
          </w:p>
        </w:tc>
        <w:tc>
          <w:tcPr>
            <w:tcW w:w="6095" w:type="dxa"/>
            <w:shd w:val="clear" w:color="auto" w:fill="auto"/>
            <w:vAlign w:val="center"/>
          </w:tcPr>
          <w:p>
            <w:pPr>
              <w:jc w:val="center"/>
              <w:rPr>
                <w:rFonts w:ascii="宋体" w:hAnsi="宋体" w:cs="宋体"/>
                <w:szCs w:val="21"/>
              </w:rPr>
            </w:pPr>
          </w:p>
        </w:tc>
        <w:tc>
          <w:tcPr>
            <w:tcW w:w="545" w:type="dxa"/>
            <w:shd w:val="clear" w:color="auto" w:fill="auto"/>
            <w:vAlign w:val="center"/>
          </w:tcPr>
          <w:p>
            <w:pPr>
              <w:jc w:val="center"/>
              <w:rPr>
                <w:rFonts w:ascii="宋体" w:hAnsi="宋体" w:cs="宋体"/>
                <w:szCs w:val="21"/>
              </w:rPr>
            </w:pPr>
          </w:p>
        </w:tc>
        <w:tc>
          <w:tcPr>
            <w:tcW w:w="435" w:type="dxa"/>
            <w:shd w:val="clear" w:color="auto" w:fill="auto"/>
            <w:vAlign w:val="center"/>
          </w:tcPr>
          <w:p>
            <w:pPr>
              <w:jc w:val="center"/>
              <w:rPr>
                <w:rFonts w:ascii="宋体" w:hAnsi="宋体" w:cs="宋体"/>
                <w:szCs w:val="21"/>
              </w:rPr>
            </w:pPr>
          </w:p>
        </w:tc>
        <w:tc>
          <w:tcPr>
            <w:tcW w:w="877"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15</w:t>
            </w:r>
          </w:p>
        </w:tc>
        <w:tc>
          <w:tcPr>
            <w:tcW w:w="879" w:type="dxa"/>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消防主机 信号传输装置</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 采用高性能4G无线模块，支持移动、联通或电信网络制式；</w:t>
            </w:r>
            <w:r>
              <w:rPr>
                <w:rFonts w:hint="eastAsia" w:ascii="宋体" w:hAnsi="宋体" w:cs="宋体"/>
                <w:kern w:val="0"/>
                <w:szCs w:val="21"/>
                <w:lang w:bidi="ar"/>
              </w:rPr>
              <w:br w:type="textWrapping"/>
            </w:r>
            <w:r>
              <w:rPr>
                <w:rFonts w:hint="eastAsia" w:ascii="宋体" w:hAnsi="宋体" w:cs="宋体"/>
                <w:kern w:val="0"/>
                <w:szCs w:val="21"/>
                <w:lang w:bidi="ar"/>
              </w:rPr>
              <w:t>（2） 2 路 RS-232 通讯接口、 2 路 RS-485 通讯接口，1 路 CAN 通讯接口、 1 路 RJ45 网络通讯口,</w:t>
            </w:r>
            <w:r>
              <w:rPr>
                <w:rFonts w:hint="eastAsia" w:ascii="宋体" w:hAnsi="宋体" w:cs="宋体"/>
                <w:kern w:val="0"/>
                <w:szCs w:val="21"/>
                <w:lang w:bidi="ar"/>
              </w:rPr>
              <w:br w:type="textWrapping"/>
            </w:r>
            <w:r>
              <w:rPr>
                <w:rFonts w:hint="eastAsia" w:ascii="宋体" w:hAnsi="宋体" w:cs="宋体"/>
                <w:kern w:val="0"/>
                <w:szCs w:val="21"/>
                <w:lang w:bidi="ar"/>
              </w:rPr>
              <w:t>（3） 手动报警：具有手动火警按钮，可以向管理平台上传人工火灾报警信息 ；</w:t>
            </w:r>
            <w:r>
              <w:rPr>
                <w:rFonts w:hint="eastAsia" w:ascii="宋体" w:hAnsi="宋体" w:cs="宋体"/>
                <w:kern w:val="0"/>
                <w:szCs w:val="21"/>
                <w:lang w:bidi="ar"/>
              </w:rPr>
              <w:br w:type="textWrapping"/>
            </w:r>
            <w:r>
              <w:rPr>
                <w:rFonts w:hint="eastAsia" w:ascii="宋体" w:hAnsi="宋体" w:cs="宋体"/>
                <w:kern w:val="0"/>
                <w:szCs w:val="21"/>
                <w:lang w:bidi="ar"/>
              </w:rPr>
              <w:t>（4） 断网续传：网络断网恢复后，接续上传断网期间的数据；</w:t>
            </w:r>
            <w:r>
              <w:rPr>
                <w:rFonts w:hint="eastAsia" w:ascii="宋体" w:hAnsi="宋体" w:cs="宋体"/>
                <w:kern w:val="0"/>
                <w:szCs w:val="21"/>
                <w:lang w:bidi="ar"/>
              </w:rPr>
              <w:br w:type="textWrapping"/>
            </w:r>
            <w:r>
              <w:rPr>
                <w:rFonts w:hint="eastAsia" w:ascii="宋体" w:hAnsi="宋体" w:cs="宋体"/>
                <w:kern w:val="0"/>
                <w:szCs w:val="21"/>
                <w:lang w:bidi="ar"/>
              </w:rPr>
              <w:t>（5） 值班查岗：支持值班查岗功能；</w:t>
            </w:r>
            <w:r>
              <w:rPr>
                <w:rFonts w:hint="eastAsia" w:ascii="宋体" w:hAnsi="宋体" w:cs="宋体"/>
                <w:kern w:val="0"/>
                <w:szCs w:val="21"/>
                <w:lang w:bidi="ar"/>
              </w:rPr>
              <w:br w:type="textWrapping"/>
            </w:r>
            <w:r>
              <w:rPr>
                <w:rFonts w:hint="eastAsia" w:ascii="宋体" w:hAnsi="宋体" w:cs="宋体"/>
                <w:kern w:val="0"/>
                <w:szCs w:val="21"/>
                <w:lang w:bidi="ar"/>
              </w:rPr>
              <w:t>（6） 1路开关量输入，2路常开输出</w:t>
            </w:r>
            <w:r>
              <w:rPr>
                <w:rFonts w:hint="eastAsia" w:ascii="宋体" w:hAnsi="宋体" w:cs="宋体"/>
                <w:kern w:val="0"/>
                <w:szCs w:val="21"/>
                <w:lang w:bidi="ar"/>
              </w:rPr>
              <w:br w:type="textWrapping"/>
            </w:r>
            <w:r>
              <w:rPr>
                <w:rFonts w:hint="eastAsia" w:ascii="宋体" w:hAnsi="宋体" w:cs="宋体"/>
                <w:kern w:val="0"/>
                <w:szCs w:val="21"/>
                <w:lang w:bidi="ar"/>
              </w:rPr>
              <w:t>（7） 1 个以太网接口，能够对目标 IP，目标机号，本机机号设置；</w:t>
            </w:r>
            <w:r>
              <w:rPr>
                <w:rFonts w:hint="eastAsia" w:ascii="宋体" w:hAnsi="宋体" w:cs="宋体"/>
                <w:kern w:val="0"/>
                <w:szCs w:val="21"/>
                <w:lang w:bidi="ar"/>
              </w:rPr>
              <w:br w:type="textWrapping"/>
            </w:r>
            <w:r>
              <w:rPr>
                <w:rFonts w:hint="eastAsia" w:ascii="宋体" w:hAnsi="宋体" w:cs="宋体"/>
                <w:kern w:val="0"/>
                <w:szCs w:val="21"/>
                <w:lang w:bidi="ar"/>
              </w:rPr>
              <w:t>（8） 支持查找历史记录：历史火警、历史请求/反馈、历史故障、历史操作各 1000 条。</w:t>
            </w:r>
            <w:r>
              <w:rPr>
                <w:rFonts w:hint="eastAsia" w:ascii="宋体" w:hAnsi="宋体" w:cs="宋体"/>
                <w:kern w:val="0"/>
                <w:szCs w:val="21"/>
                <w:lang w:bidi="ar"/>
              </w:rPr>
              <w:br w:type="textWrapping"/>
            </w:r>
            <w:r>
              <w:rPr>
                <w:rFonts w:hint="eastAsia" w:ascii="宋体" w:hAnsi="宋体" w:cs="宋体"/>
                <w:kern w:val="0"/>
                <w:szCs w:val="21"/>
                <w:lang w:bidi="ar"/>
              </w:rPr>
              <w:t>（9） 提供液晶显示（128x64），提供实时时钟；</w:t>
            </w:r>
            <w:r>
              <w:rPr>
                <w:rFonts w:hint="eastAsia" w:ascii="宋体" w:hAnsi="宋体" w:cs="宋体"/>
                <w:kern w:val="0"/>
                <w:szCs w:val="21"/>
                <w:lang w:bidi="ar"/>
              </w:rPr>
              <w:br w:type="textWrapping"/>
            </w:r>
            <w:r>
              <w:rPr>
                <w:rFonts w:hint="eastAsia" w:ascii="宋体" w:hAnsi="宋体" w:cs="宋体"/>
                <w:kern w:val="0"/>
                <w:szCs w:val="21"/>
                <w:lang w:bidi="ar"/>
              </w:rPr>
              <w:t>（10） 蓄电池备用供电（待机 24 小时以上）</w:t>
            </w:r>
            <w:r>
              <w:rPr>
                <w:rFonts w:hint="eastAsia" w:ascii="宋体" w:hAnsi="宋体" w:cs="宋体"/>
                <w:kern w:val="0"/>
                <w:szCs w:val="21"/>
                <w:lang w:bidi="ar"/>
              </w:rPr>
              <w:br w:type="textWrapping"/>
            </w:r>
            <w:r>
              <w:rPr>
                <w:rFonts w:hint="eastAsia" w:ascii="宋体" w:hAnsi="宋体" w:cs="宋体"/>
                <w:kern w:val="0"/>
                <w:szCs w:val="21"/>
                <w:lang w:bidi="ar"/>
              </w:rPr>
              <w:t>（11） 交流输入电压 220V 50Hz</w:t>
            </w:r>
            <w:r>
              <w:rPr>
                <w:rFonts w:hint="eastAsia" w:ascii="宋体" w:hAnsi="宋体" w:cs="宋体"/>
                <w:kern w:val="0"/>
                <w:szCs w:val="21"/>
                <w:lang w:bidi="ar"/>
              </w:rPr>
              <w:br w:type="textWrapping"/>
            </w:r>
            <w:r>
              <w:rPr>
                <w:rFonts w:hint="eastAsia" w:ascii="宋体" w:hAnsi="宋体" w:cs="宋体"/>
                <w:kern w:val="0"/>
                <w:szCs w:val="21"/>
                <w:lang w:bidi="ar"/>
              </w:rPr>
              <w:t>（12） 直流备电 12V 7Ah 铅酸电池一节</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16</w:t>
            </w:r>
          </w:p>
        </w:tc>
        <w:tc>
          <w:tcPr>
            <w:tcW w:w="879"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全彩筒型变焦网络摄像机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全彩筒型网络摄像机</w:t>
            </w:r>
            <w:r>
              <w:rPr>
                <w:rFonts w:hint="eastAsia" w:ascii="宋体" w:hAnsi="宋体" w:cs="宋体"/>
                <w:kern w:val="0"/>
                <w:szCs w:val="21"/>
                <w:lang w:bidi="ar"/>
              </w:rPr>
              <w:br w:type="textWrapping"/>
            </w:r>
            <w:r>
              <w:rPr>
                <w:rFonts w:hint="eastAsia" w:ascii="宋体" w:hAnsi="宋体" w:cs="宋体"/>
                <w:kern w:val="0"/>
                <w:szCs w:val="21"/>
                <w:lang w:bidi="ar"/>
              </w:rPr>
              <w:t>全彩级高灵敏度传感器，F1.0超大光圈镜头，提供更清晰的视频流输入</w:t>
            </w:r>
            <w:r>
              <w:rPr>
                <w:rFonts w:hint="eastAsia" w:ascii="宋体" w:hAnsi="宋体" w:cs="宋体"/>
                <w:kern w:val="0"/>
                <w:szCs w:val="21"/>
                <w:lang w:bidi="ar"/>
              </w:rPr>
              <w:br w:type="textWrapping"/>
            </w:r>
            <w:r>
              <w:rPr>
                <w:rFonts w:hint="eastAsia" w:ascii="宋体" w:hAnsi="宋体" w:cs="宋体"/>
                <w:kern w:val="0"/>
                <w:szCs w:val="21"/>
                <w:lang w:bidi="ar"/>
              </w:rPr>
              <w:t>最低照度: 彩色：0.0005 Lux @（F1.0，AGC ON）, 0 Lux with Light</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景深范围: </w:t>
            </w:r>
            <w:r>
              <w:rPr>
                <w:rFonts w:hint="eastAsia" w:ascii="宋体" w:hAnsi="宋体" w:cs="宋体"/>
                <w:kern w:val="0"/>
                <w:szCs w:val="21"/>
                <w:lang w:bidi="ar"/>
              </w:rPr>
              <w:br w:type="textWrapping"/>
            </w:r>
            <w:r>
              <w:rPr>
                <w:rFonts w:hint="eastAsia" w:ascii="宋体" w:hAnsi="宋体" w:cs="宋体"/>
                <w:kern w:val="0"/>
                <w:szCs w:val="21"/>
                <w:lang w:bidi="ar"/>
              </w:rPr>
              <w:t>2.8 mm：1.7 m~∞</w:t>
            </w:r>
            <w:r>
              <w:rPr>
                <w:rFonts w:hint="eastAsia" w:ascii="宋体" w:hAnsi="宋体" w:cs="宋体"/>
                <w:kern w:val="0"/>
                <w:szCs w:val="21"/>
                <w:lang w:bidi="ar"/>
              </w:rPr>
              <w:br w:type="textWrapping"/>
            </w:r>
            <w:r>
              <w:rPr>
                <w:rFonts w:hint="eastAsia" w:ascii="宋体" w:hAnsi="宋体" w:cs="宋体"/>
                <w:kern w:val="0"/>
                <w:szCs w:val="21"/>
                <w:lang w:bidi="ar"/>
              </w:rPr>
              <w:t>4 mm：2.1 m~∞</w:t>
            </w:r>
            <w:r>
              <w:rPr>
                <w:rFonts w:hint="eastAsia" w:ascii="宋体" w:hAnsi="宋体" w:cs="宋体"/>
                <w:kern w:val="0"/>
                <w:szCs w:val="21"/>
                <w:lang w:bidi="ar"/>
              </w:rPr>
              <w:br w:type="textWrapping"/>
            </w:r>
            <w:r>
              <w:rPr>
                <w:rFonts w:hint="eastAsia" w:ascii="宋体" w:hAnsi="宋体" w:cs="宋体"/>
                <w:kern w:val="0"/>
                <w:szCs w:val="21"/>
                <w:lang w:bidi="ar"/>
              </w:rPr>
              <w:t xml:space="preserve">6 mm：3.5 m~∞ </w:t>
            </w:r>
            <w:r>
              <w:rPr>
                <w:rFonts w:hint="eastAsia" w:ascii="宋体" w:hAnsi="宋体" w:cs="宋体"/>
                <w:kern w:val="0"/>
                <w:szCs w:val="21"/>
                <w:lang w:bidi="ar"/>
              </w:rPr>
              <w:br w:type="textWrapping"/>
            </w:r>
            <w:r>
              <w:rPr>
                <w:rFonts w:hint="eastAsia" w:ascii="宋体" w:hAnsi="宋体" w:cs="宋体"/>
                <w:kern w:val="0"/>
                <w:szCs w:val="21"/>
                <w:lang w:bidi="ar"/>
              </w:rPr>
              <w:t xml:space="preserve">8 mm：4 m~∞ </w:t>
            </w:r>
            <w:r>
              <w:rPr>
                <w:rFonts w:hint="eastAsia" w:ascii="宋体" w:hAnsi="宋体" w:cs="宋体"/>
                <w:kern w:val="0"/>
                <w:szCs w:val="21"/>
                <w:lang w:bidi="ar"/>
              </w:rPr>
              <w:br w:type="textWrapping"/>
            </w:r>
            <w:r>
              <w:rPr>
                <w:rFonts w:hint="eastAsia" w:ascii="宋体" w:hAnsi="宋体" w:cs="宋体"/>
                <w:kern w:val="0"/>
                <w:szCs w:val="21"/>
                <w:lang w:bidi="ar"/>
              </w:rPr>
              <w:t>焦距&amp;视场角:</w:t>
            </w:r>
            <w:r>
              <w:rPr>
                <w:rFonts w:hint="eastAsia" w:ascii="宋体" w:hAnsi="宋体" w:cs="宋体"/>
                <w:kern w:val="0"/>
                <w:szCs w:val="21"/>
                <w:lang w:bidi="ar"/>
              </w:rPr>
              <w:br w:type="textWrapping"/>
            </w:r>
            <w:r>
              <w:rPr>
                <w:rFonts w:hint="eastAsia" w:ascii="宋体" w:hAnsi="宋体" w:cs="宋体"/>
                <w:kern w:val="0"/>
                <w:szCs w:val="21"/>
                <w:lang w:bidi="ar"/>
              </w:rPr>
              <w:t>2.8 mm，水平视场角：106.7°，垂直视场角：55.5°，对角线视场角：126.5°</w:t>
            </w:r>
            <w:r>
              <w:rPr>
                <w:rFonts w:hint="eastAsia" w:ascii="宋体" w:hAnsi="宋体" w:cs="宋体"/>
                <w:kern w:val="0"/>
                <w:szCs w:val="21"/>
                <w:lang w:bidi="ar"/>
              </w:rPr>
              <w:br w:type="textWrapping"/>
            </w:r>
            <w:r>
              <w:rPr>
                <w:rFonts w:hint="eastAsia" w:ascii="宋体" w:hAnsi="宋体" w:cs="宋体"/>
                <w:kern w:val="0"/>
                <w:szCs w:val="21"/>
                <w:lang w:bidi="ar"/>
              </w:rPr>
              <w:t>4 mm，水平视场角：83.6°，垂直视场角：44.6°，对角线视场角：99.1°</w:t>
            </w:r>
            <w:r>
              <w:rPr>
                <w:rFonts w:hint="eastAsia" w:ascii="宋体" w:hAnsi="宋体" w:cs="宋体"/>
                <w:kern w:val="0"/>
                <w:szCs w:val="21"/>
                <w:lang w:bidi="ar"/>
              </w:rPr>
              <w:br w:type="textWrapping"/>
            </w:r>
            <w:r>
              <w:rPr>
                <w:rFonts w:hint="eastAsia" w:ascii="宋体" w:hAnsi="宋体" w:cs="宋体"/>
                <w:kern w:val="0"/>
                <w:szCs w:val="21"/>
                <w:lang w:bidi="ar"/>
              </w:rPr>
              <w:t>6 mm，水平视场角：54.6°，垂直视场角：29.9°，对角线视场角：63.3°</w:t>
            </w:r>
            <w:r>
              <w:rPr>
                <w:rFonts w:hint="eastAsia" w:ascii="宋体" w:hAnsi="宋体" w:cs="宋体"/>
                <w:kern w:val="0"/>
                <w:szCs w:val="21"/>
                <w:lang w:bidi="ar"/>
              </w:rPr>
              <w:br w:type="textWrapping"/>
            </w:r>
            <w:r>
              <w:rPr>
                <w:rFonts w:hint="eastAsia" w:ascii="宋体" w:hAnsi="宋体" w:cs="宋体"/>
                <w:kern w:val="0"/>
                <w:szCs w:val="21"/>
                <w:lang w:bidi="ar"/>
              </w:rPr>
              <w:t>8 mm，水平视场角：42.2°，垂直视场角：23.1°，对角线视场角：49.2°</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补光灯类型: 暖白光灯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支持NAS（NFS，SMB/CIFS均支持），支持Micro SD(即TF卡)/Micro SDHC/Micro SDXC卡（最大256 GB），断网本地录像存储及断网续传，支持SD卡加密及SD卡状态检测</w:t>
            </w:r>
            <w:r>
              <w:rPr>
                <w:rFonts w:hint="eastAsia" w:ascii="宋体" w:hAnsi="宋体" w:cs="宋体"/>
                <w:kern w:val="0"/>
                <w:szCs w:val="21"/>
                <w:lang w:bidi="ar"/>
              </w:rPr>
              <w:br w:type="textWrapping"/>
            </w:r>
            <w:r>
              <w:rPr>
                <w:rFonts w:hint="eastAsia" w:ascii="宋体" w:hAnsi="宋体" w:cs="宋体"/>
                <w:kern w:val="0"/>
                <w:szCs w:val="21"/>
                <w:lang w:bidi="ar"/>
              </w:rPr>
              <w:t>报警: 1路输入，1路输出，三极管（最大支持DC12 V，20 mA）</w:t>
            </w:r>
            <w:r>
              <w:rPr>
                <w:rFonts w:hint="eastAsia" w:ascii="宋体" w:hAnsi="宋体" w:cs="宋体"/>
                <w:kern w:val="0"/>
                <w:szCs w:val="21"/>
                <w:lang w:bidi="ar"/>
              </w:rPr>
              <w:br w:type="textWrapping"/>
            </w:r>
            <w:r>
              <w:rPr>
                <w:rFonts w:hint="eastAsia" w:ascii="宋体" w:hAnsi="宋体" w:cs="宋体"/>
                <w:kern w:val="0"/>
                <w:szCs w:val="21"/>
                <w:lang w:bidi="ar"/>
              </w:rPr>
              <w:t>音频: 1个内置麦克风; 1路音频输入（Line in），1路音频输出（Line out）</w:t>
            </w:r>
            <w:r>
              <w:rPr>
                <w:rFonts w:hint="eastAsia" w:ascii="宋体" w:hAnsi="宋体" w:cs="宋体"/>
                <w:kern w:val="0"/>
                <w:szCs w:val="21"/>
                <w:lang w:bidi="ar"/>
              </w:rPr>
              <w:br w:type="textWrapping"/>
            </w:r>
            <w:r>
              <w:rPr>
                <w:rFonts w:hint="eastAsia" w:ascii="宋体" w:hAnsi="宋体" w:cs="宋体"/>
                <w:kern w:val="0"/>
                <w:szCs w:val="21"/>
                <w:lang w:bidi="ar"/>
              </w:rPr>
              <w:t>复位: 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电源输出: DC12 V，100 mA，建议用于拾音器供电</w:t>
            </w:r>
            <w:r>
              <w:rPr>
                <w:rFonts w:hint="eastAsia" w:ascii="宋体" w:hAnsi="宋体" w:cs="宋体"/>
                <w:kern w:val="0"/>
                <w:szCs w:val="21"/>
                <w:lang w:bidi="ar"/>
              </w:rPr>
              <w:br w:type="textWrapping"/>
            </w:r>
            <w:r>
              <w:rPr>
                <w:rFonts w:hint="eastAsia" w:ascii="宋体" w:hAnsi="宋体" w:cs="宋体"/>
                <w:kern w:val="0"/>
                <w:szCs w:val="21"/>
                <w:lang w:bidi="ar"/>
              </w:rPr>
              <w:t xml:space="preserve">启动及工作温湿度: -30 ℃~60 ℃，湿度小于95%（无凝结） </w:t>
            </w:r>
            <w:r>
              <w:rPr>
                <w:rFonts w:hint="eastAsia" w:ascii="宋体" w:hAnsi="宋体" w:cs="宋体"/>
                <w:kern w:val="0"/>
                <w:szCs w:val="21"/>
                <w:lang w:bidi="ar"/>
              </w:rPr>
              <w:br w:type="textWrapping"/>
            </w:r>
            <w:r>
              <w:rPr>
                <w:rFonts w:hint="eastAsia" w:ascii="宋体" w:hAnsi="宋体" w:cs="宋体"/>
                <w:kern w:val="0"/>
                <w:szCs w:val="21"/>
                <w:lang w:bidi="ar"/>
              </w:rPr>
              <w:t xml:space="preserve">供电方式 DC：12 V ± 25%，支持防反接保护; PoE：802.3af，Class 3 </w:t>
            </w:r>
            <w:r>
              <w:rPr>
                <w:rFonts w:hint="eastAsia" w:ascii="宋体" w:hAnsi="宋体" w:cs="宋体"/>
                <w:kern w:val="0"/>
                <w:szCs w:val="21"/>
                <w:lang w:bidi="ar"/>
              </w:rPr>
              <w:br w:type="textWrapping"/>
            </w:r>
            <w:r>
              <w:rPr>
                <w:rFonts w:hint="eastAsia" w:ascii="宋体" w:hAnsi="宋体" w:cs="宋体"/>
                <w:kern w:val="0"/>
                <w:szCs w:val="21"/>
                <w:lang w:bidi="ar"/>
              </w:rPr>
              <w:t xml:space="preserve">电流及功耗:  DC：12 V，0.56 A，最大功耗：6.8 W ; PoE：802.3af，36 V~57 V，0.22 A~0.14 A，最大功耗：8.0 W </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4 </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17</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壁装支架/海康白/铝合金/尺寸70×97.1×173.4mm</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2 </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摄像机电源</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12DC/10A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19</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 立竿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3.5m，厚度3mm镀锌钢管，烤漆色结合景观；带横杆、地笼、2~3头枪机横臂；顶部带有防雨球。</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20</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室外监控箱</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800*600*400， 含电源空开、电源避雷器、光纤盒、光纤接头等附件</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77" w:type="dxa"/>
            <w:shd w:val="clear" w:color="auto" w:fill="auto"/>
            <w:vAlign w:val="center"/>
          </w:tcPr>
          <w:p>
            <w:pPr>
              <w:jc w:val="center"/>
              <w:rPr>
                <w:rFonts w:ascii="宋体" w:hAnsi="宋体" w:cs="宋体"/>
                <w:szCs w:val="21"/>
              </w:rPr>
            </w:pP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硬件规格： </w:t>
            </w:r>
            <w:r>
              <w:rPr>
                <w:rFonts w:hint="eastAsia" w:ascii="宋体" w:hAnsi="宋体" w:cs="宋体"/>
                <w:kern w:val="0"/>
                <w:szCs w:val="21"/>
                <w:lang w:bidi="ar"/>
              </w:rPr>
              <w:br w:type="textWrapping"/>
            </w:r>
            <w:r>
              <w:rPr>
                <w:rFonts w:hint="eastAsia" w:ascii="宋体" w:hAnsi="宋体" w:cs="宋体"/>
                <w:kern w:val="0"/>
                <w:szCs w:val="21"/>
                <w:lang w:bidi="ar"/>
              </w:rPr>
              <w:t xml:space="preserve">1.5U标准机架式 </w:t>
            </w:r>
            <w:r>
              <w:rPr>
                <w:rFonts w:hint="eastAsia" w:ascii="宋体" w:hAnsi="宋体" w:cs="宋体"/>
                <w:kern w:val="0"/>
                <w:szCs w:val="21"/>
                <w:lang w:bidi="ar"/>
              </w:rPr>
              <w:br w:type="textWrapping"/>
            </w:r>
            <w:r>
              <w:rPr>
                <w:rFonts w:hint="eastAsia" w:ascii="宋体" w:hAnsi="宋体" w:cs="宋体"/>
                <w:kern w:val="0"/>
                <w:szCs w:val="21"/>
                <w:lang w:bidi="ar"/>
              </w:rPr>
              <w:t xml:space="preserve">1个HDMI，1个VGA，异源输出 </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4盘位，可满配6TB硬盘  </w:t>
            </w:r>
            <w:r>
              <w:rPr>
                <w:rFonts w:hint="eastAsia" w:ascii="宋体" w:hAnsi="宋体" w:cs="宋体"/>
                <w:kern w:val="0"/>
                <w:szCs w:val="21"/>
                <w:lang w:bidi="ar"/>
              </w:rPr>
              <w:br w:type="textWrapping"/>
            </w:r>
            <w:r>
              <w:rPr>
                <w:rFonts w:hint="eastAsia" w:ascii="宋体" w:hAnsi="宋体" w:cs="宋体"/>
                <w:kern w:val="0"/>
                <w:szCs w:val="21"/>
                <w:lang w:bidi="ar"/>
              </w:rPr>
              <w:t xml:space="preserve">2个千兆网口 </w:t>
            </w:r>
            <w:r>
              <w:rPr>
                <w:rFonts w:hint="eastAsia" w:ascii="宋体" w:hAnsi="宋体" w:cs="宋体"/>
                <w:kern w:val="0"/>
                <w:szCs w:val="21"/>
                <w:lang w:bidi="ar"/>
              </w:rPr>
              <w:br w:type="textWrapping"/>
            </w:r>
            <w:r>
              <w:rPr>
                <w:rFonts w:hint="eastAsia" w:ascii="宋体" w:hAnsi="宋体" w:cs="宋体"/>
                <w:kern w:val="0"/>
                <w:szCs w:val="21"/>
                <w:lang w:bidi="ar"/>
              </w:rPr>
              <w:t xml:space="preserve">2个USB2.0接口、1个USB3.0接口 </w:t>
            </w:r>
            <w:r>
              <w:rPr>
                <w:rFonts w:hint="eastAsia" w:ascii="宋体" w:hAnsi="宋体" w:cs="宋体"/>
                <w:kern w:val="0"/>
                <w:szCs w:val="21"/>
                <w:lang w:bidi="ar"/>
              </w:rPr>
              <w:br w:type="textWrapping"/>
            </w:r>
            <w:r>
              <w:rPr>
                <w:rFonts w:hint="eastAsia" w:ascii="宋体" w:hAnsi="宋体" w:cs="宋体"/>
                <w:kern w:val="0"/>
                <w:szCs w:val="21"/>
                <w:lang w:bidi="ar"/>
              </w:rPr>
              <w:t xml:space="preserve">选配：1个eSATA接口 </w:t>
            </w:r>
            <w:r>
              <w:rPr>
                <w:rFonts w:hint="eastAsia" w:ascii="宋体" w:hAnsi="宋体" w:cs="宋体"/>
                <w:kern w:val="0"/>
                <w:szCs w:val="21"/>
                <w:lang w:bidi="ar"/>
              </w:rPr>
              <w:br w:type="textWrapping"/>
            </w:r>
            <w:r>
              <w:rPr>
                <w:rFonts w:hint="eastAsia" w:ascii="宋体" w:hAnsi="宋体" w:cs="宋体"/>
                <w:kern w:val="0"/>
                <w:szCs w:val="21"/>
                <w:lang w:bidi="ar"/>
              </w:rPr>
              <w:t xml:space="preserve">报警IO：16进4路（可选配8出） </w:t>
            </w:r>
            <w:r>
              <w:rPr>
                <w:rFonts w:hint="eastAsia" w:ascii="宋体" w:hAnsi="宋体" w:cs="宋体"/>
                <w:kern w:val="0"/>
                <w:szCs w:val="21"/>
                <w:lang w:bidi="ar"/>
              </w:rPr>
              <w:br w:type="textWrapping"/>
            </w:r>
            <w:r>
              <w:rPr>
                <w:rFonts w:hint="eastAsia" w:ascii="宋体" w:hAnsi="宋体" w:cs="宋体"/>
                <w:kern w:val="0"/>
                <w:szCs w:val="21"/>
                <w:lang w:bidi="ar"/>
              </w:rPr>
              <w:t xml:space="preserve"> </w:t>
            </w:r>
            <w:r>
              <w:rPr>
                <w:rFonts w:hint="eastAsia" w:ascii="宋体" w:hAnsi="宋体" w:cs="宋体"/>
                <w:kern w:val="0"/>
                <w:szCs w:val="21"/>
                <w:lang w:bidi="ar"/>
              </w:rPr>
              <w:br w:type="textWrapping"/>
            </w:r>
            <w:r>
              <w:rPr>
                <w:rFonts w:hint="eastAsia" w:ascii="宋体" w:hAnsi="宋体" w:cs="宋体"/>
                <w:kern w:val="0"/>
                <w:szCs w:val="21"/>
                <w:lang w:bidi="ar"/>
              </w:rPr>
              <w:t xml:space="preserve">软件性能： </w:t>
            </w:r>
            <w:r>
              <w:rPr>
                <w:rFonts w:hint="eastAsia" w:ascii="宋体" w:hAnsi="宋体" w:cs="宋体"/>
                <w:kern w:val="0"/>
                <w:szCs w:val="21"/>
                <w:lang w:bidi="ar"/>
              </w:rPr>
              <w:br w:type="textWrapping"/>
            </w:r>
            <w:r>
              <w:rPr>
                <w:rFonts w:hint="eastAsia" w:ascii="宋体" w:hAnsi="宋体" w:cs="宋体"/>
                <w:kern w:val="0"/>
                <w:szCs w:val="21"/>
                <w:lang w:bidi="ar"/>
              </w:rPr>
              <w:t xml:space="preserve">输入带宽：160M </w:t>
            </w:r>
            <w:r>
              <w:rPr>
                <w:rFonts w:hint="eastAsia" w:ascii="宋体" w:hAnsi="宋体" w:cs="宋体"/>
                <w:kern w:val="0"/>
                <w:szCs w:val="21"/>
                <w:lang w:bidi="ar"/>
              </w:rPr>
              <w:br w:type="textWrapping"/>
            </w:r>
            <w:r>
              <w:rPr>
                <w:rFonts w:hint="eastAsia" w:ascii="宋体" w:hAnsi="宋体" w:cs="宋体"/>
                <w:kern w:val="0"/>
                <w:szCs w:val="21"/>
                <w:lang w:bidi="ar"/>
              </w:rPr>
              <w:t xml:space="preserve">16路H.264、H.265接入 </w:t>
            </w:r>
            <w:r>
              <w:rPr>
                <w:rFonts w:hint="eastAsia" w:ascii="宋体" w:hAnsi="宋体" w:cs="宋体"/>
                <w:kern w:val="0"/>
                <w:szCs w:val="21"/>
                <w:lang w:bidi="ar"/>
              </w:rPr>
              <w:br w:type="textWrapping"/>
            </w:r>
            <w:r>
              <w:rPr>
                <w:rFonts w:hint="eastAsia" w:ascii="宋体" w:hAnsi="宋体" w:cs="宋体"/>
                <w:kern w:val="0"/>
                <w:szCs w:val="21"/>
                <w:lang w:bidi="ar"/>
              </w:rPr>
              <w:t xml:space="preserve">最大支持8×1080P解码 </w:t>
            </w:r>
            <w:r>
              <w:rPr>
                <w:rFonts w:hint="eastAsia" w:ascii="宋体" w:hAnsi="宋体" w:cs="宋体"/>
                <w:kern w:val="0"/>
                <w:szCs w:val="21"/>
                <w:lang w:bidi="ar"/>
              </w:rPr>
              <w:br w:type="textWrapping"/>
            </w:r>
            <w:r>
              <w:rPr>
                <w:rFonts w:hint="eastAsia" w:ascii="宋体" w:hAnsi="宋体" w:cs="宋体"/>
                <w:kern w:val="0"/>
                <w:szCs w:val="21"/>
                <w:lang w:bidi="ar"/>
              </w:rPr>
              <w:t xml:space="preserve">支持H.264、H.265解码 </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jc w:val="center"/>
              <w:rPr>
                <w:rFonts w:ascii="宋体" w:hAnsi="宋体" w:cs="宋体"/>
                <w:szCs w:val="21"/>
              </w:rPr>
            </w:pPr>
            <w:r>
              <w:rPr>
                <w:rFonts w:hint="eastAsia" w:ascii="宋体" w:hAnsi="宋体" w:cs="宋体"/>
                <w:szCs w:val="21"/>
              </w:rPr>
              <w:t>21</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4TB/64MB(6Gb/秒 NCQ)/5900RPM/SATA3</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22</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23</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PDU插座</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防雷8插位带线1.8米10A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24</w:t>
            </w:r>
          </w:p>
        </w:tc>
        <w:tc>
          <w:tcPr>
            <w:tcW w:w="879" w:type="dxa"/>
            <w:vMerge w:val="restart"/>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24口千兆接入交换机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≥336Gbps，转发性能 ≥50Mpps，官网双指标的以最小的为准；固化Console管理端口≥1个，千兆电口≥24个，千兆非复用光口≥4个；MAC地址数≥16K，支持横向虚拟化</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25</w:t>
            </w:r>
          </w:p>
        </w:tc>
        <w:tc>
          <w:tcPr>
            <w:tcW w:w="879" w:type="dxa"/>
            <w:vMerge w:val="continue"/>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26</w:t>
            </w:r>
          </w:p>
        </w:tc>
        <w:tc>
          <w:tcPr>
            <w:tcW w:w="87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三、西岸1872</w:t>
            </w:r>
          </w:p>
        </w:tc>
        <w:tc>
          <w:tcPr>
            <w:tcW w:w="792" w:type="dxa"/>
            <w:shd w:val="clear" w:color="auto" w:fill="auto"/>
            <w:vAlign w:val="center"/>
          </w:tcPr>
          <w:p>
            <w:pPr>
              <w:jc w:val="center"/>
              <w:rPr>
                <w:rFonts w:ascii="宋体" w:hAnsi="宋体" w:cs="宋体"/>
                <w:szCs w:val="21"/>
              </w:rPr>
            </w:pPr>
          </w:p>
        </w:tc>
        <w:tc>
          <w:tcPr>
            <w:tcW w:w="6095" w:type="dxa"/>
            <w:shd w:val="clear" w:color="auto" w:fill="auto"/>
            <w:vAlign w:val="center"/>
          </w:tcPr>
          <w:p>
            <w:pPr>
              <w:jc w:val="center"/>
              <w:rPr>
                <w:rFonts w:ascii="宋体" w:hAnsi="宋体" w:cs="宋体"/>
                <w:szCs w:val="21"/>
              </w:rPr>
            </w:pPr>
          </w:p>
        </w:tc>
        <w:tc>
          <w:tcPr>
            <w:tcW w:w="545" w:type="dxa"/>
            <w:shd w:val="clear" w:color="auto" w:fill="auto"/>
            <w:vAlign w:val="center"/>
          </w:tcPr>
          <w:p>
            <w:pPr>
              <w:jc w:val="center"/>
              <w:rPr>
                <w:rFonts w:ascii="宋体" w:hAnsi="宋体" w:cs="宋体"/>
                <w:szCs w:val="21"/>
              </w:rPr>
            </w:pPr>
          </w:p>
        </w:tc>
        <w:tc>
          <w:tcPr>
            <w:tcW w:w="435" w:type="dxa"/>
            <w:shd w:val="clear" w:color="auto" w:fill="auto"/>
            <w:vAlign w:val="center"/>
          </w:tcPr>
          <w:p>
            <w:pPr>
              <w:jc w:val="center"/>
              <w:rPr>
                <w:rFonts w:ascii="宋体" w:hAnsi="宋体" w:cs="宋体"/>
                <w:szCs w:val="21"/>
              </w:rPr>
            </w:pPr>
          </w:p>
        </w:tc>
        <w:tc>
          <w:tcPr>
            <w:tcW w:w="877" w:type="dxa"/>
            <w:shd w:val="clear" w:color="auto" w:fill="auto"/>
            <w:noWrap/>
            <w:vAlign w:val="center"/>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27</w:t>
            </w:r>
          </w:p>
        </w:tc>
        <w:tc>
          <w:tcPr>
            <w:tcW w:w="879" w:type="dxa"/>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消防主机 信号传输装置</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 采用高性能4G无线模块，支持移动、联通或电信网络制式；</w:t>
            </w:r>
            <w:r>
              <w:rPr>
                <w:rFonts w:hint="eastAsia" w:ascii="宋体" w:hAnsi="宋体" w:cs="宋体"/>
                <w:kern w:val="0"/>
                <w:szCs w:val="21"/>
                <w:lang w:bidi="ar"/>
              </w:rPr>
              <w:br w:type="textWrapping"/>
            </w:r>
            <w:r>
              <w:rPr>
                <w:rFonts w:hint="eastAsia" w:ascii="宋体" w:hAnsi="宋体" w:cs="宋体"/>
                <w:kern w:val="0"/>
                <w:szCs w:val="21"/>
                <w:lang w:bidi="ar"/>
              </w:rPr>
              <w:t>（2） 2 路 RS-232 通讯接口、 2 路 RS-485 通讯接口，1 路 CAN 通讯接口、 1 路 RJ45 网络通讯口,</w:t>
            </w:r>
            <w:r>
              <w:rPr>
                <w:rFonts w:hint="eastAsia" w:ascii="宋体" w:hAnsi="宋体" w:cs="宋体"/>
                <w:kern w:val="0"/>
                <w:szCs w:val="21"/>
                <w:lang w:bidi="ar"/>
              </w:rPr>
              <w:br w:type="textWrapping"/>
            </w:r>
            <w:r>
              <w:rPr>
                <w:rFonts w:hint="eastAsia" w:ascii="宋体" w:hAnsi="宋体" w:cs="宋体"/>
                <w:kern w:val="0"/>
                <w:szCs w:val="21"/>
                <w:lang w:bidi="ar"/>
              </w:rPr>
              <w:t>（3） 手动报警：具有手动火警按钮，可以向管理平台上传人工火灾报警信息 ；</w:t>
            </w:r>
            <w:r>
              <w:rPr>
                <w:rFonts w:hint="eastAsia" w:ascii="宋体" w:hAnsi="宋体" w:cs="宋体"/>
                <w:kern w:val="0"/>
                <w:szCs w:val="21"/>
                <w:lang w:bidi="ar"/>
              </w:rPr>
              <w:br w:type="textWrapping"/>
            </w:r>
            <w:r>
              <w:rPr>
                <w:rFonts w:hint="eastAsia" w:ascii="宋体" w:hAnsi="宋体" w:cs="宋体"/>
                <w:kern w:val="0"/>
                <w:szCs w:val="21"/>
                <w:lang w:bidi="ar"/>
              </w:rPr>
              <w:t>（4） 断网续传：网络断网恢复后，接续上传断网期间的数据；</w:t>
            </w:r>
            <w:r>
              <w:rPr>
                <w:rFonts w:hint="eastAsia" w:ascii="宋体" w:hAnsi="宋体" w:cs="宋体"/>
                <w:kern w:val="0"/>
                <w:szCs w:val="21"/>
                <w:lang w:bidi="ar"/>
              </w:rPr>
              <w:br w:type="textWrapping"/>
            </w:r>
            <w:r>
              <w:rPr>
                <w:rFonts w:hint="eastAsia" w:ascii="宋体" w:hAnsi="宋体" w:cs="宋体"/>
                <w:kern w:val="0"/>
                <w:szCs w:val="21"/>
                <w:lang w:bidi="ar"/>
              </w:rPr>
              <w:t>（5） 值班查岗：支持值班查岗功能；</w:t>
            </w:r>
            <w:r>
              <w:rPr>
                <w:rFonts w:hint="eastAsia" w:ascii="宋体" w:hAnsi="宋体" w:cs="宋体"/>
                <w:kern w:val="0"/>
                <w:szCs w:val="21"/>
                <w:lang w:bidi="ar"/>
              </w:rPr>
              <w:br w:type="textWrapping"/>
            </w:r>
            <w:r>
              <w:rPr>
                <w:rFonts w:hint="eastAsia" w:ascii="宋体" w:hAnsi="宋体" w:cs="宋体"/>
                <w:kern w:val="0"/>
                <w:szCs w:val="21"/>
                <w:lang w:bidi="ar"/>
              </w:rPr>
              <w:t>（6） 1路开关量输入，2路常开输出</w:t>
            </w:r>
            <w:r>
              <w:rPr>
                <w:rFonts w:hint="eastAsia" w:ascii="宋体" w:hAnsi="宋体" w:cs="宋体"/>
                <w:kern w:val="0"/>
                <w:szCs w:val="21"/>
                <w:lang w:bidi="ar"/>
              </w:rPr>
              <w:br w:type="textWrapping"/>
            </w:r>
            <w:r>
              <w:rPr>
                <w:rFonts w:hint="eastAsia" w:ascii="宋体" w:hAnsi="宋体" w:cs="宋体"/>
                <w:kern w:val="0"/>
                <w:szCs w:val="21"/>
                <w:lang w:bidi="ar"/>
              </w:rPr>
              <w:t>（7） 1 个以太网接口，能够对目标 IP，目标机号，本机机号设置；</w:t>
            </w:r>
            <w:r>
              <w:rPr>
                <w:rFonts w:hint="eastAsia" w:ascii="宋体" w:hAnsi="宋体" w:cs="宋体"/>
                <w:kern w:val="0"/>
                <w:szCs w:val="21"/>
                <w:lang w:bidi="ar"/>
              </w:rPr>
              <w:br w:type="textWrapping"/>
            </w:r>
            <w:r>
              <w:rPr>
                <w:rFonts w:hint="eastAsia" w:ascii="宋体" w:hAnsi="宋体" w:cs="宋体"/>
                <w:kern w:val="0"/>
                <w:szCs w:val="21"/>
                <w:lang w:bidi="ar"/>
              </w:rPr>
              <w:t>（8） 支持查找历史记录：历史火警、历史请求/反馈、历史故障、历史操作各 1000 条。</w:t>
            </w:r>
            <w:r>
              <w:rPr>
                <w:rFonts w:hint="eastAsia" w:ascii="宋体" w:hAnsi="宋体" w:cs="宋体"/>
                <w:kern w:val="0"/>
                <w:szCs w:val="21"/>
                <w:lang w:bidi="ar"/>
              </w:rPr>
              <w:br w:type="textWrapping"/>
            </w:r>
            <w:r>
              <w:rPr>
                <w:rFonts w:hint="eastAsia" w:ascii="宋体" w:hAnsi="宋体" w:cs="宋体"/>
                <w:kern w:val="0"/>
                <w:szCs w:val="21"/>
                <w:lang w:bidi="ar"/>
              </w:rPr>
              <w:t>（9） 提供液晶显示（128x64），提供实时时钟；</w:t>
            </w:r>
            <w:r>
              <w:rPr>
                <w:rFonts w:hint="eastAsia" w:ascii="宋体" w:hAnsi="宋体" w:cs="宋体"/>
                <w:kern w:val="0"/>
                <w:szCs w:val="21"/>
                <w:lang w:bidi="ar"/>
              </w:rPr>
              <w:br w:type="textWrapping"/>
            </w:r>
            <w:r>
              <w:rPr>
                <w:rFonts w:hint="eastAsia" w:ascii="宋体" w:hAnsi="宋体" w:cs="宋体"/>
                <w:kern w:val="0"/>
                <w:szCs w:val="21"/>
                <w:lang w:bidi="ar"/>
              </w:rPr>
              <w:t>（10） 蓄电池备用供电（待机 24 小时以上）</w:t>
            </w:r>
            <w:r>
              <w:rPr>
                <w:rFonts w:hint="eastAsia" w:ascii="宋体" w:hAnsi="宋体" w:cs="宋体"/>
                <w:kern w:val="0"/>
                <w:szCs w:val="21"/>
                <w:lang w:bidi="ar"/>
              </w:rPr>
              <w:br w:type="textWrapping"/>
            </w:r>
            <w:r>
              <w:rPr>
                <w:rFonts w:hint="eastAsia" w:ascii="宋体" w:hAnsi="宋体" w:cs="宋体"/>
                <w:kern w:val="0"/>
                <w:szCs w:val="21"/>
                <w:lang w:bidi="ar"/>
              </w:rPr>
              <w:t>（11） 交流输入电压 220V 50Hz</w:t>
            </w:r>
            <w:r>
              <w:rPr>
                <w:rFonts w:hint="eastAsia" w:ascii="宋体" w:hAnsi="宋体" w:cs="宋体"/>
                <w:kern w:val="0"/>
                <w:szCs w:val="21"/>
                <w:lang w:bidi="ar"/>
              </w:rPr>
              <w:br w:type="textWrapping"/>
            </w:r>
            <w:r>
              <w:rPr>
                <w:rFonts w:hint="eastAsia" w:ascii="宋体" w:hAnsi="宋体" w:cs="宋体"/>
                <w:kern w:val="0"/>
                <w:szCs w:val="21"/>
                <w:lang w:bidi="ar"/>
              </w:rPr>
              <w:t>（12） 直流备电 12V 7Ah 铅酸电池一节</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28</w:t>
            </w:r>
          </w:p>
        </w:tc>
        <w:tc>
          <w:tcPr>
            <w:tcW w:w="879"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全彩筒型变焦网络摄像机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全彩筒型网络摄像机</w:t>
            </w:r>
            <w:r>
              <w:rPr>
                <w:rFonts w:hint="eastAsia" w:ascii="宋体" w:hAnsi="宋体" w:cs="宋体"/>
                <w:kern w:val="0"/>
                <w:szCs w:val="21"/>
                <w:lang w:bidi="ar"/>
              </w:rPr>
              <w:br w:type="textWrapping"/>
            </w:r>
            <w:r>
              <w:rPr>
                <w:rFonts w:hint="eastAsia" w:ascii="宋体" w:hAnsi="宋体" w:cs="宋体"/>
                <w:kern w:val="0"/>
                <w:szCs w:val="21"/>
                <w:lang w:bidi="ar"/>
              </w:rPr>
              <w:t>全彩级高灵敏度传感器，F1.0超大光圈镜头，提供更清晰的视频流输入</w:t>
            </w:r>
            <w:r>
              <w:rPr>
                <w:rFonts w:hint="eastAsia" w:ascii="宋体" w:hAnsi="宋体" w:cs="宋体"/>
                <w:kern w:val="0"/>
                <w:szCs w:val="21"/>
                <w:lang w:bidi="ar"/>
              </w:rPr>
              <w:br w:type="textWrapping"/>
            </w:r>
            <w:r>
              <w:rPr>
                <w:rFonts w:hint="eastAsia" w:ascii="宋体" w:hAnsi="宋体" w:cs="宋体"/>
                <w:kern w:val="0"/>
                <w:szCs w:val="21"/>
                <w:lang w:bidi="ar"/>
              </w:rPr>
              <w:t>最低照度: 彩色：0.0005 Lux @（F1.0，AGC ON）, 0 Lux with Light</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景深范围: </w:t>
            </w:r>
            <w:r>
              <w:rPr>
                <w:rFonts w:hint="eastAsia" w:ascii="宋体" w:hAnsi="宋体" w:cs="宋体"/>
                <w:kern w:val="0"/>
                <w:szCs w:val="21"/>
                <w:lang w:bidi="ar"/>
              </w:rPr>
              <w:br w:type="textWrapping"/>
            </w:r>
            <w:r>
              <w:rPr>
                <w:rFonts w:hint="eastAsia" w:ascii="宋体" w:hAnsi="宋体" w:cs="宋体"/>
                <w:kern w:val="0"/>
                <w:szCs w:val="21"/>
                <w:lang w:bidi="ar"/>
              </w:rPr>
              <w:t>2.8 mm：1.7 m~∞</w:t>
            </w:r>
            <w:r>
              <w:rPr>
                <w:rFonts w:hint="eastAsia" w:ascii="宋体" w:hAnsi="宋体" w:cs="宋体"/>
                <w:kern w:val="0"/>
                <w:szCs w:val="21"/>
                <w:lang w:bidi="ar"/>
              </w:rPr>
              <w:br w:type="textWrapping"/>
            </w:r>
            <w:r>
              <w:rPr>
                <w:rFonts w:hint="eastAsia" w:ascii="宋体" w:hAnsi="宋体" w:cs="宋体"/>
                <w:kern w:val="0"/>
                <w:szCs w:val="21"/>
                <w:lang w:bidi="ar"/>
              </w:rPr>
              <w:t>4 mm：2.1 m~∞</w:t>
            </w:r>
            <w:r>
              <w:rPr>
                <w:rFonts w:hint="eastAsia" w:ascii="宋体" w:hAnsi="宋体" w:cs="宋体"/>
                <w:kern w:val="0"/>
                <w:szCs w:val="21"/>
                <w:lang w:bidi="ar"/>
              </w:rPr>
              <w:br w:type="textWrapping"/>
            </w:r>
            <w:r>
              <w:rPr>
                <w:rFonts w:hint="eastAsia" w:ascii="宋体" w:hAnsi="宋体" w:cs="宋体"/>
                <w:kern w:val="0"/>
                <w:szCs w:val="21"/>
                <w:lang w:bidi="ar"/>
              </w:rPr>
              <w:t xml:space="preserve">6 mm：3.5 m~∞ </w:t>
            </w:r>
            <w:r>
              <w:rPr>
                <w:rFonts w:hint="eastAsia" w:ascii="宋体" w:hAnsi="宋体" w:cs="宋体"/>
                <w:kern w:val="0"/>
                <w:szCs w:val="21"/>
                <w:lang w:bidi="ar"/>
              </w:rPr>
              <w:br w:type="textWrapping"/>
            </w:r>
            <w:r>
              <w:rPr>
                <w:rFonts w:hint="eastAsia" w:ascii="宋体" w:hAnsi="宋体" w:cs="宋体"/>
                <w:kern w:val="0"/>
                <w:szCs w:val="21"/>
                <w:lang w:bidi="ar"/>
              </w:rPr>
              <w:t xml:space="preserve">8 mm：4 m~∞ </w:t>
            </w:r>
            <w:r>
              <w:rPr>
                <w:rFonts w:hint="eastAsia" w:ascii="宋体" w:hAnsi="宋体" w:cs="宋体"/>
                <w:kern w:val="0"/>
                <w:szCs w:val="21"/>
                <w:lang w:bidi="ar"/>
              </w:rPr>
              <w:br w:type="textWrapping"/>
            </w:r>
            <w:r>
              <w:rPr>
                <w:rFonts w:hint="eastAsia" w:ascii="宋体" w:hAnsi="宋体" w:cs="宋体"/>
                <w:kern w:val="0"/>
                <w:szCs w:val="21"/>
                <w:lang w:bidi="ar"/>
              </w:rPr>
              <w:t>焦距&amp;视场角:</w:t>
            </w:r>
            <w:r>
              <w:rPr>
                <w:rFonts w:hint="eastAsia" w:ascii="宋体" w:hAnsi="宋体" w:cs="宋体"/>
                <w:kern w:val="0"/>
                <w:szCs w:val="21"/>
                <w:lang w:bidi="ar"/>
              </w:rPr>
              <w:br w:type="textWrapping"/>
            </w:r>
            <w:r>
              <w:rPr>
                <w:rFonts w:hint="eastAsia" w:ascii="宋体" w:hAnsi="宋体" w:cs="宋体"/>
                <w:kern w:val="0"/>
                <w:szCs w:val="21"/>
                <w:lang w:bidi="ar"/>
              </w:rPr>
              <w:t>2.8 mm，水平视场角：106.7°，垂直视场角：55.5°，对角线视场角：126.5°</w:t>
            </w:r>
            <w:r>
              <w:rPr>
                <w:rFonts w:hint="eastAsia" w:ascii="宋体" w:hAnsi="宋体" w:cs="宋体"/>
                <w:kern w:val="0"/>
                <w:szCs w:val="21"/>
                <w:lang w:bidi="ar"/>
              </w:rPr>
              <w:br w:type="textWrapping"/>
            </w:r>
            <w:r>
              <w:rPr>
                <w:rFonts w:hint="eastAsia" w:ascii="宋体" w:hAnsi="宋体" w:cs="宋体"/>
                <w:kern w:val="0"/>
                <w:szCs w:val="21"/>
                <w:lang w:bidi="ar"/>
              </w:rPr>
              <w:t>4 mm，水平视场角：83.6°，垂直视场角：44.6°，对角线视场角：99.1°</w:t>
            </w:r>
            <w:r>
              <w:rPr>
                <w:rFonts w:hint="eastAsia" w:ascii="宋体" w:hAnsi="宋体" w:cs="宋体"/>
                <w:kern w:val="0"/>
                <w:szCs w:val="21"/>
                <w:lang w:bidi="ar"/>
              </w:rPr>
              <w:br w:type="textWrapping"/>
            </w:r>
            <w:r>
              <w:rPr>
                <w:rFonts w:hint="eastAsia" w:ascii="宋体" w:hAnsi="宋体" w:cs="宋体"/>
                <w:kern w:val="0"/>
                <w:szCs w:val="21"/>
                <w:lang w:bidi="ar"/>
              </w:rPr>
              <w:t>6 mm，水平视场角：54.6°，垂直视场角：29.9°，对角线视场角：63.3°</w:t>
            </w:r>
            <w:r>
              <w:rPr>
                <w:rFonts w:hint="eastAsia" w:ascii="宋体" w:hAnsi="宋体" w:cs="宋体"/>
                <w:kern w:val="0"/>
                <w:szCs w:val="21"/>
                <w:lang w:bidi="ar"/>
              </w:rPr>
              <w:br w:type="textWrapping"/>
            </w:r>
            <w:r>
              <w:rPr>
                <w:rFonts w:hint="eastAsia" w:ascii="宋体" w:hAnsi="宋体" w:cs="宋体"/>
                <w:kern w:val="0"/>
                <w:szCs w:val="21"/>
                <w:lang w:bidi="ar"/>
              </w:rPr>
              <w:t>8 mm，水平视场角：42.2°，垂直视场角：23.1°，对角线视场角：49.2°</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补光灯类型: 暖白光灯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支持NAS（NFS，SMB/CIFS均支持），支持Micro SD(即TF卡)/Micro SDHC/Micro SDXC卡（最大256 GB），断网本地录像存储及断网续传，支持SD卡加密及SD卡状态检测</w:t>
            </w:r>
            <w:r>
              <w:rPr>
                <w:rFonts w:hint="eastAsia" w:ascii="宋体" w:hAnsi="宋体" w:cs="宋体"/>
                <w:kern w:val="0"/>
                <w:szCs w:val="21"/>
                <w:lang w:bidi="ar"/>
              </w:rPr>
              <w:br w:type="textWrapping"/>
            </w:r>
            <w:r>
              <w:rPr>
                <w:rFonts w:hint="eastAsia" w:ascii="宋体" w:hAnsi="宋体" w:cs="宋体"/>
                <w:kern w:val="0"/>
                <w:szCs w:val="21"/>
                <w:lang w:bidi="ar"/>
              </w:rPr>
              <w:t>报警: 1路输入，1路输出，三极管（最大支持DC12 V，20 mA）</w:t>
            </w:r>
            <w:r>
              <w:rPr>
                <w:rFonts w:hint="eastAsia" w:ascii="宋体" w:hAnsi="宋体" w:cs="宋体"/>
                <w:kern w:val="0"/>
                <w:szCs w:val="21"/>
                <w:lang w:bidi="ar"/>
              </w:rPr>
              <w:br w:type="textWrapping"/>
            </w:r>
            <w:r>
              <w:rPr>
                <w:rFonts w:hint="eastAsia" w:ascii="宋体" w:hAnsi="宋体" w:cs="宋体"/>
                <w:kern w:val="0"/>
                <w:szCs w:val="21"/>
                <w:lang w:bidi="ar"/>
              </w:rPr>
              <w:t>音频: 1个内置麦克风; 1路音频输入（Line in），1路音频输出（Line out）</w:t>
            </w:r>
            <w:r>
              <w:rPr>
                <w:rFonts w:hint="eastAsia" w:ascii="宋体" w:hAnsi="宋体" w:cs="宋体"/>
                <w:kern w:val="0"/>
                <w:szCs w:val="21"/>
                <w:lang w:bidi="ar"/>
              </w:rPr>
              <w:br w:type="textWrapping"/>
            </w:r>
            <w:r>
              <w:rPr>
                <w:rFonts w:hint="eastAsia" w:ascii="宋体" w:hAnsi="宋体" w:cs="宋体"/>
                <w:kern w:val="0"/>
                <w:szCs w:val="21"/>
                <w:lang w:bidi="ar"/>
              </w:rPr>
              <w:t>复位: 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电源输出: DC12 V，100 mA，建议用于拾音器供电</w:t>
            </w:r>
            <w:r>
              <w:rPr>
                <w:rFonts w:hint="eastAsia" w:ascii="宋体" w:hAnsi="宋体" w:cs="宋体"/>
                <w:kern w:val="0"/>
                <w:szCs w:val="21"/>
                <w:lang w:bidi="ar"/>
              </w:rPr>
              <w:br w:type="textWrapping"/>
            </w:r>
            <w:r>
              <w:rPr>
                <w:rFonts w:hint="eastAsia" w:ascii="宋体" w:hAnsi="宋体" w:cs="宋体"/>
                <w:kern w:val="0"/>
                <w:szCs w:val="21"/>
                <w:lang w:bidi="ar"/>
              </w:rPr>
              <w:t xml:space="preserve">启动及工作温湿度: -30 ℃~60 ℃，湿度小于95%（无凝结） </w:t>
            </w:r>
            <w:r>
              <w:rPr>
                <w:rFonts w:hint="eastAsia" w:ascii="宋体" w:hAnsi="宋体" w:cs="宋体"/>
                <w:kern w:val="0"/>
                <w:szCs w:val="21"/>
                <w:lang w:bidi="ar"/>
              </w:rPr>
              <w:br w:type="textWrapping"/>
            </w:r>
            <w:r>
              <w:rPr>
                <w:rFonts w:hint="eastAsia" w:ascii="宋体" w:hAnsi="宋体" w:cs="宋体"/>
                <w:kern w:val="0"/>
                <w:szCs w:val="21"/>
                <w:lang w:bidi="ar"/>
              </w:rPr>
              <w:t xml:space="preserve">供电方式 DC：12 V ± 25%，支持防反接保护; PoE：802.3af，Class 3 </w:t>
            </w:r>
            <w:r>
              <w:rPr>
                <w:rFonts w:hint="eastAsia" w:ascii="宋体" w:hAnsi="宋体" w:cs="宋体"/>
                <w:kern w:val="0"/>
                <w:szCs w:val="21"/>
                <w:lang w:bidi="ar"/>
              </w:rPr>
              <w:br w:type="textWrapping"/>
            </w:r>
            <w:r>
              <w:rPr>
                <w:rFonts w:hint="eastAsia" w:ascii="宋体" w:hAnsi="宋体" w:cs="宋体"/>
                <w:kern w:val="0"/>
                <w:szCs w:val="21"/>
                <w:lang w:bidi="ar"/>
              </w:rPr>
              <w:t xml:space="preserve">电流及功耗:  DC：12 V，0.56 A，最大功耗：6.8 W ; PoE：802.3af，36 V~57 V，0.22 A~0.14 A，最大功耗：8.0 W </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2 </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29</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30</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摄像机电源</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12DC/10A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31</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 立竿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3.5m，厚度3mm镀锌钢管，烤漆色结合景观；带横杆、地笼、2~3头枪机横臂；顶部带有防雨球。</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32</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室外监控箱</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800*600*400， 含电源空开、电源避雷器、光纤盒、光纤接头等附件</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jc w:val="center"/>
              <w:rPr>
                <w:rFonts w:ascii="宋体" w:hAnsi="宋体" w:cs="宋体"/>
                <w:szCs w:val="21"/>
              </w:rPr>
            </w:pPr>
            <w:r>
              <w:rPr>
                <w:rFonts w:hint="eastAsia" w:ascii="宋体" w:hAnsi="宋体" w:cs="宋体"/>
                <w:szCs w:val="21"/>
              </w:rPr>
              <w:t>33</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硬件规格： </w:t>
            </w:r>
            <w:r>
              <w:rPr>
                <w:rFonts w:hint="eastAsia" w:ascii="宋体" w:hAnsi="宋体" w:cs="宋体"/>
                <w:kern w:val="0"/>
                <w:szCs w:val="21"/>
                <w:lang w:bidi="ar"/>
              </w:rPr>
              <w:br w:type="textWrapping"/>
            </w:r>
            <w:r>
              <w:rPr>
                <w:rFonts w:hint="eastAsia" w:ascii="宋体" w:hAnsi="宋体" w:cs="宋体"/>
                <w:kern w:val="0"/>
                <w:szCs w:val="21"/>
                <w:lang w:bidi="ar"/>
              </w:rPr>
              <w:t xml:space="preserve">1.5U标准机架式 </w:t>
            </w:r>
            <w:r>
              <w:rPr>
                <w:rFonts w:hint="eastAsia" w:ascii="宋体" w:hAnsi="宋体" w:cs="宋体"/>
                <w:kern w:val="0"/>
                <w:szCs w:val="21"/>
                <w:lang w:bidi="ar"/>
              </w:rPr>
              <w:br w:type="textWrapping"/>
            </w:r>
            <w:r>
              <w:rPr>
                <w:rFonts w:hint="eastAsia" w:ascii="宋体" w:hAnsi="宋体" w:cs="宋体"/>
                <w:kern w:val="0"/>
                <w:szCs w:val="21"/>
                <w:lang w:bidi="ar"/>
              </w:rPr>
              <w:t xml:space="preserve">1个HDMI，1个VGA，异源输出 </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4盘位，可满配6TB硬盘  </w:t>
            </w:r>
            <w:r>
              <w:rPr>
                <w:rFonts w:hint="eastAsia" w:ascii="宋体" w:hAnsi="宋体" w:cs="宋体"/>
                <w:kern w:val="0"/>
                <w:szCs w:val="21"/>
                <w:lang w:bidi="ar"/>
              </w:rPr>
              <w:br w:type="textWrapping"/>
            </w:r>
            <w:r>
              <w:rPr>
                <w:rFonts w:hint="eastAsia" w:ascii="宋体" w:hAnsi="宋体" w:cs="宋体"/>
                <w:kern w:val="0"/>
                <w:szCs w:val="21"/>
                <w:lang w:bidi="ar"/>
              </w:rPr>
              <w:t xml:space="preserve">2个千兆网口 </w:t>
            </w:r>
            <w:r>
              <w:rPr>
                <w:rFonts w:hint="eastAsia" w:ascii="宋体" w:hAnsi="宋体" w:cs="宋体"/>
                <w:kern w:val="0"/>
                <w:szCs w:val="21"/>
                <w:lang w:bidi="ar"/>
              </w:rPr>
              <w:br w:type="textWrapping"/>
            </w:r>
            <w:r>
              <w:rPr>
                <w:rFonts w:hint="eastAsia" w:ascii="宋体" w:hAnsi="宋体" w:cs="宋体"/>
                <w:kern w:val="0"/>
                <w:szCs w:val="21"/>
                <w:lang w:bidi="ar"/>
              </w:rPr>
              <w:t xml:space="preserve">2个USB2.0接口、1个USB3.0接口 </w:t>
            </w:r>
            <w:r>
              <w:rPr>
                <w:rFonts w:hint="eastAsia" w:ascii="宋体" w:hAnsi="宋体" w:cs="宋体"/>
                <w:kern w:val="0"/>
                <w:szCs w:val="21"/>
                <w:lang w:bidi="ar"/>
              </w:rPr>
              <w:br w:type="textWrapping"/>
            </w:r>
            <w:r>
              <w:rPr>
                <w:rFonts w:hint="eastAsia" w:ascii="宋体" w:hAnsi="宋体" w:cs="宋体"/>
                <w:kern w:val="0"/>
                <w:szCs w:val="21"/>
                <w:lang w:bidi="ar"/>
              </w:rPr>
              <w:t xml:space="preserve">选配：1个eSATA接口 </w:t>
            </w:r>
            <w:r>
              <w:rPr>
                <w:rFonts w:hint="eastAsia" w:ascii="宋体" w:hAnsi="宋体" w:cs="宋体"/>
                <w:kern w:val="0"/>
                <w:szCs w:val="21"/>
                <w:lang w:bidi="ar"/>
              </w:rPr>
              <w:br w:type="textWrapping"/>
            </w:r>
            <w:r>
              <w:rPr>
                <w:rFonts w:hint="eastAsia" w:ascii="宋体" w:hAnsi="宋体" w:cs="宋体"/>
                <w:kern w:val="0"/>
                <w:szCs w:val="21"/>
                <w:lang w:bidi="ar"/>
              </w:rPr>
              <w:t xml:space="preserve">报警IO：16进4路（可选配8出） </w:t>
            </w:r>
            <w:r>
              <w:rPr>
                <w:rFonts w:hint="eastAsia" w:ascii="宋体" w:hAnsi="宋体" w:cs="宋体"/>
                <w:kern w:val="0"/>
                <w:szCs w:val="21"/>
                <w:lang w:bidi="ar"/>
              </w:rPr>
              <w:br w:type="textWrapping"/>
            </w:r>
            <w:r>
              <w:rPr>
                <w:rFonts w:hint="eastAsia" w:ascii="宋体" w:hAnsi="宋体" w:cs="宋体"/>
                <w:kern w:val="0"/>
                <w:szCs w:val="21"/>
                <w:lang w:bidi="ar"/>
              </w:rPr>
              <w:t xml:space="preserve"> </w:t>
            </w:r>
            <w:r>
              <w:rPr>
                <w:rFonts w:hint="eastAsia" w:ascii="宋体" w:hAnsi="宋体" w:cs="宋体"/>
                <w:kern w:val="0"/>
                <w:szCs w:val="21"/>
                <w:lang w:bidi="ar"/>
              </w:rPr>
              <w:br w:type="textWrapping"/>
            </w:r>
            <w:r>
              <w:rPr>
                <w:rFonts w:hint="eastAsia" w:ascii="宋体" w:hAnsi="宋体" w:cs="宋体"/>
                <w:kern w:val="0"/>
                <w:szCs w:val="21"/>
                <w:lang w:bidi="ar"/>
              </w:rPr>
              <w:t xml:space="preserve">软件性能： </w:t>
            </w:r>
            <w:r>
              <w:rPr>
                <w:rFonts w:hint="eastAsia" w:ascii="宋体" w:hAnsi="宋体" w:cs="宋体"/>
                <w:kern w:val="0"/>
                <w:szCs w:val="21"/>
                <w:lang w:bidi="ar"/>
              </w:rPr>
              <w:br w:type="textWrapping"/>
            </w:r>
            <w:r>
              <w:rPr>
                <w:rFonts w:hint="eastAsia" w:ascii="宋体" w:hAnsi="宋体" w:cs="宋体"/>
                <w:kern w:val="0"/>
                <w:szCs w:val="21"/>
                <w:lang w:bidi="ar"/>
              </w:rPr>
              <w:t xml:space="preserve">输入带宽：160M </w:t>
            </w:r>
            <w:r>
              <w:rPr>
                <w:rFonts w:hint="eastAsia" w:ascii="宋体" w:hAnsi="宋体" w:cs="宋体"/>
                <w:kern w:val="0"/>
                <w:szCs w:val="21"/>
                <w:lang w:bidi="ar"/>
              </w:rPr>
              <w:br w:type="textWrapping"/>
            </w:r>
            <w:r>
              <w:rPr>
                <w:rFonts w:hint="eastAsia" w:ascii="宋体" w:hAnsi="宋体" w:cs="宋体"/>
                <w:kern w:val="0"/>
                <w:szCs w:val="21"/>
                <w:lang w:bidi="ar"/>
              </w:rPr>
              <w:t xml:space="preserve">16路H.264、H.265接入 </w:t>
            </w:r>
            <w:r>
              <w:rPr>
                <w:rFonts w:hint="eastAsia" w:ascii="宋体" w:hAnsi="宋体" w:cs="宋体"/>
                <w:kern w:val="0"/>
                <w:szCs w:val="21"/>
                <w:lang w:bidi="ar"/>
              </w:rPr>
              <w:br w:type="textWrapping"/>
            </w:r>
            <w:r>
              <w:rPr>
                <w:rFonts w:hint="eastAsia" w:ascii="宋体" w:hAnsi="宋体" w:cs="宋体"/>
                <w:kern w:val="0"/>
                <w:szCs w:val="21"/>
                <w:lang w:bidi="ar"/>
              </w:rPr>
              <w:t xml:space="preserve">最大支持8×1080P解码 </w:t>
            </w:r>
            <w:r>
              <w:rPr>
                <w:rFonts w:hint="eastAsia" w:ascii="宋体" w:hAnsi="宋体" w:cs="宋体"/>
                <w:kern w:val="0"/>
                <w:szCs w:val="21"/>
                <w:lang w:bidi="ar"/>
              </w:rPr>
              <w:br w:type="textWrapping"/>
            </w:r>
            <w:r>
              <w:rPr>
                <w:rFonts w:hint="eastAsia" w:ascii="宋体" w:hAnsi="宋体" w:cs="宋体"/>
                <w:kern w:val="0"/>
                <w:szCs w:val="21"/>
                <w:lang w:bidi="ar"/>
              </w:rPr>
              <w:t xml:space="preserve">支持H.264、H.265解码 </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jc w:val="center"/>
              <w:rPr>
                <w:rFonts w:ascii="宋体" w:hAnsi="宋体" w:cs="宋体"/>
                <w:szCs w:val="21"/>
              </w:rPr>
            </w:pPr>
            <w:r>
              <w:rPr>
                <w:rFonts w:hint="eastAsia" w:ascii="宋体" w:hAnsi="宋体" w:cs="宋体"/>
                <w:szCs w:val="21"/>
              </w:rPr>
              <w:t>34</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4TB/64MB(6Gb/秒 NCQ)/5900RPM/SATA3</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35</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工控主机（门禁信号采集）</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36</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PDU插座</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防雷8插位带线1.8米10A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37</w:t>
            </w:r>
          </w:p>
        </w:tc>
        <w:tc>
          <w:tcPr>
            <w:tcW w:w="879" w:type="dxa"/>
            <w:vMerge w:val="restart"/>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24口千兆接入交换机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≥336Gbps，转发性能 ≥50Mpps，官网双指标的以最小的为准；固化Console管理端口≥1个，千兆电口≥24个，千兆非复用光口≥4个；MAC地址数≥16K，支持横向虚拟化</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38</w:t>
            </w:r>
          </w:p>
        </w:tc>
        <w:tc>
          <w:tcPr>
            <w:tcW w:w="879" w:type="dxa"/>
            <w:vMerge w:val="continue"/>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39</w:t>
            </w:r>
          </w:p>
        </w:tc>
        <w:tc>
          <w:tcPr>
            <w:tcW w:w="87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三、青秀蓝湾</w:t>
            </w:r>
          </w:p>
        </w:tc>
        <w:tc>
          <w:tcPr>
            <w:tcW w:w="792" w:type="dxa"/>
            <w:shd w:val="clear" w:color="auto" w:fill="auto"/>
            <w:vAlign w:val="center"/>
          </w:tcPr>
          <w:p>
            <w:pPr>
              <w:jc w:val="center"/>
              <w:rPr>
                <w:rFonts w:ascii="宋体" w:hAnsi="宋体" w:cs="宋体"/>
                <w:szCs w:val="21"/>
              </w:rPr>
            </w:pPr>
          </w:p>
        </w:tc>
        <w:tc>
          <w:tcPr>
            <w:tcW w:w="6095" w:type="dxa"/>
            <w:shd w:val="clear" w:color="auto" w:fill="auto"/>
            <w:vAlign w:val="center"/>
          </w:tcPr>
          <w:p>
            <w:pPr>
              <w:jc w:val="center"/>
              <w:rPr>
                <w:rFonts w:ascii="宋体" w:hAnsi="宋体" w:cs="宋体"/>
                <w:szCs w:val="21"/>
              </w:rPr>
            </w:pPr>
          </w:p>
        </w:tc>
        <w:tc>
          <w:tcPr>
            <w:tcW w:w="545" w:type="dxa"/>
            <w:shd w:val="clear" w:color="auto" w:fill="auto"/>
            <w:vAlign w:val="center"/>
          </w:tcPr>
          <w:p>
            <w:pPr>
              <w:jc w:val="center"/>
              <w:rPr>
                <w:rFonts w:ascii="宋体" w:hAnsi="宋体" w:cs="宋体"/>
                <w:szCs w:val="21"/>
              </w:rPr>
            </w:pPr>
          </w:p>
        </w:tc>
        <w:tc>
          <w:tcPr>
            <w:tcW w:w="435" w:type="dxa"/>
            <w:shd w:val="clear" w:color="auto" w:fill="auto"/>
            <w:vAlign w:val="center"/>
          </w:tcPr>
          <w:p>
            <w:pPr>
              <w:jc w:val="center"/>
              <w:rPr>
                <w:rFonts w:ascii="宋体" w:hAnsi="宋体" w:cs="宋体"/>
                <w:szCs w:val="21"/>
              </w:rPr>
            </w:pPr>
          </w:p>
        </w:tc>
        <w:tc>
          <w:tcPr>
            <w:tcW w:w="877"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40</w:t>
            </w:r>
          </w:p>
        </w:tc>
        <w:tc>
          <w:tcPr>
            <w:tcW w:w="879" w:type="dxa"/>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消防主机 信号传输装置</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 采用高性能4G无线模块，支持移动、联通或电信网络制式；</w:t>
            </w:r>
            <w:r>
              <w:rPr>
                <w:rFonts w:hint="eastAsia" w:ascii="宋体" w:hAnsi="宋体" w:cs="宋体"/>
                <w:kern w:val="0"/>
                <w:szCs w:val="21"/>
                <w:lang w:bidi="ar"/>
              </w:rPr>
              <w:br w:type="textWrapping"/>
            </w:r>
            <w:r>
              <w:rPr>
                <w:rFonts w:hint="eastAsia" w:ascii="宋体" w:hAnsi="宋体" w:cs="宋体"/>
                <w:kern w:val="0"/>
                <w:szCs w:val="21"/>
                <w:lang w:bidi="ar"/>
              </w:rPr>
              <w:t>（2） 2 路 RS-232 通讯接口、 2 路 RS-485 通讯接口，1 路 CAN 通讯接口、 1 路 RJ45 网络通讯口,</w:t>
            </w:r>
            <w:r>
              <w:rPr>
                <w:rFonts w:hint="eastAsia" w:ascii="宋体" w:hAnsi="宋体" w:cs="宋体"/>
                <w:kern w:val="0"/>
                <w:szCs w:val="21"/>
                <w:lang w:bidi="ar"/>
              </w:rPr>
              <w:br w:type="textWrapping"/>
            </w:r>
            <w:r>
              <w:rPr>
                <w:rFonts w:hint="eastAsia" w:ascii="宋体" w:hAnsi="宋体" w:cs="宋体"/>
                <w:kern w:val="0"/>
                <w:szCs w:val="21"/>
                <w:lang w:bidi="ar"/>
              </w:rPr>
              <w:t>（3） 手动报警：具有手动火警按钮，可以向管理平台上传人工火灾报警信息 ；</w:t>
            </w:r>
            <w:r>
              <w:rPr>
                <w:rFonts w:hint="eastAsia" w:ascii="宋体" w:hAnsi="宋体" w:cs="宋体"/>
                <w:kern w:val="0"/>
                <w:szCs w:val="21"/>
                <w:lang w:bidi="ar"/>
              </w:rPr>
              <w:br w:type="textWrapping"/>
            </w:r>
            <w:r>
              <w:rPr>
                <w:rFonts w:hint="eastAsia" w:ascii="宋体" w:hAnsi="宋体" w:cs="宋体"/>
                <w:kern w:val="0"/>
                <w:szCs w:val="21"/>
                <w:lang w:bidi="ar"/>
              </w:rPr>
              <w:t>（4） 断网续传：网络断网恢复后，接续上传断网期间的数据；</w:t>
            </w:r>
            <w:r>
              <w:rPr>
                <w:rFonts w:hint="eastAsia" w:ascii="宋体" w:hAnsi="宋体" w:cs="宋体"/>
                <w:kern w:val="0"/>
                <w:szCs w:val="21"/>
                <w:lang w:bidi="ar"/>
              </w:rPr>
              <w:br w:type="textWrapping"/>
            </w:r>
            <w:r>
              <w:rPr>
                <w:rFonts w:hint="eastAsia" w:ascii="宋体" w:hAnsi="宋体" w:cs="宋体"/>
                <w:kern w:val="0"/>
                <w:szCs w:val="21"/>
                <w:lang w:bidi="ar"/>
              </w:rPr>
              <w:t>（5） 值班查岗：支持值班查岗功能；</w:t>
            </w:r>
            <w:r>
              <w:rPr>
                <w:rFonts w:hint="eastAsia" w:ascii="宋体" w:hAnsi="宋体" w:cs="宋体"/>
                <w:kern w:val="0"/>
                <w:szCs w:val="21"/>
                <w:lang w:bidi="ar"/>
              </w:rPr>
              <w:br w:type="textWrapping"/>
            </w:r>
            <w:r>
              <w:rPr>
                <w:rFonts w:hint="eastAsia" w:ascii="宋体" w:hAnsi="宋体" w:cs="宋体"/>
                <w:kern w:val="0"/>
                <w:szCs w:val="21"/>
                <w:lang w:bidi="ar"/>
              </w:rPr>
              <w:t>（6） 1路开关量输入，2路常开输出</w:t>
            </w:r>
            <w:r>
              <w:rPr>
                <w:rFonts w:hint="eastAsia" w:ascii="宋体" w:hAnsi="宋体" w:cs="宋体"/>
                <w:kern w:val="0"/>
                <w:szCs w:val="21"/>
                <w:lang w:bidi="ar"/>
              </w:rPr>
              <w:br w:type="textWrapping"/>
            </w:r>
            <w:r>
              <w:rPr>
                <w:rFonts w:hint="eastAsia" w:ascii="宋体" w:hAnsi="宋体" w:cs="宋体"/>
                <w:kern w:val="0"/>
                <w:szCs w:val="21"/>
                <w:lang w:bidi="ar"/>
              </w:rPr>
              <w:t>（7） 1 个以太网接口，能够对目标 IP，目标机号，本机机号设置；</w:t>
            </w:r>
            <w:r>
              <w:rPr>
                <w:rFonts w:hint="eastAsia" w:ascii="宋体" w:hAnsi="宋体" w:cs="宋体"/>
                <w:kern w:val="0"/>
                <w:szCs w:val="21"/>
                <w:lang w:bidi="ar"/>
              </w:rPr>
              <w:br w:type="textWrapping"/>
            </w:r>
            <w:r>
              <w:rPr>
                <w:rFonts w:hint="eastAsia" w:ascii="宋体" w:hAnsi="宋体" w:cs="宋体"/>
                <w:kern w:val="0"/>
                <w:szCs w:val="21"/>
                <w:lang w:bidi="ar"/>
              </w:rPr>
              <w:t>（8） 支持查找历史记录：历史火警、历史请求/反馈、历史故障、历史操作各 1000 条。</w:t>
            </w:r>
            <w:r>
              <w:rPr>
                <w:rFonts w:hint="eastAsia" w:ascii="宋体" w:hAnsi="宋体" w:cs="宋体"/>
                <w:kern w:val="0"/>
                <w:szCs w:val="21"/>
                <w:lang w:bidi="ar"/>
              </w:rPr>
              <w:br w:type="textWrapping"/>
            </w:r>
            <w:r>
              <w:rPr>
                <w:rFonts w:hint="eastAsia" w:ascii="宋体" w:hAnsi="宋体" w:cs="宋体"/>
                <w:kern w:val="0"/>
                <w:szCs w:val="21"/>
                <w:lang w:bidi="ar"/>
              </w:rPr>
              <w:t>（9） 提供液晶显示（128x64），提供实时时钟；</w:t>
            </w:r>
            <w:r>
              <w:rPr>
                <w:rFonts w:hint="eastAsia" w:ascii="宋体" w:hAnsi="宋体" w:cs="宋体"/>
                <w:kern w:val="0"/>
                <w:szCs w:val="21"/>
                <w:lang w:bidi="ar"/>
              </w:rPr>
              <w:br w:type="textWrapping"/>
            </w:r>
            <w:r>
              <w:rPr>
                <w:rFonts w:hint="eastAsia" w:ascii="宋体" w:hAnsi="宋体" w:cs="宋体"/>
                <w:kern w:val="0"/>
                <w:szCs w:val="21"/>
                <w:lang w:bidi="ar"/>
              </w:rPr>
              <w:t>（10） 蓄电池备用供电（待机 24 小时以上）</w:t>
            </w:r>
            <w:r>
              <w:rPr>
                <w:rFonts w:hint="eastAsia" w:ascii="宋体" w:hAnsi="宋体" w:cs="宋体"/>
                <w:kern w:val="0"/>
                <w:szCs w:val="21"/>
                <w:lang w:bidi="ar"/>
              </w:rPr>
              <w:br w:type="textWrapping"/>
            </w:r>
            <w:r>
              <w:rPr>
                <w:rFonts w:hint="eastAsia" w:ascii="宋体" w:hAnsi="宋体" w:cs="宋体"/>
                <w:kern w:val="0"/>
                <w:szCs w:val="21"/>
                <w:lang w:bidi="ar"/>
              </w:rPr>
              <w:t>（11） 交流输入电压 220V 50Hz</w:t>
            </w:r>
            <w:r>
              <w:rPr>
                <w:rFonts w:hint="eastAsia" w:ascii="宋体" w:hAnsi="宋体" w:cs="宋体"/>
                <w:kern w:val="0"/>
                <w:szCs w:val="21"/>
                <w:lang w:bidi="ar"/>
              </w:rPr>
              <w:br w:type="textWrapping"/>
            </w:r>
            <w:r>
              <w:rPr>
                <w:rFonts w:hint="eastAsia" w:ascii="宋体" w:hAnsi="宋体" w:cs="宋体"/>
                <w:kern w:val="0"/>
                <w:szCs w:val="21"/>
                <w:lang w:bidi="ar"/>
              </w:rPr>
              <w:t>（12） 直流备电 12V 7Ah 铅酸电池一节</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41</w:t>
            </w:r>
          </w:p>
        </w:tc>
        <w:tc>
          <w:tcPr>
            <w:tcW w:w="879"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全彩筒型变焦网络摄像机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全彩筒型网络摄像机</w:t>
            </w:r>
            <w:r>
              <w:rPr>
                <w:rFonts w:hint="eastAsia" w:ascii="宋体" w:hAnsi="宋体" w:cs="宋体"/>
                <w:kern w:val="0"/>
                <w:szCs w:val="21"/>
                <w:lang w:bidi="ar"/>
              </w:rPr>
              <w:br w:type="textWrapping"/>
            </w:r>
            <w:r>
              <w:rPr>
                <w:rFonts w:hint="eastAsia" w:ascii="宋体" w:hAnsi="宋体" w:cs="宋体"/>
                <w:kern w:val="0"/>
                <w:szCs w:val="21"/>
                <w:lang w:bidi="ar"/>
              </w:rPr>
              <w:t>全彩级高灵敏度传感器，F1.0超大光圈镜头，提供更清晰的视频流输入</w:t>
            </w:r>
            <w:r>
              <w:rPr>
                <w:rFonts w:hint="eastAsia" w:ascii="宋体" w:hAnsi="宋体" w:cs="宋体"/>
                <w:kern w:val="0"/>
                <w:szCs w:val="21"/>
                <w:lang w:bidi="ar"/>
              </w:rPr>
              <w:br w:type="textWrapping"/>
            </w:r>
            <w:r>
              <w:rPr>
                <w:rFonts w:hint="eastAsia" w:ascii="宋体" w:hAnsi="宋体" w:cs="宋体"/>
                <w:kern w:val="0"/>
                <w:szCs w:val="21"/>
                <w:lang w:bidi="ar"/>
              </w:rPr>
              <w:t>最低照度: 彩色：0.0005 Lux @（F1.0，AGC ON）, 0 Lux with Light</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景深范围: </w:t>
            </w:r>
            <w:r>
              <w:rPr>
                <w:rFonts w:hint="eastAsia" w:ascii="宋体" w:hAnsi="宋体" w:cs="宋体"/>
                <w:kern w:val="0"/>
                <w:szCs w:val="21"/>
                <w:lang w:bidi="ar"/>
              </w:rPr>
              <w:br w:type="textWrapping"/>
            </w:r>
            <w:r>
              <w:rPr>
                <w:rFonts w:hint="eastAsia" w:ascii="宋体" w:hAnsi="宋体" w:cs="宋体"/>
                <w:kern w:val="0"/>
                <w:szCs w:val="21"/>
                <w:lang w:bidi="ar"/>
              </w:rPr>
              <w:t>2.8 mm：1.7 m~∞</w:t>
            </w:r>
            <w:r>
              <w:rPr>
                <w:rFonts w:hint="eastAsia" w:ascii="宋体" w:hAnsi="宋体" w:cs="宋体"/>
                <w:kern w:val="0"/>
                <w:szCs w:val="21"/>
                <w:lang w:bidi="ar"/>
              </w:rPr>
              <w:br w:type="textWrapping"/>
            </w:r>
            <w:r>
              <w:rPr>
                <w:rFonts w:hint="eastAsia" w:ascii="宋体" w:hAnsi="宋体" w:cs="宋体"/>
                <w:kern w:val="0"/>
                <w:szCs w:val="21"/>
                <w:lang w:bidi="ar"/>
              </w:rPr>
              <w:t>4 mm：2.1 m~∞</w:t>
            </w:r>
            <w:r>
              <w:rPr>
                <w:rFonts w:hint="eastAsia" w:ascii="宋体" w:hAnsi="宋体" w:cs="宋体"/>
                <w:kern w:val="0"/>
                <w:szCs w:val="21"/>
                <w:lang w:bidi="ar"/>
              </w:rPr>
              <w:br w:type="textWrapping"/>
            </w:r>
            <w:r>
              <w:rPr>
                <w:rFonts w:hint="eastAsia" w:ascii="宋体" w:hAnsi="宋体" w:cs="宋体"/>
                <w:kern w:val="0"/>
                <w:szCs w:val="21"/>
                <w:lang w:bidi="ar"/>
              </w:rPr>
              <w:t xml:space="preserve">6 mm：3.5 m~∞ </w:t>
            </w:r>
            <w:r>
              <w:rPr>
                <w:rFonts w:hint="eastAsia" w:ascii="宋体" w:hAnsi="宋体" w:cs="宋体"/>
                <w:kern w:val="0"/>
                <w:szCs w:val="21"/>
                <w:lang w:bidi="ar"/>
              </w:rPr>
              <w:br w:type="textWrapping"/>
            </w:r>
            <w:r>
              <w:rPr>
                <w:rFonts w:hint="eastAsia" w:ascii="宋体" w:hAnsi="宋体" w:cs="宋体"/>
                <w:kern w:val="0"/>
                <w:szCs w:val="21"/>
                <w:lang w:bidi="ar"/>
              </w:rPr>
              <w:t xml:space="preserve">8 mm：4 m~∞ </w:t>
            </w:r>
            <w:r>
              <w:rPr>
                <w:rFonts w:hint="eastAsia" w:ascii="宋体" w:hAnsi="宋体" w:cs="宋体"/>
                <w:kern w:val="0"/>
                <w:szCs w:val="21"/>
                <w:lang w:bidi="ar"/>
              </w:rPr>
              <w:br w:type="textWrapping"/>
            </w:r>
            <w:r>
              <w:rPr>
                <w:rFonts w:hint="eastAsia" w:ascii="宋体" w:hAnsi="宋体" w:cs="宋体"/>
                <w:kern w:val="0"/>
                <w:szCs w:val="21"/>
                <w:lang w:bidi="ar"/>
              </w:rPr>
              <w:t>焦距&amp;视场角:</w:t>
            </w:r>
            <w:r>
              <w:rPr>
                <w:rFonts w:hint="eastAsia" w:ascii="宋体" w:hAnsi="宋体" w:cs="宋体"/>
                <w:kern w:val="0"/>
                <w:szCs w:val="21"/>
                <w:lang w:bidi="ar"/>
              </w:rPr>
              <w:br w:type="textWrapping"/>
            </w:r>
            <w:r>
              <w:rPr>
                <w:rFonts w:hint="eastAsia" w:ascii="宋体" w:hAnsi="宋体" w:cs="宋体"/>
                <w:kern w:val="0"/>
                <w:szCs w:val="21"/>
                <w:lang w:bidi="ar"/>
              </w:rPr>
              <w:t>2.8 mm，水平视场角：106.7°，垂直视场角：55.5°，对角线视场角：126.5°</w:t>
            </w:r>
            <w:r>
              <w:rPr>
                <w:rFonts w:hint="eastAsia" w:ascii="宋体" w:hAnsi="宋体" w:cs="宋体"/>
                <w:kern w:val="0"/>
                <w:szCs w:val="21"/>
                <w:lang w:bidi="ar"/>
              </w:rPr>
              <w:br w:type="textWrapping"/>
            </w:r>
            <w:r>
              <w:rPr>
                <w:rFonts w:hint="eastAsia" w:ascii="宋体" w:hAnsi="宋体" w:cs="宋体"/>
                <w:kern w:val="0"/>
                <w:szCs w:val="21"/>
                <w:lang w:bidi="ar"/>
              </w:rPr>
              <w:t>4 mm，水平视场角：83.6°，垂直视场角：44.6°，对角线视场角：99.1°</w:t>
            </w:r>
            <w:r>
              <w:rPr>
                <w:rFonts w:hint="eastAsia" w:ascii="宋体" w:hAnsi="宋体" w:cs="宋体"/>
                <w:kern w:val="0"/>
                <w:szCs w:val="21"/>
                <w:lang w:bidi="ar"/>
              </w:rPr>
              <w:br w:type="textWrapping"/>
            </w:r>
            <w:r>
              <w:rPr>
                <w:rFonts w:hint="eastAsia" w:ascii="宋体" w:hAnsi="宋体" w:cs="宋体"/>
                <w:kern w:val="0"/>
                <w:szCs w:val="21"/>
                <w:lang w:bidi="ar"/>
              </w:rPr>
              <w:t>6 mm，水平视场角：54.6°，垂直视场角：29.9°，对角线视场角：63.3°</w:t>
            </w:r>
            <w:r>
              <w:rPr>
                <w:rFonts w:hint="eastAsia" w:ascii="宋体" w:hAnsi="宋体" w:cs="宋体"/>
                <w:kern w:val="0"/>
                <w:szCs w:val="21"/>
                <w:lang w:bidi="ar"/>
              </w:rPr>
              <w:br w:type="textWrapping"/>
            </w:r>
            <w:r>
              <w:rPr>
                <w:rFonts w:hint="eastAsia" w:ascii="宋体" w:hAnsi="宋体" w:cs="宋体"/>
                <w:kern w:val="0"/>
                <w:szCs w:val="21"/>
                <w:lang w:bidi="ar"/>
              </w:rPr>
              <w:t>8 mm，水平视场角：42.2°，垂直视场角：23.1°，对角线视场角：49.2°</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补光灯类型: 暖白光灯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支持NAS（NFS，SMB/CIFS均支持），支持Micro SD(即TF卡)/Micro SDHC/Micro SDXC卡（最大256 GB），断网本地录像存储及断网续传，支持SD卡加密及SD卡状态检测</w:t>
            </w:r>
            <w:r>
              <w:rPr>
                <w:rFonts w:hint="eastAsia" w:ascii="宋体" w:hAnsi="宋体" w:cs="宋体"/>
                <w:kern w:val="0"/>
                <w:szCs w:val="21"/>
                <w:lang w:bidi="ar"/>
              </w:rPr>
              <w:br w:type="textWrapping"/>
            </w:r>
            <w:r>
              <w:rPr>
                <w:rFonts w:hint="eastAsia" w:ascii="宋体" w:hAnsi="宋体" w:cs="宋体"/>
                <w:kern w:val="0"/>
                <w:szCs w:val="21"/>
                <w:lang w:bidi="ar"/>
              </w:rPr>
              <w:t>报警: 1路输入，1路输出，三极管（最大支持DC12 V，20 mA）</w:t>
            </w:r>
            <w:r>
              <w:rPr>
                <w:rFonts w:hint="eastAsia" w:ascii="宋体" w:hAnsi="宋体" w:cs="宋体"/>
                <w:kern w:val="0"/>
                <w:szCs w:val="21"/>
                <w:lang w:bidi="ar"/>
              </w:rPr>
              <w:br w:type="textWrapping"/>
            </w:r>
            <w:r>
              <w:rPr>
                <w:rFonts w:hint="eastAsia" w:ascii="宋体" w:hAnsi="宋体" w:cs="宋体"/>
                <w:kern w:val="0"/>
                <w:szCs w:val="21"/>
                <w:lang w:bidi="ar"/>
              </w:rPr>
              <w:t>音频: 1个内置麦克风; 1路音频输入（Line in），1路音频输出（Line out）</w:t>
            </w:r>
            <w:r>
              <w:rPr>
                <w:rFonts w:hint="eastAsia" w:ascii="宋体" w:hAnsi="宋体" w:cs="宋体"/>
                <w:kern w:val="0"/>
                <w:szCs w:val="21"/>
                <w:lang w:bidi="ar"/>
              </w:rPr>
              <w:br w:type="textWrapping"/>
            </w:r>
            <w:r>
              <w:rPr>
                <w:rFonts w:hint="eastAsia" w:ascii="宋体" w:hAnsi="宋体" w:cs="宋体"/>
                <w:kern w:val="0"/>
                <w:szCs w:val="21"/>
                <w:lang w:bidi="ar"/>
              </w:rPr>
              <w:t>复位: 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电源输出: DC12 V，100 mA，建议用于拾音器供电</w:t>
            </w:r>
            <w:r>
              <w:rPr>
                <w:rFonts w:hint="eastAsia" w:ascii="宋体" w:hAnsi="宋体" w:cs="宋体"/>
                <w:kern w:val="0"/>
                <w:szCs w:val="21"/>
                <w:lang w:bidi="ar"/>
              </w:rPr>
              <w:br w:type="textWrapping"/>
            </w:r>
            <w:r>
              <w:rPr>
                <w:rFonts w:hint="eastAsia" w:ascii="宋体" w:hAnsi="宋体" w:cs="宋体"/>
                <w:kern w:val="0"/>
                <w:szCs w:val="21"/>
                <w:lang w:bidi="ar"/>
              </w:rPr>
              <w:t xml:space="preserve">启动及工作温湿度: -30 ℃~60 ℃，湿度小于95%（无凝结） </w:t>
            </w:r>
            <w:r>
              <w:rPr>
                <w:rFonts w:hint="eastAsia" w:ascii="宋体" w:hAnsi="宋体" w:cs="宋体"/>
                <w:kern w:val="0"/>
                <w:szCs w:val="21"/>
                <w:lang w:bidi="ar"/>
              </w:rPr>
              <w:br w:type="textWrapping"/>
            </w:r>
            <w:r>
              <w:rPr>
                <w:rFonts w:hint="eastAsia" w:ascii="宋体" w:hAnsi="宋体" w:cs="宋体"/>
                <w:kern w:val="0"/>
                <w:szCs w:val="21"/>
                <w:lang w:bidi="ar"/>
              </w:rPr>
              <w:t xml:space="preserve">供电方式 DC：12 V ± 25%，支持防反接保护; PoE：802.3af，Class 3 </w:t>
            </w:r>
            <w:r>
              <w:rPr>
                <w:rFonts w:hint="eastAsia" w:ascii="宋体" w:hAnsi="宋体" w:cs="宋体"/>
                <w:kern w:val="0"/>
                <w:szCs w:val="21"/>
                <w:lang w:bidi="ar"/>
              </w:rPr>
              <w:br w:type="textWrapping"/>
            </w:r>
            <w:r>
              <w:rPr>
                <w:rFonts w:hint="eastAsia" w:ascii="宋体" w:hAnsi="宋体" w:cs="宋体"/>
                <w:kern w:val="0"/>
                <w:szCs w:val="21"/>
                <w:lang w:bidi="ar"/>
              </w:rPr>
              <w:t xml:space="preserve">电流及功耗:  DC：12 V，0.56 A，最大功耗：6.8 W ; PoE：802.3af，36 V~57 V，0.22 A~0.14 A，最大功耗：8.0 W </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2 </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42</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43</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摄像机电源</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12DC/10A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44</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 立竿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3.5m，厚度3mm镀锌钢管，烤漆色结合景观；带横杆、地笼、2~3头枪机横臂；顶部带有防雨球。</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45</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室外监控箱</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800*600*400， 含电源空开、电源避雷器、光纤盒、光纤接头等附件</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77" w:type="dxa"/>
            <w:shd w:val="clear" w:color="auto" w:fill="auto"/>
            <w:vAlign w:val="center"/>
          </w:tcPr>
          <w:p>
            <w:pPr>
              <w:jc w:val="center"/>
              <w:rPr>
                <w:rFonts w:ascii="宋体" w:hAnsi="宋体" w:cs="宋体"/>
                <w:szCs w:val="21"/>
              </w:rPr>
            </w:pPr>
            <w:r>
              <w:rPr>
                <w:rFonts w:hint="eastAsia" w:ascii="宋体" w:hAnsi="宋体" w:cs="宋体"/>
                <w:szCs w:val="21"/>
              </w:rPr>
              <w:t>47</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硬件规格： </w:t>
            </w:r>
            <w:r>
              <w:rPr>
                <w:rFonts w:hint="eastAsia" w:ascii="宋体" w:hAnsi="宋体" w:cs="宋体"/>
                <w:kern w:val="0"/>
                <w:szCs w:val="21"/>
                <w:lang w:bidi="ar"/>
              </w:rPr>
              <w:br w:type="textWrapping"/>
            </w:r>
            <w:r>
              <w:rPr>
                <w:rFonts w:hint="eastAsia" w:ascii="宋体" w:hAnsi="宋体" w:cs="宋体"/>
                <w:kern w:val="0"/>
                <w:szCs w:val="21"/>
                <w:lang w:bidi="ar"/>
              </w:rPr>
              <w:t xml:space="preserve">1.5U标准机架式 </w:t>
            </w:r>
            <w:r>
              <w:rPr>
                <w:rFonts w:hint="eastAsia" w:ascii="宋体" w:hAnsi="宋体" w:cs="宋体"/>
                <w:kern w:val="0"/>
                <w:szCs w:val="21"/>
                <w:lang w:bidi="ar"/>
              </w:rPr>
              <w:br w:type="textWrapping"/>
            </w:r>
            <w:r>
              <w:rPr>
                <w:rFonts w:hint="eastAsia" w:ascii="宋体" w:hAnsi="宋体" w:cs="宋体"/>
                <w:kern w:val="0"/>
                <w:szCs w:val="21"/>
                <w:lang w:bidi="ar"/>
              </w:rPr>
              <w:t xml:space="preserve">1个HDMI，1个VGA，异源输出 </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4盘位，可满配6TB硬盘  </w:t>
            </w:r>
            <w:r>
              <w:rPr>
                <w:rFonts w:hint="eastAsia" w:ascii="宋体" w:hAnsi="宋体" w:cs="宋体"/>
                <w:kern w:val="0"/>
                <w:szCs w:val="21"/>
                <w:lang w:bidi="ar"/>
              </w:rPr>
              <w:br w:type="textWrapping"/>
            </w:r>
            <w:r>
              <w:rPr>
                <w:rFonts w:hint="eastAsia" w:ascii="宋体" w:hAnsi="宋体" w:cs="宋体"/>
                <w:kern w:val="0"/>
                <w:szCs w:val="21"/>
                <w:lang w:bidi="ar"/>
              </w:rPr>
              <w:t xml:space="preserve">2个千兆网口 </w:t>
            </w:r>
            <w:r>
              <w:rPr>
                <w:rFonts w:hint="eastAsia" w:ascii="宋体" w:hAnsi="宋体" w:cs="宋体"/>
                <w:kern w:val="0"/>
                <w:szCs w:val="21"/>
                <w:lang w:bidi="ar"/>
              </w:rPr>
              <w:br w:type="textWrapping"/>
            </w:r>
            <w:r>
              <w:rPr>
                <w:rFonts w:hint="eastAsia" w:ascii="宋体" w:hAnsi="宋体" w:cs="宋体"/>
                <w:kern w:val="0"/>
                <w:szCs w:val="21"/>
                <w:lang w:bidi="ar"/>
              </w:rPr>
              <w:t xml:space="preserve">2个USB2.0接口、1个USB3.0接口 </w:t>
            </w:r>
            <w:r>
              <w:rPr>
                <w:rFonts w:hint="eastAsia" w:ascii="宋体" w:hAnsi="宋体" w:cs="宋体"/>
                <w:kern w:val="0"/>
                <w:szCs w:val="21"/>
                <w:lang w:bidi="ar"/>
              </w:rPr>
              <w:br w:type="textWrapping"/>
            </w:r>
            <w:r>
              <w:rPr>
                <w:rFonts w:hint="eastAsia" w:ascii="宋体" w:hAnsi="宋体" w:cs="宋体"/>
                <w:kern w:val="0"/>
                <w:szCs w:val="21"/>
                <w:lang w:bidi="ar"/>
              </w:rPr>
              <w:t xml:space="preserve">选配：1个eSATA接口 </w:t>
            </w:r>
            <w:r>
              <w:rPr>
                <w:rFonts w:hint="eastAsia" w:ascii="宋体" w:hAnsi="宋体" w:cs="宋体"/>
                <w:kern w:val="0"/>
                <w:szCs w:val="21"/>
                <w:lang w:bidi="ar"/>
              </w:rPr>
              <w:br w:type="textWrapping"/>
            </w:r>
            <w:r>
              <w:rPr>
                <w:rFonts w:hint="eastAsia" w:ascii="宋体" w:hAnsi="宋体" w:cs="宋体"/>
                <w:kern w:val="0"/>
                <w:szCs w:val="21"/>
                <w:lang w:bidi="ar"/>
              </w:rPr>
              <w:t xml:space="preserve">报警IO：16进4路（可选配8出） </w:t>
            </w:r>
            <w:r>
              <w:rPr>
                <w:rFonts w:hint="eastAsia" w:ascii="宋体" w:hAnsi="宋体" w:cs="宋体"/>
                <w:kern w:val="0"/>
                <w:szCs w:val="21"/>
                <w:lang w:bidi="ar"/>
              </w:rPr>
              <w:br w:type="textWrapping"/>
            </w:r>
            <w:r>
              <w:rPr>
                <w:rFonts w:hint="eastAsia" w:ascii="宋体" w:hAnsi="宋体" w:cs="宋体"/>
                <w:kern w:val="0"/>
                <w:szCs w:val="21"/>
                <w:lang w:bidi="ar"/>
              </w:rPr>
              <w:t xml:space="preserve"> </w:t>
            </w:r>
            <w:r>
              <w:rPr>
                <w:rFonts w:hint="eastAsia" w:ascii="宋体" w:hAnsi="宋体" w:cs="宋体"/>
                <w:kern w:val="0"/>
                <w:szCs w:val="21"/>
                <w:lang w:bidi="ar"/>
              </w:rPr>
              <w:br w:type="textWrapping"/>
            </w:r>
            <w:r>
              <w:rPr>
                <w:rFonts w:hint="eastAsia" w:ascii="宋体" w:hAnsi="宋体" w:cs="宋体"/>
                <w:kern w:val="0"/>
                <w:szCs w:val="21"/>
                <w:lang w:bidi="ar"/>
              </w:rPr>
              <w:t xml:space="preserve">软件性能： </w:t>
            </w:r>
            <w:r>
              <w:rPr>
                <w:rFonts w:hint="eastAsia" w:ascii="宋体" w:hAnsi="宋体" w:cs="宋体"/>
                <w:kern w:val="0"/>
                <w:szCs w:val="21"/>
                <w:lang w:bidi="ar"/>
              </w:rPr>
              <w:br w:type="textWrapping"/>
            </w:r>
            <w:r>
              <w:rPr>
                <w:rFonts w:hint="eastAsia" w:ascii="宋体" w:hAnsi="宋体" w:cs="宋体"/>
                <w:kern w:val="0"/>
                <w:szCs w:val="21"/>
                <w:lang w:bidi="ar"/>
              </w:rPr>
              <w:t xml:space="preserve">输入带宽：160M </w:t>
            </w:r>
            <w:r>
              <w:rPr>
                <w:rFonts w:hint="eastAsia" w:ascii="宋体" w:hAnsi="宋体" w:cs="宋体"/>
                <w:kern w:val="0"/>
                <w:szCs w:val="21"/>
                <w:lang w:bidi="ar"/>
              </w:rPr>
              <w:br w:type="textWrapping"/>
            </w:r>
            <w:r>
              <w:rPr>
                <w:rFonts w:hint="eastAsia" w:ascii="宋体" w:hAnsi="宋体" w:cs="宋体"/>
                <w:kern w:val="0"/>
                <w:szCs w:val="21"/>
                <w:lang w:bidi="ar"/>
              </w:rPr>
              <w:t xml:space="preserve">16路H.264、H.265接入 </w:t>
            </w:r>
            <w:r>
              <w:rPr>
                <w:rFonts w:hint="eastAsia" w:ascii="宋体" w:hAnsi="宋体" w:cs="宋体"/>
                <w:kern w:val="0"/>
                <w:szCs w:val="21"/>
                <w:lang w:bidi="ar"/>
              </w:rPr>
              <w:br w:type="textWrapping"/>
            </w:r>
            <w:r>
              <w:rPr>
                <w:rFonts w:hint="eastAsia" w:ascii="宋体" w:hAnsi="宋体" w:cs="宋体"/>
                <w:kern w:val="0"/>
                <w:szCs w:val="21"/>
                <w:lang w:bidi="ar"/>
              </w:rPr>
              <w:t xml:space="preserve">最大支持8×1080P解码 </w:t>
            </w:r>
            <w:r>
              <w:rPr>
                <w:rFonts w:hint="eastAsia" w:ascii="宋体" w:hAnsi="宋体" w:cs="宋体"/>
                <w:kern w:val="0"/>
                <w:szCs w:val="21"/>
                <w:lang w:bidi="ar"/>
              </w:rPr>
              <w:br w:type="textWrapping"/>
            </w:r>
            <w:r>
              <w:rPr>
                <w:rFonts w:hint="eastAsia" w:ascii="宋体" w:hAnsi="宋体" w:cs="宋体"/>
                <w:kern w:val="0"/>
                <w:szCs w:val="21"/>
                <w:lang w:bidi="ar"/>
              </w:rPr>
              <w:t xml:space="preserve">支持H.264、H.265解码 </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jc w:val="center"/>
              <w:rPr>
                <w:rFonts w:ascii="宋体" w:hAnsi="宋体" w:cs="宋体"/>
                <w:szCs w:val="21"/>
              </w:rPr>
            </w:pPr>
            <w:r>
              <w:rPr>
                <w:rFonts w:hint="eastAsia" w:ascii="宋体" w:hAnsi="宋体" w:cs="宋体"/>
                <w:szCs w:val="21"/>
              </w:rPr>
              <w:t>48</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4TB/64MB(6Gb/秒 NCQ)/5900RPM/SATA3</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49</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工控主机（门禁信号采集）</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50</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PDU插座</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防雷8插位带线1.8米10A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51</w:t>
            </w:r>
          </w:p>
        </w:tc>
        <w:tc>
          <w:tcPr>
            <w:tcW w:w="879" w:type="dxa"/>
            <w:vMerge w:val="restart"/>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24口千兆接入交换机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≥336Gbps，转发性能 ≥50Mpps，官网双指标的以最小的为准；固化Console管理端口≥1个，千兆电口≥24个，千兆非复用光口≥4个；MAC地址数≥16K，支持横向虚拟化</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52</w:t>
            </w:r>
          </w:p>
        </w:tc>
        <w:tc>
          <w:tcPr>
            <w:tcW w:w="879" w:type="dxa"/>
            <w:vMerge w:val="continue"/>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53</w:t>
            </w:r>
          </w:p>
        </w:tc>
        <w:tc>
          <w:tcPr>
            <w:tcW w:w="87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四、万象府一期</w:t>
            </w:r>
          </w:p>
        </w:tc>
        <w:tc>
          <w:tcPr>
            <w:tcW w:w="792" w:type="dxa"/>
            <w:shd w:val="clear" w:color="auto" w:fill="auto"/>
            <w:vAlign w:val="center"/>
          </w:tcPr>
          <w:p>
            <w:pPr>
              <w:jc w:val="center"/>
              <w:rPr>
                <w:rFonts w:ascii="宋体" w:hAnsi="宋体" w:cs="宋体"/>
                <w:szCs w:val="21"/>
              </w:rPr>
            </w:pPr>
          </w:p>
        </w:tc>
        <w:tc>
          <w:tcPr>
            <w:tcW w:w="6095" w:type="dxa"/>
            <w:shd w:val="clear" w:color="auto" w:fill="auto"/>
            <w:vAlign w:val="center"/>
          </w:tcPr>
          <w:p>
            <w:pPr>
              <w:jc w:val="center"/>
              <w:rPr>
                <w:rFonts w:ascii="宋体" w:hAnsi="宋体" w:cs="宋体"/>
                <w:szCs w:val="21"/>
              </w:rPr>
            </w:pPr>
          </w:p>
        </w:tc>
        <w:tc>
          <w:tcPr>
            <w:tcW w:w="545" w:type="dxa"/>
            <w:shd w:val="clear" w:color="auto" w:fill="auto"/>
            <w:vAlign w:val="center"/>
          </w:tcPr>
          <w:p>
            <w:pPr>
              <w:jc w:val="center"/>
              <w:rPr>
                <w:rFonts w:ascii="宋体" w:hAnsi="宋体" w:cs="宋体"/>
                <w:szCs w:val="21"/>
              </w:rPr>
            </w:pPr>
          </w:p>
        </w:tc>
        <w:tc>
          <w:tcPr>
            <w:tcW w:w="435" w:type="dxa"/>
            <w:shd w:val="clear" w:color="auto" w:fill="auto"/>
            <w:vAlign w:val="center"/>
          </w:tcPr>
          <w:p>
            <w:pPr>
              <w:jc w:val="center"/>
              <w:rPr>
                <w:rFonts w:ascii="宋体" w:hAnsi="宋体" w:cs="宋体"/>
                <w:szCs w:val="21"/>
              </w:rPr>
            </w:pPr>
          </w:p>
        </w:tc>
        <w:tc>
          <w:tcPr>
            <w:tcW w:w="877"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54</w:t>
            </w:r>
          </w:p>
        </w:tc>
        <w:tc>
          <w:tcPr>
            <w:tcW w:w="879" w:type="dxa"/>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消防主机 信号传输装置</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 采用高性能4G无线模块，支持移动、联通或电信网络制式；</w:t>
            </w:r>
            <w:r>
              <w:rPr>
                <w:rFonts w:hint="eastAsia" w:ascii="宋体" w:hAnsi="宋体" w:cs="宋体"/>
                <w:kern w:val="0"/>
                <w:szCs w:val="21"/>
                <w:lang w:bidi="ar"/>
              </w:rPr>
              <w:br w:type="textWrapping"/>
            </w:r>
            <w:r>
              <w:rPr>
                <w:rFonts w:hint="eastAsia" w:ascii="宋体" w:hAnsi="宋体" w:cs="宋体"/>
                <w:kern w:val="0"/>
                <w:szCs w:val="21"/>
                <w:lang w:bidi="ar"/>
              </w:rPr>
              <w:t>（2） 2 路 RS-232 通讯接口、 2 路 RS-485 通讯接口，1 路 CAN 通讯接口、 1 路 RJ45 网络通讯口,</w:t>
            </w:r>
            <w:r>
              <w:rPr>
                <w:rFonts w:hint="eastAsia" w:ascii="宋体" w:hAnsi="宋体" w:cs="宋体"/>
                <w:kern w:val="0"/>
                <w:szCs w:val="21"/>
                <w:lang w:bidi="ar"/>
              </w:rPr>
              <w:br w:type="textWrapping"/>
            </w:r>
            <w:r>
              <w:rPr>
                <w:rFonts w:hint="eastAsia" w:ascii="宋体" w:hAnsi="宋体" w:cs="宋体"/>
                <w:kern w:val="0"/>
                <w:szCs w:val="21"/>
                <w:lang w:bidi="ar"/>
              </w:rPr>
              <w:t>（3） 手动报警：具有手动火警按钮，可以向管理平台上传人工火灾报警信息 ；</w:t>
            </w:r>
            <w:r>
              <w:rPr>
                <w:rFonts w:hint="eastAsia" w:ascii="宋体" w:hAnsi="宋体" w:cs="宋体"/>
                <w:kern w:val="0"/>
                <w:szCs w:val="21"/>
                <w:lang w:bidi="ar"/>
              </w:rPr>
              <w:br w:type="textWrapping"/>
            </w:r>
            <w:r>
              <w:rPr>
                <w:rFonts w:hint="eastAsia" w:ascii="宋体" w:hAnsi="宋体" w:cs="宋体"/>
                <w:kern w:val="0"/>
                <w:szCs w:val="21"/>
                <w:lang w:bidi="ar"/>
              </w:rPr>
              <w:t>（4） 断网续传：网络断网恢复后，接续上传断网期间的数据；</w:t>
            </w:r>
            <w:r>
              <w:rPr>
                <w:rFonts w:hint="eastAsia" w:ascii="宋体" w:hAnsi="宋体" w:cs="宋体"/>
                <w:kern w:val="0"/>
                <w:szCs w:val="21"/>
                <w:lang w:bidi="ar"/>
              </w:rPr>
              <w:br w:type="textWrapping"/>
            </w:r>
            <w:r>
              <w:rPr>
                <w:rFonts w:hint="eastAsia" w:ascii="宋体" w:hAnsi="宋体" w:cs="宋体"/>
                <w:kern w:val="0"/>
                <w:szCs w:val="21"/>
                <w:lang w:bidi="ar"/>
              </w:rPr>
              <w:t>（5） 值班查岗：支持值班查岗功能；</w:t>
            </w:r>
            <w:r>
              <w:rPr>
                <w:rFonts w:hint="eastAsia" w:ascii="宋体" w:hAnsi="宋体" w:cs="宋体"/>
                <w:kern w:val="0"/>
                <w:szCs w:val="21"/>
                <w:lang w:bidi="ar"/>
              </w:rPr>
              <w:br w:type="textWrapping"/>
            </w:r>
            <w:r>
              <w:rPr>
                <w:rFonts w:hint="eastAsia" w:ascii="宋体" w:hAnsi="宋体" w:cs="宋体"/>
                <w:kern w:val="0"/>
                <w:szCs w:val="21"/>
                <w:lang w:bidi="ar"/>
              </w:rPr>
              <w:t>（6） 1路开关量输入，2路常开输出</w:t>
            </w:r>
            <w:r>
              <w:rPr>
                <w:rFonts w:hint="eastAsia" w:ascii="宋体" w:hAnsi="宋体" w:cs="宋体"/>
                <w:kern w:val="0"/>
                <w:szCs w:val="21"/>
                <w:lang w:bidi="ar"/>
              </w:rPr>
              <w:br w:type="textWrapping"/>
            </w:r>
            <w:r>
              <w:rPr>
                <w:rFonts w:hint="eastAsia" w:ascii="宋体" w:hAnsi="宋体" w:cs="宋体"/>
                <w:kern w:val="0"/>
                <w:szCs w:val="21"/>
                <w:lang w:bidi="ar"/>
              </w:rPr>
              <w:t>（7） 1 个以太网接口，能够对目标 IP，目标机号，本机机号设置；</w:t>
            </w:r>
            <w:r>
              <w:rPr>
                <w:rFonts w:hint="eastAsia" w:ascii="宋体" w:hAnsi="宋体" w:cs="宋体"/>
                <w:kern w:val="0"/>
                <w:szCs w:val="21"/>
                <w:lang w:bidi="ar"/>
              </w:rPr>
              <w:br w:type="textWrapping"/>
            </w:r>
            <w:r>
              <w:rPr>
                <w:rFonts w:hint="eastAsia" w:ascii="宋体" w:hAnsi="宋体" w:cs="宋体"/>
                <w:kern w:val="0"/>
                <w:szCs w:val="21"/>
                <w:lang w:bidi="ar"/>
              </w:rPr>
              <w:t>（8） 支持查找历史记录：历史火警、历史请求/反馈、历史故障、历史操作各 1000 条。</w:t>
            </w:r>
            <w:r>
              <w:rPr>
                <w:rFonts w:hint="eastAsia" w:ascii="宋体" w:hAnsi="宋体" w:cs="宋体"/>
                <w:kern w:val="0"/>
                <w:szCs w:val="21"/>
                <w:lang w:bidi="ar"/>
              </w:rPr>
              <w:br w:type="textWrapping"/>
            </w:r>
            <w:r>
              <w:rPr>
                <w:rFonts w:hint="eastAsia" w:ascii="宋体" w:hAnsi="宋体" w:cs="宋体"/>
                <w:kern w:val="0"/>
                <w:szCs w:val="21"/>
                <w:lang w:bidi="ar"/>
              </w:rPr>
              <w:t>（9） 提供液晶显示（128x64），提供实时时钟；</w:t>
            </w:r>
            <w:r>
              <w:rPr>
                <w:rFonts w:hint="eastAsia" w:ascii="宋体" w:hAnsi="宋体" w:cs="宋体"/>
                <w:kern w:val="0"/>
                <w:szCs w:val="21"/>
                <w:lang w:bidi="ar"/>
              </w:rPr>
              <w:br w:type="textWrapping"/>
            </w:r>
            <w:r>
              <w:rPr>
                <w:rFonts w:hint="eastAsia" w:ascii="宋体" w:hAnsi="宋体" w:cs="宋体"/>
                <w:kern w:val="0"/>
                <w:szCs w:val="21"/>
                <w:lang w:bidi="ar"/>
              </w:rPr>
              <w:t>（10） 蓄电池备用供电（待机 24 小时以上）</w:t>
            </w:r>
            <w:r>
              <w:rPr>
                <w:rFonts w:hint="eastAsia" w:ascii="宋体" w:hAnsi="宋体" w:cs="宋体"/>
                <w:kern w:val="0"/>
                <w:szCs w:val="21"/>
                <w:lang w:bidi="ar"/>
              </w:rPr>
              <w:br w:type="textWrapping"/>
            </w:r>
            <w:r>
              <w:rPr>
                <w:rFonts w:hint="eastAsia" w:ascii="宋体" w:hAnsi="宋体" w:cs="宋体"/>
                <w:kern w:val="0"/>
                <w:szCs w:val="21"/>
                <w:lang w:bidi="ar"/>
              </w:rPr>
              <w:t>（11） 交流输入电压 220V 50Hz</w:t>
            </w:r>
            <w:r>
              <w:rPr>
                <w:rFonts w:hint="eastAsia" w:ascii="宋体" w:hAnsi="宋体" w:cs="宋体"/>
                <w:kern w:val="0"/>
                <w:szCs w:val="21"/>
                <w:lang w:bidi="ar"/>
              </w:rPr>
              <w:br w:type="textWrapping"/>
            </w:r>
            <w:r>
              <w:rPr>
                <w:rFonts w:hint="eastAsia" w:ascii="宋体" w:hAnsi="宋体" w:cs="宋体"/>
                <w:kern w:val="0"/>
                <w:szCs w:val="21"/>
                <w:lang w:bidi="ar"/>
              </w:rPr>
              <w:t>（12） 直流备电 12V 7Ah 铅酸电池一节</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55</w:t>
            </w:r>
          </w:p>
        </w:tc>
        <w:tc>
          <w:tcPr>
            <w:tcW w:w="879"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全彩筒型变焦网络摄像机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全彩筒型网络摄像机</w:t>
            </w:r>
            <w:r>
              <w:rPr>
                <w:rFonts w:hint="eastAsia" w:ascii="宋体" w:hAnsi="宋体" w:cs="宋体"/>
                <w:kern w:val="0"/>
                <w:szCs w:val="21"/>
                <w:lang w:bidi="ar"/>
              </w:rPr>
              <w:br w:type="textWrapping"/>
            </w:r>
            <w:r>
              <w:rPr>
                <w:rFonts w:hint="eastAsia" w:ascii="宋体" w:hAnsi="宋体" w:cs="宋体"/>
                <w:kern w:val="0"/>
                <w:szCs w:val="21"/>
                <w:lang w:bidi="ar"/>
              </w:rPr>
              <w:t>全彩级高灵敏度传感器，F1.0超大光圈镜头，提供更清晰的视频流输入</w:t>
            </w:r>
            <w:r>
              <w:rPr>
                <w:rFonts w:hint="eastAsia" w:ascii="宋体" w:hAnsi="宋体" w:cs="宋体"/>
                <w:kern w:val="0"/>
                <w:szCs w:val="21"/>
                <w:lang w:bidi="ar"/>
              </w:rPr>
              <w:br w:type="textWrapping"/>
            </w:r>
            <w:r>
              <w:rPr>
                <w:rFonts w:hint="eastAsia" w:ascii="宋体" w:hAnsi="宋体" w:cs="宋体"/>
                <w:kern w:val="0"/>
                <w:szCs w:val="21"/>
                <w:lang w:bidi="ar"/>
              </w:rPr>
              <w:t>最低照度: 彩色：0.0005 Lux @（F1.0，AGC ON）, 0 Lux with Light</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景深范围: </w:t>
            </w:r>
            <w:r>
              <w:rPr>
                <w:rFonts w:hint="eastAsia" w:ascii="宋体" w:hAnsi="宋体" w:cs="宋体"/>
                <w:kern w:val="0"/>
                <w:szCs w:val="21"/>
                <w:lang w:bidi="ar"/>
              </w:rPr>
              <w:br w:type="textWrapping"/>
            </w:r>
            <w:r>
              <w:rPr>
                <w:rFonts w:hint="eastAsia" w:ascii="宋体" w:hAnsi="宋体" w:cs="宋体"/>
                <w:kern w:val="0"/>
                <w:szCs w:val="21"/>
                <w:lang w:bidi="ar"/>
              </w:rPr>
              <w:t>2.8 mm：1.7 m~∞</w:t>
            </w:r>
            <w:r>
              <w:rPr>
                <w:rFonts w:hint="eastAsia" w:ascii="宋体" w:hAnsi="宋体" w:cs="宋体"/>
                <w:kern w:val="0"/>
                <w:szCs w:val="21"/>
                <w:lang w:bidi="ar"/>
              </w:rPr>
              <w:br w:type="textWrapping"/>
            </w:r>
            <w:r>
              <w:rPr>
                <w:rFonts w:hint="eastAsia" w:ascii="宋体" w:hAnsi="宋体" w:cs="宋体"/>
                <w:kern w:val="0"/>
                <w:szCs w:val="21"/>
                <w:lang w:bidi="ar"/>
              </w:rPr>
              <w:t>4 mm：2.1 m~∞</w:t>
            </w:r>
            <w:r>
              <w:rPr>
                <w:rFonts w:hint="eastAsia" w:ascii="宋体" w:hAnsi="宋体" w:cs="宋体"/>
                <w:kern w:val="0"/>
                <w:szCs w:val="21"/>
                <w:lang w:bidi="ar"/>
              </w:rPr>
              <w:br w:type="textWrapping"/>
            </w:r>
            <w:r>
              <w:rPr>
                <w:rFonts w:hint="eastAsia" w:ascii="宋体" w:hAnsi="宋体" w:cs="宋体"/>
                <w:kern w:val="0"/>
                <w:szCs w:val="21"/>
                <w:lang w:bidi="ar"/>
              </w:rPr>
              <w:t xml:space="preserve">6 mm：3.5 m~∞ </w:t>
            </w:r>
            <w:r>
              <w:rPr>
                <w:rFonts w:hint="eastAsia" w:ascii="宋体" w:hAnsi="宋体" w:cs="宋体"/>
                <w:kern w:val="0"/>
                <w:szCs w:val="21"/>
                <w:lang w:bidi="ar"/>
              </w:rPr>
              <w:br w:type="textWrapping"/>
            </w:r>
            <w:r>
              <w:rPr>
                <w:rFonts w:hint="eastAsia" w:ascii="宋体" w:hAnsi="宋体" w:cs="宋体"/>
                <w:kern w:val="0"/>
                <w:szCs w:val="21"/>
                <w:lang w:bidi="ar"/>
              </w:rPr>
              <w:t xml:space="preserve">8 mm：4 m~∞ </w:t>
            </w:r>
            <w:r>
              <w:rPr>
                <w:rFonts w:hint="eastAsia" w:ascii="宋体" w:hAnsi="宋体" w:cs="宋体"/>
                <w:kern w:val="0"/>
                <w:szCs w:val="21"/>
                <w:lang w:bidi="ar"/>
              </w:rPr>
              <w:br w:type="textWrapping"/>
            </w:r>
            <w:r>
              <w:rPr>
                <w:rFonts w:hint="eastAsia" w:ascii="宋体" w:hAnsi="宋体" w:cs="宋体"/>
                <w:kern w:val="0"/>
                <w:szCs w:val="21"/>
                <w:lang w:bidi="ar"/>
              </w:rPr>
              <w:t>焦距&amp;视场角:</w:t>
            </w:r>
            <w:r>
              <w:rPr>
                <w:rFonts w:hint="eastAsia" w:ascii="宋体" w:hAnsi="宋体" w:cs="宋体"/>
                <w:kern w:val="0"/>
                <w:szCs w:val="21"/>
                <w:lang w:bidi="ar"/>
              </w:rPr>
              <w:br w:type="textWrapping"/>
            </w:r>
            <w:r>
              <w:rPr>
                <w:rFonts w:hint="eastAsia" w:ascii="宋体" w:hAnsi="宋体" w:cs="宋体"/>
                <w:kern w:val="0"/>
                <w:szCs w:val="21"/>
                <w:lang w:bidi="ar"/>
              </w:rPr>
              <w:t>2.8 mm，水平视场角：106.7°，垂直视场角：55.5°，对角线视场角：126.5°</w:t>
            </w:r>
            <w:r>
              <w:rPr>
                <w:rFonts w:hint="eastAsia" w:ascii="宋体" w:hAnsi="宋体" w:cs="宋体"/>
                <w:kern w:val="0"/>
                <w:szCs w:val="21"/>
                <w:lang w:bidi="ar"/>
              </w:rPr>
              <w:br w:type="textWrapping"/>
            </w:r>
            <w:r>
              <w:rPr>
                <w:rFonts w:hint="eastAsia" w:ascii="宋体" w:hAnsi="宋体" w:cs="宋体"/>
                <w:kern w:val="0"/>
                <w:szCs w:val="21"/>
                <w:lang w:bidi="ar"/>
              </w:rPr>
              <w:t>4 mm，水平视场角：83.6°，垂直视场角：44.6°，对角线视场角：99.1°</w:t>
            </w:r>
            <w:r>
              <w:rPr>
                <w:rFonts w:hint="eastAsia" w:ascii="宋体" w:hAnsi="宋体" w:cs="宋体"/>
                <w:kern w:val="0"/>
                <w:szCs w:val="21"/>
                <w:lang w:bidi="ar"/>
              </w:rPr>
              <w:br w:type="textWrapping"/>
            </w:r>
            <w:r>
              <w:rPr>
                <w:rFonts w:hint="eastAsia" w:ascii="宋体" w:hAnsi="宋体" w:cs="宋体"/>
                <w:kern w:val="0"/>
                <w:szCs w:val="21"/>
                <w:lang w:bidi="ar"/>
              </w:rPr>
              <w:t>6 mm，水平视场角：54.6°，垂直视场角：29.9°，对角线视场角：63.3°</w:t>
            </w:r>
            <w:r>
              <w:rPr>
                <w:rFonts w:hint="eastAsia" w:ascii="宋体" w:hAnsi="宋体" w:cs="宋体"/>
                <w:kern w:val="0"/>
                <w:szCs w:val="21"/>
                <w:lang w:bidi="ar"/>
              </w:rPr>
              <w:br w:type="textWrapping"/>
            </w:r>
            <w:r>
              <w:rPr>
                <w:rFonts w:hint="eastAsia" w:ascii="宋体" w:hAnsi="宋体" w:cs="宋体"/>
                <w:kern w:val="0"/>
                <w:szCs w:val="21"/>
                <w:lang w:bidi="ar"/>
              </w:rPr>
              <w:t>8 mm，水平视场角：42.2°，垂直视场角：23.1°，对角线视场角：49.2°</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补光灯类型: 暖白光灯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支持NAS（NFS，SMB/CIFS均支持），支持Micro SD(即TF卡)/Micro SDHC/Micro SDXC卡（最大256 GB），断网本地录像存储及断网续传，支持SD卡加密及SD卡状态检测</w:t>
            </w:r>
            <w:r>
              <w:rPr>
                <w:rFonts w:hint="eastAsia" w:ascii="宋体" w:hAnsi="宋体" w:cs="宋体"/>
                <w:kern w:val="0"/>
                <w:szCs w:val="21"/>
                <w:lang w:bidi="ar"/>
              </w:rPr>
              <w:br w:type="textWrapping"/>
            </w:r>
            <w:r>
              <w:rPr>
                <w:rFonts w:hint="eastAsia" w:ascii="宋体" w:hAnsi="宋体" w:cs="宋体"/>
                <w:kern w:val="0"/>
                <w:szCs w:val="21"/>
                <w:lang w:bidi="ar"/>
              </w:rPr>
              <w:t>报警: 1路输入，1路输出，三极管（最大支持DC12 V，20 mA）</w:t>
            </w:r>
            <w:r>
              <w:rPr>
                <w:rFonts w:hint="eastAsia" w:ascii="宋体" w:hAnsi="宋体" w:cs="宋体"/>
                <w:kern w:val="0"/>
                <w:szCs w:val="21"/>
                <w:lang w:bidi="ar"/>
              </w:rPr>
              <w:br w:type="textWrapping"/>
            </w:r>
            <w:r>
              <w:rPr>
                <w:rFonts w:hint="eastAsia" w:ascii="宋体" w:hAnsi="宋体" w:cs="宋体"/>
                <w:kern w:val="0"/>
                <w:szCs w:val="21"/>
                <w:lang w:bidi="ar"/>
              </w:rPr>
              <w:t>音频: 1个内置麦克风; 1路音频输入（Line in），1路音频输出（Line out）</w:t>
            </w:r>
            <w:r>
              <w:rPr>
                <w:rFonts w:hint="eastAsia" w:ascii="宋体" w:hAnsi="宋体" w:cs="宋体"/>
                <w:kern w:val="0"/>
                <w:szCs w:val="21"/>
                <w:lang w:bidi="ar"/>
              </w:rPr>
              <w:br w:type="textWrapping"/>
            </w:r>
            <w:r>
              <w:rPr>
                <w:rFonts w:hint="eastAsia" w:ascii="宋体" w:hAnsi="宋体" w:cs="宋体"/>
                <w:kern w:val="0"/>
                <w:szCs w:val="21"/>
                <w:lang w:bidi="ar"/>
              </w:rPr>
              <w:t>复位: 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电源输出: DC12 V，100 mA，建议用于拾音器供电</w:t>
            </w:r>
            <w:r>
              <w:rPr>
                <w:rFonts w:hint="eastAsia" w:ascii="宋体" w:hAnsi="宋体" w:cs="宋体"/>
                <w:kern w:val="0"/>
                <w:szCs w:val="21"/>
                <w:lang w:bidi="ar"/>
              </w:rPr>
              <w:br w:type="textWrapping"/>
            </w:r>
            <w:r>
              <w:rPr>
                <w:rFonts w:hint="eastAsia" w:ascii="宋体" w:hAnsi="宋体" w:cs="宋体"/>
                <w:kern w:val="0"/>
                <w:szCs w:val="21"/>
                <w:lang w:bidi="ar"/>
              </w:rPr>
              <w:t xml:space="preserve">启动及工作温湿度: -30 ℃~60 ℃，湿度小于95%（无凝结） </w:t>
            </w:r>
            <w:r>
              <w:rPr>
                <w:rFonts w:hint="eastAsia" w:ascii="宋体" w:hAnsi="宋体" w:cs="宋体"/>
                <w:kern w:val="0"/>
                <w:szCs w:val="21"/>
                <w:lang w:bidi="ar"/>
              </w:rPr>
              <w:br w:type="textWrapping"/>
            </w:r>
            <w:r>
              <w:rPr>
                <w:rFonts w:hint="eastAsia" w:ascii="宋体" w:hAnsi="宋体" w:cs="宋体"/>
                <w:kern w:val="0"/>
                <w:szCs w:val="21"/>
                <w:lang w:bidi="ar"/>
              </w:rPr>
              <w:t xml:space="preserve">供电方式 DC：12 V ± 25%，支持防反接保护; PoE：802.3af，Class 3 </w:t>
            </w:r>
            <w:r>
              <w:rPr>
                <w:rFonts w:hint="eastAsia" w:ascii="宋体" w:hAnsi="宋体" w:cs="宋体"/>
                <w:kern w:val="0"/>
                <w:szCs w:val="21"/>
                <w:lang w:bidi="ar"/>
              </w:rPr>
              <w:br w:type="textWrapping"/>
            </w:r>
            <w:r>
              <w:rPr>
                <w:rFonts w:hint="eastAsia" w:ascii="宋体" w:hAnsi="宋体" w:cs="宋体"/>
                <w:kern w:val="0"/>
                <w:szCs w:val="21"/>
                <w:lang w:bidi="ar"/>
              </w:rPr>
              <w:t xml:space="preserve">电流及功耗:  DC：12 V，0.56 A，最大功耗：6.8 W ; PoE：802.3af，36 V~57 V，0.22 A~0.14 A，最大功耗：8.0 W </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2 </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56</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57</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摄像机电源</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12DC/10A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58</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 立竿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3.5m，厚度3mm镀锌钢管，烤漆色结合景观；带横杆、地笼、2~3头枪机横臂；顶部带有防雨球。</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59</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室外监控箱</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800*600*400， 含电源空开、电源避雷器、光纤盒、光纤接头等附件</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77" w:type="dxa"/>
            <w:shd w:val="clear" w:color="auto" w:fill="auto"/>
            <w:vAlign w:val="center"/>
          </w:tcPr>
          <w:p>
            <w:pPr>
              <w:jc w:val="center"/>
              <w:rPr>
                <w:rFonts w:ascii="宋体" w:hAnsi="宋体" w:cs="宋体"/>
                <w:szCs w:val="21"/>
              </w:rPr>
            </w:pP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硬件规格： </w:t>
            </w:r>
            <w:r>
              <w:rPr>
                <w:rFonts w:hint="eastAsia" w:ascii="宋体" w:hAnsi="宋体" w:cs="宋体"/>
                <w:kern w:val="0"/>
                <w:szCs w:val="21"/>
                <w:lang w:bidi="ar"/>
              </w:rPr>
              <w:br w:type="textWrapping"/>
            </w:r>
            <w:r>
              <w:rPr>
                <w:rFonts w:hint="eastAsia" w:ascii="宋体" w:hAnsi="宋体" w:cs="宋体"/>
                <w:kern w:val="0"/>
                <w:szCs w:val="21"/>
                <w:lang w:bidi="ar"/>
              </w:rPr>
              <w:t xml:space="preserve">1.5U标准机架式 </w:t>
            </w:r>
            <w:r>
              <w:rPr>
                <w:rFonts w:hint="eastAsia" w:ascii="宋体" w:hAnsi="宋体" w:cs="宋体"/>
                <w:kern w:val="0"/>
                <w:szCs w:val="21"/>
                <w:lang w:bidi="ar"/>
              </w:rPr>
              <w:br w:type="textWrapping"/>
            </w:r>
            <w:r>
              <w:rPr>
                <w:rFonts w:hint="eastAsia" w:ascii="宋体" w:hAnsi="宋体" w:cs="宋体"/>
                <w:kern w:val="0"/>
                <w:szCs w:val="21"/>
                <w:lang w:bidi="ar"/>
              </w:rPr>
              <w:t xml:space="preserve">1个HDMI，1个VGA，异源输出 </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4盘位，可满配6TB硬盘  </w:t>
            </w:r>
            <w:r>
              <w:rPr>
                <w:rFonts w:hint="eastAsia" w:ascii="宋体" w:hAnsi="宋体" w:cs="宋体"/>
                <w:kern w:val="0"/>
                <w:szCs w:val="21"/>
                <w:lang w:bidi="ar"/>
              </w:rPr>
              <w:br w:type="textWrapping"/>
            </w:r>
            <w:r>
              <w:rPr>
                <w:rFonts w:hint="eastAsia" w:ascii="宋体" w:hAnsi="宋体" w:cs="宋体"/>
                <w:kern w:val="0"/>
                <w:szCs w:val="21"/>
                <w:lang w:bidi="ar"/>
              </w:rPr>
              <w:t xml:space="preserve">2个千兆网口 </w:t>
            </w:r>
            <w:r>
              <w:rPr>
                <w:rFonts w:hint="eastAsia" w:ascii="宋体" w:hAnsi="宋体" w:cs="宋体"/>
                <w:kern w:val="0"/>
                <w:szCs w:val="21"/>
                <w:lang w:bidi="ar"/>
              </w:rPr>
              <w:br w:type="textWrapping"/>
            </w:r>
            <w:r>
              <w:rPr>
                <w:rFonts w:hint="eastAsia" w:ascii="宋体" w:hAnsi="宋体" w:cs="宋体"/>
                <w:kern w:val="0"/>
                <w:szCs w:val="21"/>
                <w:lang w:bidi="ar"/>
              </w:rPr>
              <w:t xml:space="preserve">2个USB2.0接口、1个USB3.0接口 </w:t>
            </w:r>
            <w:r>
              <w:rPr>
                <w:rFonts w:hint="eastAsia" w:ascii="宋体" w:hAnsi="宋体" w:cs="宋体"/>
                <w:kern w:val="0"/>
                <w:szCs w:val="21"/>
                <w:lang w:bidi="ar"/>
              </w:rPr>
              <w:br w:type="textWrapping"/>
            </w:r>
            <w:r>
              <w:rPr>
                <w:rFonts w:hint="eastAsia" w:ascii="宋体" w:hAnsi="宋体" w:cs="宋体"/>
                <w:kern w:val="0"/>
                <w:szCs w:val="21"/>
                <w:lang w:bidi="ar"/>
              </w:rPr>
              <w:t xml:space="preserve">选配：1个eSATA接口 </w:t>
            </w:r>
            <w:r>
              <w:rPr>
                <w:rFonts w:hint="eastAsia" w:ascii="宋体" w:hAnsi="宋体" w:cs="宋体"/>
                <w:kern w:val="0"/>
                <w:szCs w:val="21"/>
                <w:lang w:bidi="ar"/>
              </w:rPr>
              <w:br w:type="textWrapping"/>
            </w:r>
            <w:r>
              <w:rPr>
                <w:rFonts w:hint="eastAsia" w:ascii="宋体" w:hAnsi="宋体" w:cs="宋体"/>
                <w:kern w:val="0"/>
                <w:szCs w:val="21"/>
                <w:lang w:bidi="ar"/>
              </w:rPr>
              <w:t xml:space="preserve">报警IO：16进4路（可选配8出） </w:t>
            </w:r>
            <w:r>
              <w:rPr>
                <w:rFonts w:hint="eastAsia" w:ascii="宋体" w:hAnsi="宋体" w:cs="宋体"/>
                <w:kern w:val="0"/>
                <w:szCs w:val="21"/>
                <w:lang w:bidi="ar"/>
              </w:rPr>
              <w:br w:type="textWrapping"/>
            </w:r>
            <w:r>
              <w:rPr>
                <w:rFonts w:hint="eastAsia" w:ascii="宋体" w:hAnsi="宋体" w:cs="宋体"/>
                <w:kern w:val="0"/>
                <w:szCs w:val="21"/>
                <w:lang w:bidi="ar"/>
              </w:rPr>
              <w:t xml:space="preserve"> </w:t>
            </w:r>
            <w:r>
              <w:rPr>
                <w:rFonts w:hint="eastAsia" w:ascii="宋体" w:hAnsi="宋体" w:cs="宋体"/>
                <w:kern w:val="0"/>
                <w:szCs w:val="21"/>
                <w:lang w:bidi="ar"/>
              </w:rPr>
              <w:br w:type="textWrapping"/>
            </w:r>
            <w:r>
              <w:rPr>
                <w:rFonts w:hint="eastAsia" w:ascii="宋体" w:hAnsi="宋体" w:cs="宋体"/>
                <w:kern w:val="0"/>
                <w:szCs w:val="21"/>
                <w:lang w:bidi="ar"/>
              </w:rPr>
              <w:t xml:space="preserve">软件性能： </w:t>
            </w:r>
            <w:r>
              <w:rPr>
                <w:rFonts w:hint="eastAsia" w:ascii="宋体" w:hAnsi="宋体" w:cs="宋体"/>
                <w:kern w:val="0"/>
                <w:szCs w:val="21"/>
                <w:lang w:bidi="ar"/>
              </w:rPr>
              <w:br w:type="textWrapping"/>
            </w:r>
            <w:r>
              <w:rPr>
                <w:rFonts w:hint="eastAsia" w:ascii="宋体" w:hAnsi="宋体" w:cs="宋体"/>
                <w:kern w:val="0"/>
                <w:szCs w:val="21"/>
                <w:lang w:bidi="ar"/>
              </w:rPr>
              <w:t xml:space="preserve">输入带宽：160M </w:t>
            </w:r>
            <w:r>
              <w:rPr>
                <w:rFonts w:hint="eastAsia" w:ascii="宋体" w:hAnsi="宋体" w:cs="宋体"/>
                <w:kern w:val="0"/>
                <w:szCs w:val="21"/>
                <w:lang w:bidi="ar"/>
              </w:rPr>
              <w:br w:type="textWrapping"/>
            </w:r>
            <w:r>
              <w:rPr>
                <w:rFonts w:hint="eastAsia" w:ascii="宋体" w:hAnsi="宋体" w:cs="宋体"/>
                <w:kern w:val="0"/>
                <w:szCs w:val="21"/>
                <w:lang w:bidi="ar"/>
              </w:rPr>
              <w:t xml:space="preserve">16路H.264、H.265接入 </w:t>
            </w:r>
            <w:r>
              <w:rPr>
                <w:rFonts w:hint="eastAsia" w:ascii="宋体" w:hAnsi="宋体" w:cs="宋体"/>
                <w:kern w:val="0"/>
                <w:szCs w:val="21"/>
                <w:lang w:bidi="ar"/>
              </w:rPr>
              <w:br w:type="textWrapping"/>
            </w:r>
            <w:r>
              <w:rPr>
                <w:rFonts w:hint="eastAsia" w:ascii="宋体" w:hAnsi="宋体" w:cs="宋体"/>
                <w:kern w:val="0"/>
                <w:szCs w:val="21"/>
                <w:lang w:bidi="ar"/>
              </w:rPr>
              <w:t xml:space="preserve">最大支持8×1080P解码 </w:t>
            </w:r>
            <w:r>
              <w:rPr>
                <w:rFonts w:hint="eastAsia" w:ascii="宋体" w:hAnsi="宋体" w:cs="宋体"/>
                <w:kern w:val="0"/>
                <w:szCs w:val="21"/>
                <w:lang w:bidi="ar"/>
              </w:rPr>
              <w:br w:type="textWrapping"/>
            </w:r>
            <w:r>
              <w:rPr>
                <w:rFonts w:hint="eastAsia" w:ascii="宋体" w:hAnsi="宋体" w:cs="宋体"/>
                <w:kern w:val="0"/>
                <w:szCs w:val="21"/>
                <w:lang w:bidi="ar"/>
              </w:rPr>
              <w:t xml:space="preserve">支持H.264、H.265解码 </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jc w:val="center"/>
              <w:rPr>
                <w:rFonts w:ascii="宋体" w:hAnsi="宋体" w:cs="宋体"/>
                <w:szCs w:val="21"/>
              </w:rPr>
            </w:pPr>
            <w:r>
              <w:rPr>
                <w:rFonts w:hint="eastAsia" w:ascii="宋体" w:hAnsi="宋体" w:cs="宋体"/>
                <w:szCs w:val="21"/>
              </w:rPr>
              <w:t>60</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4TB/64MB(6Gb/秒 NCQ)/5900RPM/SATA3</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61</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工控主机（门禁信号采集）</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62</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PDU插座</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防雷8插位带线1.8米10A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63</w:t>
            </w:r>
          </w:p>
        </w:tc>
        <w:tc>
          <w:tcPr>
            <w:tcW w:w="879" w:type="dxa"/>
            <w:vMerge w:val="restart"/>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24口千兆接入交换机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≥336Gbps，转发性能 ≥50Mpps，官网双指标的以最小的为准；固化Console管理端口≥1个，千兆电口≥24个，千兆非复用光口≥4个；MAC地址数≥16K，支持横向虚拟化</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64</w:t>
            </w:r>
          </w:p>
        </w:tc>
        <w:tc>
          <w:tcPr>
            <w:tcW w:w="879" w:type="dxa"/>
            <w:vMerge w:val="continue"/>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65</w:t>
            </w:r>
          </w:p>
        </w:tc>
        <w:tc>
          <w:tcPr>
            <w:tcW w:w="87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五、万象府二期</w:t>
            </w:r>
          </w:p>
        </w:tc>
        <w:tc>
          <w:tcPr>
            <w:tcW w:w="792" w:type="dxa"/>
            <w:shd w:val="clear" w:color="auto" w:fill="auto"/>
            <w:vAlign w:val="center"/>
          </w:tcPr>
          <w:p>
            <w:pPr>
              <w:jc w:val="center"/>
              <w:rPr>
                <w:rFonts w:ascii="宋体" w:hAnsi="宋体" w:cs="宋体"/>
                <w:szCs w:val="21"/>
              </w:rPr>
            </w:pPr>
          </w:p>
        </w:tc>
        <w:tc>
          <w:tcPr>
            <w:tcW w:w="6095" w:type="dxa"/>
            <w:shd w:val="clear" w:color="auto" w:fill="auto"/>
            <w:vAlign w:val="center"/>
          </w:tcPr>
          <w:p>
            <w:pPr>
              <w:jc w:val="center"/>
              <w:rPr>
                <w:rFonts w:ascii="宋体" w:hAnsi="宋体" w:cs="宋体"/>
                <w:szCs w:val="21"/>
              </w:rPr>
            </w:pPr>
          </w:p>
        </w:tc>
        <w:tc>
          <w:tcPr>
            <w:tcW w:w="545" w:type="dxa"/>
            <w:shd w:val="clear" w:color="auto" w:fill="auto"/>
            <w:vAlign w:val="center"/>
          </w:tcPr>
          <w:p>
            <w:pPr>
              <w:jc w:val="center"/>
              <w:rPr>
                <w:rFonts w:ascii="宋体" w:hAnsi="宋体" w:cs="宋体"/>
                <w:szCs w:val="21"/>
              </w:rPr>
            </w:pPr>
          </w:p>
        </w:tc>
        <w:tc>
          <w:tcPr>
            <w:tcW w:w="435" w:type="dxa"/>
            <w:shd w:val="clear" w:color="auto" w:fill="auto"/>
            <w:vAlign w:val="center"/>
          </w:tcPr>
          <w:p>
            <w:pPr>
              <w:jc w:val="center"/>
              <w:rPr>
                <w:rFonts w:ascii="宋体" w:hAnsi="宋体" w:cs="宋体"/>
                <w:szCs w:val="21"/>
              </w:rPr>
            </w:pPr>
          </w:p>
        </w:tc>
        <w:tc>
          <w:tcPr>
            <w:tcW w:w="877"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66</w:t>
            </w:r>
          </w:p>
        </w:tc>
        <w:tc>
          <w:tcPr>
            <w:tcW w:w="879" w:type="dxa"/>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消防主机 信号传输装置</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 采用高性能4G无线模块，支持移动、联通或电信网络制式；</w:t>
            </w:r>
            <w:r>
              <w:rPr>
                <w:rFonts w:hint="eastAsia" w:ascii="宋体" w:hAnsi="宋体" w:cs="宋体"/>
                <w:kern w:val="0"/>
                <w:szCs w:val="21"/>
                <w:lang w:bidi="ar"/>
              </w:rPr>
              <w:br w:type="textWrapping"/>
            </w:r>
            <w:r>
              <w:rPr>
                <w:rFonts w:hint="eastAsia" w:ascii="宋体" w:hAnsi="宋体" w:cs="宋体"/>
                <w:kern w:val="0"/>
                <w:szCs w:val="21"/>
                <w:lang w:bidi="ar"/>
              </w:rPr>
              <w:t>（2） 2 路 RS-232 通讯接口、 2 路 RS-485 通讯接口，1 路 CAN 通讯接口、 1 路 RJ45 网络通讯口,</w:t>
            </w:r>
            <w:r>
              <w:rPr>
                <w:rFonts w:hint="eastAsia" w:ascii="宋体" w:hAnsi="宋体" w:cs="宋体"/>
                <w:kern w:val="0"/>
                <w:szCs w:val="21"/>
                <w:lang w:bidi="ar"/>
              </w:rPr>
              <w:br w:type="textWrapping"/>
            </w:r>
            <w:r>
              <w:rPr>
                <w:rFonts w:hint="eastAsia" w:ascii="宋体" w:hAnsi="宋体" w:cs="宋体"/>
                <w:kern w:val="0"/>
                <w:szCs w:val="21"/>
                <w:lang w:bidi="ar"/>
              </w:rPr>
              <w:t>（3） 手动报警：具有手动火警按钮，可以向管理平台上传人工火灾报警信息 ；</w:t>
            </w:r>
            <w:r>
              <w:rPr>
                <w:rFonts w:hint="eastAsia" w:ascii="宋体" w:hAnsi="宋体" w:cs="宋体"/>
                <w:kern w:val="0"/>
                <w:szCs w:val="21"/>
                <w:lang w:bidi="ar"/>
              </w:rPr>
              <w:br w:type="textWrapping"/>
            </w:r>
            <w:r>
              <w:rPr>
                <w:rFonts w:hint="eastAsia" w:ascii="宋体" w:hAnsi="宋体" w:cs="宋体"/>
                <w:kern w:val="0"/>
                <w:szCs w:val="21"/>
                <w:lang w:bidi="ar"/>
              </w:rPr>
              <w:t>（4） 断网续传：网络断网恢复后，接续上传断网期间的数据；</w:t>
            </w:r>
            <w:r>
              <w:rPr>
                <w:rFonts w:hint="eastAsia" w:ascii="宋体" w:hAnsi="宋体" w:cs="宋体"/>
                <w:kern w:val="0"/>
                <w:szCs w:val="21"/>
                <w:lang w:bidi="ar"/>
              </w:rPr>
              <w:br w:type="textWrapping"/>
            </w:r>
            <w:r>
              <w:rPr>
                <w:rFonts w:hint="eastAsia" w:ascii="宋体" w:hAnsi="宋体" w:cs="宋体"/>
                <w:kern w:val="0"/>
                <w:szCs w:val="21"/>
                <w:lang w:bidi="ar"/>
              </w:rPr>
              <w:t>（5） 值班查岗：支持值班查岗功能；</w:t>
            </w:r>
            <w:r>
              <w:rPr>
                <w:rFonts w:hint="eastAsia" w:ascii="宋体" w:hAnsi="宋体" w:cs="宋体"/>
                <w:kern w:val="0"/>
                <w:szCs w:val="21"/>
                <w:lang w:bidi="ar"/>
              </w:rPr>
              <w:br w:type="textWrapping"/>
            </w:r>
            <w:r>
              <w:rPr>
                <w:rFonts w:hint="eastAsia" w:ascii="宋体" w:hAnsi="宋体" w:cs="宋体"/>
                <w:kern w:val="0"/>
                <w:szCs w:val="21"/>
                <w:lang w:bidi="ar"/>
              </w:rPr>
              <w:t>（6） 1路开关量输入，2路常开输出</w:t>
            </w:r>
            <w:r>
              <w:rPr>
                <w:rFonts w:hint="eastAsia" w:ascii="宋体" w:hAnsi="宋体" w:cs="宋体"/>
                <w:kern w:val="0"/>
                <w:szCs w:val="21"/>
                <w:lang w:bidi="ar"/>
              </w:rPr>
              <w:br w:type="textWrapping"/>
            </w:r>
            <w:r>
              <w:rPr>
                <w:rFonts w:hint="eastAsia" w:ascii="宋体" w:hAnsi="宋体" w:cs="宋体"/>
                <w:kern w:val="0"/>
                <w:szCs w:val="21"/>
                <w:lang w:bidi="ar"/>
              </w:rPr>
              <w:t>（7） 1 个以太网接口，能够对目标 IP，目标机号，本机机号设置；</w:t>
            </w:r>
            <w:r>
              <w:rPr>
                <w:rFonts w:hint="eastAsia" w:ascii="宋体" w:hAnsi="宋体" w:cs="宋体"/>
                <w:kern w:val="0"/>
                <w:szCs w:val="21"/>
                <w:lang w:bidi="ar"/>
              </w:rPr>
              <w:br w:type="textWrapping"/>
            </w:r>
            <w:r>
              <w:rPr>
                <w:rFonts w:hint="eastAsia" w:ascii="宋体" w:hAnsi="宋体" w:cs="宋体"/>
                <w:kern w:val="0"/>
                <w:szCs w:val="21"/>
                <w:lang w:bidi="ar"/>
              </w:rPr>
              <w:t>（8） 支持查找历史记录：历史火警、历史请求/反馈、历史故障、历史操作各 1000 条。</w:t>
            </w:r>
            <w:r>
              <w:rPr>
                <w:rFonts w:hint="eastAsia" w:ascii="宋体" w:hAnsi="宋体" w:cs="宋体"/>
                <w:kern w:val="0"/>
                <w:szCs w:val="21"/>
                <w:lang w:bidi="ar"/>
              </w:rPr>
              <w:br w:type="textWrapping"/>
            </w:r>
            <w:r>
              <w:rPr>
                <w:rFonts w:hint="eastAsia" w:ascii="宋体" w:hAnsi="宋体" w:cs="宋体"/>
                <w:kern w:val="0"/>
                <w:szCs w:val="21"/>
                <w:lang w:bidi="ar"/>
              </w:rPr>
              <w:t>（9） 提供液晶显示（128x64），提供实时时钟；</w:t>
            </w:r>
            <w:r>
              <w:rPr>
                <w:rFonts w:hint="eastAsia" w:ascii="宋体" w:hAnsi="宋体" w:cs="宋体"/>
                <w:kern w:val="0"/>
                <w:szCs w:val="21"/>
                <w:lang w:bidi="ar"/>
              </w:rPr>
              <w:br w:type="textWrapping"/>
            </w:r>
            <w:r>
              <w:rPr>
                <w:rFonts w:hint="eastAsia" w:ascii="宋体" w:hAnsi="宋体" w:cs="宋体"/>
                <w:kern w:val="0"/>
                <w:szCs w:val="21"/>
                <w:lang w:bidi="ar"/>
              </w:rPr>
              <w:t>（10） 蓄电池备用供电（待机 24 小时以上）</w:t>
            </w:r>
            <w:r>
              <w:rPr>
                <w:rFonts w:hint="eastAsia" w:ascii="宋体" w:hAnsi="宋体" w:cs="宋体"/>
                <w:kern w:val="0"/>
                <w:szCs w:val="21"/>
                <w:lang w:bidi="ar"/>
              </w:rPr>
              <w:br w:type="textWrapping"/>
            </w:r>
            <w:r>
              <w:rPr>
                <w:rFonts w:hint="eastAsia" w:ascii="宋体" w:hAnsi="宋体" w:cs="宋体"/>
                <w:kern w:val="0"/>
                <w:szCs w:val="21"/>
                <w:lang w:bidi="ar"/>
              </w:rPr>
              <w:t>（11） 交流输入电压 220V 50Hz</w:t>
            </w:r>
            <w:r>
              <w:rPr>
                <w:rFonts w:hint="eastAsia" w:ascii="宋体" w:hAnsi="宋体" w:cs="宋体"/>
                <w:kern w:val="0"/>
                <w:szCs w:val="21"/>
                <w:lang w:bidi="ar"/>
              </w:rPr>
              <w:br w:type="textWrapping"/>
            </w:r>
            <w:r>
              <w:rPr>
                <w:rFonts w:hint="eastAsia" w:ascii="宋体" w:hAnsi="宋体" w:cs="宋体"/>
                <w:kern w:val="0"/>
                <w:szCs w:val="21"/>
                <w:lang w:bidi="ar"/>
              </w:rPr>
              <w:t>（12） 直流备电 12V 7Ah 铅酸电池一节</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67</w:t>
            </w:r>
          </w:p>
        </w:tc>
        <w:tc>
          <w:tcPr>
            <w:tcW w:w="879"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全彩筒型变焦网络摄像机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全彩筒型网络摄像机</w:t>
            </w:r>
            <w:r>
              <w:rPr>
                <w:rFonts w:hint="eastAsia" w:ascii="宋体" w:hAnsi="宋体" w:cs="宋体"/>
                <w:kern w:val="0"/>
                <w:szCs w:val="21"/>
                <w:lang w:bidi="ar"/>
              </w:rPr>
              <w:br w:type="textWrapping"/>
            </w:r>
            <w:r>
              <w:rPr>
                <w:rFonts w:hint="eastAsia" w:ascii="宋体" w:hAnsi="宋体" w:cs="宋体"/>
                <w:kern w:val="0"/>
                <w:szCs w:val="21"/>
                <w:lang w:bidi="ar"/>
              </w:rPr>
              <w:t>全彩级高灵敏度传感器，F1.0超大光圈镜头，提供更清晰的视频流输入</w:t>
            </w:r>
            <w:r>
              <w:rPr>
                <w:rFonts w:hint="eastAsia" w:ascii="宋体" w:hAnsi="宋体" w:cs="宋体"/>
                <w:kern w:val="0"/>
                <w:szCs w:val="21"/>
                <w:lang w:bidi="ar"/>
              </w:rPr>
              <w:br w:type="textWrapping"/>
            </w:r>
            <w:r>
              <w:rPr>
                <w:rFonts w:hint="eastAsia" w:ascii="宋体" w:hAnsi="宋体" w:cs="宋体"/>
                <w:kern w:val="0"/>
                <w:szCs w:val="21"/>
                <w:lang w:bidi="ar"/>
              </w:rPr>
              <w:t>最低照度: 彩色：0.0005 Lux @（F1.0，AGC ON）, 0 Lux with Light</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景深范围: </w:t>
            </w:r>
            <w:r>
              <w:rPr>
                <w:rFonts w:hint="eastAsia" w:ascii="宋体" w:hAnsi="宋体" w:cs="宋体"/>
                <w:kern w:val="0"/>
                <w:szCs w:val="21"/>
                <w:lang w:bidi="ar"/>
              </w:rPr>
              <w:br w:type="textWrapping"/>
            </w:r>
            <w:r>
              <w:rPr>
                <w:rFonts w:hint="eastAsia" w:ascii="宋体" w:hAnsi="宋体" w:cs="宋体"/>
                <w:kern w:val="0"/>
                <w:szCs w:val="21"/>
                <w:lang w:bidi="ar"/>
              </w:rPr>
              <w:t>2.8 mm：1.7 m~∞</w:t>
            </w:r>
            <w:r>
              <w:rPr>
                <w:rFonts w:hint="eastAsia" w:ascii="宋体" w:hAnsi="宋体" w:cs="宋体"/>
                <w:kern w:val="0"/>
                <w:szCs w:val="21"/>
                <w:lang w:bidi="ar"/>
              </w:rPr>
              <w:br w:type="textWrapping"/>
            </w:r>
            <w:r>
              <w:rPr>
                <w:rFonts w:hint="eastAsia" w:ascii="宋体" w:hAnsi="宋体" w:cs="宋体"/>
                <w:kern w:val="0"/>
                <w:szCs w:val="21"/>
                <w:lang w:bidi="ar"/>
              </w:rPr>
              <w:t>4 mm：2.1 m~∞</w:t>
            </w:r>
            <w:r>
              <w:rPr>
                <w:rFonts w:hint="eastAsia" w:ascii="宋体" w:hAnsi="宋体" w:cs="宋体"/>
                <w:kern w:val="0"/>
                <w:szCs w:val="21"/>
                <w:lang w:bidi="ar"/>
              </w:rPr>
              <w:br w:type="textWrapping"/>
            </w:r>
            <w:r>
              <w:rPr>
                <w:rFonts w:hint="eastAsia" w:ascii="宋体" w:hAnsi="宋体" w:cs="宋体"/>
                <w:kern w:val="0"/>
                <w:szCs w:val="21"/>
                <w:lang w:bidi="ar"/>
              </w:rPr>
              <w:t xml:space="preserve">6 mm：3.5 m~∞ </w:t>
            </w:r>
            <w:r>
              <w:rPr>
                <w:rFonts w:hint="eastAsia" w:ascii="宋体" w:hAnsi="宋体" w:cs="宋体"/>
                <w:kern w:val="0"/>
                <w:szCs w:val="21"/>
                <w:lang w:bidi="ar"/>
              </w:rPr>
              <w:br w:type="textWrapping"/>
            </w:r>
            <w:r>
              <w:rPr>
                <w:rFonts w:hint="eastAsia" w:ascii="宋体" w:hAnsi="宋体" w:cs="宋体"/>
                <w:kern w:val="0"/>
                <w:szCs w:val="21"/>
                <w:lang w:bidi="ar"/>
              </w:rPr>
              <w:t xml:space="preserve">8 mm：4 m~∞ </w:t>
            </w:r>
            <w:r>
              <w:rPr>
                <w:rFonts w:hint="eastAsia" w:ascii="宋体" w:hAnsi="宋体" w:cs="宋体"/>
                <w:kern w:val="0"/>
                <w:szCs w:val="21"/>
                <w:lang w:bidi="ar"/>
              </w:rPr>
              <w:br w:type="textWrapping"/>
            </w:r>
            <w:r>
              <w:rPr>
                <w:rFonts w:hint="eastAsia" w:ascii="宋体" w:hAnsi="宋体" w:cs="宋体"/>
                <w:kern w:val="0"/>
                <w:szCs w:val="21"/>
                <w:lang w:bidi="ar"/>
              </w:rPr>
              <w:t>焦距&amp;视场角:</w:t>
            </w:r>
            <w:r>
              <w:rPr>
                <w:rFonts w:hint="eastAsia" w:ascii="宋体" w:hAnsi="宋体" w:cs="宋体"/>
                <w:kern w:val="0"/>
                <w:szCs w:val="21"/>
                <w:lang w:bidi="ar"/>
              </w:rPr>
              <w:br w:type="textWrapping"/>
            </w:r>
            <w:r>
              <w:rPr>
                <w:rFonts w:hint="eastAsia" w:ascii="宋体" w:hAnsi="宋体" w:cs="宋体"/>
                <w:kern w:val="0"/>
                <w:szCs w:val="21"/>
                <w:lang w:bidi="ar"/>
              </w:rPr>
              <w:t>2.8 mm，水平视场角：106.7°，垂直视场角：55.5°，对角线视场角：126.5°</w:t>
            </w:r>
            <w:r>
              <w:rPr>
                <w:rFonts w:hint="eastAsia" w:ascii="宋体" w:hAnsi="宋体" w:cs="宋体"/>
                <w:kern w:val="0"/>
                <w:szCs w:val="21"/>
                <w:lang w:bidi="ar"/>
              </w:rPr>
              <w:br w:type="textWrapping"/>
            </w:r>
            <w:r>
              <w:rPr>
                <w:rFonts w:hint="eastAsia" w:ascii="宋体" w:hAnsi="宋体" w:cs="宋体"/>
                <w:kern w:val="0"/>
                <w:szCs w:val="21"/>
                <w:lang w:bidi="ar"/>
              </w:rPr>
              <w:t>4 mm，水平视场角：83.6°，垂直视场角：44.6°，对角线视场角：99.1°</w:t>
            </w:r>
            <w:r>
              <w:rPr>
                <w:rFonts w:hint="eastAsia" w:ascii="宋体" w:hAnsi="宋体" w:cs="宋体"/>
                <w:kern w:val="0"/>
                <w:szCs w:val="21"/>
                <w:lang w:bidi="ar"/>
              </w:rPr>
              <w:br w:type="textWrapping"/>
            </w:r>
            <w:r>
              <w:rPr>
                <w:rFonts w:hint="eastAsia" w:ascii="宋体" w:hAnsi="宋体" w:cs="宋体"/>
                <w:kern w:val="0"/>
                <w:szCs w:val="21"/>
                <w:lang w:bidi="ar"/>
              </w:rPr>
              <w:t>6 mm，水平视场角：54.6°，垂直视场角：29.9°，对角线视场角：63.3°</w:t>
            </w:r>
            <w:r>
              <w:rPr>
                <w:rFonts w:hint="eastAsia" w:ascii="宋体" w:hAnsi="宋体" w:cs="宋体"/>
                <w:kern w:val="0"/>
                <w:szCs w:val="21"/>
                <w:lang w:bidi="ar"/>
              </w:rPr>
              <w:br w:type="textWrapping"/>
            </w:r>
            <w:r>
              <w:rPr>
                <w:rFonts w:hint="eastAsia" w:ascii="宋体" w:hAnsi="宋体" w:cs="宋体"/>
                <w:kern w:val="0"/>
                <w:szCs w:val="21"/>
                <w:lang w:bidi="ar"/>
              </w:rPr>
              <w:t>8 mm，水平视场角：42.2°，垂直视场角：23.1°，对角线视场角：49.2°</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补光灯类型: 暖白光灯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支持NAS（NFS，SMB/CIFS均支持），支持Micro SD(即TF卡)/Micro SDHC/Micro SDXC卡（最大256 GB），断网本地录像存储及断网续传，支持SD卡加密及SD卡状态检测</w:t>
            </w:r>
            <w:r>
              <w:rPr>
                <w:rFonts w:hint="eastAsia" w:ascii="宋体" w:hAnsi="宋体" w:cs="宋体"/>
                <w:kern w:val="0"/>
                <w:szCs w:val="21"/>
                <w:lang w:bidi="ar"/>
              </w:rPr>
              <w:br w:type="textWrapping"/>
            </w:r>
            <w:r>
              <w:rPr>
                <w:rFonts w:hint="eastAsia" w:ascii="宋体" w:hAnsi="宋体" w:cs="宋体"/>
                <w:kern w:val="0"/>
                <w:szCs w:val="21"/>
                <w:lang w:bidi="ar"/>
              </w:rPr>
              <w:t>报警: 1路输入，1路输出，三极管（最大支持DC12 V，20 mA）</w:t>
            </w:r>
            <w:r>
              <w:rPr>
                <w:rFonts w:hint="eastAsia" w:ascii="宋体" w:hAnsi="宋体" w:cs="宋体"/>
                <w:kern w:val="0"/>
                <w:szCs w:val="21"/>
                <w:lang w:bidi="ar"/>
              </w:rPr>
              <w:br w:type="textWrapping"/>
            </w:r>
            <w:r>
              <w:rPr>
                <w:rFonts w:hint="eastAsia" w:ascii="宋体" w:hAnsi="宋体" w:cs="宋体"/>
                <w:kern w:val="0"/>
                <w:szCs w:val="21"/>
                <w:lang w:bidi="ar"/>
              </w:rPr>
              <w:t>音频: 1个内置麦克风; 1路音频输入（Line in），1路音频输出（Line out）</w:t>
            </w:r>
            <w:r>
              <w:rPr>
                <w:rFonts w:hint="eastAsia" w:ascii="宋体" w:hAnsi="宋体" w:cs="宋体"/>
                <w:kern w:val="0"/>
                <w:szCs w:val="21"/>
                <w:lang w:bidi="ar"/>
              </w:rPr>
              <w:br w:type="textWrapping"/>
            </w:r>
            <w:r>
              <w:rPr>
                <w:rFonts w:hint="eastAsia" w:ascii="宋体" w:hAnsi="宋体" w:cs="宋体"/>
                <w:kern w:val="0"/>
                <w:szCs w:val="21"/>
                <w:lang w:bidi="ar"/>
              </w:rPr>
              <w:t>复位: 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电源输出: DC12 V，100 mA，建议用于拾音器供电</w:t>
            </w:r>
            <w:r>
              <w:rPr>
                <w:rFonts w:hint="eastAsia" w:ascii="宋体" w:hAnsi="宋体" w:cs="宋体"/>
                <w:kern w:val="0"/>
                <w:szCs w:val="21"/>
                <w:lang w:bidi="ar"/>
              </w:rPr>
              <w:br w:type="textWrapping"/>
            </w:r>
            <w:r>
              <w:rPr>
                <w:rFonts w:hint="eastAsia" w:ascii="宋体" w:hAnsi="宋体" w:cs="宋体"/>
                <w:kern w:val="0"/>
                <w:szCs w:val="21"/>
                <w:lang w:bidi="ar"/>
              </w:rPr>
              <w:t xml:space="preserve">启动及工作温湿度: -30 ℃~60 ℃，湿度小于95%（无凝结） </w:t>
            </w:r>
            <w:r>
              <w:rPr>
                <w:rFonts w:hint="eastAsia" w:ascii="宋体" w:hAnsi="宋体" w:cs="宋体"/>
                <w:kern w:val="0"/>
                <w:szCs w:val="21"/>
                <w:lang w:bidi="ar"/>
              </w:rPr>
              <w:br w:type="textWrapping"/>
            </w:r>
            <w:r>
              <w:rPr>
                <w:rFonts w:hint="eastAsia" w:ascii="宋体" w:hAnsi="宋体" w:cs="宋体"/>
                <w:kern w:val="0"/>
                <w:szCs w:val="21"/>
                <w:lang w:bidi="ar"/>
              </w:rPr>
              <w:t xml:space="preserve">供电方式 DC：12 V ± 25%，支持防反接保护; PoE：802.3af，Class 3 </w:t>
            </w:r>
            <w:r>
              <w:rPr>
                <w:rFonts w:hint="eastAsia" w:ascii="宋体" w:hAnsi="宋体" w:cs="宋体"/>
                <w:kern w:val="0"/>
                <w:szCs w:val="21"/>
                <w:lang w:bidi="ar"/>
              </w:rPr>
              <w:br w:type="textWrapping"/>
            </w:r>
            <w:r>
              <w:rPr>
                <w:rFonts w:hint="eastAsia" w:ascii="宋体" w:hAnsi="宋体" w:cs="宋体"/>
                <w:kern w:val="0"/>
                <w:szCs w:val="21"/>
                <w:lang w:bidi="ar"/>
              </w:rPr>
              <w:t xml:space="preserve">电流及功耗:  DC：12 V，0.56 A，最大功耗：6.8 W ; PoE：802.3af，36 V~57 V，0.22 A~0.14 A，最大功耗：8.0 W </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2 </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68</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69</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摄像机电源</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12DC/10A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70</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 立竿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3.5m，厚度3mm镀锌钢管，烤漆色结合景观；带横杆、地笼、2~3头枪机横臂；顶部带有防雨球。</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71</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室外监控箱</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800*600*400， 含电源空开、电源避雷器、光纤盒、光纤接头等附件</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77" w:type="dxa"/>
            <w:shd w:val="clear" w:color="auto" w:fill="auto"/>
            <w:vAlign w:val="center"/>
          </w:tcPr>
          <w:p>
            <w:pPr>
              <w:jc w:val="center"/>
              <w:rPr>
                <w:rFonts w:ascii="宋体" w:hAnsi="宋体" w:cs="宋体"/>
                <w:szCs w:val="21"/>
              </w:rPr>
            </w:pPr>
            <w:r>
              <w:rPr>
                <w:rFonts w:hint="eastAsia" w:ascii="宋体" w:hAnsi="宋体" w:cs="宋体"/>
                <w:szCs w:val="21"/>
              </w:rPr>
              <w:t>72</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硬件规格： </w:t>
            </w:r>
            <w:r>
              <w:rPr>
                <w:rFonts w:hint="eastAsia" w:ascii="宋体" w:hAnsi="宋体" w:cs="宋体"/>
                <w:kern w:val="0"/>
                <w:szCs w:val="21"/>
                <w:lang w:bidi="ar"/>
              </w:rPr>
              <w:br w:type="textWrapping"/>
            </w:r>
            <w:r>
              <w:rPr>
                <w:rFonts w:hint="eastAsia" w:ascii="宋体" w:hAnsi="宋体" w:cs="宋体"/>
                <w:kern w:val="0"/>
                <w:szCs w:val="21"/>
                <w:lang w:bidi="ar"/>
              </w:rPr>
              <w:t xml:space="preserve">1.5U标准机架式 </w:t>
            </w:r>
            <w:r>
              <w:rPr>
                <w:rFonts w:hint="eastAsia" w:ascii="宋体" w:hAnsi="宋体" w:cs="宋体"/>
                <w:kern w:val="0"/>
                <w:szCs w:val="21"/>
                <w:lang w:bidi="ar"/>
              </w:rPr>
              <w:br w:type="textWrapping"/>
            </w:r>
            <w:r>
              <w:rPr>
                <w:rFonts w:hint="eastAsia" w:ascii="宋体" w:hAnsi="宋体" w:cs="宋体"/>
                <w:kern w:val="0"/>
                <w:szCs w:val="21"/>
                <w:lang w:bidi="ar"/>
              </w:rPr>
              <w:t xml:space="preserve">1个HDMI，1个VGA，异源输出 </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4盘位，可满配6TB硬盘  </w:t>
            </w:r>
            <w:r>
              <w:rPr>
                <w:rFonts w:hint="eastAsia" w:ascii="宋体" w:hAnsi="宋体" w:cs="宋体"/>
                <w:kern w:val="0"/>
                <w:szCs w:val="21"/>
                <w:lang w:bidi="ar"/>
              </w:rPr>
              <w:br w:type="textWrapping"/>
            </w:r>
            <w:r>
              <w:rPr>
                <w:rFonts w:hint="eastAsia" w:ascii="宋体" w:hAnsi="宋体" w:cs="宋体"/>
                <w:kern w:val="0"/>
                <w:szCs w:val="21"/>
                <w:lang w:bidi="ar"/>
              </w:rPr>
              <w:t xml:space="preserve">2个千兆网口 </w:t>
            </w:r>
            <w:r>
              <w:rPr>
                <w:rFonts w:hint="eastAsia" w:ascii="宋体" w:hAnsi="宋体" w:cs="宋体"/>
                <w:kern w:val="0"/>
                <w:szCs w:val="21"/>
                <w:lang w:bidi="ar"/>
              </w:rPr>
              <w:br w:type="textWrapping"/>
            </w:r>
            <w:r>
              <w:rPr>
                <w:rFonts w:hint="eastAsia" w:ascii="宋体" w:hAnsi="宋体" w:cs="宋体"/>
                <w:kern w:val="0"/>
                <w:szCs w:val="21"/>
                <w:lang w:bidi="ar"/>
              </w:rPr>
              <w:t xml:space="preserve">2个USB2.0接口、1个USB3.0接口 </w:t>
            </w:r>
            <w:r>
              <w:rPr>
                <w:rFonts w:hint="eastAsia" w:ascii="宋体" w:hAnsi="宋体" w:cs="宋体"/>
                <w:kern w:val="0"/>
                <w:szCs w:val="21"/>
                <w:lang w:bidi="ar"/>
              </w:rPr>
              <w:br w:type="textWrapping"/>
            </w:r>
            <w:r>
              <w:rPr>
                <w:rFonts w:hint="eastAsia" w:ascii="宋体" w:hAnsi="宋体" w:cs="宋体"/>
                <w:kern w:val="0"/>
                <w:szCs w:val="21"/>
                <w:lang w:bidi="ar"/>
              </w:rPr>
              <w:t xml:space="preserve">选配：1个eSATA接口 </w:t>
            </w:r>
            <w:r>
              <w:rPr>
                <w:rFonts w:hint="eastAsia" w:ascii="宋体" w:hAnsi="宋体" w:cs="宋体"/>
                <w:kern w:val="0"/>
                <w:szCs w:val="21"/>
                <w:lang w:bidi="ar"/>
              </w:rPr>
              <w:br w:type="textWrapping"/>
            </w:r>
            <w:r>
              <w:rPr>
                <w:rFonts w:hint="eastAsia" w:ascii="宋体" w:hAnsi="宋体" w:cs="宋体"/>
                <w:kern w:val="0"/>
                <w:szCs w:val="21"/>
                <w:lang w:bidi="ar"/>
              </w:rPr>
              <w:t xml:space="preserve">报警IO：16进4路（可选配8出） </w:t>
            </w:r>
            <w:r>
              <w:rPr>
                <w:rFonts w:hint="eastAsia" w:ascii="宋体" w:hAnsi="宋体" w:cs="宋体"/>
                <w:kern w:val="0"/>
                <w:szCs w:val="21"/>
                <w:lang w:bidi="ar"/>
              </w:rPr>
              <w:br w:type="textWrapping"/>
            </w:r>
            <w:r>
              <w:rPr>
                <w:rFonts w:hint="eastAsia" w:ascii="宋体" w:hAnsi="宋体" w:cs="宋体"/>
                <w:kern w:val="0"/>
                <w:szCs w:val="21"/>
                <w:lang w:bidi="ar"/>
              </w:rPr>
              <w:t xml:space="preserve"> </w:t>
            </w:r>
            <w:r>
              <w:rPr>
                <w:rFonts w:hint="eastAsia" w:ascii="宋体" w:hAnsi="宋体" w:cs="宋体"/>
                <w:kern w:val="0"/>
                <w:szCs w:val="21"/>
                <w:lang w:bidi="ar"/>
              </w:rPr>
              <w:br w:type="textWrapping"/>
            </w:r>
            <w:r>
              <w:rPr>
                <w:rFonts w:hint="eastAsia" w:ascii="宋体" w:hAnsi="宋体" w:cs="宋体"/>
                <w:kern w:val="0"/>
                <w:szCs w:val="21"/>
                <w:lang w:bidi="ar"/>
              </w:rPr>
              <w:t xml:space="preserve">软件性能： </w:t>
            </w:r>
            <w:r>
              <w:rPr>
                <w:rFonts w:hint="eastAsia" w:ascii="宋体" w:hAnsi="宋体" w:cs="宋体"/>
                <w:kern w:val="0"/>
                <w:szCs w:val="21"/>
                <w:lang w:bidi="ar"/>
              </w:rPr>
              <w:br w:type="textWrapping"/>
            </w:r>
            <w:r>
              <w:rPr>
                <w:rFonts w:hint="eastAsia" w:ascii="宋体" w:hAnsi="宋体" w:cs="宋体"/>
                <w:kern w:val="0"/>
                <w:szCs w:val="21"/>
                <w:lang w:bidi="ar"/>
              </w:rPr>
              <w:t xml:space="preserve">输入带宽：160M </w:t>
            </w:r>
            <w:r>
              <w:rPr>
                <w:rFonts w:hint="eastAsia" w:ascii="宋体" w:hAnsi="宋体" w:cs="宋体"/>
                <w:kern w:val="0"/>
                <w:szCs w:val="21"/>
                <w:lang w:bidi="ar"/>
              </w:rPr>
              <w:br w:type="textWrapping"/>
            </w:r>
            <w:r>
              <w:rPr>
                <w:rFonts w:hint="eastAsia" w:ascii="宋体" w:hAnsi="宋体" w:cs="宋体"/>
                <w:kern w:val="0"/>
                <w:szCs w:val="21"/>
                <w:lang w:bidi="ar"/>
              </w:rPr>
              <w:t xml:space="preserve">16路H.264、H.265接入 </w:t>
            </w:r>
            <w:r>
              <w:rPr>
                <w:rFonts w:hint="eastAsia" w:ascii="宋体" w:hAnsi="宋体" w:cs="宋体"/>
                <w:kern w:val="0"/>
                <w:szCs w:val="21"/>
                <w:lang w:bidi="ar"/>
              </w:rPr>
              <w:br w:type="textWrapping"/>
            </w:r>
            <w:r>
              <w:rPr>
                <w:rFonts w:hint="eastAsia" w:ascii="宋体" w:hAnsi="宋体" w:cs="宋体"/>
                <w:kern w:val="0"/>
                <w:szCs w:val="21"/>
                <w:lang w:bidi="ar"/>
              </w:rPr>
              <w:t xml:space="preserve">最大支持8×1080P解码 </w:t>
            </w:r>
            <w:r>
              <w:rPr>
                <w:rFonts w:hint="eastAsia" w:ascii="宋体" w:hAnsi="宋体" w:cs="宋体"/>
                <w:kern w:val="0"/>
                <w:szCs w:val="21"/>
                <w:lang w:bidi="ar"/>
              </w:rPr>
              <w:br w:type="textWrapping"/>
            </w:r>
            <w:r>
              <w:rPr>
                <w:rFonts w:hint="eastAsia" w:ascii="宋体" w:hAnsi="宋体" w:cs="宋体"/>
                <w:kern w:val="0"/>
                <w:szCs w:val="21"/>
                <w:lang w:bidi="ar"/>
              </w:rPr>
              <w:t xml:space="preserve">支持H.264、H.265解码 </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jc w:val="center"/>
              <w:rPr>
                <w:rFonts w:ascii="宋体" w:hAnsi="宋体" w:cs="宋体"/>
                <w:szCs w:val="21"/>
              </w:rPr>
            </w:pP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4TB/64MB(6Gb/秒 NCQ)/5900RPM/SATA3</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73</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工控主机（门禁信号采集）</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74</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PDU插座</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防雷8插位带线1.8米10A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75</w:t>
            </w:r>
          </w:p>
        </w:tc>
        <w:tc>
          <w:tcPr>
            <w:tcW w:w="879" w:type="dxa"/>
            <w:vMerge w:val="restart"/>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24口千兆接入交换机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≥336Gbps，转发性能 ≥50Mpps，官网双指标的以最小的为准；固化Console管理端口≥1个，千兆电口≥24个，千兆非复用光口≥4个；MAC地址数≥16K，支持横向虚拟化</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76</w:t>
            </w:r>
          </w:p>
        </w:tc>
        <w:tc>
          <w:tcPr>
            <w:tcW w:w="879" w:type="dxa"/>
            <w:vMerge w:val="continue"/>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77</w:t>
            </w:r>
          </w:p>
        </w:tc>
        <w:tc>
          <w:tcPr>
            <w:tcW w:w="87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六、三水湾小区</w:t>
            </w:r>
          </w:p>
        </w:tc>
        <w:tc>
          <w:tcPr>
            <w:tcW w:w="792" w:type="dxa"/>
            <w:shd w:val="clear" w:color="auto" w:fill="auto"/>
            <w:vAlign w:val="center"/>
          </w:tcPr>
          <w:p>
            <w:pPr>
              <w:jc w:val="center"/>
              <w:rPr>
                <w:rFonts w:ascii="宋体" w:hAnsi="宋体" w:cs="宋体"/>
                <w:szCs w:val="21"/>
              </w:rPr>
            </w:pPr>
          </w:p>
        </w:tc>
        <w:tc>
          <w:tcPr>
            <w:tcW w:w="6095" w:type="dxa"/>
            <w:shd w:val="clear" w:color="auto" w:fill="auto"/>
            <w:vAlign w:val="center"/>
          </w:tcPr>
          <w:p>
            <w:pPr>
              <w:jc w:val="center"/>
              <w:rPr>
                <w:rFonts w:ascii="宋体" w:hAnsi="宋体" w:cs="宋体"/>
                <w:szCs w:val="21"/>
              </w:rPr>
            </w:pPr>
          </w:p>
        </w:tc>
        <w:tc>
          <w:tcPr>
            <w:tcW w:w="545" w:type="dxa"/>
            <w:shd w:val="clear" w:color="auto" w:fill="auto"/>
            <w:vAlign w:val="center"/>
          </w:tcPr>
          <w:p>
            <w:pPr>
              <w:jc w:val="center"/>
              <w:rPr>
                <w:rFonts w:ascii="宋体" w:hAnsi="宋体" w:cs="宋体"/>
                <w:szCs w:val="21"/>
              </w:rPr>
            </w:pPr>
          </w:p>
        </w:tc>
        <w:tc>
          <w:tcPr>
            <w:tcW w:w="435" w:type="dxa"/>
            <w:shd w:val="clear" w:color="auto" w:fill="auto"/>
            <w:vAlign w:val="center"/>
          </w:tcPr>
          <w:p>
            <w:pPr>
              <w:jc w:val="center"/>
              <w:rPr>
                <w:rFonts w:ascii="宋体" w:hAnsi="宋体" w:cs="宋体"/>
                <w:szCs w:val="21"/>
              </w:rPr>
            </w:pPr>
          </w:p>
        </w:tc>
        <w:tc>
          <w:tcPr>
            <w:tcW w:w="877"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78</w:t>
            </w:r>
          </w:p>
        </w:tc>
        <w:tc>
          <w:tcPr>
            <w:tcW w:w="879" w:type="dxa"/>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消防主机 信号传输装置</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 采用高性能4G无线模块，支持移动、联通或电信网络制式；</w:t>
            </w:r>
            <w:r>
              <w:rPr>
                <w:rFonts w:hint="eastAsia" w:ascii="宋体" w:hAnsi="宋体" w:cs="宋体"/>
                <w:kern w:val="0"/>
                <w:szCs w:val="21"/>
                <w:lang w:bidi="ar"/>
              </w:rPr>
              <w:br w:type="textWrapping"/>
            </w:r>
            <w:r>
              <w:rPr>
                <w:rFonts w:hint="eastAsia" w:ascii="宋体" w:hAnsi="宋体" w:cs="宋体"/>
                <w:kern w:val="0"/>
                <w:szCs w:val="21"/>
                <w:lang w:bidi="ar"/>
              </w:rPr>
              <w:t>（2） 2 路 RS-232 通讯接口、 2 路 RS-485 通讯接口，1 路 CAN 通讯接口、 1 路 RJ45 网络通讯口,</w:t>
            </w:r>
            <w:r>
              <w:rPr>
                <w:rFonts w:hint="eastAsia" w:ascii="宋体" w:hAnsi="宋体" w:cs="宋体"/>
                <w:kern w:val="0"/>
                <w:szCs w:val="21"/>
                <w:lang w:bidi="ar"/>
              </w:rPr>
              <w:br w:type="textWrapping"/>
            </w:r>
            <w:r>
              <w:rPr>
                <w:rFonts w:hint="eastAsia" w:ascii="宋体" w:hAnsi="宋体" w:cs="宋体"/>
                <w:kern w:val="0"/>
                <w:szCs w:val="21"/>
                <w:lang w:bidi="ar"/>
              </w:rPr>
              <w:t>（3） 手动报警：具有手动火警按钮，可以向管理平台上传人工火灾报警信息 ；</w:t>
            </w:r>
            <w:r>
              <w:rPr>
                <w:rFonts w:hint="eastAsia" w:ascii="宋体" w:hAnsi="宋体" w:cs="宋体"/>
                <w:kern w:val="0"/>
                <w:szCs w:val="21"/>
                <w:lang w:bidi="ar"/>
              </w:rPr>
              <w:br w:type="textWrapping"/>
            </w:r>
            <w:r>
              <w:rPr>
                <w:rFonts w:hint="eastAsia" w:ascii="宋体" w:hAnsi="宋体" w:cs="宋体"/>
                <w:kern w:val="0"/>
                <w:szCs w:val="21"/>
                <w:lang w:bidi="ar"/>
              </w:rPr>
              <w:t>（4） 断网续传：网络断网恢复后，接续上传断网期间的数据；</w:t>
            </w:r>
            <w:r>
              <w:rPr>
                <w:rFonts w:hint="eastAsia" w:ascii="宋体" w:hAnsi="宋体" w:cs="宋体"/>
                <w:kern w:val="0"/>
                <w:szCs w:val="21"/>
                <w:lang w:bidi="ar"/>
              </w:rPr>
              <w:br w:type="textWrapping"/>
            </w:r>
            <w:r>
              <w:rPr>
                <w:rFonts w:hint="eastAsia" w:ascii="宋体" w:hAnsi="宋体" w:cs="宋体"/>
                <w:kern w:val="0"/>
                <w:szCs w:val="21"/>
                <w:lang w:bidi="ar"/>
              </w:rPr>
              <w:t>（5） 值班查岗：支持值班查岗功能；</w:t>
            </w:r>
            <w:r>
              <w:rPr>
                <w:rFonts w:hint="eastAsia" w:ascii="宋体" w:hAnsi="宋体" w:cs="宋体"/>
                <w:kern w:val="0"/>
                <w:szCs w:val="21"/>
                <w:lang w:bidi="ar"/>
              </w:rPr>
              <w:br w:type="textWrapping"/>
            </w:r>
            <w:r>
              <w:rPr>
                <w:rFonts w:hint="eastAsia" w:ascii="宋体" w:hAnsi="宋体" w:cs="宋体"/>
                <w:kern w:val="0"/>
                <w:szCs w:val="21"/>
                <w:lang w:bidi="ar"/>
              </w:rPr>
              <w:t>（6） 1路开关量输入，2路常开输出</w:t>
            </w:r>
            <w:r>
              <w:rPr>
                <w:rFonts w:hint="eastAsia" w:ascii="宋体" w:hAnsi="宋体" w:cs="宋体"/>
                <w:kern w:val="0"/>
                <w:szCs w:val="21"/>
                <w:lang w:bidi="ar"/>
              </w:rPr>
              <w:br w:type="textWrapping"/>
            </w:r>
            <w:r>
              <w:rPr>
                <w:rFonts w:hint="eastAsia" w:ascii="宋体" w:hAnsi="宋体" w:cs="宋体"/>
                <w:kern w:val="0"/>
                <w:szCs w:val="21"/>
                <w:lang w:bidi="ar"/>
              </w:rPr>
              <w:t>（7） 1 个以太网接口，能够对目标 IP，目标机号，本机机号设置；</w:t>
            </w:r>
            <w:r>
              <w:rPr>
                <w:rFonts w:hint="eastAsia" w:ascii="宋体" w:hAnsi="宋体" w:cs="宋体"/>
                <w:kern w:val="0"/>
                <w:szCs w:val="21"/>
                <w:lang w:bidi="ar"/>
              </w:rPr>
              <w:br w:type="textWrapping"/>
            </w:r>
            <w:r>
              <w:rPr>
                <w:rFonts w:hint="eastAsia" w:ascii="宋体" w:hAnsi="宋体" w:cs="宋体"/>
                <w:kern w:val="0"/>
                <w:szCs w:val="21"/>
                <w:lang w:bidi="ar"/>
              </w:rPr>
              <w:t>（8） 支持查找历史记录：历史火警、历史请求/反馈、历史故障、历史操作各 1000 条。</w:t>
            </w:r>
            <w:r>
              <w:rPr>
                <w:rFonts w:hint="eastAsia" w:ascii="宋体" w:hAnsi="宋体" w:cs="宋体"/>
                <w:kern w:val="0"/>
                <w:szCs w:val="21"/>
                <w:lang w:bidi="ar"/>
              </w:rPr>
              <w:br w:type="textWrapping"/>
            </w:r>
            <w:r>
              <w:rPr>
                <w:rFonts w:hint="eastAsia" w:ascii="宋体" w:hAnsi="宋体" w:cs="宋体"/>
                <w:kern w:val="0"/>
                <w:szCs w:val="21"/>
                <w:lang w:bidi="ar"/>
              </w:rPr>
              <w:t>（9） 提供液晶显示（128x64），提供实时时钟；</w:t>
            </w:r>
            <w:r>
              <w:rPr>
                <w:rFonts w:hint="eastAsia" w:ascii="宋体" w:hAnsi="宋体" w:cs="宋体"/>
                <w:kern w:val="0"/>
                <w:szCs w:val="21"/>
                <w:lang w:bidi="ar"/>
              </w:rPr>
              <w:br w:type="textWrapping"/>
            </w:r>
            <w:r>
              <w:rPr>
                <w:rFonts w:hint="eastAsia" w:ascii="宋体" w:hAnsi="宋体" w:cs="宋体"/>
                <w:kern w:val="0"/>
                <w:szCs w:val="21"/>
                <w:lang w:bidi="ar"/>
              </w:rPr>
              <w:t>（10） 蓄电池备用供电（待机 24 小时以上）</w:t>
            </w:r>
            <w:r>
              <w:rPr>
                <w:rFonts w:hint="eastAsia" w:ascii="宋体" w:hAnsi="宋体" w:cs="宋体"/>
                <w:kern w:val="0"/>
                <w:szCs w:val="21"/>
                <w:lang w:bidi="ar"/>
              </w:rPr>
              <w:br w:type="textWrapping"/>
            </w:r>
            <w:r>
              <w:rPr>
                <w:rFonts w:hint="eastAsia" w:ascii="宋体" w:hAnsi="宋体" w:cs="宋体"/>
                <w:kern w:val="0"/>
                <w:szCs w:val="21"/>
                <w:lang w:bidi="ar"/>
              </w:rPr>
              <w:t>（11） 交流输入电压 220V 50Hz</w:t>
            </w:r>
            <w:r>
              <w:rPr>
                <w:rFonts w:hint="eastAsia" w:ascii="宋体" w:hAnsi="宋体" w:cs="宋体"/>
                <w:kern w:val="0"/>
                <w:szCs w:val="21"/>
                <w:lang w:bidi="ar"/>
              </w:rPr>
              <w:br w:type="textWrapping"/>
            </w:r>
            <w:r>
              <w:rPr>
                <w:rFonts w:hint="eastAsia" w:ascii="宋体" w:hAnsi="宋体" w:cs="宋体"/>
                <w:kern w:val="0"/>
                <w:szCs w:val="21"/>
                <w:lang w:bidi="ar"/>
              </w:rPr>
              <w:t>（12） 直流备电 12V 7Ah 铅酸电池一节</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79</w:t>
            </w:r>
          </w:p>
        </w:tc>
        <w:tc>
          <w:tcPr>
            <w:tcW w:w="879"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安防监控</w:t>
            </w: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全彩筒型变焦网络摄像机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200万 1/2.7" CMOS 全彩筒型网络摄像机</w:t>
            </w:r>
            <w:r>
              <w:rPr>
                <w:rFonts w:hint="eastAsia" w:ascii="宋体" w:hAnsi="宋体" w:cs="宋体"/>
                <w:kern w:val="0"/>
                <w:szCs w:val="21"/>
                <w:lang w:bidi="ar"/>
              </w:rPr>
              <w:br w:type="textWrapping"/>
            </w:r>
            <w:r>
              <w:rPr>
                <w:rFonts w:hint="eastAsia" w:ascii="宋体" w:hAnsi="宋体" w:cs="宋体"/>
                <w:kern w:val="0"/>
                <w:szCs w:val="21"/>
                <w:lang w:bidi="ar"/>
              </w:rPr>
              <w:t>全彩级高灵敏度传感器，F1.0超大光圈镜头，提供更清晰的视频流输入</w:t>
            </w:r>
            <w:r>
              <w:rPr>
                <w:rFonts w:hint="eastAsia" w:ascii="宋体" w:hAnsi="宋体" w:cs="宋体"/>
                <w:kern w:val="0"/>
                <w:szCs w:val="21"/>
                <w:lang w:bidi="ar"/>
              </w:rPr>
              <w:br w:type="textWrapping"/>
            </w:r>
            <w:r>
              <w:rPr>
                <w:rFonts w:hint="eastAsia" w:ascii="宋体" w:hAnsi="宋体" w:cs="宋体"/>
                <w:kern w:val="0"/>
                <w:szCs w:val="21"/>
                <w:lang w:bidi="ar"/>
              </w:rPr>
              <w:t>最低照度: 彩色：0.0005 Lux @（F1.0，AGC ON）, 0 Lux with Light</w:t>
            </w:r>
            <w:r>
              <w:rPr>
                <w:rFonts w:hint="eastAsia" w:ascii="宋体" w:hAnsi="宋体" w:cs="宋体"/>
                <w:kern w:val="0"/>
                <w:szCs w:val="21"/>
                <w:lang w:bidi="ar"/>
              </w:rPr>
              <w:br w:type="textWrapping"/>
            </w:r>
            <w:r>
              <w:rPr>
                <w:rFonts w:hint="eastAsia" w:ascii="宋体" w:hAnsi="宋体" w:cs="宋体"/>
                <w:kern w:val="0"/>
                <w:szCs w:val="21"/>
                <w:lang w:bidi="ar"/>
              </w:rPr>
              <w:t>宽动态: 120 dB</w:t>
            </w:r>
            <w:r>
              <w:rPr>
                <w:rFonts w:hint="eastAsia" w:ascii="宋体" w:hAnsi="宋体" w:cs="宋体"/>
                <w:kern w:val="0"/>
                <w:szCs w:val="21"/>
                <w:lang w:bidi="ar"/>
              </w:rPr>
              <w:br w:type="textWrapping"/>
            </w:r>
            <w:r>
              <w:rPr>
                <w:rFonts w:hint="eastAsia" w:ascii="宋体" w:hAnsi="宋体" w:cs="宋体"/>
                <w:kern w:val="0"/>
                <w:szCs w:val="21"/>
                <w:lang w:bidi="ar"/>
              </w:rPr>
              <w:t xml:space="preserve">景深范围: </w:t>
            </w:r>
            <w:r>
              <w:rPr>
                <w:rFonts w:hint="eastAsia" w:ascii="宋体" w:hAnsi="宋体" w:cs="宋体"/>
                <w:kern w:val="0"/>
                <w:szCs w:val="21"/>
                <w:lang w:bidi="ar"/>
              </w:rPr>
              <w:br w:type="textWrapping"/>
            </w:r>
            <w:r>
              <w:rPr>
                <w:rFonts w:hint="eastAsia" w:ascii="宋体" w:hAnsi="宋体" w:cs="宋体"/>
                <w:kern w:val="0"/>
                <w:szCs w:val="21"/>
                <w:lang w:bidi="ar"/>
              </w:rPr>
              <w:t>2.8 mm：1.7 m~∞</w:t>
            </w:r>
            <w:r>
              <w:rPr>
                <w:rFonts w:hint="eastAsia" w:ascii="宋体" w:hAnsi="宋体" w:cs="宋体"/>
                <w:kern w:val="0"/>
                <w:szCs w:val="21"/>
                <w:lang w:bidi="ar"/>
              </w:rPr>
              <w:br w:type="textWrapping"/>
            </w:r>
            <w:r>
              <w:rPr>
                <w:rFonts w:hint="eastAsia" w:ascii="宋体" w:hAnsi="宋体" w:cs="宋体"/>
                <w:kern w:val="0"/>
                <w:szCs w:val="21"/>
                <w:lang w:bidi="ar"/>
              </w:rPr>
              <w:t>4 mm：2.1 m~∞</w:t>
            </w:r>
            <w:r>
              <w:rPr>
                <w:rFonts w:hint="eastAsia" w:ascii="宋体" w:hAnsi="宋体" w:cs="宋体"/>
                <w:kern w:val="0"/>
                <w:szCs w:val="21"/>
                <w:lang w:bidi="ar"/>
              </w:rPr>
              <w:br w:type="textWrapping"/>
            </w:r>
            <w:r>
              <w:rPr>
                <w:rFonts w:hint="eastAsia" w:ascii="宋体" w:hAnsi="宋体" w:cs="宋体"/>
                <w:kern w:val="0"/>
                <w:szCs w:val="21"/>
                <w:lang w:bidi="ar"/>
              </w:rPr>
              <w:t xml:space="preserve">6 mm：3.5 m~∞ </w:t>
            </w:r>
            <w:r>
              <w:rPr>
                <w:rFonts w:hint="eastAsia" w:ascii="宋体" w:hAnsi="宋体" w:cs="宋体"/>
                <w:kern w:val="0"/>
                <w:szCs w:val="21"/>
                <w:lang w:bidi="ar"/>
              </w:rPr>
              <w:br w:type="textWrapping"/>
            </w:r>
            <w:r>
              <w:rPr>
                <w:rFonts w:hint="eastAsia" w:ascii="宋体" w:hAnsi="宋体" w:cs="宋体"/>
                <w:kern w:val="0"/>
                <w:szCs w:val="21"/>
                <w:lang w:bidi="ar"/>
              </w:rPr>
              <w:t xml:space="preserve">8 mm：4 m~∞ </w:t>
            </w:r>
            <w:r>
              <w:rPr>
                <w:rFonts w:hint="eastAsia" w:ascii="宋体" w:hAnsi="宋体" w:cs="宋体"/>
                <w:kern w:val="0"/>
                <w:szCs w:val="21"/>
                <w:lang w:bidi="ar"/>
              </w:rPr>
              <w:br w:type="textWrapping"/>
            </w:r>
            <w:r>
              <w:rPr>
                <w:rFonts w:hint="eastAsia" w:ascii="宋体" w:hAnsi="宋体" w:cs="宋体"/>
                <w:kern w:val="0"/>
                <w:szCs w:val="21"/>
                <w:lang w:bidi="ar"/>
              </w:rPr>
              <w:t>焦距&amp;视场角:</w:t>
            </w:r>
            <w:r>
              <w:rPr>
                <w:rFonts w:hint="eastAsia" w:ascii="宋体" w:hAnsi="宋体" w:cs="宋体"/>
                <w:kern w:val="0"/>
                <w:szCs w:val="21"/>
                <w:lang w:bidi="ar"/>
              </w:rPr>
              <w:br w:type="textWrapping"/>
            </w:r>
            <w:r>
              <w:rPr>
                <w:rFonts w:hint="eastAsia" w:ascii="宋体" w:hAnsi="宋体" w:cs="宋体"/>
                <w:kern w:val="0"/>
                <w:szCs w:val="21"/>
                <w:lang w:bidi="ar"/>
              </w:rPr>
              <w:t>2.8 mm，水平视场角：106.7°，垂直视场角：55.5°，对角线视场角：126.5°</w:t>
            </w:r>
            <w:r>
              <w:rPr>
                <w:rFonts w:hint="eastAsia" w:ascii="宋体" w:hAnsi="宋体" w:cs="宋体"/>
                <w:kern w:val="0"/>
                <w:szCs w:val="21"/>
                <w:lang w:bidi="ar"/>
              </w:rPr>
              <w:br w:type="textWrapping"/>
            </w:r>
            <w:r>
              <w:rPr>
                <w:rFonts w:hint="eastAsia" w:ascii="宋体" w:hAnsi="宋体" w:cs="宋体"/>
                <w:kern w:val="0"/>
                <w:szCs w:val="21"/>
                <w:lang w:bidi="ar"/>
              </w:rPr>
              <w:t>4 mm，水平视场角：83.6°，垂直视场角：44.6°，对角线视场角：99.1°</w:t>
            </w:r>
            <w:r>
              <w:rPr>
                <w:rFonts w:hint="eastAsia" w:ascii="宋体" w:hAnsi="宋体" w:cs="宋体"/>
                <w:kern w:val="0"/>
                <w:szCs w:val="21"/>
                <w:lang w:bidi="ar"/>
              </w:rPr>
              <w:br w:type="textWrapping"/>
            </w:r>
            <w:r>
              <w:rPr>
                <w:rFonts w:hint="eastAsia" w:ascii="宋体" w:hAnsi="宋体" w:cs="宋体"/>
                <w:kern w:val="0"/>
                <w:szCs w:val="21"/>
                <w:lang w:bidi="ar"/>
              </w:rPr>
              <w:t>6 mm，水平视场角：54.6°，垂直视场角：29.9°，对角线视场角：63.3°</w:t>
            </w:r>
            <w:r>
              <w:rPr>
                <w:rFonts w:hint="eastAsia" w:ascii="宋体" w:hAnsi="宋体" w:cs="宋体"/>
                <w:kern w:val="0"/>
                <w:szCs w:val="21"/>
                <w:lang w:bidi="ar"/>
              </w:rPr>
              <w:br w:type="textWrapping"/>
            </w:r>
            <w:r>
              <w:rPr>
                <w:rFonts w:hint="eastAsia" w:ascii="宋体" w:hAnsi="宋体" w:cs="宋体"/>
                <w:kern w:val="0"/>
                <w:szCs w:val="21"/>
                <w:lang w:bidi="ar"/>
              </w:rPr>
              <w:t>8 mm，水平视场角：42.2°，垂直视场角：23.1°，对角线视场角：49.2°</w:t>
            </w:r>
            <w:r>
              <w:rPr>
                <w:rFonts w:hint="eastAsia" w:ascii="宋体" w:hAnsi="宋体" w:cs="宋体"/>
                <w:kern w:val="0"/>
                <w:szCs w:val="21"/>
                <w:lang w:bidi="ar"/>
              </w:rPr>
              <w:br w:type="textWrapping"/>
            </w:r>
            <w:r>
              <w:rPr>
                <w:rFonts w:hint="eastAsia" w:ascii="宋体" w:hAnsi="宋体" w:cs="宋体"/>
                <w:kern w:val="0"/>
                <w:szCs w:val="21"/>
                <w:lang w:bidi="ar"/>
              </w:rPr>
              <w:t>防补光过曝: 支持</w:t>
            </w:r>
            <w:r>
              <w:rPr>
                <w:rFonts w:hint="eastAsia" w:ascii="宋体" w:hAnsi="宋体" w:cs="宋体"/>
                <w:kern w:val="0"/>
                <w:szCs w:val="21"/>
                <w:lang w:bidi="ar"/>
              </w:rPr>
              <w:br w:type="textWrapping"/>
            </w:r>
            <w:r>
              <w:rPr>
                <w:rFonts w:hint="eastAsia" w:ascii="宋体" w:hAnsi="宋体" w:cs="宋体"/>
                <w:kern w:val="0"/>
                <w:szCs w:val="21"/>
                <w:lang w:bidi="ar"/>
              </w:rPr>
              <w:t>补光灯类型: 暖白光灯</w:t>
            </w:r>
            <w:r>
              <w:rPr>
                <w:rFonts w:hint="eastAsia" w:ascii="宋体" w:hAnsi="宋体" w:cs="宋体"/>
                <w:kern w:val="0"/>
                <w:szCs w:val="21"/>
                <w:lang w:bidi="ar"/>
              </w:rPr>
              <w:br w:type="textWrapping"/>
            </w:r>
            <w:r>
              <w:rPr>
                <w:rFonts w:hint="eastAsia" w:ascii="宋体" w:hAnsi="宋体" w:cs="宋体"/>
                <w:kern w:val="0"/>
                <w:szCs w:val="21"/>
                <w:lang w:bidi="ar"/>
              </w:rPr>
              <w:t>补光距离: 最远可达30 m</w:t>
            </w:r>
            <w:r>
              <w:rPr>
                <w:rFonts w:hint="eastAsia" w:ascii="宋体" w:hAnsi="宋体" w:cs="宋体"/>
                <w:kern w:val="0"/>
                <w:szCs w:val="21"/>
                <w:lang w:bidi="ar"/>
              </w:rPr>
              <w:br w:type="textWrapping"/>
            </w:r>
            <w:r>
              <w:rPr>
                <w:rFonts w:hint="eastAsia" w:ascii="宋体" w:hAnsi="宋体" w:cs="宋体"/>
                <w:kern w:val="0"/>
                <w:szCs w:val="21"/>
                <w:lang w:bidi="ar"/>
              </w:rPr>
              <w:t>最大图像尺寸: 1920 × 1080</w:t>
            </w:r>
            <w:r>
              <w:rPr>
                <w:rFonts w:hint="eastAsia" w:ascii="宋体" w:hAnsi="宋体" w:cs="宋体"/>
                <w:kern w:val="0"/>
                <w:szCs w:val="21"/>
                <w:lang w:bidi="ar"/>
              </w:rPr>
              <w:br w:type="textWrapping"/>
            </w:r>
            <w:r>
              <w:rPr>
                <w:rFonts w:hint="eastAsia" w:ascii="宋体" w:hAnsi="宋体" w:cs="宋体"/>
                <w:kern w:val="0"/>
                <w:szCs w:val="21"/>
                <w:lang w:bidi="ar"/>
              </w:rPr>
              <w:t>视频压缩标准: 主码流：H.265/H.264</w:t>
            </w:r>
            <w:r>
              <w:rPr>
                <w:rFonts w:hint="eastAsia" w:ascii="宋体" w:hAnsi="宋体" w:cs="宋体"/>
                <w:kern w:val="0"/>
                <w:szCs w:val="21"/>
                <w:lang w:bidi="ar"/>
              </w:rPr>
              <w:br w:type="textWrapping"/>
            </w:r>
            <w:r>
              <w:rPr>
                <w:rFonts w:hint="eastAsia" w:ascii="宋体" w:hAnsi="宋体" w:cs="宋体"/>
                <w:kern w:val="0"/>
                <w:szCs w:val="21"/>
                <w:lang w:bidi="ar"/>
              </w:rPr>
              <w:t>网络存储: 支持NAS（NFS，SMB/CIFS均支持），支持Micro SD(即TF卡)/Micro SDHC/Micro SDXC卡（最大256 GB），断网本地录像存储及断网续传，支持SD卡加密及SD卡状态检测</w:t>
            </w:r>
            <w:r>
              <w:rPr>
                <w:rFonts w:hint="eastAsia" w:ascii="宋体" w:hAnsi="宋体" w:cs="宋体"/>
                <w:kern w:val="0"/>
                <w:szCs w:val="21"/>
                <w:lang w:bidi="ar"/>
              </w:rPr>
              <w:br w:type="textWrapping"/>
            </w:r>
            <w:r>
              <w:rPr>
                <w:rFonts w:hint="eastAsia" w:ascii="宋体" w:hAnsi="宋体" w:cs="宋体"/>
                <w:kern w:val="0"/>
                <w:szCs w:val="21"/>
                <w:lang w:bidi="ar"/>
              </w:rPr>
              <w:t>报警: 1路输入，1路输出，三极管（最大支持DC12 V，20 mA）</w:t>
            </w:r>
            <w:r>
              <w:rPr>
                <w:rFonts w:hint="eastAsia" w:ascii="宋体" w:hAnsi="宋体" w:cs="宋体"/>
                <w:kern w:val="0"/>
                <w:szCs w:val="21"/>
                <w:lang w:bidi="ar"/>
              </w:rPr>
              <w:br w:type="textWrapping"/>
            </w:r>
            <w:r>
              <w:rPr>
                <w:rFonts w:hint="eastAsia" w:ascii="宋体" w:hAnsi="宋体" w:cs="宋体"/>
                <w:kern w:val="0"/>
                <w:szCs w:val="21"/>
                <w:lang w:bidi="ar"/>
              </w:rPr>
              <w:t>音频: 1个内置麦克风; 1路音频输入（Line in），1路音频输出（Line out）</w:t>
            </w:r>
            <w:r>
              <w:rPr>
                <w:rFonts w:hint="eastAsia" w:ascii="宋体" w:hAnsi="宋体" w:cs="宋体"/>
                <w:kern w:val="0"/>
                <w:szCs w:val="21"/>
                <w:lang w:bidi="ar"/>
              </w:rPr>
              <w:br w:type="textWrapping"/>
            </w:r>
            <w:r>
              <w:rPr>
                <w:rFonts w:hint="eastAsia" w:ascii="宋体" w:hAnsi="宋体" w:cs="宋体"/>
                <w:kern w:val="0"/>
                <w:szCs w:val="21"/>
                <w:lang w:bidi="ar"/>
              </w:rPr>
              <w:t>复位: 支持</w:t>
            </w:r>
            <w:r>
              <w:rPr>
                <w:rFonts w:hint="eastAsia" w:ascii="宋体" w:hAnsi="宋体" w:cs="宋体"/>
                <w:kern w:val="0"/>
                <w:szCs w:val="21"/>
                <w:lang w:bidi="ar"/>
              </w:rPr>
              <w:br w:type="textWrapping"/>
            </w:r>
            <w:r>
              <w:rPr>
                <w:rFonts w:hint="eastAsia" w:ascii="宋体" w:hAnsi="宋体" w:cs="宋体"/>
                <w:kern w:val="0"/>
                <w:szCs w:val="21"/>
                <w:lang w:bidi="ar"/>
              </w:rPr>
              <w:t>网络: 1个RJ45 10 M/100 M自适应以太网口</w:t>
            </w:r>
            <w:r>
              <w:rPr>
                <w:rFonts w:hint="eastAsia" w:ascii="宋体" w:hAnsi="宋体" w:cs="宋体"/>
                <w:kern w:val="0"/>
                <w:szCs w:val="21"/>
                <w:lang w:bidi="ar"/>
              </w:rPr>
              <w:br w:type="textWrapping"/>
            </w:r>
            <w:r>
              <w:rPr>
                <w:rFonts w:hint="eastAsia" w:ascii="宋体" w:hAnsi="宋体" w:cs="宋体"/>
                <w:kern w:val="0"/>
                <w:szCs w:val="21"/>
                <w:lang w:bidi="ar"/>
              </w:rPr>
              <w:t>电源输出: DC12 V，100 mA，建议用于拾音器供电</w:t>
            </w:r>
            <w:r>
              <w:rPr>
                <w:rFonts w:hint="eastAsia" w:ascii="宋体" w:hAnsi="宋体" w:cs="宋体"/>
                <w:kern w:val="0"/>
                <w:szCs w:val="21"/>
                <w:lang w:bidi="ar"/>
              </w:rPr>
              <w:br w:type="textWrapping"/>
            </w:r>
            <w:r>
              <w:rPr>
                <w:rFonts w:hint="eastAsia" w:ascii="宋体" w:hAnsi="宋体" w:cs="宋体"/>
                <w:kern w:val="0"/>
                <w:szCs w:val="21"/>
                <w:lang w:bidi="ar"/>
              </w:rPr>
              <w:t xml:space="preserve">启动及工作温湿度: -30 ℃~60 ℃，湿度小于95%（无凝结） </w:t>
            </w:r>
            <w:r>
              <w:rPr>
                <w:rFonts w:hint="eastAsia" w:ascii="宋体" w:hAnsi="宋体" w:cs="宋体"/>
                <w:kern w:val="0"/>
                <w:szCs w:val="21"/>
                <w:lang w:bidi="ar"/>
              </w:rPr>
              <w:br w:type="textWrapping"/>
            </w:r>
            <w:r>
              <w:rPr>
                <w:rFonts w:hint="eastAsia" w:ascii="宋体" w:hAnsi="宋体" w:cs="宋体"/>
                <w:kern w:val="0"/>
                <w:szCs w:val="21"/>
                <w:lang w:bidi="ar"/>
              </w:rPr>
              <w:t xml:space="preserve">供电方式 DC：12 V ± 25%，支持防反接保护; PoE：802.3af，Class 3 </w:t>
            </w:r>
            <w:r>
              <w:rPr>
                <w:rFonts w:hint="eastAsia" w:ascii="宋体" w:hAnsi="宋体" w:cs="宋体"/>
                <w:kern w:val="0"/>
                <w:szCs w:val="21"/>
                <w:lang w:bidi="ar"/>
              </w:rPr>
              <w:br w:type="textWrapping"/>
            </w:r>
            <w:r>
              <w:rPr>
                <w:rFonts w:hint="eastAsia" w:ascii="宋体" w:hAnsi="宋体" w:cs="宋体"/>
                <w:kern w:val="0"/>
                <w:szCs w:val="21"/>
                <w:lang w:bidi="ar"/>
              </w:rPr>
              <w:t xml:space="preserve">电流及功耗:  DC：12 V，0.56 A，最大功耗：6.8 W ; PoE：802.3af，36 V~57 V，0.22 A~0.14 A，最大功耗：8.0 W </w:t>
            </w:r>
            <w:r>
              <w:rPr>
                <w:rFonts w:hint="eastAsia" w:ascii="宋体" w:hAnsi="宋体" w:cs="宋体"/>
                <w:kern w:val="0"/>
                <w:szCs w:val="21"/>
                <w:lang w:bidi="ar"/>
              </w:rPr>
              <w:br w:type="textWrapping"/>
            </w:r>
            <w:r>
              <w:rPr>
                <w:rFonts w:hint="eastAsia" w:ascii="宋体" w:hAnsi="宋体" w:cs="宋体"/>
                <w:kern w:val="0"/>
                <w:szCs w:val="21"/>
                <w:lang w:bidi="ar"/>
              </w:rPr>
              <w:t>防护: IP66</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6 </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80</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筒机支架</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壁装支架/白/铝合金</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3 </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81</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摄像机电源</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12DC/10A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82</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摄像机 立竿</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3.5m，厚度3mm镀锌钢管，烤漆色结合景观；带横杆、地笼、2~3头枪机横臂；顶部带有防雨球。</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83</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室外监控箱</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800*600*400， 含电源空开、电源避雷器、光纤盒、光纤接头等附件</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84</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硬盘录像机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 xml:space="preserve">硬件规格： </w:t>
            </w:r>
            <w:r>
              <w:rPr>
                <w:rFonts w:hint="eastAsia" w:ascii="宋体" w:hAnsi="宋体" w:cs="宋体"/>
                <w:kern w:val="0"/>
                <w:szCs w:val="21"/>
                <w:lang w:bidi="ar"/>
              </w:rPr>
              <w:br w:type="textWrapping"/>
            </w:r>
            <w:r>
              <w:rPr>
                <w:rFonts w:hint="eastAsia" w:ascii="宋体" w:hAnsi="宋体" w:cs="宋体"/>
                <w:kern w:val="0"/>
                <w:szCs w:val="21"/>
                <w:lang w:bidi="ar"/>
              </w:rPr>
              <w:t xml:space="preserve">1.5U标准机架式 </w:t>
            </w:r>
            <w:r>
              <w:rPr>
                <w:rFonts w:hint="eastAsia" w:ascii="宋体" w:hAnsi="宋体" w:cs="宋体"/>
                <w:kern w:val="0"/>
                <w:szCs w:val="21"/>
                <w:lang w:bidi="ar"/>
              </w:rPr>
              <w:br w:type="textWrapping"/>
            </w:r>
            <w:r>
              <w:rPr>
                <w:rFonts w:hint="eastAsia" w:ascii="宋体" w:hAnsi="宋体" w:cs="宋体"/>
                <w:kern w:val="0"/>
                <w:szCs w:val="21"/>
                <w:lang w:bidi="ar"/>
              </w:rPr>
              <w:t xml:space="preserve">1个HDMI，1个VGA，异源输出 </w:t>
            </w:r>
            <w:r>
              <w:rPr>
                <w:rFonts w:hint="eastAsia" w:ascii="宋体" w:hAnsi="宋体" w:cs="宋体"/>
                <w:kern w:val="0"/>
                <w:szCs w:val="21"/>
                <w:lang w:bidi="ar"/>
              </w:rPr>
              <w:br w:type="textWrapping"/>
            </w:r>
            <w:r>
              <w:rPr>
                <w:rFonts w:hint="eastAsia" w:ascii="宋体" w:hAnsi="宋体" w:cs="宋体"/>
                <w:kern w:val="0"/>
                <w:szCs w:val="21"/>
                <w:lang w:bidi="ar"/>
              </w:rPr>
              <w:t xml:space="preserve">4盘位，可满配6TB硬盘  </w:t>
            </w:r>
            <w:r>
              <w:rPr>
                <w:rFonts w:hint="eastAsia" w:ascii="宋体" w:hAnsi="宋体" w:cs="宋体"/>
                <w:kern w:val="0"/>
                <w:szCs w:val="21"/>
                <w:lang w:bidi="ar"/>
              </w:rPr>
              <w:br w:type="textWrapping"/>
            </w:r>
            <w:r>
              <w:rPr>
                <w:rFonts w:hint="eastAsia" w:ascii="宋体" w:hAnsi="宋体" w:cs="宋体"/>
                <w:kern w:val="0"/>
                <w:szCs w:val="21"/>
                <w:lang w:bidi="ar"/>
              </w:rPr>
              <w:t xml:space="preserve">2个千兆网口 </w:t>
            </w:r>
            <w:r>
              <w:rPr>
                <w:rFonts w:hint="eastAsia" w:ascii="宋体" w:hAnsi="宋体" w:cs="宋体"/>
                <w:kern w:val="0"/>
                <w:szCs w:val="21"/>
                <w:lang w:bidi="ar"/>
              </w:rPr>
              <w:br w:type="textWrapping"/>
            </w:r>
            <w:r>
              <w:rPr>
                <w:rFonts w:hint="eastAsia" w:ascii="宋体" w:hAnsi="宋体" w:cs="宋体"/>
                <w:kern w:val="0"/>
                <w:szCs w:val="21"/>
                <w:lang w:bidi="ar"/>
              </w:rPr>
              <w:t xml:space="preserve">2个USB2.0接口、1个USB3.0接口 </w:t>
            </w:r>
            <w:r>
              <w:rPr>
                <w:rFonts w:hint="eastAsia" w:ascii="宋体" w:hAnsi="宋体" w:cs="宋体"/>
                <w:kern w:val="0"/>
                <w:szCs w:val="21"/>
                <w:lang w:bidi="ar"/>
              </w:rPr>
              <w:br w:type="textWrapping"/>
            </w:r>
            <w:r>
              <w:rPr>
                <w:rFonts w:hint="eastAsia" w:ascii="宋体" w:hAnsi="宋体" w:cs="宋体"/>
                <w:kern w:val="0"/>
                <w:szCs w:val="21"/>
                <w:lang w:bidi="ar"/>
              </w:rPr>
              <w:t xml:space="preserve">选配：1个eSATA接口 </w:t>
            </w:r>
            <w:r>
              <w:rPr>
                <w:rFonts w:hint="eastAsia" w:ascii="宋体" w:hAnsi="宋体" w:cs="宋体"/>
                <w:kern w:val="0"/>
                <w:szCs w:val="21"/>
                <w:lang w:bidi="ar"/>
              </w:rPr>
              <w:br w:type="textWrapping"/>
            </w:r>
            <w:r>
              <w:rPr>
                <w:rFonts w:hint="eastAsia" w:ascii="宋体" w:hAnsi="宋体" w:cs="宋体"/>
                <w:kern w:val="0"/>
                <w:szCs w:val="21"/>
                <w:lang w:bidi="ar"/>
              </w:rPr>
              <w:t xml:space="preserve">报警IO：16进4路（可选配8出） </w:t>
            </w:r>
            <w:r>
              <w:rPr>
                <w:rFonts w:hint="eastAsia" w:ascii="宋体" w:hAnsi="宋体" w:cs="宋体"/>
                <w:kern w:val="0"/>
                <w:szCs w:val="21"/>
                <w:lang w:bidi="ar"/>
              </w:rPr>
              <w:br w:type="textWrapping"/>
            </w:r>
            <w:r>
              <w:rPr>
                <w:rFonts w:hint="eastAsia" w:ascii="宋体" w:hAnsi="宋体" w:cs="宋体"/>
                <w:kern w:val="0"/>
                <w:szCs w:val="21"/>
                <w:lang w:bidi="ar"/>
              </w:rPr>
              <w:t xml:space="preserve"> </w:t>
            </w:r>
            <w:r>
              <w:rPr>
                <w:rFonts w:hint="eastAsia" w:ascii="宋体" w:hAnsi="宋体" w:cs="宋体"/>
                <w:kern w:val="0"/>
                <w:szCs w:val="21"/>
                <w:lang w:bidi="ar"/>
              </w:rPr>
              <w:br w:type="textWrapping"/>
            </w:r>
            <w:r>
              <w:rPr>
                <w:rFonts w:hint="eastAsia" w:ascii="宋体" w:hAnsi="宋体" w:cs="宋体"/>
                <w:kern w:val="0"/>
                <w:szCs w:val="21"/>
                <w:lang w:bidi="ar"/>
              </w:rPr>
              <w:t xml:space="preserve">软件性能： </w:t>
            </w:r>
            <w:r>
              <w:rPr>
                <w:rFonts w:hint="eastAsia" w:ascii="宋体" w:hAnsi="宋体" w:cs="宋体"/>
                <w:kern w:val="0"/>
                <w:szCs w:val="21"/>
                <w:lang w:bidi="ar"/>
              </w:rPr>
              <w:br w:type="textWrapping"/>
            </w:r>
            <w:r>
              <w:rPr>
                <w:rFonts w:hint="eastAsia" w:ascii="宋体" w:hAnsi="宋体" w:cs="宋体"/>
                <w:kern w:val="0"/>
                <w:szCs w:val="21"/>
                <w:lang w:bidi="ar"/>
              </w:rPr>
              <w:t xml:space="preserve">输入带宽：160M </w:t>
            </w:r>
            <w:r>
              <w:rPr>
                <w:rFonts w:hint="eastAsia" w:ascii="宋体" w:hAnsi="宋体" w:cs="宋体"/>
                <w:kern w:val="0"/>
                <w:szCs w:val="21"/>
                <w:lang w:bidi="ar"/>
              </w:rPr>
              <w:br w:type="textWrapping"/>
            </w:r>
            <w:r>
              <w:rPr>
                <w:rFonts w:hint="eastAsia" w:ascii="宋体" w:hAnsi="宋体" w:cs="宋体"/>
                <w:kern w:val="0"/>
                <w:szCs w:val="21"/>
                <w:lang w:bidi="ar"/>
              </w:rPr>
              <w:t xml:space="preserve">16路H.264、H.265接入 </w:t>
            </w:r>
            <w:r>
              <w:rPr>
                <w:rFonts w:hint="eastAsia" w:ascii="宋体" w:hAnsi="宋体" w:cs="宋体"/>
                <w:kern w:val="0"/>
                <w:szCs w:val="21"/>
                <w:lang w:bidi="ar"/>
              </w:rPr>
              <w:br w:type="textWrapping"/>
            </w:r>
            <w:r>
              <w:rPr>
                <w:rFonts w:hint="eastAsia" w:ascii="宋体" w:hAnsi="宋体" w:cs="宋体"/>
                <w:kern w:val="0"/>
                <w:szCs w:val="21"/>
                <w:lang w:bidi="ar"/>
              </w:rPr>
              <w:t xml:space="preserve">最大支持8×1080P解码 </w:t>
            </w:r>
            <w:r>
              <w:rPr>
                <w:rFonts w:hint="eastAsia" w:ascii="宋体" w:hAnsi="宋体" w:cs="宋体"/>
                <w:kern w:val="0"/>
                <w:szCs w:val="21"/>
                <w:lang w:bidi="ar"/>
              </w:rPr>
              <w:br w:type="textWrapping"/>
            </w:r>
            <w:r>
              <w:rPr>
                <w:rFonts w:hint="eastAsia" w:ascii="宋体" w:hAnsi="宋体" w:cs="宋体"/>
                <w:kern w:val="0"/>
                <w:szCs w:val="21"/>
                <w:lang w:bidi="ar"/>
              </w:rPr>
              <w:t xml:space="preserve">支持H.264、H.265解码 </w:t>
            </w:r>
            <w:r>
              <w:rPr>
                <w:rFonts w:hint="eastAsia" w:ascii="宋体" w:hAnsi="宋体" w:cs="宋体"/>
                <w:kern w:val="0"/>
                <w:szCs w:val="21"/>
                <w:lang w:bidi="ar"/>
              </w:rPr>
              <w:br w:type="textWrapping"/>
            </w:r>
            <w:r>
              <w:rPr>
                <w:rFonts w:hint="eastAsia" w:ascii="宋体" w:hAnsi="宋体" w:cs="宋体"/>
                <w:kern w:val="0"/>
                <w:szCs w:val="21"/>
                <w:lang w:bidi="ar"/>
              </w:rPr>
              <w:t>Smart 2.0/整机热备/ANR/智能检索/智能回放/车牌检索/人脸检索/热度图/客流量统计/分时段回放/超高倍速回放/双系统备份</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海康威视、三星、英飞拓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85</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硬盘</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4TB/64MB(6Gb/秒 NCQ)/5900RPM/SATA3</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希捷、西数、东芝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86</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工控主机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处理器I5 7200U双核四线程,内存8G,硬盘128G显示芯片：集成显卡，2*千兆网卡，分辨率1*VGA 1*HDMI ,4*USB3.0,支持来电开机，RS232/422/485串口*2。</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新创云、研华、研凌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87</w:t>
            </w:r>
          </w:p>
        </w:tc>
        <w:tc>
          <w:tcPr>
            <w:tcW w:w="879" w:type="dxa"/>
            <w:vMerge w:val="continue"/>
            <w:shd w:val="clear" w:color="auto" w:fill="auto"/>
            <w:vAlign w:val="center"/>
          </w:tcPr>
          <w:p>
            <w:pPr>
              <w:jc w:val="center"/>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PDU插座</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防雷8插位带线1.8米10A</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公牛、绿联、良工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88</w:t>
            </w:r>
          </w:p>
        </w:tc>
        <w:tc>
          <w:tcPr>
            <w:tcW w:w="879" w:type="dxa"/>
            <w:vMerge w:val="restart"/>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24口千兆接入交换机</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交换容量 ≥336Gbps，转发性能 ≥50Mpps，官网双指标的以最小的为准；固化Console管理端口≥1个，千兆电口≥24个，千兆非复用光口≥4个；MAC地址数≥16K，支持横向虚拟化</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89</w:t>
            </w:r>
          </w:p>
        </w:tc>
        <w:tc>
          <w:tcPr>
            <w:tcW w:w="879" w:type="dxa"/>
            <w:vMerge w:val="continue"/>
            <w:shd w:val="clear" w:color="auto" w:fill="auto"/>
            <w:vAlign w:val="center"/>
          </w:tcPr>
          <w:p>
            <w:pPr>
              <w:jc w:val="left"/>
              <w:rPr>
                <w:rFonts w:ascii="宋体" w:hAnsi="宋体" w:cs="宋体"/>
                <w:szCs w:val="21"/>
              </w:rPr>
            </w:pPr>
          </w:p>
        </w:tc>
        <w:tc>
          <w:tcPr>
            <w:tcW w:w="792"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路由器及网络宽带</w:t>
            </w:r>
          </w:p>
        </w:tc>
        <w:tc>
          <w:tcPr>
            <w:tcW w:w="6095"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转发性能9Mpps，内存4GB，配置8*GE Combo端口，双电源，含1条100M无IP宽带2年</w:t>
            </w:r>
          </w:p>
        </w:tc>
        <w:tc>
          <w:tcPr>
            <w:tcW w:w="54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批</w:t>
            </w:r>
          </w:p>
        </w:tc>
        <w:tc>
          <w:tcPr>
            <w:tcW w:w="435"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90</w:t>
            </w:r>
          </w:p>
        </w:tc>
        <w:tc>
          <w:tcPr>
            <w:tcW w:w="1671" w:type="dxa"/>
            <w:gridSpan w:val="2"/>
            <w:shd w:val="clear" w:color="auto" w:fill="auto"/>
            <w:vAlign w:val="center"/>
          </w:tcPr>
          <w:p>
            <w:pPr>
              <w:jc w:val="center"/>
              <w:rPr>
                <w:rFonts w:ascii="宋体" w:hAnsi="宋体" w:cs="宋体"/>
                <w:szCs w:val="21"/>
              </w:rPr>
            </w:pPr>
            <w:r>
              <w:rPr>
                <w:rFonts w:hint="eastAsia" w:ascii="宋体" w:hAnsi="宋体" w:cs="宋体"/>
                <w:kern w:val="0"/>
                <w:szCs w:val="21"/>
                <w:lang w:bidi="ar"/>
              </w:rPr>
              <w:t>安装调试施工</w:t>
            </w:r>
          </w:p>
        </w:tc>
        <w:tc>
          <w:tcPr>
            <w:tcW w:w="6095" w:type="dxa"/>
            <w:shd w:val="clear" w:color="auto" w:fill="auto"/>
            <w:vAlign w:val="center"/>
          </w:tcPr>
          <w:p>
            <w:pPr>
              <w:jc w:val="center"/>
              <w:rPr>
                <w:rFonts w:ascii="宋体" w:hAnsi="宋体" w:cs="宋体"/>
                <w:szCs w:val="21"/>
              </w:rPr>
            </w:pPr>
            <w:r>
              <w:rPr>
                <w:rFonts w:hint="eastAsia" w:ascii="宋体" w:hAnsi="宋体" w:cs="宋体"/>
                <w:szCs w:val="21"/>
              </w:rPr>
              <w:t>含</w:t>
            </w:r>
            <w:r>
              <w:rPr>
                <w:rFonts w:hint="eastAsia" w:ascii="宋体" w:hAnsi="宋体" w:cs="宋体"/>
                <w:kern w:val="0"/>
                <w:szCs w:val="21"/>
                <w:lang w:bidi="ar"/>
              </w:rPr>
              <w:t>安装调试施工管线材料、辅材</w:t>
            </w:r>
          </w:p>
        </w:tc>
        <w:tc>
          <w:tcPr>
            <w:tcW w:w="545" w:type="dxa"/>
            <w:shd w:val="clear" w:color="auto" w:fill="auto"/>
            <w:vAlign w:val="center"/>
          </w:tcPr>
          <w:p>
            <w:pPr>
              <w:jc w:val="center"/>
              <w:rPr>
                <w:rFonts w:ascii="宋体" w:hAnsi="宋体" w:cs="宋体"/>
                <w:szCs w:val="21"/>
              </w:rPr>
            </w:pPr>
            <w:r>
              <w:rPr>
                <w:rFonts w:hint="eastAsia" w:ascii="宋体" w:hAnsi="宋体" w:cs="宋体"/>
                <w:szCs w:val="21"/>
              </w:rPr>
              <w:t>项</w:t>
            </w:r>
          </w:p>
        </w:tc>
        <w:tc>
          <w:tcPr>
            <w:tcW w:w="435"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877" w:type="dxa"/>
            <w:shd w:val="clear" w:color="auto" w:fill="auto"/>
            <w:vAlign w:val="center"/>
          </w:tcPr>
          <w:p>
            <w:pPr>
              <w:widowControl/>
              <w:jc w:val="center"/>
              <w:textAlignment w:val="center"/>
              <w:rPr>
                <w:rFonts w:ascii="宋体" w:hAnsi="宋体" w:cs="宋体"/>
                <w:szCs w:val="21"/>
              </w:rPr>
            </w:pPr>
            <w:r>
              <w:rPr>
                <w:rFonts w:hint="eastAsia" w:ascii="宋体" w:hAnsi="宋体" w:cs="宋体"/>
                <w:color w:val="000000"/>
                <w:szCs w:val="21"/>
              </w:rPr>
              <w:t>定制</w:t>
            </w:r>
          </w:p>
        </w:tc>
      </w:tr>
    </w:tbl>
    <w:p>
      <w:pPr>
        <w:rPr>
          <w:rFonts w:hAnsi="宋体" w:cs="宋体"/>
        </w:rPr>
      </w:pPr>
    </w:p>
    <w:p>
      <w:r>
        <w:rPr>
          <w:rFonts w:hint="eastAsia"/>
        </w:rPr>
        <w:br w:type="page"/>
      </w:r>
    </w:p>
    <w:p>
      <w:pPr>
        <w:pStyle w:val="7"/>
      </w:pPr>
      <w:r>
        <w:rPr>
          <w:rFonts w:hint="eastAsia"/>
        </w:rPr>
        <w:t>14、宣传数字化建设</w:t>
      </w:r>
    </w:p>
    <w:tbl>
      <w:tblPr>
        <w:tblStyle w:val="50"/>
        <w:tblW w:w="9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732"/>
        <w:gridCol w:w="1039"/>
        <w:gridCol w:w="5204"/>
        <w:gridCol w:w="557"/>
        <w:gridCol w:w="732"/>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序号</w:t>
            </w:r>
          </w:p>
        </w:tc>
        <w:tc>
          <w:tcPr>
            <w:tcW w:w="732"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功能点及场景</w:t>
            </w:r>
          </w:p>
        </w:tc>
        <w:tc>
          <w:tcPr>
            <w:tcW w:w="1039"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硬件名称</w:t>
            </w:r>
          </w:p>
        </w:tc>
        <w:tc>
          <w:tcPr>
            <w:tcW w:w="5204"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功能参数</w:t>
            </w:r>
          </w:p>
        </w:tc>
        <w:tc>
          <w:tcPr>
            <w:tcW w:w="557"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单位</w:t>
            </w:r>
          </w:p>
        </w:tc>
        <w:tc>
          <w:tcPr>
            <w:tcW w:w="732"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数量</w:t>
            </w:r>
          </w:p>
        </w:tc>
        <w:tc>
          <w:tcPr>
            <w:tcW w:w="1199" w:type="dxa"/>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推荐品牌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732" w:type="dxa"/>
            <w:vMerge w:val="restart"/>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用于小区的文化宣传场景</w:t>
            </w: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22寸壁挂显控一体机</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显示参数：21.5 inch，1920×1080@60Hz，≥250cd/m2，操作系统：Android 8.1，CPU：Cortex-A17，4核，主频1.8 GHz，存储参数：内存2G,内置存储16G，网络：有线、无线WIFI、蓝牙4.0，接口，LAN × 1，USB 2.0 × 2, TF Card × 1，AUDIO OUT× 1，电源：100~240VAC 50/60 ± 3Hz*出货自带壁挂支架 横竖挂兼容</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51</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管理服务器</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4114(10核2.2GHz)×1/32G DDR4/1TB 7.2K  SATA×2/SAS_HBA/1GbE×2/550W(1+1)/2U/16DIMM</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管理终端</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6核 4.40 GHz/内存8GB/128GB SATA SSD + 1TB SATA HDD/23.8英寸显示器/2G独显</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199"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华为、联想、清华同方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户外信息屏</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立柜信息发布屏</w:t>
            </w:r>
            <w:r>
              <w:rPr>
                <w:rFonts w:hint="eastAsia" w:ascii="宋体" w:hAnsi="宋体" w:cs="宋体"/>
                <w:kern w:val="0"/>
                <w:szCs w:val="21"/>
                <w:lang w:bidi="ar"/>
              </w:rPr>
              <w:br w:type="textWrapping"/>
            </w:r>
            <w:r>
              <w:rPr>
                <w:rFonts w:hint="eastAsia" w:ascii="宋体" w:hAnsi="宋体" w:cs="宋体"/>
                <w:kern w:val="0"/>
                <w:szCs w:val="21"/>
                <w:lang w:bidi="ar"/>
              </w:rPr>
              <w:t>显示参数：86 inch，3840*2160@60Hz，2000nit</w:t>
            </w:r>
            <w:r>
              <w:rPr>
                <w:rFonts w:hint="eastAsia" w:ascii="宋体" w:hAnsi="宋体" w:cs="宋体"/>
                <w:kern w:val="0"/>
                <w:szCs w:val="21"/>
                <w:lang w:bidi="ar"/>
              </w:rPr>
              <w:br w:type="textWrapping"/>
            </w:r>
            <w:r>
              <w:rPr>
                <w:rFonts w:hint="eastAsia" w:ascii="宋体" w:hAnsi="宋体" w:cs="宋体"/>
                <w:kern w:val="0"/>
                <w:szCs w:val="21"/>
                <w:lang w:bidi="ar"/>
              </w:rPr>
              <w:t>安卓版卡RK3288（4G联网）</w:t>
            </w:r>
            <w:r>
              <w:rPr>
                <w:rFonts w:hint="eastAsia" w:ascii="宋体" w:hAnsi="宋体" w:cs="宋体"/>
                <w:kern w:val="0"/>
                <w:szCs w:val="21"/>
                <w:lang w:bidi="ar"/>
              </w:rPr>
              <w:br w:type="textWrapping"/>
            </w:r>
            <w:r>
              <w:rPr>
                <w:rFonts w:hint="eastAsia" w:ascii="宋体" w:hAnsi="宋体" w:cs="宋体"/>
                <w:kern w:val="0"/>
                <w:szCs w:val="21"/>
                <w:lang w:bidi="ar"/>
              </w:rPr>
              <w:t xml:space="preserve">存储参数：内存2G，内置存储：8GB </w:t>
            </w:r>
            <w:r>
              <w:rPr>
                <w:rFonts w:hint="eastAsia" w:ascii="宋体" w:hAnsi="宋体" w:cs="宋体"/>
                <w:kern w:val="0"/>
                <w:szCs w:val="21"/>
                <w:lang w:bidi="ar"/>
              </w:rPr>
              <w:br w:type="textWrapping"/>
            </w:r>
            <w:r>
              <w:rPr>
                <w:rFonts w:hint="eastAsia" w:ascii="宋体" w:hAnsi="宋体" w:cs="宋体"/>
                <w:kern w:val="0"/>
                <w:szCs w:val="21"/>
                <w:lang w:bidi="ar"/>
              </w:rPr>
              <w:t>工业级电源、广播音柱、三级防雷</w:t>
            </w:r>
            <w:r>
              <w:rPr>
                <w:rFonts w:hint="eastAsia" w:ascii="宋体" w:hAnsi="宋体" w:cs="宋体"/>
                <w:kern w:val="0"/>
                <w:szCs w:val="21"/>
                <w:lang w:bidi="ar"/>
              </w:rPr>
              <w:br w:type="textWrapping"/>
            </w:r>
            <w:r>
              <w:rPr>
                <w:rFonts w:hint="eastAsia" w:ascii="宋体" w:hAnsi="宋体" w:cs="宋体"/>
                <w:kern w:val="0"/>
                <w:szCs w:val="21"/>
                <w:lang w:bidi="ar"/>
              </w:rPr>
              <w:t>外壳1.5mm钢板，满足IP55防护等级，采用6mmAR玻璃</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户外led屏</w:t>
            </w:r>
          </w:p>
        </w:tc>
        <w:tc>
          <w:tcPr>
            <w:tcW w:w="520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1、结构说明：像素点采用1红1蓝1绿三合一；</w:t>
            </w:r>
            <w:r>
              <w:rPr>
                <w:rFonts w:hint="eastAsia" w:ascii="宋体" w:hAnsi="宋体" w:cs="宋体"/>
                <w:kern w:val="0"/>
                <w:szCs w:val="21"/>
                <w:lang w:bidi="ar"/>
              </w:rPr>
              <w:br w:type="textWrapping"/>
            </w:r>
            <w:r>
              <w:rPr>
                <w:rFonts w:hint="eastAsia" w:ascii="宋体" w:hAnsi="宋体" w:cs="宋体"/>
                <w:kern w:val="0"/>
                <w:szCs w:val="21"/>
                <w:lang w:bidi="ar"/>
              </w:rPr>
              <w:t>2、P4户外全彩屏-1R1G1B-SMD2525，基色为SMD全彩。</w:t>
            </w:r>
            <w:r>
              <w:rPr>
                <w:rFonts w:hint="eastAsia" w:ascii="宋体" w:hAnsi="宋体" w:cs="宋体"/>
                <w:kern w:val="0"/>
                <w:szCs w:val="21"/>
                <w:lang w:bidi="ar"/>
              </w:rPr>
              <w:br w:type="textWrapping"/>
            </w:r>
            <w:r>
              <w:rPr>
                <w:rFonts w:hint="eastAsia" w:ascii="宋体" w:hAnsi="宋体" w:cs="宋体"/>
                <w:kern w:val="0"/>
                <w:szCs w:val="21"/>
                <w:lang w:bidi="ar"/>
              </w:rPr>
              <w:t>3、模组尺寸：320mm*160mm，模组分辨率80点×40点；</w:t>
            </w:r>
            <w:r>
              <w:rPr>
                <w:rFonts w:hint="eastAsia" w:ascii="宋体" w:hAnsi="宋体" w:cs="宋体"/>
                <w:kern w:val="0"/>
                <w:szCs w:val="21"/>
                <w:lang w:bidi="ar"/>
              </w:rPr>
              <w:br w:type="textWrapping"/>
            </w:r>
            <w:r>
              <w:rPr>
                <w:rFonts w:hint="eastAsia" w:ascii="宋体" w:hAnsi="宋体" w:cs="宋体"/>
                <w:kern w:val="0"/>
                <w:szCs w:val="21"/>
                <w:lang w:bidi="ar"/>
              </w:rPr>
              <w:t>4、驱动器件：采用动态行驱动芯片，具有支持亮度调节功能</w:t>
            </w:r>
            <w:r>
              <w:rPr>
                <w:rFonts w:hint="eastAsia" w:ascii="宋体" w:hAnsi="宋体" w:cs="宋体"/>
                <w:kern w:val="0"/>
                <w:szCs w:val="21"/>
                <w:lang w:bidi="ar"/>
              </w:rPr>
              <w:br w:type="textWrapping"/>
            </w:r>
            <w:r>
              <w:rPr>
                <w:rFonts w:hint="eastAsia" w:ascii="宋体" w:hAnsi="宋体" w:cs="宋体"/>
                <w:kern w:val="0"/>
                <w:szCs w:val="21"/>
                <w:lang w:bidi="ar"/>
              </w:rPr>
              <w:t>5、工作电压：在4.5VDC能正常工作</w:t>
            </w:r>
            <w:r>
              <w:rPr>
                <w:rFonts w:hint="eastAsia" w:ascii="宋体" w:hAnsi="宋体" w:cs="宋体"/>
                <w:kern w:val="0"/>
                <w:szCs w:val="21"/>
                <w:lang w:bidi="ar"/>
              </w:rPr>
              <w:br w:type="textWrapping"/>
            </w:r>
            <w:r>
              <w:rPr>
                <w:rFonts w:hint="eastAsia" w:ascii="宋体" w:hAnsi="宋体" w:cs="宋体"/>
                <w:kern w:val="0"/>
                <w:szCs w:val="21"/>
                <w:lang w:bidi="ar"/>
              </w:rPr>
              <w:t>6、工作环境：能满足—20℃~50℃正常工作</w:t>
            </w:r>
            <w:r>
              <w:rPr>
                <w:rFonts w:hint="eastAsia" w:ascii="宋体" w:hAnsi="宋体" w:cs="宋体"/>
                <w:kern w:val="0"/>
                <w:szCs w:val="21"/>
                <w:lang w:bidi="ar"/>
              </w:rPr>
              <w:br w:type="textWrapping"/>
            </w:r>
            <w:r>
              <w:rPr>
                <w:rFonts w:hint="eastAsia" w:ascii="宋体" w:hAnsi="宋体" w:cs="宋体"/>
                <w:kern w:val="0"/>
                <w:szCs w:val="21"/>
                <w:lang w:bidi="ar"/>
              </w:rPr>
              <w:t>7、像素点间距：4mm；最佳视角：水平≥130°，垂直≥120°</w:t>
            </w:r>
            <w:r>
              <w:rPr>
                <w:rFonts w:hint="eastAsia" w:ascii="宋体" w:hAnsi="宋体" w:cs="宋体"/>
                <w:kern w:val="0"/>
                <w:szCs w:val="21"/>
                <w:lang w:bidi="ar"/>
              </w:rPr>
              <w:br w:type="textWrapping"/>
            </w:r>
            <w:r>
              <w:rPr>
                <w:rFonts w:hint="eastAsia" w:ascii="宋体" w:hAnsi="宋体" w:cs="宋体"/>
                <w:kern w:val="0"/>
                <w:szCs w:val="21"/>
                <w:lang w:bidi="ar"/>
              </w:rPr>
              <w:t>8、物理密度：62500点/㎡</w:t>
            </w:r>
            <w:r>
              <w:rPr>
                <w:rFonts w:hint="eastAsia" w:ascii="宋体" w:hAnsi="宋体" w:cs="宋体"/>
                <w:kern w:val="0"/>
                <w:szCs w:val="21"/>
                <w:lang w:bidi="ar"/>
              </w:rPr>
              <w:br w:type="textWrapping"/>
            </w:r>
            <w:r>
              <w:rPr>
                <w:rFonts w:hint="eastAsia" w:ascii="宋体" w:hAnsi="宋体" w:cs="宋体"/>
                <w:kern w:val="0"/>
                <w:szCs w:val="21"/>
                <w:lang w:bidi="ar"/>
              </w:rPr>
              <w:t>9、刷新频率：≥3840Hz；</w:t>
            </w:r>
            <w:r>
              <w:rPr>
                <w:rFonts w:hint="eastAsia" w:ascii="宋体" w:hAnsi="宋体" w:cs="宋体"/>
                <w:kern w:val="0"/>
                <w:szCs w:val="21"/>
                <w:lang w:bidi="ar"/>
              </w:rPr>
              <w:br w:type="textWrapping"/>
            </w:r>
            <w:r>
              <w:rPr>
                <w:rFonts w:hint="eastAsia" w:ascii="宋体" w:hAnsi="宋体" w:cs="宋体"/>
                <w:kern w:val="0"/>
                <w:szCs w:val="21"/>
                <w:lang w:bidi="ar"/>
              </w:rPr>
              <w:t>10、灰度/颜色：大于或等于16bit</w:t>
            </w:r>
            <w:r>
              <w:rPr>
                <w:rFonts w:hint="eastAsia" w:ascii="宋体" w:hAnsi="宋体" w:cs="宋体"/>
                <w:kern w:val="0"/>
                <w:szCs w:val="21"/>
                <w:lang w:bidi="ar"/>
              </w:rPr>
              <w:br w:type="textWrapping"/>
            </w:r>
            <w:r>
              <w:rPr>
                <w:rFonts w:hint="eastAsia" w:ascii="宋体" w:hAnsi="宋体" w:cs="宋体"/>
                <w:kern w:val="0"/>
                <w:szCs w:val="21"/>
                <w:lang w:bidi="ar"/>
              </w:rPr>
              <w:t>11、校正后白平衡亮度：≥5000cd/m2</w:t>
            </w:r>
            <w:r>
              <w:rPr>
                <w:rFonts w:hint="eastAsia" w:ascii="宋体" w:hAnsi="宋体" w:cs="宋体"/>
                <w:kern w:val="0"/>
                <w:szCs w:val="21"/>
                <w:lang w:bidi="ar"/>
              </w:rPr>
              <w:br w:type="textWrapping"/>
            </w:r>
            <w:r>
              <w:rPr>
                <w:rFonts w:hint="eastAsia" w:ascii="宋体" w:hAnsi="宋体" w:cs="宋体"/>
                <w:kern w:val="0"/>
                <w:szCs w:val="21"/>
                <w:lang w:bidi="ar"/>
              </w:rPr>
              <w:t>12、亮度均匀性：≥95%；</w:t>
            </w:r>
            <w:r>
              <w:rPr>
                <w:rFonts w:hint="eastAsia" w:ascii="宋体" w:hAnsi="宋体" w:cs="宋体"/>
                <w:kern w:val="0"/>
                <w:szCs w:val="21"/>
                <w:lang w:bidi="ar"/>
              </w:rPr>
              <w:br w:type="textWrapping"/>
            </w:r>
            <w:r>
              <w:rPr>
                <w:rFonts w:hint="eastAsia" w:ascii="宋体" w:hAnsi="宋体" w:cs="宋体"/>
                <w:kern w:val="0"/>
                <w:szCs w:val="21"/>
                <w:lang w:bidi="ar"/>
              </w:rPr>
              <w:t>13、最大对比度：≥5000：1</w:t>
            </w:r>
            <w:r>
              <w:rPr>
                <w:rFonts w:hint="eastAsia" w:ascii="宋体" w:hAnsi="宋体" w:cs="宋体"/>
                <w:kern w:val="0"/>
                <w:szCs w:val="21"/>
                <w:lang w:bidi="ar"/>
              </w:rPr>
              <w:br w:type="textWrapping"/>
            </w:r>
            <w:r>
              <w:rPr>
                <w:rFonts w:hint="eastAsia" w:ascii="宋体" w:hAnsi="宋体" w:cs="宋体"/>
                <w:kern w:val="0"/>
                <w:szCs w:val="21"/>
                <w:lang w:bidi="ar"/>
              </w:rPr>
              <w:t>14、色温：3000K-18000K具有可调整性</w:t>
            </w:r>
            <w:r>
              <w:rPr>
                <w:rFonts w:hint="eastAsia" w:ascii="宋体" w:hAnsi="宋体" w:cs="宋体"/>
                <w:kern w:val="0"/>
                <w:szCs w:val="21"/>
                <w:lang w:bidi="ar"/>
              </w:rPr>
              <w:br w:type="textWrapping"/>
            </w:r>
            <w:r>
              <w:rPr>
                <w:rFonts w:hint="eastAsia" w:ascii="宋体" w:hAnsi="宋体" w:cs="宋体"/>
                <w:kern w:val="0"/>
                <w:szCs w:val="21"/>
                <w:lang w:bidi="ar"/>
              </w:rPr>
              <w:t>15、平均无故障时间：≥10000小时</w:t>
            </w:r>
            <w:r>
              <w:rPr>
                <w:rFonts w:hint="eastAsia" w:ascii="宋体" w:hAnsi="宋体" w:cs="宋体"/>
                <w:kern w:val="0"/>
                <w:szCs w:val="21"/>
                <w:lang w:bidi="ar"/>
              </w:rPr>
              <w:br w:type="textWrapping"/>
            </w:r>
            <w:r>
              <w:rPr>
                <w:rFonts w:hint="eastAsia" w:ascii="宋体" w:hAnsi="宋体" w:cs="宋体"/>
                <w:kern w:val="0"/>
                <w:szCs w:val="21"/>
                <w:lang w:bidi="ar"/>
              </w:rPr>
              <w:t>16、平整度：≤0.7mm；</w:t>
            </w:r>
            <w:r>
              <w:rPr>
                <w:rFonts w:hint="eastAsia" w:ascii="宋体" w:hAnsi="宋体" w:cs="宋体"/>
                <w:kern w:val="0"/>
                <w:szCs w:val="21"/>
                <w:lang w:bidi="ar"/>
              </w:rPr>
              <w:br w:type="textWrapping"/>
            </w:r>
            <w:r>
              <w:rPr>
                <w:rFonts w:hint="eastAsia" w:ascii="宋体" w:hAnsi="宋体" w:cs="宋体"/>
                <w:kern w:val="0"/>
                <w:szCs w:val="21"/>
                <w:lang w:bidi="ar"/>
              </w:rPr>
              <w:t>16、工作电压：AC380V(三相五线制)或220v±10％,50HZ，包含配套电源。</w:t>
            </w:r>
            <w:r>
              <w:rPr>
                <w:rFonts w:hint="eastAsia" w:ascii="宋体" w:hAnsi="宋体" w:cs="宋体"/>
                <w:kern w:val="0"/>
                <w:szCs w:val="21"/>
                <w:lang w:bidi="ar"/>
              </w:rPr>
              <w:br w:type="textWrapping"/>
            </w:r>
            <w:r>
              <w:rPr>
                <w:rFonts w:hint="eastAsia" w:ascii="宋体" w:hAnsi="宋体" w:cs="宋体"/>
                <w:kern w:val="0"/>
                <w:szCs w:val="21"/>
                <w:lang w:bidi="ar"/>
              </w:rPr>
              <w:t>17、最大功耗：≤909W/㎡，平均功耗≤303W/㎡</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平方米</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3.68</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6</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电源</w:t>
            </w:r>
          </w:p>
        </w:tc>
        <w:tc>
          <w:tcPr>
            <w:tcW w:w="520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5V60A</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个</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18</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7</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接收卡</w:t>
            </w:r>
          </w:p>
        </w:tc>
        <w:tc>
          <w:tcPr>
            <w:tcW w:w="520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1.灵活带载，单卡支持8组、16、24组数据输出模式</w:t>
            </w:r>
            <w:r>
              <w:rPr>
                <w:rFonts w:hint="eastAsia" w:ascii="宋体" w:hAnsi="宋体" w:cs="宋体"/>
                <w:kern w:val="0"/>
                <w:szCs w:val="21"/>
                <w:lang w:bidi="ar"/>
              </w:rPr>
              <w:br w:type="textWrapping"/>
            </w:r>
            <w:r>
              <w:rPr>
                <w:rFonts w:hint="eastAsia" w:ascii="宋体" w:hAnsi="宋体" w:cs="宋体"/>
                <w:kern w:val="0"/>
                <w:szCs w:val="21"/>
                <w:lang w:bidi="ar"/>
              </w:rPr>
              <w:t>2.无需转接板，单卡自带6个HUB32016P接口，更加稳定</w:t>
            </w:r>
            <w:r>
              <w:rPr>
                <w:rFonts w:hint="eastAsia" w:ascii="宋体" w:hAnsi="宋体" w:cs="宋体"/>
                <w:kern w:val="0"/>
                <w:szCs w:val="21"/>
                <w:lang w:bidi="ar"/>
              </w:rPr>
              <w:br w:type="textWrapping"/>
            </w:r>
            <w:r>
              <w:rPr>
                <w:rFonts w:hint="eastAsia" w:ascii="宋体" w:hAnsi="宋体" w:cs="宋体"/>
                <w:kern w:val="0"/>
                <w:szCs w:val="21"/>
                <w:lang w:bidi="ar"/>
              </w:rPr>
              <w:t>3.单卡带载像素256*512</w:t>
            </w:r>
            <w:r>
              <w:rPr>
                <w:rFonts w:hint="eastAsia" w:ascii="宋体" w:hAnsi="宋体" w:cs="宋体"/>
                <w:kern w:val="0"/>
                <w:szCs w:val="21"/>
                <w:lang w:bidi="ar"/>
              </w:rPr>
              <w:br w:type="textWrapping"/>
            </w:r>
            <w:r>
              <w:rPr>
                <w:rFonts w:hint="eastAsia" w:ascii="宋体" w:hAnsi="宋体" w:cs="宋体"/>
                <w:kern w:val="0"/>
                <w:szCs w:val="21"/>
                <w:lang w:bidi="ar"/>
              </w:rPr>
              <w:t>4.支持逐点亮色度校正，可以对每个灯点的亮度和色度进行校正，有效消除色差，使整屏的亮度和色度达到高度均匀一致，提高显示屏的画质</w:t>
            </w:r>
            <w:r>
              <w:rPr>
                <w:rFonts w:hint="eastAsia" w:ascii="宋体" w:hAnsi="宋体" w:cs="宋体"/>
                <w:kern w:val="0"/>
                <w:szCs w:val="21"/>
                <w:lang w:bidi="ar"/>
              </w:rPr>
              <w:br w:type="textWrapping"/>
            </w:r>
            <w:r>
              <w:rPr>
                <w:rFonts w:hint="eastAsia" w:ascii="宋体" w:hAnsi="宋体" w:cs="宋体"/>
                <w:kern w:val="0"/>
                <w:szCs w:val="21"/>
                <w:lang w:bidi="ar"/>
              </w:rPr>
              <w:t>5.快速亮暗线调节在调试软件上进行快速亮暗线调节，快速解决因箱体及模组拼接造成的显示屏亮暗线，调节过程中即时生效，简单易用。</w:t>
            </w:r>
            <w:r>
              <w:rPr>
                <w:rFonts w:hint="eastAsia" w:ascii="宋体" w:hAnsi="宋体" w:cs="宋体"/>
                <w:kern w:val="0"/>
                <w:szCs w:val="21"/>
                <w:lang w:bidi="ar"/>
              </w:rPr>
              <w:br w:type="textWrapping"/>
            </w:r>
            <w:r>
              <w:rPr>
                <w:rFonts w:hint="eastAsia" w:ascii="宋体" w:hAnsi="宋体" w:cs="宋体"/>
                <w:kern w:val="0"/>
                <w:szCs w:val="21"/>
                <w:lang w:bidi="ar"/>
              </w:rPr>
              <w:t>6.配合支持3D功能的独立主控，在软件或独立主控的操作面板上开启3D功能，并设置3D参数，使画面显示3D效果。</w:t>
            </w:r>
            <w:r>
              <w:rPr>
                <w:rFonts w:hint="eastAsia" w:ascii="宋体" w:hAnsi="宋体" w:cs="宋体"/>
                <w:kern w:val="0"/>
                <w:szCs w:val="21"/>
                <w:lang w:bidi="ar"/>
              </w:rPr>
              <w:br w:type="textWrapping"/>
            </w:r>
            <w:r>
              <w:rPr>
                <w:rFonts w:hint="eastAsia" w:ascii="宋体" w:hAnsi="宋体" w:cs="宋体"/>
                <w:kern w:val="0"/>
                <w:szCs w:val="21"/>
                <w:lang w:bidi="ar"/>
              </w:rPr>
              <w:t>7.可以将指定图片设置为显示屏的开机、网线断开或无视频源信号时的画面或者最后一帧画面</w:t>
            </w:r>
            <w:r>
              <w:rPr>
                <w:rFonts w:hint="eastAsia" w:ascii="宋体" w:hAnsi="宋体" w:cs="宋体"/>
                <w:kern w:val="0"/>
                <w:szCs w:val="21"/>
                <w:lang w:bidi="ar"/>
              </w:rPr>
              <w:br w:type="textWrapping"/>
            </w:r>
            <w:r>
              <w:rPr>
                <w:rFonts w:hint="eastAsia" w:ascii="宋体" w:hAnsi="宋体" w:cs="宋体"/>
                <w:kern w:val="0"/>
                <w:szCs w:val="21"/>
                <w:lang w:bidi="ar"/>
              </w:rPr>
              <w:t>8.通过软件调节，可以解决箱体或灯板之间，因拼接导致的亮暗线问题，支持灯板flash管理，校正系数双备份，更换灯板后，无需重新上传校正系数，屏体重新断上电即可使用对应灯板校正系数</w:t>
            </w:r>
            <w:r>
              <w:rPr>
                <w:rFonts w:hint="eastAsia" w:ascii="宋体" w:hAnsi="宋体" w:cs="宋体"/>
                <w:kern w:val="0"/>
                <w:szCs w:val="21"/>
                <w:lang w:bidi="ar"/>
              </w:rPr>
              <w:br w:type="textWrapping"/>
            </w:r>
            <w:r>
              <w:rPr>
                <w:rFonts w:hint="eastAsia" w:ascii="宋体" w:hAnsi="宋体" w:cs="宋体"/>
                <w:kern w:val="0"/>
                <w:szCs w:val="21"/>
                <w:lang w:bidi="ar"/>
              </w:rPr>
              <w:t>9.支持5pin液晶模块，用于显示接收卡的温度、电压、单次运行时间和总运行时间。支持千兆网，可通过网线直接连接PC端进行调试和显示，无需发送卡；</w:t>
            </w:r>
            <w:r>
              <w:rPr>
                <w:rFonts w:hint="eastAsia" w:ascii="宋体" w:hAnsi="宋体" w:cs="宋体"/>
                <w:kern w:val="0"/>
                <w:szCs w:val="21"/>
                <w:lang w:bidi="ar"/>
              </w:rPr>
              <w:br w:type="textWrapping"/>
            </w:r>
            <w:r>
              <w:rPr>
                <w:rFonts w:hint="eastAsia" w:ascii="宋体" w:hAnsi="宋体" w:cs="宋体"/>
                <w:kern w:val="0"/>
                <w:szCs w:val="21"/>
                <w:lang w:bidi="ar"/>
              </w:rPr>
              <w:t>10.支持千兆网，可通过网线直接连接PC端进行调试和显示，无需发送卡；接收卡电源接口与灯板电源接口一致（与灯板电源一致），无需单独配线，安装方便</w:t>
            </w:r>
            <w:r>
              <w:rPr>
                <w:rFonts w:hint="eastAsia" w:ascii="宋体" w:hAnsi="宋体" w:cs="宋体"/>
                <w:kern w:val="0"/>
                <w:szCs w:val="21"/>
                <w:lang w:bidi="ar"/>
              </w:rPr>
              <w:br w:type="textWrapping"/>
            </w:r>
            <w:r>
              <w:rPr>
                <w:rFonts w:hint="eastAsia" w:ascii="宋体" w:hAnsi="宋体" w:cs="宋体"/>
                <w:kern w:val="0"/>
                <w:szCs w:val="21"/>
                <w:lang w:bidi="ar"/>
              </w:rPr>
              <w:t>11.RGB独立Gamma调节技术增加调节维度，通过对“红Gamma”、“绿Gamma”、“蓝Gamma”分别进行调节，有效控制显示屏低灰不均匀、白平衡漂移等问题，使画面更加真实，提高色彩调节的灵活性，</w:t>
            </w:r>
            <w:r>
              <w:rPr>
                <w:rFonts w:hint="eastAsia" w:ascii="宋体" w:hAnsi="宋体" w:cs="宋体"/>
                <w:kern w:val="0"/>
                <w:szCs w:val="21"/>
                <w:lang w:bidi="ar"/>
              </w:rPr>
              <w:br w:type="textWrapping"/>
            </w:r>
            <w:r>
              <w:rPr>
                <w:rFonts w:hint="eastAsia" w:ascii="宋体" w:hAnsi="宋体" w:cs="宋体"/>
                <w:kern w:val="0"/>
                <w:szCs w:val="21"/>
                <w:lang w:bidi="ar"/>
              </w:rPr>
              <w:t>12.Mapping功能开启，每个箱体上会显示数字，清楚告诉您当前箱体是哪个网口下的哪张接收卡，直观的看到显示屏连接状况。从此让箱体排查变得轻松简单，快速定位问题箱体，再也无需再爬上爬下，根据走线更改连屏文件即可</w:t>
            </w:r>
            <w:r>
              <w:rPr>
                <w:rFonts w:hint="eastAsia" w:ascii="宋体" w:hAnsi="宋体" w:cs="宋体"/>
                <w:kern w:val="0"/>
                <w:szCs w:val="21"/>
                <w:lang w:bidi="ar"/>
              </w:rPr>
              <w:br w:type="textWrapping"/>
            </w:r>
            <w:r>
              <w:rPr>
                <w:rFonts w:hint="eastAsia" w:ascii="宋体" w:hAnsi="宋体" w:cs="宋体"/>
                <w:kern w:val="0"/>
                <w:szCs w:val="21"/>
                <w:lang w:bidi="ar"/>
              </w:rPr>
              <w:t>13.可以监测自身的温度和电压，无需其他外设，在软件上可以查看接收卡的温度和电压，检测发送设备与接收卡间或接收卡与接收卡间的网络通讯质量，记录错误包数，协助排除网络通讯隐患</w:t>
            </w:r>
            <w:r>
              <w:rPr>
                <w:rFonts w:hint="eastAsia" w:ascii="宋体" w:hAnsi="宋体" w:cs="宋体"/>
                <w:kern w:val="0"/>
                <w:szCs w:val="21"/>
                <w:lang w:bidi="ar"/>
              </w:rPr>
              <w:br w:type="textWrapping"/>
            </w:r>
            <w:r>
              <w:rPr>
                <w:rFonts w:hint="eastAsia" w:ascii="宋体" w:hAnsi="宋体" w:cs="宋体"/>
                <w:kern w:val="0"/>
                <w:szCs w:val="21"/>
                <w:lang w:bidi="ar"/>
              </w:rPr>
              <w:t>14.支持可以回读接收卡的固件程序并保存到本地，软件可以回读接收卡配置参数并保存到本地</w:t>
            </w:r>
            <w:r>
              <w:rPr>
                <w:rFonts w:hint="eastAsia" w:ascii="宋体" w:hAnsi="宋体" w:cs="宋体"/>
                <w:kern w:val="0"/>
                <w:szCs w:val="21"/>
                <w:lang w:bidi="ar"/>
              </w:rPr>
              <w:br w:type="textWrapping"/>
            </w:r>
            <w:r>
              <w:rPr>
                <w:rFonts w:hint="eastAsia" w:ascii="宋体" w:hAnsi="宋体" w:cs="宋体"/>
                <w:kern w:val="0"/>
                <w:szCs w:val="21"/>
                <w:lang w:bidi="ar"/>
              </w:rPr>
              <w:t>15.通过主备冗余机制增加接收卡间网线级联的可靠性。主备级联线路中，当其中一条线路出现故障时，另一条线路会即时工作，保证显示屏正常工作。</w:t>
            </w:r>
            <w:r>
              <w:rPr>
                <w:rFonts w:hint="eastAsia" w:ascii="宋体" w:hAnsi="宋体" w:cs="宋体"/>
                <w:kern w:val="0"/>
                <w:szCs w:val="21"/>
                <w:lang w:bidi="ar"/>
              </w:rPr>
              <w:br w:type="textWrapping"/>
            </w:r>
            <w:r>
              <w:rPr>
                <w:rFonts w:hint="eastAsia" w:ascii="宋体" w:hAnsi="宋体" w:cs="宋体"/>
                <w:kern w:val="0"/>
                <w:szCs w:val="21"/>
                <w:lang w:bidi="ar"/>
              </w:rPr>
              <w:t>16.在软件上可以将指定图片设置为显示屏的开机画面、网线断开或无视频源信号时的画面，接收卡出厂时保存了两份应用程序，以防程序更新过程异常导致的接收卡死锁问题</w:t>
            </w:r>
            <w:r>
              <w:rPr>
                <w:rFonts w:hint="eastAsia" w:ascii="宋体" w:hAnsi="宋体" w:cs="宋体"/>
                <w:kern w:val="0"/>
                <w:szCs w:val="21"/>
                <w:lang w:bidi="ar"/>
              </w:rPr>
              <w:br w:type="textWrapping"/>
            </w:r>
            <w:r>
              <w:rPr>
                <w:rFonts w:hint="eastAsia" w:ascii="宋体" w:hAnsi="宋体" w:cs="宋体"/>
                <w:kern w:val="0"/>
                <w:szCs w:val="21"/>
                <w:lang w:bidi="ar"/>
              </w:rPr>
              <w:t>17.通过软件在接收卡上保存两份接收卡配置参数，其中一份作为备份参数</w:t>
            </w:r>
            <w:r>
              <w:rPr>
                <w:rFonts w:hint="eastAsia" w:ascii="宋体" w:hAnsi="宋体" w:cs="宋体"/>
                <w:kern w:val="0"/>
                <w:szCs w:val="21"/>
                <w:lang w:bidi="ar"/>
              </w:rPr>
              <w:br w:type="textWrapping"/>
            </w:r>
            <w:r>
              <w:rPr>
                <w:rFonts w:hint="eastAsia" w:ascii="宋体" w:hAnsi="宋体" w:cs="宋体"/>
                <w:kern w:val="0"/>
                <w:szCs w:val="21"/>
                <w:lang w:bidi="ar"/>
              </w:rPr>
              <w:t>18.通过电源指示灯和状态指示灯不同闪烁状态可以判断，屏体工作状态，无需软件</w:t>
            </w:r>
            <w:r>
              <w:rPr>
                <w:rFonts w:hint="eastAsia" w:ascii="宋体" w:hAnsi="宋体" w:cs="宋体"/>
                <w:kern w:val="0"/>
                <w:szCs w:val="21"/>
                <w:lang w:bidi="ar"/>
              </w:rPr>
              <w:br w:type="textWrapping"/>
            </w:r>
            <w:r>
              <w:rPr>
                <w:rFonts w:hint="eastAsia" w:ascii="宋体" w:hAnsi="宋体" w:cs="宋体"/>
                <w:kern w:val="0"/>
                <w:szCs w:val="21"/>
                <w:lang w:bidi="ar"/>
              </w:rPr>
              <w:t>19.可配合多功能卡，实现当温度高于设定值时，自动断电，或打开风扇空调降低温度，保证屏体安全</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张</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4</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8</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视频处理器</w:t>
            </w:r>
          </w:p>
        </w:tc>
        <w:tc>
          <w:tcPr>
            <w:tcW w:w="520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1.播放盒单机支持130万像素点带载能力；</w:t>
            </w:r>
            <w:r>
              <w:rPr>
                <w:rFonts w:hint="eastAsia" w:ascii="宋体" w:hAnsi="宋体" w:cs="宋体"/>
                <w:kern w:val="0"/>
                <w:szCs w:val="21"/>
                <w:lang w:bidi="ar"/>
              </w:rPr>
              <w:br w:type="textWrapping"/>
            </w:r>
            <w:r>
              <w:rPr>
                <w:rFonts w:hint="eastAsia" w:ascii="宋体" w:hAnsi="宋体" w:cs="宋体"/>
                <w:kern w:val="0"/>
                <w:szCs w:val="21"/>
                <w:lang w:bidi="ar"/>
              </w:rPr>
              <w:t>2.放盒单机最宽分辨率支持4096，最高支持1920；</w:t>
            </w:r>
            <w:r>
              <w:rPr>
                <w:rFonts w:hint="eastAsia" w:ascii="宋体" w:hAnsi="宋体" w:cs="宋体"/>
                <w:kern w:val="0"/>
                <w:szCs w:val="21"/>
                <w:lang w:bidi="ar"/>
              </w:rPr>
              <w:br w:type="textWrapping"/>
            </w:r>
            <w:r>
              <w:rPr>
                <w:rFonts w:hint="eastAsia" w:ascii="宋体" w:hAnsi="宋体" w:cs="宋体"/>
                <w:kern w:val="0"/>
                <w:szCs w:val="21"/>
                <w:lang w:bidi="ar"/>
              </w:rPr>
              <w:t>3.支持2GB运行内存、板载8GB内部存储空间，用户可用4GB，可U盘扩展128G</w:t>
            </w:r>
            <w:r>
              <w:rPr>
                <w:rFonts w:hint="eastAsia" w:ascii="宋体" w:hAnsi="宋体" w:cs="宋体"/>
                <w:kern w:val="0"/>
                <w:szCs w:val="21"/>
                <w:lang w:bidi="ar"/>
              </w:rPr>
              <w:br w:type="textWrapping"/>
            </w:r>
            <w:r>
              <w:rPr>
                <w:rFonts w:hint="eastAsia" w:ascii="宋体" w:hAnsi="宋体" w:cs="宋体"/>
                <w:kern w:val="0"/>
                <w:szCs w:val="21"/>
                <w:lang w:bidi="ar"/>
              </w:rPr>
              <w:t>4.支持H.2654K高清视频硬解码播放，支持1080P的视频硬解码；</w:t>
            </w:r>
            <w:r>
              <w:rPr>
                <w:rFonts w:hint="eastAsia" w:ascii="宋体" w:hAnsi="宋体" w:cs="宋体"/>
                <w:kern w:val="0"/>
                <w:szCs w:val="21"/>
                <w:lang w:bidi="ar"/>
              </w:rPr>
              <w:br w:type="textWrapping"/>
            </w:r>
            <w:r>
              <w:rPr>
                <w:rFonts w:hint="eastAsia" w:ascii="宋体" w:hAnsi="宋体" w:cs="宋体"/>
                <w:kern w:val="0"/>
                <w:szCs w:val="21"/>
                <w:lang w:bidi="ar"/>
              </w:rPr>
              <w:t>5.支持千兆有线网络、支持立体音频输出。</w:t>
            </w:r>
            <w:r>
              <w:rPr>
                <w:rFonts w:hint="eastAsia" w:ascii="宋体" w:hAnsi="宋体" w:cs="宋体"/>
                <w:kern w:val="0"/>
                <w:szCs w:val="21"/>
                <w:lang w:bidi="ar"/>
              </w:rPr>
              <w:br w:type="textWrapping"/>
            </w:r>
            <w:r>
              <w:rPr>
                <w:rFonts w:hint="eastAsia" w:ascii="宋体" w:hAnsi="宋体" w:cs="宋体"/>
                <w:kern w:val="0"/>
                <w:szCs w:val="21"/>
                <w:lang w:bidi="ar"/>
              </w:rPr>
              <w:t>6.支持HDMILoop、支持HDMI输入模式及全屏自适应播放支持2路USB接口，支持U盘节目导入播放</w:t>
            </w:r>
            <w:r>
              <w:rPr>
                <w:rFonts w:hint="eastAsia" w:ascii="宋体" w:hAnsi="宋体" w:cs="宋体"/>
                <w:kern w:val="0"/>
                <w:szCs w:val="21"/>
                <w:lang w:bidi="ar"/>
              </w:rPr>
              <w:br w:type="textWrapping"/>
            </w:r>
            <w:r>
              <w:rPr>
                <w:rFonts w:hint="eastAsia" w:ascii="宋体" w:hAnsi="宋体" w:cs="宋体"/>
                <w:kern w:val="0"/>
                <w:szCs w:val="21"/>
                <w:lang w:bidi="ar"/>
              </w:rPr>
              <w:t>7.支持4G联网功能；</w:t>
            </w:r>
            <w:r>
              <w:rPr>
                <w:rFonts w:hint="eastAsia" w:ascii="宋体" w:hAnsi="宋体" w:cs="宋体"/>
                <w:kern w:val="0"/>
                <w:szCs w:val="21"/>
                <w:lang w:bidi="ar"/>
              </w:rPr>
              <w:br w:type="textWrapping"/>
            </w:r>
            <w:r>
              <w:rPr>
                <w:rFonts w:hint="eastAsia" w:ascii="宋体" w:hAnsi="宋体" w:cs="宋体"/>
                <w:kern w:val="0"/>
                <w:szCs w:val="21"/>
                <w:lang w:bidi="ar"/>
              </w:rPr>
              <w:t>8.支持板载亮度传感器接口，支持自动和定时的智能亮度调节</w:t>
            </w:r>
            <w:r>
              <w:rPr>
                <w:rFonts w:hint="eastAsia" w:ascii="宋体" w:hAnsi="宋体" w:cs="宋体"/>
                <w:kern w:val="0"/>
                <w:szCs w:val="21"/>
                <w:lang w:bidi="ar"/>
              </w:rPr>
              <w:br w:type="textWrapping"/>
            </w:r>
            <w:r>
              <w:rPr>
                <w:rFonts w:hint="eastAsia" w:ascii="宋体" w:hAnsi="宋体" w:cs="宋体"/>
                <w:kern w:val="0"/>
                <w:szCs w:val="21"/>
                <w:lang w:bidi="ar"/>
              </w:rPr>
              <w:t>9.支持PC节目发布和显示屏控制、局域网节目发布和显示屏控制、手机节目发布和显示屏控制</w:t>
            </w:r>
            <w:r>
              <w:rPr>
                <w:rFonts w:hint="eastAsia" w:ascii="宋体" w:hAnsi="宋体" w:cs="宋体"/>
                <w:kern w:val="0"/>
                <w:szCs w:val="21"/>
                <w:lang w:bidi="ar"/>
              </w:rPr>
              <w:br w:type="textWrapping"/>
            </w:r>
            <w:r>
              <w:rPr>
                <w:rFonts w:hint="eastAsia" w:ascii="宋体" w:hAnsi="宋体" w:cs="宋体"/>
                <w:kern w:val="0"/>
                <w:szCs w:val="21"/>
                <w:lang w:bidi="ar"/>
              </w:rPr>
              <w:t>10.支持集群远程节目发布和显示屏控制、集群远程监控</w:t>
            </w:r>
            <w:r>
              <w:rPr>
                <w:rFonts w:hint="eastAsia" w:ascii="宋体" w:hAnsi="宋体" w:cs="宋体"/>
                <w:kern w:val="0"/>
                <w:szCs w:val="21"/>
                <w:lang w:bidi="ar"/>
              </w:rPr>
              <w:br w:type="textWrapping"/>
            </w:r>
            <w:r>
              <w:rPr>
                <w:rFonts w:hint="eastAsia" w:ascii="宋体" w:hAnsi="宋体" w:cs="宋体"/>
                <w:kern w:val="0"/>
                <w:szCs w:val="21"/>
                <w:lang w:bidi="ar"/>
              </w:rPr>
              <w:t>11.支持Android操作系统软件、Android终端应用软件；</w:t>
            </w:r>
            <w:r>
              <w:rPr>
                <w:rFonts w:hint="eastAsia" w:ascii="宋体" w:hAnsi="宋体" w:cs="宋体"/>
                <w:kern w:val="0"/>
                <w:szCs w:val="21"/>
                <w:lang w:bidi="ar"/>
              </w:rPr>
              <w:br w:type="textWrapping"/>
            </w:r>
            <w:r>
              <w:rPr>
                <w:rFonts w:hint="eastAsia" w:ascii="宋体" w:hAnsi="宋体" w:cs="宋体"/>
                <w:kern w:val="0"/>
                <w:szCs w:val="21"/>
                <w:lang w:bidi="ar"/>
              </w:rPr>
              <w:t>12.支持连接传感器转接板，可以扩展连接多种传感器（如风速风向传感器，温湿度传感器，噪声传感器，PM2.5传感器等）</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9</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电路控制系统</w:t>
            </w:r>
          </w:p>
        </w:tc>
        <w:tc>
          <w:tcPr>
            <w:tcW w:w="520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漏电保护、定时开关</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10</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综合布线施工费</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包含四个社区综合线路敷设、电源线缆铺设、信号线缆铺设、开挖、渣土运输、水泥、红砖等</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项</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53</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11</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终端设备安装调试</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包含安装调试</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53</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12</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网络费 </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3年网络服务</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路</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53</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13</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核心汇聚交换机（24口）</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产品类型：千兆以太网交换机；应用层级：三层；传输速率：10/100/1000Mbps；端口数量：26个；背板带宽：336Gbps/44Mbps；VLAN：支持4K个VLAN支持Guest VLAN、Voice VLAN支持GVRP协议支持MUX VLAN功能支持基于MAC/协议/IP子网/策略/端口的VLAN支持1:1和N:1 VLAN Mapping功能；网络管理：支持智能堆叠iStack支持虚拟电缆产品类型：千兆以太网交换机；应用层级：三层；端口数量：28个，其中24个千兆电口,千兆光口≥4个随机含4个光模块；背板带宽：≥336Gbps；包转发率：≥108Mpps；支持GE端口聚合支持静态聚合支持动态聚合支持跨设备聚合</w:t>
            </w:r>
            <w:r>
              <w:rPr>
                <w:rFonts w:hint="eastAsia" w:ascii="宋体" w:hAnsi="宋体" w:cs="宋体"/>
                <w:kern w:val="0"/>
                <w:szCs w:val="21"/>
                <w:lang w:bidi="ar"/>
              </w:rPr>
              <w:br w:type="textWrapping"/>
            </w:r>
            <w:r>
              <w:rPr>
                <w:rFonts w:hint="eastAsia" w:ascii="宋体" w:hAnsi="宋体" w:cs="宋体"/>
                <w:kern w:val="0"/>
                <w:szCs w:val="21"/>
                <w:lang w:bidi="ar"/>
              </w:rPr>
              <w:t>支持基于端口的VLAN支持QinQ支持Voice VLAN</w:t>
            </w:r>
            <w:r>
              <w:rPr>
                <w:rFonts w:hint="eastAsia" w:ascii="宋体" w:hAnsi="宋体" w:cs="宋体"/>
                <w:kern w:val="0"/>
                <w:szCs w:val="21"/>
                <w:lang w:bidi="ar"/>
              </w:rPr>
              <w:br w:type="textWrapping"/>
            </w:r>
            <w:r>
              <w:rPr>
                <w:rFonts w:hint="eastAsia" w:ascii="宋体" w:hAnsi="宋体" w:cs="宋体"/>
                <w:kern w:val="0"/>
                <w:szCs w:val="21"/>
                <w:lang w:bidi="ar"/>
              </w:rPr>
              <w:t>支持协议VLAN支持MAC VLAN</w:t>
            </w:r>
            <w:r>
              <w:rPr>
                <w:rFonts w:hint="eastAsia" w:ascii="宋体" w:hAnsi="宋体" w:cs="宋体"/>
                <w:kern w:val="0"/>
                <w:szCs w:val="21"/>
                <w:lang w:bidi="ar"/>
              </w:rPr>
              <w:br w:type="textWrapping"/>
            </w:r>
            <w:r>
              <w:rPr>
                <w:rFonts w:hint="eastAsia" w:ascii="宋体" w:hAnsi="宋体" w:cs="宋体"/>
                <w:kern w:val="0"/>
                <w:szCs w:val="21"/>
                <w:lang w:bidi="ar"/>
              </w:rPr>
              <w:t>二层环网协议：支持STP/RSTP/MSTP协议</w:t>
            </w:r>
            <w:r>
              <w:rPr>
                <w:rFonts w:hint="eastAsia" w:ascii="宋体" w:hAnsi="宋体" w:cs="宋体"/>
                <w:kern w:val="0"/>
                <w:szCs w:val="21"/>
                <w:lang w:bidi="ar"/>
              </w:rPr>
              <w:br w:type="textWrapping"/>
            </w:r>
            <w:r>
              <w:rPr>
                <w:rFonts w:hint="eastAsia" w:ascii="宋体" w:hAnsi="宋体" w:cs="宋体"/>
                <w:kern w:val="0"/>
                <w:szCs w:val="21"/>
                <w:lang w:bidi="ar"/>
              </w:rPr>
              <w:t>支持STP Root Protection</w:t>
            </w:r>
            <w:r>
              <w:rPr>
                <w:rFonts w:hint="eastAsia" w:ascii="宋体" w:hAnsi="宋体" w:cs="宋体"/>
                <w:kern w:val="0"/>
                <w:szCs w:val="21"/>
                <w:lang w:bidi="ar"/>
              </w:rPr>
              <w:br w:type="textWrapping"/>
            </w:r>
            <w:r>
              <w:rPr>
                <w:rFonts w:hint="eastAsia" w:ascii="宋体" w:hAnsi="宋体" w:cs="宋体"/>
                <w:kern w:val="0"/>
                <w:szCs w:val="21"/>
                <w:lang w:bidi="ar"/>
              </w:rPr>
              <w:t>支持BPDU Protection</w:t>
            </w:r>
            <w:r>
              <w:rPr>
                <w:rFonts w:hint="eastAsia" w:ascii="宋体" w:hAnsi="宋体" w:cs="宋体"/>
                <w:kern w:val="0"/>
                <w:szCs w:val="21"/>
                <w:lang w:bidi="ar"/>
              </w:rPr>
              <w:br w:type="textWrapping"/>
            </w:r>
            <w:r>
              <w:rPr>
                <w:rFonts w:hint="eastAsia" w:ascii="宋体" w:hAnsi="宋体" w:cs="宋体"/>
                <w:kern w:val="0"/>
                <w:szCs w:val="21"/>
                <w:lang w:bidi="ar"/>
              </w:rPr>
              <w:t>支持G.8032以太网环保护协议ERPS</w:t>
            </w:r>
            <w:r>
              <w:rPr>
                <w:rFonts w:hint="eastAsia" w:ascii="宋体" w:hAnsi="宋体" w:cs="宋体"/>
                <w:kern w:val="0"/>
                <w:szCs w:val="21"/>
                <w:lang w:bidi="ar"/>
              </w:rPr>
              <w:br w:type="textWrapping"/>
            </w:r>
            <w:r>
              <w:rPr>
                <w:rFonts w:hint="eastAsia" w:ascii="宋体" w:hAnsi="宋体" w:cs="宋体"/>
                <w:kern w:val="0"/>
                <w:szCs w:val="21"/>
                <w:lang w:bidi="ar"/>
              </w:rPr>
              <w:t>支持RRPP</w:t>
            </w:r>
            <w:r>
              <w:rPr>
                <w:rFonts w:hint="eastAsia" w:ascii="宋体" w:hAnsi="宋体" w:cs="宋体"/>
                <w:kern w:val="0"/>
                <w:szCs w:val="21"/>
                <w:lang w:bidi="ar"/>
              </w:rPr>
              <w:br w:type="textWrapping"/>
            </w:r>
            <w:r>
              <w:rPr>
                <w:rFonts w:hint="eastAsia" w:ascii="宋体" w:hAnsi="宋体" w:cs="宋体"/>
                <w:kern w:val="0"/>
                <w:szCs w:val="21"/>
                <w:lang w:bidi="ar"/>
              </w:rPr>
              <w:t>要求可以通过平台可以收集网络及设备的各种关键指标：</w:t>
            </w:r>
            <w:r>
              <w:rPr>
                <w:rFonts w:hint="eastAsia" w:ascii="宋体" w:hAnsi="宋体" w:cs="宋体"/>
                <w:kern w:val="0"/>
                <w:szCs w:val="21"/>
                <w:lang w:bidi="ar"/>
              </w:rPr>
              <w:br w:type="textWrapping"/>
            </w:r>
            <w:r>
              <w:rPr>
                <w:rFonts w:hint="eastAsia" w:ascii="宋体" w:hAnsi="宋体" w:cs="宋体"/>
                <w:kern w:val="0"/>
                <w:szCs w:val="21"/>
                <w:lang w:bidi="ar"/>
              </w:rPr>
              <w:t>支持查看内存CPU硬盘运行信息，设备在线离线状态及时长，实时速率包括上行及下行；</w:t>
            </w:r>
            <w:r>
              <w:rPr>
                <w:rFonts w:hint="eastAsia" w:ascii="宋体" w:hAnsi="宋体" w:cs="宋体"/>
                <w:kern w:val="0"/>
                <w:szCs w:val="21"/>
                <w:lang w:bidi="ar"/>
              </w:rPr>
              <w:br w:type="textWrapping"/>
            </w:r>
            <w:r>
              <w:rPr>
                <w:rFonts w:hint="eastAsia" w:ascii="宋体" w:hAnsi="宋体" w:cs="宋体"/>
                <w:kern w:val="0"/>
                <w:szCs w:val="21"/>
                <w:lang w:bidi="ar"/>
              </w:rPr>
              <w:t>支持查看设备型号，MAC地址，设备序列号，设备版本；</w:t>
            </w:r>
            <w:r>
              <w:rPr>
                <w:rFonts w:hint="eastAsia" w:ascii="宋体" w:hAnsi="宋体" w:cs="宋体"/>
                <w:kern w:val="0"/>
                <w:szCs w:val="21"/>
                <w:lang w:bidi="ar"/>
              </w:rPr>
              <w:br w:type="textWrapping"/>
            </w:r>
            <w:r>
              <w:rPr>
                <w:rFonts w:hint="eastAsia" w:ascii="宋体" w:hAnsi="宋体" w:cs="宋体"/>
                <w:kern w:val="0"/>
                <w:szCs w:val="21"/>
                <w:lang w:bidi="ar"/>
              </w:rPr>
              <w:t>支持查看设备面板端口信息及运行状态，为便于观察平台需支持图形化展示。</w:t>
            </w:r>
            <w:r>
              <w:rPr>
                <w:rFonts w:hint="eastAsia" w:ascii="宋体" w:hAnsi="宋体" w:cs="宋体"/>
                <w:kern w:val="0"/>
                <w:szCs w:val="21"/>
                <w:lang w:bidi="ar"/>
              </w:rPr>
              <w:br w:type="textWrapping"/>
            </w:r>
            <w:r>
              <w:rPr>
                <w:rFonts w:hint="eastAsia" w:ascii="宋体" w:hAnsi="宋体" w:cs="宋体"/>
                <w:kern w:val="0"/>
                <w:szCs w:val="21"/>
                <w:lang w:bidi="ar"/>
              </w:rPr>
              <w:t>支持查看设备日志告警和设备日志；</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 xml:space="preserve">1 </w:t>
            </w:r>
          </w:p>
        </w:tc>
        <w:tc>
          <w:tcPr>
            <w:tcW w:w="1199" w:type="dxa"/>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华为、H3C、锐捷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7" w:type="dxa"/>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14</w:t>
            </w:r>
          </w:p>
        </w:tc>
        <w:tc>
          <w:tcPr>
            <w:tcW w:w="732" w:type="dxa"/>
            <w:vMerge w:val="continue"/>
            <w:shd w:val="clear" w:color="auto" w:fill="auto"/>
            <w:vAlign w:val="center"/>
          </w:tcPr>
          <w:p>
            <w:pPr>
              <w:jc w:val="center"/>
              <w:rPr>
                <w:rFonts w:ascii="宋体" w:hAnsi="宋体" w:cs="宋体"/>
                <w:szCs w:val="21"/>
              </w:rPr>
            </w:pPr>
          </w:p>
        </w:tc>
        <w:tc>
          <w:tcPr>
            <w:tcW w:w="103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内容制作</w:t>
            </w:r>
          </w:p>
        </w:tc>
        <w:tc>
          <w:tcPr>
            <w:tcW w:w="5204" w:type="dxa"/>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3年节目内容审编播</w:t>
            </w:r>
          </w:p>
        </w:tc>
        <w:tc>
          <w:tcPr>
            <w:tcW w:w="557"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32"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53</w:t>
            </w:r>
          </w:p>
        </w:tc>
        <w:tc>
          <w:tcPr>
            <w:tcW w:w="1199"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定制</w:t>
            </w:r>
          </w:p>
        </w:tc>
      </w:tr>
    </w:tbl>
    <w:p>
      <w:pPr>
        <w:rPr>
          <w:rFonts w:hAnsi="宋体" w:cs="宋体"/>
        </w:rPr>
      </w:pPr>
      <w:r>
        <w:rPr>
          <w:rFonts w:hint="eastAsia" w:hAnsi="宋体" w:cs="宋体"/>
        </w:rPr>
        <w:br w:type="page"/>
      </w:r>
    </w:p>
    <w:p>
      <w:pPr>
        <w:pStyle w:val="7"/>
      </w:pPr>
      <w:r>
        <w:rPr>
          <w:rFonts w:hint="eastAsia"/>
        </w:rPr>
        <w:t>15、停车道闸</w:t>
      </w:r>
    </w:p>
    <w:tbl>
      <w:tblPr>
        <w:tblStyle w:val="50"/>
        <w:tblW w:w="9940" w:type="dxa"/>
        <w:jc w:val="center"/>
        <w:tblLayout w:type="fixed"/>
        <w:tblCellMar>
          <w:top w:w="0" w:type="dxa"/>
          <w:left w:w="108" w:type="dxa"/>
          <w:bottom w:w="0" w:type="dxa"/>
          <w:right w:w="108" w:type="dxa"/>
        </w:tblCellMar>
      </w:tblPr>
      <w:tblGrid>
        <w:gridCol w:w="671"/>
        <w:gridCol w:w="1072"/>
        <w:gridCol w:w="1350"/>
        <w:gridCol w:w="4332"/>
        <w:gridCol w:w="715"/>
        <w:gridCol w:w="710"/>
        <w:gridCol w:w="1090"/>
      </w:tblGrid>
      <w:tr>
        <w:tblPrEx>
          <w:tblCellMar>
            <w:top w:w="0" w:type="dxa"/>
            <w:left w:w="108" w:type="dxa"/>
            <w:bottom w:w="0" w:type="dxa"/>
            <w:right w:w="108" w:type="dxa"/>
          </w:tblCellMar>
        </w:tblPrEx>
        <w:trPr>
          <w:trHeight w:val="23"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序号</w:t>
            </w:r>
          </w:p>
        </w:tc>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功能点及场景</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硬件名称</w:t>
            </w:r>
          </w:p>
        </w:tc>
        <w:tc>
          <w:tcPr>
            <w:tcW w:w="4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功能参数</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单位</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数量</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推荐品牌</w:t>
            </w:r>
          </w:p>
        </w:tc>
      </w:tr>
      <w:tr>
        <w:tblPrEx>
          <w:tblCellMar>
            <w:top w:w="0" w:type="dxa"/>
            <w:left w:w="108" w:type="dxa"/>
            <w:bottom w:w="0" w:type="dxa"/>
            <w:right w:w="108" w:type="dxa"/>
          </w:tblCellMar>
        </w:tblPrEx>
        <w:trPr>
          <w:trHeight w:val="23"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szCs w:val="21"/>
              </w:rPr>
            </w:pPr>
            <w:r>
              <w:rPr>
                <w:rFonts w:hint="eastAsia" w:ascii="宋体" w:hAnsi="宋体" w:cs="宋体"/>
                <w:kern w:val="0"/>
                <w:szCs w:val="21"/>
                <w:lang w:bidi="ar"/>
              </w:rPr>
              <w:t>1</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抓拍设备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触发雷达</w:t>
            </w:r>
          </w:p>
        </w:tc>
        <w:tc>
          <w:tcPr>
            <w:tcW w:w="4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【触发雷达】</w:t>
            </w:r>
            <w:r>
              <w:rPr>
                <w:rFonts w:hint="eastAsia" w:ascii="宋体" w:hAnsi="宋体" w:cs="宋体"/>
                <w:kern w:val="0"/>
                <w:szCs w:val="21"/>
                <w:lang w:bidi="ar"/>
              </w:rPr>
              <w:br w:type="textWrapping"/>
            </w:r>
            <w:r>
              <w:rPr>
                <w:rFonts w:hint="eastAsia" w:ascii="宋体" w:hAnsi="宋体" w:cs="宋体"/>
                <w:kern w:val="0"/>
                <w:szCs w:val="21"/>
                <w:lang w:bidi="ar"/>
              </w:rPr>
              <w:t>采用79GHz MMIC技术，分辨率更高，检测更稳定；</w:t>
            </w:r>
            <w:r>
              <w:rPr>
                <w:rFonts w:hint="eastAsia" w:ascii="宋体" w:hAnsi="宋体" w:cs="宋体"/>
                <w:kern w:val="0"/>
                <w:szCs w:val="21"/>
                <w:lang w:bidi="ar"/>
              </w:rPr>
              <w:br w:type="textWrapping"/>
            </w:r>
            <w:r>
              <w:rPr>
                <w:rFonts w:hint="eastAsia" w:ascii="宋体" w:hAnsi="宋体" w:cs="宋体"/>
                <w:kern w:val="0"/>
                <w:szCs w:val="21"/>
                <w:lang w:bidi="ar"/>
              </w:rPr>
              <w:t>雷达检测距离可调，检测宽度可调，操作方便，通用性强；</w:t>
            </w:r>
            <w:r>
              <w:rPr>
                <w:rFonts w:hint="eastAsia" w:ascii="宋体" w:hAnsi="宋体" w:cs="宋体"/>
                <w:kern w:val="0"/>
                <w:szCs w:val="21"/>
                <w:lang w:bidi="ar"/>
              </w:rPr>
              <w:br w:type="textWrapping"/>
            </w:r>
            <w:r>
              <w:rPr>
                <w:rFonts w:hint="eastAsia" w:ascii="宋体" w:hAnsi="宋体" w:cs="宋体"/>
                <w:kern w:val="0"/>
                <w:szCs w:val="21"/>
                <w:lang w:bidi="ar"/>
              </w:rPr>
              <w:t>无需学习背景，适应更多复杂现场环境；</w:t>
            </w:r>
            <w:r>
              <w:rPr>
                <w:rFonts w:hint="eastAsia" w:ascii="宋体" w:hAnsi="宋体" w:cs="宋体"/>
                <w:kern w:val="0"/>
                <w:szCs w:val="21"/>
                <w:lang w:bidi="ar"/>
              </w:rPr>
              <w:br w:type="textWrapping"/>
            </w:r>
            <w:r>
              <w:rPr>
                <w:rFonts w:hint="eastAsia" w:ascii="宋体" w:hAnsi="宋体" w:cs="宋体"/>
                <w:kern w:val="0"/>
                <w:szCs w:val="21"/>
                <w:lang w:bidi="ar"/>
              </w:rPr>
              <w:t>提供RS485串口或者WIFI通讯功能，WIFI版本配备手机APP，可对雷达进行在线调试、固件升级，操作更方便；</w:t>
            </w:r>
            <w:r>
              <w:rPr>
                <w:rFonts w:hint="eastAsia" w:ascii="宋体" w:hAnsi="宋体" w:cs="宋体"/>
                <w:kern w:val="0"/>
                <w:szCs w:val="21"/>
                <w:lang w:bidi="ar"/>
              </w:rPr>
              <w:br w:type="textWrapping"/>
            </w:r>
            <w:r>
              <w:rPr>
                <w:rFonts w:hint="eastAsia" w:ascii="宋体" w:hAnsi="宋体" w:cs="宋体"/>
                <w:kern w:val="0"/>
                <w:szCs w:val="21"/>
                <w:lang w:bidi="ar"/>
              </w:rPr>
              <w:t>安装与维护方便，所需人力少，工时短。</w:t>
            </w:r>
            <w:r>
              <w:rPr>
                <w:rFonts w:hint="eastAsia" w:ascii="宋体" w:hAnsi="宋体" w:cs="宋体"/>
                <w:kern w:val="0"/>
                <w:szCs w:val="21"/>
                <w:lang w:bidi="ar"/>
              </w:rPr>
              <w:br w:type="textWrapping"/>
            </w:r>
            <w:r>
              <w:rPr>
                <w:rFonts w:hint="eastAsia" w:ascii="宋体" w:hAnsi="宋体" w:cs="宋体"/>
                <w:kern w:val="0"/>
                <w:szCs w:val="21"/>
                <w:lang w:bidi="ar"/>
              </w:rPr>
              <w:t>具备检测车和人功能，支持单人过滤。</w:t>
            </w:r>
            <w:r>
              <w:rPr>
                <w:rFonts w:hint="eastAsia" w:ascii="宋体" w:hAnsi="宋体" w:cs="宋体"/>
                <w:kern w:val="0"/>
                <w:szCs w:val="21"/>
                <w:lang w:bidi="ar"/>
              </w:rPr>
              <w:br w:type="textWrapping"/>
            </w:r>
            <w:r>
              <w:rPr>
                <w:rFonts w:hint="eastAsia" w:ascii="宋体" w:hAnsi="宋体" w:cs="宋体"/>
                <w:kern w:val="0"/>
                <w:szCs w:val="21"/>
                <w:lang w:bidi="ar"/>
              </w:rPr>
              <w:t>自动记录雷达的配置参数，断电重启后可恢复至之前的工作状态；</w:t>
            </w:r>
            <w:r>
              <w:rPr>
                <w:rFonts w:hint="eastAsia" w:ascii="宋体" w:hAnsi="宋体" w:cs="宋体"/>
                <w:kern w:val="0"/>
                <w:szCs w:val="21"/>
                <w:lang w:bidi="ar"/>
              </w:rPr>
              <w:br w:type="textWrapping"/>
            </w:r>
            <w:r>
              <w:rPr>
                <w:rFonts w:hint="eastAsia" w:ascii="宋体" w:hAnsi="宋体" w:cs="宋体"/>
                <w:kern w:val="0"/>
                <w:szCs w:val="21"/>
                <w:lang w:bidi="ar"/>
              </w:rPr>
              <w:t>环境适应性强，检测性能不受电磁干扰、光照、灰尘、雨雪等外界环境影响。</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海康威视、朗通、捷顺</w:t>
            </w:r>
          </w:p>
        </w:tc>
      </w:tr>
      <w:tr>
        <w:tblPrEx>
          <w:tblCellMar>
            <w:top w:w="0" w:type="dxa"/>
            <w:left w:w="108" w:type="dxa"/>
            <w:bottom w:w="0" w:type="dxa"/>
            <w:right w:w="108" w:type="dxa"/>
          </w:tblCellMar>
        </w:tblPrEx>
        <w:trPr>
          <w:trHeight w:val="23"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szCs w:val="21"/>
              </w:rPr>
            </w:pPr>
            <w:r>
              <w:rPr>
                <w:rFonts w:hint="eastAsia" w:ascii="宋体" w:hAnsi="宋体" w:cs="宋体"/>
                <w:kern w:val="0"/>
                <w:szCs w:val="21"/>
                <w:lang w:bidi="ar"/>
              </w:rPr>
              <w:t>2</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道闸设备</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智能补光抓拍道闸</w:t>
            </w:r>
          </w:p>
        </w:tc>
        <w:tc>
          <w:tcPr>
            <w:tcW w:w="4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【守蔚7系 D款】【抓拍显示道闸一体机】</w:t>
            </w:r>
            <w:r>
              <w:rPr>
                <w:rFonts w:hint="eastAsia" w:ascii="宋体" w:hAnsi="宋体" w:cs="宋体"/>
                <w:kern w:val="0"/>
                <w:szCs w:val="21"/>
                <w:lang w:bidi="ar"/>
              </w:rPr>
              <w:br w:type="textWrapping"/>
            </w:r>
            <w:r>
              <w:rPr>
                <w:rFonts w:hint="eastAsia" w:ascii="宋体" w:hAnsi="宋体" w:cs="宋体"/>
                <w:kern w:val="0"/>
                <w:szCs w:val="21"/>
                <w:lang w:bidi="ar"/>
              </w:rPr>
              <w:t>高度集成：快速道闸、智能抓拍机、补光灯、LCD屏、防砸雷达、求助按钮、语音播报、语音对讲于一体</w:t>
            </w:r>
            <w:r>
              <w:rPr>
                <w:rFonts w:hint="eastAsia" w:ascii="宋体" w:hAnsi="宋体" w:cs="宋体"/>
                <w:kern w:val="0"/>
                <w:szCs w:val="21"/>
                <w:lang w:bidi="ar"/>
              </w:rPr>
              <w:br w:type="textWrapping"/>
            </w:r>
            <w:r>
              <w:rPr>
                <w:rFonts w:hint="eastAsia" w:ascii="宋体" w:hAnsi="宋体" w:cs="宋体"/>
                <w:kern w:val="0"/>
                <w:szCs w:val="21"/>
                <w:lang w:bidi="ar"/>
              </w:rPr>
              <w:t>快速通行：集成行星齿轮道闸，传动效率高，性能稳定，快速抬杆慢速落杆，实现快速通行</w:t>
            </w:r>
            <w:r>
              <w:rPr>
                <w:rFonts w:hint="eastAsia" w:ascii="宋体" w:hAnsi="宋体" w:cs="宋体"/>
                <w:kern w:val="0"/>
                <w:szCs w:val="21"/>
                <w:lang w:bidi="ar"/>
              </w:rPr>
              <w:br w:type="textWrapping"/>
            </w:r>
            <w:r>
              <w:rPr>
                <w:rFonts w:hint="eastAsia" w:ascii="宋体" w:hAnsi="宋体" w:cs="宋体"/>
                <w:kern w:val="0"/>
                <w:szCs w:val="21"/>
                <w:lang w:bidi="ar"/>
              </w:rPr>
              <w:t>高清晰：400万像素高清摄像机，最大分辨率可达2688*1520，帧率高达25fps；</w:t>
            </w:r>
            <w:r>
              <w:rPr>
                <w:rFonts w:hint="eastAsia" w:ascii="宋体" w:hAnsi="宋体" w:cs="宋体"/>
                <w:kern w:val="0"/>
                <w:szCs w:val="21"/>
                <w:lang w:bidi="ar"/>
              </w:rPr>
              <w:br w:type="textWrapping"/>
            </w:r>
            <w:r>
              <w:rPr>
                <w:rFonts w:hint="eastAsia" w:ascii="宋体" w:hAnsi="宋体" w:cs="宋体"/>
                <w:kern w:val="0"/>
                <w:szCs w:val="21"/>
                <w:lang w:bidi="ar"/>
              </w:rPr>
              <w:t>低照度效果：1/3"逐行扫描CMOS，成像效果好，0.022Lux低照度监控效果，夜间看的更清；</w:t>
            </w:r>
            <w:r>
              <w:rPr>
                <w:rFonts w:hint="eastAsia" w:ascii="宋体" w:hAnsi="宋体" w:cs="宋体"/>
                <w:kern w:val="0"/>
                <w:szCs w:val="21"/>
                <w:lang w:bidi="ar"/>
              </w:rPr>
              <w:br w:type="textWrapping"/>
            </w:r>
            <w:r>
              <w:rPr>
                <w:rFonts w:hint="eastAsia" w:ascii="宋体" w:hAnsi="宋体" w:cs="宋体"/>
                <w:kern w:val="0"/>
                <w:szCs w:val="21"/>
                <w:lang w:bidi="ar"/>
              </w:rPr>
              <w:t>显示屏：LCD版：21.5英寸LCD屏，可支持无牌车扫码进出、支持二维码显示、支持图片视频广告播放</w:t>
            </w:r>
            <w:r>
              <w:rPr>
                <w:rFonts w:hint="eastAsia" w:ascii="宋体" w:hAnsi="宋体" w:cs="宋体"/>
                <w:kern w:val="0"/>
                <w:szCs w:val="21"/>
                <w:lang w:bidi="ar"/>
              </w:rPr>
              <w:br w:type="textWrapping"/>
            </w:r>
            <w:r>
              <w:rPr>
                <w:rFonts w:hint="eastAsia" w:ascii="宋体" w:hAnsi="宋体" w:cs="宋体"/>
                <w:kern w:val="0"/>
                <w:szCs w:val="21"/>
                <w:lang w:bidi="ar"/>
              </w:rPr>
              <w:t>补光灯：内置9颗高亮LED灯，智能补光技术，支持时控和光控</w:t>
            </w:r>
            <w:r>
              <w:rPr>
                <w:rFonts w:hint="eastAsia" w:ascii="宋体" w:hAnsi="宋体" w:cs="宋体"/>
                <w:kern w:val="0"/>
                <w:szCs w:val="21"/>
                <w:lang w:bidi="ar"/>
              </w:rPr>
              <w:br w:type="textWrapping"/>
            </w:r>
            <w:r>
              <w:rPr>
                <w:rFonts w:hint="eastAsia" w:ascii="宋体" w:hAnsi="宋体" w:cs="宋体"/>
                <w:kern w:val="0"/>
                <w:szCs w:val="21"/>
                <w:lang w:bidi="ar"/>
              </w:rPr>
              <w:t>调试方便：采用3.1-6mm电动变焦镜头，支持软件自动调焦，调试更加方便，场景适应性更广；</w:t>
            </w:r>
            <w:r>
              <w:rPr>
                <w:rFonts w:hint="eastAsia" w:ascii="宋体" w:hAnsi="宋体" w:cs="宋体"/>
                <w:kern w:val="0"/>
                <w:szCs w:val="21"/>
                <w:lang w:bidi="ar"/>
              </w:rPr>
              <w:br w:type="textWrapping"/>
            </w:r>
            <w:r>
              <w:rPr>
                <w:rFonts w:hint="eastAsia" w:ascii="宋体" w:hAnsi="宋体" w:cs="宋体"/>
                <w:kern w:val="0"/>
                <w:szCs w:val="21"/>
                <w:lang w:bidi="ar"/>
              </w:rPr>
              <w:t>车牌识别种类：支持识别的号牌类型包括大（小）型汽车、使领馆汽车、警用汽车、教练汽车、新能源汽车、军车等；2019式武警车牌等国标车牌；</w:t>
            </w:r>
            <w:r>
              <w:rPr>
                <w:rFonts w:hint="eastAsia" w:ascii="宋体" w:hAnsi="宋体" w:cs="宋体"/>
                <w:kern w:val="0"/>
                <w:szCs w:val="21"/>
                <w:lang w:bidi="ar"/>
              </w:rPr>
              <w:br w:type="textWrapping"/>
            </w:r>
            <w:r>
              <w:rPr>
                <w:rFonts w:hint="eastAsia" w:ascii="宋体" w:hAnsi="宋体" w:cs="宋体"/>
                <w:kern w:val="0"/>
                <w:szCs w:val="21"/>
                <w:lang w:bidi="ar"/>
              </w:rPr>
              <w:t>车辆结构化：支持车型识别，车标识别，车身颜色识别，子品牌检测</w:t>
            </w:r>
            <w:r>
              <w:rPr>
                <w:rFonts w:hint="eastAsia" w:ascii="宋体" w:hAnsi="宋体" w:cs="宋体"/>
                <w:kern w:val="0"/>
                <w:szCs w:val="21"/>
                <w:lang w:bidi="ar"/>
              </w:rPr>
              <w:br w:type="textWrapping"/>
            </w:r>
            <w:r>
              <w:rPr>
                <w:rFonts w:hint="eastAsia" w:ascii="宋体" w:hAnsi="宋体" w:cs="宋体"/>
                <w:kern w:val="0"/>
                <w:szCs w:val="21"/>
                <w:lang w:bidi="ar"/>
              </w:rPr>
              <w:t>黑白名单控制：支持黑、白名单的导入及对比，可直接联动道闸开闸，支持脱机运行；</w:t>
            </w:r>
            <w:r>
              <w:rPr>
                <w:rFonts w:hint="eastAsia" w:ascii="宋体" w:hAnsi="宋体" w:cs="宋体"/>
                <w:kern w:val="0"/>
                <w:szCs w:val="21"/>
                <w:lang w:bidi="ar"/>
              </w:rPr>
              <w:br w:type="textWrapping"/>
            </w:r>
            <w:r>
              <w:rPr>
                <w:rFonts w:hint="eastAsia" w:ascii="宋体" w:hAnsi="宋体" w:cs="宋体"/>
                <w:kern w:val="0"/>
                <w:szCs w:val="21"/>
                <w:lang w:bidi="ar"/>
              </w:rPr>
              <w:t>多种触发模式：支持视频触发、线圈触发、雷达触发等多种触发模式；捕获率高，纯视频识别，纯视频抓拍时可捕获无车牌，捕获率99.9%以上</w:t>
            </w:r>
            <w:r>
              <w:rPr>
                <w:rFonts w:hint="eastAsia" w:ascii="宋体" w:hAnsi="宋体" w:cs="宋体"/>
                <w:kern w:val="0"/>
                <w:szCs w:val="21"/>
                <w:lang w:bidi="ar"/>
              </w:rPr>
              <w:br w:type="textWrapping"/>
            </w:r>
            <w:r>
              <w:rPr>
                <w:rFonts w:hint="eastAsia" w:ascii="宋体" w:hAnsi="宋体" w:cs="宋体"/>
                <w:kern w:val="0"/>
                <w:szCs w:val="21"/>
                <w:lang w:bidi="ar"/>
              </w:rPr>
              <w:t>防跟车模式：支持视频防跟车、雷达/线圈防跟车两种模式，对于连续过车的场景，可实现跟车不落杆，有效解决拥堵问题；</w:t>
            </w:r>
            <w:r>
              <w:rPr>
                <w:rFonts w:hint="eastAsia" w:ascii="宋体" w:hAnsi="宋体" w:cs="宋体"/>
                <w:kern w:val="0"/>
                <w:szCs w:val="21"/>
                <w:lang w:bidi="ar"/>
              </w:rPr>
              <w:br w:type="textWrapping"/>
            </w:r>
            <w:r>
              <w:rPr>
                <w:rFonts w:hint="eastAsia" w:ascii="宋体" w:hAnsi="宋体" w:cs="宋体"/>
                <w:kern w:val="0"/>
                <w:szCs w:val="21"/>
                <w:lang w:bidi="ar"/>
              </w:rPr>
              <w:t>防护等级：机箱表面采用抗紫外线静电喷塑工艺，不起皮，不褪色，防尘防水等级符合室外设备IP54级别要求；</w:t>
            </w:r>
            <w:r>
              <w:rPr>
                <w:rFonts w:hint="eastAsia" w:ascii="宋体" w:hAnsi="宋体" w:cs="宋体"/>
                <w:kern w:val="0"/>
                <w:szCs w:val="21"/>
                <w:lang w:bidi="ar"/>
              </w:rPr>
              <w:br w:type="textWrapping"/>
            </w:r>
            <w:r>
              <w:rPr>
                <w:rFonts w:hint="eastAsia" w:ascii="宋体" w:hAnsi="宋体" w:cs="宋体"/>
                <w:kern w:val="0"/>
                <w:szCs w:val="21"/>
                <w:lang w:bidi="ar"/>
              </w:rPr>
              <w:t>易安装维护：一体化结构设计，布线简单，调试方便。一站式安装维护，缩短施工周期达1/3以上</w:t>
            </w:r>
            <w:r>
              <w:rPr>
                <w:rFonts w:hint="eastAsia" w:ascii="宋体" w:hAnsi="宋体" w:cs="宋体"/>
                <w:kern w:val="0"/>
                <w:szCs w:val="21"/>
                <w:lang w:bidi="ar"/>
              </w:rPr>
              <w:br w:type="textWrapping"/>
            </w:r>
            <w:r>
              <w:rPr>
                <w:rFonts w:hint="eastAsia" w:ascii="宋体" w:hAnsi="宋体" w:cs="宋体"/>
                <w:kern w:val="0"/>
                <w:szCs w:val="21"/>
                <w:lang w:bidi="ar"/>
              </w:rPr>
              <w:t>防跟车模式：支持视频防跟车、雷达/线圈防跟车两种模式，对于连续过车的场景，可实现跟车不落杆，有效解决拥堵问题；</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【摄像机】</w:t>
            </w:r>
            <w:r>
              <w:rPr>
                <w:rFonts w:hint="eastAsia" w:ascii="宋体" w:hAnsi="宋体" w:cs="宋体"/>
                <w:kern w:val="0"/>
                <w:szCs w:val="21"/>
                <w:lang w:bidi="ar"/>
              </w:rPr>
              <w:br w:type="textWrapping"/>
            </w:r>
            <w:r>
              <w:rPr>
                <w:rFonts w:hint="eastAsia" w:ascii="宋体" w:hAnsi="宋体" w:cs="宋体"/>
                <w:kern w:val="0"/>
                <w:szCs w:val="21"/>
                <w:lang w:bidi="ar"/>
              </w:rPr>
              <w:t>传感器类型：1/3" Progressive Scan CMOS</w:t>
            </w:r>
            <w:r>
              <w:rPr>
                <w:rFonts w:hint="eastAsia" w:ascii="宋体" w:hAnsi="宋体" w:cs="宋体"/>
                <w:kern w:val="0"/>
                <w:szCs w:val="21"/>
                <w:lang w:bidi="ar"/>
              </w:rPr>
              <w:br w:type="textWrapping"/>
            </w:r>
            <w:r>
              <w:rPr>
                <w:rFonts w:hint="eastAsia" w:ascii="宋体" w:hAnsi="宋体" w:cs="宋体"/>
                <w:kern w:val="0"/>
                <w:szCs w:val="21"/>
                <w:lang w:bidi="ar"/>
              </w:rPr>
              <w:t>最低照度：彩色0.022lx (F2.0,AGC ON)</w:t>
            </w:r>
            <w:r>
              <w:rPr>
                <w:rFonts w:hint="eastAsia" w:ascii="宋体" w:hAnsi="宋体" w:cs="宋体"/>
                <w:kern w:val="0"/>
                <w:szCs w:val="21"/>
                <w:lang w:bidi="ar"/>
              </w:rPr>
              <w:br w:type="textWrapping"/>
            </w:r>
            <w:r>
              <w:rPr>
                <w:rFonts w:hint="eastAsia" w:ascii="宋体" w:hAnsi="宋体" w:cs="宋体"/>
                <w:kern w:val="0"/>
                <w:szCs w:val="21"/>
                <w:lang w:bidi="ar"/>
              </w:rPr>
              <w:t>黑白0.011lx(F2.0,AGC ON)</w:t>
            </w:r>
            <w:r>
              <w:rPr>
                <w:rFonts w:hint="eastAsia" w:ascii="宋体" w:hAnsi="宋体" w:cs="宋体"/>
                <w:kern w:val="0"/>
                <w:szCs w:val="21"/>
                <w:lang w:bidi="ar"/>
              </w:rPr>
              <w:br w:type="textWrapping"/>
            </w:r>
            <w:r>
              <w:rPr>
                <w:rFonts w:hint="eastAsia" w:ascii="宋体" w:hAnsi="宋体" w:cs="宋体"/>
                <w:kern w:val="0"/>
                <w:szCs w:val="21"/>
                <w:lang w:bidi="ar"/>
              </w:rPr>
              <w:t>快门：1/30秒至1/100,000秒</w:t>
            </w:r>
            <w:r>
              <w:rPr>
                <w:rFonts w:hint="eastAsia" w:ascii="宋体" w:hAnsi="宋体" w:cs="宋体"/>
                <w:kern w:val="0"/>
                <w:szCs w:val="21"/>
                <w:lang w:bidi="ar"/>
              </w:rPr>
              <w:br w:type="textWrapping"/>
            </w:r>
            <w:r>
              <w:rPr>
                <w:rFonts w:hint="eastAsia" w:ascii="宋体" w:hAnsi="宋体" w:cs="宋体"/>
                <w:kern w:val="0"/>
                <w:szCs w:val="21"/>
                <w:lang w:bidi="ar"/>
              </w:rPr>
              <w:t>镜头：3.1~6mm电动变焦镜头</w:t>
            </w:r>
            <w:r>
              <w:rPr>
                <w:rFonts w:hint="eastAsia" w:ascii="宋体" w:hAnsi="宋体" w:cs="宋体"/>
                <w:kern w:val="0"/>
                <w:szCs w:val="21"/>
                <w:lang w:bidi="ar"/>
              </w:rPr>
              <w:br w:type="textWrapping"/>
            </w:r>
            <w:r>
              <w:rPr>
                <w:rFonts w:hint="eastAsia" w:ascii="宋体" w:hAnsi="宋体" w:cs="宋体"/>
                <w:kern w:val="0"/>
                <w:szCs w:val="21"/>
                <w:lang w:bidi="ar"/>
              </w:rPr>
              <w:t>自动光圈：DC驱动</w:t>
            </w:r>
            <w:r>
              <w:rPr>
                <w:rFonts w:hint="eastAsia" w:ascii="宋体" w:hAnsi="宋体" w:cs="宋体"/>
                <w:kern w:val="0"/>
                <w:szCs w:val="21"/>
                <w:lang w:bidi="ar"/>
              </w:rPr>
              <w:br w:type="textWrapping"/>
            </w:r>
            <w:r>
              <w:rPr>
                <w:rFonts w:hint="eastAsia" w:ascii="宋体" w:hAnsi="宋体" w:cs="宋体"/>
                <w:kern w:val="0"/>
                <w:szCs w:val="21"/>
                <w:lang w:bidi="ar"/>
              </w:rPr>
              <w:t>ICR切换：支持</w:t>
            </w:r>
            <w:r>
              <w:rPr>
                <w:rFonts w:hint="eastAsia" w:ascii="宋体" w:hAnsi="宋体" w:cs="宋体"/>
                <w:kern w:val="0"/>
                <w:szCs w:val="21"/>
                <w:lang w:bidi="ar"/>
              </w:rPr>
              <w:br w:type="textWrapping"/>
            </w:r>
            <w:r>
              <w:rPr>
                <w:rFonts w:hint="eastAsia" w:ascii="宋体" w:hAnsi="宋体" w:cs="宋体"/>
                <w:kern w:val="0"/>
                <w:szCs w:val="21"/>
                <w:lang w:bidi="ar"/>
              </w:rPr>
              <w:t>日夜转换模式：ICR红外滤片式</w:t>
            </w:r>
            <w:r>
              <w:rPr>
                <w:rFonts w:hint="eastAsia" w:ascii="宋体" w:hAnsi="宋体" w:cs="宋体"/>
                <w:kern w:val="0"/>
                <w:szCs w:val="21"/>
                <w:lang w:bidi="ar"/>
              </w:rPr>
              <w:br w:type="textWrapping"/>
            </w:r>
            <w:r>
              <w:rPr>
                <w:rFonts w:hint="eastAsia" w:ascii="宋体" w:hAnsi="宋体" w:cs="宋体"/>
                <w:kern w:val="0"/>
                <w:szCs w:val="21"/>
                <w:lang w:bidi="ar"/>
              </w:rPr>
              <w:t>数字降噪：3D数字降噪</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【压缩标准】</w:t>
            </w:r>
            <w:r>
              <w:rPr>
                <w:rFonts w:hint="eastAsia" w:ascii="宋体" w:hAnsi="宋体" w:cs="宋体"/>
                <w:kern w:val="0"/>
                <w:szCs w:val="21"/>
                <w:lang w:bidi="ar"/>
              </w:rPr>
              <w:br w:type="textWrapping"/>
            </w:r>
            <w:r>
              <w:rPr>
                <w:rFonts w:hint="eastAsia" w:ascii="宋体" w:hAnsi="宋体" w:cs="宋体"/>
                <w:kern w:val="0"/>
                <w:szCs w:val="21"/>
                <w:lang w:bidi="ar"/>
              </w:rPr>
              <w:t>视频压缩标准：H.264/H.265/MJPEG</w:t>
            </w:r>
            <w:r>
              <w:rPr>
                <w:rFonts w:hint="eastAsia" w:ascii="宋体" w:hAnsi="宋体" w:cs="宋体"/>
                <w:kern w:val="0"/>
                <w:szCs w:val="21"/>
                <w:lang w:bidi="ar"/>
              </w:rPr>
              <w:br w:type="textWrapping"/>
            </w:r>
            <w:r>
              <w:rPr>
                <w:rFonts w:hint="eastAsia" w:ascii="宋体" w:hAnsi="宋体" w:cs="宋体"/>
                <w:kern w:val="0"/>
                <w:szCs w:val="21"/>
                <w:lang w:bidi="ar"/>
              </w:rPr>
              <w:t>视频压缩码率：32 Kbps~16M bps</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【图像】</w:t>
            </w:r>
            <w:r>
              <w:rPr>
                <w:rFonts w:hint="eastAsia" w:ascii="宋体" w:hAnsi="宋体" w:cs="宋体"/>
                <w:kern w:val="0"/>
                <w:szCs w:val="21"/>
                <w:lang w:bidi="ar"/>
              </w:rPr>
              <w:br w:type="textWrapping"/>
            </w:r>
            <w:r>
              <w:rPr>
                <w:rFonts w:hint="eastAsia" w:ascii="宋体" w:hAnsi="宋体" w:cs="宋体"/>
                <w:kern w:val="0"/>
                <w:szCs w:val="21"/>
                <w:lang w:bidi="ar"/>
              </w:rPr>
              <w:t>图像格式：JPEG</w:t>
            </w:r>
            <w:r>
              <w:rPr>
                <w:rFonts w:hint="eastAsia" w:ascii="宋体" w:hAnsi="宋体" w:cs="宋体"/>
                <w:kern w:val="0"/>
                <w:szCs w:val="21"/>
                <w:lang w:bidi="ar"/>
              </w:rPr>
              <w:br w:type="textWrapping"/>
            </w:r>
            <w:r>
              <w:rPr>
                <w:rFonts w:hint="eastAsia" w:ascii="宋体" w:hAnsi="宋体" w:cs="宋体"/>
                <w:kern w:val="0"/>
                <w:szCs w:val="21"/>
                <w:lang w:bidi="ar"/>
              </w:rPr>
              <w:t>最大图像尺寸：2688*1520</w:t>
            </w:r>
            <w:r>
              <w:rPr>
                <w:rFonts w:hint="eastAsia" w:ascii="宋体" w:hAnsi="宋体" w:cs="宋体"/>
                <w:kern w:val="0"/>
                <w:szCs w:val="21"/>
                <w:lang w:bidi="ar"/>
              </w:rPr>
              <w:br w:type="textWrapping"/>
            </w:r>
            <w:r>
              <w:rPr>
                <w:rFonts w:hint="eastAsia" w:ascii="宋体" w:hAnsi="宋体" w:cs="宋体"/>
                <w:kern w:val="0"/>
                <w:szCs w:val="21"/>
                <w:lang w:bidi="ar"/>
              </w:rPr>
              <w:t>帧率：25fps(2688*1520)</w:t>
            </w:r>
            <w:r>
              <w:rPr>
                <w:rFonts w:hint="eastAsia" w:ascii="宋体" w:hAnsi="宋体" w:cs="宋体"/>
                <w:kern w:val="0"/>
                <w:szCs w:val="21"/>
                <w:lang w:bidi="ar"/>
              </w:rPr>
              <w:br w:type="textWrapping"/>
            </w:r>
            <w:r>
              <w:rPr>
                <w:rFonts w:hint="eastAsia" w:ascii="宋体" w:hAnsi="宋体" w:cs="宋体"/>
                <w:kern w:val="0"/>
                <w:szCs w:val="21"/>
                <w:lang w:bidi="ar"/>
              </w:rPr>
              <w:t>图像设置：饱和度,亮度,对比度,白平衡,增益,3D降噪通过软件可调</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【网络功能】</w:t>
            </w:r>
            <w:r>
              <w:rPr>
                <w:rFonts w:hint="eastAsia" w:ascii="宋体" w:hAnsi="宋体" w:cs="宋体"/>
                <w:kern w:val="0"/>
                <w:szCs w:val="21"/>
                <w:lang w:bidi="ar"/>
              </w:rPr>
              <w:br w:type="textWrapping"/>
            </w:r>
            <w:r>
              <w:rPr>
                <w:rFonts w:hint="eastAsia" w:ascii="宋体" w:hAnsi="宋体" w:cs="宋体"/>
                <w:kern w:val="0"/>
                <w:szCs w:val="21"/>
                <w:lang w:bidi="ar"/>
              </w:rPr>
              <w:t>支持协议：TCP/IP,HTTP,DHCP,DNS,RTP,RTSP,NTP,支持FTP上传图片</w:t>
            </w:r>
            <w:r>
              <w:rPr>
                <w:rFonts w:hint="eastAsia" w:ascii="宋体" w:hAnsi="宋体" w:cs="宋体"/>
                <w:kern w:val="0"/>
                <w:szCs w:val="21"/>
                <w:lang w:bidi="ar"/>
              </w:rPr>
              <w:br w:type="textWrapping"/>
            </w:r>
            <w:r>
              <w:rPr>
                <w:rFonts w:hint="eastAsia" w:ascii="宋体" w:hAnsi="宋体" w:cs="宋体"/>
                <w:kern w:val="0"/>
                <w:szCs w:val="21"/>
                <w:lang w:bidi="ar"/>
              </w:rPr>
              <w:t>通用功能：心跳,密码保护,NTP校时</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【抓拍功能】</w:t>
            </w:r>
            <w:r>
              <w:rPr>
                <w:rFonts w:hint="eastAsia" w:ascii="宋体" w:hAnsi="宋体" w:cs="宋体"/>
                <w:kern w:val="0"/>
                <w:szCs w:val="21"/>
                <w:lang w:bidi="ar"/>
              </w:rPr>
              <w:br w:type="textWrapping"/>
            </w:r>
            <w:r>
              <w:rPr>
                <w:rFonts w:hint="eastAsia" w:ascii="宋体" w:hAnsi="宋体" w:cs="宋体"/>
                <w:kern w:val="0"/>
                <w:szCs w:val="21"/>
                <w:lang w:bidi="ar"/>
              </w:rPr>
              <w:t>图片格式：采用JPEG编码,图片质量可设</w:t>
            </w:r>
            <w:r>
              <w:rPr>
                <w:rFonts w:hint="eastAsia" w:ascii="宋体" w:hAnsi="宋体" w:cs="宋体"/>
                <w:kern w:val="0"/>
                <w:szCs w:val="21"/>
                <w:lang w:bidi="ar"/>
              </w:rPr>
              <w:br w:type="textWrapping"/>
            </w:r>
            <w:r>
              <w:rPr>
                <w:rFonts w:hint="eastAsia" w:ascii="宋体" w:hAnsi="宋体" w:cs="宋体"/>
                <w:kern w:val="0"/>
                <w:szCs w:val="21"/>
                <w:lang w:bidi="ar"/>
              </w:rPr>
              <w:t>智能识别：车牌识别、车型识别、车标识别、车辆子品牌，车身颜色识别</w:t>
            </w:r>
            <w:r>
              <w:rPr>
                <w:rFonts w:hint="eastAsia" w:ascii="宋体" w:hAnsi="宋体" w:cs="宋体"/>
                <w:kern w:val="0"/>
                <w:szCs w:val="21"/>
                <w:lang w:bidi="ar"/>
              </w:rPr>
              <w:br w:type="textWrapping"/>
            </w:r>
            <w:r>
              <w:rPr>
                <w:rFonts w:hint="eastAsia" w:ascii="宋体" w:hAnsi="宋体" w:cs="宋体"/>
                <w:kern w:val="0"/>
                <w:szCs w:val="21"/>
                <w:lang w:bidi="ar"/>
              </w:rPr>
              <w:t>补光灯控制：补光灯自动光控、时控可选；</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【接口】</w:t>
            </w:r>
            <w:r>
              <w:rPr>
                <w:rFonts w:hint="eastAsia" w:ascii="宋体" w:hAnsi="宋体" w:cs="宋体"/>
                <w:kern w:val="0"/>
                <w:szCs w:val="21"/>
                <w:lang w:bidi="ar"/>
              </w:rPr>
              <w:br w:type="textWrapping"/>
            </w:r>
            <w:r>
              <w:rPr>
                <w:rFonts w:hint="eastAsia" w:ascii="宋体" w:hAnsi="宋体" w:cs="宋体"/>
                <w:kern w:val="0"/>
                <w:szCs w:val="21"/>
                <w:lang w:bidi="ar"/>
              </w:rPr>
              <w:t>通讯接口：1 个RJ45 10M/100M 自适应以太网口，1个RS-232接口</w:t>
            </w:r>
            <w:r>
              <w:rPr>
                <w:rFonts w:hint="eastAsia" w:ascii="宋体" w:hAnsi="宋体" w:cs="宋体"/>
                <w:kern w:val="0"/>
                <w:szCs w:val="21"/>
                <w:lang w:bidi="ar"/>
              </w:rPr>
              <w:br w:type="textWrapping"/>
            </w:r>
            <w:r>
              <w:rPr>
                <w:rFonts w:hint="eastAsia" w:ascii="宋体" w:hAnsi="宋体" w:cs="宋体"/>
                <w:kern w:val="0"/>
                <w:szCs w:val="21"/>
                <w:lang w:bidi="ar"/>
              </w:rPr>
              <w:t>补光灯：内置9颗LED补光灯</w:t>
            </w:r>
            <w:r>
              <w:rPr>
                <w:rFonts w:hint="eastAsia" w:ascii="宋体" w:hAnsi="宋体" w:cs="宋体"/>
                <w:kern w:val="0"/>
                <w:szCs w:val="21"/>
                <w:lang w:bidi="ar"/>
              </w:rPr>
              <w:br w:type="textWrapping"/>
            </w:r>
            <w:r>
              <w:rPr>
                <w:rFonts w:hint="eastAsia" w:ascii="宋体" w:hAnsi="宋体" w:cs="宋体"/>
                <w:kern w:val="0"/>
                <w:szCs w:val="21"/>
                <w:lang w:bidi="ar"/>
              </w:rPr>
              <w:t>外部接口：2路触发输入；2路继电器输出</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【一般规范】</w:t>
            </w:r>
            <w:r>
              <w:rPr>
                <w:rFonts w:hint="eastAsia" w:ascii="宋体" w:hAnsi="宋体" w:cs="宋体"/>
                <w:kern w:val="0"/>
                <w:szCs w:val="21"/>
                <w:lang w:bidi="ar"/>
              </w:rPr>
              <w:br w:type="textWrapping"/>
            </w:r>
            <w:r>
              <w:rPr>
                <w:rFonts w:hint="eastAsia" w:ascii="宋体" w:hAnsi="宋体" w:cs="宋体"/>
                <w:kern w:val="0"/>
                <w:szCs w:val="21"/>
                <w:lang w:bidi="ar"/>
              </w:rPr>
              <w:t>工作温度和湿度：-20℃~70℃,湿度小于90%(无凝结)</w:t>
            </w:r>
            <w:r>
              <w:rPr>
                <w:rFonts w:hint="eastAsia" w:ascii="宋体" w:hAnsi="宋体" w:cs="宋体"/>
                <w:kern w:val="0"/>
                <w:szCs w:val="21"/>
                <w:lang w:bidi="ar"/>
              </w:rPr>
              <w:br w:type="textWrapping"/>
            </w:r>
            <w:r>
              <w:rPr>
                <w:rFonts w:hint="eastAsia" w:ascii="宋体" w:hAnsi="宋体" w:cs="宋体"/>
                <w:kern w:val="0"/>
                <w:szCs w:val="21"/>
                <w:lang w:bidi="ar"/>
              </w:rPr>
              <w:t>电源供应：AC100V~240V</w:t>
            </w:r>
            <w:r>
              <w:rPr>
                <w:rFonts w:hint="eastAsia" w:ascii="宋体" w:hAnsi="宋体" w:cs="宋体"/>
                <w:kern w:val="0"/>
                <w:szCs w:val="21"/>
                <w:lang w:bidi="ar"/>
              </w:rPr>
              <w:br w:type="textWrapping"/>
            </w:r>
            <w:r>
              <w:rPr>
                <w:rFonts w:hint="eastAsia" w:ascii="宋体" w:hAnsi="宋体" w:cs="宋体"/>
                <w:kern w:val="0"/>
                <w:szCs w:val="21"/>
                <w:lang w:bidi="ar"/>
              </w:rPr>
              <w:t>功耗：350w</w:t>
            </w:r>
            <w:r>
              <w:rPr>
                <w:rFonts w:hint="eastAsia" w:ascii="宋体" w:hAnsi="宋体" w:cs="宋体"/>
                <w:kern w:val="0"/>
                <w:szCs w:val="21"/>
                <w:lang w:bidi="ar"/>
              </w:rPr>
              <w:br w:type="textWrapping"/>
            </w:r>
            <w:r>
              <w:rPr>
                <w:rFonts w:hint="eastAsia" w:ascii="宋体" w:hAnsi="宋体" w:cs="宋体"/>
                <w:kern w:val="0"/>
                <w:szCs w:val="21"/>
                <w:lang w:bidi="ar"/>
              </w:rPr>
              <w:t>防护等级：IP54</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【道闸参数】</w:t>
            </w:r>
            <w:r>
              <w:rPr>
                <w:rFonts w:hint="eastAsia" w:ascii="宋体" w:hAnsi="宋体" w:cs="宋体"/>
                <w:kern w:val="0"/>
                <w:szCs w:val="21"/>
                <w:lang w:bidi="ar"/>
              </w:rPr>
              <w:br w:type="textWrapping"/>
            </w:r>
            <w:r>
              <w:rPr>
                <w:rFonts w:hint="eastAsia" w:ascii="宋体" w:hAnsi="宋体" w:cs="宋体"/>
                <w:kern w:val="0"/>
                <w:szCs w:val="21"/>
                <w:lang w:bidi="ar"/>
              </w:rPr>
              <w:t>杆子类型：直杆</w:t>
            </w:r>
            <w:r>
              <w:rPr>
                <w:rFonts w:hint="eastAsia" w:ascii="宋体" w:hAnsi="宋体" w:cs="宋体"/>
                <w:kern w:val="0"/>
                <w:szCs w:val="21"/>
                <w:lang w:bidi="ar"/>
              </w:rPr>
              <w:br w:type="textWrapping"/>
            </w:r>
            <w:r>
              <w:rPr>
                <w:rFonts w:hint="eastAsia" w:ascii="宋体" w:hAnsi="宋体" w:cs="宋体"/>
                <w:kern w:val="0"/>
                <w:szCs w:val="21"/>
                <w:lang w:bidi="ar"/>
              </w:rPr>
              <w:t>运行噪音：≤65dB</w:t>
            </w:r>
            <w:r>
              <w:rPr>
                <w:rFonts w:hint="eastAsia" w:ascii="宋体" w:hAnsi="宋体" w:cs="宋体"/>
                <w:kern w:val="0"/>
                <w:szCs w:val="21"/>
                <w:lang w:bidi="ar"/>
              </w:rPr>
              <w:br w:type="textWrapping"/>
            </w:r>
            <w:r>
              <w:rPr>
                <w:rFonts w:hint="eastAsia" w:ascii="宋体" w:hAnsi="宋体" w:cs="宋体"/>
                <w:kern w:val="0"/>
                <w:szCs w:val="21"/>
                <w:lang w:bidi="ar"/>
              </w:rPr>
              <w:t>遥控距离：40米内</w:t>
            </w:r>
            <w:r>
              <w:rPr>
                <w:rFonts w:hint="eastAsia" w:ascii="宋体" w:hAnsi="宋体" w:cs="宋体"/>
                <w:kern w:val="0"/>
                <w:szCs w:val="21"/>
                <w:lang w:bidi="ar"/>
              </w:rPr>
              <w:br w:type="textWrapping"/>
            </w:r>
            <w:r>
              <w:rPr>
                <w:rFonts w:hint="eastAsia" w:ascii="宋体" w:hAnsi="宋体" w:cs="宋体"/>
                <w:kern w:val="0"/>
                <w:szCs w:val="21"/>
                <w:lang w:bidi="ar"/>
              </w:rPr>
              <w:t>杆子长度：4米</w:t>
            </w:r>
            <w:r>
              <w:rPr>
                <w:rFonts w:hint="eastAsia" w:ascii="宋体" w:hAnsi="宋体" w:cs="宋体"/>
                <w:kern w:val="0"/>
                <w:szCs w:val="21"/>
                <w:lang w:bidi="ar"/>
              </w:rPr>
              <w:br w:type="textWrapping"/>
            </w:r>
            <w:r>
              <w:rPr>
                <w:rFonts w:hint="eastAsia" w:ascii="宋体" w:hAnsi="宋体" w:cs="宋体"/>
                <w:kern w:val="0"/>
                <w:szCs w:val="21"/>
                <w:lang w:bidi="ar"/>
              </w:rPr>
              <w:t>道闸方向：右向</w:t>
            </w:r>
            <w:r>
              <w:rPr>
                <w:rFonts w:hint="eastAsia" w:ascii="宋体" w:hAnsi="宋体" w:cs="宋体"/>
                <w:kern w:val="0"/>
                <w:szCs w:val="21"/>
                <w:lang w:bidi="ar"/>
              </w:rPr>
              <w:br w:type="textWrapping"/>
            </w:r>
            <w:r>
              <w:rPr>
                <w:rFonts w:hint="eastAsia" w:ascii="宋体" w:hAnsi="宋体" w:cs="宋体"/>
                <w:kern w:val="0"/>
                <w:szCs w:val="21"/>
                <w:lang w:bidi="ar"/>
              </w:rPr>
              <w:t>运行速度： 1.5s、2s、2.5s</w:t>
            </w:r>
            <w:r>
              <w:rPr>
                <w:rFonts w:hint="eastAsia" w:ascii="宋体" w:hAnsi="宋体" w:cs="宋体"/>
                <w:kern w:val="0"/>
                <w:szCs w:val="21"/>
                <w:lang w:bidi="ar"/>
              </w:rPr>
              <w:br w:type="textWrapping"/>
            </w:r>
            <w:r>
              <w:rPr>
                <w:rFonts w:hint="eastAsia" w:ascii="宋体" w:hAnsi="宋体" w:cs="宋体"/>
                <w:kern w:val="0"/>
                <w:szCs w:val="21"/>
                <w:lang w:bidi="ar"/>
              </w:rPr>
              <w:t>机箱材质：2mm冷轧钢板</w:t>
            </w:r>
            <w:r>
              <w:rPr>
                <w:rFonts w:hint="eastAsia" w:ascii="宋体" w:hAnsi="宋体" w:cs="宋体"/>
                <w:kern w:val="0"/>
                <w:szCs w:val="21"/>
                <w:lang w:bidi="ar"/>
              </w:rPr>
              <w:br w:type="textWrapping"/>
            </w:r>
            <w:r>
              <w:rPr>
                <w:rFonts w:hint="eastAsia" w:ascii="宋体" w:hAnsi="宋体" w:cs="宋体"/>
                <w:kern w:val="0"/>
                <w:szCs w:val="21"/>
                <w:lang w:bidi="ar"/>
              </w:rPr>
              <w:t>寿命：500W次</w:t>
            </w:r>
            <w:r>
              <w:rPr>
                <w:rFonts w:hint="eastAsia" w:ascii="宋体" w:hAnsi="宋体" w:cs="宋体"/>
                <w:kern w:val="0"/>
                <w:szCs w:val="21"/>
                <w:lang w:bidi="ar"/>
              </w:rPr>
              <w:br w:type="textWrapping"/>
            </w:r>
            <w:r>
              <w:rPr>
                <w:rFonts w:hint="eastAsia" w:ascii="宋体" w:hAnsi="宋体" w:cs="宋体"/>
                <w:kern w:val="0"/>
                <w:szCs w:val="21"/>
                <w:lang w:bidi="ar"/>
              </w:rPr>
              <w:br w:type="textWrapping"/>
            </w:r>
            <w:r>
              <w:rPr>
                <w:rFonts w:hint="eastAsia" w:ascii="宋体" w:hAnsi="宋体" w:cs="宋体"/>
                <w:kern w:val="0"/>
                <w:szCs w:val="21"/>
                <w:lang w:bidi="ar"/>
              </w:rPr>
              <w:t>【显示屏参数】</w:t>
            </w:r>
            <w:r>
              <w:rPr>
                <w:rFonts w:hint="eastAsia" w:ascii="宋体" w:hAnsi="宋体" w:cs="宋体"/>
                <w:kern w:val="0"/>
                <w:szCs w:val="21"/>
                <w:lang w:bidi="ar"/>
              </w:rPr>
              <w:br w:type="textWrapping"/>
            </w:r>
            <w:r>
              <w:rPr>
                <w:rFonts w:hint="eastAsia" w:ascii="宋体" w:hAnsi="宋体" w:cs="宋体"/>
                <w:kern w:val="0"/>
                <w:szCs w:val="21"/>
                <w:lang w:bidi="ar"/>
              </w:rPr>
              <w:t>显示分辨率：分辨率1080P</w:t>
            </w:r>
            <w:r>
              <w:rPr>
                <w:rFonts w:hint="eastAsia" w:ascii="宋体" w:hAnsi="宋体" w:cs="宋体"/>
                <w:kern w:val="0"/>
                <w:szCs w:val="21"/>
                <w:lang w:bidi="ar"/>
              </w:rPr>
              <w:br w:type="textWrapping"/>
            </w:r>
            <w:r>
              <w:rPr>
                <w:rFonts w:hint="eastAsia" w:ascii="宋体" w:hAnsi="宋体" w:cs="宋体"/>
                <w:kern w:val="0"/>
                <w:szCs w:val="21"/>
                <w:lang w:bidi="ar"/>
              </w:rPr>
              <w:t>显示亮度：最大1500cd/m²</w:t>
            </w:r>
            <w:r>
              <w:rPr>
                <w:rFonts w:hint="eastAsia" w:ascii="宋体" w:hAnsi="宋体" w:cs="宋体"/>
                <w:kern w:val="0"/>
                <w:szCs w:val="21"/>
                <w:lang w:bidi="ar"/>
              </w:rPr>
              <w:br w:type="textWrapping"/>
            </w:r>
            <w:r>
              <w:rPr>
                <w:rFonts w:hint="eastAsia" w:ascii="宋体" w:hAnsi="宋体" w:cs="宋体"/>
                <w:kern w:val="0"/>
                <w:szCs w:val="21"/>
                <w:lang w:bidi="ar"/>
              </w:rPr>
              <w:t>屏幕类型：LCD</w:t>
            </w:r>
            <w:r>
              <w:rPr>
                <w:rFonts w:hint="eastAsia" w:ascii="宋体" w:hAnsi="宋体" w:cs="宋体"/>
                <w:kern w:val="0"/>
                <w:szCs w:val="21"/>
                <w:lang w:bidi="ar"/>
              </w:rPr>
              <w:br w:type="textWrapping"/>
            </w:r>
            <w:r>
              <w:rPr>
                <w:rFonts w:hint="eastAsia" w:ascii="宋体" w:hAnsi="宋体" w:cs="宋体"/>
                <w:kern w:val="0"/>
                <w:szCs w:val="21"/>
                <w:lang w:bidi="ar"/>
              </w:rPr>
              <w:t>显示屏尺寸：21.5寸</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szCs w:val="21"/>
              </w:rPr>
            </w:pPr>
            <w:r>
              <w:rPr>
                <w:rFonts w:hint="eastAsia" w:ascii="宋体" w:hAnsi="宋体" w:cs="宋体"/>
                <w:kern w:val="0"/>
                <w:szCs w:val="21"/>
                <w:lang w:bidi="ar"/>
              </w:rPr>
              <w:t>2</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海康威视、朗通、捷顺</w:t>
            </w:r>
          </w:p>
        </w:tc>
      </w:tr>
      <w:tr>
        <w:tblPrEx>
          <w:tblCellMar>
            <w:top w:w="0" w:type="dxa"/>
            <w:left w:w="108" w:type="dxa"/>
            <w:bottom w:w="0" w:type="dxa"/>
            <w:right w:w="108" w:type="dxa"/>
          </w:tblCellMar>
        </w:tblPrEx>
        <w:trPr>
          <w:trHeight w:val="23"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szCs w:val="21"/>
              </w:rPr>
            </w:pPr>
            <w:r>
              <w:rPr>
                <w:rFonts w:hint="eastAsia" w:ascii="宋体" w:hAnsi="宋体" w:cs="宋体"/>
                <w:kern w:val="0"/>
                <w:szCs w:val="21"/>
                <w:lang w:bidi="ar"/>
              </w:rPr>
              <w:t>3</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客户端</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出入口控制终端硬件</w:t>
            </w:r>
          </w:p>
        </w:tc>
        <w:tc>
          <w:tcPr>
            <w:tcW w:w="4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用于前端出入口岗亭，选用平台管理模式时配置。</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台</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szCs w:val="21"/>
              </w:rPr>
            </w:pPr>
            <w:r>
              <w:rPr>
                <w:rFonts w:hint="eastAsia" w:ascii="宋体" w:hAnsi="宋体" w:cs="宋体"/>
                <w:kern w:val="0"/>
                <w:szCs w:val="21"/>
                <w:lang w:bidi="ar"/>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海康威视、朗通、捷顺</w:t>
            </w:r>
          </w:p>
        </w:tc>
      </w:tr>
      <w:tr>
        <w:tblPrEx>
          <w:tblCellMar>
            <w:top w:w="0" w:type="dxa"/>
            <w:left w:w="108" w:type="dxa"/>
            <w:bottom w:w="0" w:type="dxa"/>
            <w:right w:w="108" w:type="dxa"/>
          </w:tblCellMar>
        </w:tblPrEx>
        <w:trPr>
          <w:trHeight w:val="23"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szCs w:val="21"/>
              </w:rPr>
            </w:pPr>
            <w:r>
              <w:rPr>
                <w:rFonts w:hint="eastAsia" w:ascii="宋体" w:hAnsi="宋体" w:cs="宋体"/>
                <w:szCs w:val="21"/>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客户端</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出入口控制终端软件</w:t>
            </w:r>
          </w:p>
        </w:tc>
        <w:tc>
          <w:tcPr>
            <w:tcW w:w="4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安装于自备电脑等出入口控制终端，数量与终端数量一致。</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套</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szCs w:val="21"/>
              </w:rPr>
            </w:pPr>
            <w:r>
              <w:rPr>
                <w:rFonts w:hint="eastAsia" w:ascii="宋体" w:hAnsi="宋体" w:cs="宋体"/>
                <w:kern w:val="0"/>
                <w:szCs w:val="21"/>
                <w:lang w:bidi="ar"/>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海康威视、朗通、捷顺</w:t>
            </w:r>
          </w:p>
        </w:tc>
      </w:tr>
      <w:tr>
        <w:tblPrEx>
          <w:tblCellMar>
            <w:top w:w="0" w:type="dxa"/>
            <w:left w:w="108" w:type="dxa"/>
            <w:bottom w:w="0" w:type="dxa"/>
            <w:right w:w="108" w:type="dxa"/>
          </w:tblCellMar>
        </w:tblPrEx>
        <w:trPr>
          <w:trHeight w:val="941"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szCs w:val="21"/>
              </w:rPr>
            </w:pPr>
            <w:r>
              <w:rPr>
                <w:rFonts w:hint="eastAsia" w:ascii="宋体" w:hAnsi="宋体" w:cs="宋体"/>
                <w:szCs w:val="21"/>
              </w:rPr>
              <w:t>5</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Cs w:val="21"/>
              </w:rPr>
            </w:pPr>
            <w:r>
              <w:rPr>
                <w:rFonts w:hint="eastAsia" w:ascii="宋体" w:hAnsi="宋体" w:cs="宋体"/>
                <w:kern w:val="0"/>
                <w:szCs w:val="21"/>
                <w:lang w:bidi="ar"/>
              </w:rPr>
              <w:t>客户端</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人工缴费客户端</w:t>
            </w:r>
          </w:p>
        </w:tc>
        <w:tc>
          <w:tcPr>
            <w:tcW w:w="4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Cs w:val="21"/>
              </w:rPr>
            </w:pPr>
            <w:r>
              <w:rPr>
                <w:rFonts w:hint="eastAsia" w:ascii="宋体" w:hAnsi="宋体" w:cs="宋体"/>
                <w:kern w:val="0"/>
                <w:szCs w:val="21"/>
                <w:lang w:bidi="ar"/>
              </w:rPr>
              <w:t>安装于人工缴费服务中心，用于车辆的查询和缴费。</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车道</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cs="宋体"/>
                <w:szCs w:val="21"/>
              </w:rPr>
            </w:pPr>
            <w:r>
              <w:rPr>
                <w:rFonts w:hint="eastAsia" w:ascii="宋体" w:hAnsi="宋体" w:cs="宋体"/>
                <w:kern w:val="0"/>
                <w:szCs w:val="21"/>
                <w:lang w:bidi="ar"/>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海康威视、朗通、捷顺</w:t>
            </w:r>
          </w:p>
        </w:tc>
      </w:tr>
      <w:tr>
        <w:tblPrEx>
          <w:tblCellMar>
            <w:top w:w="0" w:type="dxa"/>
            <w:left w:w="108" w:type="dxa"/>
            <w:bottom w:w="0" w:type="dxa"/>
            <w:right w:w="108" w:type="dxa"/>
          </w:tblCellMar>
        </w:tblPrEx>
        <w:trPr>
          <w:trHeight w:val="23" w:hRule="atLeast"/>
          <w:jc w:val="center"/>
        </w:trPr>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szCs w:val="21"/>
              </w:rPr>
            </w:pPr>
            <w:r>
              <w:rPr>
                <w:rFonts w:hint="eastAsia" w:ascii="宋体" w:hAnsi="宋体" w:cs="宋体"/>
                <w:szCs w:val="21"/>
              </w:rPr>
              <w:t>6</w:t>
            </w:r>
          </w:p>
        </w:tc>
        <w:tc>
          <w:tcPr>
            <w:tcW w:w="24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安装调试</w:t>
            </w:r>
          </w:p>
        </w:tc>
        <w:tc>
          <w:tcPr>
            <w:tcW w:w="4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安装调试</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项</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1</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定制</w:t>
            </w:r>
          </w:p>
        </w:tc>
      </w:tr>
    </w:tbl>
    <w:p>
      <w:pPr>
        <w:rPr>
          <w:rFonts w:hint="eastAsia" w:ascii="宋体" w:hAnsi="宋体" w:cs="宋体"/>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Cs w:val="21"/>
          <w:lang w:val="en-US" w:eastAsia="zh-CN"/>
        </w:rPr>
      </w:pPr>
      <w:r>
        <w:rPr>
          <w:rFonts w:hint="eastAsia" w:ascii="宋体" w:hAnsi="宋体" w:cs="宋体"/>
          <w:b/>
          <w:bCs/>
          <w:kern w:val="0"/>
          <w:szCs w:val="21"/>
          <w:lang w:val="en-US" w:eastAsia="zh-CN" w:bidi="ar"/>
        </w:rPr>
        <w:t>备注：主要设备参数清单表中提供的三个及以上品牌为采购人推荐品牌，供应商可选用投标产品性能等同于或高于采购人要求的其他品牌。如供应商选用投标产品非采购人推荐品牌，供应商须在投标文件中提供设备制造商出具的有关货物偏离情况。如经评标委员会三分之二以上评委认定供应商所选的设备品牌、规格型号低于采购人提供的参考品牌或所投产品无法达到采购文件要求，则作负偏离处理。</w:t>
      </w:r>
      <w:r>
        <w:rPr>
          <w:rFonts w:hint="eastAsia" w:ascii="宋体" w:hAnsi="宋体" w:cs="宋体"/>
          <w:b/>
          <w:bCs/>
          <w:szCs w:val="21"/>
        </w:rPr>
        <w:br w:type="page"/>
      </w:r>
    </w:p>
    <w:p>
      <w:pPr>
        <w:pStyle w:val="47"/>
        <w:keepNext w:val="0"/>
        <w:keepLines w:val="0"/>
        <w:pageBreakBefore w:val="0"/>
        <w:widowControl w:val="0"/>
        <w:kinsoku/>
        <w:wordWrap/>
        <w:overflowPunct/>
        <w:topLinePunct w:val="0"/>
        <w:autoSpaceDE/>
        <w:autoSpaceDN/>
        <w:bidi w:val="0"/>
        <w:adjustRightInd/>
        <w:snapToGrid/>
        <w:spacing w:before="120" w:after="120"/>
        <w:jc w:val="center"/>
        <w:textAlignment w:val="auto"/>
        <w:rPr>
          <w:rFonts w:hint="eastAsia" w:ascii="宋体" w:hAnsi="宋体" w:cs="宋体"/>
          <w:color w:val="auto"/>
          <w:sz w:val="28"/>
          <w:szCs w:val="28"/>
          <w:highlight w:val="none"/>
        </w:rPr>
      </w:pPr>
      <w:r>
        <w:rPr>
          <w:rFonts w:hint="eastAsia" w:ascii="宋体" w:hAnsi="宋体" w:cs="宋体"/>
          <w:color w:val="auto"/>
          <w:sz w:val="28"/>
          <w:szCs w:val="28"/>
          <w:highlight w:val="none"/>
          <w:lang w:val="en-US" w:eastAsia="zh-CN"/>
        </w:rPr>
        <w:t>第三章</w:t>
      </w:r>
      <w:r>
        <w:rPr>
          <w:rFonts w:hint="eastAsia" w:ascii="宋体" w:hAnsi="宋体" w:cs="宋体"/>
          <w:color w:val="auto"/>
          <w:sz w:val="28"/>
          <w:szCs w:val="28"/>
          <w:highlight w:val="none"/>
        </w:rPr>
        <w:t xml:space="preserve"> 投标人须知</w:t>
      </w:r>
      <w:bookmarkEnd w:id="10"/>
      <w:bookmarkEnd w:id="11"/>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前附表</w:t>
      </w:r>
    </w:p>
    <w:tbl>
      <w:tblPr>
        <w:tblStyle w:val="51"/>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687"/>
        <w:gridCol w:w="7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49"/>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序号</w:t>
            </w:r>
          </w:p>
        </w:tc>
        <w:tc>
          <w:tcPr>
            <w:tcW w:w="9011" w:type="dxa"/>
            <w:gridSpan w:val="2"/>
            <w:vAlign w:val="center"/>
          </w:tcPr>
          <w:p>
            <w:pPr>
              <w:pStyle w:val="49"/>
              <w:jc w:val="center"/>
              <w:rPr>
                <w:rFonts w:hint="default"/>
                <w:b/>
                <w:bCs/>
                <w:color w:val="auto"/>
                <w:sz w:val="21"/>
                <w:szCs w:val="21"/>
                <w:highlight w:val="none"/>
                <w:vertAlign w:val="baseline"/>
                <w:lang w:val="en-US" w:eastAsia="zh-CN"/>
              </w:rPr>
            </w:pPr>
            <w:r>
              <w:rPr>
                <w:rFonts w:hint="eastAsia"/>
                <w:b/>
                <w:bCs/>
                <w:color w:val="auto"/>
                <w:sz w:val="21"/>
                <w:szCs w:val="21"/>
                <w:highlight w:val="none"/>
                <w:vertAlign w:val="baseline"/>
                <w:lang w:val="en-US" w:eastAsia="zh-CN"/>
              </w:rPr>
              <w:t>条款及内容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768" w:type="dxa"/>
            <w:vAlign w:val="center"/>
          </w:tcPr>
          <w:p>
            <w:pPr>
              <w:spacing w:line="360" w:lineRule="auto"/>
              <w:jc w:val="center"/>
              <w:rPr>
                <w:rFonts w:hint="eastAsia"/>
                <w:b/>
                <w:bCs/>
                <w:color w:val="auto"/>
                <w:sz w:val="28"/>
                <w:szCs w:val="28"/>
                <w:highlight w:val="none"/>
                <w:vertAlign w:val="baseline"/>
                <w:lang w:val="en-US" w:eastAsia="zh-CN"/>
              </w:rPr>
            </w:pPr>
            <w:r>
              <w:rPr>
                <w:rFonts w:hint="eastAsia" w:ascii="宋体" w:hAnsi="宋体" w:cs="宋体"/>
                <w:color w:val="auto"/>
                <w:szCs w:val="21"/>
                <w:highlight w:val="none"/>
              </w:rPr>
              <w:t>1</w:t>
            </w:r>
          </w:p>
        </w:tc>
        <w:tc>
          <w:tcPr>
            <w:tcW w:w="1687" w:type="dxa"/>
            <w:vAlign w:val="center"/>
          </w:tcPr>
          <w:p>
            <w:pPr>
              <w:spacing w:line="360" w:lineRule="auto"/>
              <w:jc w:val="center"/>
              <w:rPr>
                <w:rFonts w:hint="eastAsia"/>
                <w:b/>
                <w:bCs/>
                <w:color w:val="auto"/>
                <w:sz w:val="28"/>
                <w:szCs w:val="28"/>
                <w:highlight w:val="none"/>
                <w:vertAlign w:val="baseline"/>
                <w:lang w:val="en-US" w:eastAsia="zh-CN"/>
              </w:rPr>
            </w:pPr>
            <w:r>
              <w:rPr>
                <w:rFonts w:hint="eastAsia" w:ascii="宋体" w:hAnsi="宋体" w:cs="宋体"/>
                <w:color w:val="auto"/>
                <w:szCs w:val="21"/>
                <w:highlight w:val="none"/>
                <w:lang w:val="en-US" w:eastAsia="zh-CN"/>
              </w:rPr>
              <w:t>采购人</w:t>
            </w:r>
          </w:p>
        </w:tc>
        <w:tc>
          <w:tcPr>
            <w:tcW w:w="7324" w:type="dxa"/>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采购人：宁波市江北区人民政府甬江街道办事处</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地址：宁波市江北区环城北路东段225号</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联系人：周老师</w:t>
            </w:r>
          </w:p>
          <w:p>
            <w:pPr>
              <w:spacing w:line="360" w:lineRule="auto"/>
              <w:jc w:val="left"/>
              <w:rPr>
                <w:rFonts w:hint="eastAsia"/>
                <w:b/>
                <w:bCs/>
                <w:color w:val="auto"/>
                <w:sz w:val="28"/>
                <w:szCs w:val="28"/>
                <w:highlight w:val="none"/>
                <w:vertAlign w:val="baseline"/>
                <w:lang w:val="en-US" w:eastAsia="zh-CN"/>
              </w:rPr>
            </w:pPr>
            <w:r>
              <w:rPr>
                <w:rFonts w:hint="eastAsia" w:ascii="宋体" w:hAnsi="宋体" w:cs="宋体"/>
                <w:color w:val="auto"/>
                <w:szCs w:val="21"/>
                <w:highlight w:val="none"/>
              </w:rPr>
              <w:t>联系电话：0574-87635173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jc w:val="center"/>
        </w:trPr>
        <w:tc>
          <w:tcPr>
            <w:tcW w:w="768" w:type="dxa"/>
            <w:vAlign w:val="center"/>
          </w:tcPr>
          <w:p>
            <w:pPr>
              <w:spacing w:line="360" w:lineRule="auto"/>
              <w:jc w:val="center"/>
              <w:rPr>
                <w:rFonts w:hint="eastAsia"/>
                <w:b/>
                <w:bCs/>
                <w:color w:val="auto"/>
                <w:sz w:val="28"/>
                <w:szCs w:val="28"/>
                <w:highlight w:val="none"/>
                <w:vertAlign w:val="baseline"/>
                <w:lang w:val="en-US" w:eastAsia="zh-CN"/>
              </w:rPr>
            </w:pPr>
            <w:r>
              <w:rPr>
                <w:rFonts w:hint="eastAsia" w:ascii="宋体" w:hAnsi="宋体" w:cs="宋体"/>
                <w:color w:val="auto"/>
                <w:szCs w:val="21"/>
                <w:highlight w:val="none"/>
              </w:rPr>
              <w:t>2</w:t>
            </w:r>
          </w:p>
        </w:tc>
        <w:tc>
          <w:tcPr>
            <w:tcW w:w="1687" w:type="dxa"/>
            <w:vAlign w:val="center"/>
          </w:tcPr>
          <w:p>
            <w:pPr>
              <w:spacing w:line="360" w:lineRule="auto"/>
              <w:jc w:val="center"/>
              <w:rPr>
                <w:rFonts w:hint="eastAsia"/>
                <w:b/>
                <w:bCs/>
                <w:color w:val="auto"/>
                <w:sz w:val="28"/>
                <w:szCs w:val="28"/>
                <w:highlight w:val="none"/>
                <w:vertAlign w:val="baseline"/>
                <w:lang w:val="en-US" w:eastAsia="zh-CN"/>
              </w:rPr>
            </w:pPr>
            <w:r>
              <w:rPr>
                <w:rFonts w:hint="eastAsia" w:ascii="宋体" w:hAnsi="宋体" w:cs="宋体"/>
                <w:color w:val="auto"/>
                <w:szCs w:val="21"/>
                <w:highlight w:val="none"/>
                <w:lang w:val="en-US" w:eastAsia="zh-CN"/>
              </w:rPr>
              <w:t>代理机构</w:t>
            </w:r>
          </w:p>
        </w:tc>
        <w:tc>
          <w:tcPr>
            <w:tcW w:w="7324" w:type="dxa"/>
            <w:vAlign w:val="center"/>
          </w:tcPr>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采购代理机构：宁波市盛达工程管理咨询有限公司</w:t>
            </w:r>
          </w:p>
          <w:p>
            <w:pPr>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宁波市江北区唐虞路319号（创富商业中心） 5楼</w:t>
            </w:r>
          </w:p>
          <w:p>
            <w:pPr>
              <w:spacing w:line="360" w:lineRule="auto"/>
              <w:jc w:val="left"/>
              <w:rPr>
                <w:rFonts w:hint="eastAsia" w:cs="Arial" w:asciiTheme="minorEastAsia" w:hAnsiTheme="minorEastAsia" w:eastAsiaTheme="minorEastAsia"/>
                <w:color w:val="auto"/>
                <w:szCs w:val="21"/>
                <w:highlight w:val="none"/>
              </w:rPr>
            </w:pPr>
            <w:r>
              <w:rPr>
                <w:rFonts w:hint="eastAsia" w:ascii="宋体" w:hAnsi="宋体" w:cs="宋体"/>
                <w:color w:val="auto"/>
                <w:szCs w:val="21"/>
                <w:highlight w:val="none"/>
              </w:rPr>
              <w:t>联系人：</w:t>
            </w:r>
            <w:r>
              <w:rPr>
                <w:rFonts w:hint="eastAsia" w:cs="Arial" w:asciiTheme="minorEastAsia" w:hAnsiTheme="minorEastAsia" w:eastAsiaTheme="minorEastAsia"/>
                <w:color w:val="auto"/>
                <w:szCs w:val="21"/>
                <w:highlight w:val="none"/>
              </w:rPr>
              <w:t>张琳玲、方海杰</w:t>
            </w:r>
          </w:p>
          <w:p>
            <w:pPr>
              <w:spacing w:line="360" w:lineRule="auto"/>
              <w:jc w:val="left"/>
              <w:rPr>
                <w:rFonts w:hint="eastAsia"/>
                <w:b/>
                <w:bCs/>
                <w:color w:val="auto"/>
                <w:sz w:val="28"/>
                <w:szCs w:val="28"/>
                <w:highlight w:val="none"/>
                <w:vertAlign w:val="baseline"/>
                <w:lang w:val="en-US" w:eastAsia="zh-CN"/>
              </w:rPr>
            </w:pPr>
            <w:r>
              <w:rPr>
                <w:rFonts w:hint="eastAsia" w:ascii="宋体" w:hAnsi="宋体" w:cs="宋体"/>
                <w:color w:val="auto"/>
                <w:szCs w:val="21"/>
                <w:highlight w:val="none"/>
              </w:rPr>
              <w:t>联系电话：</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574-87636525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Align w:val="center"/>
          </w:tcPr>
          <w:p>
            <w:pPr>
              <w:spacing w:line="360" w:lineRule="auto"/>
              <w:jc w:val="center"/>
              <w:rPr>
                <w:rFonts w:hint="eastAsia"/>
                <w:b/>
                <w:bCs/>
                <w:color w:val="auto"/>
                <w:sz w:val="28"/>
                <w:szCs w:val="28"/>
                <w:highlight w:val="none"/>
                <w:vertAlign w:val="baseline"/>
                <w:lang w:val="en-US" w:eastAsia="zh-CN"/>
              </w:rPr>
            </w:pPr>
            <w:r>
              <w:rPr>
                <w:rFonts w:hint="eastAsia" w:ascii="宋体" w:hAnsi="宋体" w:cs="宋体"/>
                <w:color w:val="auto"/>
                <w:szCs w:val="21"/>
                <w:highlight w:val="none"/>
              </w:rPr>
              <w:t>3</w:t>
            </w:r>
          </w:p>
        </w:tc>
        <w:tc>
          <w:tcPr>
            <w:tcW w:w="1687" w:type="dxa"/>
            <w:vAlign w:val="center"/>
          </w:tcPr>
          <w:p>
            <w:pPr>
              <w:spacing w:line="360" w:lineRule="auto"/>
              <w:jc w:val="center"/>
              <w:rPr>
                <w:rFonts w:hint="eastAsia"/>
                <w:b/>
                <w:bCs/>
                <w:color w:val="auto"/>
                <w:sz w:val="28"/>
                <w:szCs w:val="28"/>
                <w:highlight w:val="none"/>
                <w:vertAlign w:val="baseline"/>
                <w:lang w:val="en-US" w:eastAsia="zh-CN"/>
              </w:rPr>
            </w:pPr>
            <w:r>
              <w:rPr>
                <w:rFonts w:hint="eastAsia" w:ascii="宋体" w:hAnsi="宋体" w:eastAsia="宋体" w:cs="宋体"/>
                <w:color w:val="auto"/>
                <w:szCs w:val="21"/>
                <w:highlight w:val="none"/>
                <w:lang w:val="en-US" w:eastAsia="zh-CN"/>
              </w:rPr>
              <w:t>发布媒体</w:t>
            </w:r>
          </w:p>
        </w:tc>
        <w:tc>
          <w:tcPr>
            <w:tcW w:w="7324" w:type="dxa"/>
            <w:vAlign w:val="center"/>
          </w:tcPr>
          <w:p>
            <w:pPr>
              <w:spacing w:line="360" w:lineRule="auto"/>
              <w:jc w:val="left"/>
              <w:rPr>
                <w:rFonts w:ascii="宋体" w:hAnsi="宋体" w:cs="宋体"/>
                <w:color w:val="auto"/>
                <w:kern w:val="0"/>
                <w:szCs w:val="21"/>
                <w:highlight w:val="none"/>
                <w:lang w:val="en"/>
              </w:rPr>
            </w:pPr>
            <w:r>
              <w:rPr>
                <w:rFonts w:hint="eastAsia" w:ascii="宋体" w:hAnsi="宋体" w:cs="宋体"/>
                <w:color w:val="auto"/>
                <w:kern w:val="0"/>
                <w:szCs w:val="21"/>
                <w:highlight w:val="none"/>
                <w:lang w:val="en"/>
              </w:rPr>
              <w:t xml:space="preserve">浙江政府采购网                </w:t>
            </w:r>
            <w:r>
              <w:rPr>
                <w:rFonts w:hint="eastAsia" w:ascii="宋体" w:hAnsi="宋体" w:cs="宋体"/>
                <w:color w:val="auto"/>
                <w:szCs w:val="21"/>
                <w:highlight w:val="none"/>
              </w:rPr>
              <w:t xml:space="preserve">    </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Fonts w:ascii="宋体" w:hAnsi="宋体" w:cs="宋体"/>
                <w:color w:val="auto"/>
                <w:szCs w:val="21"/>
                <w:highlight w:val="none"/>
              </w:rPr>
              <w:t>http://zfcg.czt.zj.gov.cn/</w:t>
            </w:r>
            <w:r>
              <w:rPr>
                <w:rFonts w:ascii="宋体" w:hAnsi="宋体" w:cs="宋体"/>
                <w:color w:val="auto"/>
                <w:szCs w:val="21"/>
                <w:highlight w:val="none"/>
              </w:rPr>
              <w:fldChar w:fldCharType="end"/>
            </w:r>
          </w:p>
          <w:p>
            <w:pPr>
              <w:spacing w:line="360" w:lineRule="auto"/>
              <w:jc w:val="left"/>
              <w:rPr>
                <w:rFonts w:ascii="宋体" w:hAnsi="宋体" w:cs="宋体"/>
                <w:color w:val="auto"/>
                <w:kern w:val="0"/>
                <w:szCs w:val="21"/>
                <w:highlight w:val="none"/>
                <w:lang w:val="en"/>
              </w:rPr>
            </w:pPr>
            <w:r>
              <w:rPr>
                <w:rFonts w:ascii="宋体" w:hAnsi="宋体" w:cs="宋体"/>
                <w:color w:val="auto"/>
                <w:kern w:val="0"/>
                <w:szCs w:val="21"/>
                <w:highlight w:val="none"/>
                <w:lang w:val="en"/>
              </w:rPr>
              <w:t>宁波</w:t>
            </w:r>
            <w:r>
              <w:rPr>
                <w:rFonts w:hint="eastAsia" w:ascii="宋体" w:hAnsi="宋体" w:cs="宋体"/>
                <w:color w:val="auto"/>
                <w:kern w:val="0"/>
                <w:szCs w:val="21"/>
                <w:highlight w:val="none"/>
                <w:lang w:val="en"/>
              </w:rPr>
              <w:t xml:space="preserve">政府采购网 </w:t>
            </w:r>
            <w:r>
              <w:rPr>
                <w:rFonts w:ascii="宋体" w:hAnsi="宋体" w:cs="宋体"/>
                <w:color w:val="auto"/>
                <w:kern w:val="0"/>
                <w:szCs w:val="21"/>
                <w:highlight w:val="none"/>
                <w:lang w:val="en"/>
              </w:rPr>
              <w:t xml:space="preserve">                   http://www.nbzfcg.cn/</w:t>
            </w:r>
          </w:p>
          <w:p>
            <w:pPr>
              <w:spacing w:line="360" w:lineRule="auto"/>
              <w:jc w:val="left"/>
              <w:rPr>
                <w:rFonts w:hint="eastAsia"/>
                <w:b/>
                <w:bCs/>
                <w:color w:val="auto"/>
                <w:sz w:val="28"/>
                <w:szCs w:val="28"/>
                <w:highlight w:val="none"/>
                <w:vertAlign w:val="baseline"/>
                <w:lang w:val="en-US" w:eastAsia="zh-CN"/>
              </w:rPr>
            </w:pPr>
            <w:r>
              <w:rPr>
                <w:rFonts w:hint="eastAsia" w:ascii="宋体" w:hAnsi="宋体" w:cs="宋体"/>
                <w:color w:val="auto"/>
                <w:kern w:val="0"/>
                <w:szCs w:val="21"/>
                <w:highlight w:val="none"/>
                <w:lang w:val="en"/>
              </w:rPr>
              <w:t>宁波市公共资源交易网（江北分区分网）</w:t>
            </w:r>
            <w:r>
              <w:rPr>
                <w:rFonts w:hint="eastAsia" w:ascii="宋体" w:hAnsi="宋体" w:cs="宋体"/>
                <w:color w:val="auto"/>
                <w:szCs w:val="21"/>
                <w:highlight w:val="none"/>
              </w:rPr>
              <w:t xml:space="preserve">    </w:t>
            </w:r>
            <w:r>
              <w:rPr>
                <w:color w:val="auto"/>
                <w:highlight w:val="none"/>
              </w:rPr>
              <w:fldChar w:fldCharType="begin"/>
            </w:r>
            <w:r>
              <w:rPr>
                <w:color w:val="auto"/>
                <w:highlight w:val="none"/>
              </w:rPr>
              <w:instrText xml:space="preserve"> HYPERLINK "http://jiangbei.nbggzy.cn/" </w:instrText>
            </w:r>
            <w:r>
              <w:rPr>
                <w:color w:val="auto"/>
                <w:highlight w:val="none"/>
              </w:rPr>
              <w:fldChar w:fldCharType="separate"/>
            </w:r>
            <w:r>
              <w:rPr>
                <w:rFonts w:ascii="宋体" w:hAnsi="宋体" w:cs="宋体"/>
                <w:color w:val="auto"/>
                <w:szCs w:val="21"/>
                <w:highlight w:val="none"/>
              </w:rPr>
              <w:t>http://jiangbei.nbggzy.cn/</w:t>
            </w:r>
            <w:r>
              <w:rPr>
                <w:rFonts w:ascii="宋体" w:hAnsi="宋体" w:cs="宋体"/>
                <w:color w:val="auto"/>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spacing w:line="360" w:lineRule="auto"/>
              <w:ind w:left="-108" w:leftChars="0" w:right="-113" w:rightChars="0"/>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4</w:t>
            </w:r>
          </w:p>
        </w:tc>
        <w:tc>
          <w:tcPr>
            <w:tcW w:w="1687" w:type="dxa"/>
            <w:vAlign w:val="center"/>
          </w:tcPr>
          <w:p>
            <w:pPr>
              <w:spacing w:line="36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项目名称</w:t>
            </w:r>
          </w:p>
        </w:tc>
        <w:tc>
          <w:tcPr>
            <w:tcW w:w="7324" w:type="dxa"/>
            <w:vAlign w:val="center"/>
          </w:tcPr>
          <w:p>
            <w:pPr>
              <w:spacing w:line="360" w:lineRule="auto"/>
              <w:jc w:val="left"/>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cs="宋体"/>
                <w:b w:val="0"/>
                <w:bCs w:val="0"/>
                <w:color w:val="auto"/>
                <w:sz w:val="21"/>
                <w:szCs w:val="21"/>
                <w:highlight w:val="none"/>
                <w:lang w:eastAsia="zh-CN"/>
              </w:rPr>
              <w:t>宁波江北湾头未来社区数字化建设项目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spacing w:line="360" w:lineRule="auto"/>
              <w:ind w:left="-108" w:leftChars="0" w:right="-113" w:right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5</w:t>
            </w:r>
          </w:p>
        </w:tc>
        <w:tc>
          <w:tcPr>
            <w:tcW w:w="1687" w:type="dxa"/>
            <w:vAlign w:val="center"/>
          </w:tcPr>
          <w:p>
            <w:pPr>
              <w:spacing w:line="360" w:lineRule="auto"/>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资金来源</w:t>
            </w:r>
          </w:p>
        </w:tc>
        <w:tc>
          <w:tcPr>
            <w:tcW w:w="7324" w:type="dxa"/>
            <w:vAlign w:val="center"/>
          </w:tcPr>
          <w:p>
            <w:pPr>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区财政出资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768" w:type="dxa"/>
            <w:vAlign w:val="center"/>
          </w:tcPr>
          <w:p>
            <w:pPr>
              <w:spacing w:line="360" w:lineRule="auto"/>
              <w:ind w:left="-108" w:leftChars="0" w:right="-113" w:rightChars="0"/>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6</w:t>
            </w:r>
          </w:p>
        </w:tc>
        <w:tc>
          <w:tcPr>
            <w:tcW w:w="1687" w:type="dxa"/>
            <w:vAlign w:val="center"/>
          </w:tcPr>
          <w:p>
            <w:pPr>
              <w:spacing w:line="36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服务期限</w:t>
            </w:r>
          </w:p>
        </w:tc>
        <w:tc>
          <w:tcPr>
            <w:tcW w:w="7324" w:type="dxa"/>
            <w:vAlign w:val="center"/>
          </w:tcPr>
          <w:p>
            <w:pPr>
              <w:spacing w:line="360" w:lineRule="auto"/>
              <w:jc w:val="left"/>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本项目建设开发周期为</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个月，自合同签订之日起至</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个月内完成项目的建设实施、试运行、系统调试、应用培训和竣工验收等工作</w:t>
            </w:r>
            <w:r>
              <w:rPr>
                <w:rFonts w:hint="eastAsia" w:ascii="宋体" w:hAnsi="宋体" w:cs="宋体"/>
                <w:b w:val="0"/>
                <w:bCs w:val="0"/>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768" w:type="dxa"/>
            <w:vAlign w:val="center"/>
          </w:tcPr>
          <w:p>
            <w:pPr>
              <w:snapToGrid w:val="0"/>
              <w:spacing w:line="360" w:lineRule="auto"/>
              <w:jc w:val="center"/>
              <w:rPr>
                <w:rFonts w:hint="eastAsia" w:ascii="宋体" w:hAnsi="宋体" w:eastAsia="宋体" w:cs="宋体"/>
                <w:b w:val="0"/>
                <w:bCs w:val="0"/>
                <w:color w:val="auto"/>
                <w:kern w:val="2"/>
                <w:sz w:val="21"/>
                <w:szCs w:val="21"/>
                <w:highlight w:val="none"/>
                <w:vertAlign w:val="baseline"/>
                <w:lang w:val="en-US" w:eastAsia="zh-CN" w:bidi="ar-SA"/>
              </w:rPr>
            </w:pPr>
            <w:r>
              <w:rPr>
                <w:rFonts w:hint="eastAsia" w:ascii="宋体" w:hAnsi="宋体" w:eastAsia="宋体" w:cs="宋体"/>
                <w:b w:val="0"/>
                <w:bCs w:val="0"/>
                <w:color w:val="auto"/>
                <w:sz w:val="21"/>
                <w:szCs w:val="21"/>
                <w:highlight w:val="none"/>
                <w:lang w:val="en-US" w:eastAsia="zh-CN"/>
              </w:rPr>
              <w:t>7</w:t>
            </w:r>
          </w:p>
        </w:tc>
        <w:tc>
          <w:tcPr>
            <w:tcW w:w="1687" w:type="dxa"/>
            <w:vAlign w:val="center"/>
          </w:tcPr>
          <w:p>
            <w:pPr>
              <w:pStyle w:val="49"/>
              <w:spacing w:line="360" w:lineRule="auto"/>
              <w:jc w:val="center"/>
              <w:rPr>
                <w:rFonts w:hint="eastAsia" w:ascii="宋体" w:hAnsi="宋体" w:eastAsia="宋体" w:cs="宋体"/>
                <w:b w:val="0"/>
                <w:bCs w:val="0"/>
                <w:color w:val="auto"/>
                <w:sz w:val="21"/>
                <w:szCs w:val="21"/>
                <w:highlight w:val="none"/>
              </w:rPr>
            </w:pPr>
            <w:r>
              <w:rPr>
                <w:rFonts w:hint="eastAsia"/>
                <w:color w:val="auto"/>
                <w:highlight w:val="none"/>
              </w:rPr>
              <w:t>▲</w:t>
            </w:r>
            <w:r>
              <w:rPr>
                <w:rFonts w:hint="eastAsia"/>
                <w:color w:val="auto"/>
                <w:highlight w:val="none"/>
                <w:lang w:val="en-US" w:eastAsia="zh-CN"/>
              </w:rPr>
              <w:t>售后服务</w:t>
            </w:r>
          </w:p>
        </w:tc>
        <w:tc>
          <w:tcPr>
            <w:tcW w:w="7324" w:type="dxa"/>
            <w:vAlign w:val="center"/>
          </w:tcPr>
          <w:p>
            <w:pPr>
              <w:pStyle w:val="2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1"/>
                <w:szCs w:val="21"/>
                <w:highlight w:val="none"/>
              </w:rPr>
            </w:pPr>
            <w:r>
              <w:rPr>
                <w:rFonts w:hint="eastAsia" w:ascii="宋体" w:cs="宋体"/>
                <w:color w:val="auto"/>
                <w:highlight w:val="none"/>
              </w:rPr>
              <w:t>自项目验收之日起</w:t>
            </w:r>
            <w:r>
              <w:rPr>
                <w:rFonts w:hint="eastAsia" w:ascii="宋体" w:cs="宋体"/>
                <w:color w:val="auto"/>
                <w:highlight w:val="none"/>
                <w:lang w:val="en-US" w:eastAsia="zh-CN"/>
              </w:rPr>
              <w:t>3</w:t>
            </w:r>
            <w:r>
              <w:rPr>
                <w:rFonts w:hint="eastAsia" w:ascii="宋体" w:cs="宋体"/>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49"/>
              <w:jc w:val="center"/>
              <w:rPr>
                <w:rFonts w:hint="eastAsia" w:ascii="Times New Roman" w:hAnsi="Times New Roman" w:eastAsia="宋体" w:cs="Times New Roman"/>
                <w:b w:val="0"/>
                <w:bCs w:val="0"/>
                <w:color w:val="auto"/>
                <w:kern w:val="0"/>
                <w:sz w:val="28"/>
                <w:szCs w:val="28"/>
                <w:highlight w:val="none"/>
                <w:vertAlign w:val="baseline"/>
                <w:lang w:val="en-US" w:eastAsia="zh-CN" w:bidi="ar-SA"/>
              </w:rPr>
            </w:pPr>
            <w:r>
              <w:rPr>
                <w:rFonts w:hint="eastAsia" w:ascii="宋体" w:hAnsi="宋体" w:eastAsia="宋体" w:cs="宋体"/>
                <w:b w:val="0"/>
                <w:bCs w:val="0"/>
                <w:color w:val="auto"/>
                <w:kern w:val="2"/>
                <w:sz w:val="21"/>
                <w:szCs w:val="21"/>
                <w:highlight w:val="none"/>
                <w:lang w:val="en-US" w:eastAsia="zh-CN" w:bidi="ar-SA"/>
              </w:rPr>
              <w:t>8</w:t>
            </w:r>
          </w:p>
        </w:tc>
        <w:tc>
          <w:tcPr>
            <w:tcW w:w="1687" w:type="dxa"/>
            <w:vAlign w:val="center"/>
          </w:tcPr>
          <w:p>
            <w:pPr>
              <w:spacing w:line="36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lang w:val="en-US" w:eastAsia="zh-CN"/>
              </w:rPr>
              <w:t>采购方式</w:t>
            </w:r>
          </w:p>
        </w:tc>
        <w:tc>
          <w:tcPr>
            <w:tcW w:w="7324" w:type="dxa"/>
            <w:vAlign w:val="center"/>
          </w:tcPr>
          <w:p>
            <w:pPr>
              <w:spacing w:line="360" w:lineRule="auto"/>
              <w:jc w:val="left"/>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公开采购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768" w:type="dxa"/>
            <w:vAlign w:val="center"/>
          </w:tcPr>
          <w:p>
            <w:pPr>
              <w:pStyle w:val="49"/>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9</w:t>
            </w:r>
          </w:p>
        </w:tc>
        <w:tc>
          <w:tcPr>
            <w:tcW w:w="1687" w:type="dxa"/>
            <w:vAlign w:val="center"/>
          </w:tcPr>
          <w:p>
            <w:pPr>
              <w:spacing w:line="360" w:lineRule="auto"/>
              <w:jc w:val="center"/>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现场踏勘</w:t>
            </w:r>
          </w:p>
        </w:tc>
        <w:tc>
          <w:tcPr>
            <w:tcW w:w="7324" w:type="dxa"/>
            <w:vAlign w:val="center"/>
          </w:tcPr>
          <w:p>
            <w:pPr>
              <w:keepNext w:val="0"/>
              <w:keepLines w:val="0"/>
              <w:pageBreakBefore w:val="0"/>
              <w:kinsoku/>
              <w:wordWrap/>
              <w:overflowPunct/>
              <w:topLinePunct w:val="0"/>
              <w:bidi w:val="0"/>
              <w:adjustRightInd/>
              <w:snapToGrid w:val="0"/>
              <w:spacing w:line="360" w:lineRule="auto"/>
              <w:ind w:left="0" w:leftChars="0" w:right="0" w:rightChars="0" w:firstLine="0" w:firstLineChars="0"/>
              <w:jc w:val="left"/>
              <w:textAlignment w:val="auto"/>
              <w:rPr>
                <w:rFonts w:hint="eastAsia"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rPr>
              <w:t>本项目不统一组织现场勘察，</w:t>
            </w:r>
            <w:r>
              <w:rPr>
                <w:rFonts w:hint="eastAsia" w:ascii="宋体" w:hAnsi="宋体" w:eastAsia="宋体" w:cs="宋体"/>
                <w:b w:val="0"/>
                <w:bCs w:val="0"/>
                <w:color w:val="auto"/>
                <w:sz w:val="21"/>
                <w:szCs w:val="21"/>
                <w:highlight w:val="none"/>
                <w:lang w:val="en-US" w:eastAsia="zh-CN"/>
              </w:rPr>
              <w:t>供应商</w:t>
            </w:r>
            <w:r>
              <w:rPr>
                <w:rFonts w:hint="eastAsia" w:ascii="宋体" w:hAnsi="宋体" w:eastAsia="宋体" w:cs="宋体"/>
                <w:b w:val="0"/>
                <w:bCs w:val="0"/>
                <w:color w:val="auto"/>
                <w:sz w:val="21"/>
                <w:szCs w:val="21"/>
                <w:highlight w:val="none"/>
              </w:rPr>
              <w:t>可自行对本项目现场和周围环境进行勘察。勘察现场所发生的费用由</w:t>
            </w:r>
            <w:r>
              <w:rPr>
                <w:rFonts w:hint="eastAsia" w:ascii="宋体" w:hAnsi="宋体" w:eastAsia="宋体" w:cs="宋体"/>
                <w:b w:val="0"/>
                <w:bCs w:val="0"/>
                <w:color w:val="auto"/>
                <w:sz w:val="21"/>
                <w:szCs w:val="21"/>
                <w:highlight w:val="none"/>
                <w:lang w:val="en-US" w:eastAsia="zh-CN"/>
              </w:rPr>
              <w:t>供应商</w:t>
            </w:r>
            <w:r>
              <w:rPr>
                <w:rFonts w:hint="eastAsia" w:ascii="宋体" w:hAnsi="宋体" w:eastAsia="宋体" w:cs="宋体"/>
                <w:b w:val="0"/>
                <w:bCs w:val="0"/>
                <w:color w:val="auto"/>
                <w:sz w:val="21"/>
                <w:szCs w:val="21"/>
                <w:highlight w:val="none"/>
              </w:rPr>
              <w:t>自己承担。不论何种原因所造成，在勘察过程中，</w:t>
            </w:r>
            <w:r>
              <w:rPr>
                <w:rFonts w:hint="eastAsia" w:ascii="宋体" w:hAnsi="宋体" w:eastAsia="宋体" w:cs="宋体"/>
                <w:b w:val="0"/>
                <w:bCs w:val="0"/>
                <w:color w:val="auto"/>
                <w:sz w:val="21"/>
                <w:szCs w:val="21"/>
                <w:highlight w:val="none"/>
                <w:lang w:val="en-US" w:eastAsia="zh-CN"/>
              </w:rPr>
              <w:t>供应商</w:t>
            </w:r>
            <w:r>
              <w:rPr>
                <w:rFonts w:hint="eastAsia" w:ascii="宋体" w:hAnsi="宋体" w:eastAsia="宋体" w:cs="宋体"/>
                <w:b w:val="0"/>
                <w:bCs w:val="0"/>
                <w:color w:val="auto"/>
                <w:sz w:val="21"/>
                <w:szCs w:val="21"/>
                <w:highlight w:val="none"/>
              </w:rPr>
              <w:t>自行对由此次踏勘现场而造成的死亡、人身伤害、财产损失、损害以及任何其它损失、损害和引起的费用和开支承担责任。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687" w:type="dxa"/>
            <w:vAlign w:val="center"/>
          </w:tcPr>
          <w:p>
            <w:pPr>
              <w:pStyle w:val="49"/>
              <w:jc w:val="center"/>
              <w:rPr>
                <w:rFonts w:hint="eastAsia"/>
                <w:b w:val="0"/>
                <w:bCs w:val="0"/>
                <w:color w:val="auto"/>
                <w:sz w:val="28"/>
                <w:szCs w:val="28"/>
                <w:highlight w:val="none"/>
                <w:vertAlign w:val="baseline"/>
                <w:lang w:val="en-US" w:eastAsia="zh-CN"/>
              </w:rPr>
            </w:pPr>
            <w:r>
              <w:rPr>
                <w:rFonts w:hint="eastAsia" w:ascii="宋体" w:hAnsi="宋体" w:cs="宋体"/>
                <w:b w:val="0"/>
                <w:bCs w:val="0"/>
                <w:color w:val="auto"/>
                <w:szCs w:val="21"/>
                <w:highlight w:val="none"/>
              </w:rPr>
              <w:t>▲</w:t>
            </w:r>
            <w:r>
              <w:rPr>
                <w:rFonts w:hint="eastAsia" w:ascii="宋体" w:hAnsi="宋体" w:eastAsia="宋体" w:cs="宋体"/>
                <w:b w:val="0"/>
                <w:bCs w:val="0"/>
                <w:color w:val="auto"/>
                <w:sz w:val="21"/>
                <w:szCs w:val="21"/>
                <w:highlight w:val="none"/>
              </w:rPr>
              <w:t>投标报价及费用</w:t>
            </w:r>
          </w:p>
        </w:tc>
        <w:tc>
          <w:tcPr>
            <w:tcW w:w="7324" w:type="dxa"/>
            <w:vAlign w:val="center"/>
          </w:tcPr>
          <w:p>
            <w:pPr>
              <w:pStyle w:val="49"/>
              <w:spacing w:line="360" w:lineRule="auto"/>
              <w:jc w:val="left"/>
              <w:rPr>
                <w:rFonts w:hint="eastAsia"/>
                <w:b/>
                <w:bCs/>
                <w:color w:val="auto"/>
                <w:highlight w:val="none"/>
                <w:lang w:val="en-US" w:eastAsia="zh-CN"/>
              </w:rPr>
            </w:pPr>
            <w:r>
              <w:rPr>
                <w:rFonts w:hint="eastAsia"/>
                <w:b/>
                <w:bCs/>
                <w:color w:val="auto"/>
                <w:highlight w:val="none"/>
                <w:lang w:val="en-US" w:eastAsia="zh-CN"/>
              </w:rPr>
              <w:t>1、本项目最高限价为：</w:t>
            </w:r>
            <w:r>
              <w:rPr>
                <w:rFonts w:hint="eastAsia"/>
                <w:b/>
                <w:bCs/>
                <w:color w:val="auto"/>
                <w:highlight w:val="none"/>
                <w:u w:val="single"/>
                <w:lang w:val="en-US" w:eastAsia="zh-CN"/>
              </w:rPr>
              <w:t>6400000</w:t>
            </w:r>
            <w:r>
              <w:rPr>
                <w:rFonts w:hint="eastAsia"/>
                <w:b/>
                <w:bCs/>
                <w:color w:val="auto"/>
                <w:highlight w:val="none"/>
                <w:u w:val="none"/>
                <w:lang w:val="en-US" w:eastAsia="zh-CN"/>
              </w:rPr>
              <w:t>元</w:t>
            </w:r>
            <w:r>
              <w:rPr>
                <w:rFonts w:hint="eastAsia"/>
                <w:b/>
                <w:bCs/>
                <w:color w:val="auto"/>
                <w:highlight w:val="none"/>
                <w:lang w:val="en-US" w:eastAsia="zh-CN"/>
              </w:rPr>
              <w:t>。投标总价超过最高限价的，其投标作无效标处理。</w:t>
            </w:r>
          </w:p>
          <w:p>
            <w:pPr>
              <w:spacing w:line="360" w:lineRule="auto"/>
              <w:jc w:val="left"/>
              <w:rPr>
                <w:rFonts w:hint="eastAsia"/>
                <w:color w:val="auto"/>
                <w:highlight w:val="none"/>
                <w:lang w:val="en-US" w:eastAsia="zh-CN"/>
              </w:rPr>
            </w:pPr>
            <w:r>
              <w:rPr>
                <w:rFonts w:hint="eastAsia"/>
                <w:color w:val="auto"/>
                <w:highlight w:val="none"/>
                <w:lang w:val="en-US" w:eastAsia="zh-CN"/>
              </w:rPr>
              <w:t>2、本项目采用固定综合单价合同；本次投标报价应包括软件平台制作、人员费用、设备采购、包装运输、装卸、税金、保险、仓储、指导安装、软件及设备安装、调试、系统的调试与兼容、验收取证、技术培训、售后服务、提交相应技术资料、返工、税费、合理利润、中标服务费等一切为完成本项目的所有费用，采购人不再另行支付其他任何形式的费用。</w:t>
            </w:r>
          </w:p>
          <w:p>
            <w:pPr>
              <w:pStyle w:val="39"/>
              <w:keepNext w:val="0"/>
              <w:keepLines w:val="0"/>
              <w:pageBreakBefore w:val="0"/>
              <w:widowControl w:val="0"/>
              <w:kinsoku/>
              <w:wordWrap/>
              <w:overflowPunct/>
              <w:topLinePunct w:val="0"/>
              <w:autoSpaceDE/>
              <w:autoSpaceDN/>
              <w:bidi w:val="0"/>
              <w:adjustRightInd/>
              <w:snapToGrid/>
              <w:spacing w:line="360" w:lineRule="auto"/>
              <w:ind w:left="0" w:leftChars="0"/>
              <w:jc w:val="left"/>
              <w:textAlignment w:val="auto"/>
              <w:rPr>
                <w:rFonts w:hint="eastAsia"/>
                <w:color w:val="auto"/>
                <w:highlight w:val="none"/>
                <w:lang w:val="en-US" w:eastAsia="zh-CN"/>
              </w:rPr>
            </w:pPr>
            <w:r>
              <w:rPr>
                <w:rFonts w:hint="eastAsia" w:ascii="Times New Roman" w:hAnsi="Times New Roman" w:eastAsia="宋体" w:cs="Times New Roman"/>
                <w:color w:val="auto"/>
                <w:kern w:val="0"/>
                <w:sz w:val="21"/>
                <w:szCs w:val="20"/>
                <w:highlight w:val="none"/>
                <w:lang w:val="en-US" w:eastAsia="zh-CN" w:bidi="ar-SA"/>
              </w:rPr>
              <w:t>3、供应商应考虑投标及交货期间的设备及材料等费用的上涨因素，材料价格波动等</w:t>
            </w:r>
            <w:r>
              <w:rPr>
                <w:rFonts w:hint="eastAsia"/>
                <w:color w:val="auto"/>
                <w:highlight w:val="none"/>
                <w:lang w:val="en-US" w:eastAsia="zh-CN"/>
              </w:rPr>
              <w:t>项目实施过程中可能遇到的各种风险，事后不得以任何理由要求增加费用。</w:t>
            </w:r>
          </w:p>
          <w:p>
            <w:pPr>
              <w:spacing w:line="360" w:lineRule="auto"/>
              <w:jc w:val="both"/>
              <w:rPr>
                <w:sz w:val="21"/>
                <w:szCs w:val="21"/>
              </w:rPr>
            </w:pPr>
            <w:r>
              <w:rPr>
                <w:rFonts w:hint="eastAsia"/>
                <w:sz w:val="21"/>
                <w:szCs w:val="21"/>
              </w:rPr>
              <w:t>4、根据《招标投标法》第三十三条：投标人不得以低于成本的报价竞标，也不得以他人名义投标或者以其他方式弄虚作假，骗取中标。</w:t>
            </w:r>
          </w:p>
          <w:p>
            <w:pPr>
              <w:spacing w:line="360" w:lineRule="auto"/>
              <w:jc w:val="both"/>
              <w:rPr>
                <w:sz w:val="21"/>
                <w:szCs w:val="21"/>
              </w:rPr>
            </w:pPr>
            <w:r>
              <w:rPr>
                <w:rFonts w:hint="eastAsia"/>
                <w:sz w:val="21"/>
                <w:szCs w:val="21"/>
              </w:rPr>
              <w:t>5、不论投标结果如何，供应商均应自行承担所有与投标有关的全部费用。</w:t>
            </w:r>
          </w:p>
          <w:p>
            <w:pPr>
              <w:pStyle w:val="171"/>
              <w:spacing w:before="3" w:line="360" w:lineRule="auto"/>
              <w:ind w:right="83"/>
              <w:jc w:val="left"/>
              <w:rPr>
                <w:rFonts w:hint="eastAsia"/>
                <w:color w:val="auto"/>
                <w:sz w:val="20"/>
                <w:szCs w:val="20"/>
                <w:highlight w:val="none"/>
                <w:lang w:val="en-US" w:eastAsia="zh-CN"/>
              </w:rPr>
            </w:pPr>
            <w:r>
              <w:rPr>
                <w:rFonts w:hint="eastAsia"/>
                <w:sz w:val="21"/>
                <w:szCs w:val="21"/>
              </w:rPr>
              <w:t>6、系统软件、通用软件必须是具有在中国境内的合法使用权或版权的正版软件，涉及到第三方提出侵权或知识产权的起诉及支付版税等费用由投标人承担所有责任及费用。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68" w:type="dxa"/>
            <w:vAlign w:val="center"/>
          </w:tcPr>
          <w:p>
            <w:pPr>
              <w:pStyle w:val="49"/>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11</w:t>
            </w:r>
          </w:p>
        </w:tc>
        <w:tc>
          <w:tcPr>
            <w:tcW w:w="1687" w:type="dxa"/>
            <w:vAlign w:val="center"/>
          </w:tcPr>
          <w:p>
            <w:pPr>
              <w:pStyle w:val="49"/>
              <w:jc w:val="center"/>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付款方式</w:t>
            </w:r>
          </w:p>
        </w:tc>
        <w:tc>
          <w:tcPr>
            <w:tcW w:w="7324" w:type="dxa"/>
            <w:vAlign w:val="center"/>
          </w:tcPr>
          <w:p>
            <w:pPr>
              <w:pStyle w:val="194"/>
              <w:keepNext w:val="0"/>
              <w:keepLines w:val="0"/>
              <w:pageBreakBefore w:val="0"/>
              <w:kinsoku/>
              <w:wordWrap/>
              <w:overflowPunct/>
              <w:topLinePunct w:val="0"/>
              <w:autoSpaceDE/>
              <w:autoSpaceDN/>
              <w:bidi w:val="0"/>
              <w:ind w:left="0" w:leftChars="0" w:firstLine="0" w:firstLineChars="0"/>
              <w:jc w:val="both"/>
              <w:rPr>
                <w:rFonts w:hint="eastAsia"/>
                <w:sz w:val="21"/>
                <w:szCs w:val="21"/>
              </w:rPr>
            </w:pPr>
            <w:r>
              <w:rPr>
                <w:rFonts w:hint="eastAsia" w:ascii="宋体" w:hAnsi="宋体" w:eastAsia="宋体" w:cs="宋体"/>
                <w:color w:val="auto"/>
                <w:sz w:val="21"/>
                <w:szCs w:val="21"/>
                <w:highlight w:val="none"/>
              </w:rPr>
              <w:t>合同签订后15个工作日内支付合同总价的30%；项目实施完成且通过初验后支付合同总价的40%；项目通过终验后10个工作日内支付合同总价的30%。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1687" w:type="dxa"/>
            <w:vAlign w:val="center"/>
          </w:tcPr>
          <w:p>
            <w:pPr>
              <w:pStyle w:val="49"/>
              <w:jc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b w:val="0"/>
                <w:bCs w:val="0"/>
                <w:color w:val="auto"/>
                <w:szCs w:val="21"/>
                <w:highlight w:val="none"/>
              </w:rPr>
              <w:t>▲</w:t>
            </w:r>
            <w:r>
              <w:rPr>
                <w:rFonts w:hint="eastAsia" w:ascii="宋体" w:hAnsi="宋体" w:cs="宋体"/>
                <w:bCs/>
                <w:color w:val="auto"/>
                <w:highlight w:val="none"/>
              </w:rPr>
              <w:t>履约保证金金</w:t>
            </w:r>
          </w:p>
        </w:tc>
        <w:tc>
          <w:tcPr>
            <w:tcW w:w="7324" w:type="dxa"/>
            <w:vAlign w:val="center"/>
          </w:tcPr>
          <w:p>
            <w:pPr>
              <w:spacing w:line="400" w:lineRule="exact"/>
              <w:rPr>
                <w:rFonts w:hint="eastAsia" w:ascii="宋体" w:hAnsi="宋体" w:eastAsia="宋体" w:cs="宋体"/>
                <w:bCs/>
                <w:color w:val="auto"/>
                <w:kern w:val="0"/>
                <w:sz w:val="21"/>
                <w:szCs w:val="20"/>
                <w:highlight w:val="none"/>
                <w:lang w:val="en-US" w:eastAsia="zh-CN" w:bidi="ar-SA"/>
              </w:rPr>
            </w:pPr>
            <w:r>
              <w:rPr>
                <w:rFonts w:hint="eastAsia" w:ascii="宋体" w:hAnsi="宋体" w:cs="宋体"/>
                <w:bCs/>
                <w:color w:val="auto"/>
                <w:highlight w:val="none"/>
                <w:lang w:val="en-US" w:eastAsia="zh-CN"/>
              </w:rPr>
              <w:t>1、</w:t>
            </w:r>
            <w:r>
              <w:rPr>
                <w:rFonts w:hint="eastAsia" w:ascii="宋体" w:hAnsi="宋体" w:eastAsia="宋体" w:cs="宋体"/>
                <w:bCs/>
                <w:color w:val="auto"/>
                <w:kern w:val="0"/>
                <w:sz w:val="21"/>
                <w:szCs w:val="20"/>
                <w:highlight w:val="none"/>
                <w:lang w:val="en-US" w:eastAsia="zh-CN" w:bidi="ar-SA"/>
              </w:rPr>
              <w:t>履约保证金金额：合同总价的</w:t>
            </w:r>
            <w:r>
              <w:rPr>
                <w:rFonts w:hint="eastAsia" w:ascii="宋体" w:hAnsi="宋体" w:cs="宋体"/>
                <w:bCs/>
                <w:color w:val="auto"/>
                <w:kern w:val="0"/>
                <w:sz w:val="21"/>
                <w:szCs w:val="20"/>
                <w:highlight w:val="none"/>
                <w:lang w:val="en-US" w:eastAsia="zh-CN" w:bidi="ar-SA"/>
              </w:rPr>
              <w:t>1</w:t>
            </w:r>
            <w:r>
              <w:rPr>
                <w:rFonts w:hint="eastAsia" w:ascii="宋体" w:hAnsi="宋体" w:eastAsia="宋体" w:cs="宋体"/>
                <w:bCs/>
                <w:color w:val="auto"/>
                <w:kern w:val="0"/>
                <w:sz w:val="21"/>
                <w:szCs w:val="20"/>
                <w:highlight w:val="none"/>
                <w:lang w:val="en-US" w:eastAsia="zh-CN" w:bidi="ar-SA"/>
              </w:rPr>
              <w:t>%。</w:t>
            </w:r>
          </w:p>
          <w:p>
            <w:pPr>
              <w:pStyle w:val="49"/>
              <w:spacing w:line="360" w:lineRule="auto"/>
              <w:jc w:val="left"/>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bCs/>
                <w:color w:val="auto"/>
                <w:kern w:val="0"/>
                <w:sz w:val="21"/>
                <w:szCs w:val="20"/>
                <w:highlight w:val="none"/>
                <w:lang w:val="en-US" w:eastAsia="zh-CN" w:bidi="ar-SA"/>
              </w:rPr>
              <w:t>2、履约保证金形式：支票、电汇、汇票、本票、保函等采购人认可的非现金形式。中标人应于合同签订前将履约保证金交至采购人指定账户。合同履行期间，中标人不得将履约保证金取回或作任何抵押。履约保证金于项目通过终验后5个工作日内无息退还（中标人未按合同要求进行履约的情形除外，如出现未按合同要求履约的情形按合同约定执行</w:t>
            </w:r>
            <w:r>
              <w:rPr>
                <w:rFonts w:hint="eastAsia" w:ascii="宋体" w:hAnsi="宋体" w:cs="宋体"/>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13</w:t>
            </w:r>
          </w:p>
        </w:tc>
        <w:tc>
          <w:tcPr>
            <w:tcW w:w="1687" w:type="dxa"/>
            <w:vAlign w:val="center"/>
          </w:tcPr>
          <w:p>
            <w:pPr>
              <w:pStyle w:val="49"/>
              <w:jc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rPr>
              <w:t>▲投标有效期</w:t>
            </w:r>
          </w:p>
        </w:tc>
        <w:tc>
          <w:tcPr>
            <w:tcW w:w="7324" w:type="dxa"/>
            <w:vAlign w:val="center"/>
          </w:tcPr>
          <w:p>
            <w:pPr>
              <w:pStyle w:val="49"/>
              <w:spacing w:line="360" w:lineRule="auto"/>
              <w:jc w:val="left"/>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eastAsia="宋体" w:cs="宋体"/>
                <w:color w:val="auto"/>
                <w:sz w:val="20"/>
                <w:szCs w:val="20"/>
                <w:highlight w:val="none"/>
              </w:rPr>
              <w:t>投标截止日起90天</w:t>
            </w:r>
            <w:r>
              <w:rPr>
                <w:rFonts w:hint="eastAsia" w:ascii="宋体" w:hAnsi="宋体" w:cs="宋体"/>
                <w:color w:val="auto"/>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14</w:t>
            </w:r>
          </w:p>
        </w:tc>
        <w:tc>
          <w:tcPr>
            <w:tcW w:w="1687"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rPr>
              <w:t>▲</w:t>
            </w:r>
            <w:r>
              <w:rPr>
                <w:rFonts w:hint="eastAsia" w:cs="Times New Roman"/>
                <w:color w:val="auto"/>
                <w:kern w:val="2"/>
                <w:sz w:val="21"/>
                <w:szCs w:val="24"/>
                <w:highlight w:val="none"/>
                <w:lang w:val="en-US" w:eastAsia="zh-CN" w:bidi="ar-SA"/>
              </w:rPr>
              <w:t>投标保证金</w:t>
            </w:r>
          </w:p>
        </w:tc>
        <w:tc>
          <w:tcPr>
            <w:tcW w:w="7324" w:type="dxa"/>
            <w:vAlign w:val="center"/>
          </w:tcPr>
          <w:p>
            <w:pPr>
              <w:pStyle w:val="49"/>
              <w:spacing w:line="360" w:lineRule="auto"/>
              <w:jc w:val="left"/>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rPr>
              <w:t>不适用（本项目所有涉及保证金内容的条款均不适用）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6"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1687" w:type="dxa"/>
            <w:vAlign w:val="center"/>
          </w:tcPr>
          <w:p>
            <w:pPr>
              <w:pStyle w:val="49"/>
              <w:jc w:val="center"/>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文件</w:t>
            </w:r>
            <w:r>
              <w:rPr>
                <w:rFonts w:hint="eastAsia" w:ascii="宋体" w:hAnsi="宋体" w:cs="宋体"/>
                <w:color w:val="auto"/>
                <w:szCs w:val="21"/>
                <w:highlight w:val="none"/>
                <w:lang w:val="en-US" w:eastAsia="zh-CN"/>
              </w:rPr>
              <w:t>要求</w:t>
            </w:r>
          </w:p>
        </w:tc>
        <w:tc>
          <w:tcPr>
            <w:tcW w:w="7324" w:type="dxa"/>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本项目实行网上投标，供应商应准备以下投标文件：</w:t>
            </w:r>
          </w:p>
          <w:p>
            <w:pPr>
              <w:spacing w:line="360" w:lineRule="auto"/>
              <w:rPr>
                <w:rFonts w:ascii="宋体" w:hAnsi="宋体" w:cs="宋体"/>
                <w:color w:val="auto"/>
                <w:szCs w:val="21"/>
                <w:highlight w:val="none"/>
              </w:rPr>
            </w:pPr>
            <w:r>
              <w:rPr>
                <w:rFonts w:hint="eastAsia" w:ascii="宋体" w:hAnsi="宋体" w:cs="宋体"/>
                <w:color w:val="auto"/>
                <w:szCs w:val="21"/>
                <w:highlight w:val="none"/>
              </w:rPr>
              <w:t>▲（1）上传到政府采购云平台的电子投标文件（含资格文件、商务和技术文件、报价文件）1份。</w:t>
            </w:r>
          </w:p>
          <w:p>
            <w:pPr>
              <w:spacing w:line="360" w:lineRule="auto"/>
              <w:rPr>
                <w:rFonts w:ascii="宋体" w:hAnsi="宋体" w:cs="宋体"/>
                <w:color w:val="auto"/>
                <w:szCs w:val="21"/>
                <w:highlight w:val="none"/>
              </w:rPr>
            </w:pPr>
            <w:r>
              <w:rPr>
                <w:rFonts w:hint="eastAsia" w:ascii="宋体" w:hAnsi="宋体" w:cs="宋体"/>
                <w:color w:val="auto"/>
                <w:szCs w:val="21"/>
                <w:highlight w:val="none"/>
              </w:rPr>
              <w:t>（2）以U盘存储的电子备份投标文件（含资格文件、商务和技术文件、报价文件）1份（</w:t>
            </w:r>
            <w:r>
              <w:rPr>
                <w:rFonts w:hint="eastAsia"/>
                <w:color w:val="auto"/>
                <w:highlight w:val="none"/>
              </w:rPr>
              <w:t>电子备份投标文件不作实质性要求</w:t>
            </w:r>
            <w:r>
              <w:rPr>
                <w:rFonts w:hint="eastAsia"/>
                <w:color w:val="auto"/>
                <w:highlight w:val="none"/>
                <w:lang w:eastAsia="zh-CN"/>
              </w:rPr>
              <w:t>，</w:t>
            </w:r>
            <w:r>
              <w:rPr>
                <w:rFonts w:hint="eastAsia"/>
                <w:color w:val="auto"/>
                <w:highlight w:val="none"/>
              </w:rPr>
              <w:t>是否提交由投标人自行决定</w:t>
            </w:r>
            <w:r>
              <w:rPr>
                <w:rFonts w:hint="eastAsia" w:ascii="宋体" w:hAnsi="宋体" w:cs="宋体"/>
                <w:color w:val="auto"/>
                <w:szCs w:val="21"/>
                <w:highlight w:val="none"/>
              </w:rPr>
              <w:t>，用于异常情况处理）。</w:t>
            </w:r>
          </w:p>
          <w:p>
            <w:pPr>
              <w:pStyle w:val="22"/>
              <w:spacing w:line="360" w:lineRule="auto"/>
              <w:rPr>
                <w:rFonts w:hint="eastAsia"/>
                <w:color w:val="auto"/>
                <w:highlight w:val="none"/>
                <w:lang w:val="en-US" w:eastAsia="zh-CN"/>
              </w:rPr>
            </w:pPr>
            <w:r>
              <w:rPr>
                <w:rFonts w:hint="eastAsia" w:ascii="宋体" w:hAnsi="宋体" w:cs="宋体"/>
                <w:color w:val="auto"/>
                <w:szCs w:val="21"/>
                <w:highlight w:val="none"/>
              </w:rPr>
              <w:t>（3）纸质备份文件：中标人须在中标后3个工作日内提供资格文件、商务和技术文件、报价文件正副本各1份，纸质投标文件需与电子投标文件一致。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16</w:t>
            </w:r>
          </w:p>
        </w:tc>
        <w:tc>
          <w:tcPr>
            <w:tcW w:w="1687" w:type="dxa"/>
            <w:vAlign w:val="center"/>
          </w:tcPr>
          <w:p>
            <w:pPr>
              <w:pStyle w:val="49"/>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投标截止时间及地点</w:t>
            </w:r>
          </w:p>
        </w:tc>
        <w:tc>
          <w:tcPr>
            <w:tcW w:w="7324" w:type="dxa"/>
            <w:vAlign w:val="center"/>
          </w:tcPr>
          <w:p>
            <w:pPr>
              <w:pStyle w:val="49"/>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详见招标文件第一章 公开招标采购公告。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17</w:t>
            </w:r>
          </w:p>
        </w:tc>
        <w:tc>
          <w:tcPr>
            <w:tcW w:w="1687" w:type="dxa"/>
            <w:vAlign w:val="center"/>
          </w:tcPr>
          <w:p>
            <w:pPr>
              <w:pStyle w:val="49"/>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开标时间及地点</w:t>
            </w:r>
          </w:p>
        </w:tc>
        <w:tc>
          <w:tcPr>
            <w:tcW w:w="7324" w:type="dxa"/>
            <w:vAlign w:val="center"/>
          </w:tcPr>
          <w:p>
            <w:pPr>
              <w:pStyle w:val="49"/>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详见招标文件第一章 公开招标采购公告。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18</w:t>
            </w:r>
          </w:p>
        </w:tc>
        <w:tc>
          <w:tcPr>
            <w:tcW w:w="1687" w:type="dxa"/>
            <w:vAlign w:val="center"/>
          </w:tcPr>
          <w:p>
            <w:pPr>
              <w:pStyle w:val="49"/>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评标办法及评分标准</w:t>
            </w:r>
          </w:p>
        </w:tc>
        <w:tc>
          <w:tcPr>
            <w:tcW w:w="7324" w:type="dxa"/>
            <w:vAlign w:val="center"/>
          </w:tcPr>
          <w:p>
            <w:pPr>
              <w:pStyle w:val="49"/>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0"/>
                <w:szCs w:val="20"/>
                <w:highlight w:val="none"/>
              </w:rPr>
              <w:t>详见</w:t>
            </w:r>
            <w:r>
              <w:rPr>
                <w:rFonts w:hint="eastAsia" w:ascii="宋体" w:hAnsi="宋体" w:cs="宋体"/>
                <w:color w:val="auto"/>
                <w:sz w:val="20"/>
                <w:szCs w:val="20"/>
                <w:highlight w:val="none"/>
                <w:lang w:val="en-US" w:eastAsia="zh-CN"/>
              </w:rPr>
              <w:t>招标文件</w:t>
            </w:r>
            <w:r>
              <w:rPr>
                <w:rFonts w:hint="eastAsia" w:ascii="宋体" w:hAnsi="宋体" w:eastAsia="宋体" w:cs="宋体"/>
                <w:color w:val="auto"/>
                <w:sz w:val="20"/>
                <w:szCs w:val="20"/>
                <w:highlight w:val="none"/>
              </w:rPr>
              <w:t>第四章 评标办法及评分标准</w:t>
            </w:r>
            <w:r>
              <w:rPr>
                <w:rFonts w:hint="eastAsia" w:ascii="宋体" w:hAnsi="宋体" w:cs="宋体"/>
                <w:color w:val="auto"/>
                <w:sz w:val="20"/>
                <w:szCs w:val="20"/>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19</w:t>
            </w:r>
          </w:p>
        </w:tc>
        <w:tc>
          <w:tcPr>
            <w:tcW w:w="1687" w:type="dxa"/>
            <w:vAlign w:val="center"/>
          </w:tcPr>
          <w:p>
            <w:pPr>
              <w:pStyle w:val="49"/>
              <w:spacing w:line="36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签订合同时间</w:t>
            </w:r>
          </w:p>
        </w:tc>
        <w:tc>
          <w:tcPr>
            <w:tcW w:w="7324" w:type="dxa"/>
            <w:vAlign w:val="center"/>
          </w:tcPr>
          <w:p>
            <w:pPr>
              <w:pStyle w:val="49"/>
              <w:spacing w:line="360" w:lineRule="auto"/>
              <w:jc w:val="left"/>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中标通知书发出后30日内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20</w:t>
            </w:r>
          </w:p>
        </w:tc>
        <w:tc>
          <w:tcPr>
            <w:tcW w:w="1687" w:type="dxa"/>
            <w:vAlign w:val="center"/>
          </w:tcPr>
          <w:p>
            <w:pPr>
              <w:pStyle w:val="49"/>
              <w:spacing w:line="360" w:lineRule="auto"/>
              <w:jc w:val="center"/>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中标服务费</w:t>
            </w:r>
          </w:p>
        </w:tc>
        <w:tc>
          <w:tcPr>
            <w:tcW w:w="7324" w:type="dxa"/>
            <w:vAlign w:val="center"/>
          </w:tcPr>
          <w:p>
            <w:pPr>
              <w:keepNext w:val="0"/>
              <w:keepLines w:val="0"/>
              <w:pageBreakBefore w:val="0"/>
              <w:widowControl w:val="0"/>
              <w:kinsoku/>
              <w:wordWrap/>
              <w:overflowPunct/>
              <w:topLinePunct w:val="0"/>
              <w:autoSpaceDE w:val="0"/>
              <w:autoSpaceDN w:val="0"/>
              <w:bidi w:val="0"/>
              <w:snapToGrid/>
              <w:spacing w:line="360" w:lineRule="auto"/>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1、招标代理机构参照按国家计委《招标代理服务收费管理暂行办法》（【2022】1980号、发改价格【2011】534号文</w:t>
            </w:r>
            <w:r>
              <w:rPr>
                <w:rFonts w:hint="eastAsia" w:cs="Times New Roman"/>
                <w:kern w:val="2"/>
                <w:sz w:val="21"/>
                <w:szCs w:val="24"/>
                <w:lang w:val="en-US" w:eastAsia="zh-CN" w:bidi="ar-SA"/>
              </w:rPr>
              <w:t>服务类的6</w:t>
            </w:r>
            <w:r>
              <w:rPr>
                <w:rFonts w:hint="eastAsia" w:ascii="Times New Roman" w:hAnsi="Times New Roman" w:eastAsia="宋体" w:cs="Times New Roman"/>
                <w:kern w:val="2"/>
                <w:sz w:val="21"/>
                <w:szCs w:val="24"/>
                <w:lang w:val="en-US" w:eastAsia="zh-CN" w:bidi="ar-SA"/>
              </w:rPr>
              <w:t>0%</w:t>
            </w:r>
            <w:r>
              <w:rPr>
                <w:rFonts w:hint="eastAsia" w:cs="Times New Roman"/>
                <w:kern w:val="2"/>
                <w:sz w:val="21"/>
                <w:szCs w:val="24"/>
                <w:lang w:val="en-US" w:eastAsia="zh-CN" w:bidi="ar-SA"/>
              </w:rPr>
              <w:t>（即31980元）向中标单位收取</w:t>
            </w:r>
            <w:r>
              <w:rPr>
                <w:rFonts w:hint="eastAsia" w:ascii="Times New Roman" w:hAnsi="Times New Roman" w:eastAsia="宋体" w:cs="Times New Roman"/>
                <w:kern w:val="2"/>
                <w:sz w:val="21"/>
                <w:szCs w:val="24"/>
                <w:lang w:val="en-US" w:eastAsia="zh-CN" w:bidi="ar-SA"/>
              </w:rPr>
              <w:t>。此费用在中标通知书发出前由中标</w:t>
            </w:r>
            <w:r>
              <w:rPr>
                <w:rFonts w:hint="eastAsia" w:cs="Times New Roman"/>
                <w:kern w:val="2"/>
                <w:sz w:val="21"/>
                <w:szCs w:val="24"/>
                <w:lang w:val="en-US" w:eastAsia="zh-CN" w:bidi="ar-SA"/>
              </w:rPr>
              <w:t>单位</w:t>
            </w:r>
            <w:r>
              <w:rPr>
                <w:rFonts w:hint="eastAsia" w:ascii="Times New Roman" w:hAnsi="Times New Roman" w:eastAsia="宋体" w:cs="Times New Roman"/>
                <w:kern w:val="2"/>
                <w:sz w:val="21"/>
                <w:szCs w:val="24"/>
                <w:lang w:val="en-US" w:eastAsia="zh-CN" w:bidi="ar-SA"/>
              </w:rPr>
              <w:t>向招标代理机构一次性缴纳。</w:t>
            </w:r>
          </w:p>
          <w:p>
            <w:pPr>
              <w:keepNext w:val="0"/>
              <w:keepLines w:val="0"/>
              <w:pageBreakBefore w:val="0"/>
              <w:widowControl w:val="0"/>
              <w:kinsoku/>
              <w:wordWrap/>
              <w:overflowPunct/>
              <w:topLinePunct w:val="0"/>
              <w:autoSpaceDE w:val="0"/>
              <w:autoSpaceDN w:val="0"/>
              <w:bidi w:val="0"/>
              <w:snapToGrid/>
              <w:spacing w:line="360" w:lineRule="auto"/>
              <w:jc w:val="both"/>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w:t>
            </w:r>
            <w:r>
              <w:rPr>
                <w:rFonts w:hint="eastAsia" w:ascii="Times New Roman" w:hAnsi="Times New Roman" w:eastAsia="宋体" w:cs="Times New Roman"/>
                <w:kern w:val="2"/>
                <w:sz w:val="21"/>
                <w:szCs w:val="24"/>
                <w:lang w:val="en-US" w:eastAsia="zh-CN" w:bidi="ar-SA"/>
              </w:rPr>
              <w:t>、招标代理服务费只收现金、银行票汇款、电汇款。</w:t>
            </w:r>
          </w:p>
          <w:p>
            <w:pPr>
              <w:keepNext w:val="0"/>
              <w:keepLines w:val="0"/>
              <w:pageBreakBefore w:val="0"/>
              <w:widowControl w:val="0"/>
              <w:kinsoku/>
              <w:wordWrap/>
              <w:overflowPunct/>
              <w:topLinePunct w:val="0"/>
              <w:autoSpaceDE w:val="0"/>
              <w:autoSpaceDN w:val="0"/>
              <w:bidi w:val="0"/>
              <w:snapToGrid/>
              <w:spacing w:line="360" w:lineRule="auto"/>
              <w:jc w:val="both"/>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3</w:t>
            </w:r>
            <w:r>
              <w:rPr>
                <w:rFonts w:hint="eastAsia" w:ascii="Times New Roman" w:hAnsi="Times New Roman" w:eastAsia="宋体" w:cs="Times New Roman"/>
                <w:kern w:val="2"/>
                <w:sz w:val="21"/>
                <w:szCs w:val="24"/>
                <w:lang w:val="en-US" w:eastAsia="zh-CN" w:bidi="ar-SA"/>
              </w:rPr>
              <w:t>、服务费缴纳：</w:t>
            </w:r>
          </w:p>
          <w:p>
            <w:pPr>
              <w:keepNext w:val="0"/>
              <w:keepLines w:val="0"/>
              <w:pageBreakBefore w:val="0"/>
              <w:widowControl w:val="0"/>
              <w:kinsoku/>
              <w:wordWrap/>
              <w:overflowPunct/>
              <w:topLinePunct w:val="0"/>
              <w:autoSpaceDE w:val="0"/>
              <w:autoSpaceDN w:val="0"/>
              <w:bidi w:val="0"/>
              <w:snapToGrid/>
              <w:spacing w:line="360" w:lineRule="auto"/>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账户名称：宁波市盛达工程管理咨询有限公司</w:t>
            </w:r>
          </w:p>
          <w:p>
            <w:pPr>
              <w:keepNext w:val="0"/>
              <w:keepLines w:val="0"/>
              <w:pageBreakBefore w:val="0"/>
              <w:widowControl w:val="0"/>
              <w:kinsoku/>
              <w:wordWrap/>
              <w:overflowPunct/>
              <w:topLinePunct w:val="0"/>
              <w:autoSpaceDE w:val="0"/>
              <w:autoSpaceDN w:val="0"/>
              <w:bidi w:val="0"/>
              <w:snapToGrid/>
              <w:spacing w:line="360" w:lineRule="auto"/>
              <w:jc w:val="both"/>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开户银行：宁波银行南苑支行</w:t>
            </w:r>
          </w:p>
          <w:p>
            <w:pPr>
              <w:pStyle w:val="8"/>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账号：24040122000059033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68" w:type="dxa"/>
            <w:vAlign w:val="center"/>
          </w:tcPr>
          <w:p>
            <w:pPr>
              <w:pStyle w:val="49"/>
              <w:jc w:val="center"/>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w:t>
            </w:r>
            <w:r>
              <w:rPr>
                <w:rFonts w:hint="eastAsia" w:cs="Times New Roman"/>
                <w:color w:val="auto"/>
                <w:kern w:val="2"/>
                <w:sz w:val="21"/>
                <w:szCs w:val="24"/>
                <w:highlight w:val="none"/>
                <w:lang w:val="en-US" w:eastAsia="zh-CN" w:bidi="ar-SA"/>
              </w:rPr>
              <w:t>1</w:t>
            </w:r>
          </w:p>
        </w:tc>
        <w:tc>
          <w:tcPr>
            <w:tcW w:w="1687" w:type="dxa"/>
            <w:vAlign w:val="center"/>
          </w:tcPr>
          <w:p>
            <w:pPr>
              <w:pStyle w:val="49"/>
              <w:spacing w:line="360" w:lineRule="auto"/>
              <w:jc w:val="center"/>
              <w:rPr>
                <w:rFonts w:hint="eastAsia" w:ascii="宋体" w:hAnsi="宋体" w:eastAsia="宋体" w:cs="宋体"/>
                <w:color w:val="auto"/>
                <w:sz w:val="20"/>
                <w:szCs w:val="20"/>
                <w:highlight w:val="none"/>
                <w:lang w:val="en-US" w:eastAsia="zh-CN"/>
              </w:rPr>
            </w:pPr>
            <w:r>
              <w:rPr>
                <w:rFonts w:hint="eastAsia"/>
                <w:color w:val="auto"/>
                <w:highlight w:val="none"/>
              </w:rPr>
              <w:t>▲合同履约期限</w:t>
            </w:r>
          </w:p>
        </w:tc>
        <w:tc>
          <w:tcPr>
            <w:tcW w:w="7324" w:type="dxa"/>
            <w:vAlign w:val="center"/>
          </w:tcPr>
          <w:p>
            <w:pPr>
              <w:pStyle w:val="22"/>
              <w:keepNext w:val="0"/>
              <w:keepLines w:val="0"/>
              <w:pageBreakBefore w:val="0"/>
              <w:widowControl w:val="0"/>
              <w:kinsoku/>
              <w:wordWrap/>
              <w:overflowPunct/>
              <w:topLinePunct w:val="0"/>
              <w:bidi w:val="0"/>
              <w:snapToGrid/>
              <w:spacing w:after="0" w:line="240" w:lineRule="auto"/>
              <w:jc w:val="both"/>
              <w:textAlignment w:val="auto"/>
              <w:rPr>
                <w:rFonts w:hint="eastAsia" w:ascii="宋体" w:hAnsi="宋体" w:cs="宋体"/>
                <w:color w:val="auto"/>
                <w:szCs w:val="21"/>
                <w:highlight w:val="none"/>
              </w:rPr>
            </w:pPr>
            <w:r>
              <w:rPr>
                <w:rFonts w:hint="eastAsia" w:ascii="宋体" w:cs="宋体"/>
                <w:color w:val="auto"/>
                <w:highlight w:val="none"/>
              </w:rPr>
              <w:t>自合同签订生效之日至双方合同义务完全履行完毕后止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68"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22</w:t>
            </w:r>
          </w:p>
        </w:tc>
        <w:tc>
          <w:tcPr>
            <w:tcW w:w="1687" w:type="dxa"/>
            <w:vAlign w:val="center"/>
          </w:tcPr>
          <w:p>
            <w:pPr>
              <w:pStyle w:val="49"/>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解释</w:t>
            </w:r>
          </w:p>
        </w:tc>
        <w:tc>
          <w:tcPr>
            <w:tcW w:w="7324" w:type="dxa"/>
            <w:vAlign w:val="center"/>
          </w:tcPr>
          <w:p>
            <w:pPr>
              <w:pStyle w:val="49"/>
              <w:keepNext w:val="0"/>
              <w:keepLines w:val="0"/>
              <w:pageBreakBefore w:val="0"/>
              <w:widowControl w:val="0"/>
              <w:kinsoku/>
              <w:wordWrap/>
              <w:overflowPunct/>
              <w:topLinePunct w:val="0"/>
              <w:bidi w:val="0"/>
              <w:snapToGrid/>
              <w:spacing w:after="0" w:line="240" w:lineRule="auto"/>
              <w:jc w:val="both"/>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rPr>
              <w:t>本招标文件的解释权属于招标采购单位</w:t>
            </w:r>
          </w:p>
        </w:tc>
      </w:tr>
    </w:tbl>
    <w:p>
      <w:pPr>
        <w:pStyle w:val="49"/>
        <w:rPr>
          <w:rFonts w:hint="eastAsia"/>
          <w:b/>
          <w:bCs/>
          <w:color w:val="auto"/>
          <w:sz w:val="28"/>
          <w:szCs w:val="28"/>
          <w:highlight w:val="none"/>
          <w:lang w:val="en-US" w:eastAsia="zh-CN"/>
        </w:rPr>
      </w:pPr>
    </w:p>
    <w:p>
      <w:pPr>
        <w:spacing w:line="440" w:lineRule="exact"/>
        <w:ind w:firstLine="420" w:firstLineChars="200"/>
        <w:rPr>
          <w:rFonts w:ascii="宋体" w:hAnsi="宋体"/>
          <w:color w:val="auto"/>
          <w:szCs w:val="21"/>
          <w:highlight w:val="none"/>
        </w:rPr>
        <w:sectPr>
          <w:headerReference r:id="rId8" w:type="default"/>
          <w:footerReference r:id="rId9" w:type="default"/>
          <w:pgSz w:w="11906" w:h="16838"/>
          <w:pgMar w:top="1417" w:right="1417" w:bottom="1417" w:left="1417" w:header="386" w:footer="992" w:gutter="0"/>
          <w:pgBorders>
            <w:top w:val="none" w:sz="0" w:space="0"/>
            <w:left w:val="none" w:sz="0" w:space="0"/>
            <w:bottom w:val="none" w:sz="0" w:space="0"/>
            <w:right w:val="none" w:sz="0" w:space="0"/>
          </w:pgBorders>
          <w:pgNumType w:fmt="decimal"/>
          <w:cols w:space="0" w:num="1"/>
          <w:rtlGutter w:val="0"/>
          <w:docGrid w:type="linesAndChars" w:linePitch="312" w:charSpace="0"/>
        </w:sectPr>
      </w:pPr>
      <w:bookmarkStart w:id="49" w:name="_Toc14965747"/>
      <w:bookmarkStart w:id="50" w:name="_Toc393025322"/>
      <w:bookmarkStart w:id="51" w:name="_Toc14965616"/>
    </w:p>
    <w:bookmarkEnd w:id="49"/>
    <w:bookmarkEnd w:id="50"/>
    <w:bookmarkEnd w:id="51"/>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一   总  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 适用范围</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本招标文件适用于</w:t>
      </w:r>
      <w:r>
        <w:rPr>
          <w:rFonts w:hint="eastAsia" w:ascii="宋体" w:hAnsi="宋体" w:cs="宋体"/>
          <w:bCs/>
          <w:color w:val="auto"/>
          <w:sz w:val="21"/>
          <w:szCs w:val="21"/>
          <w:highlight w:val="none"/>
          <w:u w:val="single"/>
          <w:lang w:eastAsia="zh-CN"/>
        </w:rPr>
        <w:t>宁波江北湾头未来社区数字化建设项目</w:t>
      </w:r>
      <w:r>
        <w:rPr>
          <w:rFonts w:hint="eastAsia" w:ascii="宋体" w:hAnsi="宋体" w:eastAsia="宋体" w:cs="宋体"/>
          <w:color w:val="auto"/>
          <w:sz w:val="21"/>
          <w:szCs w:val="21"/>
          <w:highlight w:val="none"/>
        </w:rPr>
        <w:t>的招标、投标、评标、定标、验收、合同履约、付款等行为（法律、法规另有规定的，从其规定）。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（二）定义</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1.“采购单位”系指</w:t>
      </w:r>
      <w:r>
        <w:rPr>
          <w:rFonts w:hint="eastAsia" w:ascii="宋体" w:hAnsi="宋体" w:eastAsia="宋体" w:cs="宋体"/>
          <w:color w:val="auto"/>
          <w:sz w:val="21"/>
          <w:szCs w:val="21"/>
          <w:highlight w:val="none"/>
          <w:lang w:val="en-US" w:eastAsia="zh-CN"/>
        </w:rPr>
        <w:t>组织本次招标的代理机构和采购单位</w:t>
      </w:r>
      <w:r>
        <w:rPr>
          <w:rFonts w:hint="eastAsia" w:ascii="宋体" w:hAnsi="宋体" w:eastAsia="宋体" w:cs="宋体"/>
          <w:color w:val="auto"/>
          <w:sz w:val="21"/>
          <w:szCs w:val="21"/>
          <w:highlight w:val="none"/>
        </w:rPr>
        <w:t>。</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2.“供应商”系指向招标方提交投标文件的单位。</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3.“产品”系指供方按招标文件规定，须向采购单位提供的一切设备、保险、税金、备品备件、工具、手册及其它有关技术资料和材料。</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4.“服务”系指招标文件规定投标人须承担的安装、调试、技术协助、校准、培训、技术指导以及其他类似的义务。</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5.“项目”系指供应商按招标文件规定向采购人提供的产品和服务。</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6.“书面形式”包括信函、传真、电报等。</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7.“▲”系指“实质性要求”条款，投标文件对这些条款的任何负偏离将视为没有对采购文件的实质性要求做出响应，将被认定为无效投标</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（三）招标方式</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本次招标采用公开招标方式进行。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（四）投标委托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供应商代表须携带有效身份证原件。如供应商代表不是法定代表人，须有法定代表人出具的授权委托书，未按上述要求提供的作无效标处理。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（五）投标费用</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不论投标结果如何，供应商均应自行承担所有与投标有关的全部费用（招标文件有相反规定除外）。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（六）联合体投标</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本项目不接受联合体投标。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（七）转包与分包</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本项目不允许转包。</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（八）特别说明</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用最低评标价法的采购项目，提供相同品牌产品的不同投标人参加同一合同项下投标的，以其中通过资格审查、符合性审查且报价最低的参加评标；报价相同的，由采购人或采购人委托评标委员会按照招标文件规定的方式确定一个参加评标的投标人，招标文件未规定的采取随机抽取方式确定，其他投标无效。</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采用综合评分法的采购项目，</w:t>
      </w:r>
      <w:r>
        <w:rPr>
          <w:rFonts w:hint="eastAsia" w:ascii="宋体" w:hAnsi="宋体" w:eastAsia="宋体" w:cs="宋体"/>
          <w:color w:val="auto"/>
          <w:kern w:val="0"/>
          <w:sz w:val="21"/>
          <w:szCs w:val="21"/>
          <w:highlight w:val="none"/>
        </w:rPr>
        <w:t>提供相同品牌产品且通过资格审查、符合性审查的不同投标人参加同一合同项下投标的，按一家投标人计算，评审后得分最高的同品牌投标获得中标人推荐资格；评审得分相同的，由评标委员会按照采购文件规定的方式确定一个投标获得中标人的推荐资格，采购文件未规定的采取随机抽取的方式确定，其他同品牌投标人不作为中标候选人。</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非单一产品采购项目，多家投标人提供的核心产品品牌相同的，按前款处理。</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▲2.投标人应仔细阅读招标文件的所有内容，按照招标文件的要求提交投标文件，并对所提供的全部资料的真实性承担法律责任。</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▲3.投标人在投标活动中提供任何虚假材料,其投标无效。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（九）质疑和投诉</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认为采购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3.供应商提出质疑应当提交质疑函和必要的证明材料，质函应当面以书面形式提出，质疑函格式和内容须符合财政部《质疑函范本》要求，供应商可到中国政府采购网自行下载财政部《质疑函范本》。</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5.供应商对采购人或采购代理机构的质疑答复不满意或者采购人或采购代理机构未在规定时间内作出答复的，可以在答复期满后十五个工作日内向同级采购监管部门投诉。</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  招标文件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（一）招标文件的构成。本招标文件由以下部份组成：</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1.招标公告</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2.招标需求</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3.供应商须知</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4.评标办法及标准</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5.合同主要条款</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6.投标文件格式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（二）供应商的风险</w:t>
      </w:r>
    </w:p>
    <w:p>
      <w:pPr>
        <w:pStyle w:val="40"/>
        <w:keepNext w:val="0"/>
        <w:keepLines w:val="0"/>
        <w:pageBreakBefore w:val="0"/>
        <w:kinsoku/>
        <w:wordWrap/>
        <w:overflowPunct/>
        <w:topLinePunct w:val="0"/>
        <w:autoSpaceDE/>
        <w:autoSpaceDN/>
        <w:bidi w:val="0"/>
        <w:adjustRightInd/>
        <w:spacing w:after="0"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供应商没有按照招标文件要求提供全部资料，或者供应商没有对招标文件在各方面作出实质性响应是供应商的风险，并可能导致其投标被拒绝。</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（三）招标文件的澄清与修改 </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采购人对采购文件进行必要的澄清或者修改的，在发布招标公告的网站上发布更正公告。澄清或者修改的内容可能影响投标文件编制的，更正公告在投标截止时间至少15日前发出；不足15日的，顺延提交投标文件截止时间。</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更正公告为采购文件的组成部分，一经在网站发布，视同已通知所有采购文件的收受人，不再采用其它方式传达相关信息, 若因未能及时了解到上述网站上发布的相关信息而导致的一切后果自行承担。</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如更正公告有重新发布电子采购文件的，投标人应下载最新发布的电子招标文件制作投标文件。</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rPr>
        <w:t>投标人在规定的时间内未对招标文件提出疑问、质疑或要求澄清的，将视其为无异议。对采购文件中描述有歧义或前后不一致的地方，评标委员会有权进行评判，但对同一条款的评判应适用于每个投标人。</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三、投标文件的编制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（一）投标文件由资格文件、商务技术文件及报价文件组成</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1、资格文件内容主要包括但不限于以下内容：</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（1）资格条件自查表（格式见第六章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（2）投标人投标声明书（格式见第六章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（3）法定代表人身份证明或法定代表人授权委托书（格式见第六章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（4）具备《中华人民共和国政府采购法》第二十二条规定的资格条件的承诺函（格式见第六章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（5）提供具有履行合同所必需的设备和专业技术能力的书面声明（格式见第六章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（6）提供参加政府采购活动前3年内在经营活动中没有重大违法记录的书面声明（格式见第六章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（7）投标承诺函（格式见第六章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（8）投标人认为有必要说明的其他资料。</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2、商务技术文件内容主要包括但不限于以下内容：</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（1）投标人符合性自查表；</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（2）法定代表人身份证明或法定代表人授权委托书（格式见第六章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（3）投标人响应表（格式见第六章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（4）商务条款偏离表（格式见第六章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（5）技术条款偏离表（格式见第六章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（6）投标人基本情况表（格式见第六章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（7）针对本项目第四章评标办法及评标标准中的条款拟定各种方案（格式自拟）；</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（8）第四章评标办法及评标标准中需提供的其他相关证书及合同等复印件加盖公章（如有）；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（9）投标人认为有必要提供的或评分标准要求提供的或本技术规格书中要求提供的其他技术资料及说明。</w:t>
      </w:r>
    </w:p>
    <w:p>
      <w:pPr>
        <w:pStyle w:val="80"/>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注：商务技术文件中不能出现报价。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3、报价文件内容主要包括但不限于以下内容：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（1）投标函（格式见第六章 投标文件格式）；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（3）开标一览表（格式见第六章 投标文件格式）；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（4）投标分项报价表（（格式自拟））；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（5）中小企业声明函（格式见第六章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（6）残疾人福利性单位声明函（如为）（（格式见第六章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注：本项目为非专门面向中小企业采购的项目，如果供应商和制造商为中小企业，应同时提供供应商和制造商的中小企业声明函。如未按照要求提供，将不得享受评标标准中注明的针对小微企业的价格扣除优惠。</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（8）政府采购统计基础信息表（格式见第六章 投标文件格式）；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（9）投标人针对报价需要说明的其他文件和说明。</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政府采购活动。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已有总公司授权的，总公司取得的相关资质证书对分公司有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（二）投标文件的语言及计量</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▲1投标文件以及投标方与招标方就有关投标事宜的所有来往函电，均应以中文汉语书写。除签名、盖章、专用名称等特殊情形外，以中文汉语以外的文字表述的投标文件视同未提供。</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▲2投标计量单位，招标文件已有明确规定的，使用招标文件规定的计量单位；招标文件没有规定的，应采用中华人民共和国法定计量单位（货币单位：人民币元），否则视同未响应。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（三）投标报价</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1.投标报价应按招标文件中相关附表格式填写。</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▲2.投标报价是履行合同的最终价格，须包含完成完整的服务所需的所有费用，应包含所有与本采购服务相关的、应支付的所有费用。</w:t>
      </w:r>
    </w:p>
    <w:p>
      <w:pPr>
        <w:keepNext w:val="0"/>
        <w:keepLines w:val="0"/>
        <w:pageBreakBefore w:val="0"/>
        <w:tabs>
          <w:tab w:val="left" w:pos="525"/>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▲3.投标文件只允许有一个报价，有选择的或有条件的报价将不予接受。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（四）投标文件的有效期</w:t>
      </w:r>
    </w:p>
    <w:p>
      <w:pPr>
        <w:pStyle w:val="16"/>
        <w:keepNext w:val="0"/>
        <w:keepLines w:val="0"/>
        <w:pageBreakBefore w:val="0"/>
        <w:tabs>
          <w:tab w:val="left" w:pos="720"/>
          <w:tab w:val="clear" w:pos="360"/>
        </w:tabs>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▲1.自投标截止日起</w:t>
      </w:r>
      <w:r>
        <w:rPr>
          <w:rFonts w:hint="eastAsia" w:ascii="宋体" w:hAnsi="宋体" w:eastAsia="宋体" w:cs="宋体"/>
          <w:b/>
          <w:color w:val="auto"/>
          <w:sz w:val="21"/>
          <w:szCs w:val="21"/>
          <w:highlight w:val="none"/>
          <w:u w:val="single"/>
        </w:rPr>
        <w:t>90</w:t>
      </w:r>
      <w:r>
        <w:rPr>
          <w:rFonts w:hint="eastAsia" w:ascii="宋体" w:hAnsi="宋体" w:eastAsia="宋体" w:cs="宋体"/>
          <w:b/>
          <w:color w:val="auto"/>
          <w:sz w:val="21"/>
          <w:szCs w:val="21"/>
          <w:highlight w:val="none"/>
        </w:rPr>
        <w:t>天投标文件应保持有效。有效期不足的投标文件将被拒绝。</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2.在特殊情况下，招标人可与供应商协商延长投标书的有效期，这种要求和答复均以书面形式进行。</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3.中标人的投标文件自开标之日起至合同履行完毕止均应保持有效。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（五）投标文件的签署和份数</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1、投标人应按本采购文件规定的格式和顺序编制、装订投标文件并标注页码，投标文件内容不完整、编排混乱导致投标文件被误读、漏读或者查找不到相关内容的，是投标人的责任。</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2、投标人应</w:t>
      </w: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①上传至政府采购云平台的电子投标文件（含资格文件、商务技术文件、报价文件）1 份。</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②可提供以U盘存储的数据电文形式的备份投标文件（含资格文件、商务技术文件、报价文件）1份。</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以 U 盘存储的电子备份投标文件，须按“政采云投标人项目采购-电子招投标操作指南” 制作的备份文件（电子备份投标文件后缀格式为“.bfbs”）</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文件的效力：投标文件的启用，按先后顺位分别为电子投标文件、以U盘存储的电子备份投标文件。在下一顺位的投标文件启用时，前一顺位的投标文件自动失效。电子投标文件未能按时解密，投标人提供了电子备份投标文件以电子备份投标文件作为评标依据。电子投标文件已按时解密的，电子备份投标文件自动失效。</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4、（如有）投标文件的正本需打印或用不褪色的墨水填写，投标文件正本除本《投标须知》中规定的可提供复印件外均须提供原件。副本为正本的复印件。</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bCs/>
          <w:color w:val="auto"/>
          <w:sz w:val="21"/>
          <w:szCs w:val="21"/>
          <w:highlight w:val="none"/>
        </w:rPr>
        <w:t>5、</w:t>
      </w:r>
      <w:r>
        <w:rPr>
          <w:rFonts w:hint="eastAsia" w:ascii="宋体" w:hAnsi="宋体" w:eastAsia="宋体" w:cs="宋体"/>
          <w:color w:val="auto"/>
          <w:sz w:val="21"/>
          <w:szCs w:val="21"/>
          <w:highlight w:val="none"/>
        </w:rPr>
        <w:t>投标文件须由投标人在规定位置盖章并由法定代表人或法定代表人的授权委托人签署，投标人应写全称。法定代表人授权委托书、投标声明书必须由法定代表人签名并加盖单位公章。</w:t>
      </w:r>
      <w:r>
        <w:rPr>
          <w:rFonts w:hint="eastAsia" w:ascii="宋体" w:hAnsi="宋体" w:eastAsia="宋体" w:cs="宋体"/>
          <w:b/>
          <w:bCs/>
          <w:color w:val="auto"/>
          <w:sz w:val="21"/>
          <w:szCs w:val="21"/>
          <w:highlight w:val="none"/>
        </w:rPr>
        <w:t>电子投标文件中所须加盖公章部分均采用CA签章。</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6、投标文件不得涂改，若有修改错漏处，须加盖单位公章或者法定代表人或授权委托人签名或盖章。投标文件因字迹潦草或表达不清所引起的后果由投标人负责。</w:t>
      </w:r>
    </w:p>
    <w:p>
      <w:pPr>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7、投标人递交的企业宣传册、产品宣传册不属于投标文件有效组成资料的不作为评审依据。</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bookmarkStart w:id="52" w:name="_Toc24813"/>
      <w:bookmarkStart w:id="53" w:name="_Toc21235"/>
      <w:r>
        <w:rPr>
          <w:rFonts w:hint="eastAsia" w:ascii="宋体" w:hAnsi="宋体" w:eastAsia="宋体" w:cs="宋体"/>
          <w:b/>
          <w:color w:val="auto"/>
          <w:sz w:val="21"/>
          <w:szCs w:val="21"/>
          <w:highlight w:val="none"/>
        </w:rPr>
        <w:t>四、投标文件的包装、递交、修改和撤回</w:t>
      </w:r>
      <w:bookmarkEnd w:id="52"/>
      <w:bookmarkEnd w:id="53"/>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1、电子投标文件的备份文件单独包封，外包装封面上应注明投标人名称、投标人地址、投标文件名称（电子投标文件的备份文件）、投标项目名称、项目编号及“开标时启封”字样，并加盖投标人公章。</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2、投标文件的补充和修改</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五、开标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（一）开标准备</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当在采购文件要求提交投标文件的截止时间前，将投标文件密封送达投标地点，在完成投标文件和人员信息登记后立即离开，采购代理机构将在规定的时间和地点进行开标。采购代理机构收到投标文件后，应当记载投标文件送达时间和密封情况，签收保存并向投标人出具签收回执。投标人的法定代表人或其授权代表未按时签到登记的，视同放弃开标监督权利、认可开标结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（二）电子招投标开标及评审程序</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1.投标截止时间后，投标人登录政府采购云平台，用“项目采购-开标评标”功能对电子备份投标文件进行在线解密。在线解密电子备份投标文件时间为开标时间起60分钟内。</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2.采购人或代理机构对投标人的资格进行审查；</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3.评标委员会对商务技术响应文件进行评审；</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4.在系统上公开资格和商务技术评审结果；</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5.在系统上公开报价开标情况；</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6.评标委员会对报价情况进行评审；</w:t>
      </w:r>
    </w:p>
    <w:p>
      <w:pPr>
        <w:keepNext w:val="0"/>
        <w:keepLines w:val="0"/>
        <w:pageBreakBefore w:val="0"/>
        <w:widowControl w:val="0"/>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7.在系统上公布评审结果。</w:t>
      </w:r>
    </w:p>
    <w:p>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特别说明：政采云公司如对电子化开标及评审程序有调整的，按调整后的程序操作。</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六、采购方式变更</w:t>
      </w:r>
    </w:p>
    <w:p>
      <w:pPr>
        <w:pStyle w:val="27"/>
        <w:keepNext w:val="0"/>
        <w:keepLines w:val="0"/>
        <w:pageBreakBefore w:val="0"/>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至投标截止时间或在评审期间，出现参与投标或者对招标文件作出实质性响应的供应商不足3家的情况，招标采购单位有权全部或部分终止招标。经相关政府采购管理部门批准，招标采购单位可以按照原招标文件确定的采购方式进行，或者改用竞争性谈判或者单一来源方式采购。</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七、特别说明</w:t>
      </w:r>
    </w:p>
    <w:p>
      <w:pPr>
        <w:keepNext w:val="0"/>
        <w:keepLines w:val="0"/>
        <w:pageBreakBefore w:val="0"/>
        <w:widowControl/>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政府采购活动中有关中小企业的相关规定（采购进口产品项目不适用）</w:t>
      </w:r>
    </w:p>
    <w:p>
      <w:pPr>
        <w:keepNext w:val="0"/>
        <w:keepLines w:val="0"/>
        <w:pageBreakBefore w:val="0"/>
        <w:widowControl/>
        <w:numPr>
          <w:ilvl w:val="0"/>
          <w:numId w:val="74"/>
        </w:numPr>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参加政府采购活动的中小企业（含中型、小型、微型企业，其他地方同）应当同时符合以下条件：</w:t>
      </w:r>
    </w:p>
    <w:p>
      <w:pPr>
        <w:keepNext w:val="0"/>
        <w:keepLines w:val="0"/>
        <w:pageBreakBefore w:val="0"/>
        <w:widowControl/>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（一）符合中小企业划分标准（具体见工信部联企业[2011]300号）；</w:t>
      </w:r>
    </w:p>
    <w:p>
      <w:pPr>
        <w:keepNext w:val="0"/>
        <w:keepLines w:val="0"/>
        <w:pageBreakBefore w:val="0"/>
        <w:widowControl/>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（二）提供本企业制造的货物、承担的工程或者服务，或者提供其他中小企业制造的货物。本项所称货物不包括使用大型企业注册商标的货物。</w:t>
      </w:r>
    </w:p>
    <w:p>
      <w:pPr>
        <w:keepNext w:val="0"/>
        <w:keepLines w:val="0"/>
        <w:pageBreakBefore w:val="0"/>
        <w:widowControl/>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（三）小型、微型企业提供中型企业制造的货物的，视同为中型企业。</w:t>
      </w:r>
    </w:p>
    <w:p>
      <w:pPr>
        <w:keepNext w:val="0"/>
        <w:keepLines w:val="0"/>
        <w:pageBreakBefore w:val="0"/>
        <w:widowControl/>
        <w:numPr>
          <w:ilvl w:val="0"/>
          <w:numId w:val="74"/>
        </w:numPr>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参加政府采购活动的中小企业应当提供《中小企业声明函》。</w:t>
      </w:r>
    </w:p>
    <w:p>
      <w:pPr>
        <w:keepNext w:val="0"/>
        <w:keepLines w:val="0"/>
        <w:pageBreakBefore w:val="0"/>
        <w:widowControl/>
        <w:numPr>
          <w:ilvl w:val="0"/>
          <w:numId w:val="74"/>
        </w:numPr>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对于非专门面向中小企业的项目，对小型和微型企业产品的价格应给予</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％的扣除，用扣除后的价格参与评审。具体扣除比例见第四章 评标办法及评分标准（如有）。</w:t>
      </w:r>
    </w:p>
    <w:p>
      <w:pPr>
        <w:keepNext w:val="0"/>
        <w:keepLines w:val="0"/>
        <w:pageBreakBefore w:val="0"/>
        <w:widowControl/>
        <w:numPr>
          <w:ilvl w:val="0"/>
          <w:numId w:val="74"/>
        </w:numPr>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果在采购活动过程中相关采购当事人对投标人“中小企业”资格有异议的，投标人应当向采购代理机构和采购监管部门提供由第三方机构审计确认的财务会计报告和劳动部门提供的年度社会保障基金缴纳清单，或者相关行业主管部门出具的“中小企业”资格确认证明。</w:t>
      </w:r>
    </w:p>
    <w:p>
      <w:pPr>
        <w:keepNext w:val="0"/>
        <w:keepLines w:val="0"/>
        <w:pageBreakBefore w:val="0"/>
        <w:widowControl/>
        <w:numPr>
          <w:ilvl w:val="0"/>
          <w:numId w:val="74"/>
        </w:numPr>
        <w:kinsoku/>
        <w:wordWrap/>
        <w:overflowPunct/>
        <w:topLinePunct w:val="0"/>
        <w:autoSpaceDE/>
        <w:autoSpaceDN/>
        <w:bidi w:val="0"/>
        <w:adjustRightInd/>
        <w:snapToGrid w:val="0"/>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关于促进残疾人就业政府采购政策的通知》（财库[2020]46号）规定，在政府采购活动中，残疾人福利性单位视同小型、微型企业。残疾人福利性单位参加政府采购活动时，提供《残疾人福利性单位声明函》。           </w:t>
      </w:r>
    </w:p>
    <w:p>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ascii="宋体" w:hAnsi="宋体" w:cs="宋体"/>
          <w:color w:val="auto"/>
          <w:highlight w:val="none"/>
        </w:rPr>
      </w:pPr>
      <w:r>
        <w:rPr>
          <w:rFonts w:hint="eastAsia" w:ascii="宋体" w:hAnsi="宋体" w:cs="宋体"/>
          <w:color w:val="auto"/>
          <w:highlight w:val="none"/>
        </w:rPr>
        <w:t xml:space="preserve">                  </w:t>
      </w:r>
    </w:p>
    <w:p>
      <w:pPr>
        <w:keepNext w:val="0"/>
        <w:keepLines w:val="0"/>
        <w:pageBreakBefore w:val="0"/>
        <w:widowControl/>
        <w:numPr>
          <w:ilvl w:val="0"/>
          <w:numId w:val="75"/>
        </w:numPr>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eastAsia" w:ascii="宋体" w:hAnsi="宋体" w:eastAsia="宋体" w:cs="宋体"/>
          <w:b/>
          <w:bCs/>
          <w:color w:val="auto"/>
          <w:kern w:val="2"/>
          <w:sz w:val="28"/>
          <w:szCs w:val="28"/>
          <w:highlight w:val="none"/>
          <w:lang w:val="en-US" w:eastAsia="zh-CN" w:bidi="ar-SA"/>
        </w:rPr>
      </w:pPr>
      <w:r>
        <w:rPr>
          <w:rFonts w:hint="eastAsia" w:ascii="宋体" w:hAnsi="宋体" w:cs="宋体"/>
          <w:color w:val="auto"/>
          <w:highlight w:val="none"/>
        </w:rPr>
        <w:br w:type="page"/>
      </w:r>
      <w:r>
        <w:rPr>
          <w:rFonts w:hint="eastAsia" w:ascii="宋体" w:hAnsi="宋体" w:eastAsia="宋体" w:cs="宋体"/>
          <w:b/>
          <w:bCs/>
          <w:color w:val="auto"/>
          <w:kern w:val="2"/>
          <w:sz w:val="28"/>
          <w:szCs w:val="28"/>
          <w:highlight w:val="none"/>
          <w:lang w:val="en-US" w:eastAsia="zh-CN" w:bidi="ar-SA"/>
        </w:rPr>
        <w:t xml:space="preserve"> 评标办法及评分标准</w:t>
      </w:r>
    </w:p>
    <w:p>
      <w:pPr>
        <w:pStyle w:val="22"/>
        <w:keepNext w:val="0"/>
        <w:keepLines w:val="0"/>
        <w:pageBreakBefore w:val="0"/>
        <w:numPr>
          <w:ilvl w:val="0"/>
          <w:numId w:val="0"/>
        </w:numPr>
        <w:kinsoku/>
        <w:wordWrap/>
        <w:overflowPunct/>
        <w:topLinePunct w:val="0"/>
        <w:autoSpaceDE/>
        <w:autoSpaceDN/>
        <w:bidi w:val="0"/>
        <w:adjustRightInd/>
        <w:snapToGrid/>
        <w:spacing w:after="0" w:line="240" w:lineRule="auto"/>
        <w:ind w:leftChars="0" w:firstLine="420" w:firstLineChars="200"/>
        <w:jc w:val="center"/>
        <w:textAlignment w:val="auto"/>
        <w:outlineLvl w:val="9"/>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综合评分法</w:t>
      </w:r>
      <w:r>
        <w:rPr>
          <w:rFonts w:hint="eastAsia"/>
          <w:color w:val="auto"/>
          <w:highlight w:val="none"/>
          <w:lang w:eastAsia="zh-CN"/>
        </w:rPr>
        <w:t>）</w:t>
      </w:r>
    </w:p>
    <w:p>
      <w:pPr>
        <w:rPr>
          <w:rFonts w:hint="eastAsia"/>
          <w:color w:val="auto"/>
          <w:highlight w:val="none"/>
          <w:lang w:eastAsia="zh-CN"/>
        </w:rPr>
      </w:pPr>
    </w:p>
    <w:p>
      <w:pPr>
        <w:pStyle w:val="27"/>
        <w:keepNext w:val="0"/>
        <w:keepLines w:val="0"/>
        <w:pageBreakBefore w:val="0"/>
        <w:widowControl/>
        <w:kinsoku/>
        <w:wordWrap/>
        <w:overflowPunct/>
        <w:topLinePunct w:val="0"/>
        <w:autoSpaceDE/>
        <w:autoSpaceDN/>
        <w:bidi w:val="0"/>
        <w:adjustRightInd/>
        <w:snapToGrid/>
        <w:spacing w:beforeLines="0" w:afterLines="0" w:line="360" w:lineRule="auto"/>
        <w:ind w:firstLine="394" w:firstLineChars="188"/>
        <w:jc w:val="both"/>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本办法严格遵照《中华人民共和国政府采购法》、《政府采购货物和服务招标投标管理办法》、《宁波市政府采购招标采购方式暂行实施规程》，结合项目所在地政府有关政府采购规定和项目的实际情况制定。</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一、总则</w:t>
      </w:r>
    </w:p>
    <w:p>
      <w:pPr>
        <w:widowControl/>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招标活动遵循公平、公正、科学、择优的原则依法进行，招标活动及当事人接受依法实施的监督。</w:t>
      </w:r>
    </w:p>
    <w:p>
      <w:pPr>
        <w:widowControl/>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分法，采用百分制，总分100分。供应商的综合得分为技术商务得分与报价得分之和。按综合得分由高到低的排序，推荐中标候选人。若供应商的综合得分相等，则投标报价低者列前；若投标报价也相同时，采取随机抽签的方式确定排序。</w:t>
      </w:r>
    </w:p>
    <w:p>
      <w:pPr>
        <w:widowControl/>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需要落实的政府采购政策：《关于促进残疾人就业政府采购政策的通知》（财库[2017]141号）、《政府采购促进中小企业发展暂行办法》（财库[2011]181号）、《关于政府采购支持监狱企业发展有关问题的通知》（财库[2014]68号）</w:t>
      </w:r>
    </w:p>
    <w:p>
      <w:pPr>
        <w:widowControl/>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本次采购为非专门面向中小企业，本次评标将对符合小微企业的价格给予</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%的扣除，用扣除后的价格参与评审。价格扣除只用于评审过程，如中标，中标价格仍按照其投标价格进行公示。</w:t>
      </w:r>
    </w:p>
    <w:p>
      <w:pPr>
        <w:widowControl/>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评标委员会成员对需要共同认定的事项存在争议的，应当按照少数服从多数的原则作出结论。</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二、</w:t>
      </w:r>
      <w:r>
        <w:rPr>
          <w:rFonts w:hint="eastAsia" w:ascii="宋体" w:hAnsi="宋体" w:eastAsia="宋体" w:cs="宋体"/>
          <w:b/>
          <w:color w:val="auto"/>
          <w:sz w:val="21"/>
          <w:szCs w:val="21"/>
          <w:highlight w:val="none"/>
        </w:rPr>
        <w:t>评标过程</w:t>
      </w:r>
    </w:p>
    <w:p>
      <w:pPr>
        <w:widowControl/>
        <w:numPr>
          <w:ilvl w:val="0"/>
          <w:numId w:val="0"/>
        </w:numPr>
        <w:spacing w:line="360" w:lineRule="auto"/>
        <w:ind w:leftChars="200"/>
        <w:jc w:val="both"/>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一</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资格条件审查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采购人或采购代理机构对投标人的资格进行审查。对投标人单位负责人是否为同一人或者存在直接控股、管理关系的，采购代理机构将使用天眼查、企查查等相关工具进行查询核实，如存在不符合采购文件要求的情形的，将否决其投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评标委员会负责对采购代理机构提交的关联性审查复核。</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56" w:type="dxa"/>
            <w:noWrap w:val="0"/>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审查类别</w:t>
            </w:r>
          </w:p>
        </w:tc>
        <w:tc>
          <w:tcPr>
            <w:tcW w:w="7401" w:type="dxa"/>
            <w:noWrap w:val="0"/>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Merge w:val="restart"/>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资格条件审查</w:t>
            </w:r>
          </w:p>
        </w:tc>
        <w:tc>
          <w:tcPr>
            <w:tcW w:w="7401"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满足《中华人民共和国政府采购法》第二十二条规定。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6"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7401"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落实政府采购政策需满足的资格要求：无。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56" w:type="dxa"/>
            <w:vMerge w:val="continue"/>
            <w:noWrap w:val="0"/>
            <w:vAlign w:val="center"/>
          </w:tcPr>
          <w:p>
            <w:pPr>
              <w:spacing w:line="360" w:lineRule="auto"/>
              <w:rPr>
                <w:rFonts w:hint="eastAsia" w:ascii="宋体" w:hAnsi="宋体" w:eastAsia="宋体" w:cs="宋体"/>
                <w:color w:val="auto"/>
                <w:sz w:val="21"/>
                <w:szCs w:val="21"/>
                <w:highlight w:val="none"/>
              </w:rPr>
            </w:pPr>
          </w:p>
        </w:tc>
        <w:tc>
          <w:tcPr>
            <w:tcW w:w="7401"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本项目的特定资格要求：无。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1656" w:type="dxa"/>
            <w:vMerge w:val="continue"/>
            <w:noWrap w:val="0"/>
            <w:vAlign w:val="center"/>
          </w:tcPr>
          <w:p>
            <w:pPr>
              <w:spacing w:line="360" w:lineRule="auto"/>
              <w:rPr>
                <w:rFonts w:hint="eastAsia" w:ascii="宋体" w:hAnsi="宋体" w:eastAsia="宋体" w:cs="宋体"/>
                <w:color w:val="auto"/>
                <w:sz w:val="21"/>
                <w:szCs w:val="21"/>
                <w:highlight w:val="none"/>
              </w:rPr>
            </w:pPr>
          </w:p>
        </w:tc>
        <w:tc>
          <w:tcPr>
            <w:tcW w:w="7401"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符合《中华人民共和国政府采购法》第二十二条规定的供应商资格条件；且必须为未被列入信用中国网站(www.creditchina.gov.cn)、中国政府采购网(www.ccgp.gov.cn)渠道信用记录失信被执行人、重大税收违法案件当事人名单、政府采购严重违法失信行为信息记录名单的投标人（以代理机构于投标截止日当天在“信用中国”网站（www.creditchina.gov.cn）及中国政府采购网查询结果为准，如相关失信记录已失效，供应商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656" w:type="dxa"/>
            <w:vMerge w:val="continue"/>
            <w:noWrap w:val="0"/>
            <w:vAlign w:val="center"/>
          </w:tcPr>
          <w:p>
            <w:pPr>
              <w:spacing w:line="360" w:lineRule="auto"/>
              <w:rPr>
                <w:rFonts w:hint="eastAsia" w:ascii="宋体" w:hAnsi="宋体" w:eastAsia="宋体" w:cs="宋体"/>
                <w:color w:val="auto"/>
                <w:sz w:val="21"/>
                <w:szCs w:val="21"/>
                <w:highlight w:val="none"/>
              </w:rPr>
            </w:pPr>
          </w:p>
        </w:tc>
        <w:tc>
          <w:tcPr>
            <w:tcW w:w="7401"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tc>
      </w:tr>
    </w:tbl>
    <w:p>
      <w:pPr>
        <w:widowControl/>
        <w:spacing w:line="360" w:lineRule="auto"/>
        <w:ind w:firstLine="420" w:firstLineChars="200"/>
        <w:rPr>
          <w:rFonts w:hint="eastAsia" w:ascii="宋体" w:hAnsi="宋体" w:eastAsia="宋体" w:cs="宋体"/>
          <w:b/>
          <w:bCs/>
          <w:color w:val="auto"/>
          <w:sz w:val="21"/>
          <w:szCs w:val="21"/>
          <w:highlight w:val="none"/>
        </w:rPr>
      </w:pPr>
    </w:p>
    <w:p>
      <w:pPr>
        <w:widowControl/>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（二）符合性审查</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评标委员会应当对符合资格的投标人的投标文件进行符合性审查，以确定其是否满足采购文件的实质性要求。</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1"/>
        <w:gridCol w:w="6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noWrap w:val="0"/>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审查类别</w:t>
            </w:r>
          </w:p>
        </w:tc>
        <w:tc>
          <w:tcPr>
            <w:tcW w:w="6895" w:type="dxa"/>
            <w:noWrap w:val="0"/>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1" w:type="dxa"/>
            <w:vMerge w:val="restart"/>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w:t>
            </w:r>
          </w:p>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（技术商务文件）</w:t>
            </w: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具备招标文件中规定的资格要求；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按照采购文件规定要求签署或盖章；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投标文件有法定代表人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签署本人姓名（或印盖本人姓名章），或签署人提供有效的法定代表人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授权委托书且授权委托书填写项目齐全的；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投标文件标明的响应或偏离与事实相符且无虚假投标的；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投标文件的实质性内容使用中文表述且意思表述明确，前后无矛盾且使用计量单位符合采购文件要求的；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带“▲”的条款满足采购文件要求、已实质性响应采购文件要求且投标文件无采购人不能接受的附加条件的；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投标技术方案明确，不存在一个或一个以上备选（替代）投标方案的；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技术商务文件中未出现报价或单价的；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不存在法律、法规和采购文件规定的其他无效情形；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tabs>
                <w:tab w:val="left" w:pos="612"/>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不存在投标文件的有效期不满足采购文件要求情形；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jc w:val="center"/>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技术商务文件不存在采购文件所规定的其它无效投标条款要求。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restart"/>
            <w:noWrap w:val="0"/>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符合性审查</w:t>
            </w:r>
          </w:p>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（报价文件）</w:t>
            </w: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按照采购文件规定要求签署或盖章；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投标文件项目齐全；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采用人民币报价或者按照采购文件标明的币种报价的；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不存在报价超出最高限价，或者超出采购预算金额，采购人不能支付的情形。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不存在投标报价具有选择性的情形；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投标报价中未出现重大缺项、漏项；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不存在评标委员会认为投标人的报价明显低于其他通过符合性审查投标人的报价，有可能影响产品质量或者不能诚信履约的且不能在评标现场合理时间内提供相关证明材料说明其报价的合理性的情形；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投标文件（报价文件）内容与投标文件（技术商务文件）内容不存在重大差异的；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不存在法律、法规和采购文件规定的其他无效情形；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1" w:type="dxa"/>
            <w:vMerge w:val="continue"/>
            <w:noWrap w:val="0"/>
            <w:vAlign w:val="center"/>
          </w:tcPr>
          <w:p>
            <w:pPr>
              <w:spacing w:line="360" w:lineRule="auto"/>
              <w:ind w:firstLine="210" w:firstLineChars="100"/>
              <w:rPr>
                <w:rFonts w:hint="eastAsia" w:ascii="宋体" w:hAnsi="宋体" w:eastAsia="宋体" w:cs="宋体"/>
                <w:color w:val="auto"/>
                <w:sz w:val="21"/>
                <w:szCs w:val="21"/>
                <w:highlight w:val="none"/>
              </w:rPr>
            </w:pPr>
          </w:p>
        </w:tc>
        <w:tc>
          <w:tcPr>
            <w:tcW w:w="6895" w:type="dxa"/>
            <w:noWrap w:val="0"/>
            <w:vAlign w:val="center"/>
          </w:tcPr>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报价文件不存在采购文件所规定的其它无效投标条款要求。</w:t>
            </w:r>
          </w:p>
        </w:tc>
      </w:tr>
    </w:tbl>
    <w:p>
      <w:pPr>
        <w:widowControl/>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（三）投标无效的情形</w:t>
      </w:r>
    </w:p>
    <w:p>
      <w:pPr>
        <w:spacing w:line="360" w:lineRule="auto"/>
        <w:ind w:firstLine="420" w:firstLineChars="200"/>
        <w:contextualSpacing/>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以书面形式进行，限期内不补正或经补正后仍不符合招标文件要求的，应认定其投标无效。投标人修改、补正投标文件后，不影响评标委员会对其投标文件所作的评价和评分结果。</w:t>
      </w:r>
    </w:p>
    <w:p>
      <w:pPr>
        <w:spacing w:line="360" w:lineRule="auto"/>
        <w:ind w:firstLine="420" w:firstLineChars="200"/>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A、在符合性审查（技术商务文件）时，如发现下列情形之一的，将被视为无效投标文件：</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1、资格证明文件不全的或者不符合采购文件标明的资格要求的；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2、未按照采购文件规定要求签署或盖章；</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3、投标文件无法定代表人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签署本人姓名（或印盖本人姓名章），或签署人未提供有效的法定代表人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负责人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授权委托书或授权委托书填写项目不齐全的；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4、投标文件项目不齐全；</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5、投标文件标明的响应或偏离与事实不符或虚假投标的；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6、投标文件的实质性内容未使用中文表述、意思表述不明确、前后矛盾或者使用计量单位不符合采购文件要求的（经评标委员会认定并允许其当场更正的笔误除外）；</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7、带“▲”的条款不能满足采购文件要求、未实质性响应采购文件要求或者投标文件有采购人不能接受的附加条件的；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8、投标技术方案不明确，存在一个或一个以上备选（替代）投标方案的；</w:t>
      </w:r>
    </w:p>
    <w:p>
      <w:pPr>
        <w:spacing w:line="360" w:lineRule="auto"/>
        <w:ind w:firstLine="420" w:firstLineChars="200"/>
        <w:contextualSpacing/>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9、技术商务文件中出现报价或单价的；</w:t>
      </w:r>
    </w:p>
    <w:p>
      <w:pPr>
        <w:spacing w:line="360" w:lineRule="auto"/>
        <w:ind w:firstLine="420" w:firstLineChars="200"/>
        <w:contextualSpacing/>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10、法律、法规和采购文件规定的其他无效情形；</w:t>
      </w:r>
    </w:p>
    <w:p>
      <w:pPr>
        <w:spacing w:line="360" w:lineRule="auto"/>
        <w:ind w:firstLine="420" w:firstLineChars="200"/>
        <w:contextualSpacing/>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11、投标文件的有效期不满足采购文件要求；</w:t>
      </w:r>
    </w:p>
    <w:p>
      <w:pPr>
        <w:spacing w:line="360" w:lineRule="auto"/>
        <w:ind w:firstLine="420" w:firstLineChars="200"/>
        <w:contextualSpacing/>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12、技术商务文件存在采购文件所规定的其它无效投标条款要求。</w:t>
      </w:r>
    </w:p>
    <w:p>
      <w:pPr>
        <w:spacing w:line="360" w:lineRule="auto"/>
        <w:ind w:firstLine="420" w:firstLineChars="200"/>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B、在符合性审查（报价文件）时，如发现下列情形之一的，将被视为无效投标文件：</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1、未按照采购文件规定要求签署或盖章；</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2、投标文件项目不齐全；</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3、未采用人民币报价或者未按照采购文件标明的币种报价的；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4、报价超出最高限价，或者超出采购预算金额，采购人不能支付的；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5、投标报价具有选择性的；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6、投标报价中出现重大缺项、漏项；</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7、评标委员会认为投标人的报价明显低于其他通过符合性审查投标人的报价，有可能影响产品质量或者不能诚信履约的，且不能在评标现场合理时间内提供相关证明材料说明其报价的合理性的；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8、投标文件（报价文件）内容与投标文件（技术商务文件）内容有重大差异的；</w:t>
      </w:r>
    </w:p>
    <w:p>
      <w:pPr>
        <w:spacing w:line="360" w:lineRule="auto"/>
        <w:ind w:firstLine="420" w:firstLineChars="200"/>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9、法律、法规和采购文件规定的其他无效情形；</w:t>
      </w:r>
    </w:p>
    <w:p>
      <w:pPr>
        <w:tabs>
          <w:tab w:val="left" w:pos="0"/>
          <w:tab w:val="left" w:pos="723"/>
        </w:tabs>
        <w:spacing w:line="360" w:lineRule="auto"/>
        <w:ind w:firstLine="420" w:firstLineChars="200"/>
        <w:contextualSpacing/>
        <w:rPr>
          <w:rFonts w:hint="eastAsia" w:ascii="宋体" w:hAnsi="宋体" w:eastAsia="宋体" w:cs="宋体"/>
          <w:color w:val="auto"/>
          <w:kern w:val="1"/>
          <w:sz w:val="21"/>
          <w:szCs w:val="21"/>
          <w:highlight w:val="none"/>
        </w:rPr>
      </w:pPr>
      <w:r>
        <w:rPr>
          <w:rFonts w:hint="eastAsia" w:ascii="宋体" w:hAnsi="宋体" w:eastAsia="宋体" w:cs="宋体"/>
          <w:color w:val="auto"/>
          <w:kern w:val="1"/>
          <w:sz w:val="21"/>
          <w:szCs w:val="21"/>
          <w:highlight w:val="none"/>
        </w:rPr>
        <w:t>10、报价文件存在采购文件所规定的其它无效投标条款要求。</w:t>
      </w:r>
    </w:p>
    <w:p>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C、评审时如发现下列情形之一的，视为投标人串通投标，其投标无效：</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1、不同投标人的投标文件由同一单位或者个人编制；</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2、不同投标人委托同一单位或者个人办理投标事宜；</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3、不同投标人的投标文件载明的项目管理成员或者联系人员为同一人；</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4、不同投标人的投标文件异常一致或者投标报价呈规律性差异；</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5、不同投标人的投标文件相互混装；</w:t>
      </w:r>
    </w:p>
    <w:p>
      <w:pPr>
        <w:widowControl/>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（四）澄清问题</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投标文件中含义不明确、同类问题表述不一致或者有明显文字和计算错误的内容，评标委员会要求投标人作出必要的澄清、说明或者纠正。投标人的澄清、说明或者补正应当采用书面形式，由其授权的代表签字，并不得超出投标文件的范围或者改变投标文件的实质性内容。</w:t>
      </w:r>
    </w:p>
    <w:p>
      <w:pPr>
        <w:widowControl/>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（五）详细评审</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评标委员会对初步评审合格的投标文件，依照本办法对投标文件作进一步评审、比较。评标委员会成员经过阅标、审标和询标，对各投标人进行打分。</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委打分参照：评分标准。评委打分采用记名方式进行独立打分，汇总所有评委会成员评分取算术平均值（小数点后保留二位数）为该投标人的商务技术得分。报价文件经评标委员会评审后按评分标准表进行统一计算（小数点后保留二位小数）。最终汇总商务技术得分和报价得分（小数点后保留二位小数）。</w:t>
      </w:r>
    </w:p>
    <w:p>
      <w:pPr>
        <w:widowControl/>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（六）推荐中标候选人原则</w:t>
      </w:r>
    </w:p>
    <w:p>
      <w:pPr>
        <w:widowControl/>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评标委员会根据投标人的综合得分由高到低的排序，推荐中标候选人。若供应商的综合得分相等，则投标报价低者列前；若投标报价也相同时，采取随机抽签的方式确定排序。</w:t>
      </w:r>
    </w:p>
    <w:p>
      <w:pPr>
        <w:widowControl/>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（七）中标结果</w:t>
      </w:r>
    </w:p>
    <w:p>
      <w:pPr>
        <w:pStyle w:val="30"/>
        <w:widowControl/>
        <w:spacing w:line="360" w:lineRule="auto"/>
        <w:ind w:left="0" w:leftChars="0" w:firstLine="420" w:firstLineChars="200"/>
        <w:jc w:val="left"/>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委员会按综合得分由高到低的排序，向采购人推荐中标候选人。代理机构应当自评审结束之日起2个工作日内将评审报告送交采购人。采购人应当自收到评审报告之日起5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0"/>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color w:val="auto"/>
          <w:sz w:val="21"/>
          <w:szCs w:val="21"/>
          <w:highlight w:val="none"/>
        </w:rPr>
        <w:br w:type="page"/>
      </w:r>
      <w:r>
        <w:rPr>
          <w:rFonts w:hint="eastAsia" w:ascii="宋体" w:hAnsi="宋体" w:eastAsia="宋体" w:cs="宋体"/>
          <w:b/>
          <w:color w:val="auto"/>
          <w:kern w:val="2"/>
          <w:sz w:val="21"/>
          <w:szCs w:val="21"/>
          <w:highlight w:val="none"/>
          <w:lang w:val="en-US" w:eastAsia="zh-CN" w:bidi="ar-SA"/>
        </w:rPr>
        <w:t>三、评分细则</w:t>
      </w:r>
    </w:p>
    <w:p>
      <w:pPr>
        <w:pStyle w:val="4"/>
        <w:rPr>
          <w:rFonts w:hint="eastAsia"/>
          <w:color w:val="auto"/>
          <w:highlight w:val="none"/>
        </w:rPr>
      </w:pPr>
    </w:p>
    <w:tbl>
      <w:tblPr>
        <w:tblStyle w:val="50"/>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7764"/>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133" w:type="dxa"/>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
                <w:color w:val="auto"/>
                <w:sz w:val="21"/>
                <w:szCs w:val="21"/>
                <w:highlight w:val="none"/>
              </w:rPr>
            </w:pPr>
            <w:bookmarkStart w:id="54" w:name="OLE_LINK1"/>
            <w:r>
              <w:rPr>
                <w:rFonts w:hint="eastAsia" w:ascii="宋体" w:hAnsi="宋体" w:eastAsia="宋体" w:cs="宋体"/>
                <w:b/>
                <w:color w:val="auto"/>
                <w:sz w:val="21"/>
                <w:szCs w:val="21"/>
                <w:highlight w:val="none"/>
              </w:rPr>
              <w:t>项目</w:t>
            </w:r>
          </w:p>
        </w:tc>
        <w:tc>
          <w:tcPr>
            <w:tcW w:w="7764" w:type="dxa"/>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评分内容及标准</w:t>
            </w:r>
          </w:p>
        </w:tc>
        <w:tc>
          <w:tcPr>
            <w:tcW w:w="822" w:type="dxa"/>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jc w:val="center"/>
        </w:trPr>
        <w:tc>
          <w:tcPr>
            <w:tcW w:w="1133" w:type="dxa"/>
            <w:vMerge w:val="restart"/>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技术商务部分</w:t>
            </w:r>
          </w:p>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（80分）</w:t>
            </w:r>
          </w:p>
        </w:tc>
        <w:tc>
          <w:tcPr>
            <w:tcW w:w="7764" w:type="dxa"/>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textAlignment w:val="auto"/>
              <w:outlineLvl w:val="9"/>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技术指标响应性</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12分</w:t>
            </w:r>
            <w:r>
              <w:rPr>
                <w:rFonts w:hint="eastAsia" w:ascii="宋体" w:hAnsi="宋体" w:cs="宋体"/>
                <w:b/>
                <w:bCs/>
                <w:color w:val="auto"/>
                <w:kern w:val="0"/>
                <w:sz w:val="21"/>
                <w:szCs w:val="21"/>
                <w:highlight w:val="none"/>
                <w:lang w:eastAsia="zh-CN"/>
              </w:rPr>
              <w:t>）</w:t>
            </w:r>
          </w:p>
          <w:p>
            <w:pPr>
              <w:pStyle w:val="6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s="Times New Roman"/>
                <w:color w:val="auto"/>
                <w:highlight w:val="none"/>
                <w:lang w:val="zh-CN"/>
              </w:rPr>
            </w:pPr>
            <w:r>
              <w:rPr>
                <w:rFonts w:hint="eastAsia" w:ascii="Times New Roman" w:hAnsi="Times New Roman" w:eastAsia="宋体" w:cs="Times New Roman"/>
                <w:color w:val="auto"/>
                <w:highlight w:val="none"/>
                <w:lang w:val="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zh-CN"/>
              </w:rPr>
              <w:t>）评标委员会根据投标产品技术指标对第二章中“主要设备参数清单”内容的响应情况：全部满足或者优于招标要求的得</w:t>
            </w:r>
            <w:r>
              <w:rPr>
                <w:rFonts w:hint="eastAsia" w:ascii="Times New Roman" w:hAnsi="Times New Roman" w:eastAsia="宋体" w:cs="Times New Roman"/>
                <w:color w:val="auto"/>
                <w:highlight w:val="none"/>
                <w:lang w:val="en-US" w:eastAsia="zh-CN"/>
              </w:rPr>
              <w:t>12</w:t>
            </w:r>
            <w:r>
              <w:rPr>
                <w:rFonts w:hint="eastAsia" w:ascii="Times New Roman" w:hAnsi="Times New Roman" w:eastAsia="宋体" w:cs="Times New Roman"/>
                <w:color w:val="auto"/>
                <w:highlight w:val="none"/>
                <w:lang w:val="zh-CN"/>
              </w:rPr>
              <w:t>分。</w:t>
            </w:r>
          </w:p>
          <w:p>
            <w:pPr>
              <w:pStyle w:val="6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s="Times New Roman"/>
                <w:color w:val="auto"/>
                <w:highlight w:val="none"/>
                <w:lang w:val="zh-CN"/>
              </w:rPr>
            </w:pPr>
            <w:r>
              <w:rPr>
                <w:rFonts w:hint="eastAsia" w:ascii="Times New Roman" w:hAnsi="Times New Roman" w:eastAsia="宋体" w:cs="Times New Roman"/>
                <w:color w:val="auto"/>
                <w:highlight w:val="none"/>
                <w:lang w:val="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zh-CN"/>
              </w:rPr>
              <w:t>）一般参数负偏离每条扣1分，本项扣完为止；</w:t>
            </w:r>
          </w:p>
          <w:p>
            <w:pPr>
              <w:pStyle w:val="6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s="Times New Roman"/>
                <w:color w:val="auto"/>
                <w:highlight w:val="none"/>
                <w:lang w:val="zh-CN"/>
              </w:rPr>
            </w:pPr>
            <w:r>
              <w:rPr>
                <w:rFonts w:hint="eastAsia" w:ascii="Times New Roman" w:hAnsi="Times New Roman" w:eastAsia="宋体" w:cs="Times New Roman"/>
                <w:color w:val="auto"/>
                <w:highlight w:val="none"/>
                <w:lang w:val="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val="zh-CN"/>
              </w:rPr>
              <w:t>）打“★”重要参数如有负偏离 每条扣 2 分，本项扣完为止。</w:t>
            </w:r>
          </w:p>
          <w:p>
            <w:pPr>
              <w:pStyle w:val="6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color w:val="auto"/>
                <w:highlight w:val="none"/>
              </w:rPr>
            </w:pPr>
            <w:r>
              <w:rPr>
                <w:rFonts w:hint="eastAsia" w:ascii="Times New Roman" w:hAnsi="Times New Roman" w:eastAsia="宋体" w:cs="Times New Roman"/>
                <w:color w:val="auto"/>
                <w:highlight w:val="none"/>
                <w:lang w:val="zh-CN"/>
              </w:rPr>
              <w:t>注：招标文件要求提供的功能截图或相关证明材料复印件，需附在投标文件中并加盖公章，如未提供或提供内容不全、不清晰，则不得分。</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ascii="宋体" w:hAnsi="宋体" w:eastAsia="宋体" w:cs="宋体"/>
                <w:bCs/>
                <w:color w:val="auto"/>
                <w:sz w:val="21"/>
                <w:szCs w:val="21"/>
                <w:highlight w:val="none"/>
                <w:lang w:val="en-US" w:eastAsia="zh-CN"/>
              </w:rPr>
            </w:pPr>
            <w:r>
              <w:rPr>
                <w:rFonts w:hint="eastAsia" w:hAnsi="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2"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宋体" w:hAnsi="宋体" w:eastAsia="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系统设计能力（15）</w:t>
            </w:r>
          </w:p>
          <w:p>
            <w:pPr>
              <w:keepNext w:val="0"/>
              <w:keepLines w:val="0"/>
              <w:suppressLineNumbers w:val="0"/>
              <w:spacing w:before="0" w:beforeAutospacing="0" w:after="0" w:afterAutospacing="0" w:line="360" w:lineRule="auto"/>
              <w:ind w:left="0" w:right="0"/>
              <w:textAlignment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投标人的方案须完全满足本项目系统能力要求，并提供相关能力平台或软件功能截图（根据提供材料酌情打分）：</w:t>
            </w:r>
          </w:p>
          <w:p>
            <w:pPr>
              <w:keepNext w:val="0"/>
              <w:keepLines w:val="0"/>
              <w:suppressLineNumbers w:val="0"/>
              <w:spacing w:before="0" w:beforeAutospacing="0" w:after="0" w:afterAutospacing="0" w:line="360" w:lineRule="auto"/>
              <w:ind w:left="0" w:right="0"/>
              <w:textAlignment w:val="center"/>
              <w:rPr>
                <w:rFonts w:hint="default" w:ascii="宋体" w:hAnsi="宋体" w:cs="宋体"/>
                <w:color w:val="auto"/>
                <w:szCs w:val="21"/>
                <w:highlight w:val="none"/>
              </w:rPr>
            </w:pPr>
            <w:r>
              <w:rPr>
                <w:rFonts w:hint="eastAsia" w:ascii="宋体" w:hAnsi="宋体" w:cs="宋体"/>
                <w:color w:val="auto"/>
                <w:kern w:val="0"/>
                <w:szCs w:val="21"/>
                <w:highlight w:val="none"/>
              </w:rPr>
              <w:t>1、社区物联引擎能力：包括产品管理、设备管理、数据查看、规则设置、告警通知等能力；</w:t>
            </w:r>
            <w:r>
              <w:rPr>
                <w:rFonts w:hint="eastAsia" w:ascii="宋体" w:hAnsi="宋体" w:cs="宋体"/>
                <w:color w:val="auto"/>
                <w:szCs w:val="20"/>
                <w:highlight w:val="none"/>
              </w:rPr>
              <w:t>0-</w:t>
            </w:r>
            <w:r>
              <w:rPr>
                <w:rFonts w:hint="eastAsia" w:ascii="宋体" w:hAnsi="宋体" w:cs="宋体"/>
                <w:color w:val="auto"/>
                <w:szCs w:val="20"/>
                <w:highlight w:val="none"/>
                <w:lang w:val="en-US" w:eastAsia="zh-CN"/>
              </w:rPr>
              <w:t>5</w:t>
            </w:r>
            <w:r>
              <w:rPr>
                <w:rFonts w:hint="eastAsia" w:ascii="宋体" w:hAnsi="宋体" w:cs="宋体"/>
                <w:color w:val="auto"/>
                <w:szCs w:val="20"/>
                <w:highlight w:val="none"/>
              </w:rPr>
              <w:t>分。</w:t>
            </w:r>
          </w:p>
          <w:p>
            <w:pPr>
              <w:keepNext w:val="0"/>
              <w:keepLines w:val="0"/>
              <w:suppressLineNumbers w:val="0"/>
              <w:spacing w:before="0" w:beforeAutospacing="0" w:after="0" w:afterAutospacing="0" w:line="360" w:lineRule="auto"/>
              <w:ind w:left="0" w:right="0"/>
              <w:textAlignment w:val="center"/>
              <w:rPr>
                <w:rFonts w:hint="default" w:ascii="宋体" w:hAnsi="宋体" w:cs="宋体"/>
                <w:color w:val="auto"/>
                <w:szCs w:val="21"/>
                <w:highlight w:val="none"/>
              </w:rPr>
            </w:pPr>
            <w:r>
              <w:rPr>
                <w:rFonts w:hint="eastAsia" w:ascii="宋体" w:hAnsi="宋体" w:cs="宋体"/>
                <w:color w:val="auto"/>
                <w:kern w:val="0"/>
                <w:szCs w:val="21"/>
                <w:highlight w:val="none"/>
              </w:rPr>
              <w:t>2、服务平台能力：包含服务应用商城、三维资产管理系统、掌上端组装能力、智慧服务中心组装交付能力；</w:t>
            </w:r>
            <w:r>
              <w:rPr>
                <w:rFonts w:hint="eastAsia" w:ascii="宋体" w:hAnsi="宋体" w:cs="宋体"/>
                <w:color w:val="auto"/>
                <w:szCs w:val="20"/>
                <w:highlight w:val="none"/>
              </w:rPr>
              <w:t>0-</w:t>
            </w:r>
            <w:r>
              <w:rPr>
                <w:rFonts w:hint="eastAsia" w:ascii="宋体" w:hAnsi="宋体" w:cs="宋体"/>
                <w:color w:val="auto"/>
                <w:szCs w:val="20"/>
                <w:highlight w:val="none"/>
                <w:lang w:val="en-US" w:eastAsia="zh-CN"/>
              </w:rPr>
              <w:t>5</w:t>
            </w:r>
            <w:r>
              <w:rPr>
                <w:rFonts w:hint="eastAsia" w:ascii="宋体" w:hAnsi="宋体" w:cs="宋体"/>
                <w:color w:val="auto"/>
                <w:szCs w:val="20"/>
                <w:highlight w:val="none"/>
              </w:rPr>
              <w:t>分。</w:t>
            </w:r>
          </w:p>
          <w:p>
            <w:pPr>
              <w:pStyle w:val="22"/>
              <w:spacing w:line="360" w:lineRule="auto"/>
              <w:rPr>
                <w:rFonts w:hint="eastAsia"/>
                <w:color w:val="auto"/>
                <w:highlight w:val="none"/>
              </w:rPr>
            </w:pPr>
            <w:r>
              <w:rPr>
                <w:rFonts w:hint="eastAsia" w:ascii="宋体" w:hAnsi="宋体" w:cs="宋体"/>
                <w:color w:val="auto"/>
                <w:kern w:val="0"/>
                <w:szCs w:val="21"/>
                <w:highlight w:val="none"/>
              </w:rPr>
              <w:t>3、场景构建能力：包含项目管理、业务大屏管理、空间点位管理、业务场景管理、场景动作管理能力；</w:t>
            </w:r>
            <w:r>
              <w:rPr>
                <w:rFonts w:hint="eastAsia" w:ascii="宋体" w:hAnsi="宋体" w:cs="宋体"/>
                <w:color w:val="auto"/>
                <w:szCs w:val="20"/>
                <w:highlight w:val="none"/>
              </w:rPr>
              <w:t>0-</w:t>
            </w:r>
            <w:r>
              <w:rPr>
                <w:rFonts w:hint="eastAsia" w:ascii="宋体" w:hAnsi="宋体" w:cs="宋体"/>
                <w:color w:val="auto"/>
                <w:szCs w:val="20"/>
                <w:highlight w:val="none"/>
                <w:lang w:val="en-US" w:eastAsia="zh-CN"/>
              </w:rPr>
              <w:t>5</w:t>
            </w:r>
            <w:r>
              <w:rPr>
                <w:rFonts w:hint="eastAsia" w:ascii="宋体" w:hAnsi="宋体" w:cs="宋体"/>
                <w:color w:val="auto"/>
                <w:szCs w:val="20"/>
                <w:highlight w:val="none"/>
              </w:rPr>
              <w:t>分。</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ascii="宋体" w:hAnsi="宋体" w:eastAsia="宋体" w:cs="宋体"/>
                <w:bCs/>
                <w:color w:val="auto"/>
                <w:sz w:val="21"/>
                <w:szCs w:val="21"/>
                <w:highlight w:val="none"/>
                <w:lang w:val="en-US" w:eastAsia="zh-CN"/>
              </w:rPr>
            </w:pPr>
            <w:r>
              <w:rPr>
                <w:rFonts w:hint="eastAsia" w:hAnsi="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both"/>
              <w:textAlignment w:val="auto"/>
              <w:outlineLvl w:val="9"/>
              <w:rPr>
                <w:rFonts w:hint="eastAsia" w:eastAsia="宋体"/>
                <w:b/>
                <w:bCs/>
                <w:color w:val="auto"/>
                <w:highlight w:val="none"/>
                <w:lang w:eastAsia="zh-CN"/>
              </w:rPr>
            </w:pPr>
            <w:r>
              <w:rPr>
                <w:rFonts w:hint="eastAsia"/>
                <w:b/>
                <w:bCs/>
                <w:color w:val="auto"/>
                <w:highlight w:val="none"/>
              </w:rPr>
              <w:t>项目实施方案</w:t>
            </w:r>
            <w:r>
              <w:rPr>
                <w:rFonts w:hint="eastAsia"/>
                <w:b/>
                <w:bCs/>
                <w:color w:val="auto"/>
                <w:highlight w:val="none"/>
                <w:lang w:eastAsia="zh-CN"/>
              </w:rPr>
              <w:t>（</w:t>
            </w:r>
            <w:r>
              <w:rPr>
                <w:rFonts w:hint="eastAsia"/>
                <w:b/>
                <w:bCs/>
                <w:color w:val="auto"/>
                <w:highlight w:val="none"/>
                <w:lang w:val="en-US" w:eastAsia="zh-CN"/>
              </w:rPr>
              <w:t>14分</w:t>
            </w:r>
            <w:r>
              <w:rPr>
                <w:rFonts w:hint="eastAsia"/>
                <w:b/>
                <w:bCs/>
                <w:color w:val="auto"/>
                <w:highlight w:val="none"/>
                <w:lang w:eastAsia="zh-CN"/>
              </w:rPr>
              <w:t>）</w:t>
            </w:r>
          </w:p>
          <w:p>
            <w:pPr>
              <w:pStyle w:val="3"/>
              <w:keepNext w:val="0"/>
              <w:keepLines w:val="0"/>
              <w:pageBreakBefore w:val="0"/>
              <w:widowControl w:val="0"/>
              <w:kinsoku/>
              <w:wordWrap/>
              <w:overflowPunct/>
              <w:topLinePunct w:val="0"/>
              <w:autoSpaceDE/>
              <w:autoSpaceDN/>
              <w:bidi w:val="0"/>
              <w:snapToGrid w:val="0"/>
              <w:spacing w:after="0" w:line="360" w:lineRule="auto"/>
              <w:ind w:left="0" w:leftChars="0"/>
              <w:jc w:val="both"/>
              <w:textAlignment w:val="auto"/>
              <w:outlineLvl w:val="9"/>
              <w:rPr>
                <w:rFonts w:hint="eastAsia"/>
                <w:color w:val="auto"/>
                <w:highlight w:val="none"/>
              </w:rPr>
            </w:pPr>
            <w:r>
              <w:rPr>
                <w:rFonts w:hint="eastAsia"/>
                <w:color w:val="auto"/>
                <w:highlight w:val="none"/>
              </w:rPr>
              <w:t>根据投标人提供的针对本项目制定的实施方案全面、合理、操作性进行综合评审（实施方案内容包括项目实施管理、进度安排、质量保证、安全文明施工管理、人员配置、应急管理、培训等）</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ascii="宋体" w:hAnsi="宋体" w:eastAsia="宋体" w:cs="宋体"/>
                <w:bCs/>
                <w:color w:val="auto"/>
                <w:sz w:val="21"/>
                <w:szCs w:val="21"/>
                <w:highlight w:val="none"/>
                <w:lang w:val="en-US" w:eastAsia="zh-CN"/>
              </w:rPr>
            </w:pPr>
            <w:r>
              <w:rPr>
                <w:rFonts w:hint="eastAsia" w:hAnsi="宋体" w:cs="宋体"/>
                <w:bCs/>
                <w:color w:val="auto"/>
                <w:sz w:val="21"/>
                <w:szCs w:val="21"/>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tcPr>
          <w:p>
            <w:pPr>
              <w:pStyle w:val="3"/>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leftChars="0" w:right="0"/>
              <w:jc w:val="both"/>
              <w:textAlignment w:val="auto"/>
              <w:outlineLvl w:val="9"/>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cs="Times New Roman"/>
                <w:b/>
                <w:bCs/>
                <w:color w:val="auto"/>
                <w:kern w:val="2"/>
                <w:sz w:val="21"/>
                <w:szCs w:val="24"/>
                <w:highlight w:val="none"/>
                <w:lang w:val="zh-CN" w:eastAsia="zh-CN" w:bidi="ar-SA"/>
              </w:rPr>
              <w:t>投标整体技术方案的科学性和完整性（</w:t>
            </w:r>
            <w:r>
              <w:rPr>
                <w:rFonts w:hint="eastAsia" w:ascii="Times New Roman" w:hAnsi="Times New Roman" w:eastAsia="宋体" w:cs="Times New Roman"/>
                <w:b/>
                <w:bCs/>
                <w:color w:val="auto"/>
                <w:kern w:val="2"/>
                <w:sz w:val="21"/>
                <w:szCs w:val="24"/>
                <w:highlight w:val="none"/>
                <w:lang w:val="en-US" w:eastAsia="zh-CN" w:bidi="ar-SA"/>
              </w:rPr>
              <w:t>10分）</w:t>
            </w:r>
          </w:p>
          <w:p>
            <w:pPr>
              <w:pStyle w:val="3"/>
              <w:keepNext w:val="0"/>
              <w:keepLines w:val="0"/>
              <w:pageBreakBefore w:val="0"/>
              <w:widowControl w:val="0"/>
              <w:kinsoku/>
              <w:wordWrap/>
              <w:overflowPunct/>
              <w:topLinePunct w:val="0"/>
              <w:autoSpaceDE/>
              <w:autoSpaceDN/>
              <w:bidi w:val="0"/>
              <w:snapToGrid w:val="0"/>
              <w:spacing w:after="0" w:line="360" w:lineRule="auto"/>
              <w:ind w:left="0" w:leftChars="0"/>
              <w:jc w:val="both"/>
              <w:textAlignment w:val="auto"/>
              <w:outlineLvl w:val="9"/>
              <w:rPr>
                <w:rFonts w:hint="eastAsia"/>
                <w:color w:val="auto"/>
                <w:highlight w:val="none"/>
              </w:rPr>
            </w:pPr>
            <w:r>
              <w:rPr>
                <w:rFonts w:hint="eastAsia"/>
                <w:color w:val="auto"/>
                <w:highlight w:val="none"/>
              </w:rPr>
              <w:t>根据投标人提供的技术方案与需求的吻合程度，包括方案的科学性、先进性、可行性和扩展性，方案是否完整，方案是否科学合理、安全严密、具有一定的前瞻性，是否有独到的优势</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tcPr>
          <w:p>
            <w:pPr>
              <w:keepNext w:val="0"/>
              <w:keepLines w:val="0"/>
              <w:pageBreakBefore w:val="0"/>
              <w:widowControl/>
              <w:suppressLineNumbers w:val="0"/>
              <w:kinsoku/>
              <w:wordWrap/>
              <w:overflowPunct/>
              <w:topLinePunct w:val="0"/>
              <w:autoSpaceDE/>
              <w:autoSpaceDN/>
              <w:bidi w:val="0"/>
              <w:snapToGrid/>
              <w:spacing w:line="360" w:lineRule="auto"/>
              <w:jc w:val="left"/>
              <w:textAlignment w:val="auto"/>
              <w:outlineLvl w:val="9"/>
              <w:rPr>
                <w:rFonts w:hint="eastAsia" w:ascii="宋体" w:hAnsi="宋体" w:eastAsia="宋体" w:cs="宋体"/>
                <w:b/>
                <w:bCs/>
                <w:color w:val="auto"/>
                <w:kern w:val="0"/>
                <w:sz w:val="20"/>
                <w:szCs w:val="20"/>
                <w:highlight w:val="none"/>
                <w:lang w:val="en-US" w:eastAsia="zh-CN" w:bidi="ar"/>
              </w:rPr>
            </w:pPr>
            <w:r>
              <w:rPr>
                <w:rFonts w:hint="eastAsia" w:ascii="宋体" w:hAnsi="宋体" w:eastAsia="宋体" w:cs="宋体"/>
                <w:b/>
                <w:bCs/>
                <w:color w:val="auto"/>
                <w:kern w:val="0"/>
                <w:sz w:val="20"/>
                <w:szCs w:val="20"/>
                <w:highlight w:val="none"/>
                <w:lang w:val="en-US" w:eastAsia="zh-CN" w:bidi="ar"/>
              </w:rPr>
              <w:t>项目重难点分析</w:t>
            </w:r>
            <w:r>
              <w:rPr>
                <w:rFonts w:hint="eastAsia" w:ascii="宋体" w:hAnsi="宋体" w:cs="宋体"/>
                <w:b/>
                <w:bCs/>
                <w:color w:val="auto"/>
                <w:kern w:val="0"/>
                <w:sz w:val="20"/>
                <w:szCs w:val="20"/>
                <w:highlight w:val="none"/>
                <w:lang w:val="en-US" w:eastAsia="zh-CN" w:bidi="ar"/>
              </w:rPr>
              <w:t>（3分）</w:t>
            </w:r>
          </w:p>
          <w:p>
            <w:pPr>
              <w:keepNext w:val="0"/>
              <w:keepLines w:val="0"/>
              <w:pageBreakBefore w:val="0"/>
              <w:widowControl/>
              <w:suppressLineNumbers w:val="0"/>
              <w:kinsoku/>
              <w:wordWrap/>
              <w:overflowPunct/>
              <w:topLinePunct w:val="0"/>
              <w:autoSpaceDE/>
              <w:autoSpaceDN/>
              <w:bidi w:val="0"/>
              <w:snapToGrid/>
              <w:spacing w:line="360" w:lineRule="auto"/>
              <w:jc w:val="left"/>
              <w:textAlignment w:val="auto"/>
              <w:outlineLvl w:val="9"/>
              <w:rPr>
                <w:color w:val="auto"/>
                <w:highlight w:val="none"/>
              </w:rPr>
            </w:pPr>
            <w:r>
              <w:rPr>
                <w:rFonts w:hint="eastAsia" w:ascii="宋体" w:hAnsi="宋体" w:eastAsia="宋体" w:cs="宋体"/>
                <w:color w:val="auto"/>
                <w:kern w:val="0"/>
                <w:sz w:val="20"/>
                <w:szCs w:val="20"/>
                <w:highlight w:val="none"/>
                <w:lang w:val="en-US" w:eastAsia="zh-CN" w:bidi="ar"/>
              </w:rPr>
              <w:t>根据投标人对本项目的重难点分析进行综合评议，最高</w:t>
            </w:r>
            <w:r>
              <w:rPr>
                <w:rFonts w:hint="eastAsia" w:ascii="宋体" w:hAnsi="宋体" w:cs="宋体"/>
                <w:color w:val="auto"/>
                <w:kern w:val="0"/>
                <w:sz w:val="20"/>
                <w:szCs w:val="20"/>
                <w:highlight w:val="none"/>
                <w:lang w:val="en-US" w:eastAsia="zh-CN" w:bidi="ar"/>
              </w:rPr>
              <w:t>1.5</w:t>
            </w:r>
            <w:r>
              <w:rPr>
                <w:rFonts w:hint="eastAsia" w:ascii="宋体" w:hAnsi="宋体" w:eastAsia="宋体" w:cs="宋体"/>
                <w:color w:val="auto"/>
                <w:kern w:val="0"/>
                <w:sz w:val="20"/>
                <w:szCs w:val="20"/>
                <w:highlight w:val="none"/>
                <w:lang w:val="en-US" w:eastAsia="zh-CN" w:bidi="ar"/>
              </w:rPr>
              <w:t xml:space="preserve">分。 </w:t>
            </w:r>
          </w:p>
          <w:p>
            <w:pPr>
              <w:keepNext w:val="0"/>
              <w:keepLines w:val="0"/>
              <w:pageBreakBefore w:val="0"/>
              <w:widowControl/>
              <w:suppressLineNumbers w:val="0"/>
              <w:kinsoku/>
              <w:wordWrap/>
              <w:overflowPunct/>
              <w:topLinePunct w:val="0"/>
              <w:autoSpaceDE/>
              <w:autoSpaceDN/>
              <w:bidi w:val="0"/>
              <w:snapToGrid/>
              <w:spacing w:line="360" w:lineRule="auto"/>
              <w:jc w:val="left"/>
              <w:textAlignment w:val="auto"/>
              <w:outlineLvl w:val="9"/>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0"/>
                <w:szCs w:val="20"/>
                <w:highlight w:val="none"/>
                <w:lang w:val="en-US" w:eastAsia="zh-CN" w:bidi="ar"/>
              </w:rPr>
              <w:t>根据投标人针对以上重难点提出的解决措施进行综合评议，最高</w:t>
            </w:r>
            <w:r>
              <w:rPr>
                <w:rFonts w:hint="eastAsia" w:ascii="宋体" w:hAnsi="宋体" w:cs="宋体"/>
                <w:color w:val="auto"/>
                <w:kern w:val="0"/>
                <w:sz w:val="20"/>
                <w:szCs w:val="20"/>
                <w:highlight w:val="none"/>
                <w:lang w:val="en-US" w:eastAsia="zh-CN" w:bidi="ar"/>
              </w:rPr>
              <w:t>1.5</w:t>
            </w:r>
            <w:r>
              <w:rPr>
                <w:rFonts w:hint="eastAsia" w:ascii="宋体" w:hAnsi="宋体" w:eastAsia="宋体" w:cs="宋体"/>
                <w:color w:val="auto"/>
                <w:kern w:val="0"/>
                <w:sz w:val="20"/>
                <w:szCs w:val="20"/>
                <w:highlight w:val="none"/>
                <w:lang w:val="en-US" w:eastAsia="zh-CN" w:bidi="ar"/>
              </w:rPr>
              <w:t>分。</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both"/>
              <w:outlineLvl w:val="9"/>
              <w:rPr>
                <w:rFonts w:hint="eastAsia"/>
                <w:b/>
                <w:bCs/>
                <w:color w:val="auto"/>
                <w:highlight w:val="none"/>
              </w:rPr>
            </w:pPr>
            <w:r>
              <w:rPr>
                <w:rFonts w:hint="eastAsia"/>
                <w:b/>
                <w:bCs/>
                <w:color w:val="auto"/>
                <w:highlight w:val="none"/>
              </w:rPr>
              <w:t>售后服务能力（</w:t>
            </w:r>
            <w:r>
              <w:rPr>
                <w:rFonts w:hint="eastAsia"/>
                <w:b/>
                <w:bCs/>
                <w:color w:val="auto"/>
                <w:highlight w:val="none"/>
                <w:lang w:val="en-US" w:eastAsia="zh-CN"/>
              </w:rPr>
              <w:t>10</w:t>
            </w:r>
            <w:r>
              <w:rPr>
                <w:rFonts w:hint="eastAsia"/>
                <w:b/>
                <w:bCs/>
                <w:color w:val="auto"/>
                <w:highlight w:val="none"/>
              </w:rPr>
              <w:t>分）</w:t>
            </w:r>
          </w:p>
          <w:p>
            <w:pPr>
              <w:keepNext w:val="0"/>
              <w:keepLines w:val="0"/>
              <w:pageBreakBefore w:val="0"/>
              <w:widowControl w:val="0"/>
              <w:kinsoku/>
              <w:wordWrap/>
              <w:overflowPunct/>
              <w:topLinePunct w:val="0"/>
              <w:autoSpaceDE/>
              <w:autoSpaceDN/>
              <w:bidi w:val="0"/>
              <w:snapToGrid/>
              <w:spacing w:line="360" w:lineRule="auto"/>
              <w:jc w:val="both"/>
              <w:outlineLvl w:val="9"/>
              <w:rPr>
                <w:rFonts w:hint="eastAsia"/>
                <w:color w:val="auto"/>
                <w:highlight w:val="none"/>
                <w:lang w:val="zh-CN"/>
              </w:rPr>
            </w:pPr>
            <w:r>
              <w:rPr>
                <w:rFonts w:hint="eastAsia"/>
                <w:color w:val="auto"/>
                <w:highlight w:val="none"/>
                <w:lang w:val="zh-CN"/>
              </w:rPr>
              <w:t>（</w:t>
            </w:r>
            <w:r>
              <w:rPr>
                <w:rFonts w:hint="eastAsia"/>
                <w:color w:val="auto"/>
                <w:highlight w:val="none"/>
                <w:lang w:val="en-US" w:eastAsia="zh-CN"/>
              </w:rPr>
              <w:t>1</w:t>
            </w:r>
            <w:r>
              <w:rPr>
                <w:rFonts w:hint="eastAsia"/>
                <w:color w:val="auto"/>
                <w:highlight w:val="none"/>
                <w:lang w:val="zh-CN"/>
              </w:rPr>
              <w:t>）根据投标人提供的针对本项目的售后服务体系、售后服务方案、售后服务承诺、备品备件、售后服务机构及人员数量情况进行评审</w:t>
            </w:r>
            <w:r>
              <w:rPr>
                <w:rFonts w:hint="eastAsia"/>
                <w:color w:val="auto"/>
                <w:highlight w:val="none"/>
                <w:lang w:val="zh-CN" w:eastAsia="zh-CN"/>
              </w:rPr>
              <w:t>。（</w:t>
            </w:r>
            <w:r>
              <w:rPr>
                <w:rFonts w:hint="eastAsia"/>
                <w:color w:val="auto"/>
                <w:highlight w:val="none"/>
                <w:lang w:val="zh-CN"/>
              </w:rPr>
              <w:t>0-</w:t>
            </w:r>
            <w:r>
              <w:rPr>
                <w:rFonts w:hint="eastAsia"/>
                <w:color w:val="auto"/>
                <w:highlight w:val="none"/>
                <w:lang w:val="en-US" w:eastAsia="zh-CN"/>
              </w:rPr>
              <w:t>5</w:t>
            </w:r>
            <w:r>
              <w:rPr>
                <w:rFonts w:hint="eastAsia"/>
                <w:color w:val="auto"/>
                <w:highlight w:val="none"/>
                <w:lang w:val="zh-CN"/>
              </w:rPr>
              <w:t>分</w:t>
            </w:r>
            <w:r>
              <w:rPr>
                <w:rFonts w:hint="eastAsia"/>
                <w:color w:val="auto"/>
                <w:highlight w:val="none"/>
                <w:lang w:val="zh-CN" w:eastAsia="zh-CN"/>
              </w:rPr>
              <w:t>）</w:t>
            </w:r>
          </w:p>
          <w:p>
            <w:pPr>
              <w:keepNext w:val="0"/>
              <w:keepLines w:val="0"/>
              <w:pageBreakBefore w:val="0"/>
              <w:widowControl w:val="0"/>
              <w:kinsoku/>
              <w:wordWrap/>
              <w:overflowPunct/>
              <w:topLinePunct w:val="0"/>
              <w:autoSpaceDE/>
              <w:autoSpaceDN/>
              <w:bidi w:val="0"/>
              <w:snapToGrid/>
              <w:spacing w:line="360" w:lineRule="auto"/>
              <w:jc w:val="both"/>
              <w:outlineLvl w:val="9"/>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zh-CN" w:eastAsia="zh-CN"/>
              </w:rPr>
              <w:t>（</w:t>
            </w:r>
            <w:r>
              <w:rPr>
                <w:rFonts w:hint="eastAsia"/>
                <w:color w:val="auto"/>
                <w:highlight w:val="none"/>
                <w:lang w:val="en-US" w:eastAsia="zh-CN"/>
              </w:rPr>
              <w:t>2</w:t>
            </w:r>
            <w:r>
              <w:rPr>
                <w:rFonts w:hint="eastAsia"/>
                <w:color w:val="auto"/>
                <w:highlight w:val="none"/>
                <w:lang w:val="zh-CN" w:eastAsia="zh-CN"/>
              </w:rPr>
              <w:t>）</w:t>
            </w:r>
            <w:r>
              <w:rPr>
                <w:rFonts w:hint="eastAsia"/>
                <w:color w:val="auto"/>
                <w:highlight w:val="none"/>
                <w:lang w:val="zh-CN"/>
              </w:rPr>
              <w:t>根据投标人提供的售后服务便捷性，包括响应及时性、到达现场的时间、项目运维期间配合服务的便捷程度、人员设备及技术支持的应急配合能力及时效等方面进行评审。</w:t>
            </w:r>
            <w:r>
              <w:rPr>
                <w:rFonts w:hint="eastAsia"/>
                <w:color w:val="auto"/>
                <w:highlight w:val="none"/>
                <w:lang w:val="zh-CN" w:eastAsia="zh-CN"/>
              </w:rPr>
              <w:t>（</w:t>
            </w:r>
            <w:r>
              <w:rPr>
                <w:rFonts w:hint="eastAsia"/>
                <w:color w:val="auto"/>
                <w:highlight w:val="none"/>
                <w:lang w:val="zh-CN"/>
              </w:rPr>
              <w:t>0-</w:t>
            </w:r>
            <w:r>
              <w:rPr>
                <w:rFonts w:hint="eastAsia"/>
                <w:color w:val="auto"/>
                <w:highlight w:val="none"/>
                <w:lang w:val="en-US" w:eastAsia="zh-CN"/>
              </w:rPr>
              <w:t>5</w:t>
            </w:r>
            <w:r>
              <w:rPr>
                <w:rFonts w:hint="eastAsia"/>
                <w:color w:val="auto"/>
                <w:highlight w:val="none"/>
                <w:lang w:val="zh-CN"/>
              </w:rPr>
              <w:t>分</w:t>
            </w:r>
            <w:r>
              <w:rPr>
                <w:rFonts w:hint="eastAsia"/>
                <w:color w:val="auto"/>
                <w:highlight w:val="none"/>
                <w:lang w:val="zh-CN" w:eastAsia="zh-CN"/>
              </w:rPr>
              <w:t>）</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hAnsi="宋体" w:cs="宋体"/>
                <w:bCs/>
                <w:color w:val="auto"/>
                <w:sz w:val="21"/>
                <w:szCs w:val="21"/>
                <w:highlight w:val="none"/>
                <w:lang w:val="en-US" w:eastAsia="zh-CN"/>
              </w:rPr>
            </w:pPr>
            <w:r>
              <w:rPr>
                <w:rFonts w:hint="eastAsia" w:hAnsi="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b/>
                <w:bCs/>
                <w:color w:val="auto"/>
                <w:highlight w:val="none"/>
              </w:rPr>
            </w:pPr>
            <w:r>
              <w:rPr>
                <w:rFonts w:hint="eastAsia"/>
                <w:b/>
                <w:bCs/>
                <w:color w:val="auto"/>
                <w:highlight w:val="none"/>
              </w:rPr>
              <w:t>现场演示（</w:t>
            </w:r>
            <w:r>
              <w:rPr>
                <w:rFonts w:hint="eastAsia"/>
                <w:b/>
                <w:bCs/>
                <w:color w:val="auto"/>
                <w:highlight w:val="none"/>
                <w:lang w:val="en-US" w:eastAsia="zh-CN"/>
              </w:rPr>
              <w:t>10</w:t>
            </w:r>
            <w:r>
              <w:rPr>
                <w:rFonts w:hint="eastAsia"/>
                <w:b/>
                <w:bCs/>
                <w:color w:val="auto"/>
                <w:highlight w:val="none"/>
              </w:rPr>
              <w:t>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0"/>
              <w:jc w:val="both"/>
              <w:textAlignment w:val="center"/>
              <w:rPr>
                <w:rFonts w:hint="default" w:ascii="宋体" w:hAnsi="宋体" w:cs="宋体"/>
                <w:color w:val="auto"/>
                <w:szCs w:val="20"/>
                <w:highlight w:val="none"/>
              </w:rPr>
            </w:pPr>
            <w:r>
              <w:rPr>
                <w:rFonts w:hint="eastAsia"/>
                <w:color w:val="auto"/>
                <w:highlight w:val="none"/>
                <w:lang w:val="en-US" w:eastAsia="zh-CN"/>
              </w:rPr>
              <w:t>投标</w:t>
            </w:r>
            <w:r>
              <w:rPr>
                <w:rFonts w:hint="eastAsia"/>
                <w:color w:val="auto"/>
                <w:highlight w:val="none"/>
                <w:lang w:val="zh-CN" w:eastAsia="zh-CN"/>
              </w:rPr>
              <w:t>人根据招标文件第二章 招标需求 所开发的</w:t>
            </w:r>
            <w:r>
              <w:rPr>
                <w:rFonts w:hint="eastAsia"/>
                <w:color w:val="auto"/>
                <w:highlight w:val="none"/>
                <w:lang w:val="en-US" w:eastAsia="zh-CN"/>
              </w:rPr>
              <w:t>未来</w:t>
            </w:r>
            <w:r>
              <w:rPr>
                <w:rFonts w:hint="eastAsia"/>
                <w:color w:val="auto"/>
                <w:highlight w:val="none"/>
                <w:lang w:val="zh-CN" w:eastAsia="zh-CN"/>
              </w:rPr>
              <w:t>社区</w:t>
            </w:r>
            <w:r>
              <w:rPr>
                <w:rFonts w:hint="eastAsia"/>
                <w:color w:val="auto"/>
                <w:highlight w:val="none"/>
                <w:lang w:val="en-US" w:eastAsia="zh-CN"/>
              </w:rPr>
              <w:t>数字化</w:t>
            </w:r>
            <w:r>
              <w:rPr>
                <w:rFonts w:hint="eastAsia"/>
                <w:color w:val="auto"/>
                <w:highlight w:val="none"/>
                <w:lang w:val="zh-CN" w:eastAsia="zh-CN"/>
              </w:rPr>
              <w:t>平台制作系统功能演示视频在投标截止时间前递交至招标代理机构处，招标代理机构将会在开标现场进行播放，由评委对功能实现、满足情况进行综合评议</w:t>
            </w:r>
            <w:r>
              <w:rPr>
                <w:rFonts w:hint="eastAsia" w:ascii="宋体" w:hAnsi="宋体" w:cs="宋体"/>
                <w:color w:val="auto"/>
                <w:szCs w:val="21"/>
                <w:highlight w:val="none"/>
              </w:rPr>
              <w:t>，演示包含以下内容：</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0"/>
              <w:jc w:val="both"/>
              <w:textAlignment w:val="center"/>
              <w:rPr>
                <w:rFonts w:hint="default" w:ascii="宋体" w:hAnsi="宋体" w:cs="宋体"/>
                <w:color w:val="auto"/>
                <w:szCs w:val="20"/>
                <w:highlight w:val="none"/>
              </w:rPr>
            </w:pPr>
            <w:r>
              <w:rPr>
                <w:rFonts w:hint="eastAsia" w:ascii="宋体" w:hAnsi="宋体" w:cs="宋体"/>
                <w:color w:val="auto"/>
                <w:szCs w:val="20"/>
                <w:highlight w:val="none"/>
                <w:lang w:eastAsia="zh-CN"/>
              </w:rPr>
              <w:t>（</w:t>
            </w:r>
            <w:r>
              <w:rPr>
                <w:rFonts w:hint="eastAsia" w:ascii="宋体" w:hAnsi="宋体" w:cs="宋体"/>
                <w:color w:val="auto"/>
                <w:szCs w:val="20"/>
                <w:highlight w:val="none"/>
                <w:lang w:val="en-US" w:eastAsia="zh-CN"/>
              </w:rPr>
              <w:t>1</w:t>
            </w:r>
            <w:r>
              <w:rPr>
                <w:rFonts w:hint="eastAsia" w:ascii="宋体" w:hAnsi="宋体" w:cs="宋体"/>
                <w:color w:val="auto"/>
                <w:szCs w:val="20"/>
                <w:highlight w:val="none"/>
                <w:lang w:eastAsia="zh-CN"/>
              </w:rPr>
              <w:t>）</w:t>
            </w:r>
            <w:r>
              <w:rPr>
                <w:rFonts w:hint="eastAsia" w:ascii="宋体" w:hAnsi="宋体" w:cs="宋体"/>
                <w:color w:val="auto"/>
                <w:szCs w:val="20"/>
                <w:highlight w:val="none"/>
              </w:rPr>
              <w:t>在社区驾驶舱中进行九场景概述介绍，展现九场景建设基本情况，</w:t>
            </w:r>
            <w:r>
              <w:rPr>
                <w:rFonts w:hint="eastAsia" w:ascii="宋体" w:hAnsi="宋体" w:cs="宋体"/>
                <w:color w:val="auto"/>
                <w:szCs w:val="20"/>
                <w:highlight w:val="none"/>
                <w:lang w:val="en-US" w:eastAsia="zh-CN"/>
              </w:rPr>
              <w:t>满分2</w:t>
            </w:r>
            <w:r>
              <w:rPr>
                <w:rFonts w:hint="eastAsia" w:ascii="宋体" w:hAnsi="宋体" w:cs="宋体"/>
                <w:color w:val="auto"/>
                <w:szCs w:val="20"/>
                <w:highlight w:val="none"/>
              </w:rPr>
              <w:t>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0"/>
              <w:jc w:val="both"/>
              <w:textAlignment w:val="center"/>
              <w:rPr>
                <w:rFonts w:hint="default" w:ascii="宋体" w:hAnsi="宋体" w:cs="宋体"/>
                <w:color w:val="auto"/>
                <w:szCs w:val="20"/>
                <w:highlight w:val="none"/>
              </w:rPr>
            </w:pPr>
            <w:r>
              <w:rPr>
                <w:rFonts w:hint="eastAsia" w:ascii="宋体" w:hAnsi="宋体" w:cs="宋体"/>
                <w:color w:val="auto"/>
                <w:szCs w:val="20"/>
                <w:highlight w:val="none"/>
                <w:lang w:eastAsia="zh-CN"/>
              </w:rPr>
              <w:t>（</w:t>
            </w:r>
            <w:r>
              <w:rPr>
                <w:rFonts w:hint="eastAsia" w:ascii="宋体" w:hAnsi="宋体" w:cs="宋体"/>
                <w:color w:val="auto"/>
                <w:szCs w:val="20"/>
                <w:highlight w:val="none"/>
                <w:lang w:val="en-US" w:eastAsia="zh-CN"/>
              </w:rPr>
              <w:t>2</w:t>
            </w:r>
            <w:r>
              <w:rPr>
                <w:rFonts w:hint="eastAsia" w:ascii="宋体" w:hAnsi="宋体" w:cs="宋体"/>
                <w:color w:val="auto"/>
                <w:szCs w:val="20"/>
                <w:highlight w:val="none"/>
                <w:lang w:eastAsia="zh-CN"/>
              </w:rPr>
              <w:t>）</w:t>
            </w:r>
            <w:r>
              <w:rPr>
                <w:rFonts w:hint="eastAsia" w:ascii="宋体" w:hAnsi="宋体" w:cs="宋体"/>
                <w:color w:val="auto"/>
                <w:szCs w:val="20"/>
                <w:highlight w:val="none"/>
              </w:rPr>
              <w:t>在社区级驾驶舱中，体现党建统领，通过VR技术进行党建阵地的可视化漫游、组织架构展示、两新党支部空间分布、网格及微网格的可视化管理，</w:t>
            </w:r>
            <w:r>
              <w:rPr>
                <w:rFonts w:hint="eastAsia" w:ascii="宋体" w:hAnsi="宋体" w:cs="宋体"/>
                <w:color w:val="auto"/>
                <w:szCs w:val="20"/>
                <w:highlight w:val="none"/>
                <w:lang w:val="en-US" w:eastAsia="zh-CN"/>
              </w:rPr>
              <w:t>满分2</w:t>
            </w:r>
            <w:r>
              <w:rPr>
                <w:rFonts w:hint="eastAsia" w:ascii="宋体" w:hAnsi="宋体" w:cs="宋体"/>
                <w:color w:val="auto"/>
                <w:szCs w:val="20"/>
                <w:highlight w:val="none"/>
              </w:rPr>
              <w:t>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0"/>
              <w:jc w:val="both"/>
              <w:textAlignment w:val="center"/>
              <w:rPr>
                <w:rFonts w:hint="default" w:ascii="宋体" w:hAnsi="宋体" w:cs="宋体"/>
                <w:color w:val="auto"/>
                <w:szCs w:val="20"/>
                <w:highlight w:val="none"/>
              </w:rPr>
            </w:pPr>
            <w:r>
              <w:rPr>
                <w:rFonts w:hint="eastAsia" w:ascii="宋体" w:hAnsi="宋体" w:cs="宋体"/>
                <w:color w:val="auto"/>
                <w:szCs w:val="20"/>
                <w:highlight w:val="none"/>
                <w:lang w:eastAsia="zh-CN"/>
              </w:rPr>
              <w:t>（</w:t>
            </w:r>
            <w:r>
              <w:rPr>
                <w:rFonts w:hint="eastAsia" w:ascii="宋体" w:hAnsi="宋体" w:cs="宋体"/>
                <w:color w:val="auto"/>
                <w:szCs w:val="20"/>
                <w:highlight w:val="none"/>
                <w:lang w:val="en-US" w:eastAsia="zh-CN"/>
              </w:rPr>
              <w:t>3</w:t>
            </w:r>
            <w:r>
              <w:rPr>
                <w:rFonts w:hint="eastAsia" w:ascii="宋体" w:hAnsi="宋体" w:cs="宋体"/>
                <w:color w:val="auto"/>
                <w:szCs w:val="20"/>
                <w:highlight w:val="none"/>
                <w:lang w:eastAsia="zh-CN"/>
              </w:rPr>
              <w:t>）</w:t>
            </w:r>
            <w:r>
              <w:rPr>
                <w:rFonts w:hint="eastAsia" w:ascii="宋体" w:hAnsi="宋体" w:cs="宋体"/>
                <w:color w:val="auto"/>
                <w:szCs w:val="20"/>
                <w:highlight w:val="none"/>
              </w:rPr>
              <w:t>在社区级驾驶舱中，展现平台居民服务能力，通过轻量化BIM模型实现党群服务中心、众创空间等共享空间的精细化管理、社区达人热度排名、社区活动预约、社群管理、积分管理，</w:t>
            </w:r>
            <w:r>
              <w:rPr>
                <w:rFonts w:hint="eastAsia" w:ascii="宋体" w:hAnsi="宋体" w:cs="宋体"/>
                <w:color w:val="auto"/>
                <w:szCs w:val="20"/>
                <w:highlight w:val="none"/>
                <w:lang w:val="en-US" w:eastAsia="zh-CN"/>
              </w:rPr>
              <w:t>满分2</w:t>
            </w:r>
            <w:r>
              <w:rPr>
                <w:rFonts w:hint="eastAsia" w:ascii="宋体" w:hAnsi="宋体" w:cs="宋体"/>
                <w:color w:val="auto"/>
                <w:szCs w:val="20"/>
                <w:highlight w:val="none"/>
              </w:rPr>
              <w:t>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0"/>
              <w:jc w:val="both"/>
              <w:textAlignment w:val="center"/>
              <w:rPr>
                <w:rFonts w:hint="default" w:ascii="宋体" w:hAnsi="宋体" w:cs="宋体"/>
                <w:color w:val="auto"/>
                <w:szCs w:val="20"/>
                <w:highlight w:val="none"/>
              </w:rPr>
            </w:pPr>
            <w:r>
              <w:rPr>
                <w:rFonts w:hint="eastAsia" w:ascii="宋体" w:hAnsi="宋体" w:cs="宋体"/>
                <w:color w:val="auto"/>
                <w:szCs w:val="20"/>
                <w:highlight w:val="none"/>
                <w:lang w:eastAsia="zh-CN"/>
              </w:rPr>
              <w:t>（</w:t>
            </w:r>
            <w:r>
              <w:rPr>
                <w:rFonts w:hint="eastAsia" w:ascii="宋体" w:hAnsi="宋体" w:cs="宋体"/>
                <w:color w:val="auto"/>
                <w:szCs w:val="20"/>
                <w:highlight w:val="none"/>
                <w:lang w:val="en-US" w:eastAsia="zh-CN"/>
              </w:rPr>
              <w:t>4</w:t>
            </w:r>
            <w:r>
              <w:rPr>
                <w:rFonts w:hint="eastAsia" w:ascii="宋体" w:hAnsi="宋体" w:cs="宋体"/>
                <w:color w:val="auto"/>
                <w:szCs w:val="20"/>
                <w:highlight w:val="none"/>
                <w:lang w:eastAsia="zh-CN"/>
              </w:rPr>
              <w:t>）</w:t>
            </w:r>
            <w:r>
              <w:rPr>
                <w:rFonts w:hint="eastAsia" w:ascii="宋体" w:hAnsi="宋体" w:cs="宋体"/>
                <w:color w:val="auto"/>
                <w:szCs w:val="20"/>
                <w:highlight w:val="none"/>
              </w:rPr>
              <w:t>在社区级驾驶舱中，展现平台治理能力，在WEB端通过轻量化的CIM模型结合精密智控平台回流的核酸检测和健康码数据实现精确到户的防疫管理、对高空抛物等智能化硬件实现可视化管理、通过二维码进行民意收集并监测政府处理流程，</w:t>
            </w:r>
            <w:r>
              <w:rPr>
                <w:rFonts w:hint="eastAsia" w:ascii="宋体" w:hAnsi="宋体" w:cs="宋体"/>
                <w:color w:val="auto"/>
                <w:szCs w:val="20"/>
                <w:highlight w:val="none"/>
                <w:lang w:val="en-US" w:eastAsia="zh-CN"/>
              </w:rPr>
              <w:t>满分2</w:t>
            </w:r>
            <w:r>
              <w:rPr>
                <w:rFonts w:hint="eastAsia" w:ascii="宋体" w:hAnsi="宋体" w:cs="宋体"/>
                <w:color w:val="auto"/>
                <w:szCs w:val="20"/>
                <w:highlight w:val="none"/>
              </w:rPr>
              <w:t>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0"/>
              <w:jc w:val="both"/>
              <w:textAlignment w:val="center"/>
              <w:rPr>
                <w:rFonts w:hint="default" w:ascii="宋体" w:hAnsi="宋体"/>
                <w:color w:val="auto"/>
                <w:szCs w:val="20"/>
                <w:highlight w:val="none"/>
              </w:rPr>
            </w:pPr>
            <w:r>
              <w:rPr>
                <w:rFonts w:hint="eastAsia" w:ascii="宋体" w:hAnsi="宋体" w:cs="宋体"/>
                <w:color w:val="auto"/>
                <w:szCs w:val="20"/>
                <w:highlight w:val="none"/>
                <w:lang w:eastAsia="zh-CN"/>
              </w:rPr>
              <w:t>（</w:t>
            </w:r>
            <w:r>
              <w:rPr>
                <w:rFonts w:hint="eastAsia" w:ascii="宋体" w:hAnsi="宋体" w:cs="宋体"/>
                <w:color w:val="auto"/>
                <w:szCs w:val="20"/>
                <w:highlight w:val="none"/>
                <w:lang w:val="en-US" w:eastAsia="zh-CN"/>
              </w:rPr>
              <w:t>5</w:t>
            </w:r>
            <w:r>
              <w:rPr>
                <w:rFonts w:hint="eastAsia" w:ascii="宋体" w:hAnsi="宋体" w:cs="宋体"/>
                <w:color w:val="auto"/>
                <w:szCs w:val="20"/>
                <w:highlight w:val="none"/>
                <w:lang w:eastAsia="zh-CN"/>
              </w:rPr>
              <w:t>）</w:t>
            </w:r>
            <w:r>
              <w:rPr>
                <w:rFonts w:hint="eastAsia" w:ascii="宋体" w:hAnsi="宋体" w:cs="宋体"/>
                <w:color w:val="auto"/>
                <w:szCs w:val="20"/>
                <w:highlight w:val="none"/>
              </w:rPr>
              <w:t>通过居民移动端，完整展示社区活动多入口预约、积分获取、积分兑换全过程，积分数据通过CIM进行可视化管理，</w:t>
            </w:r>
            <w:r>
              <w:rPr>
                <w:rFonts w:hint="eastAsia" w:ascii="宋体" w:hAnsi="宋体" w:cs="宋体"/>
                <w:color w:val="auto"/>
                <w:szCs w:val="20"/>
                <w:highlight w:val="none"/>
                <w:lang w:val="en-US" w:eastAsia="zh-CN"/>
              </w:rPr>
              <w:t>满分2</w:t>
            </w:r>
            <w:r>
              <w:rPr>
                <w:rFonts w:hint="eastAsia" w:ascii="宋体" w:hAnsi="宋体" w:cs="宋体"/>
                <w:color w:val="auto"/>
                <w:szCs w:val="20"/>
                <w:highlight w:val="none"/>
              </w:rPr>
              <w:t>分。</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宋体" w:hAnsi="宋体"/>
                <w:color w:val="auto"/>
                <w:szCs w:val="20"/>
                <w:highlight w:val="none"/>
              </w:rPr>
            </w:pPr>
            <w:r>
              <w:rPr>
                <w:rFonts w:hint="eastAsia" w:ascii="宋体" w:hAnsi="宋体"/>
                <w:b/>
                <w:bCs/>
                <w:color w:val="auto"/>
                <w:szCs w:val="20"/>
                <w:highlight w:val="none"/>
              </w:rPr>
              <w:t>注：</w:t>
            </w:r>
            <w:r>
              <w:rPr>
                <w:rFonts w:hint="eastAsia" w:ascii="宋体" w:hAnsi="宋体"/>
                <w:color w:val="auto"/>
                <w:szCs w:val="20"/>
                <w:highlight w:val="none"/>
              </w:rPr>
              <w:t>本项目不组织现场讲解，供应商需自行录制演示视频（格式要求：MPEG4，时长不超过10分钟），将视频拷入U盘并单独进行密封</w:t>
            </w:r>
            <w:r>
              <w:rPr>
                <w:rFonts w:hint="eastAsia" w:ascii="宋体" w:hAnsi="宋体"/>
                <w:color w:val="auto"/>
                <w:szCs w:val="20"/>
                <w:highlight w:val="none"/>
                <w:lang w:val="en-US" w:eastAsia="zh-CN"/>
              </w:rPr>
              <w:t>并在投标截止时间前递交给招标代理机构</w:t>
            </w:r>
            <w:r>
              <w:rPr>
                <w:rFonts w:hint="eastAsia" w:ascii="宋体" w:hAnsi="宋体"/>
                <w:color w:val="auto"/>
                <w:szCs w:val="20"/>
                <w:highlight w:val="none"/>
              </w:rPr>
              <w:t>，</w:t>
            </w:r>
            <w:r>
              <w:rPr>
                <w:rFonts w:hint="eastAsia"/>
                <w:color w:val="auto"/>
                <w:highlight w:val="none"/>
                <w:lang w:val="zh-CN" w:eastAsia="zh-CN"/>
              </w:rPr>
              <w:t>递交形式为邮寄（</w:t>
            </w:r>
            <w:r>
              <w:rPr>
                <w:rFonts w:hint="eastAsia"/>
                <w:color w:val="auto"/>
                <w:highlight w:val="none"/>
                <w:lang w:val="en-US" w:eastAsia="zh-CN"/>
              </w:rPr>
              <w:t>自行承担邮寄过程风险</w:t>
            </w:r>
            <w:r>
              <w:rPr>
                <w:rFonts w:hint="eastAsia"/>
                <w:color w:val="auto"/>
                <w:highlight w:val="none"/>
                <w:lang w:val="zh-CN" w:eastAsia="zh-CN"/>
              </w:rPr>
              <w:t>）或开标现场递交（投标人任选其一）</w:t>
            </w:r>
            <w:r>
              <w:rPr>
                <w:rFonts w:hint="eastAsia"/>
                <w:color w:val="auto"/>
                <w:highlight w:val="none"/>
                <w:lang w:val="en-US" w:eastAsia="zh-CN"/>
              </w:rPr>
              <w:t>，未进行演示的，本项不得分）</w:t>
            </w:r>
            <w:r>
              <w:rPr>
                <w:rFonts w:hint="eastAsia" w:ascii="宋体" w:hAnsi="宋体"/>
                <w:color w:val="auto"/>
                <w:szCs w:val="20"/>
                <w:highlight w:val="none"/>
              </w:rPr>
              <w:t>。</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ascii="宋体" w:hAnsi="宋体" w:eastAsia="宋体" w:cs="宋体"/>
                <w:bCs/>
                <w:color w:val="auto"/>
                <w:sz w:val="21"/>
                <w:szCs w:val="21"/>
                <w:highlight w:val="none"/>
                <w:lang w:val="en-US"/>
              </w:rPr>
            </w:pPr>
            <w:r>
              <w:rPr>
                <w:rFonts w:hint="eastAsia" w:hAnsi="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vAlign w:val="top"/>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宋体" w:hAnsi="宋体" w:eastAsia="宋体" w:cs="宋体"/>
                <w:b/>
                <w:bCs/>
                <w:color w:val="auto"/>
                <w:kern w:val="0"/>
                <w:sz w:val="21"/>
                <w:szCs w:val="21"/>
                <w:highlight w:val="none"/>
                <w:lang w:val="zh-CN"/>
              </w:rPr>
            </w:pPr>
            <w:r>
              <w:rPr>
                <w:rFonts w:hint="eastAsia" w:ascii="宋体" w:hAnsi="宋体" w:eastAsia="宋体" w:cs="宋体"/>
                <w:b/>
                <w:bCs/>
                <w:color w:val="auto"/>
                <w:kern w:val="0"/>
                <w:sz w:val="21"/>
                <w:szCs w:val="21"/>
                <w:highlight w:val="none"/>
                <w:lang w:val="zh-CN"/>
              </w:rPr>
              <w:t>拟派项目团队评议（</w:t>
            </w:r>
            <w:r>
              <w:rPr>
                <w:rFonts w:hint="eastAsia" w:ascii="宋体" w:hAnsi="宋体" w:eastAsia="宋体" w:cs="宋体"/>
                <w:b/>
                <w:bCs/>
                <w:color w:val="auto"/>
                <w:kern w:val="0"/>
                <w:sz w:val="21"/>
                <w:szCs w:val="21"/>
                <w:highlight w:val="none"/>
                <w:lang w:val="en-US" w:eastAsia="zh-CN"/>
              </w:rPr>
              <w:t>4.5</w:t>
            </w:r>
            <w:r>
              <w:rPr>
                <w:rFonts w:hint="eastAsia" w:ascii="宋体" w:hAnsi="宋体" w:eastAsia="宋体" w:cs="宋体"/>
                <w:b/>
                <w:bCs/>
                <w:color w:val="auto"/>
                <w:kern w:val="0"/>
                <w:sz w:val="21"/>
                <w:szCs w:val="21"/>
                <w:highlight w:val="none"/>
                <w:lang w:val="zh-CN"/>
              </w:rPr>
              <w:t>分）</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outlineLvl w:val="9"/>
              <w:rPr>
                <w:rFonts w:hint="eastAsia" w:ascii="Times New Roman" w:hAnsi="Times New Roman" w:eastAsia="宋体" w:cs="Times New Roman"/>
                <w:color w:val="auto"/>
                <w:highlight w:val="none"/>
                <w:lang w:val="zh-CN"/>
              </w:rPr>
            </w:pPr>
            <w:r>
              <w:rPr>
                <w:rFonts w:hint="eastAsia" w:cs="Times New Roman"/>
                <w:color w:val="auto"/>
                <w:highlight w:val="none"/>
                <w:lang w:val="en-US" w:eastAsia="zh-CN"/>
              </w:rPr>
              <w:t>根据</w:t>
            </w:r>
            <w:r>
              <w:rPr>
                <w:rFonts w:hint="eastAsia" w:ascii="Times New Roman" w:hAnsi="Times New Roman" w:eastAsia="宋体" w:cs="Times New Roman"/>
                <w:color w:val="auto"/>
                <w:highlight w:val="none"/>
                <w:lang w:val="zh-CN"/>
              </w:rPr>
              <w:t>拟担任本项目</w:t>
            </w:r>
            <w:r>
              <w:rPr>
                <w:rFonts w:hint="eastAsia" w:cs="Times New Roman"/>
                <w:color w:val="auto"/>
                <w:highlight w:val="none"/>
                <w:lang w:val="zh-CN"/>
              </w:rPr>
              <w:t>的</w:t>
            </w:r>
            <w:r>
              <w:rPr>
                <w:rFonts w:hint="eastAsia" w:cs="Times New Roman"/>
                <w:color w:val="auto"/>
                <w:highlight w:val="none"/>
                <w:lang w:val="en-US" w:eastAsia="zh-CN"/>
              </w:rPr>
              <w:t>项目</w:t>
            </w:r>
            <w:r>
              <w:rPr>
                <w:rFonts w:hint="eastAsia" w:ascii="Times New Roman" w:hAnsi="Times New Roman" w:eastAsia="宋体" w:cs="Times New Roman"/>
                <w:color w:val="auto"/>
                <w:highlight w:val="none"/>
                <w:lang w:val="zh-CN"/>
              </w:rPr>
              <w:t>经理和项目组实施人员专业素质、</w:t>
            </w:r>
            <w:r>
              <w:rPr>
                <w:rFonts w:hint="eastAsia" w:cs="Times New Roman"/>
                <w:color w:val="auto"/>
                <w:highlight w:val="none"/>
                <w:lang w:val="en-US" w:eastAsia="zh-CN"/>
              </w:rPr>
              <w:t>专业岗位分工、拟投入数量充足、专业技术能力</w:t>
            </w:r>
            <w:r>
              <w:rPr>
                <w:rFonts w:hint="eastAsia" w:ascii="Times New Roman" w:hAnsi="Times New Roman" w:eastAsia="宋体" w:cs="Times New Roman"/>
                <w:color w:val="auto"/>
                <w:highlight w:val="none"/>
                <w:lang w:val="zh-CN"/>
              </w:rPr>
              <w:t>等情况情况进行综合评议</w:t>
            </w:r>
            <w:r>
              <w:rPr>
                <w:rFonts w:hint="eastAsia" w:cs="Times New Roman"/>
                <w:color w:val="auto"/>
                <w:highlight w:val="none"/>
                <w:lang w:val="zh-CN"/>
              </w:rPr>
              <w:t>，</w:t>
            </w:r>
            <w:r>
              <w:rPr>
                <w:rFonts w:hint="eastAsia" w:ascii="Times New Roman" w:hAnsi="Times New Roman" w:eastAsia="宋体" w:cs="Times New Roman"/>
                <w:color w:val="auto"/>
                <w:highlight w:val="none"/>
                <w:lang w:val="zh-CN"/>
              </w:rPr>
              <w:t>最高</w:t>
            </w:r>
            <w:r>
              <w:rPr>
                <w:rFonts w:hint="eastAsia" w:cs="Times New Roman"/>
                <w:color w:val="auto"/>
                <w:highlight w:val="none"/>
                <w:lang w:val="en-US" w:eastAsia="zh-CN"/>
              </w:rPr>
              <w:t>4.5</w:t>
            </w:r>
            <w:r>
              <w:rPr>
                <w:rFonts w:hint="eastAsia" w:ascii="Times New Roman" w:hAnsi="Times New Roman" w:eastAsia="宋体" w:cs="Times New Roman"/>
                <w:color w:val="auto"/>
                <w:highlight w:val="none"/>
                <w:lang w:val="zh-CN"/>
              </w:rPr>
              <w:t>分。</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lang w:val="zh-CN"/>
              </w:rPr>
              <w:t>注：投标文件中提供能体现上述评审因素的证明材料复印件加盖公章；拟投入人员中为目前投标正式在职员工的，另行提供投标人为其缴纳的开标日</w:t>
            </w:r>
            <w:r>
              <w:rPr>
                <w:rFonts w:hint="eastAsia" w:cs="Times New Roman"/>
                <w:color w:val="auto"/>
                <w:highlight w:val="none"/>
                <w:lang w:val="en-US" w:eastAsia="zh-CN"/>
              </w:rPr>
              <w:t>前</w:t>
            </w:r>
            <w:bookmarkStart w:id="59" w:name="_GoBack"/>
            <w:bookmarkEnd w:id="59"/>
            <w:r>
              <w:rPr>
                <w:rFonts w:hint="eastAsia" w:ascii="Times New Roman" w:hAnsi="Times New Roman" w:eastAsia="宋体" w:cs="Times New Roman"/>
                <w:color w:val="auto"/>
                <w:highlight w:val="none"/>
                <w:lang w:val="zh-CN"/>
              </w:rPr>
              <w:t>3个月的有效社保证明复印件加盖公章。</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4</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jc w:val="center"/>
        </w:trPr>
        <w:tc>
          <w:tcPr>
            <w:tcW w:w="1133" w:type="dxa"/>
            <w:vMerge w:val="continue"/>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p>
        </w:tc>
        <w:tc>
          <w:tcPr>
            <w:tcW w:w="776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企业</w:t>
            </w:r>
            <w:r>
              <w:rPr>
                <w:rFonts w:hint="eastAsia" w:ascii="宋体" w:hAnsi="宋体" w:cs="宋体"/>
                <w:b/>
                <w:bCs/>
                <w:color w:val="auto"/>
                <w:kern w:val="0"/>
                <w:sz w:val="21"/>
                <w:szCs w:val="21"/>
                <w:highlight w:val="none"/>
                <w:lang w:val="en-US" w:eastAsia="zh-CN"/>
              </w:rPr>
              <w:t>资质</w:t>
            </w:r>
            <w:r>
              <w:rPr>
                <w:rFonts w:hint="eastAsia" w:ascii="宋体" w:hAnsi="宋体" w:cs="宋体"/>
                <w:b/>
                <w:bCs/>
                <w:color w:val="auto"/>
                <w:kern w:val="0"/>
                <w:sz w:val="21"/>
                <w:szCs w:val="21"/>
                <w:highlight w:val="none"/>
                <w:lang w:eastAsia="zh-CN"/>
              </w:rPr>
              <w:t>（</w:t>
            </w:r>
            <w:r>
              <w:rPr>
                <w:rFonts w:hint="eastAsia" w:ascii="宋体" w:hAnsi="宋体" w:cs="宋体"/>
                <w:b/>
                <w:bCs/>
                <w:color w:val="auto"/>
                <w:kern w:val="0"/>
                <w:sz w:val="21"/>
                <w:szCs w:val="21"/>
                <w:highlight w:val="none"/>
                <w:lang w:val="en-US" w:eastAsia="zh-CN"/>
              </w:rPr>
              <w:t>1.5分</w:t>
            </w:r>
            <w:r>
              <w:rPr>
                <w:rFonts w:hint="eastAsia" w:ascii="宋体" w:hAnsi="宋体" w:cs="宋体"/>
                <w:b/>
                <w:bCs/>
                <w:color w:val="auto"/>
                <w:kern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投标人具备有效期内的质量管理体系认证证书，得</w:t>
            </w:r>
            <w:r>
              <w:rPr>
                <w:rFonts w:hint="eastAsia" w:ascii="宋体" w:hAnsi="宋体" w:cs="宋体"/>
                <w:bCs/>
                <w:color w:val="auto"/>
                <w:kern w:val="0"/>
                <w:sz w:val="21"/>
                <w:szCs w:val="21"/>
                <w:highlight w:val="none"/>
                <w:lang w:val="en-US" w:eastAsia="zh-CN"/>
              </w:rPr>
              <w:t>0.5</w:t>
            </w:r>
            <w:r>
              <w:rPr>
                <w:rFonts w:hint="eastAsia" w:ascii="宋体" w:hAnsi="宋体" w:eastAsia="宋体" w:cs="宋体"/>
                <w:bCs/>
                <w:color w:val="auto"/>
                <w:kern w:val="0"/>
                <w:sz w:val="21"/>
                <w:szCs w:val="21"/>
                <w:highlight w:val="none"/>
              </w:rPr>
              <w:t>分；</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eastAsia"/>
                <w:color w:val="auto"/>
                <w:highlight w:val="none"/>
              </w:rPr>
            </w:pPr>
            <w:r>
              <w:rPr>
                <w:rFonts w:hint="eastAsia"/>
                <w:color w:val="auto"/>
                <w:highlight w:val="none"/>
              </w:rPr>
              <w:t>标人具备有效期内的环境管理体系认证</w:t>
            </w:r>
            <w:r>
              <w:rPr>
                <w:rFonts w:hint="eastAsia" w:ascii="宋体" w:hAnsi="宋体" w:eastAsia="宋体" w:cs="宋体"/>
                <w:bCs/>
                <w:color w:val="auto"/>
                <w:kern w:val="0"/>
                <w:sz w:val="21"/>
                <w:szCs w:val="21"/>
                <w:highlight w:val="none"/>
              </w:rPr>
              <w:t>证书，得</w:t>
            </w:r>
            <w:r>
              <w:rPr>
                <w:rFonts w:hint="eastAsia" w:ascii="宋体" w:hAnsi="宋体" w:cs="宋体"/>
                <w:bCs/>
                <w:color w:val="auto"/>
                <w:kern w:val="0"/>
                <w:sz w:val="21"/>
                <w:szCs w:val="21"/>
                <w:highlight w:val="none"/>
                <w:lang w:val="en-US" w:eastAsia="zh-CN"/>
              </w:rPr>
              <w:t>0.5</w:t>
            </w:r>
            <w:r>
              <w:rPr>
                <w:rFonts w:hint="eastAsia" w:ascii="宋体" w:hAnsi="宋体" w:eastAsia="宋体" w:cs="宋体"/>
                <w:bCs/>
                <w:color w:val="auto"/>
                <w:kern w:val="0"/>
                <w:sz w:val="21"/>
                <w:szCs w:val="21"/>
                <w:highlight w:val="none"/>
              </w:rPr>
              <w:t>分；</w:t>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投标人具备电子与智能化工程专业总承包贰级及以上的，得</w:t>
            </w:r>
            <w:r>
              <w:rPr>
                <w:rFonts w:hint="eastAsia" w:ascii="宋体" w:hAnsi="宋体" w:cs="宋体"/>
                <w:bCs/>
                <w:color w:val="auto"/>
                <w:kern w:val="0"/>
                <w:sz w:val="21"/>
                <w:szCs w:val="21"/>
                <w:highlight w:val="none"/>
                <w:lang w:val="en-US" w:eastAsia="zh-CN"/>
              </w:rPr>
              <w:t>0.5</w:t>
            </w:r>
            <w:r>
              <w:rPr>
                <w:rFonts w:hint="eastAsia" w:ascii="宋体" w:hAnsi="宋体" w:eastAsia="宋体" w:cs="宋体"/>
                <w:bCs/>
                <w:color w:val="auto"/>
                <w:kern w:val="0"/>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rPr>
              <w:t>（投标文件中须提供相关证件复印件并加盖公章，不提供不得分。）</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default" w:ascii="宋体" w:hAnsi="宋体" w:eastAsia="宋体" w:cs="宋体"/>
                <w:bCs/>
                <w:color w:val="auto"/>
                <w:sz w:val="21"/>
                <w:szCs w:val="21"/>
                <w:highlight w:val="none"/>
                <w:lang w:val="en-US" w:eastAsia="zh-CN"/>
              </w:rPr>
            </w:pPr>
            <w:r>
              <w:rPr>
                <w:rFonts w:hint="eastAsia" w:hAnsi="宋体" w:cs="宋体"/>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1133"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价格分（20分）</w:t>
            </w:r>
          </w:p>
        </w:tc>
        <w:tc>
          <w:tcPr>
            <w:tcW w:w="7764"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参与评审的价格=投标报价-【（小微企业(投标人)货物及服务价格×小微企业优惠）</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（如有）】</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评标基准价指的是满足招标文件要求且最低的参与评审的价格</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评标</w:t>
            </w:r>
            <w:r>
              <w:rPr>
                <w:rFonts w:hint="eastAsia" w:ascii="宋体" w:hAnsi="宋体" w:eastAsia="宋体" w:cs="宋体"/>
                <w:color w:val="auto"/>
                <w:sz w:val="21"/>
                <w:szCs w:val="21"/>
                <w:highlight w:val="none"/>
              </w:rPr>
              <w:t>基准价</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得满分</w:t>
            </w:r>
            <w:r>
              <w:rPr>
                <w:rFonts w:hint="eastAsia" w:ascii="宋体" w:hAnsi="宋体" w:eastAsia="宋体" w:cs="宋体"/>
                <w:color w:val="auto"/>
                <w:sz w:val="21"/>
                <w:szCs w:val="21"/>
                <w:highlight w:val="none"/>
              </w:rPr>
              <w:t>20分。</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其他投标人的价格分按照下列公式计算：</w:t>
            </w:r>
          </w:p>
          <w:p>
            <w:pPr>
              <w:keepNext w:val="0"/>
              <w:keepLines w:val="0"/>
              <w:pageBreakBefore w:val="0"/>
              <w:widowControl w:val="0"/>
              <w:kinsoku/>
              <w:wordWrap/>
              <w:overflowPunct/>
              <w:topLinePunct w:val="0"/>
              <w:autoSpaceDE/>
              <w:autoSpaceDN/>
              <w:bidi w:val="0"/>
              <w:adjustRightInd w:val="0"/>
              <w:snapToGrid/>
              <w:spacing w:line="360" w:lineRule="auto"/>
              <w:ind w:firstLine="0" w:firstLineChars="0"/>
              <w:jc w:val="left"/>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报价得分=</w:t>
            </w:r>
            <w:r>
              <w:rPr>
                <w:rFonts w:hint="eastAsia" w:ascii="宋体" w:hAnsi="宋体" w:eastAsia="宋体" w:cs="宋体"/>
                <w:color w:val="auto"/>
                <w:sz w:val="21"/>
                <w:szCs w:val="21"/>
                <w:highlight w:val="none"/>
                <w:lang w:val="en-US" w:eastAsia="zh-CN"/>
              </w:rPr>
              <w:t>（评标基准价/各投标人参与评审的价格）×20％×100</w:t>
            </w:r>
          </w:p>
        </w:tc>
        <w:tc>
          <w:tcPr>
            <w:tcW w:w="822" w:type="dxa"/>
            <w:vAlign w:val="center"/>
          </w:tcPr>
          <w:p>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jc w:val="center"/>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20</w:t>
            </w:r>
          </w:p>
        </w:tc>
      </w:tr>
    </w:tbl>
    <w:p>
      <w:pPr>
        <w:keepNext w:val="0"/>
        <w:keepLines w:val="0"/>
        <w:pageBreakBefore w:val="0"/>
        <w:kinsoku/>
        <w:wordWrap/>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注：评委在上表设定的分值范围内打分(四舍五入保留一位小数)，平均分值计算四舍五入保留两位小数点。投标文件有缺项的，该项得分为最低分。 </w:t>
      </w:r>
    </w:p>
    <w:p>
      <w:pPr>
        <w:rPr>
          <w:rFonts w:hint="eastAsia" w:hAnsi="宋体" w:cs="宋体"/>
          <w:color w:val="auto"/>
          <w:sz w:val="28"/>
          <w:szCs w:val="28"/>
          <w:highlight w:val="none"/>
        </w:rPr>
      </w:pPr>
      <w:r>
        <w:rPr>
          <w:rFonts w:hint="eastAsia" w:hAnsi="宋体" w:cs="宋体"/>
          <w:color w:val="auto"/>
          <w:sz w:val="28"/>
          <w:szCs w:val="28"/>
          <w:highlight w:val="none"/>
        </w:rPr>
        <w:br w:type="page"/>
      </w:r>
    </w:p>
    <w:bookmarkEnd w:id="54"/>
    <w:p>
      <w:pPr>
        <w:pStyle w:val="47"/>
        <w:rPr>
          <w:rFonts w:ascii="宋体" w:hAnsi="宋体"/>
          <w:color w:val="auto"/>
          <w:highlight w:val="none"/>
        </w:rPr>
      </w:pPr>
      <w:r>
        <w:rPr>
          <w:rFonts w:hint="eastAsia" w:hAnsi="宋体" w:cs="宋体"/>
          <w:color w:val="auto"/>
          <w:sz w:val="28"/>
          <w:szCs w:val="28"/>
          <w:highlight w:val="none"/>
        </w:rPr>
        <w:t>第五章  政府采购合同主要条款</w:t>
      </w:r>
    </w:p>
    <w:p>
      <w:pPr>
        <w:spacing w:line="440" w:lineRule="exact"/>
        <w:ind w:firstLine="420" w:firstLineChars="200"/>
        <w:jc w:val="center"/>
        <w:rPr>
          <w:rFonts w:ascii="宋体" w:hAnsi="宋体"/>
          <w:color w:val="auto"/>
          <w:szCs w:val="21"/>
          <w:highlight w:val="none"/>
        </w:rPr>
      </w:pPr>
      <w:r>
        <w:rPr>
          <w:rFonts w:hint="eastAsia" w:ascii="宋体" w:hAnsi="宋体"/>
          <w:color w:val="auto"/>
          <w:szCs w:val="21"/>
          <w:highlight w:val="none"/>
        </w:rPr>
        <w:t>(本合同为参考格式，双方协商后确定)</w:t>
      </w:r>
    </w:p>
    <w:p>
      <w:pPr>
        <w:spacing w:line="500" w:lineRule="exact"/>
        <w:rPr>
          <w:rFonts w:ascii="宋体" w:hAnsi="宋体"/>
          <w:b/>
          <w:color w:val="auto"/>
          <w:sz w:val="48"/>
          <w:highlight w:val="none"/>
        </w:rPr>
      </w:pPr>
    </w:p>
    <w:bookmarkEnd w:id="12"/>
    <w:bookmarkEnd w:id="13"/>
    <w:bookmarkEnd w:id="14"/>
    <w:p>
      <w:pPr>
        <w:keepNext w:val="0"/>
        <w:keepLines w:val="0"/>
        <w:pageBreakBefore w:val="0"/>
        <w:kinsoku/>
        <w:wordWrap/>
        <w:overflowPunct/>
        <w:topLinePunct w:val="0"/>
        <w:autoSpaceDE/>
        <w:autoSpaceDN/>
        <w:bidi w:val="0"/>
        <w:adjustRightInd w:val="0"/>
        <w:snapToGrid w:val="0"/>
        <w:spacing w:line="360" w:lineRule="auto"/>
        <w:ind w:firstLine="420" w:firstLineChars="200"/>
        <w:jc w:val="both"/>
        <w:outlineLvl w:val="9"/>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u w:val="single"/>
          <w:lang w:val="en-US" w:eastAsia="zh-CN"/>
        </w:rPr>
        <w:t xml:space="preserve">                     </w:t>
      </w:r>
    </w:p>
    <w:p>
      <w:pPr>
        <w:pStyle w:val="240"/>
        <w:keepNext w:val="0"/>
        <w:keepLines w:val="0"/>
        <w:pageBreakBefore w:val="0"/>
        <w:kinsoku/>
        <w:wordWrap/>
        <w:overflowPunct/>
        <w:topLinePunct w:val="0"/>
        <w:autoSpaceDE/>
        <w:autoSpaceDN/>
        <w:bidi w:val="0"/>
        <w:spacing w:line="360" w:lineRule="auto"/>
        <w:ind w:firstLine="420" w:firstLineChars="200"/>
        <w:jc w:val="both"/>
        <w:outlineLvl w:val="9"/>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lang w:eastAsia="zh-CN"/>
        </w:rPr>
        <w:t>乙方(供应商)：</w:t>
      </w:r>
      <w:r>
        <w:rPr>
          <w:rFonts w:hint="eastAsia" w:ascii="宋体" w:hAnsi="宋体" w:eastAsia="宋体" w:cs="宋体"/>
          <w:color w:val="auto"/>
          <w:sz w:val="21"/>
          <w:szCs w:val="21"/>
          <w:highlight w:val="none"/>
          <w:u w:val="single"/>
          <w:lang w:eastAsia="zh-CN"/>
        </w:rPr>
        <w:t xml:space="preserve">                     </w:t>
      </w:r>
    </w:p>
    <w:p>
      <w:pPr>
        <w:pStyle w:val="194"/>
        <w:keepNext w:val="0"/>
        <w:keepLines w:val="0"/>
        <w:pageBreakBefore w:val="0"/>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甲、乙双方根据关于</w:t>
      </w:r>
      <w:r>
        <w:rPr>
          <w:rFonts w:hint="eastAsia" w:hAnsi="宋体" w:eastAsia="宋体" w:cs="宋体"/>
          <w:color w:val="auto"/>
          <w:sz w:val="21"/>
          <w:szCs w:val="21"/>
          <w:highlight w:val="none"/>
          <w:u w:val="single"/>
          <w:lang w:val="en-US" w:eastAsia="zh-CN"/>
        </w:rPr>
        <w:t xml:space="preserve">          （项目名称）        </w:t>
      </w:r>
      <w:r>
        <w:rPr>
          <w:rFonts w:hint="eastAsia" w:ascii="宋体" w:hAnsi="宋体" w:eastAsia="宋体" w:cs="宋体"/>
          <w:color w:val="auto"/>
          <w:sz w:val="21"/>
          <w:szCs w:val="21"/>
          <w:highlight w:val="none"/>
          <w:lang w:val="zh-CN"/>
        </w:rPr>
        <w:t>公开采购的结果，按照《中华人民共和国民法典》的有关规定，在自愿、平等、公平、诚信的基础上，经双方协商一致，签订本合同。</w:t>
      </w:r>
    </w:p>
    <w:p>
      <w:pPr>
        <w:pStyle w:val="194"/>
        <w:keepNext w:val="0"/>
        <w:keepLines w:val="0"/>
        <w:pageBreakBefore w:val="0"/>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下述文件作为附件，是合同的一部分，并与本合同一起阅读和解释：</w:t>
      </w:r>
    </w:p>
    <w:p>
      <w:pPr>
        <w:pStyle w:val="194"/>
        <w:keepNext w:val="0"/>
        <w:keepLines w:val="0"/>
        <w:pageBreakBefore w:val="0"/>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a.本项目采购文件；</w:t>
      </w:r>
    </w:p>
    <w:p>
      <w:pPr>
        <w:pStyle w:val="194"/>
        <w:keepNext w:val="0"/>
        <w:keepLines w:val="0"/>
        <w:pageBreakBefore w:val="0"/>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b.投标文件及澄清文件；</w:t>
      </w:r>
    </w:p>
    <w:p>
      <w:pPr>
        <w:pStyle w:val="194"/>
        <w:keepNext w:val="0"/>
        <w:keepLines w:val="0"/>
        <w:pageBreakBefore w:val="0"/>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c.中标通知书；</w:t>
      </w:r>
    </w:p>
    <w:p>
      <w:pPr>
        <w:pStyle w:val="194"/>
        <w:keepNext w:val="0"/>
        <w:keepLines w:val="0"/>
        <w:pageBreakBefore w:val="0"/>
        <w:kinsoku/>
        <w:wordWrap/>
        <w:overflowPunct/>
        <w:topLinePunct w:val="0"/>
        <w:autoSpaceDE/>
        <w:autoSpaceDN/>
        <w:bidi w:val="0"/>
        <w:ind w:firstLine="44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上述文件与合同若有不一致之处，优先次序第一应为合同、第二应为附件(附件的优先次序为 c,b,a)。</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一、项目名称、合同履行期限（服务期限）、服务内容</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1.1项目名称：</w:t>
      </w:r>
      <w:r>
        <w:rPr>
          <w:rFonts w:hint="eastAsia" w:ascii="宋体" w:hAnsi="宋体" w:eastAsia="宋体" w:cs="宋体"/>
          <w:color w:val="auto"/>
          <w:sz w:val="21"/>
          <w:szCs w:val="21"/>
          <w:highlight w:val="none"/>
          <w:u w:val="single"/>
          <w:lang w:val="en-US" w:eastAsia="zh-CN"/>
        </w:rPr>
        <w:t xml:space="preserve">                      </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1.2合同履行期限（服务期限）：</w:t>
      </w:r>
      <w:r>
        <w:rPr>
          <w:rFonts w:hint="eastAsia" w:ascii="宋体" w:hAnsi="宋体" w:eastAsia="宋体" w:cs="宋体"/>
          <w:color w:val="auto"/>
          <w:sz w:val="21"/>
          <w:szCs w:val="21"/>
          <w:highlight w:val="none"/>
          <w:u w:val="single"/>
          <w:lang w:val="en-US" w:eastAsia="zh-CN"/>
        </w:rPr>
        <w:t xml:space="preserve">              </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1.3服务内容：</w:t>
      </w:r>
      <w:r>
        <w:rPr>
          <w:rFonts w:hint="eastAsia" w:ascii="宋体" w:hAnsi="宋体" w:eastAsia="宋体" w:cs="宋体"/>
          <w:color w:val="auto"/>
          <w:sz w:val="21"/>
          <w:szCs w:val="21"/>
          <w:highlight w:val="none"/>
          <w:u w:val="single"/>
          <w:lang w:val="en-US" w:eastAsia="zh-CN"/>
        </w:rPr>
        <w:t xml:space="preserve">                         </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二、合同金额</w:t>
      </w:r>
    </w:p>
    <w:p>
      <w:pPr>
        <w:pStyle w:val="194"/>
        <w:keepNext w:val="0"/>
        <w:keepLines w:val="0"/>
        <w:pageBreakBefore w:val="0"/>
        <w:kinsoku/>
        <w:wordWrap/>
        <w:overflowPunct/>
        <w:topLinePunct w:val="0"/>
        <w:autoSpaceDE/>
        <w:autoSpaceDN/>
        <w:bidi w:val="0"/>
        <w:ind w:firstLine="44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2.1本合同</w:t>
      </w:r>
      <w:r>
        <w:rPr>
          <w:rFonts w:hint="eastAsia" w:hAnsi="宋体" w:eastAsia="宋体" w:cs="宋体"/>
          <w:color w:val="auto"/>
          <w:sz w:val="21"/>
          <w:szCs w:val="21"/>
          <w:highlight w:val="none"/>
          <w:lang w:val="en-US" w:eastAsia="zh-CN"/>
        </w:rPr>
        <w:t>采用固定综合单价合同，暂定合同</w:t>
      </w:r>
      <w:r>
        <w:rPr>
          <w:rFonts w:hint="eastAsia" w:ascii="宋体" w:hAnsi="宋体" w:eastAsia="宋体" w:cs="宋体"/>
          <w:color w:val="auto"/>
          <w:sz w:val="21"/>
          <w:szCs w:val="21"/>
          <w:highlight w:val="none"/>
        </w:rPr>
        <w:t>金额为（大写）：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元）人民币</w:t>
      </w:r>
      <w:r>
        <w:rPr>
          <w:rFonts w:hint="eastAsia" w:hAnsi="宋体" w:eastAsia="宋体" w:cs="宋体"/>
          <w:color w:val="auto"/>
          <w:sz w:val="21"/>
          <w:szCs w:val="21"/>
          <w:highlight w:val="none"/>
          <w:lang w:eastAsia="zh-CN"/>
        </w:rPr>
        <w:t>，</w:t>
      </w:r>
      <w:r>
        <w:rPr>
          <w:rFonts w:hint="eastAsia" w:hAnsi="宋体" w:eastAsia="宋体" w:cs="宋体"/>
          <w:color w:val="auto"/>
          <w:sz w:val="21"/>
          <w:szCs w:val="21"/>
          <w:highlight w:val="none"/>
          <w:lang w:val="en-US" w:eastAsia="zh-CN"/>
        </w:rPr>
        <w:t>最终金额以结算审计为准。</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三、履约保证金</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履约保证金金额：合同总价的</w:t>
      </w:r>
      <w:r>
        <w:rPr>
          <w:rFonts w:hint="eastAsia"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履约保证金形式：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非现金形式。中标人应于合同签订前将履约保证金交至采购人指定账户。合同履行期间，中标人不得将履约保证金取回或作任何抵押。履约保证金于项目通过终验后5个工作日内无息退还（中标人未按合同要求进行履约的情形除外，如出现未按合同要求履约的情形按合同约定执行）。</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四、转包或分包</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4.1本合同范围的服务，应由乙方直接提供，不得转让他人；</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除非得到甲方的书面同意，乙方不得部分分包给他人。甲方有绝对权力阻止分包。</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4.3如有转让和未经甲方同意的分包行为，甲方有权给予终止合同。</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五、</w:t>
      </w:r>
      <w:r>
        <w:rPr>
          <w:rFonts w:hint="eastAsia" w:ascii="宋体" w:hAnsi="宋体" w:eastAsia="宋体" w:cs="宋体"/>
          <w:b/>
          <w:color w:val="auto"/>
          <w:sz w:val="21"/>
          <w:szCs w:val="21"/>
          <w:highlight w:val="none"/>
        </w:rPr>
        <w:t>合同付款方法</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5.1、合同签订后15个工作日内支付合同总价的30%；项目实施完成且通过初验后支付合同总价的40%；项目通过终验后10个工作日内支付合同总价的30%。</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六、质保期</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本项目软件质保期为贰年、硬件设备质保期为壹年。质保期内如出现系统设备故障（除人为原因造成外）中标供应商无条件免费维修；质保期外，中标供应商提供有偿的终身维修服务。</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七、</w:t>
      </w:r>
      <w:r>
        <w:rPr>
          <w:rFonts w:hint="eastAsia" w:ascii="宋体" w:hAnsi="宋体" w:eastAsia="宋体" w:cs="宋体"/>
          <w:b/>
          <w:color w:val="auto"/>
          <w:sz w:val="21"/>
          <w:szCs w:val="21"/>
          <w:highlight w:val="none"/>
          <w:lang w:val="en-US" w:eastAsia="zh-CN"/>
        </w:rPr>
        <w:t>税率</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7.1本合同执行中相关的一切税费均由乙方负担。</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八、完成质量要求</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 服务期间乙方不得随意更换项目负责人，如有特殊情况需要更换，须经甲方同意确认。</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8.2服务期间，乙方须配备足够的人员和设备。</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8.3合同执行过程中，乙方如有弄虚作假行为，甲方有权单方面解除合同，由此引起的所以损失由乙方承担。</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九、知识产权</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乙方应保证所提供的服务或其任何一部分均不会侵犯任何第三方的知识产权。</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十、违约责任</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10.1甲方无正当理由拒收接受服务的，甲方向乙方偿付合同款项5%作为违约金。</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10.2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十一、不可抗力事件处理</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在合同有效期内，任何一方因不可抗力事件导致不能履行合同，则合同履行期可延长，其延长期与不可抗力影响期相同。</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不可抗力事件发生后，应立即通知对方，并寄送有关权威机构出具的证明。</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不可抗力事件延续120天以上，双方应通过友好协商，确定是否继续履行合同。</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十二、诉讼</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双方在执行合同中所发生的一切争议，应通过协商解决。如协商不成，可向合同签订地法院起诉。</w:t>
      </w:r>
    </w:p>
    <w:p>
      <w:pPr>
        <w:pStyle w:val="27"/>
        <w:keepNext w:val="0"/>
        <w:keepLines w:val="0"/>
        <w:pageBreakBefore w:val="0"/>
        <w:kinsoku/>
        <w:wordWrap/>
        <w:overflowPunct/>
        <w:topLinePunct w:val="0"/>
        <w:autoSpaceDE/>
        <w:autoSpaceDN/>
        <w:bidi w:val="0"/>
        <w:adjustRightInd/>
        <w:spacing w:line="360" w:lineRule="auto"/>
        <w:ind w:left="0" w:leftChars="0" w:firstLine="420" w:firstLineChars="200"/>
        <w:jc w:val="both"/>
        <w:textAlignment w:val="auto"/>
        <w:outlineLvl w:val="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十三、合同生效及其它</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合同经双方法定代表人或授权委托代理人签字并加盖单位公章后生效。</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13.2合同执行中涉及采购资金和采购内容修改或补充的，须经财政部门审批，并签书面补充协议报政府采购监督管理部门备案，方可作为主合同不可分割的一部分。</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13.3本合同未尽事宜，遵照《民法典》有关条文、补充协议、投标承诺、响应文件、采购文件及补充执行。</w:t>
      </w:r>
    </w:p>
    <w:p>
      <w:pPr>
        <w:pStyle w:val="194"/>
        <w:keepNext w:val="0"/>
        <w:keepLines w:val="0"/>
        <w:pageBreakBefore w:val="0"/>
        <w:kinsoku/>
        <w:wordWrap/>
        <w:overflowPunct/>
        <w:topLinePunct w:val="0"/>
        <w:autoSpaceDE/>
        <w:autoSpaceDN/>
        <w:bidi w:val="0"/>
        <w:ind w:firstLine="44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 本合同正本一式两份，甲乙双方各执一 份；副本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份，（用途）。</w:t>
      </w:r>
    </w:p>
    <w:p>
      <w:pPr>
        <w:pStyle w:val="194"/>
        <w:ind w:firstLine="440"/>
        <w:rPr>
          <w:rFonts w:hAnsi="宋体" w:eastAsia="宋体"/>
          <w:color w:val="auto"/>
          <w:sz w:val="21"/>
          <w:szCs w:val="21"/>
          <w:highlight w:val="none"/>
        </w:rPr>
      </w:pPr>
    </w:p>
    <w:p>
      <w:pPr>
        <w:spacing w:line="480" w:lineRule="auto"/>
        <w:rPr>
          <w:rFonts w:ascii="宋体" w:hAnsi="宋体"/>
          <w:color w:val="auto"/>
          <w:sz w:val="21"/>
          <w:szCs w:val="21"/>
          <w:highlight w:val="none"/>
        </w:rPr>
      </w:pPr>
      <w:r>
        <w:rPr>
          <w:rFonts w:hint="eastAsia" w:ascii="宋体" w:hAnsi="宋体"/>
          <w:color w:val="auto"/>
          <w:sz w:val="21"/>
          <w:szCs w:val="21"/>
          <w:highlight w:val="none"/>
        </w:rPr>
        <w:t xml:space="preserve">甲方（盖章）：  乙方（盖章）：        </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 xml:space="preserve">法定代表人：                              法定代表人：                   </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 xml:space="preserve">或受委托人（签字）：                      或受委托人（签字）：                  </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联系人：                                  联系人：</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 xml:space="preserve">地址：                                    地址： </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电话：                                    电话：</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传真：                                    传真：</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 xml:space="preserve">开户银行：                                开户银行： </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帐号：                                    帐号：</w:t>
      </w:r>
    </w:p>
    <w:p>
      <w:pPr>
        <w:spacing w:line="480" w:lineRule="auto"/>
        <w:rPr>
          <w:rFonts w:ascii="宋体" w:hAnsi="宋体"/>
          <w:color w:val="auto"/>
          <w:sz w:val="21"/>
          <w:szCs w:val="21"/>
          <w:highlight w:val="none"/>
        </w:rPr>
      </w:pPr>
      <w:r>
        <w:rPr>
          <w:rFonts w:hint="eastAsia" w:ascii="宋体" w:hAnsi="宋体"/>
          <w:color w:val="auto"/>
          <w:sz w:val="21"/>
          <w:szCs w:val="21"/>
          <w:highlight w:val="none"/>
        </w:rPr>
        <w:t xml:space="preserve">                                   </w:t>
      </w:r>
    </w:p>
    <w:p>
      <w:pPr>
        <w:spacing w:line="480" w:lineRule="auto"/>
        <w:ind w:firstLine="5040" w:firstLineChars="2400"/>
        <w:rPr>
          <w:rFonts w:ascii="宋体" w:hAnsi="宋体"/>
          <w:color w:val="auto"/>
          <w:sz w:val="21"/>
          <w:szCs w:val="21"/>
          <w:highlight w:val="none"/>
        </w:rPr>
      </w:pPr>
      <w:r>
        <w:rPr>
          <w:rFonts w:hint="eastAsia" w:ascii="宋体" w:hAnsi="宋体"/>
          <w:color w:val="auto"/>
          <w:sz w:val="21"/>
          <w:szCs w:val="21"/>
          <w:highlight w:val="none"/>
        </w:rPr>
        <w:t>签 约 地：</w:t>
      </w:r>
    </w:p>
    <w:p>
      <w:pPr>
        <w:adjustRightInd w:val="0"/>
        <w:snapToGrid w:val="0"/>
        <w:spacing w:line="48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 xml:space="preserve">                                            签约日期：    年  月    日</w:t>
      </w:r>
    </w:p>
    <w:p>
      <w:pPr>
        <w:spacing w:line="360" w:lineRule="auto"/>
        <w:rPr>
          <w:rFonts w:ascii="宋体" w:hAnsi="宋体" w:cs="宋体"/>
          <w:b/>
          <w:color w:val="auto"/>
          <w:sz w:val="22"/>
          <w:szCs w:val="22"/>
          <w:highlight w:val="none"/>
        </w:rPr>
      </w:pPr>
    </w:p>
    <w:p>
      <w:pPr>
        <w:spacing w:line="360" w:lineRule="auto"/>
        <w:rPr>
          <w:rFonts w:ascii="宋体" w:hAnsi="宋体"/>
          <w:color w:val="auto"/>
          <w:sz w:val="22"/>
          <w:szCs w:val="22"/>
          <w:highlight w:val="none"/>
          <w:u w:val="single"/>
        </w:rPr>
      </w:pPr>
    </w:p>
    <w:p>
      <w:pPr>
        <w:spacing w:line="360" w:lineRule="auto"/>
        <w:ind w:firstLine="440" w:firstLineChars="200"/>
        <w:rPr>
          <w:rFonts w:ascii="宋体" w:hAnsi="宋体"/>
          <w:color w:val="auto"/>
          <w:sz w:val="22"/>
          <w:szCs w:val="22"/>
          <w:highlight w:val="none"/>
        </w:rPr>
      </w:pPr>
    </w:p>
    <w:p>
      <w:pPr>
        <w:spacing w:line="360" w:lineRule="auto"/>
        <w:rPr>
          <w:rFonts w:ascii="宋体" w:hAnsi="宋体"/>
          <w:color w:val="auto"/>
          <w:sz w:val="22"/>
          <w:szCs w:val="22"/>
          <w:highlight w:val="none"/>
        </w:rPr>
      </w:pPr>
    </w:p>
    <w:bookmarkEnd w:id="8"/>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jc w:val="center"/>
        <w:textAlignment w:val="auto"/>
        <w:outlineLvl w:val="0"/>
        <w:rPr>
          <w:rFonts w:hint="eastAsia" w:hAnsi="宋体" w:cs="宋体"/>
          <w:b/>
          <w:color w:val="auto"/>
          <w:sz w:val="28"/>
          <w:szCs w:val="28"/>
          <w:highlight w:val="none"/>
        </w:rPr>
      </w:pPr>
      <w:bookmarkStart w:id="55" w:name="_Toc28060173"/>
      <w:bookmarkStart w:id="56" w:name="_Toc145860632"/>
      <w:r>
        <w:rPr>
          <w:rFonts w:hint="eastAsia" w:hAnsi="宋体" w:cs="宋体"/>
          <w:b/>
          <w:color w:val="auto"/>
          <w:sz w:val="28"/>
          <w:szCs w:val="28"/>
          <w:highlight w:val="none"/>
        </w:rPr>
        <w:br w:type="page"/>
      </w:r>
      <w:r>
        <w:rPr>
          <w:rStyle w:val="264"/>
          <w:rFonts w:hint="eastAsia"/>
          <w:color w:val="auto"/>
          <w:highlight w:val="none"/>
          <w:lang w:val="en-US" w:eastAsia="zh-CN"/>
        </w:rPr>
        <w:t>第六章 投标文件格式</w:t>
      </w:r>
    </w:p>
    <w:p>
      <w:pPr>
        <w:pStyle w:val="2"/>
        <w:numPr>
          <w:ilvl w:val="0"/>
          <w:numId w:val="0"/>
        </w:numPr>
        <w:ind w:leftChars="0"/>
        <w:rPr>
          <w:color w:val="auto"/>
          <w:highlight w:val="none"/>
        </w:rPr>
      </w:pPr>
    </w:p>
    <w:p>
      <w:pPr>
        <w:keepNext w:val="0"/>
        <w:keepLines w:val="0"/>
        <w:pageBreakBefore w:val="0"/>
        <w:widowControl w:val="0"/>
        <w:kinsoku/>
        <w:wordWrap/>
        <w:overflowPunct/>
        <w:topLinePunct w:val="0"/>
        <w:autoSpaceDE/>
        <w:autoSpaceDN/>
        <w:bidi w:val="0"/>
        <w:spacing w:line="360" w:lineRule="auto"/>
        <w:ind w:firstLine="431" w:firstLineChars="196"/>
        <w:jc w:val="left"/>
        <w:textAlignment w:val="auto"/>
        <w:outlineLvl w:val="9"/>
        <w:rPr>
          <w:rFonts w:ascii="宋体" w:hAnsi="宋体" w:cs="宋体"/>
          <w:b/>
          <w:bCs/>
          <w:color w:val="auto"/>
          <w:highlight w:val="none"/>
        </w:rPr>
      </w:pPr>
      <w:r>
        <w:rPr>
          <w:rFonts w:hint="eastAsia" w:ascii="宋体" w:hAnsi="宋体" w:cs="宋体"/>
          <w:b/>
          <w:color w:val="auto"/>
          <w:sz w:val="22"/>
          <w:szCs w:val="22"/>
          <w:highlight w:val="none"/>
        </w:rPr>
        <w:t>1、</w:t>
      </w:r>
      <w:r>
        <w:rPr>
          <w:rFonts w:hint="eastAsia" w:ascii="宋体" w:hAnsi="宋体" w:cs="宋体"/>
          <w:b/>
          <w:bCs/>
          <w:color w:val="auto"/>
          <w:highlight w:val="none"/>
        </w:rPr>
        <w:t>资格文件内容主要包括但不限于以下内容：</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ascii="宋体" w:hAnsi="宋体" w:cs="宋体"/>
          <w:color w:val="auto"/>
          <w:highlight w:val="none"/>
        </w:rPr>
      </w:pPr>
      <w:r>
        <w:rPr>
          <w:rFonts w:hint="eastAsia" w:ascii="宋体" w:hAnsi="宋体" w:cs="宋体"/>
          <w:color w:val="auto"/>
          <w:highlight w:val="none"/>
        </w:rPr>
        <w:t>（1）资格条件自查表（格式见第六章 投标文件格式）；</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ascii="宋体" w:hAnsi="宋体" w:cs="宋体"/>
          <w:color w:val="auto"/>
          <w:highlight w:val="none"/>
        </w:rPr>
      </w:pPr>
      <w:r>
        <w:rPr>
          <w:rFonts w:hint="eastAsia" w:ascii="宋体" w:hAnsi="宋体" w:cs="宋体"/>
          <w:color w:val="auto"/>
          <w:highlight w:val="none"/>
        </w:rPr>
        <w:t>（2）投标人投标声明书（格式见第六章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ascii="宋体" w:hAnsi="宋体" w:cs="宋体"/>
          <w:color w:val="auto"/>
          <w:highlight w:val="none"/>
        </w:rPr>
      </w:pPr>
      <w:r>
        <w:rPr>
          <w:rFonts w:hint="eastAsia" w:ascii="宋体" w:hAnsi="宋体" w:cs="宋体"/>
          <w:color w:val="auto"/>
          <w:highlight w:val="none"/>
        </w:rPr>
        <w:t>（3）法定代表人身份证明或法定代表人授权委托书（格式见第六章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ascii="宋体" w:hAnsi="宋体" w:cs="宋体"/>
          <w:color w:val="auto"/>
          <w:highlight w:val="none"/>
        </w:rPr>
      </w:pPr>
      <w:r>
        <w:rPr>
          <w:rFonts w:hint="eastAsia" w:ascii="宋体" w:hAnsi="宋体" w:cs="宋体"/>
          <w:color w:val="auto"/>
          <w:highlight w:val="none"/>
        </w:rPr>
        <w:t>（4）具备《中华人民共和国政府采购法》第二十二条规定的资格条件的承诺函（格式见第六章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ascii="宋体" w:hAnsi="宋体" w:cs="宋体"/>
          <w:color w:val="auto"/>
          <w:highlight w:val="none"/>
        </w:rPr>
      </w:pPr>
      <w:r>
        <w:rPr>
          <w:rFonts w:hint="eastAsia" w:ascii="宋体" w:hAnsi="宋体" w:cs="宋体"/>
          <w:color w:val="auto"/>
          <w:highlight w:val="none"/>
        </w:rPr>
        <w:t>（5）提供具有履行合同所必需的设备和专业技术能力的书面声明（格式见第六章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ascii="宋体" w:hAnsi="宋体" w:cs="宋体"/>
          <w:color w:val="auto"/>
          <w:highlight w:val="none"/>
        </w:rPr>
      </w:pPr>
      <w:r>
        <w:rPr>
          <w:rFonts w:hint="eastAsia" w:ascii="宋体" w:hAnsi="宋体" w:cs="宋体"/>
          <w:color w:val="auto"/>
          <w:highlight w:val="none"/>
        </w:rPr>
        <w:t>（6）提供参加政府采购活动前3年内在经营活动中没有重大违法记录的书面声明（格式见第六章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ascii="宋体" w:hAnsi="宋体" w:cs="宋体"/>
          <w:color w:val="auto"/>
          <w:highlight w:val="none"/>
        </w:rPr>
      </w:pPr>
      <w:r>
        <w:rPr>
          <w:rFonts w:hint="eastAsia" w:ascii="宋体" w:hAnsi="宋体" w:cs="宋体"/>
          <w:color w:val="auto"/>
          <w:highlight w:val="none"/>
        </w:rPr>
        <w:t>（7）投标承诺函（格式见第六章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ascii="宋体" w:hAnsi="宋体" w:cs="宋体"/>
          <w:color w:val="auto"/>
          <w:highlight w:val="none"/>
        </w:rPr>
      </w:pPr>
      <w:r>
        <w:rPr>
          <w:rFonts w:hint="eastAsia" w:ascii="宋体" w:hAnsi="宋体" w:cs="宋体"/>
          <w:color w:val="auto"/>
          <w:highlight w:val="none"/>
        </w:rPr>
        <w:t>（8）投标人认为有必要说明的其他资料。</w:t>
      </w:r>
    </w:p>
    <w:p>
      <w:pPr>
        <w:pStyle w:val="80"/>
        <w:keepNext w:val="0"/>
        <w:keepLines w:val="0"/>
        <w:pageBreakBefore w:val="0"/>
        <w:widowControl w:val="0"/>
        <w:kinsoku/>
        <w:wordWrap/>
        <w:overflowPunct/>
        <w:topLinePunct w:val="0"/>
        <w:autoSpaceDE/>
        <w:autoSpaceDN/>
        <w:bidi w:val="0"/>
        <w:spacing w:line="360" w:lineRule="auto"/>
        <w:ind w:firstLine="422"/>
        <w:textAlignment w:val="auto"/>
        <w:outlineLvl w:val="9"/>
        <w:rPr>
          <w:rFonts w:ascii="宋体" w:hAnsi="宋体" w:cs="宋体"/>
          <w:b/>
          <w:bCs/>
          <w:color w:val="auto"/>
          <w:highlight w:val="none"/>
        </w:rPr>
      </w:pPr>
      <w:r>
        <w:rPr>
          <w:rFonts w:hint="eastAsia" w:ascii="宋体" w:hAnsi="宋体" w:cs="宋体"/>
          <w:b/>
          <w:bCs/>
          <w:color w:val="auto"/>
          <w:highlight w:val="none"/>
        </w:rPr>
        <w:t>2、商务技术文件内容主要包括但不限于以下内容：</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ascii="宋体" w:hAnsi="宋体" w:cs="宋体"/>
          <w:color w:val="auto"/>
          <w:highlight w:val="none"/>
        </w:rPr>
      </w:pPr>
      <w:r>
        <w:rPr>
          <w:rFonts w:hint="eastAsia" w:ascii="宋体" w:hAnsi="宋体" w:cs="宋体"/>
          <w:color w:val="auto"/>
          <w:highlight w:val="none"/>
        </w:rPr>
        <w:t>（1）投标人符合性自查表；</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（2）法定代表人身份证明或法定代表人授权委托书（格式见第六章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（3）投标人响应表（格式见第六章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（4）商务条款偏离表（格式见第六章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（5）技术条款偏离表（格式见第六章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（6）投标人基本情况表（格式见第六章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（7）针对本项目第四章评标办法及评标标准中的条款拟定各种方案（格式自拟）；</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（8）第四章评标办法及评标标准中需提供的其他相关证书及合同等复印件加盖公章（如有）； </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（9）投标人认为有必要提供的或评分标准要求提供的或本技术规格书中要求提供的其他技术资料及说明。</w:t>
      </w:r>
    </w:p>
    <w:p>
      <w:pPr>
        <w:pStyle w:val="80"/>
        <w:keepNext w:val="0"/>
        <w:keepLines w:val="0"/>
        <w:pageBreakBefore w:val="0"/>
        <w:widowControl w:val="0"/>
        <w:kinsoku/>
        <w:wordWrap/>
        <w:overflowPunct/>
        <w:topLinePunct w:val="0"/>
        <w:autoSpaceDE/>
        <w:autoSpaceDN/>
        <w:bidi w:val="0"/>
        <w:spacing w:line="360" w:lineRule="auto"/>
        <w:ind w:firstLine="442"/>
        <w:textAlignment w:val="auto"/>
        <w:outlineLvl w:val="9"/>
        <w:rPr>
          <w:rFonts w:ascii="宋体" w:hAnsi="宋体" w:cs="宋体"/>
          <w:color w:val="auto"/>
          <w:sz w:val="22"/>
          <w:szCs w:val="22"/>
          <w:highlight w:val="none"/>
        </w:rPr>
      </w:pPr>
      <w:r>
        <w:rPr>
          <w:rFonts w:hint="eastAsia" w:ascii="宋体" w:hAnsi="宋体" w:cs="宋体"/>
          <w:b/>
          <w:color w:val="auto"/>
          <w:sz w:val="22"/>
          <w:szCs w:val="22"/>
          <w:highlight w:val="none"/>
        </w:rPr>
        <w:t>▲</w:t>
      </w:r>
      <w:r>
        <w:rPr>
          <w:b/>
          <w:bCs/>
          <w:color w:val="auto"/>
          <w:sz w:val="22"/>
          <w:szCs w:val="22"/>
          <w:highlight w:val="none"/>
        </w:rPr>
        <w:t>注：</w:t>
      </w:r>
      <w:r>
        <w:rPr>
          <w:rFonts w:hint="eastAsia"/>
          <w:b/>
          <w:bCs/>
          <w:color w:val="auto"/>
          <w:sz w:val="22"/>
          <w:szCs w:val="22"/>
          <w:highlight w:val="none"/>
        </w:rPr>
        <w:t>商务技术文件中不能出现报价。</w:t>
      </w:r>
    </w:p>
    <w:p>
      <w:pPr>
        <w:keepNext w:val="0"/>
        <w:keepLines w:val="0"/>
        <w:pageBreakBefore w:val="0"/>
        <w:widowControl w:val="0"/>
        <w:kinsoku/>
        <w:wordWrap/>
        <w:overflowPunct/>
        <w:topLinePunct w:val="0"/>
        <w:autoSpaceDE/>
        <w:autoSpaceDN/>
        <w:bidi w:val="0"/>
        <w:spacing w:line="360" w:lineRule="auto"/>
        <w:ind w:firstLine="411" w:firstLineChars="196"/>
        <w:jc w:val="left"/>
        <w:textAlignment w:val="auto"/>
        <w:outlineLvl w:val="9"/>
        <w:rPr>
          <w:rFonts w:ascii="宋体" w:hAnsi="宋体" w:cs="宋体"/>
          <w:b/>
          <w:color w:val="auto"/>
          <w:sz w:val="22"/>
          <w:szCs w:val="22"/>
          <w:highlight w:val="none"/>
        </w:rPr>
      </w:pPr>
      <w:r>
        <w:rPr>
          <w:rFonts w:hint="eastAsia" w:ascii="宋体" w:hAnsi="宋体" w:cs="宋体"/>
          <w:b/>
          <w:bCs/>
          <w:color w:val="auto"/>
          <w:highlight w:val="none"/>
        </w:rPr>
        <w:t>3、报价文件内容主要包括但不限于以下内容：</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（1）投标函（格式见第六章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（3）开标一览表（格式见第六章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（4）投标分项报价表（（格式自拟））；</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（5）中小企业声明函（格式见第六章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（6）残疾人福利性单位声明函（如为）（（格式见第六章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注：本项目为非专门面向中小企业采购的项目，如果供应商和制造商为中小企业，应同时提供供应商和制造商的中小企业声明函。如未按照要求提供，将不得享受评标标准中注明的针对小微企业的价格扣除优惠。</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（8）政府采购统计基础信息表（格式见第六章 投标文件格式）；</w:t>
      </w:r>
    </w:p>
    <w:p>
      <w:pPr>
        <w:pStyle w:val="80"/>
        <w:keepNext w:val="0"/>
        <w:keepLines w:val="0"/>
        <w:pageBreakBefore w:val="0"/>
        <w:widowControl w:val="0"/>
        <w:kinsoku/>
        <w:wordWrap/>
        <w:overflowPunct/>
        <w:topLinePunct w:val="0"/>
        <w:autoSpaceDE/>
        <w:autoSpaceDN/>
        <w:bidi w:val="0"/>
        <w:spacing w:line="360" w:lineRule="auto"/>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（9）投标人针对报价需要说明的其他文件和说明。</w:t>
      </w:r>
    </w:p>
    <w:p>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jc w:val="left"/>
        <w:textAlignment w:val="auto"/>
        <w:outlineLvl w:val="9"/>
        <w:rPr>
          <w:rFonts w:ascii="宋体" w:hAnsi="宋体"/>
          <w:color w:val="auto"/>
          <w:sz w:val="22"/>
          <w:szCs w:val="22"/>
          <w:highlight w:val="none"/>
        </w:rPr>
      </w:pPr>
    </w:p>
    <w:p>
      <w:pPr>
        <w:pStyle w:val="35"/>
        <w:keepNext w:val="0"/>
        <w:keepLines w:val="0"/>
        <w:pageBreakBefore w:val="0"/>
        <w:widowControl w:val="0"/>
        <w:tabs>
          <w:tab w:val="right" w:leader="dot" w:pos="9344"/>
        </w:tabs>
        <w:kinsoku/>
        <w:wordWrap/>
        <w:overflowPunct/>
        <w:topLinePunct w:val="0"/>
        <w:autoSpaceDE/>
        <w:autoSpaceDN/>
        <w:bidi w:val="0"/>
        <w:spacing w:line="360" w:lineRule="auto"/>
        <w:jc w:val="left"/>
        <w:textAlignment w:val="auto"/>
        <w:outlineLvl w:val="9"/>
        <w:rPr>
          <w:rFonts w:ascii="宋体" w:hAnsi="宋体"/>
          <w:color w:val="auto"/>
          <w:sz w:val="22"/>
          <w:szCs w:val="22"/>
          <w:highlight w:val="none"/>
        </w:rPr>
      </w:pPr>
    </w:p>
    <w:p>
      <w:pPr>
        <w:pStyle w:val="35"/>
        <w:tabs>
          <w:tab w:val="right" w:leader="dot" w:pos="9344"/>
        </w:tabs>
        <w:spacing w:line="360" w:lineRule="auto"/>
        <w:jc w:val="left"/>
        <w:rPr>
          <w:rFonts w:ascii="宋体" w:hAnsi="宋体"/>
          <w:color w:val="auto"/>
          <w:sz w:val="22"/>
          <w:szCs w:val="22"/>
          <w:highlight w:val="none"/>
        </w:rPr>
      </w:pPr>
    </w:p>
    <w:p>
      <w:pPr>
        <w:pStyle w:val="35"/>
        <w:tabs>
          <w:tab w:val="right" w:leader="dot" w:pos="9344"/>
        </w:tabs>
        <w:spacing w:line="360" w:lineRule="auto"/>
        <w:jc w:val="left"/>
        <w:rPr>
          <w:rFonts w:ascii="宋体" w:hAnsi="宋体"/>
          <w:color w:val="auto"/>
          <w:sz w:val="22"/>
          <w:szCs w:val="22"/>
          <w:highlight w:val="none"/>
        </w:rPr>
      </w:pPr>
    </w:p>
    <w:p>
      <w:pPr>
        <w:pStyle w:val="35"/>
        <w:tabs>
          <w:tab w:val="right" w:leader="dot" w:pos="9344"/>
        </w:tabs>
        <w:spacing w:line="360" w:lineRule="auto"/>
        <w:jc w:val="left"/>
        <w:rPr>
          <w:rFonts w:ascii="宋体"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pStyle w:val="27"/>
        <w:adjustRightInd w:val="0"/>
        <w:snapToGrid w:val="0"/>
        <w:spacing w:line="360" w:lineRule="auto"/>
        <w:rPr>
          <w:rFonts w:hAnsi="宋体"/>
          <w:color w:val="auto"/>
          <w:sz w:val="22"/>
          <w:szCs w:val="22"/>
          <w:highlight w:val="none"/>
        </w:rPr>
      </w:pPr>
    </w:p>
    <w:p>
      <w:pPr>
        <w:snapToGrid w:val="0"/>
        <w:spacing w:beforeLines="50" w:after="50"/>
        <w:rPr>
          <w:rFonts w:ascii="宋体" w:hAnsi="宋体" w:cs="宋体"/>
          <w:color w:val="auto"/>
          <w:highlight w:val="none"/>
        </w:rPr>
      </w:pPr>
      <w:r>
        <w:rPr>
          <w:rFonts w:hint="eastAsia" w:ascii="宋体" w:hAnsi="宋体"/>
          <w:b/>
          <w:color w:val="auto"/>
          <w:sz w:val="32"/>
          <w:szCs w:val="32"/>
          <w:highlight w:val="none"/>
        </w:rPr>
        <w:br w:type="page"/>
      </w:r>
      <w:bookmarkStart w:id="57" w:name="_Toc335895417"/>
      <w:r>
        <w:rPr>
          <w:rFonts w:hint="eastAsia" w:ascii="宋体" w:hAnsi="宋体" w:cs="宋体"/>
          <w:color w:val="auto"/>
          <w:highlight w:val="none"/>
        </w:rPr>
        <w:t>1.所有投标文件的外包装封面格式：(可选用)</w:t>
      </w:r>
    </w:p>
    <w:p>
      <w:pPr>
        <w:snapToGrid w:val="0"/>
        <w:spacing w:beforeLines="50" w:after="50"/>
        <w:rPr>
          <w:rFonts w:ascii="宋体" w:hAnsi="宋体" w:cs="宋体"/>
          <w:color w:val="auto"/>
          <w:highlight w:val="none"/>
        </w:rPr>
      </w:pPr>
    </w:p>
    <w:p>
      <w:pPr>
        <w:snapToGrid w:val="0"/>
        <w:spacing w:beforeLines="50" w:after="50"/>
        <w:jc w:val="center"/>
        <w:rPr>
          <w:rFonts w:ascii="宋体" w:hAnsi="宋体" w:cs="宋体"/>
          <w:bCs/>
          <w:color w:val="auto"/>
          <w:highlight w:val="none"/>
        </w:rPr>
      </w:pPr>
    </w:p>
    <w:p>
      <w:pPr>
        <w:snapToGrid w:val="0"/>
        <w:spacing w:beforeLines="50" w:after="50"/>
        <w:jc w:val="center"/>
        <w:rPr>
          <w:rFonts w:ascii="宋体" w:hAnsi="宋体" w:cs="宋体"/>
          <w:bCs/>
          <w:color w:val="auto"/>
          <w:highlight w:val="none"/>
        </w:rPr>
      </w:pPr>
      <w:r>
        <w:rPr>
          <w:rFonts w:hint="eastAsia" w:ascii="宋体" w:hAnsi="宋体" w:cs="宋体"/>
          <w:bCs/>
          <w:color w:val="auto"/>
          <w:highlight w:val="none"/>
        </w:rPr>
        <w:t>投 标 文 件</w:t>
      </w:r>
    </w:p>
    <w:p>
      <w:pPr>
        <w:snapToGrid w:val="0"/>
        <w:spacing w:beforeLines="50" w:after="50"/>
        <w:rPr>
          <w:rFonts w:ascii="宋体" w:hAnsi="宋体" w:cs="宋体"/>
          <w:bCs/>
          <w:color w:val="auto"/>
          <w:highlight w:val="none"/>
        </w:rPr>
      </w:pPr>
    </w:p>
    <w:p>
      <w:pPr>
        <w:snapToGrid w:val="0"/>
        <w:spacing w:beforeLines="50" w:after="50"/>
        <w:rPr>
          <w:rFonts w:ascii="宋体" w:hAnsi="宋体" w:cs="宋体"/>
          <w:bCs/>
          <w:color w:val="auto"/>
          <w:highlight w:val="none"/>
        </w:rPr>
      </w:pPr>
    </w:p>
    <w:p>
      <w:pPr>
        <w:snapToGrid w:val="0"/>
        <w:spacing w:line="400" w:lineRule="exact"/>
        <w:ind w:firstLine="1785" w:firstLineChars="850"/>
        <w:rPr>
          <w:rFonts w:ascii="宋体" w:hAnsi="宋体" w:cs="宋体"/>
          <w:bCs/>
          <w:color w:val="auto"/>
          <w:highlight w:val="none"/>
        </w:rPr>
      </w:pPr>
      <w:r>
        <w:rPr>
          <w:rFonts w:hint="eastAsia" w:ascii="宋体" w:hAnsi="宋体" w:cs="宋体"/>
          <w:bCs/>
          <w:color w:val="auto"/>
          <w:highlight w:val="none"/>
        </w:rPr>
        <w:t xml:space="preserve">项目名称：        </w:t>
      </w:r>
    </w:p>
    <w:p>
      <w:pPr>
        <w:snapToGrid w:val="0"/>
        <w:spacing w:line="400" w:lineRule="exact"/>
        <w:ind w:firstLine="1785" w:firstLineChars="850"/>
        <w:rPr>
          <w:rFonts w:ascii="宋体" w:hAnsi="宋体" w:cs="宋体"/>
          <w:bCs/>
          <w:color w:val="auto"/>
          <w:highlight w:val="none"/>
        </w:rPr>
      </w:pPr>
      <w:r>
        <w:rPr>
          <w:rFonts w:hint="eastAsia" w:ascii="宋体" w:hAnsi="宋体" w:cs="宋体"/>
          <w:bCs/>
          <w:color w:val="auto"/>
          <w:highlight w:val="none"/>
        </w:rPr>
        <w:t xml:space="preserve">项目编号： </w:t>
      </w:r>
    </w:p>
    <w:p>
      <w:pPr>
        <w:spacing w:line="360" w:lineRule="auto"/>
        <w:ind w:firstLine="1785" w:firstLineChars="850"/>
        <w:rPr>
          <w:rFonts w:ascii="宋体" w:hAnsi="宋体" w:cs="宋体"/>
          <w:bCs/>
          <w:color w:val="auto"/>
          <w:highlight w:val="none"/>
        </w:rPr>
      </w:pPr>
      <w:r>
        <w:rPr>
          <w:rFonts w:hint="eastAsia" w:ascii="宋体" w:hAnsi="宋体" w:cs="宋体"/>
          <w:bCs/>
          <w:color w:val="auto"/>
          <w:highlight w:val="none"/>
        </w:rPr>
        <w:t>投标文件名称：资格文件/商务技术文件/报价文件</w:t>
      </w:r>
    </w:p>
    <w:p>
      <w:pPr>
        <w:pStyle w:val="4"/>
        <w:snapToGrid w:val="0"/>
        <w:spacing w:line="400" w:lineRule="exact"/>
        <w:ind w:firstLine="1785" w:firstLineChars="850"/>
        <w:rPr>
          <w:rFonts w:hAnsi="宋体" w:cs="宋体"/>
          <w:bCs/>
          <w:color w:val="auto"/>
          <w:szCs w:val="21"/>
          <w:highlight w:val="none"/>
        </w:rPr>
      </w:pPr>
      <w:r>
        <w:rPr>
          <w:rFonts w:hint="eastAsia" w:hAnsi="宋体" w:cs="宋体"/>
          <w:bCs/>
          <w:color w:val="auto"/>
          <w:szCs w:val="21"/>
          <w:highlight w:val="none"/>
        </w:rPr>
        <w:t>供应商名称：</w:t>
      </w:r>
    </w:p>
    <w:p>
      <w:pPr>
        <w:pStyle w:val="4"/>
        <w:snapToGrid w:val="0"/>
        <w:spacing w:line="400" w:lineRule="exact"/>
        <w:ind w:firstLine="1785" w:firstLineChars="850"/>
        <w:rPr>
          <w:rFonts w:hAnsi="宋体" w:cs="宋体"/>
          <w:bCs/>
          <w:color w:val="auto"/>
          <w:szCs w:val="21"/>
          <w:highlight w:val="none"/>
        </w:rPr>
      </w:pPr>
      <w:r>
        <w:rPr>
          <w:rFonts w:hint="eastAsia" w:hAnsi="宋体" w:cs="宋体"/>
          <w:bCs/>
          <w:color w:val="auto"/>
          <w:szCs w:val="21"/>
          <w:highlight w:val="none"/>
        </w:rPr>
        <w:t>供应商地址：</w:t>
      </w:r>
    </w:p>
    <w:p>
      <w:pPr>
        <w:pStyle w:val="4"/>
        <w:snapToGrid w:val="0"/>
        <w:spacing w:line="400" w:lineRule="exact"/>
        <w:ind w:firstLine="1785" w:firstLineChars="850"/>
        <w:rPr>
          <w:rFonts w:hAnsi="宋体" w:cs="宋体"/>
          <w:bCs/>
          <w:color w:val="auto"/>
          <w:szCs w:val="21"/>
          <w:highlight w:val="none"/>
        </w:rPr>
      </w:pPr>
      <w:r>
        <w:rPr>
          <w:rFonts w:hint="eastAsia" w:hAnsi="宋体" w:cs="宋体"/>
          <w:color w:val="auto"/>
          <w:szCs w:val="21"/>
          <w:highlight w:val="none"/>
        </w:rPr>
        <w:t xml:space="preserve">                  开标时启封</w:t>
      </w:r>
    </w:p>
    <w:p>
      <w:pPr>
        <w:snapToGrid w:val="0"/>
        <w:spacing w:beforeLines="50" w:after="50"/>
        <w:ind w:firstLine="3570" w:firstLineChars="1700"/>
        <w:rPr>
          <w:rFonts w:ascii="宋体" w:hAnsi="宋体" w:cs="宋体"/>
          <w:bCs/>
          <w:color w:val="auto"/>
          <w:highlight w:val="none"/>
        </w:rPr>
      </w:pPr>
    </w:p>
    <w:p>
      <w:pPr>
        <w:snapToGrid w:val="0"/>
        <w:spacing w:beforeLines="50" w:after="50"/>
        <w:ind w:firstLine="645"/>
        <w:jc w:val="center"/>
        <w:rPr>
          <w:rFonts w:ascii="宋体" w:hAnsi="宋体" w:cs="宋体"/>
          <w:bCs/>
          <w:color w:val="auto"/>
          <w:highlight w:val="none"/>
        </w:rPr>
      </w:pPr>
      <w:r>
        <w:rPr>
          <w:rFonts w:hint="eastAsia" w:ascii="宋体" w:hAnsi="宋体" w:cs="宋体"/>
          <w:bCs/>
          <w:color w:val="auto"/>
          <w:highlight w:val="none"/>
        </w:rPr>
        <w:t xml:space="preserve">                        年  月  日</w:t>
      </w:r>
    </w:p>
    <w:p>
      <w:pPr>
        <w:snapToGrid w:val="0"/>
        <w:spacing w:beforeLines="50" w:after="50"/>
        <w:rPr>
          <w:rFonts w:ascii="宋体" w:hAnsi="宋体" w:cs="宋体"/>
          <w:color w:val="auto"/>
          <w:highlight w:val="none"/>
        </w:rPr>
      </w:pPr>
    </w:p>
    <w:p>
      <w:pPr>
        <w:snapToGrid w:val="0"/>
        <w:spacing w:beforeLines="50" w:after="50"/>
        <w:jc w:val="center"/>
        <w:rPr>
          <w:rFonts w:ascii="宋体" w:hAnsi="宋体" w:cs="宋体"/>
          <w:color w:val="auto"/>
          <w:highlight w:val="none"/>
        </w:rPr>
      </w:pPr>
    </w:p>
    <w:p>
      <w:pPr>
        <w:snapToGrid w:val="0"/>
        <w:spacing w:beforeLines="50" w:after="50"/>
        <w:jc w:val="center"/>
        <w:rPr>
          <w:rFonts w:ascii="宋体" w:hAnsi="宋体" w:cs="宋体"/>
          <w:color w:val="auto"/>
          <w:highlight w:val="none"/>
        </w:rPr>
      </w:pPr>
    </w:p>
    <w:p>
      <w:pPr>
        <w:snapToGrid w:val="0"/>
        <w:spacing w:beforeLines="50" w:after="50"/>
        <w:rPr>
          <w:rFonts w:ascii="宋体" w:hAnsi="宋体" w:cs="宋体"/>
          <w:color w:val="auto"/>
          <w:highlight w:val="none"/>
        </w:rPr>
      </w:pPr>
      <w:r>
        <w:rPr>
          <w:rFonts w:hint="eastAsia" w:ascii="宋体" w:hAnsi="宋体" w:cs="宋体"/>
          <w:color w:val="auto"/>
          <w:highlight w:val="none"/>
        </w:rPr>
        <w:t xml:space="preserve">2.封面格式： </w:t>
      </w:r>
    </w:p>
    <w:p>
      <w:pPr>
        <w:snapToGrid w:val="0"/>
        <w:spacing w:beforeLines="50" w:after="50"/>
        <w:rPr>
          <w:rFonts w:ascii="宋体" w:hAnsi="宋体" w:cs="宋体"/>
          <w:b/>
          <w:bCs/>
          <w:color w:val="auto"/>
          <w:highlight w:val="none"/>
        </w:rPr>
      </w:pPr>
      <w:r>
        <w:rPr>
          <w:rFonts w:hint="eastAsia" w:ascii="宋体" w:hAnsi="宋体" w:cs="宋体"/>
          <w:color w:val="auto"/>
          <w:highlight w:val="none"/>
        </w:rPr>
        <w:t xml:space="preserve">                                                              </w:t>
      </w:r>
      <w:r>
        <w:rPr>
          <w:rFonts w:hint="eastAsia" w:ascii="宋体" w:hAnsi="宋体" w:cs="宋体"/>
          <w:b/>
          <w:bCs/>
          <w:color w:val="auto"/>
          <w:highlight w:val="none"/>
        </w:rPr>
        <w:t>正本/或副本</w:t>
      </w:r>
    </w:p>
    <w:p>
      <w:pPr>
        <w:snapToGrid w:val="0"/>
        <w:spacing w:beforeLines="50" w:after="50"/>
        <w:rPr>
          <w:rFonts w:ascii="宋体" w:hAnsi="宋体" w:cs="宋体"/>
          <w:bCs/>
          <w:color w:val="auto"/>
          <w:highlight w:val="none"/>
        </w:rPr>
      </w:pPr>
    </w:p>
    <w:p>
      <w:pPr>
        <w:snapToGrid w:val="0"/>
        <w:spacing w:beforeLines="50" w:after="50"/>
        <w:jc w:val="center"/>
        <w:rPr>
          <w:rFonts w:ascii="宋体" w:hAnsi="宋体" w:cs="宋体"/>
          <w:bCs/>
          <w:color w:val="auto"/>
          <w:highlight w:val="none"/>
        </w:rPr>
      </w:pPr>
      <w:r>
        <w:rPr>
          <w:rFonts w:hint="eastAsia" w:ascii="宋体" w:hAnsi="宋体" w:cs="宋体"/>
          <w:bCs/>
          <w:color w:val="auto"/>
          <w:highlight w:val="none"/>
        </w:rPr>
        <w:t>投标文件</w:t>
      </w:r>
    </w:p>
    <w:p>
      <w:pPr>
        <w:snapToGrid w:val="0"/>
        <w:spacing w:beforeLines="50" w:after="50"/>
        <w:rPr>
          <w:rFonts w:ascii="宋体" w:hAnsi="宋体" w:cs="宋体"/>
          <w:bCs/>
          <w:color w:val="auto"/>
          <w:highlight w:val="none"/>
        </w:rPr>
      </w:pPr>
    </w:p>
    <w:p>
      <w:pPr>
        <w:snapToGrid w:val="0"/>
        <w:spacing w:beforeLines="50" w:after="50"/>
        <w:rPr>
          <w:rFonts w:ascii="宋体" w:hAnsi="宋体" w:cs="宋体"/>
          <w:bCs/>
          <w:color w:val="auto"/>
          <w:highlight w:val="none"/>
        </w:rPr>
      </w:pPr>
    </w:p>
    <w:p>
      <w:pPr>
        <w:snapToGrid w:val="0"/>
        <w:spacing w:line="400" w:lineRule="exact"/>
        <w:ind w:firstLine="1575" w:firstLineChars="750"/>
        <w:rPr>
          <w:rFonts w:ascii="宋体" w:hAnsi="宋体" w:cs="宋体"/>
          <w:bCs/>
          <w:color w:val="auto"/>
          <w:highlight w:val="none"/>
        </w:rPr>
      </w:pPr>
      <w:r>
        <w:rPr>
          <w:rFonts w:hint="eastAsia" w:ascii="宋体" w:hAnsi="宋体" w:cs="宋体"/>
          <w:bCs/>
          <w:color w:val="auto"/>
          <w:highlight w:val="none"/>
        </w:rPr>
        <w:t xml:space="preserve">项目名称： </w:t>
      </w:r>
    </w:p>
    <w:p>
      <w:pPr>
        <w:snapToGrid w:val="0"/>
        <w:spacing w:line="400" w:lineRule="exact"/>
        <w:rPr>
          <w:rFonts w:ascii="宋体" w:hAnsi="宋体" w:cs="宋体"/>
          <w:bCs/>
          <w:color w:val="auto"/>
          <w:highlight w:val="none"/>
        </w:rPr>
      </w:pPr>
      <w:r>
        <w:rPr>
          <w:rFonts w:hint="eastAsia" w:ascii="宋体" w:hAnsi="宋体" w:cs="宋体"/>
          <w:bCs/>
          <w:color w:val="auto"/>
          <w:highlight w:val="none"/>
        </w:rPr>
        <w:t xml:space="preserve">               项目编号：  </w:t>
      </w:r>
    </w:p>
    <w:p>
      <w:pPr>
        <w:snapToGrid w:val="0"/>
        <w:spacing w:line="400" w:lineRule="exact"/>
        <w:rPr>
          <w:rFonts w:ascii="宋体" w:hAnsi="宋体" w:cs="宋体"/>
          <w:bCs/>
          <w:color w:val="auto"/>
          <w:highlight w:val="none"/>
        </w:rPr>
      </w:pPr>
      <w:r>
        <w:rPr>
          <w:rFonts w:hint="eastAsia" w:ascii="宋体" w:hAnsi="宋体" w:cs="宋体"/>
          <w:bCs/>
          <w:color w:val="auto"/>
          <w:highlight w:val="none"/>
        </w:rPr>
        <w:t xml:space="preserve">               投标文件名称：资格文件/商务技术文件/报价文件</w:t>
      </w:r>
    </w:p>
    <w:p>
      <w:pPr>
        <w:pStyle w:val="4"/>
        <w:snapToGrid w:val="0"/>
        <w:spacing w:line="400" w:lineRule="exact"/>
        <w:ind w:firstLine="1575" w:firstLineChars="750"/>
        <w:rPr>
          <w:rFonts w:hAnsi="宋体" w:cs="宋体"/>
          <w:bCs/>
          <w:color w:val="auto"/>
          <w:szCs w:val="21"/>
          <w:highlight w:val="none"/>
        </w:rPr>
      </w:pPr>
      <w:r>
        <w:rPr>
          <w:rFonts w:hint="eastAsia" w:hAnsi="宋体" w:cs="宋体"/>
          <w:bCs/>
          <w:color w:val="auto"/>
          <w:szCs w:val="21"/>
          <w:highlight w:val="none"/>
        </w:rPr>
        <w:t>供应商名称：</w:t>
      </w:r>
    </w:p>
    <w:p>
      <w:pPr>
        <w:pStyle w:val="4"/>
        <w:snapToGrid w:val="0"/>
        <w:spacing w:line="400" w:lineRule="exact"/>
        <w:ind w:firstLine="1575" w:firstLineChars="750"/>
        <w:rPr>
          <w:rFonts w:hAnsi="宋体" w:cs="宋体"/>
          <w:bCs/>
          <w:color w:val="auto"/>
          <w:szCs w:val="21"/>
          <w:highlight w:val="none"/>
        </w:rPr>
      </w:pPr>
      <w:r>
        <w:rPr>
          <w:rFonts w:hint="eastAsia" w:hAnsi="宋体" w:cs="宋体"/>
          <w:bCs/>
          <w:color w:val="auto"/>
          <w:szCs w:val="21"/>
          <w:highlight w:val="none"/>
        </w:rPr>
        <w:t>供应商地址：</w:t>
      </w:r>
    </w:p>
    <w:p>
      <w:pPr>
        <w:pStyle w:val="4"/>
        <w:snapToGrid w:val="0"/>
        <w:spacing w:before="50" w:after="50"/>
        <w:ind w:firstLine="840" w:firstLineChars="400"/>
        <w:rPr>
          <w:rFonts w:hAnsi="宋体" w:cs="宋体"/>
          <w:bCs/>
          <w:color w:val="auto"/>
          <w:szCs w:val="21"/>
          <w:highlight w:val="none"/>
        </w:rPr>
      </w:pPr>
    </w:p>
    <w:p>
      <w:pPr>
        <w:pStyle w:val="4"/>
        <w:snapToGrid w:val="0"/>
        <w:spacing w:before="50" w:after="50"/>
        <w:ind w:firstLine="873" w:firstLineChars="416"/>
        <w:rPr>
          <w:rFonts w:hAnsi="宋体" w:cs="宋体"/>
          <w:color w:val="auto"/>
          <w:szCs w:val="21"/>
          <w:highlight w:val="none"/>
        </w:rPr>
      </w:pPr>
    </w:p>
    <w:p>
      <w:pPr>
        <w:snapToGrid w:val="0"/>
        <w:spacing w:beforeLines="50" w:after="50"/>
        <w:ind w:firstLine="5040" w:firstLineChars="2400"/>
        <w:rPr>
          <w:rFonts w:ascii="宋体" w:hAnsi="宋体" w:cs="宋体"/>
          <w:color w:val="auto"/>
          <w:highlight w:val="none"/>
        </w:rPr>
      </w:pPr>
      <w:r>
        <w:rPr>
          <w:rFonts w:hint="eastAsia" w:ascii="宋体" w:hAnsi="宋体" w:cs="宋体"/>
          <w:color w:val="auto"/>
          <w:highlight w:val="none"/>
        </w:rPr>
        <w:t>授权代表签章：</w:t>
      </w:r>
    </w:p>
    <w:p>
      <w:pPr>
        <w:snapToGrid w:val="0"/>
        <w:spacing w:beforeLines="50" w:after="50"/>
        <w:ind w:firstLine="645"/>
        <w:jc w:val="center"/>
        <w:rPr>
          <w:rFonts w:ascii="宋体" w:hAnsi="宋体" w:cs="宋体"/>
          <w:color w:val="auto"/>
          <w:highlight w:val="none"/>
        </w:rPr>
      </w:pPr>
      <w:r>
        <w:rPr>
          <w:rFonts w:hint="eastAsia" w:ascii="宋体" w:hAnsi="宋体" w:cs="宋体"/>
          <w:color w:val="auto"/>
          <w:highlight w:val="none"/>
        </w:rPr>
        <w:t xml:space="preserve">                        年  月  日</w:t>
      </w:r>
    </w:p>
    <w:p>
      <w:pPr>
        <w:adjustRightInd w:val="0"/>
        <w:snapToGrid w:val="0"/>
        <w:jc w:val="center"/>
        <w:rPr>
          <w:rFonts w:ascii="宋体" w:hAnsi="宋体" w:cs="宋体"/>
          <w:b/>
          <w:color w:val="auto"/>
          <w:sz w:val="24"/>
          <w:highlight w:val="none"/>
        </w:rPr>
      </w:pPr>
      <w:r>
        <w:rPr>
          <w:rFonts w:hint="eastAsia" w:ascii="宋体" w:hAnsi="宋体"/>
          <w:b/>
          <w:color w:val="auto"/>
          <w:sz w:val="28"/>
          <w:szCs w:val="28"/>
          <w:highlight w:val="none"/>
        </w:rPr>
        <w:br w:type="page"/>
      </w:r>
      <w:r>
        <w:rPr>
          <w:rFonts w:hint="eastAsia" w:ascii="宋体" w:hAnsi="宋体" w:cs="宋体"/>
          <w:b/>
          <w:color w:val="auto"/>
          <w:sz w:val="24"/>
          <w:highlight w:val="none"/>
        </w:rPr>
        <w:t>资格条件自查表</w:t>
      </w:r>
    </w:p>
    <w:tbl>
      <w:tblPr>
        <w:tblStyle w:val="50"/>
        <w:tblW w:w="10044"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31"/>
        <w:gridCol w:w="4902"/>
        <w:gridCol w:w="1584"/>
        <w:gridCol w:w="2627"/>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1" w:type="dxa"/>
            <w:tcBorders>
              <w:top w:val="single" w:color="auto" w:sz="12" w:space="0"/>
              <w:left w:val="single" w:color="auto" w:sz="12" w:space="0"/>
              <w:bottom w:val="outset" w:color="111111" w:sz="6" w:space="0"/>
              <w:right w:val="outset" w:color="111111" w:sz="6" w:space="0"/>
            </w:tcBorders>
            <w:vAlign w:val="center"/>
          </w:tcPr>
          <w:p>
            <w:pPr>
              <w:adjustRightInd w:val="0"/>
              <w:snapToGrid w:val="0"/>
              <w:jc w:val="center"/>
              <w:rPr>
                <w:rFonts w:ascii="宋体" w:hAnsi="宋体" w:cs="宋体"/>
                <w:color w:val="auto"/>
                <w:szCs w:val="21"/>
                <w:highlight w:val="none"/>
              </w:rPr>
            </w:pPr>
            <w:r>
              <w:rPr>
                <w:rStyle w:val="53"/>
                <w:rFonts w:hint="eastAsia" w:ascii="宋体" w:hAnsi="宋体" w:cs="宋体"/>
                <w:color w:val="auto"/>
                <w:szCs w:val="21"/>
                <w:highlight w:val="none"/>
              </w:rPr>
              <w:t>评审内容</w:t>
            </w:r>
          </w:p>
        </w:tc>
        <w:tc>
          <w:tcPr>
            <w:tcW w:w="4902"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hAnsi="宋体" w:cs="宋体"/>
                <w:color w:val="auto"/>
                <w:szCs w:val="21"/>
                <w:highlight w:val="none"/>
              </w:rPr>
            </w:pPr>
            <w:r>
              <w:rPr>
                <w:rStyle w:val="53"/>
                <w:rFonts w:hint="eastAsia" w:ascii="宋体" w:hAnsi="宋体" w:cs="宋体"/>
                <w:color w:val="auto"/>
                <w:szCs w:val="21"/>
                <w:highlight w:val="none"/>
              </w:rPr>
              <w:t>采购文件要求</w:t>
            </w:r>
          </w:p>
        </w:tc>
        <w:tc>
          <w:tcPr>
            <w:tcW w:w="1584"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hAnsi="宋体" w:cs="宋体"/>
                <w:color w:val="auto"/>
                <w:szCs w:val="21"/>
                <w:highlight w:val="none"/>
              </w:rPr>
            </w:pPr>
            <w:r>
              <w:rPr>
                <w:rStyle w:val="53"/>
                <w:rFonts w:hint="eastAsia" w:ascii="宋体" w:hAnsi="宋体" w:cs="宋体"/>
                <w:color w:val="auto"/>
                <w:szCs w:val="21"/>
                <w:highlight w:val="none"/>
              </w:rPr>
              <w:t>自查结论</w:t>
            </w:r>
          </w:p>
        </w:tc>
        <w:tc>
          <w:tcPr>
            <w:tcW w:w="2627" w:type="dxa"/>
            <w:tcBorders>
              <w:top w:val="single" w:color="auto" w:sz="12"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color w:val="auto"/>
                <w:szCs w:val="21"/>
                <w:highlight w:val="none"/>
              </w:rPr>
            </w:pPr>
            <w:r>
              <w:rPr>
                <w:rStyle w:val="53"/>
                <w:rFonts w:hint="eastAsia" w:ascii="宋体" w:hAnsi="宋体" w:cs="宋体"/>
                <w:color w:val="auto"/>
                <w:szCs w:val="21"/>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restart"/>
            <w:tcBorders>
              <w:top w:val="outset" w:color="111111" w:sz="6" w:space="0"/>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资</w:t>
            </w:r>
          </w:p>
          <w:p>
            <w:pPr>
              <w:pStyle w:val="197"/>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格</w:t>
            </w:r>
          </w:p>
          <w:p>
            <w:pPr>
              <w:pStyle w:val="197"/>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性</w:t>
            </w:r>
          </w:p>
          <w:p>
            <w:pPr>
              <w:pStyle w:val="197"/>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审</w:t>
            </w:r>
          </w:p>
          <w:p>
            <w:pPr>
              <w:pStyle w:val="197"/>
              <w:adjustRightInd w:val="0"/>
              <w:snapToGrid w:val="0"/>
              <w:spacing w:before="0" w:beforeAutospacing="0" w:after="0" w:afterAutospacing="0"/>
              <w:jc w:val="center"/>
              <w:rPr>
                <w:rFonts w:cs="宋体"/>
                <w:b/>
                <w:color w:val="auto"/>
                <w:sz w:val="21"/>
                <w:szCs w:val="21"/>
                <w:highlight w:val="none"/>
              </w:rPr>
            </w:pPr>
            <w:r>
              <w:rPr>
                <w:rFonts w:hint="eastAsia" w:cs="宋体"/>
                <w:b/>
                <w:color w:val="auto"/>
                <w:sz w:val="21"/>
                <w:szCs w:val="21"/>
                <w:highlight w:val="none"/>
              </w:rPr>
              <w:t>查</w:t>
            </w:r>
          </w:p>
        </w:tc>
        <w:tc>
          <w:tcPr>
            <w:tcW w:w="4902"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一、投标人投标声明书</w:t>
            </w:r>
          </w:p>
        </w:tc>
        <w:tc>
          <w:tcPr>
            <w:tcW w:w="1584" w:type="dxa"/>
            <w:vMerge w:val="restart"/>
            <w:tcBorders>
              <w:top w:val="outset" w:color="111111" w:sz="6" w:space="0"/>
              <w:left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□通过 </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□不通过</w:t>
            </w: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continue"/>
            <w:tcBorders>
              <w:top w:val="outset" w:color="111111" w:sz="6" w:space="0"/>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color w:val="auto"/>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二、投标人具备《政府采购法》第二十二条所规定的条件：</w:t>
            </w:r>
          </w:p>
        </w:tc>
        <w:tc>
          <w:tcPr>
            <w:tcW w:w="1584" w:type="dxa"/>
            <w:vMerge w:val="continue"/>
            <w:tcBorders>
              <w:top w:val="outset" w:color="111111" w:sz="6" w:space="0"/>
              <w:left w:val="outset" w:color="111111" w:sz="6" w:space="0"/>
              <w:right w:val="outset" w:color="111111" w:sz="6" w:space="0"/>
            </w:tcBorders>
            <w:vAlign w:val="center"/>
          </w:tcPr>
          <w:p>
            <w:pPr>
              <w:adjustRightInd w:val="0"/>
              <w:snapToGrid w:val="0"/>
              <w:rPr>
                <w:rFonts w:ascii="宋体" w:hAnsi="宋体" w:cs="宋体"/>
                <w:color w:val="auto"/>
                <w:szCs w:val="21"/>
                <w:highlight w:val="none"/>
              </w:rPr>
            </w:pP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47" w:hRule="atLeast"/>
          <w:jc w:val="center"/>
        </w:trPr>
        <w:tc>
          <w:tcPr>
            <w:tcW w:w="931" w:type="dxa"/>
            <w:vMerge w:val="continue"/>
            <w:tcBorders>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color w:val="auto"/>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vAlign w:val="center"/>
          </w:tcPr>
          <w:p>
            <w:pPr>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具有</w:t>
            </w:r>
            <w:r>
              <w:rPr>
                <w:rFonts w:hint="eastAsia" w:ascii="宋体" w:hAnsi="宋体" w:cs="宋体"/>
                <w:color w:val="auto"/>
                <w:highlight w:val="none"/>
              </w:rPr>
              <w:t>有效的企业法人营业执照（或事业法人登记证）、其他组织的营业执照或者民办非企业单位登记证书复印件；</w:t>
            </w:r>
          </w:p>
        </w:tc>
        <w:tc>
          <w:tcPr>
            <w:tcW w:w="1584" w:type="dxa"/>
            <w:vMerge w:val="continue"/>
            <w:tcBorders>
              <w:top w:val="outset" w:color="111111" w:sz="6" w:space="0"/>
              <w:left w:val="outset" w:color="111111" w:sz="6" w:space="0"/>
              <w:right w:val="outset" w:color="111111" w:sz="6" w:space="0"/>
            </w:tcBorders>
            <w:vAlign w:val="center"/>
          </w:tcPr>
          <w:p>
            <w:pPr>
              <w:adjustRightInd w:val="0"/>
              <w:snapToGrid w:val="0"/>
              <w:rPr>
                <w:rFonts w:ascii="宋体" w:hAnsi="宋体" w:cs="宋体"/>
                <w:color w:val="auto"/>
                <w:szCs w:val="21"/>
                <w:highlight w:val="none"/>
              </w:rPr>
            </w:pP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1" w:type="dxa"/>
            <w:vMerge w:val="continue"/>
            <w:tcBorders>
              <w:left w:val="single" w:color="auto" w:sz="12" w:space="0"/>
              <w:right w:val="outset" w:color="111111" w:sz="6" w:space="0"/>
            </w:tcBorders>
            <w:vAlign w:val="center"/>
          </w:tcPr>
          <w:p>
            <w:pPr>
              <w:pStyle w:val="197"/>
              <w:adjustRightInd w:val="0"/>
              <w:snapToGrid w:val="0"/>
              <w:spacing w:before="0" w:beforeAutospacing="0" w:after="0" w:afterAutospacing="0"/>
              <w:jc w:val="center"/>
              <w:rPr>
                <w:rFonts w:cs="宋体"/>
                <w:b/>
                <w:color w:val="auto"/>
                <w:sz w:val="21"/>
                <w:szCs w:val="21"/>
                <w:highlight w:val="none"/>
              </w:rPr>
            </w:pPr>
          </w:p>
        </w:tc>
        <w:tc>
          <w:tcPr>
            <w:tcW w:w="4902"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2、供应商具备《中华人民共和国政府采购法》第二十二条规定的资格条件的承诺函</w:t>
            </w:r>
          </w:p>
        </w:tc>
        <w:tc>
          <w:tcPr>
            <w:tcW w:w="1584" w:type="dxa"/>
            <w:vMerge w:val="continue"/>
            <w:tcBorders>
              <w:top w:val="outset" w:color="111111" w:sz="6" w:space="0"/>
              <w:left w:val="outset" w:color="111111" w:sz="6" w:space="0"/>
              <w:right w:val="outset" w:color="111111" w:sz="6" w:space="0"/>
            </w:tcBorders>
            <w:vAlign w:val="center"/>
          </w:tcPr>
          <w:p>
            <w:pPr>
              <w:adjustRightInd w:val="0"/>
              <w:snapToGrid w:val="0"/>
              <w:rPr>
                <w:rFonts w:ascii="宋体" w:hAnsi="宋体" w:cs="宋体"/>
                <w:color w:val="auto"/>
                <w:szCs w:val="21"/>
                <w:highlight w:val="none"/>
              </w:rPr>
            </w:pPr>
          </w:p>
        </w:tc>
        <w:tc>
          <w:tcPr>
            <w:tcW w:w="2627"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18"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color w:val="auto"/>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三、</w:t>
            </w:r>
            <w:r>
              <w:rPr>
                <w:rFonts w:hint="eastAsia" w:ascii="宋体" w:hAnsi="宋体" w:cs="宋体"/>
                <w:bCs/>
                <w:color w:val="auto"/>
                <w:szCs w:val="21"/>
                <w:highlight w:val="none"/>
              </w:rPr>
              <w:t>为采购项目提供整体设计、规范编制或者项目管理、监理、检测等服务的投标人及其附属机构，不得再参加本项目投标。</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□通过 </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color w:val="auto"/>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四、本项目不接受联合体投标。</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□通过</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857"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color w:val="auto"/>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pStyle w:val="2"/>
              <w:keepNext w:val="0"/>
              <w:keepLines w:val="0"/>
              <w:pageBreakBefore w:val="0"/>
              <w:widowControl w:val="0"/>
              <w:kinsoku/>
              <w:wordWrap/>
              <w:overflowPunct/>
              <w:topLinePunct w:val="0"/>
              <w:autoSpaceDE/>
              <w:autoSpaceDN/>
              <w:bidi w:val="0"/>
              <w:ind w:left="0" w:leftChars="0" w:firstLine="0" w:firstLineChars="0"/>
              <w:textAlignment w:val="auto"/>
              <w:rPr>
                <w:color w:val="auto"/>
                <w:highlight w:val="none"/>
              </w:rPr>
            </w:pPr>
            <w:r>
              <w:rPr>
                <w:rFonts w:hint="eastAsia" w:ascii="宋体" w:hAnsi="宋体" w:eastAsia="宋体" w:cs="宋体"/>
                <w:color w:val="auto"/>
                <w:sz w:val="20"/>
                <w:szCs w:val="20"/>
                <w:highlight w:val="none"/>
              </w:rPr>
              <w:t>投标人未被列入信用中国网站(www.creditchina.gov.cn)、中国政府采购网(www.ccgp.gov.cn)渠道信用记录失信被执行人、重大税收违法案件当事人名单、政府采购严重违法失信行为信息记录名单的投标人（以代理机构于投标截止日当天在“信用中国”网站（www.creditchina.gov.cn）及中国政府采购网查询结果为准，如相关失信记录已失效，供应商需提供相关证明资料）。</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□通过 </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403"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color w:val="auto"/>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宋体" w:hAnsi="宋体" w:cs="宋体"/>
                <w:color w:val="auto"/>
                <w:szCs w:val="21"/>
                <w:highlight w:val="none"/>
              </w:rPr>
            </w:pPr>
            <w:r>
              <w:rPr>
                <w:rFonts w:hint="eastAsia" w:ascii="宋体" w:hAnsi="宋体" w:eastAsia="宋体" w:cs="宋体"/>
                <w:color w:val="auto"/>
                <w:sz w:val="20"/>
                <w:szCs w:val="20"/>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hint="eastAsia" w:ascii="宋体" w:hAnsi="宋体" w:cs="宋体"/>
                <w:color w:val="auto"/>
                <w:szCs w:val="21"/>
                <w:highlight w:val="none"/>
              </w:rPr>
            </w:pP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hint="eastAsia" w:ascii="宋体" w:hAnsi="宋体" w:cs="宋体"/>
                <w:color w:val="auto"/>
                <w:szCs w:val="21"/>
                <w:highlight w:val="none"/>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70" w:hRule="atLeast"/>
          <w:jc w:val="center"/>
        </w:trPr>
        <w:tc>
          <w:tcPr>
            <w:tcW w:w="931" w:type="dxa"/>
            <w:vMerge w:val="continue"/>
            <w:tcBorders>
              <w:left w:val="single" w:color="auto" w:sz="12" w:space="0"/>
              <w:right w:val="outset" w:color="111111" w:sz="6" w:space="0"/>
            </w:tcBorders>
            <w:vAlign w:val="center"/>
          </w:tcPr>
          <w:p>
            <w:pPr>
              <w:adjustRightInd w:val="0"/>
              <w:snapToGrid w:val="0"/>
              <w:rPr>
                <w:rFonts w:ascii="宋体" w:hAnsi="宋体" w:cs="宋体"/>
                <w:color w:val="auto"/>
                <w:szCs w:val="21"/>
                <w:highlight w:val="none"/>
              </w:rPr>
            </w:pPr>
          </w:p>
        </w:tc>
        <w:tc>
          <w:tcPr>
            <w:tcW w:w="4902"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五、特定条件（如有）</w:t>
            </w:r>
          </w:p>
        </w:tc>
        <w:tc>
          <w:tcPr>
            <w:tcW w:w="1584"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cs="宋体"/>
                <w:color w:val="auto"/>
                <w:szCs w:val="21"/>
                <w:highlight w:val="none"/>
              </w:rPr>
            </w:pPr>
            <w:r>
              <w:rPr>
                <w:rFonts w:hint="eastAsia" w:ascii="宋体" w:hAnsi="宋体" w:cs="宋体"/>
                <w:color w:val="auto"/>
                <w:szCs w:val="21"/>
                <w:highlight w:val="none"/>
              </w:rPr>
              <w:t xml:space="preserve">□通过 </w:t>
            </w:r>
          </w:p>
          <w:p>
            <w:pPr>
              <w:adjustRightInd w:val="0"/>
              <w:snapToGrid w:val="0"/>
              <w:rPr>
                <w:rFonts w:ascii="宋体" w:hAnsi="宋体" w:cs="宋体"/>
                <w:color w:val="auto"/>
                <w:szCs w:val="21"/>
                <w:highlight w:val="none"/>
              </w:rPr>
            </w:pPr>
            <w:r>
              <w:rPr>
                <w:rFonts w:hint="eastAsia" w:ascii="宋体" w:hAnsi="宋体" w:cs="宋体"/>
                <w:color w:val="auto"/>
                <w:szCs w:val="21"/>
                <w:highlight w:val="none"/>
              </w:rPr>
              <w:t>□不通过</w:t>
            </w:r>
          </w:p>
        </w:tc>
        <w:tc>
          <w:tcPr>
            <w:tcW w:w="2627"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color w:val="auto"/>
                <w:szCs w:val="21"/>
                <w:highlight w:val="none"/>
              </w:rPr>
            </w:pPr>
            <w:r>
              <w:rPr>
                <w:rFonts w:hint="eastAsia" w:ascii="宋体" w:hAnsi="宋体" w:cs="宋体"/>
                <w:color w:val="auto"/>
                <w:szCs w:val="21"/>
                <w:highlight w:val="none"/>
              </w:rPr>
              <w:t>第（ ）页</w:t>
            </w:r>
          </w:p>
        </w:tc>
      </w:tr>
    </w:tbl>
    <w:p>
      <w:pPr>
        <w:jc w:val="center"/>
        <w:rPr>
          <w:rFonts w:ascii="宋体" w:hAnsi="宋体"/>
          <w:b/>
          <w:color w:val="auto"/>
          <w:sz w:val="32"/>
          <w:szCs w:val="32"/>
          <w:highlight w:val="none"/>
        </w:rPr>
      </w:pPr>
      <w:r>
        <w:rPr>
          <w:rFonts w:hint="eastAsia" w:ascii="宋体" w:hAnsi="宋体"/>
          <w:b/>
          <w:color w:val="auto"/>
          <w:sz w:val="28"/>
          <w:szCs w:val="28"/>
          <w:highlight w:val="none"/>
        </w:rPr>
        <w:br w:type="page"/>
      </w:r>
      <w:r>
        <w:rPr>
          <w:rFonts w:hint="eastAsia" w:ascii="宋体" w:hAnsi="宋体"/>
          <w:b/>
          <w:color w:val="auto"/>
          <w:sz w:val="32"/>
          <w:szCs w:val="32"/>
          <w:highlight w:val="none"/>
        </w:rPr>
        <w:t>投标声明书</w:t>
      </w:r>
    </w:p>
    <w:p>
      <w:pPr>
        <w:rPr>
          <w:rFonts w:ascii="宋体" w:hAnsi="宋体"/>
          <w:b/>
          <w:color w:val="auto"/>
          <w:highlight w:val="none"/>
        </w:rPr>
      </w:pPr>
    </w:p>
    <w:p>
      <w:pPr>
        <w:spacing w:line="360" w:lineRule="auto"/>
        <w:rPr>
          <w:rFonts w:ascii="宋体" w:hAnsi="宋体"/>
          <w:b/>
          <w:color w:val="auto"/>
          <w:sz w:val="22"/>
          <w:szCs w:val="22"/>
          <w:highlight w:val="none"/>
        </w:rPr>
      </w:pPr>
      <w:r>
        <w:rPr>
          <w:rFonts w:hint="eastAsia" w:ascii="宋体" w:hAnsi="宋体"/>
          <w:b/>
          <w:color w:val="auto"/>
          <w:sz w:val="22"/>
          <w:szCs w:val="22"/>
          <w:highlight w:val="none"/>
        </w:rPr>
        <w:t>致：</w:t>
      </w:r>
      <w:r>
        <w:rPr>
          <w:rFonts w:hint="eastAsia" w:ascii="宋体" w:hAnsi="宋体"/>
          <w:b/>
          <w:color w:val="auto"/>
          <w:sz w:val="22"/>
          <w:szCs w:val="22"/>
          <w:highlight w:val="none"/>
          <w:u w:val="single"/>
        </w:rPr>
        <w:t>（采购人）</w:t>
      </w:r>
    </w:p>
    <w:p>
      <w:pPr>
        <w:snapToGrid w:val="0"/>
        <w:spacing w:beforeLines="50" w:line="360" w:lineRule="auto"/>
        <w:ind w:firstLine="444" w:firstLineChars="202"/>
        <w:rPr>
          <w:rFonts w:ascii="宋体" w:hAnsi="宋体"/>
          <w:color w:val="auto"/>
          <w:sz w:val="22"/>
          <w:szCs w:val="22"/>
          <w:highlight w:val="none"/>
        </w:rPr>
      </w:pPr>
      <w:r>
        <w:rPr>
          <w:rFonts w:hint="eastAsia" w:ascii="宋体" w:hAnsi="宋体"/>
          <w:color w:val="auto"/>
          <w:sz w:val="22"/>
          <w:szCs w:val="22"/>
          <w:highlight w:val="none"/>
        </w:rPr>
        <w:t>关于贵单位</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rPr>
        <w:t>　　</w:t>
      </w:r>
      <w:r>
        <w:rPr>
          <w:rFonts w:hint="eastAsia" w:ascii="宋体" w:hAnsi="宋体"/>
          <w:color w:val="auto"/>
          <w:sz w:val="22"/>
          <w:szCs w:val="22"/>
          <w:highlight w:val="none"/>
        </w:rPr>
        <w:t>月</w:t>
      </w:r>
      <w:r>
        <w:rPr>
          <w:rFonts w:hint="eastAsia" w:ascii="宋体" w:hAnsi="宋体"/>
          <w:color w:val="auto"/>
          <w:sz w:val="22"/>
          <w:szCs w:val="22"/>
          <w:highlight w:val="none"/>
          <w:u w:val="single"/>
        </w:rPr>
        <w:t>　　</w:t>
      </w:r>
      <w:r>
        <w:rPr>
          <w:rFonts w:hint="eastAsia" w:ascii="宋体" w:hAnsi="宋体"/>
          <w:color w:val="auto"/>
          <w:sz w:val="22"/>
          <w:szCs w:val="22"/>
          <w:highlight w:val="none"/>
        </w:rPr>
        <w:t>日发布</w:t>
      </w:r>
      <w:r>
        <w:rPr>
          <w:rFonts w:ascii="宋体" w:hAnsi="宋体"/>
          <w:color w:val="auto"/>
          <w:sz w:val="22"/>
          <w:szCs w:val="22"/>
          <w:highlight w:val="none"/>
          <w:u w:val="single"/>
        </w:rPr>
        <w:t xml:space="preserve">  </w:t>
      </w:r>
      <w:r>
        <w:rPr>
          <w:rFonts w:hint="eastAsia" w:ascii="宋体" w:hAnsi="宋体"/>
          <w:color w:val="auto"/>
          <w:kern w:val="28"/>
          <w:sz w:val="22"/>
          <w:szCs w:val="22"/>
          <w:highlight w:val="none"/>
          <w:u w:val="single"/>
        </w:rPr>
        <w:t>XXXXXXXXXXXXXXXXXXXXXXXXXXXX</w:t>
      </w:r>
      <w:r>
        <w:rPr>
          <w:rFonts w:ascii="宋体" w:hAnsi="宋体"/>
          <w:color w:val="auto"/>
          <w:sz w:val="22"/>
          <w:szCs w:val="22"/>
          <w:highlight w:val="none"/>
          <w:u w:val="single"/>
        </w:rPr>
        <w:t xml:space="preserve">  </w:t>
      </w:r>
      <w:r>
        <w:rPr>
          <w:rFonts w:hint="eastAsia" w:ascii="宋体" w:hAnsi="宋体"/>
          <w:color w:val="auto"/>
          <w:sz w:val="22"/>
          <w:szCs w:val="22"/>
          <w:highlight w:val="none"/>
        </w:rPr>
        <w:t>项目（采购编号：</w:t>
      </w:r>
      <w:r>
        <w:rPr>
          <w:rFonts w:hint="eastAsia" w:ascii="宋体" w:hAnsi="宋体"/>
          <w:color w:val="auto"/>
          <w:sz w:val="22"/>
          <w:szCs w:val="22"/>
          <w:highlight w:val="none"/>
          <w:u w:val="single"/>
        </w:rPr>
        <w:t>　　   　</w:t>
      </w:r>
      <w:r>
        <w:rPr>
          <w:rFonts w:hint="eastAsia" w:ascii="宋体" w:hAnsi="宋体"/>
          <w:color w:val="auto"/>
          <w:sz w:val="22"/>
          <w:szCs w:val="22"/>
          <w:highlight w:val="none"/>
        </w:rPr>
        <w:t>）的采购公告，本公司（企业）愿意参加投标，并声明：</w:t>
      </w:r>
    </w:p>
    <w:p>
      <w:pPr>
        <w:snapToGrid w:val="0"/>
        <w:spacing w:line="360" w:lineRule="auto"/>
        <w:ind w:firstLine="444" w:firstLineChars="202"/>
        <w:rPr>
          <w:rFonts w:ascii="宋体" w:hAnsi="宋体"/>
          <w:color w:val="auto"/>
          <w:sz w:val="22"/>
          <w:szCs w:val="22"/>
          <w:highlight w:val="none"/>
        </w:rPr>
      </w:pPr>
      <w:r>
        <w:rPr>
          <w:rFonts w:hint="eastAsia" w:ascii="宋体" w:hAnsi="宋体"/>
          <w:color w:val="auto"/>
          <w:sz w:val="22"/>
          <w:szCs w:val="22"/>
          <w:highlight w:val="none"/>
        </w:rPr>
        <w:t>本公司（企业）具备</w:t>
      </w:r>
      <w:r>
        <w:rPr>
          <w:rFonts w:hint="eastAsia" w:ascii="宋体" w:hAnsi="宋体"/>
          <w:bCs/>
          <w:color w:val="auto"/>
          <w:sz w:val="22"/>
          <w:szCs w:val="22"/>
          <w:highlight w:val="none"/>
        </w:rPr>
        <w:t>《中华人民共和国政府采购法》第二十二条资格条件，</w:t>
      </w:r>
      <w:r>
        <w:rPr>
          <w:rFonts w:hint="eastAsia" w:ascii="宋体" w:hAnsi="宋体"/>
          <w:color w:val="auto"/>
          <w:sz w:val="22"/>
          <w:szCs w:val="22"/>
          <w:highlight w:val="none"/>
        </w:rPr>
        <w:t>并已清楚采购文件的要求及有关文件规定。</w:t>
      </w:r>
    </w:p>
    <w:p>
      <w:pPr>
        <w:spacing w:line="360" w:lineRule="auto"/>
        <w:ind w:firstLine="440" w:firstLineChars="200"/>
        <w:rPr>
          <w:rFonts w:ascii="宋体" w:hAnsi="宋体" w:cs="宋体"/>
          <w:color w:val="auto"/>
          <w:sz w:val="22"/>
          <w:szCs w:val="22"/>
          <w:highlight w:val="none"/>
        </w:rPr>
      </w:pPr>
      <w:r>
        <w:rPr>
          <w:rFonts w:hint="eastAsia" w:ascii="宋体" w:hAnsi="宋体"/>
          <w:color w:val="auto"/>
          <w:sz w:val="22"/>
          <w:szCs w:val="22"/>
          <w:highlight w:val="none"/>
        </w:rPr>
        <w:t>本公司（企业）的法定代表人或单位负责人与所参投的本采购项目的其他供应商的法定代表人或单位负责人不为同一人且与其他供应商之间不存在直接控股、管理关系。</w:t>
      </w:r>
    </w:p>
    <w:p>
      <w:pPr>
        <w:snapToGrid w:val="0"/>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根据《中华人民共和国政府采购法实施条例》的规定，本公司（企业）如为本采购项目提供整体设计、规范编制或者项目管理、监理、检测等服务的供应商，不得再参加该采购项目的其他采购活动。否则，由此所造成的损失、不良后果及法律责任，一律由我公司（企业）承担。</w:t>
      </w:r>
    </w:p>
    <w:p>
      <w:pPr>
        <w:snapToGrid w:val="0"/>
        <w:spacing w:line="360" w:lineRule="auto"/>
        <w:ind w:firstLine="444" w:firstLineChars="202"/>
        <w:rPr>
          <w:rFonts w:ascii="宋体" w:hAnsi="宋体"/>
          <w:color w:val="auto"/>
          <w:sz w:val="22"/>
          <w:szCs w:val="22"/>
          <w:highlight w:val="none"/>
        </w:rPr>
      </w:pPr>
      <w:r>
        <w:rPr>
          <w:rFonts w:hint="eastAsia" w:ascii="宋体" w:hAnsi="宋体"/>
          <w:b/>
          <w:color w:val="auto"/>
          <w:sz w:val="22"/>
          <w:szCs w:val="22"/>
          <w:highlight w:val="none"/>
        </w:rPr>
        <w:t>本公司（企业）</w:t>
      </w:r>
      <w:r>
        <w:rPr>
          <w:rFonts w:ascii="宋体" w:hAnsi="宋体"/>
          <w:b/>
          <w:color w:val="auto"/>
          <w:sz w:val="22"/>
          <w:szCs w:val="22"/>
          <w:highlight w:val="none"/>
        </w:rPr>
        <w:t>具有履行合同所必需的设备和专业技术能力</w:t>
      </w:r>
      <w:r>
        <w:rPr>
          <w:rFonts w:hint="eastAsia" w:ascii="宋体" w:hAnsi="宋体"/>
          <w:b/>
          <w:color w:val="auto"/>
          <w:sz w:val="22"/>
          <w:szCs w:val="22"/>
          <w:highlight w:val="none"/>
        </w:rPr>
        <w:t>，且本公司（企业）参加政府采购活动前</w:t>
      </w:r>
      <w:r>
        <w:rPr>
          <w:rFonts w:ascii="宋体" w:hAnsi="宋体"/>
          <w:b/>
          <w:color w:val="auto"/>
          <w:sz w:val="22"/>
          <w:szCs w:val="22"/>
          <w:highlight w:val="none"/>
        </w:rPr>
        <w:t>3</w:t>
      </w:r>
      <w:r>
        <w:rPr>
          <w:rFonts w:hint="eastAsia" w:ascii="宋体" w:hAnsi="宋体"/>
          <w:b/>
          <w:color w:val="auto"/>
          <w:sz w:val="22"/>
          <w:szCs w:val="22"/>
          <w:highlight w:val="none"/>
        </w:rPr>
        <w:t>年内在经营活动中没有重大违法记录。</w:t>
      </w:r>
      <w:r>
        <w:rPr>
          <w:rFonts w:hint="eastAsia" w:ascii="宋体" w:hAnsi="宋体"/>
          <w:color w:val="auto"/>
          <w:sz w:val="22"/>
          <w:szCs w:val="22"/>
          <w:highlight w:val="none"/>
        </w:rPr>
        <w:t>否则，由此所造成的损失、不良后果及法律责任，一律由我公司（企业）承担。</w:t>
      </w:r>
    </w:p>
    <w:p>
      <w:pPr>
        <w:snapToGrid w:val="0"/>
        <w:spacing w:line="360" w:lineRule="auto"/>
        <w:ind w:firstLine="444" w:firstLineChars="202"/>
        <w:rPr>
          <w:rFonts w:ascii="宋体" w:hAnsi="宋体"/>
          <w:b/>
          <w:bCs/>
          <w:color w:val="auto"/>
          <w:sz w:val="22"/>
          <w:szCs w:val="22"/>
          <w:highlight w:val="none"/>
        </w:rPr>
      </w:pPr>
      <w:r>
        <w:rPr>
          <w:rFonts w:hint="eastAsia" w:ascii="宋体" w:hAnsi="宋体"/>
          <w:b/>
          <w:bCs/>
          <w:color w:val="auto"/>
          <w:sz w:val="22"/>
          <w:szCs w:val="22"/>
          <w:highlight w:val="none"/>
        </w:rPr>
        <w:t>本公司（企业）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否则，由此所造成的损失、不良后果及法律责任，一律由我公司（企业）承担。</w:t>
      </w:r>
    </w:p>
    <w:p>
      <w:pPr>
        <w:snapToGrid w:val="0"/>
        <w:spacing w:line="360" w:lineRule="auto"/>
        <w:ind w:firstLine="444" w:firstLineChars="202"/>
        <w:rPr>
          <w:rFonts w:ascii="宋体" w:hAnsi="宋体"/>
          <w:color w:val="auto"/>
          <w:sz w:val="22"/>
          <w:szCs w:val="22"/>
          <w:highlight w:val="none"/>
        </w:rPr>
      </w:pPr>
      <w:r>
        <w:rPr>
          <w:rFonts w:hint="eastAsia" w:ascii="宋体" w:hAnsi="宋体"/>
          <w:color w:val="auto"/>
          <w:sz w:val="22"/>
          <w:szCs w:val="22"/>
          <w:highlight w:val="none"/>
        </w:rPr>
        <w:t>本次招标采购活动中，如有违法、违规、弄虚作假行为，所造成的损失、不良后果及法律责任，一律由我公司（企业）承担。</w:t>
      </w:r>
    </w:p>
    <w:p>
      <w:pPr>
        <w:spacing w:line="360" w:lineRule="auto"/>
        <w:ind w:firstLine="420"/>
        <w:rPr>
          <w:rFonts w:ascii="宋体" w:hAnsi="宋体"/>
          <w:b/>
          <w:color w:val="auto"/>
          <w:sz w:val="22"/>
          <w:szCs w:val="22"/>
          <w:highlight w:val="none"/>
        </w:rPr>
      </w:pPr>
      <w:r>
        <w:rPr>
          <w:rFonts w:hint="eastAsia" w:ascii="宋体" w:hAnsi="宋体"/>
          <w:b/>
          <w:color w:val="auto"/>
          <w:sz w:val="22"/>
          <w:szCs w:val="22"/>
          <w:highlight w:val="none"/>
        </w:rPr>
        <w:t>特此声明！</w:t>
      </w:r>
    </w:p>
    <w:p>
      <w:pPr>
        <w:adjustRightInd w:val="0"/>
        <w:snapToGrid w:val="0"/>
        <w:spacing w:line="360" w:lineRule="auto"/>
        <w:ind w:left="425"/>
        <w:rPr>
          <w:rFonts w:ascii="宋体" w:hAnsi="宋体"/>
          <w:color w:val="auto"/>
          <w:spacing w:val="4"/>
          <w:sz w:val="22"/>
          <w:szCs w:val="22"/>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tabs>
          <w:tab w:val="left" w:pos="7480"/>
        </w:tabs>
        <w:autoSpaceDE w:val="0"/>
        <w:autoSpaceDN w:val="0"/>
        <w:adjustRightInd w:val="0"/>
        <w:spacing w:line="360" w:lineRule="exact"/>
        <w:rPr>
          <w:rFonts w:ascii="黑体" w:eastAsia="黑体"/>
          <w:color w:val="auto"/>
          <w:sz w:val="24"/>
          <w:highlight w:val="none"/>
        </w:rPr>
      </w:pPr>
    </w:p>
    <w:p>
      <w:pPr>
        <w:snapToGrid w:val="0"/>
        <w:spacing w:line="360" w:lineRule="auto"/>
        <w:rPr>
          <w:rFonts w:ascii="宋体" w:hAnsi="宋体"/>
          <w:b/>
          <w:color w:val="auto"/>
          <w:sz w:val="22"/>
          <w:szCs w:val="22"/>
          <w:highlight w:val="none"/>
          <w:u w:val="single"/>
        </w:rPr>
      </w:pPr>
      <w:r>
        <w:rPr>
          <w:rFonts w:hint="eastAsia" w:ascii="宋体" w:hAnsi="宋体"/>
          <w:b/>
          <w:color w:val="auto"/>
          <w:sz w:val="22"/>
          <w:szCs w:val="22"/>
          <w:highlight w:val="none"/>
          <w:u w:val="single"/>
        </w:rPr>
        <w:t>注：后附信用中国”网站(www.creditchina.gov.cn) 及中国政府采购网(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b/>
          <w:color w:val="auto"/>
          <w:highlight w:val="none"/>
          <w:u w:val="single"/>
        </w:rPr>
        <w:t>www.ccgp.gov.cn</w:t>
      </w:r>
      <w:r>
        <w:rPr>
          <w:rFonts w:hint="eastAsia" w:ascii="宋体" w:hAnsi="宋体"/>
          <w:b/>
          <w:color w:val="auto"/>
          <w:highlight w:val="none"/>
          <w:u w:val="single"/>
        </w:rPr>
        <w:fldChar w:fldCharType="end"/>
      </w:r>
      <w:r>
        <w:rPr>
          <w:rFonts w:hint="eastAsia" w:ascii="宋体" w:hAnsi="宋体"/>
          <w:b/>
          <w:color w:val="auto"/>
          <w:sz w:val="22"/>
          <w:szCs w:val="22"/>
          <w:highlight w:val="none"/>
          <w:u w:val="single"/>
        </w:rPr>
        <w:t>)，网上查询结果打印页。</w:t>
      </w:r>
    </w:p>
    <w:p>
      <w:pPr>
        <w:jc w:val="center"/>
        <w:rPr>
          <w:rFonts w:ascii="宋体" w:hAnsi="宋体" w:cs="宋体"/>
          <w:b/>
          <w:color w:val="auto"/>
          <w:sz w:val="32"/>
          <w:szCs w:val="32"/>
          <w:highlight w:val="none"/>
        </w:rPr>
      </w:pPr>
      <w:r>
        <w:rPr>
          <w:rFonts w:hint="eastAsia" w:ascii="宋体" w:hAnsi="宋体"/>
          <w:b/>
          <w:color w:val="auto"/>
          <w:sz w:val="28"/>
          <w:szCs w:val="28"/>
          <w:highlight w:val="none"/>
        </w:rPr>
        <w:br w:type="page"/>
      </w:r>
      <w:r>
        <w:rPr>
          <w:rFonts w:hint="eastAsia" w:ascii="宋体" w:hAnsi="宋体" w:cs="宋体"/>
          <w:b/>
          <w:color w:val="auto"/>
          <w:sz w:val="32"/>
          <w:szCs w:val="32"/>
          <w:highlight w:val="none"/>
        </w:rPr>
        <w:t>法定代表人身份证明</w:t>
      </w:r>
    </w:p>
    <w:p>
      <w:pPr>
        <w:spacing w:line="480" w:lineRule="auto"/>
        <w:jc w:val="center"/>
        <w:rPr>
          <w:rFonts w:ascii="宋体" w:hAnsi="宋体" w:cs="宋体"/>
          <w:b/>
          <w:color w:val="auto"/>
          <w:sz w:val="24"/>
          <w:highlight w:val="none"/>
        </w:rPr>
      </w:pPr>
      <w:r>
        <w:rPr>
          <w:rFonts w:hint="eastAsia" w:ascii="宋体" w:hAnsi="宋体" w:cs="宋体"/>
          <w:bCs/>
          <w:color w:val="auto"/>
          <w:sz w:val="24"/>
          <w:highlight w:val="none"/>
        </w:rPr>
        <w:t>（法定代表人不来投标的，此表不用）</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周岁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pPr>
        <w:spacing w:line="48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w:t>
      </w:r>
    </w:p>
    <w:p>
      <w:pPr>
        <w:spacing w:line="48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特此证明。</w:t>
      </w:r>
    </w:p>
    <w:p>
      <w:pPr>
        <w:spacing w:line="360" w:lineRule="auto"/>
        <w:ind w:firstLine="420" w:firstLineChars="200"/>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p>
    <w:p>
      <w:pPr>
        <w:wordWrap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pPr>
        <w:spacing w:line="360" w:lineRule="auto"/>
        <w:ind w:firstLine="4515" w:firstLineChars="2150"/>
        <w:rPr>
          <w:rFonts w:ascii="宋体" w:hAnsi="宋体" w:cs="宋体"/>
          <w:color w:val="auto"/>
          <w:szCs w:val="21"/>
          <w:highlight w:val="none"/>
          <w:u w:val="single"/>
        </w:rPr>
      </w:pPr>
    </w:p>
    <w:p>
      <w:pPr>
        <w:spacing w:line="360" w:lineRule="auto"/>
        <w:ind w:firstLine="3675" w:firstLineChars="175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360" w:lineRule="auto"/>
        <w:rPr>
          <w:rFonts w:ascii="宋体" w:hAnsi="宋体" w:cs="宋体"/>
          <w:color w:val="auto"/>
          <w:sz w:val="24"/>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附法定代表人身份证复印件（正反面）：</w:t>
      </w:r>
    </w:p>
    <w:p>
      <w:pPr>
        <w:rPr>
          <w:rFonts w:ascii="宋体" w:hAnsi="宋体" w:cs="宋体"/>
          <w:color w:val="auto"/>
          <w:highlight w:val="none"/>
        </w:rPr>
      </w:pPr>
    </w:p>
    <w:p>
      <w:pPr>
        <w:jc w:val="left"/>
        <w:rPr>
          <w:rFonts w:ascii="宋体" w:hAnsi="宋体" w:cs="宋体"/>
          <w:b/>
          <w:color w:val="auto"/>
          <w:sz w:val="32"/>
          <w:szCs w:val="32"/>
          <w:highlight w:val="none"/>
        </w:rPr>
      </w:pPr>
    </w:p>
    <w:p>
      <w:pPr>
        <w:jc w:val="left"/>
        <w:rPr>
          <w:rFonts w:ascii="宋体" w:hAnsi="宋体" w:cs="宋体"/>
          <w:b/>
          <w:color w:val="auto"/>
          <w:sz w:val="32"/>
          <w:szCs w:val="32"/>
          <w:highlight w:val="none"/>
        </w:rPr>
      </w:pPr>
    </w:p>
    <w:p>
      <w:pPr>
        <w:jc w:val="left"/>
        <w:rPr>
          <w:rFonts w:ascii="宋体" w:hAnsi="宋体" w:cs="宋体"/>
          <w:b/>
          <w:color w:val="auto"/>
          <w:sz w:val="32"/>
          <w:szCs w:val="32"/>
          <w:highlight w:val="none"/>
        </w:rPr>
      </w:pPr>
    </w:p>
    <w:p>
      <w:pPr>
        <w:jc w:val="center"/>
        <w:rPr>
          <w:rFonts w:ascii="宋体" w:hAnsi="宋体" w:cs="宋体"/>
          <w:b/>
          <w:color w:val="auto"/>
          <w:sz w:val="32"/>
          <w:szCs w:val="32"/>
          <w:highlight w:val="none"/>
        </w:rPr>
      </w:pP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pPr>
        <w:jc w:val="center"/>
        <w:rPr>
          <w:rFonts w:ascii="宋体" w:hAnsi="宋体" w:cs="宋体"/>
          <w:b/>
          <w:color w:val="auto"/>
          <w:sz w:val="32"/>
          <w:szCs w:val="32"/>
          <w:highlight w:val="none"/>
        </w:rPr>
      </w:pPr>
      <w:r>
        <w:rPr>
          <w:rFonts w:hint="eastAsia" w:ascii="宋体" w:hAnsi="宋体" w:cs="宋体"/>
          <w:bCs/>
          <w:color w:val="auto"/>
          <w:sz w:val="24"/>
          <w:highlight w:val="none"/>
        </w:rPr>
        <w:t>（法定代表人来投标的，此表不用）</w:t>
      </w:r>
    </w:p>
    <w:p>
      <w:pPr>
        <w:snapToGrid w:val="0"/>
        <w:spacing w:line="360" w:lineRule="auto"/>
        <w:rPr>
          <w:rFonts w:ascii="宋体" w:hAnsi="宋体" w:cs="宋体"/>
          <w:bCs/>
          <w:color w:val="auto"/>
          <w:sz w:val="24"/>
          <w:highlight w:val="none"/>
        </w:rPr>
      </w:pPr>
    </w:p>
    <w:p>
      <w:pPr>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（采购单位名称）</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w:t>
      </w:r>
    </w:p>
    <w:p>
      <w:pP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（投标人名称）的法定代表人，现授权委托本单位在职职工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（姓名）以我方的名义参加</w:t>
      </w:r>
      <w:r>
        <w:rPr>
          <w:rFonts w:hint="eastAsia" w:ascii="宋体" w:hAnsi="宋体" w:cs="宋体"/>
          <w:color w:val="auto"/>
          <w:szCs w:val="21"/>
          <w:highlight w:val="none"/>
          <w:u w:val="single"/>
        </w:rPr>
        <w:t xml:space="preserve">                       政府采购 </w:t>
      </w:r>
      <w:r>
        <w:rPr>
          <w:rFonts w:hint="eastAsia" w:ascii="宋体" w:hAnsi="宋体" w:cs="宋体"/>
          <w:color w:val="auto"/>
          <w:szCs w:val="21"/>
          <w:highlight w:val="none"/>
        </w:rPr>
        <w:t>项目的投标活动，并代表我方全权办理针对上述项目的投标、开标、评标、签约等具体事务和签署相关文件。</w:t>
      </w:r>
    </w:p>
    <w:p>
      <w:pP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我方对被授权人的签名事项负全部责任。</w:t>
      </w:r>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在撤销授权的书面通知以前，本授权书一直有效。被授权人在授权书有效期内签署的所有文件不因授权的撤销而失效。</w:t>
      </w:r>
    </w:p>
    <w:p>
      <w:pP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rPr>
      </w:pPr>
    </w:p>
    <w:p>
      <w:pP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被授权人签名：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法定代表人签名：</w:t>
      </w:r>
      <w:r>
        <w:rPr>
          <w:rFonts w:hint="eastAsia" w:ascii="宋体" w:hAnsi="宋体" w:cs="宋体"/>
          <w:color w:val="auto"/>
          <w:szCs w:val="21"/>
          <w:highlight w:val="none"/>
          <w:u w:val="single"/>
        </w:rPr>
        <w:t xml:space="preserve">          </w:t>
      </w:r>
    </w:p>
    <w:p>
      <w:pP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被授权人身份证号码：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pPr>
        <w:snapToGrid w:val="0"/>
        <w:spacing w:line="360" w:lineRule="auto"/>
        <w:rPr>
          <w:rFonts w:ascii="宋体" w:hAnsi="宋体" w:cs="宋体"/>
          <w:color w:val="auto"/>
          <w:szCs w:val="21"/>
          <w:highlight w:val="none"/>
        </w:rPr>
      </w:pPr>
    </w:p>
    <w:p>
      <w:pPr>
        <w:snapToGrid w:val="0"/>
        <w:spacing w:line="360" w:lineRule="auto"/>
        <w:ind w:firstLine="4830" w:firstLineChars="2300"/>
        <w:rPr>
          <w:rFonts w:ascii="宋体" w:hAnsi="宋体" w:cs="宋体"/>
          <w:color w:val="auto"/>
          <w:szCs w:val="21"/>
          <w:highlight w:val="none"/>
        </w:rPr>
      </w:pPr>
      <w:r>
        <w:rPr>
          <w:rFonts w:hint="eastAsia" w:ascii="宋体" w:hAnsi="宋体" w:cs="宋体"/>
          <w:color w:val="auto"/>
          <w:szCs w:val="21"/>
          <w:highlight w:val="none"/>
        </w:rPr>
        <w:t>投标人公章：</w:t>
      </w:r>
    </w:p>
    <w:p>
      <w:pPr>
        <w:snapToGrid w:val="0"/>
        <w:spacing w:line="360" w:lineRule="auto"/>
        <w:ind w:firstLine="4830" w:firstLineChars="2300"/>
        <w:rPr>
          <w:rFonts w:ascii="宋体" w:hAnsi="宋体" w:cs="宋体"/>
          <w:color w:val="auto"/>
          <w:szCs w:val="21"/>
          <w:highlight w:val="none"/>
        </w:rPr>
      </w:pPr>
    </w:p>
    <w:p>
      <w:pPr>
        <w:snapToGrid w:val="0"/>
        <w:spacing w:line="360" w:lineRule="auto"/>
        <w:jc w:val="center"/>
        <w:rPr>
          <w:rFonts w:ascii="宋体" w:hAnsi="宋体" w:cs="宋体"/>
          <w:color w:val="auto"/>
          <w:szCs w:val="21"/>
          <w:highlight w:val="none"/>
        </w:rPr>
      </w:pPr>
      <w:r>
        <w:rPr>
          <w:rFonts w:hint="eastAsia" w:ascii="宋体" w:hAnsi="宋体" w:cs="宋体"/>
          <w:color w:val="auto"/>
          <w:szCs w:val="21"/>
          <w:highlight w:val="none"/>
        </w:rPr>
        <w:t xml:space="preserve">                                        年    月    日</w:t>
      </w: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附：法定代表人身份证复印件（正反面）、授权代表身份证复印件（正反面）：</w:t>
      </w:r>
    </w:p>
    <w:p>
      <w:pPr>
        <w:jc w:val="center"/>
        <w:rPr>
          <w:b/>
          <w:color w:val="auto"/>
          <w:sz w:val="28"/>
          <w:szCs w:val="28"/>
          <w:highlight w:val="none"/>
        </w:rPr>
      </w:pPr>
      <w:r>
        <w:rPr>
          <w:rFonts w:hint="eastAsia" w:ascii="宋体" w:hAnsi="宋体"/>
          <w:b/>
          <w:color w:val="auto"/>
          <w:sz w:val="28"/>
          <w:szCs w:val="28"/>
          <w:highlight w:val="none"/>
        </w:rPr>
        <w:br w:type="page"/>
      </w:r>
      <w:r>
        <w:rPr>
          <w:rFonts w:hint="eastAsia"/>
          <w:b/>
          <w:color w:val="auto"/>
          <w:sz w:val="28"/>
          <w:szCs w:val="28"/>
          <w:highlight w:val="none"/>
        </w:rPr>
        <w:t>具备《中华人民共和国政府采购法》第二十二条规定的资格条件的承诺函</w:t>
      </w:r>
    </w:p>
    <w:p>
      <w:pPr>
        <w:jc w:val="center"/>
        <w:rPr>
          <w:b/>
          <w:color w:val="auto"/>
          <w:highlight w:val="none"/>
        </w:rPr>
      </w:pPr>
    </w:p>
    <w:p>
      <w:pPr>
        <w:spacing w:line="360" w:lineRule="auto"/>
        <w:rPr>
          <w:rFonts w:ascii="宋体" w:hAnsi="宋体"/>
          <w:bCs/>
          <w:color w:val="auto"/>
          <w:sz w:val="24"/>
          <w:highlight w:val="none"/>
        </w:rPr>
      </w:pPr>
    </w:p>
    <w:p>
      <w:pPr>
        <w:spacing w:line="360" w:lineRule="auto"/>
        <w:rPr>
          <w:rFonts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 xml:space="preserve">              </w:t>
      </w:r>
      <w:r>
        <w:rPr>
          <w:rFonts w:hint="eastAsia" w:ascii="宋体" w:hAnsi="宋体"/>
          <w:color w:val="auto"/>
          <w:sz w:val="24"/>
          <w:highlight w:val="none"/>
        </w:rPr>
        <w:t>（采购人名称）</w:t>
      </w:r>
    </w:p>
    <w:p>
      <w:pPr>
        <w:spacing w:line="360" w:lineRule="auto"/>
        <w:ind w:firstLine="480" w:firstLineChars="200"/>
        <w:rPr>
          <w:rFonts w:ascii="宋体" w:hAnsi="宋体"/>
          <w:color w:val="auto"/>
          <w:sz w:val="24"/>
          <w:highlight w:val="none"/>
        </w:rPr>
      </w:pPr>
    </w:p>
    <w:p>
      <w:pPr>
        <w:spacing w:line="480" w:lineRule="auto"/>
        <w:ind w:firstLine="480" w:firstLineChars="200"/>
        <w:rPr>
          <w:rFonts w:ascii="宋体" w:hAnsi="宋体"/>
          <w:color w:val="auto"/>
          <w:sz w:val="24"/>
          <w:highlight w:val="none"/>
        </w:rPr>
      </w:pPr>
      <w:r>
        <w:rPr>
          <w:rFonts w:hint="eastAsia" w:ascii="宋体" w:hAnsi="宋体"/>
          <w:color w:val="auto"/>
          <w:sz w:val="24"/>
          <w:highlight w:val="none"/>
        </w:rPr>
        <w:t>我单位</w:t>
      </w:r>
      <w:r>
        <w:rPr>
          <w:rFonts w:hint="eastAsia" w:ascii="宋体" w:hAnsi="宋体"/>
          <w:color w:val="auto"/>
          <w:sz w:val="24"/>
          <w:highlight w:val="none"/>
          <w:u w:val="single"/>
        </w:rPr>
        <w:t xml:space="preserve">                        </w:t>
      </w:r>
      <w:r>
        <w:rPr>
          <w:rFonts w:hint="eastAsia" w:ascii="宋体" w:hAnsi="宋体"/>
          <w:color w:val="auto"/>
          <w:sz w:val="24"/>
          <w:highlight w:val="none"/>
        </w:rPr>
        <w:t>（单位名称）承诺，完全具备《中华人民共和国政府采购法》第二十二条规定的资格条件：</w:t>
      </w:r>
    </w:p>
    <w:p>
      <w:pPr>
        <w:spacing w:line="480" w:lineRule="auto"/>
        <w:ind w:firstLine="480" w:firstLineChars="200"/>
        <w:rPr>
          <w:color w:val="auto"/>
          <w:sz w:val="24"/>
          <w:highlight w:val="none"/>
        </w:rPr>
      </w:pPr>
      <w:r>
        <w:rPr>
          <w:rFonts w:hint="eastAsia"/>
          <w:color w:val="auto"/>
          <w:sz w:val="24"/>
          <w:highlight w:val="none"/>
        </w:rPr>
        <w:t>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符合法律、行政法规规定的其他条件。</w:t>
      </w:r>
    </w:p>
    <w:p>
      <w:pPr>
        <w:spacing w:line="480" w:lineRule="auto"/>
        <w:ind w:firstLine="480" w:firstLineChars="200"/>
        <w:rPr>
          <w:color w:val="auto"/>
          <w:sz w:val="24"/>
          <w:highlight w:val="none"/>
        </w:rPr>
      </w:pPr>
      <w:r>
        <w:rPr>
          <w:rFonts w:hint="eastAsia"/>
          <w:color w:val="auto"/>
          <w:sz w:val="24"/>
          <w:highlight w:val="none"/>
        </w:rPr>
        <w:t>我单位对上述承诺的真实性负责。本次招标采购活动中，如有违法、违规、弄虚作假行为，所造成的损失、不良后果及法律责任，一律由我单位承担。</w:t>
      </w:r>
    </w:p>
    <w:p>
      <w:pPr>
        <w:spacing w:line="480" w:lineRule="auto"/>
        <w:ind w:firstLine="480" w:firstLineChars="200"/>
        <w:rPr>
          <w:b/>
          <w:bCs/>
          <w:color w:val="auto"/>
          <w:sz w:val="24"/>
          <w:highlight w:val="none"/>
        </w:rPr>
      </w:pPr>
      <w:r>
        <w:rPr>
          <w:rFonts w:hint="eastAsia"/>
          <w:b/>
          <w:bCs/>
          <w:color w:val="auto"/>
          <w:sz w:val="24"/>
          <w:highlight w:val="none"/>
        </w:rPr>
        <w:t>特此承诺！</w:t>
      </w:r>
    </w:p>
    <w:p>
      <w:pPr>
        <w:jc w:val="center"/>
        <w:rPr>
          <w:rFonts w:ascii="宋体" w:hAnsi="宋体"/>
          <w:b/>
          <w:color w:val="auto"/>
          <w:sz w:val="28"/>
          <w:szCs w:val="28"/>
          <w:highlight w:val="none"/>
        </w:rPr>
      </w:pPr>
    </w:p>
    <w:p>
      <w:pPr>
        <w:jc w:val="center"/>
        <w:rPr>
          <w:rFonts w:ascii="宋体" w:hAnsi="宋体"/>
          <w:b/>
          <w:color w:val="auto"/>
          <w:sz w:val="28"/>
          <w:szCs w:val="28"/>
          <w:highlight w:val="none"/>
        </w:rPr>
      </w:pPr>
    </w:p>
    <w:p>
      <w:pPr>
        <w:jc w:val="center"/>
        <w:rPr>
          <w:rFonts w:ascii="宋体" w:hAnsi="宋体"/>
          <w:b/>
          <w:color w:val="auto"/>
          <w:sz w:val="28"/>
          <w:szCs w:val="28"/>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jc w:val="center"/>
        <w:rPr>
          <w:b/>
          <w:color w:val="auto"/>
          <w:sz w:val="32"/>
          <w:szCs w:val="32"/>
          <w:highlight w:val="none"/>
        </w:rPr>
      </w:pPr>
      <w:r>
        <w:rPr>
          <w:rFonts w:hint="eastAsia" w:ascii="宋体" w:hAnsi="宋体"/>
          <w:b/>
          <w:color w:val="auto"/>
          <w:sz w:val="28"/>
          <w:szCs w:val="28"/>
          <w:highlight w:val="none"/>
        </w:rPr>
        <w:br w:type="page"/>
      </w:r>
      <w:r>
        <w:rPr>
          <w:rFonts w:hint="eastAsia"/>
          <w:b/>
          <w:color w:val="auto"/>
          <w:sz w:val="32"/>
          <w:szCs w:val="32"/>
          <w:highlight w:val="none"/>
        </w:rPr>
        <w:t>具备履行合同所需的设备和专业技术能力的声明</w:t>
      </w:r>
    </w:p>
    <w:p>
      <w:pPr>
        <w:rPr>
          <w:color w:val="auto"/>
          <w:highlight w:val="none"/>
        </w:rPr>
      </w:pPr>
    </w:p>
    <w:p>
      <w:pPr>
        <w:spacing w:line="360" w:lineRule="auto"/>
        <w:rPr>
          <w:color w:val="auto"/>
          <w:highlight w:val="none"/>
        </w:rPr>
      </w:pPr>
      <w:r>
        <w:rPr>
          <w:rFonts w:hint="eastAsia"/>
          <w:color w:val="auto"/>
          <w:highlight w:val="none"/>
        </w:rPr>
        <w:t xml:space="preserve"> </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我公司（单位）具备履行合同所需的设备和专业技术能力，具体情况介绍如下：</w:t>
      </w:r>
    </w:p>
    <w:p>
      <w:pPr>
        <w:spacing w:line="360" w:lineRule="auto"/>
        <w:rPr>
          <w:rFonts w:ascii="宋体" w:hAnsi="宋体"/>
          <w:color w:val="auto"/>
          <w:sz w:val="22"/>
          <w:szCs w:val="22"/>
          <w:highlight w:val="none"/>
        </w:rPr>
      </w:pPr>
      <w:r>
        <w:rPr>
          <w:rFonts w:hint="eastAsia" w:ascii="宋体" w:hAnsi="宋体"/>
          <w:color w:val="auto"/>
          <w:sz w:val="22"/>
          <w:szCs w:val="22"/>
          <w:highlight w:val="none"/>
        </w:rPr>
        <w:t xml:space="preserve">        （内容包括：主要设备、专业技术人员、公司资质（格）等）                                          </w:t>
      </w:r>
    </w:p>
    <w:p>
      <w:pPr>
        <w:spacing w:line="360" w:lineRule="auto"/>
        <w:rPr>
          <w:rFonts w:ascii="宋体" w:hAnsi="宋体"/>
          <w:color w:val="auto"/>
          <w:sz w:val="22"/>
          <w:szCs w:val="22"/>
          <w:highlight w:val="none"/>
        </w:rPr>
      </w:pPr>
      <w:r>
        <w:rPr>
          <w:rFonts w:hint="eastAsia" w:ascii="宋体" w:hAnsi="宋体"/>
          <w:color w:val="auto"/>
          <w:sz w:val="22"/>
          <w:szCs w:val="22"/>
          <w:highlight w:val="none"/>
        </w:rPr>
        <w:t xml:space="preserve">                                                                            </w:t>
      </w:r>
    </w:p>
    <w:p>
      <w:pPr>
        <w:spacing w:line="360" w:lineRule="auto"/>
        <w:rPr>
          <w:rFonts w:ascii="宋体" w:hAnsi="宋体"/>
          <w:color w:val="auto"/>
          <w:sz w:val="22"/>
          <w:szCs w:val="22"/>
          <w:highlight w:val="none"/>
        </w:rPr>
      </w:pPr>
      <w:r>
        <w:rPr>
          <w:rFonts w:ascii="宋体" w:hAnsi="宋体"/>
          <w:color w:val="auto"/>
          <w:sz w:val="22"/>
          <w:szCs w:val="22"/>
          <w:highlight w:val="none"/>
        </w:rPr>
        <w:t>……</w:t>
      </w:r>
      <w:r>
        <w:rPr>
          <w:rFonts w:hint="eastAsia" w:ascii="宋体" w:hAnsi="宋体"/>
          <w:color w:val="auto"/>
          <w:sz w:val="22"/>
          <w:szCs w:val="22"/>
          <w:highlight w:val="none"/>
        </w:rPr>
        <w:t>..</w:t>
      </w:r>
    </w:p>
    <w:p>
      <w:pPr>
        <w:spacing w:line="360" w:lineRule="auto"/>
        <w:rPr>
          <w:rFonts w:ascii="宋体" w:hAnsi="宋体"/>
          <w:color w:val="auto"/>
          <w:sz w:val="22"/>
          <w:szCs w:val="22"/>
          <w:highlight w:val="none"/>
        </w:rPr>
      </w:pPr>
      <w:r>
        <w:rPr>
          <w:rFonts w:hint="eastAsia" w:ascii="宋体" w:hAnsi="宋体"/>
          <w:color w:val="auto"/>
          <w:sz w:val="22"/>
          <w:szCs w:val="22"/>
          <w:highlight w:val="none"/>
        </w:rPr>
        <w:t xml:space="preserve">     特此承诺。</w:t>
      </w:r>
    </w:p>
    <w:p>
      <w:pPr>
        <w:tabs>
          <w:tab w:val="left" w:pos="7480"/>
        </w:tabs>
        <w:autoSpaceDE w:val="0"/>
        <w:autoSpaceDN w:val="0"/>
        <w:adjustRightInd w:val="0"/>
        <w:spacing w:line="360" w:lineRule="exact"/>
        <w:rPr>
          <w:rFonts w:ascii="宋体" w:hAnsi="宋体"/>
          <w:color w:val="auto"/>
          <w:sz w:val="22"/>
          <w:szCs w:val="22"/>
          <w:highlight w:val="none"/>
        </w:rPr>
      </w:pPr>
    </w:p>
    <w:p>
      <w:pPr>
        <w:tabs>
          <w:tab w:val="left" w:pos="7480"/>
        </w:tabs>
        <w:autoSpaceDE w:val="0"/>
        <w:autoSpaceDN w:val="0"/>
        <w:adjustRightInd w:val="0"/>
        <w:spacing w:line="360" w:lineRule="exact"/>
        <w:rPr>
          <w:rFonts w:ascii="宋体" w:hAnsi="宋体"/>
          <w:color w:val="auto"/>
          <w:sz w:val="22"/>
          <w:szCs w:val="22"/>
          <w:highlight w:val="none"/>
        </w:rPr>
      </w:pPr>
    </w:p>
    <w:p>
      <w:pPr>
        <w:tabs>
          <w:tab w:val="left" w:pos="7480"/>
        </w:tabs>
        <w:autoSpaceDE w:val="0"/>
        <w:autoSpaceDN w:val="0"/>
        <w:adjustRightInd w:val="0"/>
        <w:spacing w:line="360" w:lineRule="exact"/>
        <w:rPr>
          <w:rFonts w:ascii="宋体" w:hAnsi="宋体"/>
          <w:color w:val="auto"/>
          <w:sz w:val="22"/>
          <w:szCs w:val="22"/>
          <w:highlight w:val="none"/>
        </w:rPr>
      </w:pPr>
    </w:p>
    <w:p>
      <w:pPr>
        <w:tabs>
          <w:tab w:val="left" w:pos="7480"/>
        </w:tabs>
        <w:autoSpaceDE w:val="0"/>
        <w:autoSpaceDN w:val="0"/>
        <w:adjustRightInd w:val="0"/>
        <w:spacing w:line="360" w:lineRule="exact"/>
        <w:rPr>
          <w:rFonts w:ascii="宋体" w:hAnsi="宋体"/>
          <w:color w:val="auto"/>
          <w:sz w:val="22"/>
          <w:szCs w:val="22"/>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r>
        <w:rPr>
          <w:rFonts w:ascii="黑体" w:eastAsia="黑体"/>
          <w:color w:val="auto"/>
          <w:sz w:val="24"/>
          <w:highlight w:val="none"/>
        </w:rPr>
        <w:drawing>
          <wp:inline distT="0" distB="0" distL="114300" distR="114300">
            <wp:extent cx="5934075" cy="72771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934075" cy="7277100"/>
                    </a:xfrm>
                    <a:prstGeom prst="rect">
                      <a:avLst/>
                    </a:prstGeom>
                    <a:noFill/>
                    <a:ln>
                      <a:noFill/>
                    </a:ln>
                  </pic:spPr>
                </pic:pic>
              </a:graphicData>
            </a:graphic>
          </wp:inline>
        </w:drawing>
      </w: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tabs>
          <w:tab w:val="left" w:pos="7480"/>
        </w:tabs>
        <w:autoSpaceDE w:val="0"/>
        <w:autoSpaceDN w:val="0"/>
        <w:adjustRightInd w:val="0"/>
        <w:spacing w:line="360" w:lineRule="exact"/>
        <w:rPr>
          <w:rFonts w:ascii="黑体" w:eastAsia="黑体"/>
          <w:color w:val="auto"/>
          <w:sz w:val="24"/>
          <w:highlight w:val="none"/>
        </w:rPr>
      </w:pPr>
    </w:p>
    <w:p>
      <w:pPr>
        <w:jc w:val="center"/>
        <w:rPr>
          <w:b/>
          <w:color w:val="auto"/>
          <w:sz w:val="32"/>
          <w:szCs w:val="32"/>
          <w:highlight w:val="none"/>
        </w:rPr>
      </w:pPr>
      <w:r>
        <w:rPr>
          <w:rFonts w:hint="eastAsia"/>
          <w:b/>
          <w:color w:val="auto"/>
          <w:sz w:val="32"/>
          <w:szCs w:val="32"/>
          <w:highlight w:val="none"/>
        </w:rPr>
        <w:t>近三年在政府采购活动中无重大违法记录的声明</w:t>
      </w:r>
    </w:p>
    <w:p>
      <w:pPr>
        <w:rPr>
          <w:color w:val="auto"/>
          <w:highlight w:val="none"/>
        </w:rPr>
      </w:pPr>
    </w:p>
    <w:p>
      <w:pPr>
        <w:rPr>
          <w:color w:val="auto"/>
          <w:highlight w:val="none"/>
        </w:rPr>
      </w:pPr>
    </w:p>
    <w:p>
      <w:pPr>
        <w:spacing w:line="360" w:lineRule="auto"/>
        <w:rPr>
          <w:color w:val="auto"/>
          <w:sz w:val="22"/>
          <w:szCs w:val="22"/>
          <w:highlight w:val="none"/>
        </w:rPr>
      </w:pPr>
      <w:r>
        <w:rPr>
          <w:rFonts w:hint="eastAsia"/>
          <w:color w:val="auto"/>
          <w:highlight w:val="none"/>
        </w:rPr>
        <w:t xml:space="preserve">    </w:t>
      </w:r>
      <w:r>
        <w:rPr>
          <w:rFonts w:hint="eastAsia"/>
          <w:color w:val="auto"/>
          <w:sz w:val="22"/>
          <w:szCs w:val="22"/>
          <w:highlight w:val="none"/>
        </w:rPr>
        <w:t xml:space="preserve"> 参加本项目政府采购活动前三年内，在经营活动中没有重大违法记录，特此声明。</w:t>
      </w:r>
    </w:p>
    <w:p>
      <w:pPr>
        <w:spacing w:line="360" w:lineRule="auto"/>
        <w:rPr>
          <w:color w:val="auto"/>
          <w:sz w:val="22"/>
          <w:szCs w:val="22"/>
          <w:highlight w:val="none"/>
        </w:rPr>
      </w:pPr>
    </w:p>
    <w:p>
      <w:pPr>
        <w:tabs>
          <w:tab w:val="left" w:pos="7480"/>
        </w:tabs>
        <w:autoSpaceDE w:val="0"/>
        <w:autoSpaceDN w:val="0"/>
        <w:adjustRightInd w:val="0"/>
        <w:spacing w:line="360" w:lineRule="exact"/>
        <w:rPr>
          <w:rFonts w:ascii="黑体" w:eastAsia="黑体"/>
          <w:color w:val="auto"/>
          <w:sz w:val="22"/>
          <w:szCs w:val="22"/>
          <w:highlight w:val="none"/>
        </w:rPr>
      </w:pPr>
    </w:p>
    <w:p>
      <w:pPr>
        <w:tabs>
          <w:tab w:val="left" w:pos="7480"/>
        </w:tabs>
        <w:autoSpaceDE w:val="0"/>
        <w:autoSpaceDN w:val="0"/>
        <w:adjustRightInd w:val="0"/>
        <w:spacing w:line="360" w:lineRule="exact"/>
        <w:rPr>
          <w:rFonts w:ascii="黑体" w:eastAsia="黑体"/>
          <w:color w:val="auto"/>
          <w:sz w:val="22"/>
          <w:szCs w:val="22"/>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tabs>
          <w:tab w:val="left" w:pos="7480"/>
        </w:tabs>
        <w:autoSpaceDE w:val="0"/>
        <w:autoSpaceDN w:val="0"/>
        <w:adjustRightInd w:val="0"/>
        <w:spacing w:line="360" w:lineRule="exact"/>
        <w:rPr>
          <w:rFonts w:ascii="黑体" w:eastAsia="黑体"/>
          <w:color w:val="auto"/>
          <w:sz w:val="24"/>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ascii="宋体" w:hAnsi="宋体" w:cs="宋体"/>
          <w:b/>
          <w:color w:val="auto"/>
          <w:highlight w:val="none"/>
        </w:rPr>
      </w:pPr>
      <w:r>
        <w:rPr>
          <w:rFonts w:hint="eastAsia" w:ascii="宋体" w:hAnsi="宋体"/>
          <w:b/>
          <w:color w:val="auto"/>
          <w:sz w:val="28"/>
          <w:szCs w:val="28"/>
          <w:highlight w:val="none"/>
        </w:rPr>
        <w:br w:type="page"/>
      </w:r>
      <w:r>
        <w:rPr>
          <w:rFonts w:hint="eastAsia" w:ascii="宋体" w:hAnsi="宋体" w:cs="宋体"/>
          <w:b/>
          <w:color w:val="auto"/>
          <w:highlight w:val="none"/>
        </w:rPr>
        <w:t>投标承诺函</w:t>
      </w:r>
    </w:p>
    <w:p>
      <w:pPr>
        <w:pStyle w:val="198"/>
        <w:spacing w:line="336" w:lineRule="auto"/>
        <w:ind w:right="84" w:rightChars="40"/>
        <w:rPr>
          <w:rFonts w:ascii="宋体" w:hAnsi="宋体" w:cs="宋体"/>
          <w:color w:val="auto"/>
          <w:sz w:val="24"/>
          <w:szCs w:val="24"/>
          <w:highlight w:val="none"/>
        </w:rPr>
      </w:pPr>
    </w:p>
    <w:p>
      <w:pPr>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（采购单位名称）：</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我方确认收到贵方提供的</w:t>
      </w:r>
      <w:bookmarkStart w:id="58" w:name="xmmc"/>
      <w:r>
        <w:rPr>
          <w:rFonts w:hint="eastAsia" w:ascii="宋体" w:hAnsi="宋体" w:cs="宋体"/>
          <w:color w:val="auto"/>
          <w:highlight w:val="none"/>
          <w:u w:val="single"/>
        </w:rPr>
        <w:t xml:space="preserve">                    </w:t>
      </w:r>
      <w:r>
        <w:rPr>
          <w:rFonts w:hint="eastAsia" w:ascii="宋体" w:hAnsi="宋体" w:cs="宋体"/>
          <w:color w:val="auto"/>
          <w:highlight w:val="none"/>
        </w:rPr>
        <w:t>项目</w:t>
      </w:r>
      <w:bookmarkEnd w:id="58"/>
      <w:r>
        <w:rPr>
          <w:rFonts w:hint="eastAsia" w:ascii="宋体" w:hAnsi="宋体" w:cs="宋体"/>
          <w:color w:val="auto"/>
          <w:highlight w:val="none"/>
        </w:rPr>
        <w:t>（采购编号：</w:t>
      </w:r>
      <w:r>
        <w:rPr>
          <w:rFonts w:hint="eastAsia" w:ascii="宋体" w:hAnsi="宋体" w:cs="宋体"/>
          <w:color w:val="auto"/>
          <w:highlight w:val="none"/>
          <w:u w:val="single"/>
        </w:rPr>
        <w:t xml:space="preserve">             </w:t>
      </w:r>
      <w:r>
        <w:rPr>
          <w:rFonts w:hint="eastAsia" w:ascii="宋体" w:hAnsi="宋体" w:cs="宋体"/>
          <w:color w:val="auto"/>
          <w:highlight w:val="none"/>
        </w:rPr>
        <w:t>）的采购文件，已完全理解采购文件的所有内容。决定投标本项目，据此我方承诺如下：</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1、我方的投标文件在投标截止日后90天（日历天）内保持有效，如中标，有效期将延至本项目执行期满日为止。</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我方在参与投标前已仔细研究了采购文件和所有相关资料，我方完全明白并认为此采购文件没有倾向性，也没有存在排斥潜在投标人的内容，我方同意采购文件的相关条款，放弃对采购文件提出误解和质疑的一切权利。</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3、我方声明投标文件及所提供的一切资料均真实无误及有效。由于我方提供资料不实而造成的责任和后果由我方承担。我方同意按照贵方可能提出的要求，提供与投标有关的任何其它数据或信息。</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4、我方如果中标，保证履行投标文件中承诺的全部责任和义务，采购合同中的全部条款。</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5、我方理解贵方不一定接受最低报价的投标。</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6、我方同意如在本项目开标后、投标有效期之内撤销投标文件，或中标后未在规定期限内签订合同并送贵方备案的，贵方将不退还投标保证金（如有）。</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我方保证，采购人在中华人民共和国境内使用我方报价货物、资料、技术、服务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ind w:firstLine="5880" w:firstLineChars="2800"/>
        <w:rPr>
          <w:rFonts w:ascii="宋体" w:hAnsi="宋体" w:cs="宋体"/>
          <w:color w:val="auto"/>
          <w:highlight w:val="none"/>
        </w:rPr>
      </w:pPr>
      <w:r>
        <w:rPr>
          <w:rFonts w:hint="eastAsia" w:ascii="宋体" w:hAnsi="宋体" w:cs="宋体"/>
          <w:color w:val="auto"/>
          <w:highlight w:val="none"/>
        </w:rPr>
        <w:t xml:space="preserve">  </w:t>
      </w:r>
    </w:p>
    <w:p>
      <w:pPr>
        <w:keepNext w:val="0"/>
        <w:keepLines w:val="0"/>
        <w:pageBreakBefore w:val="0"/>
        <w:widowControl w:val="0"/>
        <w:kinsoku/>
        <w:wordWrap/>
        <w:overflowPunct/>
        <w:topLinePunct w:val="0"/>
        <w:autoSpaceDE/>
        <w:autoSpaceDN/>
        <w:bidi w:val="0"/>
        <w:adjustRightInd/>
        <w:snapToGrid/>
        <w:jc w:val="center"/>
        <w:textAlignment w:val="auto"/>
        <w:outlineLvl w:val="2"/>
        <w:rPr>
          <w:rFonts w:ascii="宋体" w:hAnsi="宋体" w:cs="宋体"/>
          <w:b/>
          <w:color w:val="auto"/>
          <w:highlight w:val="none"/>
        </w:rPr>
      </w:pPr>
      <w:r>
        <w:rPr>
          <w:rFonts w:hint="eastAsia" w:ascii="宋体" w:hAnsi="宋体"/>
          <w:b/>
          <w:color w:val="auto"/>
          <w:sz w:val="28"/>
          <w:szCs w:val="28"/>
          <w:highlight w:val="none"/>
        </w:rPr>
        <w:br w:type="page"/>
      </w:r>
      <w:r>
        <w:rPr>
          <w:rFonts w:hint="eastAsia" w:ascii="宋体" w:hAnsi="宋体" w:cs="宋体"/>
          <w:b/>
          <w:color w:val="auto"/>
          <w:highlight w:val="none"/>
        </w:rPr>
        <w:t>符合性自查表</w:t>
      </w:r>
    </w:p>
    <w:p>
      <w:pPr>
        <w:jc w:val="center"/>
        <w:rPr>
          <w:rFonts w:ascii="宋体" w:hAnsi="宋体" w:cs="宋体"/>
          <w:b/>
          <w:color w:val="auto"/>
          <w:highlight w:val="none"/>
        </w:rPr>
      </w:pPr>
    </w:p>
    <w:tbl>
      <w:tblPr>
        <w:tblStyle w:val="50"/>
        <w:tblW w:w="0" w:type="auto"/>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932"/>
        <w:gridCol w:w="4748"/>
        <w:gridCol w:w="1427"/>
        <w:gridCol w:w="2937"/>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547" w:hRule="atLeast"/>
          <w:jc w:val="center"/>
        </w:trPr>
        <w:tc>
          <w:tcPr>
            <w:tcW w:w="932" w:type="dxa"/>
            <w:tcBorders>
              <w:top w:val="single" w:color="auto" w:sz="12" w:space="0"/>
              <w:left w:val="single" w:color="auto" w:sz="12" w:space="0"/>
              <w:bottom w:val="outset" w:color="111111" w:sz="6" w:space="0"/>
              <w:right w:val="outset" w:color="111111" w:sz="6" w:space="0"/>
            </w:tcBorders>
            <w:vAlign w:val="center"/>
          </w:tcPr>
          <w:p>
            <w:pPr>
              <w:spacing w:line="240" w:lineRule="exact"/>
              <w:jc w:val="center"/>
              <w:rPr>
                <w:rFonts w:ascii="宋体" w:hAnsi="宋体" w:cs="宋体"/>
                <w:color w:val="auto"/>
                <w:highlight w:val="none"/>
              </w:rPr>
            </w:pPr>
            <w:r>
              <w:rPr>
                <w:rFonts w:hint="eastAsia" w:ascii="宋体" w:hAnsi="宋体" w:cs="宋体"/>
                <w:color w:val="auto"/>
                <w:highlight w:val="none"/>
              </w:rPr>
              <w:t>评审内容</w:t>
            </w:r>
          </w:p>
        </w:tc>
        <w:tc>
          <w:tcPr>
            <w:tcW w:w="4748" w:type="dxa"/>
            <w:tcBorders>
              <w:top w:val="single" w:color="auto" w:sz="12" w:space="0"/>
              <w:left w:val="outset" w:color="111111" w:sz="6" w:space="0"/>
              <w:bottom w:val="outset" w:color="111111" w:sz="6" w:space="0"/>
              <w:right w:val="outset" w:color="111111" w:sz="6" w:space="0"/>
            </w:tcBorders>
            <w:vAlign w:val="center"/>
          </w:tcPr>
          <w:p>
            <w:pPr>
              <w:spacing w:line="240" w:lineRule="exact"/>
              <w:jc w:val="center"/>
              <w:rPr>
                <w:rFonts w:ascii="宋体" w:hAnsi="宋体" w:cs="宋体"/>
                <w:color w:val="auto"/>
                <w:highlight w:val="none"/>
              </w:rPr>
            </w:pPr>
            <w:r>
              <w:rPr>
                <w:rFonts w:hint="eastAsia" w:ascii="宋体" w:hAnsi="宋体" w:cs="宋体"/>
                <w:color w:val="auto"/>
                <w:highlight w:val="none"/>
              </w:rPr>
              <w:t>采购文件要求</w:t>
            </w:r>
          </w:p>
        </w:tc>
        <w:tc>
          <w:tcPr>
            <w:tcW w:w="1427" w:type="dxa"/>
            <w:tcBorders>
              <w:top w:val="single" w:color="auto" w:sz="12" w:space="0"/>
              <w:left w:val="outset" w:color="111111" w:sz="6" w:space="0"/>
              <w:bottom w:val="outset" w:color="111111" w:sz="6" w:space="0"/>
              <w:right w:val="outset" w:color="111111" w:sz="6" w:space="0"/>
            </w:tcBorders>
            <w:vAlign w:val="center"/>
          </w:tcPr>
          <w:p>
            <w:pPr>
              <w:spacing w:line="240" w:lineRule="exact"/>
              <w:jc w:val="center"/>
              <w:rPr>
                <w:rFonts w:ascii="宋体" w:hAnsi="宋体" w:cs="宋体"/>
                <w:color w:val="auto"/>
                <w:highlight w:val="none"/>
              </w:rPr>
            </w:pPr>
            <w:r>
              <w:rPr>
                <w:rFonts w:hint="eastAsia" w:ascii="宋体" w:hAnsi="宋体" w:cs="宋体"/>
                <w:color w:val="auto"/>
                <w:highlight w:val="none"/>
              </w:rPr>
              <w:t>自查结论</w:t>
            </w:r>
          </w:p>
        </w:tc>
        <w:tc>
          <w:tcPr>
            <w:tcW w:w="2937" w:type="dxa"/>
            <w:tcBorders>
              <w:top w:val="single" w:color="auto" w:sz="12" w:space="0"/>
              <w:left w:val="outset" w:color="111111" w:sz="6" w:space="0"/>
              <w:bottom w:val="outset" w:color="111111" w:sz="6" w:space="0"/>
              <w:right w:val="single" w:color="auto" w:sz="12" w:space="0"/>
            </w:tcBorders>
            <w:vAlign w:val="center"/>
          </w:tcPr>
          <w:p>
            <w:pPr>
              <w:spacing w:line="240" w:lineRule="exact"/>
              <w:jc w:val="center"/>
              <w:rPr>
                <w:rFonts w:ascii="宋体" w:hAnsi="宋体" w:cs="宋体"/>
                <w:color w:val="auto"/>
                <w:highlight w:val="none"/>
              </w:rPr>
            </w:pPr>
            <w:r>
              <w:rPr>
                <w:rFonts w:hint="eastAsia" w:ascii="宋体" w:hAnsi="宋体" w:cs="宋体"/>
                <w:color w:val="auto"/>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932" w:type="dxa"/>
            <w:vMerge w:val="restart"/>
            <w:tcBorders>
              <w:top w:val="outset" w:color="111111" w:sz="6" w:space="0"/>
              <w:left w:val="single" w:color="auto" w:sz="12" w:space="0"/>
              <w:bottom w:val="single" w:color="111111" w:sz="4" w:space="0"/>
              <w:right w:val="single" w:color="111111" w:sz="4" w:space="0"/>
            </w:tcBorders>
            <w:vAlign w:val="center"/>
          </w:tcPr>
          <w:p>
            <w:pPr>
              <w:spacing w:line="240" w:lineRule="exact"/>
              <w:jc w:val="center"/>
              <w:rPr>
                <w:rFonts w:ascii="宋体" w:hAnsi="宋体" w:cs="宋体"/>
                <w:color w:val="auto"/>
                <w:highlight w:val="none"/>
              </w:rPr>
            </w:pPr>
            <w:r>
              <w:rPr>
                <w:rFonts w:hint="eastAsia" w:ascii="宋体" w:hAnsi="宋体" w:cs="宋体"/>
                <w:color w:val="auto"/>
                <w:highlight w:val="none"/>
              </w:rPr>
              <w:t>符</w:t>
            </w:r>
          </w:p>
          <w:p>
            <w:pPr>
              <w:spacing w:line="240" w:lineRule="exact"/>
              <w:jc w:val="center"/>
              <w:rPr>
                <w:rFonts w:ascii="宋体" w:hAnsi="宋体" w:cs="宋体"/>
                <w:color w:val="auto"/>
                <w:highlight w:val="none"/>
              </w:rPr>
            </w:pPr>
            <w:r>
              <w:rPr>
                <w:rFonts w:hint="eastAsia" w:ascii="宋体" w:hAnsi="宋体" w:cs="宋体"/>
                <w:color w:val="auto"/>
                <w:highlight w:val="none"/>
              </w:rPr>
              <w:t>合</w:t>
            </w:r>
          </w:p>
          <w:p>
            <w:pPr>
              <w:spacing w:line="240" w:lineRule="exact"/>
              <w:jc w:val="center"/>
              <w:rPr>
                <w:rFonts w:ascii="宋体" w:hAnsi="宋体" w:cs="宋体"/>
                <w:color w:val="auto"/>
                <w:highlight w:val="none"/>
              </w:rPr>
            </w:pPr>
            <w:r>
              <w:rPr>
                <w:rFonts w:hint="eastAsia" w:ascii="宋体" w:hAnsi="宋体" w:cs="宋体"/>
                <w:color w:val="auto"/>
                <w:highlight w:val="none"/>
              </w:rPr>
              <w:t>性</w:t>
            </w:r>
          </w:p>
          <w:p>
            <w:pPr>
              <w:spacing w:line="240" w:lineRule="exact"/>
              <w:jc w:val="center"/>
              <w:rPr>
                <w:rFonts w:ascii="宋体" w:hAnsi="宋体" w:cs="宋体"/>
                <w:color w:val="auto"/>
                <w:highlight w:val="none"/>
              </w:rPr>
            </w:pPr>
            <w:r>
              <w:rPr>
                <w:rFonts w:hint="eastAsia" w:ascii="宋体" w:hAnsi="宋体" w:cs="宋体"/>
                <w:color w:val="auto"/>
                <w:highlight w:val="none"/>
              </w:rPr>
              <w:t>审</w:t>
            </w:r>
          </w:p>
          <w:p>
            <w:pPr>
              <w:spacing w:line="240" w:lineRule="exact"/>
              <w:jc w:val="center"/>
              <w:rPr>
                <w:rFonts w:ascii="宋体" w:hAnsi="宋体" w:cs="宋体"/>
                <w:color w:val="auto"/>
                <w:highlight w:val="none"/>
              </w:rPr>
            </w:pPr>
            <w:r>
              <w:rPr>
                <w:rFonts w:hint="eastAsia" w:ascii="宋体" w:hAnsi="宋体" w:cs="宋体"/>
                <w:color w:val="auto"/>
                <w:highlight w:val="none"/>
              </w:rPr>
              <w:t>查</w:t>
            </w:r>
          </w:p>
        </w:tc>
        <w:tc>
          <w:tcPr>
            <w:tcW w:w="4748" w:type="dxa"/>
            <w:tcBorders>
              <w:top w:val="outset" w:color="111111" w:sz="6"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1、投标人承诺函</w:t>
            </w:r>
          </w:p>
        </w:tc>
        <w:tc>
          <w:tcPr>
            <w:tcW w:w="1427" w:type="dxa"/>
            <w:tcBorders>
              <w:top w:val="outset" w:color="111111" w:sz="6"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 xml:space="preserve">□通过 </w:t>
            </w:r>
          </w:p>
          <w:p>
            <w:pPr>
              <w:spacing w:line="240" w:lineRule="exact"/>
              <w:rPr>
                <w:rFonts w:ascii="宋体" w:hAnsi="宋体" w:cs="宋体"/>
                <w:color w:val="auto"/>
                <w:highlight w:val="none"/>
              </w:rPr>
            </w:pPr>
            <w:r>
              <w:rPr>
                <w:rFonts w:hint="eastAsia" w:ascii="宋体" w:hAnsi="宋体" w:cs="宋体"/>
                <w:color w:val="auto"/>
                <w:highlight w:val="none"/>
              </w:rPr>
              <w:t>□不通过</w:t>
            </w:r>
          </w:p>
        </w:tc>
        <w:tc>
          <w:tcPr>
            <w:tcW w:w="2937" w:type="dxa"/>
            <w:tcBorders>
              <w:top w:val="outset" w:color="111111" w:sz="6" w:space="0"/>
              <w:left w:val="single" w:color="111111" w:sz="4" w:space="0"/>
              <w:bottom w:val="single" w:color="111111" w:sz="4" w:space="0"/>
              <w:right w:val="single" w:color="auto" w:sz="12" w:space="0"/>
            </w:tcBorders>
            <w:vAlign w:val="center"/>
          </w:tcPr>
          <w:p>
            <w:pPr>
              <w:spacing w:line="240" w:lineRule="exact"/>
              <w:rPr>
                <w:rFonts w:ascii="宋体" w:hAnsi="宋体" w:cs="宋体"/>
                <w:color w:val="auto"/>
                <w:highlight w:val="none"/>
              </w:rPr>
            </w:pP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543"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color w:val="auto"/>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2、投标文件完全满足采购文件的实质性条款（即标注▲号条款）无负偏离的；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 xml:space="preserve">□通过 </w:t>
            </w:r>
          </w:p>
          <w:p>
            <w:pPr>
              <w:spacing w:line="240" w:lineRule="exact"/>
              <w:rPr>
                <w:rFonts w:ascii="宋体" w:hAnsi="宋体" w:cs="宋体"/>
                <w:color w:val="auto"/>
                <w:highlight w:val="none"/>
              </w:rPr>
            </w:pPr>
            <w:r>
              <w:rPr>
                <w:rFonts w:hint="eastAsia" w:ascii="宋体" w:hAnsi="宋体" w:cs="宋体"/>
                <w:color w:val="auto"/>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669"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color w:val="auto"/>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3、法定代表人证明书/法定代表人授权委托书。</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 xml:space="preserve">□通过 </w:t>
            </w:r>
          </w:p>
          <w:p>
            <w:pPr>
              <w:spacing w:line="240" w:lineRule="exact"/>
              <w:rPr>
                <w:rFonts w:ascii="宋体" w:hAnsi="宋体" w:cs="宋体"/>
                <w:color w:val="auto"/>
                <w:highlight w:val="none"/>
              </w:rPr>
            </w:pPr>
            <w:r>
              <w:rPr>
                <w:rFonts w:hint="eastAsia" w:ascii="宋体" w:hAnsi="宋体" w:cs="宋体"/>
                <w:color w:val="auto"/>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color w:val="auto"/>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4.没有其他未实质性投标文件要求的。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 xml:space="preserve">□通过 </w:t>
            </w:r>
          </w:p>
          <w:p>
            <w:pPr>
              <w:spacing w:line="240" w:lineRule="exact"/>
              <w:rPr>
                <w:rFonts w:ascii="宋体" w:hAnsi="宋体" w:cs="宋体"/>
                <w:color w:val="auto"/>
                <w:highlight w:val="none"/>
              </w:rPr>
            </w:pPr>
            <w:r>
              <w:rPr>
                <w:rFonts w:hint="eastAsia" w:ascii="宋体" w:hAnsi="宋体" w:cs="宋体"/>
                <w:color w:val="auto"/>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color w:val="auto"/>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5.投标文件没有采购文件中规定的其它无效投标条款的；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 xml:space="preserve">□通过 </w:t>
            </w:r>
          </w:p>
          <w:p>
            <w:pPr>
              <w:spacing w:line="240" w:lineRule="exact"/>
              <w:rPr>
                <w:rFonts w:ascii="宋体" w:hAnsi="宋体" w:cs="宋体"/>
                <w:color w:val="auto"/>
                <w:highlight w:val="none"/>
              </w:rPr>
            </w:pPr>
            <w:r>
              <w:rPr>
                <w:rFonts w:hint="eastAsia" w:ascii="宋体" w:hAnsi="宋体" w:cs="宋体"/>
                <w:color w:val="auto"/>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82" w:hRule="atLeast"/>
          <w:jc w:val="center"/>
        </w:trPr>
        <w:tc>
          <w:tcPr>
            <w:tcW w:w="932" w:type="dxa"/>
            <w:vMerge w:val="continue"/>
            <w:tcBorders>
              <w:top w:val="single" w:color="111111" w:sz="4" w:space="0"/>
              <w:left w:val="single" w:color="auto" w:sz="12" w:space="0"/>
              <w:bottom w:val="single" w:color="111111" w:sz="4" w:space="0"/>
              <w:right w:val="single" w:color="111111" w:sz="4" w:space="0"/>
            </w:tcBorders>
            <w:vAlign w:val="center"/>
          </w:tcPr>
          <w:p>
            <w:pPr>
              <w:spacing w:line="240" w:lineRule="exact"/>
              <w:rPr>
                <w:rFonts w:ascii="宋体" w:hAnsi="宋体" w:cs="宋体"/>
                <w:color w:val="auto"/>
                <w:highlight w:val="none"/>
              </w:rPr>
            </w:pPr>
          </w:p>
        </w:tc>
        <w:tc>
          <w:tcPr>
            <w:tcW w:w="4748"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6、按有关法律、法规、规章不属于投标无效的。</w:t>
            </w:r>
          </w:p>
        </w:tc>
        <w:tc>
          <w:tcPr>
            <w:tcW w:w="1427" w:type="dxa"/>
            <w:tcBorders>
              <w:top w:val="single" w:color="111111" w:sz="4" w:space="0"/>
              <w:left w:val="single" w:color="111111" w:sz="4" w:space="0"/>
              <w:bottom w:val="single" w:color="111111" w:sz="4" w:space="0"/>
              <w:right w:val="single" w:color="111111" w:sz="4"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 xml:space="preserve">□通过 </w:t>
            </w:r>
          </w:p>
          <w:p>
            <w:pPr>
              <w:spacing w:line="240" w:lineRule="exact"/>
              <w:rPr>
                <w:rFonts w:ascii="宋体" w:hAnsi="宋体" w:cs="宋体"/>
                <w:color w:val="auto"/>
                <w:highlight w:val="none"/>
              </w:rPr>
            </w:pPr>
            <w:r>
              <w:rPr>
                <w:rFonts w:hint="eastAsia" w:ascii="宋体" w:hAnsi="宋体" w:cs="宋体"/>
                <w:color w:val="auto"/>
                <w:highlight w:val="none"/>
              </w:rPr>
              <w:t>□不通过</w:t>
            </w:r>
          </w:p>
        </w:tc>
        <w:tc>
          <w:tcPr>
            <w:tcW w:w="2937" w:type="dxa"/>
            <w:tcBorders>
              <w:top w:val="single" w:color="111111" w:sz="4" w:space="0"/>
              <w:left w:val="single" w:color="111111" w:sz="4" w:space="0"/>
              <w:bottom w:val="single" w:color="111111" w:sz="4" w:space="0"/>
              <w:right w:val="single" w:color="auto" w:sz="12" w:space="0"/>
            </w:tcBorders>
            <w:vAlign w:val="center"/>
          </w:tcPr>
          <w:p>
            <w:pPr>
              <w:spacing w:line="240" w:lineRule="exact"/>
              <w:rPr>
                <w:rFonts w:ascii="宋体" w:hAnsi="宋体" w:cs="宋体"/>
                <w:color w:val="auto"/>
                <w:highlight w:val="none"/>
              </w:rPr>
            </w:pPr>
            <w:r>
              <w:rPr>
                <w:rFonts w:hint="eastAsia" w:ascii="宋体" w:hAnsi="宋体" w:cs="宋体"/>
                <w:color w:val="auto"/>
                <w:highlight w:val="none"/>
              </w:rPr>
              <w:t>第（ ）页</w:t>
            </w:r>
          </w:p>
        </w:tc>
      </w:tr>
    </w:tbl>
    <w:p>
      <w:pPr>
        <w:pStyle w:val="3"/>
        <w:widowControl/>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备注：投标人自查表将作为投标投标人有效性审查的重要内容之一，投标投标人必须严格按照其内容及序列要求在投标文件中对应如实提供，对资格性证明文件的任何缺漏和不符合项将会直接导致投标无效！</w:t>
      </w:r>
    </w:p>
    <w:p>
      <w:pPr>
        <w:rPr>
          <w:rFonts w:hint="eastAsia" w:ascii="宋体" w:hAnsi="宋体" w:cs="宋体"/>
          <w:b/>
          <w:color w:val="auto"/>
          <w:szCs w:val="21"/>
          <w:highlight w:val="none"/>
        </w:rPr>
      </w:pPr>
      <w:r>
        <w:rPr>
          <w:rFonts w:hint="eastAsia" w:ascii="宋体" w:hAnsi="宋体" w:cs="宋体"/>
          <w:b/>
          <w:color w:val="auto"/>
          <w:szCs w:val="21"/>
          <w:highlight w:val="none"/>
        </w:rPr>
        <w:br w:type="page"/>
      </w:r>
    </w:p>
    <w:p>
      <w:pPr>
        <w:pStyle w:val="3"/>
        <w:keepNext w:val="0"/>
        <w:keepLines w:val="0"/>
        <w:pageBreakBefore w:val="0"/>
        <w:widowControl/>
        <w:kinsoku/>
        <w:wordWrap/>
        <w:overflowPunct/>
        <w:topLinePunct w:val="0"/>
        <w:autoSpaceDE/>
        <w:autoSpaceDN/>
        <w:bidi w:val="0"/>
        <w:adjustRightInd/>
        <w:snapToGrid/>
        <w:spacing w:line="360" w:lineRule="auto"/>
        <w:jc w:val="center"/>
        <w:textAlignment w:val="auto"/>
        <w:outlineLvl w:val="2"/>
        <w:rPr>
          <w:rFonts w:ascii="宋体" w:hAnsi="宋体" w:cs="宋体"/>
          <w:b/>
          <w:color w:val="auto"/>
          <w:sz w:val="32"/>
          <w:szCs w:val="32"/>
          <w:highlight w:val="none"/>
        </w:rPr>
      </w:pPr>
      <w:r>
        <w:rPr>
          <w:rFonts w:hint="eastAsia" w:ascii="宋体" w:hAnsi="宋体" w:cs="宋体"/>
          <w:b/>
          <w:color w:val="auto"/>
          <w:sz w:val="32"/>
          <w:szCs w:val="32"/>
          <w:highlight w:val="none"/>
        </w:rPr>
        <w:t>投标人响应表</w:t>
      </w:r>
    </w:p>
    <w:p>
      <w:pPr>
        <w:rPr>
          <w:rFonts w:ascii="宋体" w:hAnsi="宋体" w:cs="宋体"/>
          <w:color w:val="auto"/>
          <w:highlight w:val="none"/>
        </w:rPr>
      </w:pPr>
    </w:p>
    <w:p>
      <w:pPr>
        <w:rPr>
          <w:rFonts w:ascii="宋体" w:hAnsi="宋体" w:cs="宋体"/>
          <w:color w:val="auto"/>
          <w:highlight w:val="none"/>
        </w:rPr>
      </w:pPr>
      <w:r>
        <w:rPr>
          <w:rFonts w:hint="eastAsia" w:ascii="宋体" w:hAnsi="宋体" w:cs="宋体"/>
          <w:color w:val="auto"/>
          <w:highlight w:val="none"/>
        </w:rPr>
        <w:t xml:space="preserve"> 采购编号：                                    </w:t>
      </w:r>
    </w:p>
    <w:tbl>
      <w:tblPr>
        <w:tblStyle w:val="50"/>
        <w:tblW w:w="0" w:type="auto"/>
        <w:jc w:val="center"/>
        <w:tblLayout w:type="fixed"/>
        <w:tblCellMar>
          <w:top w:w="0" w:type="dxa"/>
          <w:left w:w="108" w:type="dxa"/>
          <w:bottom w:w="0" w:type="dxa"/>
          <w:right w:w="108" w:type="dxa"/>
        </w:tblCellMar>
      </w:tblPr>
      <w:tblGrid>
        <w:gridCol w:w="961"/>
        <w:gridCol w:w="5739"/>
        <w:gridCol w:w="1908"/>
        <w:gridCol w:w="1346"/>
      </w:tblGrid>
      <w:tr>
        <w:tblPrEx>
          <w:tblCellMar>
            <w:top w:w="0" w:type="dxa"/>
            <w:left w:w="108" w:type="dxa"/>
            <w:bottom w:w="0" w:type="dxa"/>
            <w:right w:w="108" w:type="dxa"/>
          </w:tblCellMar>
        </w:tblPrEx>
        <w:trPr>
          <w:trHeight w:val="596"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序号</w:t>
            </w:r>
          </w:p>
        </w:tc>
        <w:tc>
          <w:tcPr>
            <w:tcW w:w="57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评审内容</w:t>
            </w: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证明文件</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自评得分</w:t>
            </w:r>
          </w:p>
        </w:tc>
      </w:tr>
      <w:tr>
        <w:tblPrEx>
          <w:tblCellMar>
            <w:top w:w="0" w:type="dxa"/>
            <w:left w:w="108" w:type="dxa"/>
            <w:bottom w:w="0" w:type="dxa"/>
            <w:right w:w="108" w:type="dxa"/>
          </w:tblCellMar>
        </w:tblPrEx>
        <w:trPr>
          <w:trHeight w:val="593"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13"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520"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531" w:hRule="atLeast"/>
          <w:jc w:val="center"/>
        </w:trPr>
        <w:tc>
          <w:tcPr>
            <w:tcW w:w="961"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nil"/>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nil"/>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07"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15"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608"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r>
        <w:tblPrEx>
          <w:tblCellMar>
            <w:top w:w="0" w:type="dxa"/>
            <w:left w:w="108" w:type="dxa"/>
            <w:bottom w:w="0" w:type="dxa"/>
            <w:right w:w="108" w:type="dxa"/>
          </w:tblCellMar>
        </w:tblPrEx>
        <w:trPr>
          <w:trHeight w:val="750" w:hRule="atLeast"/>
          <w:jc w:val="center"/>
        </w:trPr>
        <w:tc>
          <w:tcPr>
            <w:tcW w:w="96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5739"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highlight w:val="none"/>
              </w:rPr>
            </w:pPr>
          </w:p>
        </w:tc>
        <w:tc>
          <w:tcPr>
            <w:tcW w:w="1908"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r>
              <w:rPr>
                <w:rFonts w:hint="eastAsia" w:ascii="宋体" w:hAnsi="宋体" w:cs="宋体"/>
                <w:color w:val="auto"/>
                <w:highlight w:val="none"/>
              </w:rPr>
              <w:t>见（  ）页</w:t>
            </w:r>
          </w:p>
        </w:tc>
        <w:tc>
          <w:tcPr>
            <w:tcW w:w="134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highlight w:val="none"/>
              </w:rPr>
            </w:pPr>
          </w:p>
        </w:tc>
      </w:tr>
    </w:tbl>
    <w:p>
      <w:pPr>
        <w:rPr>
          <w:rFonts w:ascii="宋体" w:hAnsi="宋体" w:cs="宋体"/>
          <w:b/>
          <w:color w:val="auto"/>
          <w:highlight w:val="none"/>
        </w:rPr>
      </w:pPr>
      <w:r>
        <w:rPr>
          <w:rFonts w:hint="eastAsia" w:ascii="宋体" w:hAnsi="宋体" w:cs="宋体"/>
          <w:b/>
          <w:color w:val="auto"/>
          <w:highlight w:val="none"/>
        </w:rPr>
        <w:t>根据评分标准逐条填写。</w:t>
      </w:r>
    </w:p>
    <w:p>
      <w:pPr>
        <w:rPr>
          <w:rFonts w:ascii="宋体" w:hAnsi="宋体" w:cs="宋体"/>
          <w:color w:val="auto"/>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2"/>
        <w:rPr>
          <w:rFonts w:ascii="宋体" w:hAnsi="宋体" w:cs="宋体"/>
          <w:b/>
          <w:bCs/>
          <w:color w:val="auto"/>
          <w:sz w:val="32"/>
          <w:szCs w:val="32"/>
          <w:highlight w:val="none"/>
        </w:rPr>
      </w:pPr>
      <w:r>
        <w:rPr>
          <w:rFonts w:hint="eastAsia" w:hAnsi="宋体" w:cs="宋体"/>
          <w:b/>
          <w:color w:val="auto"/>
          <w:sz w:val="32"/>
          <w:szCs w:val="32"/>
          <w:highlight w:val="none"/>
        </w:rPr>
        <w:br w:type="page"/>
      </w:r>
      <w:r>
        <w:rPr>
          <w:rFonts w:hint="eastAsia" w:ascii="宋体" w:hAnsi="宋体" w:cs="宋体"/>
          <w:b/>
          <w:bCs/>
          <w:color w:val="auto"/>
          <w:sz w:val="32"/>
          <w:szCs w:val="32"/>
          <w:highlight w:val="none"/>
        </w:rPr>
        <w:t>商务条款偏离表</w:t>
      </w:r>
    </w:p>
    <w:p>
      <w:pPr>
        <w:snapToGrid w:val="0"/>
        <w:spacing w:before="50"/>
        <w:rPr>
          <w:rFonts w:ascii="宋体" w:hAnsi="宋体"/>
          <w:color w:val="auto"/>
          <w:sz w:val="22"/>
          <w:szCs w:val="22"/>
          <w:highlight w:val="none"/>
          <w:u w:val="single"/>
        </w:rPr>
      </w:pPr>
      <w:r>
        <w:rPr>
          <w:rFonts w:hint="eastAsia" w:ascii="宋体" w:hAnsi="宋体"/>
          <w:color w:val="auto"/>
          <w:sz w:val="22"/>
          <w:szCs w:val="22"/>
          <w:highlight w:val="none"/>
        </w:rPr>
        <w:t xml:space="preserve">项目名称：                      </w:t>
      </w:r>
    </w:p>
    <w:tbl>
      <w:tblPr>
        <w:tblStyle w:val="5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152"/>
        <w:gridCol w:w="2448"/>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6"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条款号</w:t>
            </w:r>
          </w:p>
        </w:tc>
        <w:tc>
          <w:tcPr>
            <w:tcW w:w="4152"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采购文件的商务条款</w:t>
            </w:r>
          </w:p>
        </w:tc>
        <w:tc>
          <w:tcPr>
            <w:tcW w:w="2448"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投标文件的</w:t>
            </w:r>
          </w:p>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响应情况</w:t>
            </w:r>
          </w:p>
        </w:tc>
        <w:tc>
          <w:tcPr>
            <w:tcW w:w="1872"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说明（偏离</w:t>
            </w:r>
            <w:r>
              <w:rPr>
                <w:rFonts w:ascii="宋体" w:hAnsi="宋体" w:cs="宋体"/>
                <w:color w:val="auto"/>
                <w:sz w:val="22"/>
                <w:szCs w:val="22"/>
                <w:highlight w:val="none"/>
              </w:rPr>
              <w:t>/</w:t>
            </w:r>
            <w:r>
              <w:rPr>
                <w:rFonts w:hint="eastAsia" w:ascii="宋体" w:hAnsi="宋体" w:cs="宋体"/>
                <w:color w:val="auto"/>
                <w:sz w:val="22"/>
                <w:szCs w:val="22"/>
                <w:highlight w:val="none"/>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b/>
                <w:bCs/>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b/>
                <w:bCs/>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b/>
                <w:bCs/>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b/>
                <w:bCs/>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152" w:type="dxa"/>
            <w:vAlign w:val="center"/>
          </w:tcPr>
          <w:p>
            <w:pPr>
              <w:spacing w:line="360" w:lineRule="auto"/>
              <w:rPr>
                <w:rFonts w:ascii="宋体" w:hAnsi="宋体"/>
                <w:color w:val="auto"/>
                <w:sz w:val="22"/>
                <w:szCs w:val="22"/>
                <w:highlight w:val="none"/>
              </w:rPr>
            </w:pPr>
          </w:p>
        </w:tc>
        <w:tc>
          <w:tcPr>
            <w:tcW w:w="2448" w:type="dxa"/>
            <w:vAlign w:val="center"/>
          </w:tcPr>
          <w:p>
            <w:pPr>
              <w:spacing w:line="360" w:lineRule="auto"/>
              <w:jc w:val="center"/>
              <w:rPr>
                <w:rFonts w:ascii="宋体" w:hAnsi="宋体"/>
                <w:color w:val="auto"/>
                <w:sz w:val="22"/>
                <w:szCs w:val="22"/>
                <w:highlight w:val="none"/>
              </w:rPr>
            </w:pPr>
          </w:p>
        </w:tc>
        <w:tc>
          <w:tcPr>
            <w:tcW w:w="1872" w:type="dxa"/>
            <w:vAlign w:val="center"/>
          </w:tcPr>
          <w:p>
            <w:pPr>
              <w:spacing w:line="360" w:lineRule="auto"/>
              <w:jc w:val="center"/>
              <w:rPr>
                <w:rFonts w:ascii="宋体" w:hAnsi="宋体"/>
                <w:color w:val="auto"/>
                <w:sz w:val="22"/>
                <w:szCs w:val="22"/>
                <w:highlight w:val="none"/>
              </w:rPr>
            </w:pPr>
          </w:p>
        </w:tc>
      </w:tr>
    </w:tbl>
    <w:p>
      <w:pPr>
        <w:snapToGrid w:val="0"/>
        <w:spacing w:before="50"/>
        <w:rPr>
          <w:rFonts w:ascii="宋体" w:hAnsi="宋体"/>
          <w:color w:val="auto"/>
          <w:sz w:val="22"/>
          <w:szCs w:val="22"/>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pStyle w:val="3"/>
        <w:keepNext w:val="0"/>
        <w:keepLines w:val="0"/>
        <w:pageBreakBefore w:val="0"/>
        <w:widowControl w:val="0"/>
        <w:kinsoku/>
        <w:wordWrap/>
        <w:overflowPunct/>
        <w:topLinePunct w:val="0"/>
        <w:autoSpaceDE/>
        <w:autoSpaceDN/>
        <w:bidi w:val="0"/>
        <w:adjustRightInd/>
        <w:spacing w:line="360" w:lineRule="auto"/>
        <w:textAlignment w:val="auto"/>
        <w:outlineLvl w:val="9"/>
        <w:rPr>
          <w:rFonts w:ascii="宋体" w:hAnsi="宋体"/>
          <w:color w:val="auto"/>
          <w:sz w:val="22"/>
          <w:szCs w:val="22"/>
          <w:highlight w:val="none"/>
          <w:u w:val="single"/>
        </w:rPr>
      </w:pPr>
    </w:p>
    <w:p>
      <w:pPr>
        <w:keepNext w:val="0"/>
        <w:keepLines w:val="0"/>
        <w:pageBreakBefore w:val="0"/>
        <w:widowControl w:val="0"/>
        <w:kinsoku/>
        <w:wordWrap/>
        <w:overflowPunct/>
        <w:topLinePunct w:val="0"/>
        <w:autoSpaceDE/>
        <w:autoSpaceDN/>
        <w:bidi w:val="0"/>
        <w:adjustRightInd/>
        <w:snapToGrid w:val="0"/>
        <w:spacing w:before="50" w:afterLines="50" w:line="360" w:lineRule="auto"/>
        <w:jc w:val="center"/>
        <w:textAlignment w:val="auto"/>
        <w:outlineLvl w:val="9"/>
        <w:rPr>
          <w:rFonts w:hint="eastAsia" w:ascii="宋体" w:hAnsi="宋体" w:cs="宋体"/>
          <w:b/>
          <w:bCs/>
          <w:color w:val="auto"/>
          <w:sz w:val="32"/>
          <w:szCs w:val="32"/>
          <w:highlight w:val="none"/>
        </w:rPr>
      </w:pPr>
      <w:r>
        <w:rPr>
          <w:rFonts w:hint="eastAsia" w:ascii="宋体" w:hAnsi="宋体"/>
          <w:color w:val="auto"/>
          <w:sz w:val="22"/>
          <w:szCs w:val="22"/>
          <w:highlight w:val="none"/>
          <w:u w:val="single"/>
        </w:rPr>
        <w:t>备注填写说明：1、列明采购文件的</w:t>
      </w:r>
      <w:r>
        <w:rPr>
          <w:rFonts w:hint="eastAsia" w:ascii="宋体" w:hAnsi="宋体" w:cs="宋体"/>
          <w:color w:val="auto"/>
          <w:sz w:val="22"/>
          <w:szCs w:val="22"/>
          <w:highlight w:val="none"/>
          <w:u w:val="single"/>
        </w:rPr>
        <w:t>商务条款</w:t>
      </w:r>
      <w:r>
        <w:rPr>
          <w:rFonts w:hint="eastAsia" w:ascii="宋体" w:hAnsi="宋体"/>
          <w:color w:val="auto"/>
          <w:sz w:val="22"/>
          <w:szCs w:val="22"/>
          <w:highlight w:val="none"/>
          <w:u w:val="single"/>
        </w:rPr>
        <w:t>与投标文件对应响应，并说明偏离状况。</w:t>
      </w:r>
      <w:r>
        <w:rPr>
          <w:rFonts w:hint="eastAsia" w:hAnsi="宋体" w:cs="宋体"/>
          <w:b/>
          <w:color w:val="auto"/>
          <w:sz w:val="32"/>
          <w:szCs w:val="32"/>
          <w:highlight w:val="none"/>
        </w:rPr>
        <w:br w:type="page"/>
      </w:r>
      <w:r>
        <w:rPr>
          <w:rFonts w:hint="eastAsia" w:ascii="宋体" w:hAnsi="宋体" w:cs="宋体"/>
          <w:b/>
          <w:bCs/>
          <w:color w:val="auto"/>
          <w:sz w:val="32"/>
          <w:szCs w:val="32"/>
          <w:highlight w:val="none"/>
        </w:rPr>
        <w:t>技术条款偏离表</w:t>
      </w:r>
    </w:p>
    <w:p>
      <w:pPr>
        <w:pStyle w:val="63"/>
        <w:rPr>
          <w:rFonts w:hint="eastAsia" w:ascii="宋体" w:hAnsi="宋体" w:cs="宋体"/>
          <w:b/>
          <w:bCs/>
          <w:color w:val="auto"/>
          <w:sz w:val="32"/>
          <w:szCs w:val="32"/>
          <w:highlight w:val="none"/>
        </w:rPr>
      </w:pPr>
    </w:p>
    <w:p>
      <w:pPr>
        <w:pStyle w:val="63"/>
        <w:keepNext w:val="0"/>
        <w:keepLines w:val="0"/>
        <w:pageBreakBefore w:val="0"/>
        <w:widowControl w:val="0"/>
        <w:kinsoku/>
        <w:wordWrap/>
        <w:overflowPunct/>
        <w:topLinePunct w:val="0"/>
        <w:autoSpaceDE/>
        <w:autoSpaceDN/>
        <w:bidi w:val="0"/>
        <w:adjustRightInd/>
        <w:snapToGrid/>
        <w:ind w:firstLine="420"/>
        <w:textAlignment w:val="auto"/>
        <w:outlineLvl w:val="2"/>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技术条款偏离表</w:t>
      </w:r>
    </w:p>
    <w:p>
      <w:pPr>
        <w:snapToGrid w:val="0"/>
        <w:spacing w:before="50"/>
        <w:rPr>
          <w:rFonts w:ascii="宋体" w:hAnsi="宋体"/>
          <w:color w:val="auto"/>
          <w:sz w:val="22"/>
          <w:szCs w:val="22"/>
          <w:highlight w:val="none"/>
          <w:u w:val="single"/>
        </w:rPr>
      </w:pPr>
      <w:r>
        <w:rPr>
          <w:rFonts w:hint="eastAsia" w:ascii="宋体" w:hAnsi="宋体"/>
          <w:color w:val="auto"/>
          <w:sz w:val="22"/>
          <w:szCs w:val="22"/>
          <w:highlight w:val="none"/>
        </w:rPr>
        <w:t xml:space="preserve">项目名称：                      </w:t>
      </w:r>
    </w:p>
    <w:tbl>
      <w:tblPr>
        <w:tblStyle w:val="50"/>
        <w:tblW w:w="94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4356"/>
        <w:gridCol w:w="2124"/>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26"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条款号</w:t>
            </w:r>
          </w:p>
        </w:tc>
        <w:tc>
          <w:tcPr>
            <w:tcW w:w="4356"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采购文件的技术条款</w:t>
            </w:r>
          </w:p>
        </w:tc>
        <w:tc>
          <w:tcPr>
            <w:tcW w:w="2124"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投标文件的</w:t>
            </w:r>
          </w:p>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响应情况</w:t>
            </w:r>
          </w:p>
        </w:tc>
        <w:tc>
          <w:tcPr>
            <w:tcW w:w="1956" w:type="dxa"/>
            <w:vAlign w:val="center"/>
          </w:tcPr>
          <w:p>
            <w:pPr>
              <w:spacing w:line="360" w:lineRule="auto"/>
              <w:jc w:val="center"/>
              <w:rPr>
                <w:rFonts w:ascii="宋体" w:hAnsi="宋体"/>
                <w:color w:val="auto"/>
                <w:sz w:val="22"/>
                <w:szCs w:val="22"/>
                <w:highlight w:val="none"/>
              </w:rPr>
            </w:pPr>
            <w:r>
              <w:rPr>
                <w:rFonts w:hint="eastAsia" w:ascii="宋体" w:hAnsi="宋体" w:cs="宋体"/>
                <w:color w:val="auto"/>
                <w:sz w:val="22"/>
                <w:szCs w:val="22"/>
                <w:highlight w:val="none"/>
              </w:rPr>
              <w:t>说明（偏离</w:t>
            </w:r>
            <w:r>
              <w:rPr>
                <w:rFonts w:ascii="宋体" w:hAnsi="宋体" w:cs="宋体"/>
                <w:color w:val="auto"/>
                <w:sz w:val="22"/>
                <w:szCs w:val="22"/>
                <w:highlight w:val="none"/>
              </w:rPr>
              <w:t>/</w:t>
            </w:r>
            <w:r>
              <w:rPr>
                <w:rFonts w:hint="eastAsia" w:ascii="宋体" w:hAnsi="宋体" w:cs="宋体"/>
                <w:color w:val="auto"/>
                <w:sz w:val="22"/>
                <w:szCs w:val="22"/>
                <w:highlight w:val="none"/>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b/>
                <w:bCs/>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b/>
                <w:bCs/>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b/>
                <w:bCs/>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b/>
                <w:bCs/>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26" w:type="dxa"/>
            <w:vAlign w:val="center"/>
          </w:tcPr>
          <w:p>
            <w:pPr>
              <w:spacing w:line="360" w:lineRule="auto"/>
              <w:jc w:val="center"/>
              <w:rPr>
                <w:rFonts w:ascii="宋体" w:hAnsi="宋体"/>
                <w:color w:val="auto"/>
                <w:sz w:val="22"/>
                <w:szCs w:val="22"/>
                <w:highlight w:val="none"/>
              </w:rPr>
            </w:pPr>
          </w:p>
        </w:tc>
        <w:tc>
          <w:tcPr>
            <w:tcW w:w="4356" w:type="dxa"/>
            <w:vAlign w:val="center"/>
          </w:tcPr>
          <w:p>
            <w:pPr>
              <w:spacing w:line="360" w:lineRule="auto"/>
              <w:rPr>
                <w:rFonts w:ascii="宋体" w:hAnsi="宋体"/>
                <w:color w:val="auto"/>
                <w:sz w:val="22"/>
                <w:szCs w:val="22"/>
                <w:highlight w:val="none"/>
              </w:rPr>
            </w:pPr>
          </w:p>
        </w:tc>
        <w:tc>
          <w:tcPr>
            <w:tcW w:w="2124" w:type="dxa"/>
            <w:vAlign w:val="center"/>
          </w:tcPr>
          <w:p>
            <w:pPr>
              <w:spacing w:line="360" w:lineRule="auto"/>
              <w:jc w:val="center"/>
              <w:rPr>
                <w:rFonts w:ascii="宋体" w:hAnsi="宋体"/>
                <w:color w:val="auto"/>
                <w:sz w:val="22"/>
                <w:szCs w:val="22"/>
                <w:highlight w:val="none"/>
              </w:rPr>
            </w:pPr>
          </w:p>
        </w:tc>
        <w:tc>
          <w:tcPr>
            <w:tcW w:w="1956" w:type="dxa"/>
            <w:vAlign w:val="center"/>
          </w:tcPr>
          <w:p>
            <w:pPr>
              <w:spacing w:line="360" w:lineRule="auto"/>
              <w:jc w:val="center"/>
              <w:rPr>
                <w:rFonts w:ascii="宋体" w:hAnsi="宋体"/>
                <w:color w:val="auto"/>
                <w:sz w:val="22"/>
                <w:szCs w:val="22"/>
                <w:highlight w:val="none"/>
              </w:rPr>
            </w:pPr>
          </w:p>
        </w:tc>
      </w:tr>
    </w:tbl>
    <w:p>
      <w:pPr>
        <w:snapToGrid w:val="0"/>
        <w:spacing w:before="50"/>
        <w:rPr>
          <w:rFonts w:ascii="宋体" w:hAnsi="宋体"/>
          <w:color w:val="auto"/>
          <w:sz w:val="22"/>
          <w:szCs w:val="22"/>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spacing w:line="360" w:lineRule="auto"/>
        <w:ind w:right="180"/>
        <w:jc w:val="right"/>
        <w:rPr>
          <w:rFonts w:ascii="宋体" w:hAnsi="宋体"/>
          <w:color w:val="auto"/>
          <w:sz w:val="22"/>
          <w:szCs w:val="2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cs="宋体"/>
          <w:b/>
          <w:color w:val="auto"/>
          <w:szCs w:val="21"/>
          <w:highlight w:val="none"/>
        </w:rPr>
      </w:pPr>
      <w:r>
        <w:rPr>
          <w:rFonts w:hint="eastAsia" w:ascii="宋体" w:hAnsi="宋体"/>
          <w:color w:val="auto"/>
          <w:sz w:val="22"/>
          <w:szCs w:val="22"/>
          <w:highlight w:val="none"/>
          <w:u w:val="single"/>
        </w:rPr>
        <w:t>备注填写说明：1、列明采购文件的</w:t>
      </w:r>
      <w:r>
        <w:rPr>
          <w:rFonts w:hint="eastAsia" w:ascii="宋体" w:hAnsi="宋体" w:cs="宋体"/>
          <w:color w:val="auto"/>
          <w:sz w:val="22"/>
          <w:szCs w:val="22"/>
          <w:highlight w:val="none"/>
          <w:u w:val="single"/>
        </w:rPr>
        <w:t>服务条款</w:t>
      </w:r>
      <w:r>
        <w:rPr>
          <w:rFonts w:hint="eastAsia" w:ascii="宋体" w:hAnsi="宋体"/>
          <w:color w:val="auto"/>
          <w:sz w:val="22"/>
          <w:szCs w:val="22"/>
          <w:highlight w:val="none"/>
          <w:u w:val="single"/>
        </w:rPr>
        <w:t>与投标文件对应响应，并说明偏离状况。</w:t>
      </w:r>
      <w:r>
        <w:rPr>
          <w:rFonts w:hint="eastAsia" w:hAnsi="宋体" w:cs="宋体"/>
          <w:b/>
          <w:color w:val="auto"/>
          <w:sz w:val="32"/>
          <w:szCs w:val="32"/>
          <w:highlight w:val="none"/>
        </w:rPr>
        <w:br w:type="page"/>
      </w:r>
    </w:p>
    <w:p>
      <w:pPr>
        <w:pStyle w:val="63"/>
        <w:rPr>
          <w:rFonts w:hint="eastAsia" w:ascii="宋体" w:hAnsi="宋体" w:cs="宋体"/>
          <w:b/>
          <w:color w:val="auto"/>
          <w:szCs w:val="21"/>
          <w:highlight w:val="none"/>
        </w:rPr>
      </w:pPr>
    </w:p>
    <w:p>
      <w:pPr>
        <w:pStyle w:val="63"/>
        <w:keepNext w:val="0"/>
        <w:keepLines w:val="0"/>
        <w:pageBreakBefore w:val="0"/>
        <w:widowControl w:val="0"/>
        <w:kinsoku/>
        <w:wordWrap/>
        <w:overflowPunct/>
        <w:topLinePunct w:val="0"/>
        <w:autoSpaceDE/>
        <w:autoSpaceDN/>
        <w:bidi w:val="0"/>
        <w:adjustRightInd/>
        <w:snapToGrid/>
        <w:ind w:firstLine="420"/>
        <w:jc w:val="center"/>
        <w:textAlignment w:val="auto"/>
        <w:outlineLvl w:val="2"/>
        <w:rPr>
          <w:rFonts w:hint="eastAsia" w:ascii="宋体" w:hAnsi="宋体" w:cs="宋体"/>
          <w:b/>
          <w:color w:val="auto"/>
          <w:szCs w:val="21"/>
          <w:highlight w:val="none"/>
        </w:rPr>
      </w:pPr>
      <w:r>
        <w:rPr>
          <w:rFonts w:hint="eastAsia" w:ascii="宋体" w:hAnsi="宋体" w:cs="宋体"/>
          <w:b/>
          <w:color w:val="auto"/>
          <w:szCs w:val="21"/>
          <w:highlight w:val="none"/>
        </w:rPr>
        <w:t>投标人基本情况说明</w:t>
      </w:r>
    </w:p>
    <w:tbl>
      <w:tblPr>
        <w:tblStyle w:val="50"/>
        <w:tblW w:w="0" w:type="auto"/>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80"/>
        <w:gridCol w:w="1050"/>
        <w:gridCol w:w="945"/>
        <w:gridCol w:w="1785"/>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单位名称</w:t>
            </w:r>
          </w:p>
        </w:tc>
        <w:tc>
          <w:tcPr>
            <w:tcW w:w="3675" w:type="dxa"/>
            <w:gridSpan w:val="3"/>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组织机构代码</w:t>
            </w:r>
          </w:p>
        </w:tc>
        <w:tc>
          <w:tcPr>
            <w:tcW w:w="2234"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注册地址</w:t>
            </w:r>
          </w:p>
        </w:tc>
        <w:tc>
          <w:tcPr>
            <w:tcW w:w="3675" w:type="dxa"/>
            <w:gridSpan w:val="3"/>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注册登记号</w:t>
            </w:r>
          </w:p>
        </w:tc>
        <w:tc>
          <w:tcPr>
            <w:tcW w:w="2234"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经营地址</w:t>
            </w:r>
          </w:p>
        </w:tc>
        <w:tc>
          <w:tcPr>
            <w:tcW w:w="3675" w:type="dxa"/>
            <w:gridSpan w:val="3"/>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pacing w:val="30"/>
                <w:szCs w:val="21"/>
                <w:highlight w:val="none"/>
              </w:rPr>
            </w:pPr>
            <w:r>
              <w:rPr>
                <w:rFonts w:hint="eastAsia" w:ascii="宋体" w:hAnsi="宋体" w:cs="宋体"/>
                <w:color w:val="auto"/>
                <w:szCs w:val="21"/>
                <w:highlight w:val="none"/>
              </w:rPr>
              <w:t>税务登记证号</w:t>
            </w:r>
          </w:p>
        </w:tc>
        <w:tc>
          <w:tcPr>
            <w:tcW w:w="2234"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单位性质</w:t>
            </w:r>
          </w:p>
        </w:tc>
        <w:tc>
          <w:tcPr>
            <w:tcW w:w="3675" w:type="dxa"/>
            <w:gridSpan w:val="3"/>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pacing w:val="34"/>
                <w:szCs w:val="21"/>
                <w:highlight w:val="none"/>
              </w:rPr>
              <w:t>注册资本</w:t>
            </w:r>
          </w:p>
        </w:tc>
        <w:tc>
          <w:tcPr>
            <w:tcW w:w="2234"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经营范围</w:t>
            </w:r>
          </w:p>
        </w:tc>
        <w:tc>
          <w:tcPr>
            <w:tcW w:w="3675" w:type="dxa"/>
            <w:gridSpan w:val="3"/>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营业期限</w:t>
            </w:r>
          </w:p>
        </w:tc>
        <w:tc>
          <w:tcPr>
            <w:tcW w:w="2234"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资质情况</w:t>
            </w:r>
          </w:p>
        </w:tc>
        <w:tc>
          <w:tcPr>
            <w:tcW w:w="7694" w:type="dxa"/>
            <w:gridSpan w:val="5"/>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员工数量</w:t>
            </w:r>
          </w:p>
        </w:tc>
        <w:tc>
          <w:tcPr>
            <w:tcW w:w="7694" w:type="dxa"/>
            <w:gridSpan w:val="5"/>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人，其中，高级职称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人，中级职称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联系电话</w:t>
            </w:r>
          </w:p>
        </w:tc>
        <w:tc>
          <w:tcPr>
            <w:tcW w:w="3675" w:type="dxa"/>
            <w:gridSpan w:val="3"/>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传真</w:t>
            </w:r>
          </w:p>
        </w:tc>
        <w:tc>
          <w:tcPr>
            <w:tcW w:w="2234"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主要业绩</w:t>
            </w:r>
          </w:p>
        </w:tc>
        <w:tc>
          <w:tcPr>
            <w:tcW w:w="7694" w:type="dxa"/>
            <w:gridSpan w:val="5"/>
            <w:vAlign w:val="center"/>
          </w:tcPr>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4" w:type="dxa"/>
            <w:gridSpan w:val="6"/>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法 定 代 表 人 基 本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姓  名</w:t>
            </w:r>
          </w:p>
        </w:tc>
        <w:tc>
          <w:tcPr>
            <w:tcW w:w="3675" w:type="dxa"/>
            <w:gridSpan w:val="3"/>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身份证号码</w:t>
            </w:r>
          </w:p>
        </w:tc>
        <w:tc>
          <w:tcPr>
            <w:tcW w:w="2234"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7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职  务</w:t>
            </w:r>
          </w:p>
        </w:tc>
        <w:tc>
          <w:tcPr>
            <w:tcW w:w="1680" w:type="dxa"/>
            <w:vAlign w:val="center"/>
          </w:tcPr>
          <w:p>
            <w:pPr>
              <w:spacing w:line="360" w:lineRule="auto"/>
              <w:jc w:val="center"/>
              <w:rPr>
                <w:rFonts w:ascii="宋体" w:hAnsi="宋体" w:cs="宋体"/>
                <w:color w:val="auto"/>
                <w:szCs w:val="21"/>
                <w:highlight w:val="none"/>
              </w:rPr>
            </w:pPr>
          </w:p>
        </w:tc>
        <w:tc>
          <w:tcPr>
            <w:tcW w:w="1050"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职   称</w:t>
            </w:r>
          </w:p>
        </w:tc>
        <w:tc>
          <w:tcPr>
            <w:tcW w:w="945" w:type="dxa"/>
            <w:vAlign w:val="center"/>
          </w:tcPr>
          <w:p>
            <w:pPr>
              <w:spacing w:line="360" w:lineRule="auto"/>
              <w:jc w:val="center"/>
              <w:rPr>
                <w:rFonts w:ascii="宋体" w:hAnsi="宋体" w:cs="宋体"/>
                <w:color w:val="auto"/>
                <w:szCs w:val="21"/>
                <w:highlight w:val="none"/>
              </w:rPr>
            </w:pPr>
          </w:p>
        </w:tc>
        <w:tc>
          <w:tcPr>
            <w:tcW w:w="1785" w:type="dxa"/>
            <w:vAlign w:val="center"/>
          </w:tcPr>
          <w:p>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学    历</w:t>
            </w:r>
          </w:p>
        </w:tc>
        <w:tc>
          <w:tcPr>
            <w:tcW w:w="2234" w:type="dxa"/>
            <w:vAlign w:val="center"/>
          </w:tcPr>
          <w:p>
            <w:pPr>
              <w:spacing w:line="360" w:lineRule="auto"/>
              <w:jc w:val="center"/>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9164" w:type="dxa"/>
            <w:gridSpan w:val="6"/>
          </w:tcPr>
          <w:p>
            <w:pPr>
              <w:spacing w:line="360" w:lineRule="auto"/>
              <w:rPr>
                <w:rFonts w:ascii="宋体" w:hAnsi="宋体" w:cs="宋体"/>
                <w:color w:val="auto"/>
                <w:szCs w:val="21"/>
                <w:highlight w:val="none"/>
              </w:rPr>
            </w:pPr>
            <w:r>
              <w:rPr>
                <w:rFonts w:hint="eastAsia" w:ascii="宋体" w:hAnsi="宋体" w:cs="宋体"/>
                <w:color w:val="auto"/>
                <w:szCs w:val="21"/>
                <w:highlight w:val="none"/>
              </w:rPr>
              <w:t>备注:</w:t>
            </w:r>
          </w:p>
        </w:tc>
      </w:tr>
    </w:tbl>
    <w:p>
      <w:pPr>
        <w:spacing w:line="360" w:lineRule="auto"/>
        <w:rPr>
          <w:rFonts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兹证明上述声明是真实、正确的，并提供了全部能提供的资料和数据，我们同意遵照贵方要求出示有关证明文件。</w:t>
      </w:r>
    </w:p>
    <w:p>
      <w:pPr>
        <w:spacing w:line="360" w:lineRule="auto"/>
        <w:rPr>
          <w:rFonts w:ascii="宋体" w:hAnsi="宋体" w:cs="宋体"/>
          <w:b/>
          <w:color w:val="auto"/>
          <w:highlight w:val="none"/>
        </w:rPr>
      </w:pPr>
    </w:p>
    <w:p>
      <w:pPr>
        <w:rPr>
          <w:rFonts w:ascii="宋体" w:hAnsi="宋体" w:cs="宋体"/>
          <w:color w:val="auto"/>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keepNext w:val="0"/>
        <w:keepLines w:val="0"/>
        <w:pageBreakBefore w:val="0"/>
        <w:widowControl w:val="0"/>
        <w:kinsoku/>
        <w:wordWrap/>
        <w:overflowPunct/>
        <w:topLinePunct w:val="0"/>
        <w:autoSpaceDE/>
        <w:autoSpaceDN/>
        <w:bidi w:val="0"/>
        <w:adjustRightInd w:val="0"/>
        <w:snapToGrid w:val="0"/>
        <w:spacing w:line="360" w:lineRule="auto"/>
        <w:ind w:right="-315" w:rightChars="-150"/>
        <w:jc w:val="center"/>
        <w:textAlignment w:val="auto"/>
        <w:outlineLvl w:val="2"/>
        <w:rPr>
          <w:b/>
          <w:color w:val="auto"/>
          <w:sz w:val="32"/>
          <w:szCs w:val="32"/>
          <w:highlight w:val="none"/>
        </w:rPr>
      </w:pPr>
      <w:r>
        <w:rPr>
          <w:rFonts w:hint="eastAsia" w:hAnsi="宋体" w:cs="宋体"/>
          <w:color w:val="auto"/>
          <w:szCs w:val="21"/>
          <w:highlight w:val="none"/>
        </w:rPr>
        <w:br w:type="page"/>
      </w:r>
      <w:r>
        <w:rPr>
          <w:rFonts w:hint="eastAsia" w:ascii="宋体" w:hAnsi="宋体"/>
          <w:b/>
          <w:color w:val="auto"/>
          <w:kern w:val="0"/>
          <w:sz w:val="32"/>
          <w:szCs w:val="32"/>
          <w:highlight w:val="none"/>
        </w:rPr>
        <w:t>拟投入本项目服务人员情况</w:t>
      </w:r>
      <w:r>
        <w:rPr>
          <w:rFonts w:hint="eastAsia"/>
          <w:b/>
          <w:color w:val="auto"/>
          <w:sz w:val="32"/>
          <w:szCs w:val="32"/>
          <w:highlight w:val="none"/>
        </w:rPr>
        <w:t>表</w:t>
      </w:r>
    </w:p>
    <w:p>
      <w:pPr>
        <w:adjustRightInd w:val="0"/>
        <w:snapToGrid w:val="0"/>
        <w:spacing w:line="400" w:lineRule="exact"/>
        <w:rPr>
          <w:rFonts w:ascii="宋体" w:hAnsi="宋体"/>
          <w:color w:val="auto"/>
          <w:sz w:val="22"/>
          <w:szCs w:val="22"/>
          <w:highlight w:val="none"/>
          <w:u w:val="single"/>
        </w:rPr>
      </w:pPr>
      <w:r>
        <w:rPr>
          <w:rFonts w:hint="eastAsia" w:ascii="宋体" w:hAnsi="宋体"/>
          <w:color w:val="auto"/>
          <w:sz w:val="22"/>
          <w:szCs w:val="22"/>
          <w:highlight w:val="none"/>
        </w:rPr>
        <w:t>项目名称：</w:t>
      </w:r>
      <w:r>
        <w:rPr>
          <w:rFonts w:hint="eastAsia" w:ascii="宋体" w:hAnsi="宋体"/>
          <w:color w:val="auto"/>
          <w:sz w:val="22"/>
          <w:szCs w:val="22"/>
          <w:highlight w:val="none"/>
          <w:u w:val="single"/>
        </w:rPr>
        <w:t xml:space="preserve">                     </w:t>
      </w: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981"/>
        <w:gridCol w:w="981"/>
        <w:gridCol w:w="851"/>
        <w:gridCol w:w="992"/>
        <w:gridCol w:w="851"/>
        <w:gridCol w:w="1134"/>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Merge w:val="restart"/>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职务</w:t>
            </w:r>
          </w:p>
        </w:tc>
        <w:tc>
          <w:tcPr>
            <w:tcW w:w="981" w:type="dxa"/>
            <w:vMerge w:val="restart"/>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姓名</w:t>
            </w:r>
          </w:p>
        </w:tc>
        <w:tc>
          <w:tcPr>
            <w:tcW w:w="981" w:type="dxa"/>
            <w:vMerge w:val="restart"/>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职称</w:t>
            </w:r>
          </w:p>
        </w:tc>
        <w:tc>
          <w:tcPr>
            <w:tcW w:w="3828" w:type="dxa"/>
            <w:gridSpan w:val="4"/>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执业或职业资格证明</w:t>
            </w:r>
          </w:p>
        </w:tc>
        <w:tc>
          <w:tcPr>
            <w:tcW w:w="1417" w:type="dxa"/>
            <w:vMerge w:val="restart"/>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从业经验</w:t>
            </w:r>
          </w:p>
        </w:tc>
        <w:tc>
          <w:tcPr>
            <w:tcW w:w="1418" w:type="dxa"/>
            <w:vMerge w:val="restart"/>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Merge w:val="continue"/>
            <w:vAlign w:val="center"/>
          </w:tcPr>
          <w:p>
            <w:pPr>
              <w:spacing w:line="360" w:lineRule="auto"/>
              <w:jc w:val="center"/>
              <w:rPr>
                <w:rFonts w:ascii="宋体" w:hAnsi="宋体"/>
                <w:color w:val="auto"/>
                <w:sz w:val="22"/>
                <w:szCs w:val="22"/>
                <w:highlight w:val="none"/>
              </w:rPr>
            </w:pPr>
          </w:p>
        </w:tc>
        <w:tc>
          <w:tcPr>
            <w:tcW w:w="981" w:type="dxa"/>
            <w:vMerge w:val="continue"/>
            <w:vAlign w:val="center"/>
          </w:tcPr>
          <w:p>
            <w:pPr>
              <w:spacing w:line="360" w:lineRule="auto"/>
              <w:jc w:val="center"/>
              <w:rPr>
                <w:rFonts w:ascii="宋体" w:hAnsi="宋体"/>
                <w:color w:val="auto"/>
                <w:sz w:val="22"/>
                <w:szCs w:val="22"/>
                <w:highlight w:val="none"/>
              </w:rPr>
            </w:pPr>
          </w:p>
        </w:tc>
        <w:tc>
          <w:tcPr>
            <w:tcW w:w="981" w:type="dxa"/>
            <w:vMerge w:val="continue"/>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证书名称</w:t>
            </w:r>
          </w:p>
        </w:tc>
        <w:tc>
          <w:tcPr>
            <w:tcW w:w="992" w:type="dxa"/>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级别</w:t>
            </w:r>
          </w:p>
        </w:tc>
        <w:tc>
          <w:tcPr>
            <w:tcW w:w="851" w:type="dxa"/>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证号</w:t>
            </w:r>
          </w:p>
        </w:tc>
        <w:tc>
          <w:tcPr>
            <w:tcW w:w="1134" w:type="dxa"/>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专业</w:t>
            </w:r>
          </w:p>
        </w:tc>
        <w:tc>
          <w:tcPr>
            <w:tcW w:w="1417" w:type="dxa"/>
            <w:vMerge w:val="continue"/>
            <w:vAlign w:val="center"/>
          </w:tcPr>
          <w:p>
            <w:pPr>
              <w:spacing w:line="360" w:lineRule="auto"/>
              <w:jc w:val="center"/>
              <w:rPr>
                <w:rFonts w:ascii="宋体" w:hAnsi="宋体"/>
                <w:color w:val="auto"/>
                <w:sz w:val="22"/>
                <w:szCs w:val="22"/>
                <w:highlight w:val="none"/>
              </w:rPr>
            </w:pPr>
          </w:p>
        </w:tc>
        <w:tc>
          <w:tcPr>
            <w:tcW w:w="1418" w:type="dxa"/>
            <w:vMerge w:val="continue"/>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981"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992" w:type="dxa"/>
            <w:vAlign w:val="center"/>
          </w:tcPr>
          <w:p>
            <w:pPr>
              <w:spacing w:line="360" w:lineRule="auto"/>
              <w:jc w:val="center"/>
              <w:rPr>
                <w:rFonts w:ascii="宋体" w:hAnsi="宋体"/>
                <w:color w:val="auto"/>
                <w:sz w:val="22"/>
                <w:szCs w:val="22"/>
                <w:highlight w:val="none"/>
              </w:rPr>
            </w:pPr>
          </w:p>
        </w:tc>
        <w:tc>
          <w:tcPr>
            <w:tcW w:w="851" w:type="dxa"/>
            <w:vAlign w:val="center"/>
          </w:tcPr>
          <w:p>
            <w:pPr>
              <w:spacing w:line="360" w:lineRule="auto"/>
              <w:jc w:val="center"/>
              <w:rPr>
                <w:rFonts w:ascii="宋体" w:hAnsi="宋体"/>
                <w:color w:val="auto"/>
                <w:sz w:val="22"/>
                <w:szCs w:val="22"/>
                <w:highlight w:val="none"/>
              </w:rPr>
            </w:pPr>
          </w:p>
        </w:tc>
        <w:tc>
          <w:tcPr>
            <w:tcW w:w="1134" w:type="dxa"/>
            <w:vAlign w:val="center"/>
          </w:tcPr>
          <w:p>
            <w:pPr>
              <w:spacing w:line="360" w:lineRule="auto"/>
              <w:jc w:val="center"/>
              <w:rPr>
                <w:rFonts w:ascii="宋体" w:hAnsi="宋体"/>
                <w:color w:val="auto"/>
                <w:sz w:val="22"/>
                <w:szCs w:val="22"/>
                <w:highlight w:val="none"/>
              </w:rPr>
            </w:pPr>
          </w:p>
        </w:tc>
        <w:tc>
          <w:tcPr>
            <w:tcW w:w="1417" w:type="dxa"/>
            <w:vAlign w:val="center"/>
          </w:tcPr>
          <w:p>
            <w:pPr>
              <w:spacing w:line="360" w:lineRule="auto"/>
              <w:jc w:val="center"/>
              <w:rPr>
                <w:rFonts w:ascii="宋体" w:hAnsi="宋体"/>
                <w:color w:val="auto"/>
                <w:sz w:val="22"/>
                <w:szCs w:val="22"/>
                <w:highlight w:val="none"/>
              </w:rPr>
            </w:pPr>
          </w:p>
        </w:tc>
        <w:tc>
          <w:tcPr>
            <w:tcW w:w="1418" w:type="dxa"/>
          </w:tcPr>
          <w:p>
            <w:pPr>
              <w:spacing w:line="360" w:lineRule="auto"/>
              <w:jc w:val="center"/>
              <w:rPr>
                <w:rFonts w:ascii="宋体" w:hAnsi="宋体"/>
                <w:color w:val="auto"/>
                <w:sz w:val="22"/>
                <w:szCs w:val="22"/>
                <w:highlight w:val="none"/>
              </w:rPr>
            </w:pPr>
          </w:p>
        </w:tc>
      </w:tr>
    </w:tbl>
    <w:p>
      <w:pPr>
        <w:spacing w:line="360" w:lineRule="auto"/>
        <w:rPr>
          <w:rFonts w:ascii="宋体" w:hAnsi="宋体"/>
          <w:color w:val="auto"/>
          <w:sz w:val="22"/>
          <w:szCs w:val="22"/>
          <w:highlight w:val="none"/>
        </w:rPr>
      </w:pPr>
      <w:r>
        <w:rPr>
          <w:rFonts w:hint="eastAsia" w:ascii="宋体" w:hAnsi="宋体"/>
          <w:color w:val="auto"/>
          <w:sz w:val="22"/>
          <w:szCs w:val="22"/>
          <w:highlight w:val="none"/>
        </w:rPr>
        <w:t>注：后附相关人员证书复印件、从业</w:t>
      </w:r>
      <w:r>
        <w:rPr>
          <w:rFonts w:hint="eastAsia" w:ascii="宋体" w:hAnsi="宋体"/>
          <w:color w:val="auto"/>
          <w:kern w:val="0"/>
          <w:sz w:val="22"/>
          <w:szCs w:val="22"/>
          <w:highlight w:val="none"/>
        </w:rPr>
        <w:t>经验证明资料复印件等，以便评委酌情打分</w:t>
      </w:r>
      <w:r>
        <w:rPr>
          <w:rFonts w:hint="eastAsia" w:ascii="宋体" w:hAnsi="宋体"/>
          <w:color w:val="auto"/>
          <w:sz w:val="22"/>
          <w:szCs w:val="22"/>
          <w:highlight w:val="none"/>
        </w:rPr>
        <w:t>。</w:t>
      </w:r>
    </w:p>
    <w:p>
      <w:pPr>
        <w:adjustRightInd w:val="0"/>
        <w:snapToGrid w:val="0"/>
        <w:spacing w:line="400" w:lineRule="exact"/>
        <w:rPr>
          <w:rFonts w:ascii="宋体" w:hAnsi="宋体"/>
          <w:color w:val="auto"/>
          <w:sz w:val="22"/>
          <w:szCs w:val="22"/>
          <w:highlight w:val="none"/>
          <w:u w:val="singl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2"/>
        <w:rPr>
          <w:rFonts w:ascii="Arial" w:hAnsi="Arial"/>
          <w:b/>
          <w:color w:val="auto"/>
          <w:sz w:val="32"/>
          <w:szCs w:val="32"/>
          <w:highlight w:val="none"/>
        </w:rPr>
      </w:pPr>
      <w:r>
        <w:rPr>
          <w:rFonts w:hint="eastAsia" w:hAnsi="宋体" w:cs="宋体"/>
          <w:color w:val="auto"/>
          <w:szCs w:val="21"/>
          <w:highlight w:val="none"/>
        </w:rPr>
        <w:br w:type="page"/>
      </w:r>
      <w:r>
        <w:rPr>
          <w:rFonts w:hint="eastAsia" w:ascii="Arial" w:hAnsi="Arial"/>
          <w:b/>
          <w:color w:val="auto"/>
          <w:sz w:val="32"/>
          <w:szCs w:val="32"/>
          <w:highlight w:val="none"/>
        </w:rPr>
        <w:t>项目业绩表</w:t>
      </w:r>
    </w:p>
    <w:p>
      <w:pPr>
        <w:spacing w:line="360" w:lineRule="auto"/>
        <w:ind w:firstLine="3089"/>
        <w:rPr>
          <w:rFonts w:ascii="Arial" w:hAnsi="Arial"/>
          <w:b/>
          <w:color w:val="auto"/>
          <w:sz w:val="24"/>
          <w:szCs w:val="21"/>
          <w:highlight w:val="none"/>
        </w:rPr>
      </w:pPr>
    </w:p>
    <w:p>
      <w:pPr>
        <w:spacing w:line="360" w:lineRule="auto"/>
        <w:rPr>
          <w:rFonts w:ascii="Arial" w:hAnsi="Arial"/>
          <w:color w:val="auto"/>
          <w:highlight w:val="none"/>
          <w:u w:val="single"/>
        </w:rPr>
      </w:pPr>
      <w:r>
        <w:rPr>
          <w:rFonts w:hint="eastAsia" w:ascii="Arial" w:hAnsi="Arial"/>
          <w:color w:val="auto"/>
          <w:highlight w:val="none"/>
        </w:rPr>
        <w:t>项目名称：</w:t>
      </w:r>
      <w:r>
        <w:rPr>
          <w:rFonts w:hint="eastAsia" w:ascii="Arial" w:hAnsi="Arial"/>
          <w:color w:val="auto"/>
          <w:highlight w:val="none"/>
          <w:u w:val="single"/>
        </w:rPr>
        <w:t xml:space="preserve">                                       </w:t>
      </w:r>
      <w:r>
        <w:rPr>
          <w:rFonts w:hint="eastAsia" w:ascii="Arial" w:hAnsi="Arial"/>
          <w:color w:val="auto"/>
          <w:highlight w:val="none"/>
        </w:rPr>
        <w:t xml:space="preserve"> 招标编号：</w:t>
      </w:r>
      <w:r>
        <w:rPr>
          <w:rFonts w:hint="eastAsia" w:ascii="Arial" w:hAnsi="Arial"/>
          <w:color w:val="auto"/>
          <w:highlight w:val="none"/>
          <w:u w:val="single"/>
        </w:rPr>
        <w:t xml:space="preserve">                   </w:t>
      </w:r>
    </w:p>
    <w:tbl>
      <w:tblPr>
        <w:tblStyle w:val="50"/>
        <w:tblW w:w="0" w:type="auto"/>
        <w:tblInd w:w="-22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310"/>
        <w:gridCol w:w="1680"/>
        <w:gridCol w:w="2100"/>
        <w:gridCol w:w="3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645" w:type="dxa"/>
            <w:vAlign w:val="center"/>
          </w:tcPr>
          <w:p>
            <w:pPr>
              <w:snapToGrid w:val="0"/>
              <w:jc w:val="center"/>
              <w:rPr>
                <w:rFonts w:ascii="Arial" w:hAnsi="Arial"/>
                <w:b/>
                <w:color w:val="auto"/>
                <w:szCs w:val="21"/>
                <w:highlight w:val="none"/>
              </w:rPr>
            </w:pPr>
            <w:r>
              <w:rPr>
                <w:rFonts w:hint="eastAsia" w:ascii="Arial" w:hAnsi="Arial"/>
                <w:b/>
                <w:color w:val="auto"/>
                <w:szCs w:val="21"/>
                <w:highlight w:val="none"/>
              </w:rPr>
              <w:t>序号</w:t>
            </w:r>
          </w:p>
        </w:tc>
        <w:tc>
          <w:tcPr>
            <w:tcW w:w="2310" w:type="dxa"/>
            <w:vAlign w:val="center"/>
          </w:tcPr>
          <w:p>
            <w:pPr>
              <w:snapToGrid w:val="0"/>
              <w:jc w:val="center"/>
              <w:rPr>
                <w:rFonts w:ascii="Arial" w:hAnsi="Arial"/>
                <w:b/>
                <w:color w:val="auto"/>
                <w:szCs w:val="21"/>
                <w:highlight w:val="none"/>
              </w:rPr>
            </w:pPr>
            <w:r>
              <w:rPr>
                <w:rFonts w:hint="eastAsia" w:ascii="Arial" w:hAnsi="Arial"/>
                <w:b/>
                <w:color w:val="auto"/>
                <w:szCs w:val="21"/>
                <w:highlight w:val="none"/>
              </w:rPr>
              <w:t>项目名称</w:t>
            </w:r>
          </w:p>
        </w:tc>
        <w:tc>
          <w:tcPr>
            <w:tcW w:w="1680" w:type="dxa"/>
            <w:vAlign w:val="center"/>
          </w:tcPr>
          <w:p>
            <w:pPr>
              <w:snapToGrid w:val="0"/>
              <w:jc w:val="center"/>
              <w:rPr>
                <w:rFonts w:ascii="Arial" w:hAnsi="Arial"/>
                <w:b/>
                <w:color w:val="auto"/>
                <w:szCs w:val="21"/>
                <w:highlight w:val="none"/>
              </w:rPr>
            </w:pPr>
            <w:r>
              <w:rPr>
                <w:rFonts w:hint="eastAsia" w:ascii="Arial" w:hAnsi="Arial"/>
                <w:b/>
                <w:color w:val="auto"/>
                <w:szCs w:val="21"/>
                <w:highlight w:val="none"/>
              </w:rPr>
              <w:t>合同签订时间</w:t>
            </w:r>
          </w:p>
        </w:tc>
        <w:tc>
          <w:tcPr>
            <w:tcW w:w="2100" w:type="dxa"/>
            <w:vAlign w:val="center"/>
          </w:tcPr>
          <w:p>
            <w:pPr>
              <w:snapToGrid w:val="0"/>
              <w:jc w:val="center"/>
              <w:rPr>
                <w:rFonts w:ascii="Arial" w:hAnsi="Arial"/>
                <w:b/>
                <w:color w:val="auto"/>
                <w:szCs w:val="21"/>
                <w:highlight w:val="none"/>
              </w:rPr>
            </w:pPr>
            <w:r>
              <w:rPr>
                <w:rFonts w:hint="eastAsia" w:ascii="Arial" w:hAnsi="Arial"/>
                <w:b/>
                <w:color w:val="auto"/>
                <w:szCs w:val="21"/>
                <w:highlight w:val="none"/>
              </w:rPr>
              <w:t>金额</w:t>
            </w:r>
          </w:p>
        </w:tc>
        <w:tc>
          <w:tcPr>
            <w:tcW w:w="3087" w:type="dxa"/>
            <w:vAlign w:val="center"/>
          </w:tcPr>
          <w:p>
            <w:pPr>
              <w:snapToGrid w:val="0"/>
              <w:jc w:val="center"/>
              <w:rPr>
                <w:rFonts w:ascii="Arial" w:hAnsi="Arial"/>
                <w:b/>
                <w:color w:val="auto"/>
                <w:szCs w:val="21"/>
                <w:highlight w:val="none"/>
              </w:rPr>
            </w:pPr>
            <w:r>
              <w:rPr>
                <w:rFonts w:hint="eastAsia" w:ascii="Arial" w:hAnsi="Arial"/>
                <w:b/>
                <w:color w:val="auto"/>
                <w:szCs w:val="21"/>
                <w:highlight w:val="none"/>
              </w:rPr>
              <w:t>项目甲方联系人/联系电话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jc w:val="center"/>
              <w:rPr>
                <w:rFonts w:ascii="Arial" w:hAnsi="Arial"/>
                <w:color w:val="auto"/>
                <w:szCs w:val="21"/>
                <w:highlight w:val="none"/>
              </w:rPr>
            </w:pPr>
            <w:r>
              <w:rPr>
                <w:rFonts w:hint="eastAsia" w:ascii="Arial" w:hAnsi="Arial"/>
                <w:color w:val="auto"/>
                <w:szCs w:val="21"/>
                <w:highlight w:val="none"/>
              </w:rPr>
              <w:t>1</w:t>
            </w:r>
          </w:p>
        </w:tc>
        <w:tc>
          <w:tcPr>
            <w:tcW w:w="2310" w:type="dxa"/>
            <w:vAlign w:val="center"/>
          </w:tcPr>
          <w:p>
            <w:pPr>
              <w:spacing w:line="300" w:lineRule="exact"/>
              <w:rPr>
                <w:rFonts w:ascii="Arial" w:hAnsi="Arial"/>
                <w:color w:val="auto"/>
                <w:szCs w:val="21"/>
                <w:highlight w:val="none"/>
              </w:rPr>
            </w:pPr>
          </w:p>
        </w:tc>
        <w:tc>
          <w:tcPr>
            <w:tcW w:w="1680" w:type="dxa"/>
            <w:vAlign w:val="center"/>
          </w:tcPr>
          <w:p>
            <w:pPr>
              <w:snapToGrid w:val="0"/>
              <w:rPr>
                <w:rFonts w:ascii="Arial" w:hAnsi="Arial"/>
                <w:color w:val="auto"/>
                <w:szCs w:val="21"/>
                <w:highlight w:val="none"/>
              </w:rPr>
            </w:pPr>
          </w:p>
        </w:tc>
        <w:tc>
          <w:tcPr>
            <w:tcW w:w="2100" w:type="dxa"/>
            <w:vAlign w:val="center"/>
          </w:tcPr>
          <w:p>
            <w:pPr>
              <w:snapToGrid w:val="0"/>
              <w:rPr>
                <w:rFonts w:ascii="Arial" w:hAnsi="Arial"/>
                <w:color w:val="auto"/>
                <w:szCs w:val="21"/>
                <w:highlight w:val="none"/>
              </w:rPr>
            </w:pPr>
          </w:p>
        </w:tc>
        <w:tc>
          <w:tcPr>
            <w:tcW w:w="3087" w:type="dxa"/>
            <w:vAlign w:val="center"/>
          </w:tcPr>
          <w:p>
            <w:pPr>
              <w:snapToGrid w:val="0"/>
              <w:rPr>
                <w:rFonts w:ascii="Arial" w:hAnsi="Arial"/>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pacing w:line="360" w:lineRule="exact"/>
              <w:jc w:val="center"/>
              <w:rPr>
                <w:rFonts w:ascii="Arial" w:hAnsi="Arial"/>
                <w:color w:val="auto"/>
                <w:szCs w:val="21"/>
                <w:highlight w:val="none"/>
              </w:rPr>
            </w:pPr>
            <w:r>
              <w:rPr>
                <w:rFonts w:hint="eastAsia" w:ascii="Arial" w:hAnsi="Arial"/>
                <w:color w:val="auto"/>
                <w:szCs w:val="21"/>
                <w:highlight w:val="none"/>
              </w:rPr>
              <w:t>2</w:t>
            </w:r>
          </w:p>
        </w:tc>
        <w:tc>
          <w:tcPr>
            <w:tcW w:w="2310" w:type="dxa"/>
            <w:vAlign w:val="center"/>
          </w:tcPr>
          <w:p>
            <w:pPr>
              <w:spacing w:line="300" w:lineRule="exact"/>
              <w:rPr>
                <w:rFonts w:ascii="Arial" w:hAnsi="Arial"/>
                <w:color w:val="auto"/>
                <w:szCs w:val="21"/>
                <w:highlight w:val="none"/>
              </w:rPr>
            </w:pPr>
          </w:p>
        </w:tc>
        <w:tc>
          <w:tcPr>
            <w:tcW w:w="1680" w:type="dxa"/>
            <w:vAlign w:val="center"/>
          </w:tcPr>
          <w:p>
            <w:pPr>
              <w:snapToGrid w:val="0"/>
              <w:rPr>
                <w:rFonts w:ascii="Arial" w:hAnsi="Arial"/>
                <w:color w:val="auto"/>
                <w:szCs w:val="21"/>
                <w:highlight w:val="none"/>
              </w:rPr>
            </w:pPr>
          </w:p>
        </w:tc>
        <w:tc>
          <w:tcPr>
            <w:tcW w:w="2100" w:type="dxa"/>
            <w:vAlign w:val="center"/>
          </w:tcPr>
          <w:p>
            <w:pPr>
              <w:snapToGrid w:val="0"/>
              <w:rPr>
                <w:rFonts w:ascii="Arial" w:hAnsi="Arial"/>
                <w:color w:val="auto"/>
                <w:szCs w:val="21"/>
                <w:highlight w:val="none"/>
              </w:rPr>
            </w:pPr>
          </w:p>
        </w:tc>
        <w:tc>
          <w:tcPr>
            <w:tcW w:w="3087" w:type="dxa"/>
            <w:vAlign w:val="center"/>
          </w:tcPr>
          <w:p>
            <w:pPr>
              <w:snapToGrid w:val="0"/>
              <w:rPr>
                <w:rFonts w:ascii="Arial" w:hAnsi="Arial"/>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jc w:val="center"/>
              <w:rPr>
                <w:rFonts w:ascii="Arial" w:hAnsi="Arial"/>
                <w:color w:val="auto"/>
                <w:szCs w:val="21"/>
                <w:highlight w:val="none"/>
              </w:rPr>
            </w:pPr>
            <w:r>
              <w:rPr>
                <w:rFonts w:hint="eastAsia" w:ascii="Arial" w:hAnsi="Arial"/>
                <w:color w:val="auto"/>
                <w:szCs w:val="21"/>
                <w:highlight w:val="none"/>
              </w:rPr>
              <w:t>3</w:t>
            </w:r>
          </w:p>
        </w:tc>
        <w:tc>
          <w:tcPr>
            <w:tcW w:w="2310" w:type="dxa"/>
            <w:vAlign w:val="center"/>
          </w:tcPr>
          <w:p>
            <w:pPr>
              <w:spacing w:line="300" w:lineRule="exact"/>
              <w:rPr>
                <w:rFonts w:ascii="Arial" w:hAnsi="Arial"/>
                <w:color w:val="auto"/>
                <w:szCs w:val="21"/>
                <w:highlight w:val="none"/>
              </w:rPr>
            </w:pPr>
          </w:p>
        </w:tc>
        <w:tc>
          <w:tcPr>
            <w:tcW w:w="1680" w:type="dxa"/>
            <w:vAlign w:val="center"/>
          </w:tcPr>
          <w:p>
            <w:pPr>
              <w:jc w:val="center"/>
              <w:rPr>
                <w:rFonts w:ascii="Arial" w:hAnsi="Arial"/>
                <w:color w:val="auto"/>
                <w:szCs w:val="21"/>
                <w:highlight w:val="none"/>
              </w:rPr>
            </w:pPr>
          </w:p>
        </w:tc>
        <w:tc>
          <w:tcPr>
            <w:tcW w:w="2100" w:type="dxa"/>
            <w:vAlign w:val="center"/>
          </w:tcPr>
          <w:p>
            <w:pPr>
              <w:jc w:val="center"/>
              <w:rPr>
                <w:rFonts w:ascii="Arial" w:hAnsi="Arial"/>
                <w:color w:val="auto"/>
                <w:szCs w:val="21"/>
                <w:highlight w:val="none"/>
              </w:rPr>
            </w:pPr>
          </w:p>
        </w:tc>
        <w:tc>
          <w:tcPr>
            <w:tcW w:w="3087" w:type="dxa"/>
            <w:vAlign w:val="center"/>
          </w:tcPr>
          <w:p>
            <w:pPr>
              <w:jc w:val="center"/>
              <w:rPr>
                <w:rFonts w:ascii="Arial" w:hAnsi="Arial"/>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jc w:val="center"/>
              <w:rPr>
                <w:rFonts w:ascii="Arial" w:hAnsi="Arial"/>
                <w:color w:val="auto"/>
                <w:szCs w:val="21"/>
                <w:highlight w:val="none"/>
              </w:rPr>
            </w:pPr>
            <w:r>
              <w:rPr>
                <w:rFonts w:hint="eastAsia" w:ascii="Arial" w:hAnsi="Arial"/>
                <w:color w:val="auto"/>
                <w:szCs w:val="21"/>
                <w:highlight w:val="none"/>
              </w:rPr>
              <w:t>4</w:t>
            </w:r>
          </w:p>
        </w:tc>
        <w:tc>
          <w:tcPr>
            <w:tcW w:w="2310" w:type="dxa"/>
            <w:vAlign w:val="center"/>
          </w:tcPr>
          <w:p>
            <w:pPr>
              <w:spacing w:line="300" w:lineRule="exact"/>
              <w:rPr>
                <w:rFonts w:ascii="Arial" w:hAnsi="Arial"/>
                <w:color w:val="auto"/>
                <w:szCs w:val="21"/>
                <w:highlight w:val="none"/>
              </w:rPr>
            </w:pPr>
          </w:p>
        </w:tc>
        <w:tc>
          <w:tcPr>
            <w:tcW w:w="1680" w:type="dxa"/>
            <w:vAlign w:val="center"/>
          </w:tcPr>
          <w:p>
            <w:pPr>
              <w:snapToGrid w:val="0"/>
              <w:rPr>
                <w:rFonts w:ascii="Arial" w:hAnsi="Arial"/>
                <w:color w:val="auto"/>
                <w:szCs w:val="21"/>
                <w:highlight w:val="none"/>
              </w:rPr>
            </w:pPr>
          </w:p>
        </w:tc>
        <w:tc>
          <w:tcPr>
            <w:tcW w:w="2100" w:type="dxa"/>
            <w:vAlign w:val="center"/>
          </w:tcPr>
          <w:p>
            <w:pPr>
              <w:spacing w:line="300" w:lineRule="exact"/>
              <w:rPr>
                <w:rFonts w:ascii="Arial" w:hAnsi="Arial"/>
                <w:color w:val="auto"/>
                <w:szCs w:val="21"/>
                <w:highlight w:val="none"/>
              </w:rPr>
            </w:pPr>
          </w:p>
        </w:tc>
        <w:tc>
          <w:tcPr>
            <w:tcW w:w="3087" w:type="dxa"/>
            <w:vAlign w:val="center"/>
          </w:tcPr>
          <w:p>
            <w:pPr>
              <w:spacing w:line="300" w:lineRule="exact"/>
              <w:rPr>
                <w:rFonts w:ascii="Arial" w:hAnsi="Arial"/>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rPr>
                <w:rFonts w:ascii="Arial" w:hAnsi="Arial"/>
                <w:color w:val="auto"/>
                <w:szCs w:val="21"/>
                <w:highlight w:val="none"/>
              </w:rPr>
            </w:pPr>
          </w:p>
        </w:tc>
        <w:tc>
          <w:tcPr>
            <w:tcW w:w="2310" w:type="dxa"/>
            <w:vAlign w:val="center"/>
          </w:tcPr>
          <w:p>
            <w:pPr>
              <w:spacing w:line="300" w:lineRule="exact"/>
              <w:rPr>
                <w:rFonts w:ascii="Arial" w:hAnsi="Arial"/>
                <w:color w:val="auto"/>
                <w:szCs w:val="21"/>
                <w:highlight w:val="none"/>
              </w:rPr>
            </w:pPr>
          </w:p>
        </w:tc>
        <w:tc>
          <w:tcPr>
            <w:tcW w:w="1680" w:type="dxa"/>
            <w:vAlign w:val="center"/>
          </w:tcPr>
          <w:p>
            <w:pPr>
              <w:snapToGrid w:val="0"/>
              <w:rPr>
                <w:rFonts w:ascii="Arial" w:hAnsi="Arial"/>
                <w:color w:val="auto"/>
                <w:szCs w:val="21"/>
                <w:highlight w:val="none"/>
              </w:rPr>
            </w:pPr>
          </w:p>
        </w:tc>
        <w:tc>
          <w:tcPr>
            <w:tcW w:w="2100" w:type="dxa"/>
            <w:vAlign w:val="center"/>
          </w:tcPr>
          <w:p>
            <w:pPr>
              <w:spacing w:line="300" w:lineRule="exact"/>
              <w:rPr>
                <w:rFonts w:ascii="Arial" w:hAnsi="Arial"/>
                <w:color w:val="auto"/>
                <w:szCs w:val="21"/>
                <w:highlight w:val="none"/>
              </w:rPr>
            </w:pPr>
          </w:p>
        </w:tc>
        <w:tc>
          <w:tcPr>
            <w:tcW w:w="3087" w:type="dxa"/>
            <w:vAlign w:val="center"/>
          </w:tcPr>
          <w:p>
            <w:pPr>
              <w:spacing w:line="300" w:lineRule="exact"/>
              <w:rPr>
                <w:rFonts w:ascii="Arial" w:hAnsi="Arial"/>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rPr>
                <w:rFonts w:ascii="Arial" w:hAnsi="Arial"/>
                <w:color w:val="auto"/>
                <w:szCs w:val="21"/>
                <w:highlight w:val="none"/>
              </w:rPr>
            </w:pPr>
          </w:p>
        </w:tc>
        <w:tc>
          <w:tcPr>
            <w:tcW w:w="2310" w:type="dxa"/>
            <w:vAlign w:val="center"/>
          </w:tcPr>
          <w:p>
            <w:pPr>
              <w:spacing w:line="300" w:lineRule="exact"/>
              <w:rPr>
                <w:rFonts w:ascii="Arial" w:hAnsi="Arial"/>
                <w:color w:val="auto"/>
                <w:szCs w:val="21"/>
                <w:highlight w:val="none"/>
              </w:rPr>
            </w:pPr>
          </w:p>
        </w:tc>
        <w:tc>
          <w:tcPr>
            <w:tcW w:w="1680" w:type="dxa"/>
            <w:vAlign w:val="center"/>
          </w:tcPr>
          <w:p>
            <w:pPr>
              <w:snapToGrid w:val="0"/>
              <w:rPr>
                <w:rFonts w:ascii="Arial" w:hAnsi="Arial"/>
                <w:color w:val="auto"/>
                <w:szCs w:val="21"/>
                <w:highlight w:val="none"/>
              </w:rPr>
            </w:pPr>
          </w:p>
        </w:tc>
        <w:tc>
          <w:tcPr>
            <w:tcW w:w="2100" w:type="dxa"/>
            <w:vAlign w:val="center"/>
          </w:tcPr>
          <w:p>
            <w:pPr>
              <w:spacing w:line="300" w:lineRule="exact"/>
              <w:rPr>
                <w:rFonts w:ascii="Arial" w:hAnsi="Arial"/>
                <w:color w:val="auto"/>
                <w:szCs w:val="21"/>
                <w:highlight w:val="none"/>
              </w:rPr>
            </w:pPr>
          </w:p>
        </w:tc>
        <w:tc>
          <w:tcPr>
            <w:tcW w:w="3087" w:type="dxa"/>
            <w:vAlign w:val="center"/>
          </w:tcPr>
          <w:p>
            <w:pPr>
              <w:spacing w:line="300" w:lineRule="exact"/>
              <w:rPr>
                <w:rFonts w:ascii="Arial" w:hAnsi="Arial"/>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napToGrid w:val="0"/>
              <w:rPr>
                <w:rFonts w:ascii="Arial" w:hAnsi="Arial"/>
                <w:color w:val="auto"/>
                <w:szCs w:val="21"/>
                <w:highlight w:val="none"/>
              </w:rPr>
            </w:pPr>
          </w:p>
        </w:tc>
        <w:tc>
          <w:tcPr>
            <w:tcW w:w="2310" w:type="dxa"/>
            <w:vAlign w:val="center"/>
          </w:tcPr>
          <w:p>
            <w:pPr>
              <w:spacing w:line="300" w:lineRule="exact"/>
              <w:rPr>
                <w:rFonts w:ascii="Arial" w:hAnsi="Arial"/>
                <w:color w:val="auto"/>
                <w:szCs w:val="21"/>
                <w:highlight w:val="none"/>
              </w:rPr>
            </w:pPr>
          </w:p>
        </w:tc>
        <w:tc>
          <w:tcPr>
            <w:tcW w:w="1680" w:type="dxa"/>
            <w:vAlign w:val="center"/>
          </w:tcPr>
          <w:p>
            <w:pPr>
              <w:jc w:val="center"/>
              <w:rPr>
                <w:rFonts w:ascii="Arial" w:hAnsi="Arial"/>
                <w:color w:val="auto"/>
                <w:szCs w:val="21"/>
                <w:highlight w:val="none"/>
              </w:rPr>
            </w:pPr>
          </w:p>
        </w:tc>
        <w:tc>
          <w:tcPr>
            <w:tcW w:w="2100" w:type="dxa"/>
            <w:vAlign w:val="center"/>
          </w:tcPr>
          <w:p>
            <w:pPr>
              <w:jc w:val="center"/>
              <w:rPr>
                <w:rFonts w:ascii="Arial" w:hAnsi="Arial"/>
                <w:color w:val="auto"/>
                <w:szCs w:val="21"/>
                <w:highlight w:val="none"/>
              </w:rPr>
            </w:pPr>
          </w:p>
        </w:tc>
        <w:tc>
          <w:tcPr>
            <w:tcW w:w="3087" w:type="dxa"/>
            <w:vAlign w:val="center"/>
          </w:tcPr>
          <w:p>
            <w:pPr>
              <w:jc w:val="center"/>
              <w:rPr>
                <w:rFonts w:ascii="Arial" w:hAnsi="Arial"/>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45" w:type="dxa"/>
            <w:vAlign w:val="center"/>
          </w:tcPr>
          <w:p>
            <w:pPr>
              <w:spacing w:line="360" w:lineRule="exact"/>
              <w:rPr>
                <w:rFonts w:ascii="Arial" w:hAnsi="Arial"/>
                <w:color w:val="auto"/>
                <w:szCs w:val="21"/>
                <w:highlight w:val="none"/>
              </w:rPr>
            </w:pPr>
          </w:p>
        </w:tc>
        <w:tc>
          <w:tcPr>
            <w:tcW w:w="2310" w:type="dxa"/>
            <w:vAlign w:val="center"/>
          </w:tcPr>
          <w:p>
            <w:pPr>
              <w:spacing w:line="300" w:lineRule="exact"/>
              <w:rPr>
                <w:rFonts w:ascii="Arial" w:hAnsi="Arial"/>
                <w:color w:val="auto"/>
                <w:szCs w:val="21"/>
                <w:highlight w:val="none"/>
              </w:rPr>
            </w:pPr>
          </w:p>
        </w:tc>
        <w:tc>
          <w:tcPr>
            <w:tcW w:w="1680" w:type="dxa"/>
            <w:vAlign w:val="center"/>
          </w:tcPr>
          <w:p>
            <w:pPr>
              <w:jc w:val="center"/>
              <w:rPr>
                <w:rFonts w:ascii="Arial" w:hAnsi="Arial"/>
                <w:color w:val="auto"/>
                <w:szCs w:val="21"/>
                <w:highlight w:val="none"/>
              </w:rPr>
            </w:pPr>
          </w:p>
        </w:tc>
        <w:tc>
          <w:tcPr>
            <w:tcW w:w="2100" w:type="dxa"/>
            <w:vAlign w:val="center"/>
          </w:tcPr>
          <w:p>
            <w:pPr>
              <w:jc w:val="center"/>
              <w:rPr>
                <w:rFonts w:ascii="Arial" w:hAnsi="Arial"/>
                <w:color w:val="auto"/>
                <w:szCs w:val="21"/>
                <w:highlight w:val="none"/>
              </w:rPr>
            </w:pPr>
          </w:p>
        </w:tc>
        <w:tc>
          <w:tcPr>
            <w:tcW w:w="3087" w:type="dxa"/>
            <w:vAlign w:val="center"/>
          </w:tcPr>
          <w:p>
            <w:pPr>
              <w:jc w:val="center"/>
              <w:rPr>
                <w:rFonts w:ascii="Arial" w:hAnsi="Arial"/>
                <w:color w:val="auto"/>
                <w:szCs w:val="21"/>
                <w:highlight w:val="none"/>
              </w:rPr>
            </w:pPr>
          </w:p>
        </w:tc>
      </w:tr>
    </w:tbl>
    <w:p>
      <w:pPr>
        <w:tabs>
          <w:tab w:val="center" w:pos="4410"/>
        </w:tabs>
        <w:spacing w:beforeLines="50" w:line="360" w:lineRule="auto"/>
        <w:rPr>
          <w:rFonts w:ascii="Arial" w:hAnsi="Arial"/>
          <w:color w:val="auto"/>
          <w:spacing w:val="-4"/>
          <w:szCs w:val="20"/>
          <w:highlight w:val="none"/>
        </w:rPr>
      </w:pPr>
      <w:r>
        <w:rPr>
          <w:rFonts w:hint="eastAsia" w:ascii="Arial" w:hAnsi="Arial"/>
          <w:color w:val="auto"/>
          <w:spacing w:val="-4"/>
          <w:szCs w:val="20"/>
          <w:highlight w:val="none"/>
        </w:rPr>
        <w:t>注：本表后附评标细则要求提供的证明资料。</w:t>
      </w:r>
    </w:p>
    <w:p>
      <w:pPr>
        <w:rPr>
          <w:rFonts w:ascii="Arial" w:hAnsi="Arial"/>
          <w:color w:val="auto"/>
          <w:sz w:val="24"/>
          <w:highlight w:val="none"/>
        </w:rPr>
      </w:pPr>
    </w:p>
    <w:p>
      <w:pPr>
        <w:rPr>
          <w:rFonts w:ascii="Arial" w:hAnsi="Arial"/>
          <w:color w:val="auto"/>
          <w:sz w:val="24"/>
          <w:highlight w:val="none"/>
        </w:rPr>
      </w:pP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jc w:val="righ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right"/>
        <w:rPr>
          <w:rFonts w:ascii="宋体" w:hAnsi="宋体"/>
          <w:color w:val="auto"/>
          <w:sz w:val="22"/>
          <w:szCs w:val="22"/>
          <w:highlight w:val="none"/>
        </w:rPr>
      </w:pPr>
      <w:r>
        <w:rPr>
          <w:rFonts w:hint="eastAsia" w:hAnsi="宋体" w:cs="宋体"/>
          <w:color w:val="auto"/>
          <w:szCs w:val="21"/>
          <w:highlight w:val="none"/>
        </w:rPr>
        <w:t xml:space="preserve">                                      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pStyle w:val="3"/>
        <w:keepNext w:val="0"/>
        <w:keepLines w:val="0"/>
        <w:pageBreakBefore w:val="0"/>
        <w:widowControl/>
        <w:kinsoku/>
        <w:wordWrap/>
        <w:overflowPunct/>
        <w:topLinePunct w:val="0"/>
        <w:autoSpaceDE/>
        <w:autoSpaceDN/>
        <w:bidi w:val="0"/>
        <w:adjustRightInd/>
        <w:snapToGrid/>
        <w:spacing w:line="360" w:lineRule="auto"/>
        <w:jc w:val="center"/>
        <w:textAlignment w:val="auto"/>
        <w:outlineLvl w:val="2"/>
        <w:rPr>
          <w:rFonts w:hAnsi="宋体" w:cs="宋体"/>
          <w:b/>
          <w:color w:val="auto"/>
          <w:sz w:val="32"/>
          <w:szCs w:val="32"/>
          <w:highlight w:val="none"/>
        </w:rPr>
      </w:pPr>
      <w:r>
        <w:rPr>
          <w:rFonts w:hint="eastAsia" w:hAnsi="宋体" w:cs="宋体"/>
          <w:color w:val="auto"/>
          <w:szCs w:val="21"/>
          <w:highlight w:val="none"/>
        </w:rPr>
        <w:br w:type="page"/>
      </w:r>
      <w:r>
        <w:rPr>
          <w:rFonts w:hint="eastAsia" w:hAnsi="宋体" w:cs="宋体"/>
          <w:b/>
          <w:color w:val="auto"/>
          <w:sz w:val="32"/>
          <w:szCs w:val="32"/>
          <w:highlight w:val="none"/>
        </w:rPr>
        <w:t>投标函</w:t>
      </w:r>
    </w:p>
    <w:p>
      <w:pPr>
        <w:pStyle w:val="3"/>
        <w:spacing w:line="400" w:lineRule="exact"/>
        <w:rPr>
          <w:rFonts w:hAnsi="宋体" w:cs="宋体"/>
          <w:color w:val="auto"/>
          <w:szCs w:val="21"/>
          <w:highlight w:val="none"/>
        </w:rPr>
      </w:pPr>
      <w:r>
        <w:rPr>
          <w:rFonts w:hint="eastAsia" w:hAnsi="宋体" w:cs="宋体"/>
          <w:color w:val="auto"/>
          <w:szCs w:val="21"/>
          <w:highlight w:val="none"/>
          <w:u w:val="single"/>
        </w:rPr>
        <w:t xml:space="preserve">   致（采购人）  </w:t>
      </w:r>
      <w:r>
        <w:rPr>
          <w:rFonts w:hint="eastAsia" w:hAnsi="宋体" w:cs="宋体"/>
          <w:color w:val="auto"/>
          <w:szCs w:val="21"/>
          <w:highlight w:val="none"/>
        </w:rPr>
        <w:t>：</w:t>
      </w:r>
    </w:p>
    <w:p>
      <w:pPr>
        <w:pStyle w:val="3"/>
        <w:spacing w:line="400" w:lineRule="exact"/>
        <w:rPr>
          <w:rFonts w:hAnsi="宋体" w:cs="宋体"/>
          <w:color w:val="auto"/>
          <w:szCs w:val="21"/>
          <w:highlight w:val="none"/>
        </w:rPr>
      </w:pPr>
      <w:r>
        <w:rPr>
          <w:rFonts w:hint="eastAsia" w:hAnsi="宋体" w:cs="宋体"/>
          <w:color w:val="auto"/>
          <w:szCs w:val="21"/>
          <w:highlight w:val="none"/>
        </w:rPr>
        <w:t xml:space="preserve">     </w:t>
      </w:r>
      <w:r>
        <w:rPr>
          <w:rFonts w:hint="eastAsia" w:hAnsi="宋体" w:cs="宋体"/>
          <w:color w:val="auto"/>
          <w:szCs w:val="21"/>
          <w:highlight w:val="none"/>
          <w:u w:val="single"/>
        </w:rPr>
        <w:t xml:space="preserve">（供应商全称） </w:t>
      </w:r>
      <w:r>
        <w:rPr>
          <w:rFonts w:hint="eastAsia" w:hAnsi="宋体" w:cs="宋体"/>
          <w:color w:val="auto"/>
          <w:szCs w:val="21"/>
          <w:highlight w:val="none"/>
        </w:rPr>
        <w:t>授权</w:t>
      </w:r>
      <w:r>
        <w:rPr>
          <w:rFonts w:hint="eastAsia" w:hAnsi="宋体" w:cs="宋体"/>
          <w:color w:val="auto"/>
          <w:szCs w:val="21"/>
          <w:highlight w:val="none"/>
          <w:u w:val="single"/>
        </w:rPr>
        <w:t>（全权代表姓名）</w:t>
      </w:r>
      <w:r>
        <w:rPr>
          <w:rFonts w:hint="eastAsia" w:hAnsi="宋体" w:cs="宋体"/>
          <w:color w:val="auto"/>
          <w:szCs w:val="21"/>
          <w:highlight w:val="none"/>
        </w:rPr>
        <w:t>为本公司（单位）合法代理人，参加贵方组织的</w:t>
      </w:r>
      <w:r>
        <w:rPr>
          <w:rFonts w:hint="eastAsia" w:hAnsi="宋体" w:cs="宋体"/>
          <w:color w:val="auto"/>
          <w:szCs w:val="21"/>
          <w:highlight w:val="none"/>
          <w:u w:val="single"/>
        </w:rPr>
        <w:t xml:space="preserve">（招标编号、项目名称）  </w:t>
      </w:r>
      <w:r>
        <w:rPr>
          <w:rFonts w:hint="eastAsia" w:hAnsi="宋体" w:cs="宋体"/>
          <w:color w:val="auto"/>
          <w:szCs w:val="21"/>
          <w:highlight w:val="none"/>
        </w:rPr>
        <w:t>招投标活动，代表本公司（单位）处理招投标活动中的一切事宜，为对</w:t>
      </w:r>
      <w:r>
        <w:rPr>
          <w:rFonts w:hint="eastAsia" w:hAnsi="宋体" w:cs="宋体"/>
          <w:color w:val="auto"/>
          <w:szCs w:val="21"/>
          <w:highlight w:val="none"/>
          <w:u w:val="single"/>
        </w:rPr>
        <w:t xml:space="preserve"> （项目名称）</w:t>
      </w:r>
      <w:r>
        <w:rPr>
          <w:rFonts w:hint="eastAsia" w:hAnsi="宋体" w:cs="宋体"/>
          <w:color w:val="auto"/>
          <w:szCs w:val="21"/>
          <w:highlight w:val="none"/>
        </w:rPr>
        <w:t>进行投标，在此：</w:t>
      </w:r>
    </w:p>
    <w:p>
      <w:pPr>
        <w:pStyle w:val="3"/>
        <w:spacing w:line="400" w:lineRule="exact"/>
        <w:ind w:firstLine="420" w:firstLineChars="200"/>
        <w:rPr>
          <w:rFonts w:hAnsi="宋体" w:cs="宋体"/>
          <w:color w:val="auto"/>
          <w:szCs w:val="21"/>
          <w:highlight w:val="none"/>
        </w:rPr>
      </w:pPr>
      <w:r>
        <w:rPr>
          <w:rFonts w:hint="eastAsia" w:hAnsi="宋体" w:cs="宋体"/>
          <w:color w:val="auto"/>
          <w:szCs w:val="21"/>
          <w:highlight w:val="none"/>
        </w:rPr>
        <w:t xml:space="preserve">1、提供招标文件中“投标须知”规定的全部投标文件。 </w:t>
      </w:r>
    </w:p>
    <w:p>
      <w:pPr>
        <w:pStyle w:val="3"/>
        <w:spacing w:line="400" w:lineRule="exact"/>
        <w:ind w:firstLine="420" w:firstLineChars="200"/>
        <w:rPr>
          <w:rFonts w:hAnsi="宋体" w:cs="宋体"/>
          <w:color w:val="auto"/>
          <w:szCs w:val="21"/>
          <w:highlight w:val="none"/>
        </w:rPr>
      </w:pPr>
      <w:r>
        <w:rPr>
          <w:rFonts w:hint="eastAsia" w:hAnsi="宋体" w:cs="宋体"/>
          <w:color w:val="auto"/>
          <w:szCs w:val="21"/>
          <w:highlight w:val="none"/>
        </w:rPr>
        <w:t>2、据此函，签字代表宣布并承诺如下：</w:t>
      </w:r>
    </w:p>
    <w:p>
      <w:pPr>
        <w:pStyle w:val="3"/>
        <w:spacing w:line="400" w:lineRule="exact"/>
        <w:ind w:firstLine="420" w:firstLineChars="200"/>
        <w:rPr>
          <w:rFonts w:hAnsi="宋体" w:cs="宋体"/>
          <w:color w:val="auto"/>
          <w:szCs w:val="21"/>
          <w:highlight w:val="none"/>
        </w:rPr>
      </w:pPr>
      <w:r>
        <w:rPr>
          <w:rFonts w:hint="eastAsia" w:hAnsi="宋体" w:cs="宋体"/>
          <w:color w:val="auto"/>
          <w:szCs w:val="21"/>
          <w:highlight w:val="none"/>
        </w:rPr>
        <w:t xml:space="preserve">   投标报价：</w:t>
      </w:r>
      <w:r>
        <w:rPr>
          <w:rFonts w:hint="eastAsia" w:hAnsi="宋体" w:cs="宋体"/>
          <w:color w:val="auto"/>
          <w:szCs w:val="21"/>
          <w:highlight w:val="none"/>
          <w:u w:val="single"/>
        </w:rPr>
        <w:t xml:space="preserve">        </w:t>
      </w:r>
      <w:r>
        <w:rPr>
          <w:rFonts w:hint="eastAsia" w:hAnsi="宋体" w:cs="宋体"/>
          <w:color w:val="auto"/>
          <w:szCs w:val="21"/>
          <w:highlight w:val="none"/>
        </w:rPr>
        <w:t>元。</w:t>
      </w:r>
    </w:p>
    <w:p>
      <w:pPr>
        <w:pStyle w:val="3"/>
        <w:spacing w:line="400" w:lineRule="exact"/>
        <w:rPr>
          <w:rFonts w:hAnsi="宋体" w:cs="宋体"/>
          <w:color w:val="auto"/>
          <w:szCs w:val="21"/>
          <w:highlight w:val="none"/>
        </w:rPr>
      </w:pPr>
      <w:r>
        <w:rPr>
          <w:rFonts w:hint="eastAsia" w:hAnsi="宋体" w:cs="宋体"/>
          <w:color w:val="auto"/>
          <w:szCs w:val="21"/>
          <w:highlight w:val="none"/>
        </w:rPr>
        <w:t xml:space="preserve">    本报价已经包含了所提供服务应纳的税金及招标文件规定的报价方式应包含的其它费用。本报价在投标有效期内固定不变，并在合同有效期内不受市场价变化、不受实际工作量变化及利率波动的影响。</w:t>
      </w:r>
    </w:p>
    <w:p>
      <w:pPr>
        <w:pStyle w:val="3"/>
        <w:spacing w:line="400" w:lineRule="exact"/>
        <w:rPr>
          <w:rFonts w:hAnsi="宋体" w:cs="宋体"/>
          <w:color w:val="auto"/>
          <w:szCs w:val="21"/>
          <w:highlight w:val="none"/>
        </w:rPr>
      </w:pPr>
      <w:r>
        <w:rPr>
          <w:rFonts w:hint="eastAsia" w:hAnsi="宋体" w:cs="宋体"/>
          <w:color w:val="auto"/>
          <w:szCs w:val="21"/>
          <w:highlight w:val="none"/>
        </w:rPr>
        <w:t xml:space="preserve">    3、本投标自投标截止之日起</w:t>
      </w:r>
      <w:r>
        <w:rPr>
          <w:rFonts w:hint="eastAsia" w:hAnsi="宋体" w:cs="宋体"/>
          <w:color w:val="auto"/>
          <w:szCs w:val="21"/>
          <w:highlight w:val="none"/>
          <w:u w:val="single"/>
        </w:rPr>
        <w:t>90</w:t>
      </w:r>
      <w:r>
        <w:rPr>
          <w:rFonts w:hint="eastAsia" w:hAnsi="宋体" w:cs="宋体"/>
          <w:color w:val="auto"/>
          <w:szCs w:val="21"/>
          <w:highlight w:val="none"/>
        </w:rPr>
        <w:t>天内有效。</w:t>
      </w:r>
    </w:p>
    <w:p>
      <w:pPr>
        <w:pStyle w:val="3"/>
        <w:spacing w:line="400" w:lineRule="exact"/>
        <w:rPr>
          <w:rFonts w:hAnsi="宋体" w:cs="宋体"/>
          <w:color w:val="auto"/>
          <w:szCs w:val="21"/>
          <w:highlight w:val="none"/>
        </w:rPr>
      </w:pPr>
      <w:r>
        <w:rPr>
          <w:rFonts w:hint="eastAsia" w:hAnsi="宋体" w:cs="宋体"/>
          <w:color w:val="auto"/>
          <w:szCs w:val="21"/>
          <w:highlight w:val="none"/>
        </w:rPr>
        <w:t xml:space="preserve">    4、我们已详细审查全部招标文件及有关的澄清/修改文件(若有的话)，我们完全理解并同意放弃对这方面提出任何异议的权利。保证遵守招标文件有关条款规定。</w:t>
      </w:r>
    </w:p>
    <w:p>
      <w:pPr>
        <w:pStyle w:val="3"/>
        <w:spacing w:line="400" w:lineRule="exact"/>
        <w:rPr>
          <w:rFonts w:hAnsi="宋体" w:cs="宋体"/>
          <w:color w:val="auto"/>
          <w:szCs w:val="21"/>
          <w:highlight w:val="none"/>
        </w:rPr>
      </w:pPr>
      <w:r>
        <w:rPr>
          <w:rFonts w:hint="eastAsia" w:hAnsi="宋体" w:cs="宋体"/>
          <w:color w:val="auto"/>
          <w:szCs w:val="21"/>
          <w:highlight w:val="none"/>
        </w:rPr>
        <w:t xml:space="preserve">    5、保证遵守招标文件有关条款规定。</w:t>
      </w:r>
    </w:p>
    <w:p>
      <w:pPr>
        <w:pStyle w:val="3"/>
        <w:spacing w:line="400" w:lineRule="exact"/>
        <w:rPr>
          <w:rFonts w:hAnsi="宋体" w:cs="宋体"/>
          <w:color w:val="auto"/>
          <w:szCs w:val="21"/>
          <w:highlight w:val="none"/>
        </w:rPr>
      </w:pPr>
      <w:r>
        <w:rPr>
          <w:rFonts w:hint="eastAsia" w:hAnsi="宋体" w:cs="宋体"/>
          <w:color w:val="auto"/>
          <w:szCs w:val="21"/>
          <w:highlight w:val="none"/>
        </w:rPr>
        <w:t xml:space="preserve">    6、保证在中标后忠实地执行与招标人所签署的合同，并承担合同规定的责任义务。保证在中标后按照招标文件的规定支付中标服务费。</w:t>
      </w:r>
    </w:p>
    <w:p>
      <w:pPr>
        <w:pStyle w:val="3"/>
        <w:spacing w:line="400" w:lineRule="exact"/>
        <w:rPr>
          <w:rFonts w:hAnsi="宋体" w:cs="宋体"/>
          <w:color w:val="auto"/>
          <w:szCs w:val="21"/>
          <w:highlight w:val="none"/>
        </w:rPr>
      </w:pPr>
      <w:r>
        <w:rPr>
          <w:rFonts w:hint="eastAsia" w:hAnsi="宋体" w:cs="宋体"/>
          <w:color w:val="auto"/>
          <w:szCs w:val="21"/>
          <w:highlight w:val="none"/>
        </w:rPr>
        <w:t xml:space="preserve">    7、承诺应贵方要求提供任何与该项目投标有关的数据、情况和技术资料。</w:t>
      </w:r>
    </w:p>
    <w:p>
      <w:pPr>
        <w:pStyle w:val="3"/>
        <w:spacing w:line="400" w:lineRule="exact"/>
        <w:ind w:firstLine="420" w:firstLineChars="200"/>
        <w:rPr>
          <w:rFonts w:hAnsi="宋体" w:cs="宋体"/>
          <w:color w:val="auto"/>
          <w:szCs w:val="21"/>
          <w:highlight w:val="none"/>
        </w:rPr>
      </w:pPr>
      <w:r>
        <w:rPr>
          <w:rFonts w:hint="eastAsia" w:hAnsi="宋体" w:cs="宋体"/>
          <w:color w:val="auto"/>
          <w:szCs w:val="21"/>
          <w:highlight w:val="none"/>
        </w:rPr>
        <w:t>8、与本投标有关的一切往来通讯请寄：</w:t>
      </w:r>
    </w:p>
    <w:p>
      <w:pPr>
        <w:pStyle w:val="3"/>
        <w:spacing w:line="400" w:lineRule="exact"/>
        <w:rPr>
          <w:rFonts w:hAnsi="宋体" w:cs="宋体"/>
          <w:color w:val="auto"/>
          <w:szCs w:val="21"/>
          <w:highlight w:val="none"/>
        </w:rPr>
      </w:pPr>
      <w:r>
        <w:rPr>
          <w:rFonts w:hint="eastAsia" w:hAnsi="宋体" w:cs="宋体"/>
          <w:color w:val="auto"/>
          <w:szCs w:val="21"/>
          <w:highlight w:val="none"/>
        </w:rPr>
        <w:t>地址：</w:t>
      </w:r>
      <w:r>
        <w:rPr>
          <w:rFonts w:hint="eastAsia" w:hAnsi="宋体" w:cs="宋体"/>
          <w:color w:val="auto"/>
          <w:szCs w:val="21"/>
          <w:highlight w:val="none"/>
          <w:u w:val="single"/>
        </w:rPr>
        <w:t xml:space="preserve">                                                   </w:t>
      </w:r>
    </w:p>
    <w:p>
      <w:pPr>
        <w:pStyle w:val="3"/>
        <w:spacing w:line="400" w:lineRule="exact"/>
        <w:rPr>
          <w:rFonts w:hAnsi="宋体" w:cs="宋体"/>
          <w:color w:val="auto"/>
          <w:szCs w:val="21"/>
          <w:highlight w:val="none"/>
          <w:u w:val="single"/>
        </w:rPr>
      </w:pPr>
      <w:r>
        <w:rPr>
          <w:rFonts w:hint="eastAsia" w:hAnsi="宋体" w:cs="宋体"/>
          <w:color w:val="auto"/>
          <w:szCs w:val="21"/>
          <w:highlight w:val="none"/>
        </w:rPr>
        <w:t>邮编：</w:t>
      </w:r>
      <w:r>
        <w:rPr>
          <w:rFonts w:hint="eastAsia" w:hAnsi="宋体" w:cs="宋体"/>
          <w:color w:val="auto"/>
          <w:szCs w:val="21"/>
          <w:highlight w:val="none"/>
          <w:u w:val="single"/>
        </w:rPr>
        <w:t xml:space="preserve">            </w:t>
      </w:r>
      <w:r>
        <w:rPr>
          <w:rFonts w:hint="eastAsia" w:hAnsi="宋体" w:cs="宋体"/>
          <w:color w:val="auto"/>
          <w:szCs w:val="21"/>
          <w:highlight w:val="none"/>
        </w:rPr>
        <w:t>电话：</w:t>
      </w:r>
      <w:r>
        <w:rPr>
          <w:rFonts w:hint="eastAsia" w:hAnsi="宋体" w:cs="宋体"/>
          <w:color w:val="auto"/>
          <w:szCs w:val="21"/>
          <w:highlight w:val="none"/>
          <w:u w:val="single"/>
        </w:rPr>
        <w:t xml:space="preserve">              </w:t>
      </w:r>
      <w:r>
        <w:rPr>
          <w:rFonts w:hint="eastAsia" w:hAnsi="宋体" w:cs="宋体"/>
          <w:color w:val="auto"/>
          <w:szCs w:val="21"/>
          <w:highlight w:val="none"/>
        </w:rPr>
        <w:t>传真：</w:t>
      </w:r>
      <w:r>
        <w:rPr>
          <w:rFonts w:hint="eastAsia" w:hAnsi="宋体" w:cs="宋体"/>
          <w:color w:val="auto"/>
          <w:szCs w:val="21"/>
          <w:highlight w:val="none"/>
          <w:u w:val="single"/>
        </w:rPr>
        <w:t xml:space="preserve">    </w:t>
      </w:r>
    </w:p>
    <w:p>
      <w:pPr>
        <w:pStyle w:val="3"/>
        <w:spacing w:line="360" w:lineRule="auto"/>
        <w:rPr>
          <w:rFonts w:hAnsi="宋体" w:cs="宋体"/>
          <w:color w:val="auto"/>
          <w:szCs w:val="21"/>
          <w:highlight w:val="none"/>
        </w:rPr>
      </w:pPr>
    </w:p>
    <w:p>
      <w:pPr>
        <w:pStyle w:val="3"/>
        <w:spacing w:line="360" w:lineRule="auto"/>
        <w:rPr>
          <w:rFonts w:hAnsi="宋体" w:cs="宋体"/>
          <w:color w:val="auto"/>
          <w:szCs w:val="21"/>
          <w:highlight w:val="none"/>
        </w:rPr>
      </w:pPr>
    </w:p>
    <w:p>
      <w:pPr>
        <w:pStyle w:val="3"/>
        <w:widowControl/>
        <w:spacing w:line="360" w:lineRule="auto"/>
        <w:ind w:left="0" w:leftChars="0" w:firstLine="0" w:firstLineChars="0"/>
        <w:jc w:val="lef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ind w:left="0" w:leftChars="0" w:firstLine="0" w:firstLineChars="0"/>
        <w:jc w:val="lef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left"/>
        <w:rPr>
          <w:rFonts w:ascii="宋体" w:hAnsi="宋体"/>
          <w:color w:val="auto"/>
          <w:sz w:val="22"/>
          <w:szCs w:val="22"/>
          <w:highlight w:val="none"/>
        </w:rPr>
      </w:pPr>
      <w:r>
        <w:rPr>
          <w:rFonts w:hint="eastAsia" w:hAnsi="宋体" w:cs="宋体"/>
          <w:color w:val="auto"/>
          <w:szCs w:val="21"/>
          <w:highlight w:val="none"/>
        </w:rPr>
        <w:t>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pStyle w:val="173"/>
        <w:keepNext w:val="0"/>
        <w:pageBreakBefore w:val="0"/>
        <w:tabs>
          <w:tab w:val="left" w:pos="420"/>
        </w:tabs>
        <w:adjustRightInd w:val="0"/>
        <w:snapToGrid w:val="0"/>
        <w:outlineLvl w:val="2"/>
        <w:rPr>
          <w:rFonts w:ascii="宋体" w:hAnsi="宋体" w:eastAsia="宋体"/>
          <w:color w:val="auto"/>
          <w:kern w:val="2"/>
          <w:highlight w:val="none"/>
        </w:rPr>
      </w:pPr>
      <w:r>
        <w:rPr>
          <w:rFonts w:hint="eastAsia" w:ascii="宋体" w:hAnsi="宋体"/>
          <w:b w:val="0"/>
          <w:color w:val="auto"/>
          <w:sz w:val="28"/>
          <w:szCs w:val="28"/>
          <w:highlight w:val="none"/>
        </w:rPr>
        <w:br w:type="page"/>
      </w:r>
      <w:r>
        <w:rPr>
          <w:rFonts w:hint="eastAsia" w:ascii="宋体" w:hAnsi="宋体" w:eastAsia="宋体"/>
          <w:color w:val="auto"/>
          <w:kern w:val="2"/>
          <w:sz w:val="32"/>
          <w:szCs w:val="32"/>
          <w:highlight w:val="none"/>
        </w:rPr>
        <w:t>开标一览表</w:t>
      </w:r>
    </w:p>
    <w:p>
      <w:pPr>
        <w:spacing w:beforeLines="10" w:line="360" w:lineRule="auto"/>
        <w:rPr>
          <w:rFonts w:ascii="宋体" w:hAnsi="宋体"/>
          <w:b/>
          <w:color w:val="auto"/>
          <w:sz w:val="22"/>
          <w:szCs w:val="22"/>
          <w:highlight w:val="none"/>
          <w:u w:val="single"/>
        </w:rPr>
      </w:pPr>
      <w:r>
        <w:rPr>
          <w:rFonts w:hint="eastAsia" w:ascii="宋体" w:hAnsi="宋体"/>
          <w:b/>
          <w:color w:val="auto"/>
          <w:sz w:val="22"/>
          <w:szCs w:val="22"/>
          <w:highlight w:val="none"/>
        </w:rPr>
        <w:t>致：</w:t>
      </w:r>
      <w:r>
        <w:rPr>
          <w:rFonts w:hint="eastAsia" w:ascii="宋体" w:hAnsi="宋体"/>
          <w:b/>
          <w:color w:val="auto"/>
          <w:sz w:val="22"/>
          <w:szCs w:val="22"/>
          <w:highlight w:val="none"/>
          <w:u w:val="single"/>
        </w:rPr>
        <w:t>（采购人）</w:t>
      </w:r>
    </w:p>
    <w:p>
      <w:pPr>
        <w:spacing w:beforeLines="10" w:line="360" w:lineRule="auto"/>
        <w:ind w:firstLine="440" w:firstLineChars="200"/>
        <w:rPr>
          <w:rFonts w:hint="eastAsia" w:ascii="宋体" w:hAnsi="宋体"/>
          <w:color w:val="auto"/>
          <w:kern w:val="0"/>
          <w:sz w:val="22"/>
          <w:szCs w:val="22"/>
          <w:highlight w:val="none"/>
          <w:lang w:val="zh-CN"/>
        </w:rPr>
      </w:pPr>
      <w:r>
        <w:rPr>
          <w:rFonts w:hint="eastAsia" w:ascii="宋体" w:hAnsi="宋体"/>
          <w:color w:val="auto"/>
          <w:kern w:val="0"/>
          <w:sz w:val="22"/>
          <w:szCs w:val="22"/>
          <w:highlight w:val="none"/>
          <w:lang w:val="zh-CN"/>
        </w:rPr>
        <w:t>按你方采购文件要求，我们本投标文件签字方，谨此向你方发出要约如下：如你方接受本投标文件，我方承诺按照如下开标一览表的价格完成</w:t>
      </w:r>
      <w:r>
        <w:rPr>
          <w:rFonts w:hint="eastAsia" w:ascii="宋体" w:hAnsi="宋体"/>
          <w:b/>
          <w:bCs/>
          <w:color w:val="auto"/>
          <w:kern w:val="0"/>
          <w:sz w:val="22"/>
          <w:szCs w:val="22"/>
          <w:highlight w:val="none"/>
          <w:lang w:val="zh-CN"/>
        </w:rPr>
        <w:t>[项目名称：</w:t>
      </w:r>
      <w:r>
        <w:rPr>
          <w:rFonts w:hint="eastAsia" w:ascii="宋体" w:hAnsi="宋体"/>
          <w:b/>
          <w:bCs/>
          <w:color w:val="auto"/>
          <w:kern w:val="0"/>
          <w:sz w:val="22"/>
          <w:szCs w:val="22"/>
          <w:highlight w:val="none"/>
          <w:u w:val="single"/>
          <w:lang w:val="en-US" w:eastAsia="zh-CN"/>
        </w:rPr>
        <w:t xml:space="preserve">            </w:t>
      </w:r>
      <w:r>
        <w:rPr>
          <w:rFonts w:hint="eastAsia" w:ascii="宋体" w:hAnsi="宋体"/>
          <w:b/>
          <w:bCs/>
          <w:color w:val="auto"/>
          <w:sz w:val="22"/>
          <w:szCs w:val="22"/>
          <w:highlight w:val="none"/>
        </w:rPr>
        <w:t>]</w:t>
      </w:r>
      <w:r>
        <w:rPr>
          <w:rFonts w:hint="eastAsia" w:ascii="宋体" w:hAnsi="宋体"/>
          <w:color w:val="auto"/>
          <w:kern w:val="0"/>
          <w:sz w:val="22"/>
          <w:szCs w:val="22"/>
          <w:highlight w:val="none"/>
          <w:lang w:val="zh-CN"/>
        </w:rPr>
        <w:t>实施。</w:t>
      </w:r>
    </w:p>
    <w:tbl>
      <w:tblPr>
        <w:tblStyle w:val="5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57"/>
        <w:gridCol w:w="3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257" w:type="dxa"/>
            <w:noWrap w:val="0"/>
            <w:vAlign w:val="center"/>
          </w:tcPr>
          <w:p>
            <w:pPr>
              <w:spacing w:line="360" w:lineRule="auto"/>
              <w:jc w:val="center"/>
              <w:rPr>
                <w:rFonts w:hint="eastAsia"/>
                <w:b/>
                <w:bCs/>
                <w:color w:val="auto"/>
                <w:highlight w:val="none"/>
                <w:shd w:val="clear" w:color="auto" w:fill="auto"/>
              </w:rPr>
            </w:pPr>
            <w:r>
              <w:rPr>
                <w:rFonts w:hint="eastAsia"/>
                <w:b/>
                <w:bCs/>
                <w:color w:val="auto"/>
                <w:szCs w:val="21"/>
                <w:highlight w:val="none"/>
                <w:shd w:val="clear" w:color="auto" w:fill="auto"/>
              </w:rPr>
              <w:t>采购内容</w:t>
            </w:r>
          </w:p>
        </w:tc>
        <w:tc>
          <w:tcPr>
            <w:tcW w:w="3722" w:type="dxa"/>
            <w:noWrap w:val="0"/>
            <w:vAlign w:val="center"/>
          </w:tcPr>
          <w:p>
            <w:pPr>
              <w:spacing w:line="360" w:lineRule="auto"/>
              <w:jc w:val="center"/>
              <w:rPr>
                <w:rFonts w:hint="eastAsia"/>
                <w:b/>
                <w:bCs/>
                <w:color w:val="auto"/>
                <w:szCs w:val="21"/>
                <w:highlight w:val="none"/>
                <w:shd w:val="clear" w:color="auto" w:fill="auto"/>
              </w:rPr>
            </w:pPr>
            <w:r>
              <w:rPr>
                <w:rFonts w:hint="eastAsia"/>
                <w:b/>
                <w:bCs/>
                <w:color w:val="auto"/>
                <w:szCs w:val="21"/>
                <w:highlight w:val="none"/>
                <w:shd w:val="clear" w:color="auto" w:fill="auto"/>
              </w:rPr>
              <w:t>投标总报价（元）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5257" w:type="dxa"/>
            <w:noWrap w:val="0"/>
            <w:vAlign w:val="center"/>
          </w:tcPr>
          <w:p>
            <w:pPr>
              <w:spacing w:line="400" w:lineRule="exact"/>
              <w:jc w:val="both"/>
              <w:rPr>
                <w:rFonts w:hint="eastAsia" w:eastAsia="宋体"/>
                <w:color w:val="auto"/>
                <w:highlight w:val="none"/>
                <w:shd w:val="clear" w:color="auto" w:fill="auto"/>
                <w:lang w:eastAsia="zh-CN"/>
              </w:rPr>
            </w:pPr>
            <w:r>
              <w:rPr>
                <w:rFonts w:hint="eastAsia" w:ascii="宋体" w:hAnsi="宋体" w:cs="Arial"/>
                <w:bCs/>
                <w:color w:val="auto"/>
                <w:sz w:val="22"/>
                <w:szCs w:val="22"/>
                <w:highlight w:val="none"/>
                <w:lang w:eastAsia="zh-CN"/>
              </w:rPr>
              <w:t>宁波江北湾头未来社区数字化建设项目</w:t>
            </w:r>
            <w:r>
              <w:rPr>
                <w:rFonts w:hint="eastAsia" w:ascii="宋体" w:hAnsi="宋体"/>
                <w:color w:val="auto"/>
                <w:sz w:val="22"/>
                <w:szCs w:val="22"/>
                <w:highlight w:val="none"/>
              </w:rPr>
              <w:t xml:space="preserve">  </w:t>
            </w:r>
          </w:p>
        </w:tc>
        <w:tc>
          <w:tcPr>
            <w:tcW w:w="3722" w:type="dxa"/>
            <w:noWrap w:val="0"/>
            <w:vAlign w:val="center"/>
          </w:tcPr>
          <w:p>
            <w:pPr>
              <w:spacing w:line="400" w:lineRule="exact"/>
              <w:ind w:firstLine="1029" w:firstLineChars="490"/>
              <w:rPr>
                <w:rFonts w:hint="eastAsia"/>
                <w:color w:val="auto"/>
                <w:highlight w:val="none"/>
                <w:u w:val="single"/>
                <w:shd w:val="clear" w:color="auto" w:fill="auto"/>
              </w:rPr>
            </w:pPr>
            <w:r>
              <w:rPr>
                <w:rFonts w:hint="eastAsia"/>
                <w:color w:val="auto"/>
                <w:highlight w:val="none"/>
                <w:shd w:val="clear" w:color="auto" w:fill="auto"/>
              </w:rPr>
              <w:t>大写：</w:t>
            </w:r>
            <w:r>
              <w:rPr>
                <w:rFonts w:hint="eastAsia"/>
                <w:color w:val="auto"/>
                <w:highlight w:val="none"/>
                <w:u w:val="single"/>
                <w:shd w:val="clear" w:color="auto" w:fill="auto"/>
              </w:rPr>
              <w:t xml:space="preserve">            </w:t>
            </w:r>
          </w:p>
          <w:p>
            <w:pPr>
              <w:spacing w:line="400" w:lineRule="exact"/>
              <w:ind w:firstLine="1029" w:firstLineChars="490"/>
              <w:rPr>
                <w:rFonts w:hint="eastAsia"/>
                <w:color w:val="auto"/>
                <w:highlight w:val="none"/>
                <w:shd w:val="clear" w:color="auto" w:fill="auto"/>
              </w:rPr>
            </w:pPr>
            <w:r>
              <w:rPr>
                <w:rFonts w:hint="eastAsia"/>
                <w:color w:val="auto"/>
                <w:highlight w:val="none"/>
                <w:shd w:val="clear" w:color="auto" w:fill="auto"/>
              </w:rPr>
              <w:t>小写：</w:t>
            </w:r>
            <w:r>
              <w:rPr>
                <w:rFonts w:hint="eastAsia"/>
                <w:color w:val="auto"/>
                <w:highlight w:val="none"/>
                <w:u w:val="single"/>
                <w:shd w:val="clear" w:color="auto" w:fill="auto"/>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257" w:type="dxa"/>
            <w:noWrap w:val="0"/>
            <w:vAlign w:val="center"/>
          </w:tcPr>
          <w:p>
            <w:pPr>
              <w:widowControl/>
              <w:spacing w:line="400" w:lineRule="exact"/>
              <w:jc w:val="center"/>
              <w:rPr>
                <w:rFonts w:hint="eastAsia"/>
                <w:color w:val="auto"/>
                <w:highlight w:val="none"/>
                <w:shd w:val="clear" w:color="auto" w:fill="auto"/>
              </w:rPr>
            </w:pPr>
            <w:r>
              <w:rPr>
                <w:rFonts w:hint="eastAsia"/>
                <w:color w:val="auto"/>
                <w:szCs w:val="21"/>
                <w:highlight w:val="none"/>
                <w:shd w:val="clear" w:color="auto" w:fill="auto"/>
              </w:rPr>
              <w:t>投标声明</w:t>
            </w:r>
          </w:p>
        </w:tc>
        <w:tc>
          <w:tcPr>
            <w:tcW w:w="3722" w:type="dxa"/>
            <w:noWrap w:val="0"/>
            <w:vAlign w:val="center"/>
          </w:tcPr>
          <w:p>
            <w:pPr>
              <w:widowControl/>
              <w:spacing w:line="400" w:lineRule="exact"/>
              <w:jc w:val="center"/>
              <w:rPr>
                <w:rFonts w:hint="eastAsia"/>
                <w:color w:val="auto"/>
                <w:highlight w:val="none"/>
                <w:shd w:val="clear" w:color="auto" w:fill="auto"/>
              </w:rPr>
            </w:pPr>
            <w:r>
              <w:rPr>
                <w:rFonts w:hint="eastAsia"/>
                <w:color w:val="auto"/>
                <w:highlight w:val="none"/>
                <w:shd w:val="clear" w:color="auto" w:fill="auto"/>
              </w:rPr>
              <w:t>若无填“/”即可</w:t>
            </w:r>
          </w:p>
        </w:tc>
      </w:tr>
    </w:tbl>
    <w:p>
      <w:pPr>
        <w:pStyle w:val="2"/>
        <w:rPr>
          <w:rFonts w:hint="eastAsia" w:ascii="宋体" w:hAnsi="宋体"/>
          <w:color w:val="auto"/>
          <w:kern w:val="0"/>
          <w:sz w:val="22"/>
          <w:szCs w:val="22"/>
          <w:highlight w:val="none"/>
          <w:lang w:val="zh-CN"/>
        </w:rPr>
      </w:pPr>
    </w:p>
    <w:p>
      <w:pPr>
        <w:pStyle w:val="3"/>
        <w:spacing w:line="360" w:lineRule="auto"/>
        <w:rPr>
          <w:rFonts w:hAnsi="宋体" w:cs="宋体"/>
          <w:b/>
          <w:bCs/>
          <w:color w:val="auto"/>
          <w:szCs w:val="21"/>
          <w:highlight w:val="none"/>
        </w:rPr>
      </w:pPr>
      <w:r>
        <w:rPr>
          <w:rFonts w:hint="eastAsia" w:hAnsi="宋体" w:cs="宋体"/>
          <w:b/>
          <w:bCs/>
          <w:color w:val="auto"/>
          <w:szCs w:val="21"/>
          <w:highlight w:val="none"/>
        </w:rPr>
        <w:t xml:space="preserve"> 1、“投标报价”应与“投标函”中“投标总价”一致。</w:t>
      </w:r>
    </w:p>
    <w:p>
      <w:pPr>
        <w:adjustRightInd w:val="0"/>
        <w:snapToGrid w:val="0"/>
        <w:spacing w:line="360" w:lineRule="auto"/>
        <w:ind w:firstLine="420" w:firstLineChars="200"/>
        <w:rPr>
          <w:rFonts w:hAnsi="宋体" w:cs="宋体"/>
          <w:b/>
          <w:bCs/>
          <w:color w:val="auto"/>
          <w:szCs w:val="21"/>
          <w:highlight w:val="none"/>
        </w:rPr>
      </w:pPr>
      <w:r>
        <w:rPr>
          <w:rFonts w:hint="eastAsia" w:hAnsi="宋体" w:cs="宋体"/>
          <w:b/>
          <w:bCs/>
          <w:color w:val="auto"/>
          <w:szCs w:val="21"/>
          <w:highlight w:val="none"/>
        </w:rPr>
        <w:t xml:space="preserve"> 2、报价一经涂改，应在涂改处加盖单位公章或者由法定代表人或授权委托人签字或盖章，否则其投标作无效标处理。</w:t>
      </w:r>
    </w:p>
    <w:p>
      <w:pPr>
        <w:pStyle w:val="174"/>
        <w:ind w:firstLine="422"/>
        <w:rPr>
          <w:color w:val="auto"/>
          <w:highlight w:val="none"/>
        </w:rPr>
      </w:pPr>
      <w:r>
        <w:rPr>
          <w:rFonts w:hint="eastAsia" w:hAnsi="宋体" w:cs="宋体"/>
          <w:b/>
          <w:bCs/>
          <w:color w:val="auto"/>
          <w:szCs w:val="21"/>
          <w:highlight w:val="none"/>
        </w:rPr>
        <w:t>3、</w:t>
      </w:r>
      <w:r>
        <w:rPr>
          <w:rFonts w:hint="eastAsia" w:ascii="Times New Roman" w:hAnsi="宋体" w:cs="宋体"/>
          <w:b/>
          <w:bCs/>
          <w:color w:val="auto"/>
          <w:szCs w:val="21"/>
          <w:highlight w:val="none"/>
        </w:rPr>
        <w:t>投标总报价建议四舍五入保留至整数元为止。</w:t>
      </w:r>
    </w:p>
    <w:p>
      <w:pPr>
        <w:pStyle w:val="3"/>
        <w:widowControl/>
        <w:spacing w:line="360" w:lineRule="auto"/>
        <w:ind w:firstLine="5040" w:firstLineChars="2400"/>
        <w:jc w:val="left"/>
        <w:rPr>
          <w:rFonts w:hAnsi="宋体" w:cs="宋体"/>
          <w:color w:val="auto"/>
          <w:szCs w:val="21"/>
          <w:highlight w:val="none"/>
        </w:rPr>
      </w:pPr>
    </w:p>
    <w:p>
      <w:pPr>
        <w:pStyle w:val="3"/>
        <w:widowControl/>
        <w:spacing w:line="360" w:lineRule="auto"/>
        <w:ind w:firstLine="5040" w:firstLineChars="2400"/>
        <w:jc w:val="left"/>
        <w:rPr>
          <w:rFonts w:hAnsi="宋体" w:cs="宋体"/>
          <w:color w:val="auto"/>
          <w:szCs w:val="21"/>
          <w:highlight w:val="none"/>
        </w:rPr>
      </w:pPr>
    </w:p>
    <w:p>
      <w:pPr>
        <w:pStyle w:val="3"/>
        <w:widowControl/>
        <w:spacing w:line="360" w:lineRule="auto"/>
        <w:ind w:left="0" w:leftChars="0" w:firstLine="0" w:firstLineChars="0"/>
        <w:jc w:val="left"/>
        <w:rPr>
          <w:rFonts w:hAnsi="宋体" w:cs="宋体"/>
          <w:color w:val="auto"/>
          <w:szCs w:val="21"/>
          <w:highlight w:val="none"/>
        </w:rPr>
      </w:pPr>
      <w:r>
        <w:rPr>
          <w:rFonts w:hint="eastAsia" w:hAnsi="宋体" w:cs="宋体"/>
          <w:color w:val="auto"/>
          <w:szCs w:val="21"/>
          <w:highlight w:val="none"/>
        </w:rPr>
        <w:t>供应商全称（盖公章）：</w:t>
      </w:r>
    </w:p>
    <w:p>
      <w:pPr>
        <w:pStyle w:val="3"/>
        <w:widowControl/>
        <w:spacing w:line="360" w:lineRule="auto"/>
        <w:ind w:left="0" w:leftChars="0" w:firstLine="0" w:firstLineChars="0"/>
        <w:jc w:val="left"/>
        <w:rPr>
          <w:rFonts w:hAnsi="宋体" w:cs="宋体"/>
          <w:color w:val="auto"/>
          <w:szCs w:val="21"/>
          <w:highlight w:val="none"/>
        </w:rPr>
      </w:pPr>
      <w:r>
        <w:rPr>
          <w:rFonts w:hint="eastAsia" w:hAnsi="宋体" w:cs="宋体"/>
          <w:color w:val="auto"/>
          <w:szCs w:val="21"/>
          <w:highlight w:val="none"/>
        </w:rPr>
        <w:t>法定代表人或其授权委托人（签名或印章）：</w:t>
      </w:r>
    </w:p>
    <w:p>
      <w:pPr>
        <w:spacing w:line="360" w:lineRule="auto"/>
        <w:ind w:right="180"/>
        <w:jc w:val="left"/>
        <w:rPr>
          <w:rFonts w:hint="eastAsia" w:hAnsi="宋体" w:cs="宋体"/>
          <w:color w:val="auto"/>
          <w:szCs w:val="21"/>
          <w:highlight w:val="none"/>
        </w:rPr>
      </w:pPr>
      <w:r>
        <w:rPr>
          <w:rFonts w:hint="eastAsia" w:hAnsi="宋体" w:cs="宋体"/>
          <w:color w:val="auto"/>
          <w:szCs w:val="21"/>
          <w:highlight w:val="none"/>
        </w:rPr>
        <w:t>日期：</w:t>
      </w:r>
      <w:r>
        <w:rPr>
          <w:rFonts w:hint="eastAsia" w:hAnsi="宋体" w:cs="宋体"/>
          <w:color w:val="auto"/>
          <w:szCs w:val="21"/>
          <w:highlight w:val="none"/>
          <w:lang w:val="en-US" w:eastAsia="zh-CN"/>
        </w:rPr>
        <w:t xml:space="preserve">   </w:t>
      </w:r>
      <w:r>
        <w:rPr>
          <w:rFonts w:hint="eastAsia" w:hAnsi="宋体" w:cs="宋体"/>
          <w:color w:val="auto"/>
          <w:szCs w:val="21"/>
          <w:highlight w:val="none"/>
        </w:rPr>
        <w:t>年   月  日</w:t>
      </w:r>
    </w:p>
    <w:p>
      <w:pPr>
        <w:rPr>
          <w:rFonts w:hint="eastAsia" w:hAnsi="宋体" w:cs="宋体"/>
          <w:color w:val="auto"/>
          <w:szCs w:val="21"/>
          <w:highlight w:val="none"/>
        </w:rPr>
      </w:pPr>
      <w:r>
        <w:rPr>
          <w:rFonts w:hint="eastAsia" w:hAnsi="宋体" w:cs="宋体"/>
          <w:color w:val="auto"/>
          <w:szCs w:val="21"/>
          <w:highlight w:val="none"/>
        </w:rPr>
        <w:br w:type="page"/>
      </w:r>
    </w:p>
    <w:p>
      <w:pPr>
        <w:pStyle w:val="63"/>
        <w:ind w:left="0" w:leftChars="0" w:firstLine="0" w:firstLineChars="0"/>
        <w:jc w:val="left"/>
        <w:rPr>
          <w:rFonts w:hint="default" w:eastAsia="宋体"/>
          <w:color w:val="auto"/>
          <w:highlight w:val="none"/>
          <w:lang w:val="en-US" w:eastAsia="zh-CN"/>
        </w:rPr>
      </w:pPr>
      <w:r>
        <w:rPr>
          <w:rFonts w:hint="eastAsia"/>
          <w:color w:val="auto"/>
          <w:highlight w:val="none"/>
          <w:lang w:val="en-US" w:eastAsia="zh-CN"/>
        </w:rPr>
        <w:t>附件：报价清单</w:t>
      </w:r>
    </w:p>
    <w:p>
      <w:pPr>
        <w:pStyle w:val="3"/>
        <w:spacing w:line="360" w:lineRule="auto"/>
        <w:ind w:left="0" w:leftChars="0"/>
        <w:rPr>
          <w:rFonts w:hAnsi="宋体" w:cs="宋体"/>
          <w:color w:val="auto"/>
          <w:szCs w:val="21"/>
          <w:highlight w:val="none"/>
        </w:rPr>
      </w:pPr>
    </w:p>
    <w:p>
      <w:pPr>
        <w:pStyle w:val="3"/>
        <w:spacing w:line="360" w:lineRule="auto"/>
        <w:ind w:left="0" w:leftChars="0"/>
        <w:rPr>
          <w:rFonts w:hAnsi="宋体" w:cs="宋体"/>
          <w:color w:val="auto"/>
          <w:szCs w:val="21"/>
          <w:highlight w:val="none"/>
        </w:rPr>
      </w:pPr>
    </w:p>
    <w:p>
      <w:pPr>
        <w:keepNext w:val="0"/>
        <w:keepLines w:val="0"/>
        <w:pageBreakBefore w:val="0"/>
        <w:widowControl w:val="0"/>
        <w:kinsoku/>
        <w:wordWrap/>
        <w:overflowPunct/>
        <w:topLinePunct w:val="0"/>
        <w:autoSpaceDE/>
        <w:autoSpaceDN/>
        <w:bidi w:val="0"/>
        <w:adjustRightInd/>
        <w:snapToGrid w:val="0"/>
        <w:spacing w:beforeLines="50" w:after="50" w:line="440" w:lineRule="exact"/>
        <w:jc w:val="center"/>
        <w:textAlignment w:val="auto"/>
        <w:outlineLvl w:val="2"/>
        <w:rPr>
          <w:rFonts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32"/>
          <w:szCs w:val="32"/>
          <w:highlight w:val="none"/>
        </w:rPr>
        <w:t>中小企业声明函</w:t>
      </w:r>
    </w:p>
    <w:p>
      <w:pPr>
        <w:spacing w:line="400" w:lineRule="exact"/>
        <w:ind w:firstLine="440" w:firstLineChars="200"/>
        <w:rPr>
          <w:color w:val="auto"/>
          <w:kern w:val="0"/>
          <w:sz w:val="22"/>
          <w:szCs w:val="22"/>
          <w:highlight w:val="none"/>
          <w:lang w:bidi="zh-CN"/>
        </w:rPr>
      </w:pPr>
    </w:p>
    <w:p>
      <w:pPr>
        <w:spacing w:line="400" w:lineRule="exact"/>
        <w:ind w:firstLine="440" w:firstLineChars="200"/>
        <w:rPr>
          <w:color w:val="auto"/>
          <w:kern w:val="0"/>
          <w:sz w:val="22"/>
          <w:szCs w:val="22"/>
          <w:highlight w:val="none"/>
          <w:lang w:bidi="zh-CN"/>
        </w:rPr>
      </w:pP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color w:val="auto"/>
          <w:kern w:val="0"/>
          <w:sz w:val="22"/>
          <w:szCs w:val="22"/>
          <w:highlight w:val="none"/>
          <w:lang w:bidi="zh-CN"/>
        </w:rPr>
      </w:pPr>
      <w:r>
        <w:rPr>
          <w:rFonts w:hint="eastAsia"/>
          <w:color w:val="auto"/>
          <w:kern w:val="0"/>
          <w:sz w:val="22"/>
          <w:szCs w:val="22"/>
          <w:highlight w:val="none"/>
          <w:lang w:bidi="zh-CN"/>
        </w:rPr>
        <w:t>本公司郑重声明，根据《政府采购促进中小企业发展管理办法》（财库〔2020〕46 号的规定，本公司为______（请填写：中型、小型、微型）企业。即，本公司同时满足以下条件：</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color w:val="auto"/>
          <w:kern w:val="0"/>
          <w:sz w:val="22"/>
          <w:szCs w:val="22"/>
          <w:highlight w:val="none"/>
          <w:lang w:bidi="zh-CN"/>
        </w:rPr>
      </w:pPr>
      <w:r>
        <w:rPr>
          <w:rFonts w:hint="eastAsia"/>
          <w:color w:val="auto"/>
          <w:kern w:val="0"/>
          <w:sz w:val="22"/>
          <w:szCs w:val="22"/>
          <w:highlight w:val="none"/>
          <w:lang w:bidi="zh-CN"/>
        </w:rPr>
        <w:t>1.根据《工业和信息化部、国家统计局、国家发展和改革委员会、财政部关于印发中小企业划型标准规定的通知》（工信部联企业[2011]300号）规定的划分标准，本公司为______（请填写：中型、小型、微型）企业。</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color w:val="auto"/>
          <w:kern w:val="0"/>
          <w:sz w:val="22"/>
          <w:szCs w:val="22"/>
          <w:highlight w:val="none"/>
          <w:lang w:bidi="zh-CN"/>
        </w:rPr>
      </w:pPr>
      <w:r>
        <w:rPr>
          <w:rFonts w:hint="eastAsia"/>
          <w:color w:val="auto"/>
          <w:kern w:val="0"/>
          <w:sz w:val="22"/>
          <w:szCs w:val="22"/>
          <w:highlight w:val="none"/>
          <w:lang w:bidi="zh-CN"/>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keepNext w:val="0"/>
        <w:keepLines w:val="0"/>
        <w:pageBreakBefore w:val="0"/>
        <w:widowControl/>
        <w:kinsoku/>
        <w:wordWrap/>
        <w:overflowPunct/>
        <w:topLinePunct w:val="0"/>
        <w:autoSpaceDE/>
        <w:autoSpaceDN/>
        <w:bidi w:val="0"/>
        <w:adjustRightInd/>
        <w:snapToGrid/>
        <w:spacing w:line="360" w:lineRule="auto"/>
        <w:ind w:firstLine="440" w:firstLineChars="200"/>
        <w:textAlignment w:val="auto"/>
        <w:rPr>
          <w:rFonts w:hint="eastAsia"/>
          <w:color w:val="auto"/>
          <w:kern w:val="0"/>
          <w:sz w:val="22"/>
          <w:szCs w:val="22"/>
          <w:highlight w:val="none"/>
          <w:lang w:bidi="zh-CN"/>
        </w:rPr>
      </w:pPr>
      <w:r>
        <w:rPr>
          <w:rFonts w:hint="eastAsia"/>
          <w:color w:val="auto"/>
          <w:kern w:val="0"/>
          <w:sz w:val="22"/>
          <w:szCs w:val="22"/>
          <w:highlight w:val="none"/>
          <w:lang w:bidi="zh-CN"/>
        </w:rPr>
        <w:t>本公司对上述声明的真实性负责。如有虚假，将依法承担相应责任。</w:t>
      </w:r>
    </w:p>
    <w:p>
      <w:pPr>
        <w:widowControl/>
        <w:spacing w:before="120" w:after="120" w:line="440" w:lineRule="exact"/>
        <w:rPr>
          <w:rFonts w:hint="eastAsia"/>
          <w:color w:val="auto"/>
          <w:kern w:val="0"/>
          <w:sz w:val="22"/>
          <w:szCs w:val="22"/>
          <w:highlight w:val="none"/>
          <w:lang w:bidi="zh-CN"/>
        </w:rPr>
      </w:pPr>
    </w:p>
    <w:p>
      <w:pPr>
        <w:widowControl/>
        <w:spacing w:before="120" w:after="120" w:line="440" w:lineRule="exact"/>
        <w:ind w:left="5250" w:leftChars="2500"/>
        <w:jc w:val="left"/>
        <w:rPr>
          <w:rFonts w:hint="eastAsia"/>
          <w:color w:val="auto"/>
          <w:kern w:val="0"/>
          <w:sz w:val="22"/>
          <w:szCs w:val="22"/>
          <w:highlight w:val="none"/>
          <w:lang w:bidi="zh-CN"/>
        </w:rPr>
      </w:pPr>
      <w:r>
        <w:rPr>
          <w:rFonts w:hint="eastAsia"/>
          <w:color w:val="auto"/>
          <w:kern w:val="0"/>
          <w:sz w:val="22"/>
          <w:szCs w:val="22"/>
          <w:highlight w:val="none"/>
          <w:lang w:bidi="zh-CN"/>
        </w:rPr>
        <w:t xml:space="preserve">企业名称（公章）： </w:t>
      </w:r>
    </w:p>
    <w:p>
      <w:pPr>
        <w:widowControl/>
        <w:spacing w:before="120" w:after="120" w:line="440" w:lineRule="exact"/>
        <w:ind w:left="5250" w:leftChars="2500"/>
        <w:jc w:val="left"/>
        <w:rPr>
          <w:rFonts w:hint="eastAsia"/>
          <w:color w:val="auto"/>
          <w:kern w:val="0"/>
          <w:sz w:val="22"/>
          <w:szCs w:val="22"/>
          <w:highlight w:val="none"/>
          <w:lang w:bidi="zh-CN"/>
        </w:rPr>
      </w:pPr>
      <w:r>
        <w:rPr>
          <w:rFonts w:hint="eastAsia"/>
          <w:color w:val="auto"/>
          <w:kern w:val="0"/>
          <w:sz w:val="22"/>
          <w:szCs w:val="22"/>
          <w:highlight w:val="none"/>
          <w:lang w:bidi="zh-CN"/>
        </w:rPr>
        <w:t xml:space="preserve">日  期：                </w:t>
      </w:r>
    </w:p>
    <w:p>
      <w:pPr>
        <w:widowControl/>
        <w:spacing w:before="120" w:after="120" w:line="440" w:lineRule="exact"/>
        <w:rPr>
          <w:rFonts w:hint="eastAsia"/>
          <w:color w:val="auto"/>
          <w:kern w:val="0"/>
          <w:sz w:val="22"/>
          <w:szCs w:val="22"/>
          <w:highlight w:val="none"/>
          <w:lang w:bidi="zh-CN"/>
        </w:rPr>
      </w:pPr>
    </w:p>
    <w:p>
      <w:pPr>
        <w:widowControl/>
        <w:spacing w:before="120" w:after="120" w:line="440" w:lineRule="exact"/>
        <w:rPr>
          <w:rFonts w:hint="eastAsia"/>
          <w:color w:val="auto"/>
          <w:kern w:val="0"/>
          <w:sz w:val="22"/>
          <w:szCs w:val="22"/>
          <w:highlight w:val="none"/>
          <w:lang w:bidi="zh-CN"/>
        </w:rPr>
      </w:pPr>
      <w:r>
        <w:rPr>
          <w:rFonts w:hint="eastAsia"/>
          <w:color w:val="auto"/>
          <w:kern w:val="0"/>
          <w:sz w:val="22"/>
          <w:szCs w:val="22"/>
          <w:highlight w:val="none"/>
          <w:lang w:bidi="zh-CN"/>
        </w:rPr>
        <w:t>填写说明：</w:t>
      </w:r>
    </w:p>
    <w:p>
      <w:pPr>
        <w:widowControl/>
        <w:spacing w:before="120" w:after="120" w:line="440" w:lineRule="exact"/>
        <w:rPr>
          <w:rFonts w:hint="eastAsia"/>
          <w:color w:val="auto"/>
          <w:kern w:val="0"/>
          <w:sz w:val="22"/>
          <w:szCs w:val="22"/>
          <w:highlight w:val="none"/>
          <w:lang w:bidi="zh-CN"/>
        </w:rPr>
      </w:pPr>
      <w:r>
        <w:rPr>
          <w:rFonts w:hint="eastAsia"/>
          <w:color w:val="auto"/>
          <w:kern w:val="0"/>
          <w:sz w:val="22"/>
          <w:szCs w:val="22"/>
          <w:highlight w:val="none"/>
          <w:lang w:bidi="zh-CN"/>
        </w:rPr>
        <w:t>1、本声明函为财库[2011]181号文附件的标准格式，必须按该格式填写；本声明函由供应商填写，请认真阅读相关政策文件；</w:t>
      </w:r>
    </w:p>
    <w:p>
      <w:pPr>
        <w:widowControl/>
        <w:spacing w:before="120" w:after="120" w:line="440" w:lineRule="exact"/>
        <w:rPr>
          <w:rFonts w:hint="eastAsia"/>
          <w:color w:val="auto"/>
          <w:kern w:val="0"/>
          <w:sz w:val="22"/>
          <w:szCs w:val="22"/>
          <w:highlight w:val="none"/>
          <w:lang w:bidi="zh-CN"/>
        </w:rPr>
      </w:pPr>
      <w:r>
        <w:rPr>
          <w:rFonts w:hint="eastAsia"/>
          <w:color w:val="auto"/>
          <w:kern w:val="0"/>
          <w:sz w:val="22"/>
          <w:szCs w:val="22"/>
          <w:highlight w:val="none"/>
          <w:lang w:bidi="zh-CN"/>
        </w:rPr>
        <w:t>2、如供应商提供本企业制造的货物或者由本企业承担工程、提供服务的，请在相应文字处后面打钩，如“提供本企业制造的货物（√）” “由本企业承担工程（√）、提供服务（√）”。如供应商是代理商，提供其他企业制造的货物，请如实填写其他企业的划分类型并对其真实性负责；</w:t>
      </w:r>
    </w:p>
    <w:p>
      <w:pPr>
        <w:widowControl/>
        <w:spacing w:before="120" w:after="120" w:line="440" w:lineRule="exact"/>
        <w:rPr>
          <w:rFonts w:ascii="宋体" w:hAnsi="Courier New"/>
          <w:color w:val="auto"/>
          <w:spacing w:val="-4"/>
          <w:szCs w:val="21"/>
          <w:highlight w:val="none"/>
        </w:rPr>
      </w:pPr>
      <w:r>
        <w:rPr>
          <w:rFonts w:hint="eastAsia"/>
          <w:color w:val="auto"/>
          <w:kern w:val="0"/>
          <w:sz w:val="22"/>
          <w:szCs w:val="22"/>
          <w:highlight w:val="none"/>
          <w:lang w:bidi="zh-CN"/>
        </w:rPr>
        <w:t>3、小型、微型企业提供中型企业制造的货物时视同中型企业，因此，只有小微企业提供自己的货物或者小微企业提供其他小微企业的货物时，供应商才算小微企业，才能享受评标标准里的价格扣除优惠。</w:t>
      </w:r>
    </w:p>
    <w:p>
      <w:pPr>
        <w:pStyle w:val="3"/>
        <w:widowControl/>
        <w:spacing w:line="360" w:lineRule="auto"/>
        <w:jc w:val="center"/>
        <w:rPr>
          <w:rFonts w:ascii="Arial" w:hAnsi="Arial"/>
          <w:b/>
          <w:color w:val="auto"/>
          <w:sz w:val="32"/>
          <w:szCs w:val="32"/>
          <w:highlight w:val="none"/>
        </w:rPr>
      </w:pPr>
      <w:r>
        <w:rPr>
          <w:rFonts w:hint="eastAsia" w:ascii="Arial" w:hAnsi="Arial"/>
          <w:b/>
          <w:color w:val="auto"/>
          <w:sz w:val="24"/>
          <w:highlight w:val="none"/>
        </w:rPr>
        <w:br w:type="page"/>
      </w:r>
    </w:p>
    <w:p>
      <w:pPr>
        <w:keepNext w:val="0"/>
        <w:keepLines w:val="0"/>
        <w:pageBreakBefore w:val="0"/>
        <w:widowControl w:val="0"/>
        <w:kinsoku/>
        <w:wordWrap/>
        <w:overflowPunct/>
        <w:topLinePunct w:val="0"/>
        <w:autoSpaceDE/>
        <w:autoSpaceDN/>
        <w:bidi w:val="0"/>
        <w:adjustRightInd/>
        <w:snapToGrid w:val="0"/>
        <w:spacing w:before="120" w:beforeLines="50" w:after="50" w:line="440" w:lineRule="exact"/>
        <w:jc w:val="center"/>
        <w:textAlignment w:val="auto"/>
        <w:outlineLvl w:val="2"/>
        <w:rPr>
          <w:rFonts w:hint="eastAsia"/>
          <w:b/>
          <w:color w:val="auto"/>
          <w:sz w:val="28"/>
          <w:szCs w:val="28"/>
          <w:highlight w:val="none"/>
          <w:shd w:val="clear" w:color="auto" w:fill="auto"/>
        </w:rPr>
      </w:pPr>
      <w:r>
        <w:rPr>
          <w:rFonts w:hint="eastAsia"/>
          <w:b/>
          <w:color w:val="auto"/>
          <w:sz w:val="28"/>
          <w:szCs w:val="28"/>
          <w:highlight w:val="none"/>
          <w:shd w:val="clear" w:color="auto" w:fill="auto"/>
        </w:rPr>
        <w:t>残疾人福利性单位声明函</w:t>
      </w:r>
    </w:p>
    <w:p>
      <w:pPr>
        <w:widowControl/>
        <w:spacing w:line="360" w:lineRule="auto"/>
        <w:rPr>
          <w:rFonts w:hint="eastAsia"/>
          <w:color w:val="auto"/>
          <w:highlight w:val="none"/>
          <w:shd w:val="clear" w:color="auto" w:fill="auto"/>
        </w:rPr>
      </w:pPr>
    </w:p>
    <w:p>
      <w:pPr>
        <w:widowControl/>
        <w:spacing w:line="360" w:lineRule="auto"/>
        <w:ind w:firstLine="420" w:firstLineChars="200"/>
        <w:rPr>
          <w:rFonts w:hint="eastAsia"/>
          <w:color w:val="auto"/>
          <w:highlight w:val="none"/>
          <w:shd w:val="clear" w:color="auto" w:fill="auto"/>
        </w:rPr>
      </w:pPr>
      <w:r>
        <w:rPr>
          <w:rFonts w:hint="eastAsia"/>
          <w:color w:val="auto"/>
          <w:highlight w:val="none"/>
          <w:shd w:val="clear" w:color="auto" w:fill="auto"/>
        </w:rPr>
        <w:t>1.本单位郑重声明，根据《财政部 民政部 中国残疾人联合会关于促进残疾人就业政府采购政策的通知》（财库〔2017〕141号）的规定，本单位_____（填写：为符合或者不符合）条件的残疾人福利性单位，且本单位参加_____单位的_____项目采购活动提供本单位提供服务，或者提供其他残疾人福利性单位制造的货物（不包括使用非残疾人福利性单位注册商标的货物）。</w:t>
      </w:r>
    </w:p>
    <w:p>
      <w:pPr>
        <w:widowControl/>
        <w:spacing w:line="360" w:lineRule="auto"/>
        <w:ind w:firstLine="420" w:firstLineChars="200"/>
        <w:rPr>
          <w:rFonts w:hint="eastAsia"/>
          <w:color w:val="auto"/>
          <w:highlight w:val="none"/>
          <w:shd w:val="clear" w:color="auto" w:fill="auto"/>
        </w:rPr>
      </w:pPr>
      <w:r>
        <w:rPr>
          <w:rFonts w:hint="eastAsia"/>
          <w:color w:val="auto"/>
          <w:highlight w:val="none"/>
          <w:shd w:val="clear" w:color="auto" w:fill="auto"/>
        </w:rPr>
        <w:t>2.本单位对上述声明的真实性负责。如有虚假，将依法承担相应责任。</w:t>
      </w:r>
    </w:p>
    <w:p>
      <w:pPr>
        <w:widowControl/>
        <w:tabs>
          <w:tab w:val="left" w:pos="4860"/>
        </w:tabs>
        <w:spacing w:line="360" w:lineRule="auto"/>
        <w:ind w:right="1560" w:firstLine="420" w:firstLineChars="200"/>
        <w:jc w:val="center"/>
        <w:rPr>
          <w:rFonts w:hint="eastAsia"/>
          <w:color w:val="auto"/>
          <w:spacing w:val="6"/>
          <w:highlight w:val="none"/>
          <w:shd w:val="clear" w:color="auto" w:fill="auto"/>
        </w:rPr>
      </w:pPr>
      <w:r>
        <w:rPr>
          <w:rFonts w:hint="eastAsia"/>
          <w:color w:val="auto"/>
          <w:highlight w:val="none"/>
          <w:shd w:val="clear" w:color="auto" w:fill="auto"/>
        </w:rPr>
        <w:t xml:space="preserve">                                       </w:t>
      </w:r>
      <w:r>
        <w:rPr>
          <w:rFonts w:hint="eastAsia"/>
          <w:color w:val="auto"/>
          <w:spacing w:val="6"/>
          <w:highlight w:val="none"/>
          <w:shd w:val="clear" w:color="auto" w:fill="auto"/>
        </w:rPr>
        <w:t xml:space="preserve">企业名称（盖章）： </w:t>
      </w:r>
    </w:p>
    <w:p>
      <w:pPr>
        <w:spacing w:line="360" w:lineRule="auto"/>
        <w:rPr>
          <w:rFonts w:hint="eastAsia"/>
          <w:color w:val="auto"/>
          <w:spacing w:val="6"/>
          <w:highlight w:val="none"/>
          <w:shd w:val="clear" w:color="auto" w:fill="auto"/>
        </w:rPr>
      </w:pPr>
      <w:r>
        <w:rPr>
          <w:rFonts w:hint="eastAsia"/>
          <w:color w:val="auto"/>
          <w:spacing w:val="6"/>
          <w:highlight w:val="none"/>
          <w:shd w:val="clear" w:color="auto" w:fill="auto"/>
        </w:rPr>
        <w:t xml:space="preserve">                                        </w:t>
      </w:r>
      <w:r>
        <w:rPr>
          <w:rFonts w:hint="eastAsia"/>
          <w:color w:val="auto"/>
          <w:spacing w:val="6"/>
          <w:highlight w:val="none"/>
          <w:shd w:val="clear" w:color="auto" w:fill="auto"/>
          <w:lang w:val="en-US"/>
        </w:rPr>
        <w:t xml:space="preserve">              </w:t>
      </w:r>
      <w:r>
        <w:rPr>
          <w:rFonts w:hint="eastAsia"/>
          <w:color w:val="auto"/>
          <w:spacing w:val="6"/>
          <w:highlight w:val="none"/>
          <w:shd w:val="clear" w:color="auto" w:fill="auto"/>
        </w:rPr>
        <w:t>日  期：</w:t>
      </w:r>
    </w:p>
    <w:p>
      <w:pPr>
        <w:spacing w:line="360" w:lineRule="auto"/>
        <w:rPr>
          <w:rFonts w:hint="eastAsia"/>
          <w:b/>
          <w:bCs/>
          <w:color w:val="auto"/>
          <w:highlight w:val="none"/>
          <w:shd w:val="clear" w:color="auto" w:fill="auto"/>
        </w:rPr>
      </w:pPr>
    </w:p>
    <w:p>
      <w:pPr>
        <w:spacing w:line="360" w:lineRule="auto"/>
        <w:rPr>
          <w:rFonts w:hint="eastAsia"/>
          <w:b/>
          <w:bCs/>
          <w:color w:val="auto"/>
          <w:highlight w:val="none"/>
          <w:shd w:val="clear" w:color="auto" w:fill="auto"/>
        </w:rPr>
      </w:pPr>
    </w:p>
    <w:p>
      <w:pPr>
        <w:spacing w:line="360" w:lineRule="auto"/>
        <w:rPr>
          <w:rFonts w:hint="eastAsia"/>
          <w:b/>
          <w:bCs/>
          <w:color w:val="auto"/>
          <w:highlight w:val="none"/>
          <w:shd w:val="clear" w:color="auto" w:fill="auto"/>
        </w:rPr>
      </w:pPr>
      <w:r>
        <w:rPr>
          <w:rFonts w:hint="eastAsia"/>
          <w:b/>
          <w:bCs/>
          <w:color w:val="auto"/>
          <w:highlight w:val="none"/>
          <w:shd w:val="clear" w:color="auto" w:fill="auto"/>
        </w:rPr>
        <w:t>投标人如为非残疾人福利性单位的，可不提供本声明函。</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注：</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1、如投标人为非残疾人福利性单位的可不提供本声明函。</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2、享受政府采购支持政策的残疾人福利性单位应当同时满足以下条件：</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（一）安置的残疾人占本单位在职职工人数的比例不低于25%（含25%），并且安置的残疾人人数不少于10人（含10人）；</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（二）依法与安置的每位残疾人签订了一年以上（含一年）的劳动合同或服务协议；</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（三）为安置的每位残疾人按月足额缴纳了基本养老保险、基本医疗保险、失业保险、工伤保险和生育保险等社会保险费；</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（四）通过银行等金融机构向安置的每位残疾人，按月支付了不低于单位所在区县适用的经省级人民政府批准的月最低工资标准的工资；</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（五）提供本单位制造的货物、承担的工程或者服务（以下简称产品），或者提供其他残疾人福利性单位制造的货物（不包括使用非残疾人福利性单位注册商标的货物）。</w:t>
      </w:r>
    </w:p>
    <w:p>
      <w:pPr>
        <w:widowControl/>
        <w:spacing w:line="360" w:lineRule="auto"/>
        <w:rPr>
          <w:rFonts w:hint="eastAsia"/>
          <w:color w:val="auto"/>
          <w:highlight w:val="none"/>
          <w:shd w:val="clear" w:color="auto" w:fill="auto"/>
        </w:rPr>
      </w:pPr>
      <w:r>
        <w:rPr>
          <w:rFonts w:hint="eastAsia"/>
          <w:color w:val="auto"/>
          <w:highlight w:val="none"/>
          <w:shd w:val="clear" w:color="auto" w:fil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kinsoku/>
        <w:wordWrap/>
        <w:overflowPunct/>
        <w:topLinePunct w:val="0"/>
        <w:autoSpaceDE/>
        <w:autoSpaceDN/>
        <w:bidi w:val="0"/>
        <w:adjustRightInd/>
        <w:snapToGrid/>
        <w:spacing w:line="588" w:lineRule="exact"/>
        <w:jc w:val="center"/>
        <w:textAlignment w:val="auto"/>
        <w:outlineLvl w:val="2"/>
        <w:rPr>
          <w:rFonts w:ascii="宋体" w:hAnsi="宋体" w:cs="宋体"/>
          <w:b/>
          <w:color w:val="auto"/>
          <w:spacing w:val="6"/>
          <w:sz w:val="32"/>
          <w:szCs w:val="32"/>
          <w:highlight w:val="none"/>
        </w:rPr>
      </w:pPr>
      <w:r>
        <w:rPr>
          <w:color w:val="auto"/>
          <w:highlight w:val="none"/>
        </w:rPr>
        <w:br w:type="page"/>
      </w:r>
      <w:r>
        <w:rPr>
          <w:rFonts w:hint="eastAsia" w:ascii="宋体" w:hAnsi="宋体" w:cs="宋体"/>
          <w:b/>
          <w:color w:val="auto"/>
          <w:spacing w:val="6"/>
          <w:sz w:val="32"/>
          <w:szCs w:val="32"/>
          <w:highlight w:val="none"/>
        </w:rPr>
        <w:t>政府采购统计基础信息表</w:t>
      </w:r>
    </w:p>
    <w:p>
      <w:pPr>
        <w:pStyle w:val="174"/>
        <w:ind w:firstLine="420"/>
        <w:rPr>
          <w:color w:val="auto"/>
          <w:highlight w:val="none"/>
        </w:rPr>
      </w:pPr>
    </w:p>
    <w:tbl>
      <w:tblPr>
        <w:tblStyle w:val="50"/>
        <w:tblW w:w="0" w:type="auto"/>
        <w:tblInd w:w="0" w:type="dxa"/>
        <w:tblLayout w:type="fixed"/>
        <w:tblCellMar>
          <w:top w:w="0" w:type="dxa"/>
          <w:left w:w="108" w:type="dxa"/>
          <w:bottom w:w="0" w:type="dxa"/>
          <w:right w:w="108" w:type="dxa"/>
        </w:tblCellMar>
      </w:tblPr>
      <w:tblGrid>
        <w:gridCol w:w="4219"/>
        <w:gridCol w:w="5375"/>
      </w:tblGrid>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采购人及采购项目名称</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color w:val="auto"/>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投（中）标单位名称</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color w:val="auto"/>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是否国内企业</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color w:val="auto"/>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是否宁波企业</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color w:val="auto"/>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企业划分标准类型（大型、中型、小型、微型）</w:t>
            </w:r>
          </w:p>
        </w:tc>
        <w:tc>
          <w:tcPr>
            <w:tcW w:w="5375" w:type="dxa"/>
            <w:tcBorders>
              <w:top w:val="single" w:color="000000" w:sz="4" w:space="0"/>
              <w:left w:val="nil"/>
              <w:bottom w:val="single" w:color="000000" w:sz="4" w:space="0"/>
              <w:right w:val="single" w:color="000000" w:sz="4" w:space="0"/>
            </w:tcBorders>
          </w:tcPr>
          <w:p>
            <w:pPr>
              <w:ind w:firstLine="444" w:firstLineChars="200"/>
              <w:rPr>
                <w:rFonts w:ascii="宋体" w:hAnsi="宋体" w:cs="宋体"/>
                <w:color w:val="auto"/>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提供的货物是否本企业制造</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货物原产地是否是中国境内</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货物原产地是否是宁波</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是节能清单产品</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提供的货物是否是环境标志清单产品</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承担的工程或服务是否本企业提供</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本项目预算</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本项目是否专门面向中小企业采购</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tr>
        <w:tblPrEx>
          <w:tblCellMar>
            <w:top w:w="0" w:type="dxa"/>
            <w:left w:w="108" w:type="dxa"/>
            <w:bottom w:w="0" w:type="dxa"/>
            <w:right w:w="108" w:type="dxa"/>
          </w:tblCellMar>
        </w:tblPrEx>
        <w:trPr>
          <w:trHeight w:val="612" w:hRule="atLeast"/>
        </w:trPr>
        <w:tc>
          <w:tcPr>
            <w:tcW w:w="4219" w:type="dxa"/>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color w:val="auto"/>
                <w:spacing w:val="6"/>
                <w:highlight w:val="none"/>
              </w:rPr>
            </w:pPr>
            <w:r>
              <w:rPr>
                <w:rFonts w:hint="eastAsia" w:ascii="宋体" w:hAnsi="宋体" w:cs="宋体"/>
                <w:color w:val="auto"/>
                <w:spacing w:val="6"/>
                <w:highlight w:val="none"/>
              </w:rPr>
              <w:t>投（中）标金额（万元）</w:t>
            </w:r>
          </w:p>
        </w:tc>
        <w:tc>
          <w:tcPr>
            <w:tcW w:w="5375" w:type="dxa"/>
            <w:tcBorders>
              <w:top w:val="single" w:color="000000" w:sz="4" w:space="0"/>
              <w:left w:val="nil"/>
              <w:bottom w:val="single" w:color="000000" w:sz="4" w:space="0"/>
              <w:right w:val="single" w:color="000000" w:sz="4" w:space="0"/>
            </w:tcBorders>
            <w:vAlign w:val="center"/>
          </w:tcPr>
          <w:p>
            <w:pPr>
              <w:ind w:firstLine="444" w:firstLineChars="200"/>
              <w:jc w:val="center"/>
              <w:rPr>
                <w:rFonts w:ascii="宋体" w:hAnsi="宋体" w:cs="宋体"/>
                <w:color w:val="auto"/>
                <w:spacing w:val="6"/>
                <w:highlight w:val="none"/>
              </w:rPr>
            </w:pPr>
            <w:r>
              <w:rPr>
                <w:rFonts w:hint="eastAsia" w:ascii="宋体" w:hAnsi="宋体" w:cs="宋体"/>
                <w:color w:val="auto"/>
                <w:spacing w:val="6"/>
                <w:highlight w:val="none"/>
              </w:rPr>
              <w:t>/</w:t>
            </w:r>
          </w:p>
        </w:tc>
      </w:tr>
      <w:bookmarkEnd w:id="55"/>
      <w:bookmarkEnd w:id="56"/>
      <w:bookmarkEnd w:id="57"/>
    </w:tbl>
    <w:p>
      <w:pPr>
        <w:tabs>
          <w:tab w:val="left" w:pos="7480"/>
        </w:tabs>
        <w:autoSpaceDE w:val="0"/>
        <w:autoSpaceDN w:val="0"/>
        <w:adjustRightInd w:val="0"/>
        <w:spacing w:line="360" w:lineRule="exact"/>
        <w:rPr>
          <w:rFonts w:hAnsi="宋体"/>
          <w:color w:val="auto"/>
          <w:highlight w:val="none"/>
        </w:rPr>
      </w:pPr>
    </w:p>
    <w:sectPr>
      <w:headerReference r:id="rId10" w:type="default"/>
      <w:footerReference r:id="rId11" w:type="default"/>
      <w:pgSz w:w="11906" w:h="16838"/>
      <w:pgMar w:top="1417" w:right="1417" w:bottom="1417" w:left="1417" w:header="386" w:footer="992" w:gutter="0"/>
      <w:pgBorders>
        <w:top w:val="none" w:sz="0" w:space="0"/>
        <w:left w:val="none" w:sz="0" w:space="0"/>
        <w:bottom w:val="none" w:sz="0" w:space="0"/>
        <w:right w:val="none" w:sz="0" w:space="0"/>
      </w:pgBorders>
      <w:pgNumType w:fmt="decimal"/>
      <w:cols w:space="0" w:num="1"/>
      <w:rtlGutter w:val="0"/>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BatangChe">
    <w:altName w:val="Malgun Gothic"/>
    <w:panose1 w:val="0203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宋体..鍼笁鍼.">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62336" behindDoc="0" locked="0" layoutInCell="1" allowOverlap="1">
              <wp:simplePos x="0" y="0"/>
              <wp:positionH relativeFrom="margin">
                <wp:posOffset>2138045</wp:posOffset>
              </wp:positionH>
              <wp:positionV relativeFrom="paragraph">
                <wp:posOffset>-132715</wp:posOffset>
              </wp:positionV>
              <wp:extent cx="1388110" cy="21272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388110" cy="212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68.35pt;margin-top:-10.45pt;height:16.75pt;width:109.3pt;mso-position-horizontal-relative:margin;z-index:251662336;mso-width-relative:page;mso-height-relative:page;" filled="f" stroked="f" coordsize="21600,21600" o:gfxdata="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2YFXb2QAAAAoBAAAPAAAAAAAAAAEAIAAAACIAAABkcnMvZG93&#10;bnJldi54bWxQSwECFAAUAAAACACHTuJAjiTLtDgCAABiBAAADgAAAAAAAAABACAAAAAoAQAAZHJz&#10;L2Uyb0RvYy54bWxQSwUGAAAAAAYABgBZAQAA0gUAAAAA&#10;">
              <v:fill on="f" focussize="0,0"/>
              <v:stroke on="f" weight="0.5pt"/>
              <v:imagedata o:title=""/>
              <o:lock v:ext="edit" aspectratio="f"/>
              <v:textbox inset="0mm,0mm,0mm,0mm">
                <w:txbxContent>
                  <w:p>
                    <w:pPr>
                      <w:pStyle w:val="33"/>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Style w:val="55"/>
        <w:sz w:val="28"/>
      </w:rPr>
    </w:pPr>
  </w:p>
  <w:p>
    <w:pPr>
      <w:pStyle w:val="33"/>
      <w:ind w:right="360" w:firstLine="360"/>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2222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7.5pt;width:144pt;mso-position-horizontal:center;mso-position-horizontal-relative:margin;mso-wrap-style:none;z-index:251660288;mso-width-relative:page;mso-height-relative:page;" filled="f" stroked="f" coordsize="21600,21600" o:gfxdata="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8WKFDUAAAABAEAAA8AAAAAAAAAAQAgAAAAIgAAAGRycy9kb3ducmV2LnhtbFBL&#10;AQIUABQAAAAIAIdO4kBflub9MwIAAGAEAAAOAAAAAAAAAAEAIAAAACMBAABkcnMvZTJvRG9jLnht&#10;bFBLBQYAAAAABgAGAFkBAADIBQAAAAA=&#10;">
              <v:fill on="f" focussize="0,0"/>
              <v:stroke on="f" weight="0.5pt"/>
              <v:imagedata o:title=""/>
              <o:lock v:ext="edit" aspectratio="f"/>
              <v:textbox inset="0mm,0mm,0mm,0mm">
                <w:txbxContent>
                  <w:p>
                    <w:pPr>
                      <w:pStyle w:val="33"/>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rPr>
        <w:rStyle w:val="55"/>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3"/>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BMwsu/TAQAApgMAAA4AAAAAAAAAAQAgAAAA&#10;IgEAAGRycy9lMm9Eb2MueG1sUEsFBgAAAAAGAAYAWQEAAGcFAAAAAA==&#10;">
              <v:fill on="f" focussize="0,0"/>
              <v:stroke on="f" weight="1.25pt"/>
              <v:imagedata o:title=""/>
              <o:lock v:ext="edit" aspectratio="f"/>
              <v:textbox inset="0mm,0mm,0mm,0mm" style="mso-fit-shape-to-text:t;">
                <w:txbxContent>
                  <w:p>
                    <w:pPr>
                      <w:pStyle w:val="33"/>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133</w:t>
                    </w:r>
                    <w:r>
                      <w:fldChar w:fldCharType="end"/>
                    </w:r>
                    <w:r>
                      <w:t xml:space="preserve"> 页</w:t>
                    </w:r>
                  </w:p>
                </w:txbxContent>
              </v:textbox>
            </v:shape>
          </w:pict>
        </mc:Fallback>
      </mc:AlternateContent>
    </w:r>
  </w:p>
  <w:p>
    <w:pPr>
      <w:pStyle w:val="3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left"/>
      <w:rPr>
        <w:rFonts w:ascii="宋体" w:hAnsi="宋体"/>
        <w:sz w:val="15"/>
        <w:szCs w:val="15"/>
      </w:rPr>
    </w:pPr>
    <w:r>
      <w:rPr>
        <w:rFonts w:hint="eastAsia" w:ascii="宋体" w:hAnsi="宋体"/>
        <w:bCs/>
        <w:sz w:val="15"/>
        <w:szCs w:val="15"/>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left"/>
      <w:rPr>
        <w:rFonts w:ascii="宋体" w:hAnsi="宋体"/>
      </w:rPr>
    </w:pPr>
    <w:r>
      <w:rPr>
        <w:rFonts w:hint="eastAsia" w:ascii="宋体" w:hAnsi="宋体"/>
        <w:bCs/>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8DDA80"/>
    <w:multiLevelType w:val="singleLevel"/>
    <w:tmpl w:val="868DDA80"/>
    <w:lvl w:ilvl="0" w:tentative="0">
      <w:start w:val="5"/>
      <w:numFmt w:val="decimal"/>
      <w:suff w:val="nothing"/>
      <w:lvlText w:val="%1、"/>
      <w:lvlJc w:val="left"/>
    </w:lvl>
  </w:abstractNum>
  <w:abstractNum w:abstractNumId="1">
    <w:nsid w:val="873F77BF"/>
    <w:multiLevelType w:val="singleLevel"/>
    <w:tmpl w:val="873F77BF"/>
    <w:lvl w:ilvl="0" w:tentative="0">
      <w:start w:val="1"/>
      <w:numFmt w:val="chineseCounting"/>
      <w:pStyle w:val="225"/>
      <w:suff w:val="nothing"/>
      <w:lvlText w:val="%1、"/>
      <w:lvlJc w:val="left"/>
      <w:rPr>
        <w:rFonts w:hint="eastAsia"/>
      </w:rPr>
    </w:lvl>
  </w:abstractNum>
  <w:abstractNum w:abstractNumId="2">
    <w:nsid w:val="FB8F1E9C"/>
    <w:multiLevelType w:val="singleLevel"/>
    <w:tmpl w:val="FB8F1E9C"/>
    <w:lvl w:ilvl="0" w:tentative="0">
      <w:start w:val="3"/>
      <w:numFmt w:val="chineseCounting"/>
      <w:suff w:val="space"/>
      <w:lvlText w:val="第%1章"/>
      <w:lvlJc w:val="left"/>
      <w:rPr>
        <w:rFonts w:hint="eastAsia"/>
      </w:rPr>
    </w:lvl>
  </w:abstractNum>
  <w:abstractNum w:abstractNumId="3">
    <w:nsid w:val="00000010"/>
    <w:multiLevelType w:val="multilevel"/>
    <w:tmpl w:val="00000010"/>
    <w:lvl w:ilvl="0" w:tentative="0">
      <w:start w:val="1"/>
      <w:numFmt w:val="chineseCountingThousand"/>
      <w:lvlText w:val="第%1章 "/>
      <w:lvlJc w:val="left"/>
      <w:pPr>
        <w:tabs>
          <w:tab w:val="left" w:pos="420"/>
        </w:tabs>
        <w:ind w:left="420" w:hanging="420"/>
      </w:pPr>
      <w:rPr>
        <w:rFonts w:hint="eastAsia"/>
      </w:rPr>
    </w:lvl>
    <w:lvl w:ilvl="1" w:tentative="0">
      <w:start w:val="1"/>
      <w:numFmt w:val="chineseCountingThousand"/>
      <w:pStyle w:val="125"/>
      <w:lvlText w:val="第%2节"/>
      <w:lvlJc w:val="left"/>
      <w:pPr>
        <w:tabs>
          <w:tab w:val="left" w:pos="2315"/>
        </w:tabs>
        <w:ind w:left="2315" w:hanging="575"/>
      </w:pPr>
      <w:rPr>
        <w:rFonts w:hint="eastAsia"/>
      </w:rPr>
    </w:lvl>
    <w:lvl w:ilvl="2" w:tentative="0">
      <w:start w:val="1"/>
      <w:numFmt w:val="chineseCounting"/>
      <w:lvlText w:val="%3、"/>
      <w:lvlJc w:val="left"/>
      <w:pPr>
        <w:tabs>
          <w:tab w:val="left" w:pos="1020"/>
        </w:tabs>
        <w:ind w:left="1020" w:hanging="720"/>
      </w:pPr>
      <w:rPr>
        <w:rFonts w:hint="eastAsia" w:ascii="宋体" w:hAnsi="宋体" w:eastAsia="宋体"/>
      </w:rPr>
    </w:lvl>
    <w:lvl w:ilvl="3" w:tentative="0">
      <w:start w:val="1"/>
      <w:numFmt w:val="decimal"/>
      <w:lvlText w:val="%4"/>
      <w:lvlJc w:val="left"/>
      <w:pPr>
        <w:tabs>
          <w:tab w:val="left" w:pos="2604"/>
        </w:tabs>
        <w:ind w:left="2604" w:hanging="864"/>
      </w:pPr>
      <w:rPr>
        <w:rFonts w:hint="eastAsia" w:ascii="宋体" w:hAnsi="宋体" w:eastAsia="宋体"/>
      </w:rPr>
    </w:lvl>
    <w:lvl w:ilvl="4" w:tentative="0">
      <w:start w:val="1"/>
      <w:numFmt w:val="decimal"/>
      <w:lvlText w:val="%3.%4.%5"/>
      <w:lvlJc w:val="left"/>
      <w:pPr>
        <w:tabs>
          <w:tab w:val="left" w:pos="1008"/>
        </w:tabs>
        <w:ind w:left="1008" w:hanging="1008"/>
      </w:pPr>
      <w:rPr>
        <w:rFonts w:hint="eastAsia"/>
      </w:rPr>
    </w:lvl>
    <w:lvl w:ilvl="5" w:tentative="0">
      <w:start w:val="1"/>
      <w:numFmt w:val="decimal"/>
      <w:lvlText w:val="%1.%2.%3.%4.%5.%6."/>
      <w:lvlJc w:val="left"/>
      <w:pPr>
        <w:tabs>
          <w:tab w:val="left" w:pos="1151"/>
        </w:tabs>
        <w:ind w:left="1151" w:hanging="1151"/>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3"/>
        </w:tabs>
        <w:ind w:left="1583" w:hanging="1583"/>
      </w:pPr>
      <w:rPr>
        <w:rFonts w:hint="eastAsia"/>
      </w:rPr>
    </w:lvl>
  </w:abstractNum>
  <w:abstractNum w:abstractNumId="4">
    <w:nsid w:val="0000002F"/>
    <w:multiLevelType w:val="singleLevel"/>
    <w:tmpl w:val="0000002F"/>
    <w:lvl w:ilvl="0" w:tentative="0">
      <w:start w:val="1"/>
      <w:numFmt w:val="decimal"/>
      <w:suff w:val="nothing"/>
      <w:lvlText w:val="%1、"/>
      <w:lvlJc w:val="left"/>
      <w:pPr>
        <w:ind w:left="0" w:firstLine="400"/>
      </w:pPr>
      <w:rPr>
        <w:rFonts w:hint="default"/>
      </w:rPr>
    </w:lvl>
  </w:abstractNum>
  <w:abstractNum w:abstractNumId="5">
    <w:nsid w:val="007249E3"/>
    <w:multiLevelType w:val="multilevel"/>
    <w:tmpl w:val="007249E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084748A"/>
    <w:multiLevelType w:val="multilevel"/>
    <w:tmpl w:val="0084748A"/>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16830A5"/>
    <w:multiLevelType w:val="multilevel"/>
    <w:tmpl w:val="016830A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0488083D"/>
    <w:multiLevelType w:val="multilevel"/>
    <w:tmpl w:val="0488083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48F1BC9"/>
    <w:multiLevelType w:val="multilevel"/>
    <w:tmpl w:val="048F1BC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08461257"/>
    <w:multiLevelType w:val="multilevel"/>
    <w:tmpl w:val="08461257"/>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0BB5499C"/>
    <w:multiLevelType w:val="multilevel"/>
    <w:tmpl w:val="0BB5499C"/>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11BF6F40"/>
    <w:multiLevelType w:val="multilevel"/>
    <w:tmpl w:val="11BF6F40"/>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11E58D2C"/>
    <w:multiLevelType w:val="singleLevel"/>
    <w:tmpl w:val="11E58D2C"/>
    <w:lvl w:ilvl="0" w:tentative="0">
      <w:start w:val="1"/>
      <w:numFmt w:val="decimal"/>
      <w:suff w:val="nothing"/>
      <w:lvlText w:val="（%1）"/>
      <w:lvlJc w:val="left"/>
    </w:lvl>
  </w:abstractNum>
  <w:abstractNum w:abstractNumId="14">
    <w:nsid w:val="126D0598"/>
    <w:multiLevelType w:val="multilevel"/>
    <w:tmpl w:val="126D0598"/>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15895E09"/>
    <w:multiLevelType w:val="multilevel"/>
    <w:tmpl w:val="15895E0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15E105A1"/>
    <w:multiLevelType w:val="multilevel"/>
    <w:tmpl w:val="15E105A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17FD07C9"/>
    <w:multiLevelType w:val="multilevel"/>
    <w:tmpl w:val="17FD07C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1A7646AB"/>
    <w:multiLevelType w:val="multilevel"/>
    <w:tmpl w:val="1A7646AB"/>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1B7B8D6C"/>
    <w:multiLevelType w:val="singleLevel"/>
    <w:tmpl w:val="1B7B8D6C"/>
    <w:lvl w:ilvl="0" w:tentative="0">
      <w:start w:val="23"/>
      <w:numFmt w:val="decimal"/>
      <w:pStyle w:val="200"/>
      <w:lvlText w:val="%1."/>
      <w:lvlJc w:val="left"/>
      <w:pPr>
        <w:tabs>
          <w:tab w:val="left" w:pos="312"/>
        </w:tabs>
      </w:pPr>
    </w:lvl>
  </w:abstractNum>
  <w:abstractNum w:abstractNumId="20">
    <w:nsid w:val="1C0D4383"/>
    <w:multiLevelType w:val="multilevel"/>
    <w:tmpl w:val="1C0D438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1C8C62CB"/>
    <w:multiLevelType w:val="multilevel"/>
    <w:tmpl w:val="1C8C62C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1D0F7690"/>
    <w:multiLevelType w:val="multilevel"/>
    <w:tmpl w:val="1D0F7690"/>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1FB509F3"/>
    <w:multiLevelType w:val="multilevel"/>
    <w:tmpl w:val="1FB509F3"/>
    <w:lvl w:ilvl="0" w:tentative="0">
      <w:start w:val="1"/>
      <w:numFmt w:val="decimal"/>
      <w:pStyle w:val="203"/>
      <w:lvlText w:val="%1、"/>
      <w:lvlJc w:val="left"/>
      <w:pPr>
        <w:tabs>
          <w:tab w:val="left" w:pos="306"/>
        </w:tabs>
        <w:ind w:left="306" w:hanging="360"/>
      </w:pPr>
      <w:rPr>
        <w:rFonts w:hint="eastAsia"/>
      </w:rPr>
    </w:lvl>
    <w:lvl w:ilvl="1" w:tentative="0">
      <w:start w:val="1"/>
      <w:numFmt w:val="lowerLetter"/>
      <w:lvlText w:val="%2)"/>
      <w:lvlJc w:val="left"/>
      <w:pPr>
        <w:tabs>
          <w:tab w:val="left" w:pos="366"/>
        </w:tabs>
        <w:ind w:left="366" w:hanging="420"/>
      </w:pPr>
    </w:lvl>
    <w:lvl w:ilvl="2" w:tentative="0">
      <w:start w:val="1"/>
      <w:numFmt w:val="lowerRoman"/>
      <w:lvlText w:val="%3."/>
      <w:lvlJc w:val="right"/>
      <w:pPr>
        <w:tabs>
          <w:tab w:val="left" w:pos="786"/>
        </w:tabs>
        <w:ind w:left="786" w:hanging="420"/>
      </w:pPr>
    </w:lvl>
    <w:lvl w:ilvl="3" w:tentative="0">
      <w:start w:val="1"/>
      <w:numFmt w:val="decimal"/>
      <w:lvlText w:val="%4."/>
      <w:lvlJc w:val="left"/>
      <w:pPr>
        <w:tabs>
          <w:tab w:val="left" w:pos="1206"/>
        </w:tabs>
        <w:ind w:left="1206" w:hanging="420"/>
      </w:pPr>
    </w:lvl>
    <w:lvl w:ilvl="4" w:tentative="0">
      <w:start w:val="1"/>
      <w:numFmt w:val="lowerLetter"/>
      <w:lvlText w:val="%5)"/>
      <w:lvlJc w:val="left"/>
      <w:pPr>
        <w:tabs>
          <w:tab w:val="left" w:pos="1626"/>
        </w:tabs>
        <w:ind w:left="1626" w:hanging="420"/>
      </w:pPr>
    </w:lvl>
    <w:lvl w:ilvl="5" w:tentative="0">
      <w:start w:val="1"/>
      <w:numFmt w:val="lowerRoman"/>
      <w:lvlText w:val="%6."/>
      <w:lvlJc w:val="right"/>
      <w:pPr>
        <w:tabs>
          <w:tab w:val="left" w:pos="2046"/>
        </w:tabs>
        <w:ind w:left="2046" w:hanging="420"/>
      </w:pPr>
    </w:lvl>
    <w:lvl w:ilvl="6" w:tentative="0">
      <w:start w:val="1"/>
      <w:numFmt w:val="decimal"/>
      <w:lvlText w:val="%7."/>
      <w:lvlJc w:val="left"/>
      <w:pPr>
        <w:tabs>
          <w:tab w:val="left" w:pos="2466"/>
        </w:tabs>
        <w:ind w:left="2466" w:hanging="420"/>
      </w:pPr>
    </w:lvl>
    <w:lvl w:ilvl="7" w:tentative="0">
      <w:start w:val="1"/>
      <w:numFmt w:val="lowerLetter"/>
      <w:lvlText w:val="%8)"/>
      <w:lvlJc w:val="left"/>
      <w:pPr>
        <w:tabs>
          <w:tab w:val="left" w:pos="2886"/>
        </w:tabs>
        <w:ind w:left="2886" w:hanging="420"/>
      </w:pPr>
    </w:lvl>
    <w:lvl w:ilvl="8" w:tentative="0">
      <w:start w:val="1"/>
      <w:numFmt w:val="lowerRoman"/>
      <w:lvlText w:val="%9."/>
      <w:lvlJc w:val="right"/>
      <w:pPr>
        <w:tabs>
          <w:tab w:val="left" w:pos="3306"/>
        </w:tabs>
        <w:ind w:left="3306" w:hanging="420"/>
      </w:pPr>
    </w:lvl>
  </w:abstractNum>
  <w:abstractNum w:abstractNumId="24">
    <w:nsid w:val="1FE1376C"/>
    <w:multiLevelType w:val="multilevel"/>
    <w:tmpl w:val="1FE1376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5">
    <w:nsid w:val="230B153C"/>
    <w:multiLevelType w:val="multilevel"/>
    <w:tmpl w:val="230B153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23565693"/>
    <w:multiLevelType w:val="multilevel"/>
    <w:tmpl w:val="2356569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23A40C12"/>
    <w:multiLevelType w:val="multilevel"/>
    <w:tmpl w:val="23A40C1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23A63E27"/>
    <w:multiLevelType w:val="multilevel"/>
    <w:tmpl w:val="23A63E2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74D79F4"/>
    <w:multiLevelType w:val="multilevel"/>
    <w:tmpl w:val="274D79F4"/>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27BD448E"/>
    <w:multiLevelType w:val="multilevel"/>
    <w:tmpl w:val="27BD448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2BD67812"/>
    <w:multiLevelType w:val="multilevel"/>
    <w:tmpl w:val="2BD6781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2C0A2DC2"/>
    <w:multiLevelType w:val="multilevel"/>
    <w:tmpl w:val="2C0A2DC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2D500547"/>
    <w:multiLevelType w:val="multilevel"/>
    <w:tmpl w:val="2D500547"/>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33AA413E"/>
    <w:multiLevelType w:val="multilevel"/>
    <w:tmpl w:val="33AA413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3609464E"/>
    <w:multiLevelType w:val="multilevel"/>
    <w:tmpl w:val="3609464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375440DF"/>
    <w:multiLevelType w:val="multilevel"/>
    <w:tmpl w:val="375440D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38DE594B"/>
    <w:multiLevelType w:val="multilevel"/>
    <w:tmpl w:val="38DE594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3B3658AE"/>
    <w:multiLevelType w:val="multilevel"/>
    <w:tmpl w:val="3B3658AE"/>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3B9513A8"/>
    <w:multiLevelType w:val="multilevel"/>
    <w:tmpl w:val="3B9513A8"/>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3D1F1844"/>
    <w:multiLevelType w:val="multilevel"/>
    <w:tmpl w:val="3D1F1844"/>
    <w:lvl w:ilvl="0" w:tentative="0">
      <w:start w:val="1"/>
      <w:numFmt w:val="decimal"/>
      <w:lvlText w:val="%1）"/>
      <w:lvlJc w:val="left"/>
      <w:pPr>
        <w:ind w:left="900" w:hanging="420"/>
      </w:pPr>
      <w:rPr>
        <w:rFonts w:hint="default"/>
        <w:color w:val="auto"/>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4AA1376C"/>
    <w:multiLevelType w:val="multilevel"/>
    <w:tmpl w:val="4AA1376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4C831446"/>
    <w:multiLevelType w:val="multilevel"/>
    <w:tmpl w:val="4C83144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4D307E92"/>
    <w:multiLevelType w:val="multilevel"/>
    <w:tmpl w:val="4D307E9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4">
    <w:nsid w:val="546C7C72"/>
    <w:multiLevelType w:val="multilevel"/>
    <w:tmpl w:val="546C7C7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5">
    <w:nsid w:val="550FCE05"/>
    <w:multiLevelType w:val="singleLevel"/>
    <w:tmpl w:val="550FCE05"/>
    <w:lvl w:ilvl="0" w:tentative="0">
      <w:start w:val="1"/>
      <w:numFmt w:val="chineseCounting"/>
      <w:pStyle w:val="184"/>
      <w:suff w:val="nothing"/>
      <w:lvlText w:val="%1、"/>
      <w:lvlJc w:val="left"/>
    </w:lvl>
  </w:abstractNum>
  <w:abstractNum w:abstractNumId="46">
    <w:nsid w:val="56013E29"/>
    <w:multiLevelType w:val="multilevel"/>
    <w:tmpl w:val="56013E2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7">
    <w:nsid w:val="560B1AC7"/>
    <w:multiLevelType w:val="multilevel"/>
    <w:tmpl w:val="560B1AC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56C51589"/>
    <w:multiLevelType w:val="multilevel"/>
    <w:tmpl w:val="56C5158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9">
    <w:nsid w:val="570C36D6"/>
    <w:multiLevelType w:val="multilevel"/>
    <w:tmpl w:val="570C36D6"/>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58A631D3"/>
    <w:multiLevelType w:val="multilevel"/>
    <w:tmpl w:val="58A631D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5BA05E22"/>
    <w:multiLevelType w:val="multilevel"/>
    <w:tmpl w:val="5BA05E2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5ED54BFD"/>
    <w:multiLevelType w:val="multilevel"/>
    <w:tmpl w:val="5ED54BF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3">
    <w:nsid w:val="625A50A1"/>
    <w:multiLevelType w:val="multilevel"/>
    <w:tmpl w:val="625A50A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4">
    <w:nsid w:val="627C7A22"/>
    <w:multiLevelType w:val="multilevel"/>
    <w:tmpl w:val="627C7A2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633D75BE"/>
    <w:multiLevelType w:val="multilevel"/>
    <w:tmpl w:val="633D75BE"/>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66A059DF"/>
    <w:multiLevelType w:val="multilevel"/>
    <w:tmpl w:val="66A059DF"/>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68984C6D"/>
    <w:multiLevelType w:val="multilevel"/>
    <w:tmpl w:val="68984C6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8">
    <w:nsid w:val="69495AE2"/>
    <w:multiLevelType w:val="multilevel"/>
    <w:tmpl w:val="69495AE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9">
    <w:nsid w:val="6C536A8B"/>
    <w:multiLevelType w:val="multilevel"/>
    <w:tmpl w:val="6C536A8B"/>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6D343AC7"/>
    <w:multiLevelType w:val="multilevel"/>
    <w:tmpl w:val="6D343AC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1">
    <w:nsid w:val="6DF402C3"/>
    <w:multiLevelType w:val="multilevel"/>
    <w:tmpl w:val="6DF402C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2">
    <w:nsid w:val="6FC65301"/>
    <w:multiLevelType w:val="multilevel"/>
    <w:tmpl w:val="6FC65301"/>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3">
    <w:nsid w:val="70745B69"/>
    <w:multiLevelType w:val="multilevel"/>
    <w:tmpl w:val="70745B69"/>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713F5DE0"/>
    <w:multiLevelType w:val="multilevel"/>
    <w:tmpl w:val="713F5DE0"/>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735A0C4F"/>
    <w:multiLevelType w:val="multilevel"/>
    <w:tmpl w:val="735A0C4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6">
    <w:nsid w:val="763060DB"/>
    <w:multiLevelType w:val="multilevel"/>
    <w:tmpl w:val="763060DB"/>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abstractNum w:abstractNumId="67">
    <w:nsid w:val="766A12FD"/>
    <w:multiLevelType w:val="multilevel"/>
    <w:tmpl w:val="766A12F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8">
    <w:nsid w:val="782E540B"/>
    <w:multiLevelType w:val="multilevel"/>
    <w:tmpl w:val="782E540B"/>
    <w:lvl w:ilvl="0" w:tentative="0">
      <w:start w:val="5"/>
      <w:numFmt w:val="japaneseCounting"/>
      <w:pStyle w:val="5"/>
      <w:lvlText w:val="第%1章、"/>
      <w:lvlJc w:val="left"/>
      <w:pPr>
        <w:tabs>
          <w:tab w:val="left" w:pos="5220"/>
        </w:tabs>
        <w:ind w:left="4530" w:hanging="1110"/>
      </w:pPr>
      <w:rPr>
        <w:rFonts w:hint="eastAsia"/>
      </w:rPr>
    </w:lvl>
    <w:lvl w:ilvl="1" w:tentative="0">
      <w:start w:val="1"/>
      <w:numFmt w:val="decimal"/>
      <w:lvlText w:val="%2."/>
      <w:lvlJc w:val="left"/>
      <w:pPr>
        <w:tabs>
          <w:tab w:val="left" w:pos="4200"/>
        </w:tabs>
        <w:ind w:left="4200" w:hanging="360"/>
      </w:pPr>
      <w:rPr>
        <w:rFonts w:hint="eastAsia"/>
      </w:rPr>
    </w:lvl>
    <w:lvl w:ilvl="2" w:tentative="0">
      <w:start w:val="1"/>
      <w:numFmt w:val="upperLetter"/>
      <w:lvlText w:val="%3."/>
      <w:lvlJc w:val="left"/>
      <w:pPr>
        <w:tabs>
          <w:tab w:val="left" w:pos="4620"/>
        </w:tabs>
        <w:ind w:left="4620" w:hanging="360"/>
      </w:pPr>
      <w:rPr>
        <w:rFonts w:hint="eastAsia"/>
      </w:rPr>
    </w:lvl>
    <w:lvl w:ilvl="3" w:tentative="0">
      <w:start w:val="1"/>
      <w:numFmt w:val="japaneseCounting"/>
      <w:lvlText w:val="%4、"/>
      <w:lvlJc w:val="left"/>
      <w:pPr>
        <w:tabs>
          <w:tab w:val="left" w:pos="5400"/>
        </w:tabs>
        <w:ind w:left="5400" w:hanging="720"/>
      </w:pPr>
      <w:rPr>
        <w:rFonts w:hint="eastAsia"/>
      </w:rPr>
    </w:lvl>
    <w:lvl w:ilvl="4" w:tentative="0">
      <w:start w:val="1"/>
      <w:numFmt w:val="decimal"/>
      <w:pStyle w:val="228"/>
      <w:lvlText w:val="%5."/>
      <w:lvlJc w:val="left"/>
      <w:pPr>
        <w:tabs>
          <w:tab w:val="left" w:pos="5520"/>
        </w:tabs>
        <w:ind w:left="5520" w:hanging="420"/>
      </w:pPr>
      <w:rPr>
        <w:rFonts w:hint="eastAsia"/>
      </w:rPr>
    </w:lvl>
    <w:lvl w:ilvl="5" w:tentative="0">
      <w:start w:val="1"/>
      <w:numFmt w:val="lowerRoman"/>
      <w:lvlText w:val="%6."/>
      <w:lvlJc w:val="right"/>
      <w:pPr>
        <w:tabs>
          <w:tab w:val="left" w:pos="5940"/>
        </w:tabs>
        <w:ind w:left="5940" w:hanging="420"/>
      </w:pPr>
    </w:lvl>
    <w:lvl w:ilvl="6" w:tentative="0">
      <w:start w:val="1"/>
      <w:numFmt w:val="decimal"/>
      <w:lvlText w:val="%7."/>
      <w:lvlJc w:val="left"/>
      <w:pPr>
        <w:tabs>
          <w:tab w:val="left" w:pos="6360"/>
        </w:tabs>
        <w:ind w:left="6360" w:hanging="420"/>
      </w:pPr>
    </w:lvl>
    <w:lvl w:ilvl="7" w:tentative="0">
      <w:start w:val="1"/>
      <w:numFmt w:val="lowerLetter"/>
      <w:lvlText w:val="%8)"/>
      <w:lvlJc w:val="left"/>
      <w:pPr>
        <w:tabs>
          <w:tab w:val="left" w:pos="6780"/>
        </w:tabs>
        <w:ind w:left="6780" w:hanging="420"/>
      </w:pPr>
    </w:lvl>
    <w:lvl w:ilvl="8" w:tentative="0">
      <w:start w:val="1"/>
      <w:numFmt w:val="lowerRoman"/>
      <w:lvlText w:val="%9."/>
      <w:lvlJc w:val="right"/>
      <w:pPr>
        <w:tabs>
          <w:tab w:val="left" w:pos="7200"/>
        </w:tabs>
        <w:ind w:left="7200" w:hanging="420"/>
      </w:pPr>
    </w:lvl>
  </w:abstractNum>
  <w:abstractNum w:abstractNumId="69">
    <w:nsid w:val="78E41A52"/>
    <w:multiLevelType w:val="multilevel"/>
    <w:tmpl w:val="78E41A52"/>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0">
    <w:nsid w:val="7A067F32"/>
    <w:multiLevelType w:val="multilevel"/>
    <w:tmpl w:val="7A067F3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1">
    <w:nsid w:val="7BB64AC2"/>
    <w:multiLevelType w:val="multilevel"/>
    <w:tmpl w:val="7BB64AC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2">
    <w:nsid w:val="7F1F2F3F"/>
    <w:multiLevelType w:val="multilevel"/>
    <w:tmpl w:val="7F1F2F3F"/>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7FD85D30"/>
    <w:multiLevelType w:val="multilevel"/>
    <w:tmpl w:val="7FD85D30"/>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4">
    <w:nsid w:val="7FD979B7"/>
    <w:multiLevelType w:val="multilevel"/>
    <w:tmpl w:val="7FD979B7"/>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68"/>
  </w:num>
  <w:num w:numId="2">
    <w:abstractNumId w:val="3"/>
  </w:num>
  <w:num w:numId="3">
    <w:abstractNumId w:val="45"/>
  </w:num>
  <w:num w:numId="4">
    <w:abstractNumId w:val="19"/>
  </w:num>
  <w:num w:numId="5">
    <w:abstractNumId w:val="23"/>
  </w:num>
  <w:num w:numId="6">
    <w:abstractNumId w:val="1"/>
  </w:num>
  <w:num w:numId="7">
    <w:abstractNumId w:val="66"/>
    <w:lvlOverride w:ilvl="0">
      <w:startOverride w:val="1"/>
    </w:lvlOverride>
  </w:num>
  <w:num w:numId="8">
    <w:abstractNumId w:val="13"/>
  </w:num>
  <w:num w:numId="9">
    <w:abstractNumId w:val="47"/>
  </w:num>
  <w:num w:numId="10">
    <w:abstractNumId w:val="40"/>
  </w:num>
  <w:num w:numId="11">
    <w:abstractNumId w:val="7"/>
  </w:num>
  <w:num w:numId="12">
    <w:abstractNumId w:val="38"/>
  </w:num>
  <w:num w:numId="13">
    <w:abstractNumId w:val="55"/>
  </w:num>
  <w:num w:numId="14">
    <w:abstractNumId w:val="59"/>
  </w:num>
  <w:num w:numId="15">
    <w:abstractNumId w:val="70"/>
  </w:num>
  <w:num w:numId="16">
    <w:abstractNumId w:val="16"/>
  </w:num>
  <w:num w:numId="17">
    <w:abstractNumId w:val="9"/>
  </w:num>
  <w:num w:numId="18">
    <w:abstractNumId w:val="30"/>
  </w:num>
  <w:num w:numId="19">
    <w:abstractNumId w:val="46"/>
  </w:num>
  <w:num w:numId="20">
    <w:abstractNumId w:val="37"/>
  </w:num>
  <w:num w:numId="21">
    <w:abstractNumId w:val="10"/>
  </w:num>
  <w:num w:numId="22">
    <w:abstractNumId w:val="62"/>
  </w:num>
  <w:num w:numId="23">
    <w:abstractNumId w:val="43"/>
  </w:num>
  <w:num w:numId="24">
    <w:abstractNumId w:val="41"/>
  </w:num>
  <w:num w:numId="25">
    <w:abstractNumId w:val="22"/>
  </w:num>
  <w:num w:numId="26">
    <w:abstractNumId w:val="73"/>
  </w:num>
  <w:num w:numId="27">
    <w:abstractNumId w:val="24"/>
  </w:num>
  <w:num w:numId="28">
    <w:abstractNumId w:val="35"/>
  </w:num>
  <w:num w:numId="29">
    <w:abstractNumId w:val="33"/>
  </w:num>
  <w:num w:numId="30">
    <w:abstractNumId w:val="64"/>
  </w:num>
  <w:num w:numId="31">
    <w:abstractNumId w:val="27"/>
  </w:num>
  <w:num w:numId="32">
    <w:abstractNumId w:val="21"/>
  </w:num>
  <w:num w:numId="33">
    <w:abstractNumId w:val="61"/>
  </w:num>
  <w:num w:numId="34">
    <w:abstractNumId w:val="52"/>
  </w:num>
  <w:num w:numId="35">
    <w:abstractNumId w:val="17"/>
  </w:num>
  <w:num w:numId="36">
    <w:abstractNumId w:val="15"/>
  </w:num>
  <w:num w:numId="37">
    <w:abstractNumId w:val="25"/>
  </w:num>
  <w:num w:numId="38">
    <w:abstractNumId w:val="14"/>
  </w:num>
  <w:num w:numId="39">
    <w:abstractNumId w:val="58"/>
  </w:num>
  <w:num w:numId="40">
    <w:abstractNumId w:val="29"/>
  </w:num>
  <w:num w:numId="41">
    <w:abstractNumId w:val="32"/>
  </w:num>
  <w:num w:numId="42">
    <w:abstractNumId w:val="74"/>
  </w:num>
  <w:num w:numId="43">
    <w:abstractNumId w:val="34"/>
  </w:num>
  <w:num w:numId="44">
    <w:abstractNumId w:val="51"/>
  </w:num>
  <w:num w:numId="45">
    <w:abstractNumId w:val="65"/>
  </w:num>
  <w:num w:numId="46">
    <w:abstractNumId w:val="8"/>
  </w:num>
  <w:num w:numId="47">
    <w:abstractNumId w:val="53"/>
  </w:num>
  <w:num w:numId="48">
    <w:abstractNumId w:val="26"/>
  </w:num>
  <w:num w:numId="49">
    <w:abstractNumId w:val="36"/>
  </w:num>
  <w:num w:numId="50">
    <w:abstractNumId w:val="71"/>
  </w:num>
  <w:num w:numId="51">
    <w:abstractNumId w:val="69"/>
  </w:num>
  <w:num w:numId="52">
    <w:abstractNumId w:val="60"/>
  </w:num>
  <w:num w:numId="53">
    <w:abstractNumId w:val="28"/>
  </w:num>
  <w:num w:numId="54">
    <w:abstractNumId w:val="48"/>
  </w:num>
  <w:num w:numId="55">
    <w:abstractNumId w:val="18"/>
  </w:num>
  <w:num w:numId="56">
    <w:abstractNumId w:val="72"/>
  </w:num>
  <w:num w:numId="57">
    <w:abstractNumId w:val="6"/>
  </w:num>
  <w:num w:numId="58">
    <w:abstractNumId w:val="56"/>
  </w:num>
  <w:num w:numId="59">
    <w:abstractNumId w:val="11"/>
  </w:num>
  <w:num w:numId="60">
    <w:abstractNumId w:val="63"/>
  </w:num>
  <w:num w:numId="61">
    <w:abstractNumId w:val="49"/>
  </w:num>
  <w:num w:numId="62">
    <w:abstractNumId w:val="31"/>
  </w:num>
  <w:num w:numId="63">
    <w:abstractNumId w:val="54"/>
  </w:num>
  <w:num w:numId="64">
    <w:abstractNumId w:val="42"/>
  </w:num>
  <w:num w:numId="65">
    <w:abstractNumId w:val="57"/>
  </w:num>
  <w:num w:numId="66">
    <w:abstractNumId w:val="20"/>
  </w:num>
  <w:num w:numId="67">
    <w:abstractNumId w:val="5"/>
  </w:num>
  <w:num w:numId="68">
    <w:abstractNumId w:val="44"/>
  </w:num>
  <w:num w:numId="69">
    <w:abstractNumId w:val="67"/>
  </w:num>
  <w:num w:numId="70">
    <w:abstractNumId w:val="39"/>
  </w:num>
  <w:num w:numId="71">
    <w:abstractNumId w:val="12"/>
  </w:num>
  <w:num w:numId="72">
    <w:abstractNumId w:val="50"/>
  </w:num>
  <w:num w:numId="73">
    <w:abstractNumId w:val="0"/>
  </w:num>
  <w:num w:numId="74">
    <w:abstractNumId w:val="4"/>
  </w:num>
  <w:num w:numId="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105"/>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5"/>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iNWNmYTljNDAwNjIyNDMwNzRiM2M4YjBmZWY4ZDUifQ=="/>
  </w:docVars>
  <w:rsids>
    <w:rsidRoot w:val="00FA0D8B"/>
    <w:rsid w:val="000000AF"/>
    <w:rsid w:val="000000BA"/>
    <w:rsid w:val="00000F50"/>
    <w:rsid w:val="00001216"/>
    <w:rsid w:val="00001606"/>
    <w:rsid w:val="0000193E"/>
    <w:rsid w:val="00001DAE"/>
    <w:rsid w:val="00002A14"/>
    <w:rsid w:val="00002C6C"/>
    <w:rsid w:val="00003CCD"/>
    <w:rsid w:val="0000405A"/>
    <w:rsid w:val="00004839"/>
    <w:rsid w:val="000077D5"/>
    <w:rsid w:val="000104ED"/>
    <w:rsid w:val="00010578"/>
    <w:rsid w:val="00010AF6"/>
    <w:rsid w:val="000122EE"/>
    <w:rsid w:val="00012543"/>
    <w:rsid w:val="00012BF8"/>
    <w:rsid w:val="00013342"/>
    <w:rsid w:val="000133BD"/>
    <w:rsid w:val="000139A2"/>
    <w:rsid w:val="00014905"/>
    <w:rsid w:val="00014BB2"/>
    <w:rsid w:val="00015AB1"/>
    <w:rsid w:val="00015F32"/>
    <w:rsid w:val="00015FE6"/>
    <w:rsid w:val="00016CB1"/>
    <w:rsid w:val="00017F0F"/>
    <w:rsid w:val="00017FB5"/>
    <w:rsid w:val="0002067C"/>
    <w:rsid w:val="00021226"/>
    <w:rsid w:val="000221FC"/>
    <w:rsid w:val="0002249C"/>
    <w:rsid w:val="0002271D"/>
    <w:rsid w:val="00022B81"/>
    <w:rsid w:val="00022BDA"/>
    <w:rsid w:val="000233C1"/>
    <w:rsid w:val="00023EB4"/>
    <w:rsid w:val="00024077"/>
    <w:rsid w:val="000242DA"/>
    <w:rsid w:val="00024BF5"/>
    <w:rsid w:val="00026B88"/>
    <w:rsid w:val="000272B7"/>
    <w:rsid w:val="0002755C"/>
    <w:rsid w:val="00027570"/>
    <w:rsid w:val="00030EEF"/>
    <w:rsid w:val="00031F55"/>
    <w:rsid w:val="0003264A"/>
    <w:rsid w:val="000326F8"/>
    <w:rsid w:val="00033A5F"/>
    <w:rsid w:val="00034764"/>
    <w:rsid w:val="00035813"/>
    <w:rsid w:val="00035DC2"/>
    <w:rsid w:val="000362DF"/>
    <w:rsid w:val="00036A8F"/>
    <w:rsid w:val="00036FDF"/>
    <w:rsid w:val="0003700C"/>
    <w:rsid w:val="0003700E"/>
    <w:rsid w:val="00037C5C"/>
    <w:rsid w:val="00040690"/>
    <w:rsid w:val="00041230"/>
    <w:rsid w:val="0004161F"/>
    <w:rsid w:val="0004341C"/>
    <w:rsid w:val="00043802"/>
    <w:rsid w:val="00043AC9"/>
    <w:rsid w:val="00043C68"/>
    <w:rsid w:val="00043DA3"/>
    <w:rsid w:val="0004411A"/>
    <w:rsid w:val="000445F2"/>
    <w:rsid w:val="00044E7E"/>
    <w:rsid w:val="00045532"/>
    <w:rsid w:val="00045A92"/>
    <w:rsid w:val="000468FF"/>
    <w:rsid w:val="00046CC7"/>
    <w:rsid w:val="00047994"/>
    <w:rsid w:val="00050113"/>
    <w:rsid w:val="00050FB8"/>
    <w:rsid w:val="000518F5"/>
    <w:rsid w:val="0005242D"/>
    <w:rsid w:val="0005273B"/>
    <w:rsid w:val="00057ACA"/>
    <w:rsid w:val="0006137B"/>
    <w:rsid w:val="00061DBF"/>
    <w:rsid w:val="000626D9"/>
    <w:rsid w:val="00062964"/>
    <w:rsid w:val="00062E16"/>
    <w:rsid w:val="00063D93"/>
    <w:rsid w:val="00064006"/>
    <w:rsid w:val="00064D9B"/>
    <w:rsid w:val="00064FDD"/>
    <w:rsid w:val="00065CA4"/>
    <w:rsid w:val="00065EB4"/>
    <w:rsid w:val="00066D93"/>
    <w:rsid w:val="000673E9"/>
    <w:rsid w:val="0007108A"/>
    <w:rsid w:val="0007153F"/>
    <w:rsid w:val="0007200A"/>
    <w:rsid w:val="00073345"/>
    <w:rsid w:val="00073C6D"/>
    <w:rsid w:val="000757BD"/>
    <w:rsid w:val="000761E0"/>
    <w:rsid w:val="00076BC5"/>
    <w:rsid w:val="0007799F"/>
    <w:rsid w:val="000779EF"/>
    <w:rsid w:val="00077CB7"/>
    <w:rsid w:val="00077CE7"/>
    <w:rsid w:val="00080377"/>
    <w:rsid w:val="0008058A"/>
    <w:rsid w:val="0008071B"/>
    <w:rsid w:val="00080B0D"/>
    <w:rsid w:val="000817CD"/>
    <w:rsid w:val="00082C5A"/>
    <w:rsid w:val="00084FB7"/>
    <w:rsid w:val="0008585C"/>
    <w:rsid w:val="00085A10"/>
    <w:rsid w:val="0008722D"/>
    <w:rsid w:val="0009074D"/>
    <w:rsid w:val="000912A0"/>
    <w:rsid w:val="0009265E"/>
    <w:rsid w:val="00092897"/>
    <w:rsid w:val="00093B89"/>
    <w:rsid w:val="00093D3A"/>
    <w:rsid w:val="00093F7A"/>
    <w:rsid w:val="000948B9"/>
    <w:rsid w:val="00094967"/>
    <w:rsid w:val="00095092"/>
    <w:rsid w:val="00095767"/>
    <w:rsid w:val="00095F07"/>
    <w:rsid w:val="00096040"/>
    <w:rsid w:val="0009607E"/>
    <w:rsid w:val="00096517"/>
    <w:rsid w:val="00096CC6"/>
    <w:rsid w:val="00097D3B"/>
    <w:rsid w:val="000A0211"/>
    <w:rsid w:val="000A06C0"/>
    <w:rsid w:val="000A10B0"/>
    <w:rsid w:val="000A1A36"/>
    <w:rsid w:val="000A1EDE"/>
    <w:rsid w:val="000A341C"/>
    <w:rsid w:val="000A378D"/>
    <w:rsid w:val="000A41B8"/>
    <w:rsid w:val="000A5146"/>
    <w:rsid w:val="000A54F3"/>
    <w:rsid w:val="000A56B7"/>
    <w:rsid w:val="000A5922"/>
    <w:rsid w:val="000A5FDD"/>
    <w:rsid w:val="000A6553"/>
    <w:rsid w:val="000A7694"/>
    <w:rsid w:val="000B0946"/>
    <w:rsid w:val="000B10D9"/>
    <w:rsid w:val="000B1F7A"/>
    <w:rsid w:val="000B2C3D"/>
    <w:rsid w:val="000B35E3"/>
    <w:rsid w:val="000B38F1"/>
    <w:rsid w:val="000B3922"/>
    <w:rsid w:val="000B403B"/>
    <w:rsid w:val="000B5150"/>
    <w:rsid w:val="000B5C7D"/>
    <w:rsid w:val="000B69B9"/>
    <w:rsid w:val="000B6A1A"/>
    <w:rsid w:val="000B7503"/>
    <w:rsid w:val="000C08CD"/>
    <w:rsid w:val="000C0CF8"/>
    <w:rsid w:val="000C0F71"/>
    <w:rsid w:val="000C2327"/>
    <w:rsid w:val="000C34DE"/>
    <w:rsid w:val="000C388D"/>
    <w:rsid w:val="000C3912"/>
    <w:rsid w:val="000C3AA4"/>
    <w:rsid w:val="000C443E"/>
    <w:rsid w:val="000C560A"/>
    <w:rsid w:val="000C7587"/>
    <w:rsid w:val="000C7931"/>
    <w:rsid w:val="000C7B1E"/>
    <w:rsid w:val="000C7DF3"/>
    <w:rsid w:val="000D05A5"/>
    <w:rsid w:val="000D26A0"/>
    <w:rsid w:val="000D26A7"/>
    <w:rsid w:val="000D285E"/>
    <w:rsid w:val="000D3F27"/>
    <w:rsid w:val="000D469F"/>
    <w:rsid w:val="000D47F6"/>
    <w:rsid w:val="000D4ADC"/>
    <w:rsid w:val="000D56AD"/>
    <w:rsid w:val="000D5859"/>
    <w:rsid w:val="000D5BA0"/>
    <w:rsid w:val="000D5C1D"/>
    <w:rsid w:val="000D6FC6"/>
    <w:rsid w:val="000D756C"/>
    <w:rsid w:val="000E0DB3"/>
    <w:rsid w:val="000E14DD"/>
    <w:rsid w:val="000E1AE4"/>
    <w:rsid w:val="000E27B1"/>
    <w:rsid w:val="000E27ED"/>
    <w:rsid w:val="000E33F9"/>
    <w:rsid w:val="000E36F1"/>
    <w:rsid w:val="000E379F"/>
    <w:rsid w:val="000E3CCF"/>
    <w:rsid w:val="000E3E8B"/>
    <w:rsid w:val="000E3F73"/>
    <w:rsid w:val="000E4EEF"/>
    <w:rsid w:val="000E72F5"/>
    <w:rsid w:val="000E780A"/>
    <w:rsid w:val="000F1815"/>
    <w:rsid w:val="000F2AF7"/>
    <w:rsid w:val="000F2DAE"/>
    <w:rsid w:val="000F31B5"/>
    <w:rsid w:val="000F3519"/>
    <w:rsid w:val="000F3C2D"/>
    <w:rsid w:val="000F3D84"/>
    <w:rsid w:val="000F4AB6"/>
    <w:rsid w:val="000F55EC"/>
    <w:rsid w:val="000F656C"/>
    <w:rsid w:val="000F6BA7"/>
    <w:rsid w:val="000F6DAE"/>
    <w:rsid w:val="000F6E5A"/>
    <w:rsid w:val="000F7322"/>
    <w:rsid w:val="000F74BF"/>
    <w:rsid w:val="000F775F"/>
    <w:rsid w:val="00100E28"/>
    <w:rsid w:val="0010132C"/>
    <w:rsid w:val="001015C9"/>
    <w:rsid w:val="00102D0A"/>
    <w:rsid w:val="00103851"/>
    <w:rsid w:val="00103B6D"/>
    <w:rsid w:val="00104108"/>
    <w:rsid w:val="001046D1"/>
    <w:rsid w:val="00105223"/>
    <w:rsid w:val="001054E0"/>
    <w:rsid w:val="00105BC1"/>
    <w:rsid w:val="001064BC"/>
    <w:rsid w:val="00110AD8"/>
    <w:rsid w:val="001110F6"/>
    <w:rsid w:val="00111298"/>
    <w:rsid w:val="0011166E"/>
    <w:rsid w:val="00111F20"/>
    <w:rsid w:val="00112522"/>
    <w:rsid w:val="00112570"/>
    <w:rsid w:val="00112F5F"/>
    <w:rsid w:val="001136EF"/>
    <w:rsid w:val="00113799"/>
    <w:rsid w:val="00113B05"/>
    <w:rsid w:val="0011402A"/>
    <w:rsid w:val="0011446E"/>
    <w:rsid w:val="00114C53"/>
    <w:rsid w:val="00115757"/>
    <w:rsid w:val="00115B0A"/>
    <w:rsid w:val="00115F64"/>
    <w:rsid w:val="0011637E"/>
    <w:rsid w:val="0011657E"/>
    <w:rsid w:val="0011716C"/>
    <w:rsid w:val="001178FD"/>
    <w:rsid w:val="00117FC4"/>
    <w:rsid w:val="00121E46"/>
    <w:rsid w:val="00122459"/>
    <w:rsid w:val="00122553"/>
    <w:rsid w:val="001225F6"/>
    <w:rsid w:val="00125573"/>
    <w:rsid w:val="0012613F"/>
    <w:rsid w:val="0012684E"/>
    <w:rsid w:val="00126FCD"/>
    <w:rsid w:val="001277D6"/>
    <w:rsid w:val="001300F8"/>
    <w:rsid w:val="00131858"/>
    <w:rsid w:val="00131A2B"/>
    <w:rsid w:val="00131E72"/>
    <w:rsid w:val="00131EF0"/>
    <w:rsid w:val="00132569"/>
    <w:rsid w:val="00132CED"/>
    <w:rsid w:val="00132EB0"/>
    <w:rsid w:val="00133787"/>
    <w:rsid w:val="001348A4"/>
    <w:rsid w:val="00134EB2"/>
    <w:rsid w:val="0013538B"/>
    <w:rsid w:val="00135792"/>
    <w:rsid w:val="00136849"/>
    <w:rsid w:val="00136C79"/>
    <w:rsid w:val="0013702B"/>
    <w:rsid w:val="00137A6F"/>
    <w:rsid w:val="00137DE5"/>
    <w:rsid w:val="00137E45"/>
    <w:rsid w:val="00137FEF"/>
    <w:rsid w:val="00142488"/>
    <w:rsid w:val="00142741"/>
    <w:rsid w:val="00142FF0"/>
    <w:rsid w:val="00143A4A"/>
    <w:rsid w:val="00144568"/>
    <w:rsid w:val="00144601"/>
    <w:rsid w:val="0014586C"/>
    <w:rsid w:val="00145B32"/>
    <w:rsid w:val="00146102"/>
    <w:rsid w:val="001462C6"/>
    <w:rsid w:val="00146FE2"/>
    <w:rsid w:val="00147F0A"/>
    <w:rsid w:val="00150629"/>
    <w:rsid w:val="00151573"/>
    <w:rsid w:val="001537DB"/>
    <w:rsid w:val="00153F7C"/>
    <w:rsid w:val="00154374"/>
    <w:rsid w:val="001546EA"/>
    <w:rsid w:val="00154E29"/>
    <w:rsid w:val="001555F6"/>
    <w:rsid w:val="00155F99"/>
    <w:rsid w:val="00156D43"/>
    <w:rsid w:val="0015733E"/>
    <w:rsid w:val="00157B67"/>
    <w:rsid w:val="00157DFC"/>
    <w:rsid w:val="0016046B"/>
    <w:rsid w:val="00161284"/>
    <w:rsid w:val="00163476"/>
    <w:rsid w:val="0016376A"/>
    <w:rsid w:val="00164253"/>
    <w:rsid w:val="0016444B"/>
    <w:rsid w:val="001644DF"/>
    <w:rsid w:val="00164D33"/>
    <w:rsid w:val="00165BFC"/>
    <w:rsid w:val="00165CDC"/>
    <w:rsid w:val="00165D22"/>
    <w:rsid w:val="00167047"/>
    <w:rsid w:val="001704BB"/>
    <w:rsid w:val="001708ED"/>
    <w:rsid w:val="001720A7"/>
    <w:rsid w:val="001734D5"/>
    <w:rsid w:val="00173852"/>
    <w:rsid w:val="00175AFA"/>
    <w:rsid w:val="001764FD"/>
    <w:rsid w:val="00176DD7"/>
    <w:rsid w:val="00176EFC"/>
    <w:rsid w:val="00177632"/>
    <w:rsid w:val="00177A84"/>
    <w:rsid w:val="00177D27"/>
    <w:rsid w:val="00181294"/>
    <w:rsid w:val="00182982"/>
    <w:rsid w:val="00182EC1"/>
    <w:rsid w:val="001849AE"/>
    <w:rsid w:val="00185107"/>
    <w:rsid w:val="0018527D"/>
    <w:rsid w:val="00186896"/>
    <w:rsid w:val="00190741"/>
    <w:rsid w:val="0019092D"/>
    <w:rsid w:val="00191864"/>
    <w:rsid w:val="00191AF8"/>
    <w:rsid w:val="00193C21"/>
    <w:rsid w:val="00195692"/>
    <w:rsid w:val="00196937"/>
    <w:rsid w:val="001A01EF"/>
    <w:rsid w:val="001A1437"/>
    <w:rsid w:val="001A1841"/>
    <w:rsid w:val="001A24CB"/>
    <w:rsid w:val="001A259C"/>
    <w:rsid w:val="001A391D"/>
    <w:rsid w:val="001A519D"/>
    <w:rsid w:val="001A51E0"/>
    <w:rsid w:val="001A6B30"/>
    <w:rsid w:val="001A6C6F"/>
    <w:rsid w:val="001A6D37"/>
    <w:rsid w:val="001A6EDB"/>
    <w:rsid w:val="001A73CC"/>
    <w:rsid w:val="001B0770"/>
    <w:rsid w:val="001B111D"/>
    <w:rsid w:val="001B179B"/>
    <w:rsid w:val="001B28AB"/>
    <w:rsid w:val="001B3FF3"/>
    <w:rsid w:val="001B4DD0"/>
    <w:rsid w:val="001B69FC"/>
    <w:rsid w:val="001B6E66"/>
    <w:rsid w:val="001B72A9"/>
    <w:rsid w:val="001B78A4"/>
    <w:rsid w:val="001B7F74"/>
    <w:rsid w:val="001C00BC"/>
    <w:rsid w:val="001C0516"/>
    <w:rsid w:val="001C0823"/>
    <w:rsid w:val="001C0EE6"/>
    <w:rsid w:val="001C180F"/>
    <w:rsid w:val="001C18C7"/>
    <w:rsid w:val="001C2601"/>
    <w:rsid w:val="001C3FD9"/>
    <w:rsid w:val="001C47FC"/>
    <w:rsid w:val="001C4AED"/>
    <w:rsid w:val="001C5A87"/>
    <w:rsid w:val="001C682F"/>
    <w:rsid w:val="001C6AF4"/>
    <w:rsid w:val="001C781A"/>
    <w:rsid w:val="001D21A5"/>
    <w:rsid w:val="001D21EB"/>
    <w:rsid w:val="001D286E"/>
    <w:rsid w:val="001D2ED5"/>
    <w:rsid w:val="001D39A4"/>
    <w:rsid w:val="001D4324"/>
    <w:rsid w:val="001D5A71"/>
    <w:rsid w:val="001D6655"/>
    <w:rsid w:val="001D6A6A"/>
    <w:rsid w:val="001D7447"/>
    <w:rsid w:val="001D76B2"/>
    <w:rsid w:val="001E02AB"/>
    <w:rsid w:val="001E0EF6"/>
    <w:rsid w:val="001E1520"/>
    <w:rsid w:val="001E1A0E"/>
    <w:rsid w:val="001E39CE"/>
    <w:rsid w:val="001E3F28"/>
    <w:rsid w:val="001E4183"/>
    <w:rsid w:val="001E43D5"/>
    <w:rsid w:val="001E53E6"/>
    <w:rsid w:val="001E5551"/>
    <w:rsid w:val="001E6E63"/>
    <w:rsid w:val="001E7A58"/>
    <w:rsid w:val="001E7B9E"/>
    <w:rsid w:val="001F0EC1"/>
    <w:rsid w:val="001F1EBB"/>
    <w:rsid w:val="001F20BA"/>
    <w:rsid w:val="001F2923"/>
    <w:rsid w:val="001F2FB7"/>
    <w:rsid w:val="001F4278"/>
    <w:rsid w:val="001F485A"/>
    <w:rsid w:val="001F53C1"/>
    <w:rsid w:val="001F5AA7"/>
    <w:rsid w:val="001F601F"/>
    <w:rsid w:val="001F6307"/>
    <w:rsid w:val="001F6AB3"/>
    <w:rsid w:val="001F718B"/>
    <w:rsid w:val="001F7487"/>
    <w:rsid w:val="002018A6"/>
    <w:rsid w:val="00202450"/>
    <w:rsid w:val="0020311F"/>
    <w:rsid w:val="00204BE8"/>
    <w:rsid w:val="00204C37"/>
    <w:rsid w:val="00205988"/>
    <w:rsid w:val="002064DE"/>
    <w:rsid w:val="00206C9B"/>
    <w:rsid w:val="00207B03"/>
    <w:rsid w:val="002100B0"/>
    <w:rsid w:val="00210354"/>
    <w:rsid w:val="002104E8"/>
    <w:rsid w:val="00210F31"/>
    <w:rsid w:val="002111AB"/>
    <w:rsid w:val="002114A9"/>
    <w:rsid w:val="002128BE"/>
    <w:rsid w:val="002129EA"/>
    <w:rsid w:val="002134B0"/>
    <w:rsid w:val="002138DE"/>
    <w:rsid w:val="00213FCD"/>
    <w:rsid w:val="002145C7"/>
    <w:rsid w:val="002149B1"/>
    <w:rsid w:val="00215345"/>
    <w:rsid w:val="0021616C"/>
    <w:rsid w:val="00217561"/>
    <w:rsid w:val="00217CAE"/>
    <w:rsid w:val="00217DCF"/>
    <w:rsid w:val="00220613"/>
    <w:rsid w:val="00220F47"/>
    <w:rsid w:val="00221374"/>
    <w:rsid w:val="00222CCC"/>
    <w:rsid w:val="00223877"/>
    <w:rsid w:val="002242C8"/>
    <w:rsid w:val="00224582"/>
    <w:rsid w:val="00224D0E"/>
    <w:rsid w:val="002251BE"/>
    <w:rsid w:val="002253D6"/>
    <w:rsid w:val="00225EA3"/>
    <w:rsid w:val="00226272"/>
    <w:rsid w:val="002265CC"/>
    <w:rsid w:val="002269FC"/>
    <w:rsid w:val="00226B1D"/>
    <w:rsid w:val="00226F4A"/>
    <w:rsid w:val="00227100"/>
    <w:rsid w:val="00227B99"/>
    <w:rsid w:val="0023087D"/>
    <w:rsid w:val="00230D7F"/>
    <w:rsid w:val="00231452"/>
    <w:rsid w:val="002314CB"/>
    <w:rsid w:val="00231D12"/>
    <w:rsid w:val="00232EE6"/>
    <w:rsid w:val="00233BDD"/>
    <w:rsid w:val="00233C15"/>
    <w:rsid w:val="00233DFA"/>
    <w:rsid w:val="002342B0"/>
    <w:rsid w:val="00236BEC"/>
    <w:rsid w:val="00236CFB"/>
    <w:rsid w:val="00236E5D"/>
    <w:rsid w:val="002373AC"/>
    <w:rsid w:val="00237688"/>
    <w:rsid w:val="0023770A"/>
    <w:rsid w:val="002379F0"/>
    <w:rsid w:val="002400F3"/>
    <w:rsid w:val="00240BEA"/>
    <w:rsid w:val="00240F8A"/>
    <w:rsid w:val="00244426"/>
    <w:rsid w:val="002448A6"/>
    <w:rsid w:val="002459C4"/>
    <w:rsid w:val="00245DFB"/>
    <w:rsid w:val="00246121"/>
    <w:rsid w:val="00246220"/>
    <w:rsid w:val="00246A3F"/>
    <w:rsid w:val="002471FD"/>
    <w:rsid w:val="00247353"/>
    <w:rsid w:val="00247520"/>
    <w:rsid w:val="002476E5"/>
    <w:rsid w:val="00250BC6"/>
    <w:rsid w:val="002510F1"/>
    <w:rsid w:val="00251259"/>
    <w:rsid w:val="00251770"/>
    <w:rsid w:val="0025337E"/>
    <w:rsid w:val="0025351B"/>
    <w:rsid w:val="00253D2D"/>
    <w:rsid w:val="00253F75"/>
    <w:rsid w:val="00255A5F"/>
    <w:rsid w:val="002564DC"/>
    <w:rsid w:val="0025790F"/>
    <w:rsid w:val="00257E2C"/>
    <w:rsid w:val="00257F11"/>
    <w:rsid w:val="00261222"/>
    <w:rsid w:val="00261C00"/>
    <w:rsid w:val="00262185"/>
    <w:rsid w:val="00262678"/>
    <w:rsid w:val="002626BE"/>
    <w:rsid w:val="00262946"/>
    <w:rsid w:val="0026392A"/>
    <w:rsid w:val="002649D7"/>
    <w:rsid w:val="00264FC1"/>
    <w:rsid w:val="0026542D"/>
    <w:rsid w:val="00265FBD"/>
    <w:rsid w:val="002669E7"/>
    <w:rsid w:val="00267964"/>
    <w:rsid w:val="002707E5"/>
    <w:rsid w:val="002708D2"/>
    <w:rsid w:val="002716AC"/>
    <w:rsid w:val="0027182A"/>
    <w:rsid w:val="00271971"/>
    <w:rsid w:val="00271BF2"/>
    <w:rsid w:val="00272AEF"/>
    <w:rsid w:val="00273500"/>
    <w:rsid w:val="00273A27"/>
    <w:rsid w:val="00273D1A"/>
    <w:rsid w:val="0027477F"/>
    <w:rsid w:val="002755C5"/>
    <w:rsid w:val="00275A2A"/>
    <w:rsid w:val="00275A50"/>
    <w:rsid w:val="00275CAB"/>
    <w:rsid w:val="00275F00"/>
    <w:rsid w:val="00276405"/>
    <w:rsid w:val="00276BA7"/>
    <w:rsid w:val="00276CBD"/>
    <w:rsid w:val="002779E2"/>
    <w:rsid w:val="002806A7"/>
    <w:rsid w:val="002809C0"/>
    <w:rsid w:val="00280DE1"/>
    <w:rsid w:val="00280E37"/>
    <w:rsid w:val="00281DD9"/>
    <w:rsid w:val="00282EEE"/>
    <w:rsid w:val="00283299"/>
    <w:rsid w:val="00284BC0"/>
    <w:rsid w:val="00285133"/>
    <w:rsid w:val="0028706B"/>
    <w:rsid w:val="0029091A"/>
    <w:rsid w:val="00290A21"/>
    <w:rsid w:val="00290E3D"/>
    <w:rsid w:val="0029253B"/>
    <w:rsid w:val="002928D0"/>
    <w:rsid w:val="0029376E"/>
    <w:rsid w:val="0029383D"/>
    <w:rsid w:val="00293BF6"/>
    <w:rsid w:val="002945E4"/>
    <w:rsid w:val="002948DB"/>
    <w:rsid w:val="0029667F"/>
    <w:rsid w:val="00296692"/>
    <w:rsid w:val="002967A6"/>
    <w:rsid w:val="00297AA1"/>
    <w:rsid w:val="00297B9F"/>
    <w:rsid w:val="002A0B07"/>
    <w:rsid w:val="002A1048"/>
    <w:rsid w:val="002A1265"/>
    <w:rsid w:val="002A138F"/>
    <w:rsid w:val="002A19C3"/>
    <w:rsid w:val="002A229D"/>
    <w:rsid w:val="002A2401"/>
    <w:rsid w:val="002A2C5C"/>
    <w:rsid w:val="002A3444"/>
    <w:rsid w:val="002A5ED9"/>
    <w:rsid w:val="002A615D"/>
    <w:rsid w:val="002A686A"/>
    <w:rsid w:val="002A71CD"/>
    <w:rsid w:val="002A72FB"/>
    <w:rsid w:val="002A76C9"/>
    <w:rsid w:val="002B0250"/>
    <w:rsid w:val="002B06EE"/>
    <w:rsid w:val="002B1457"/>
    <w:rsid w:val="002B146A"/>
    <w:rsid w:val="002B326C"/>
    <w:rsid w:val="002B3A78"/>
    <w:rsid w:val="002B4A07"/>
    <w:rsid w:val="002B56A5"/>
    <w:rsid w:val="002B5C7F"/>
    <w:rsid w:val="002B66EE"/>
    <w:rsid w:val="002B677F"/>
    <w:rsid w:val="002B6FD5"/>
    <w:rsid w:val="002C002F"/>
    <w:rsid w:val="002C1FFD"/>
    <w:rsid w:val="002C28D1"/>
    <w:rsid w:val="002C29AD"/>
    <w:rsid w:val="002C398D"/>
    <w:rsid w:val="002C4290"/>
    <w:rsid w:val="002C4488"/>
    <w:rsid w:val="002C4A58"/>
    <w:rsid w:val="002C511D"/>
    <w:rsid w:val="002C5F98"/>
    <w:rsid w:val="002C60DA"/>
    <w:rsid w:val="002C6A68"/>
    <w:rsid w:val="002C6ACB"/>
    <w:rsid w:val="002C7F24"/>
    <w:rsid w:val="002C7F39"/>
    <w:rsid w:val="002D0158"/>
    <w:rsid w:val="002D0658"/>
    <w:rsid w:val="002D08DE"/>
    <w:rsid w:val="002D16EC"/>
    <w:rsid w:val="002D2640"/>
    <w:rsid w:val="002D27F9"/>
    <w:rsid w:val="002D2828"/>
    <w:rsid w:val="002D2B71"/>
    <w:rsid w:val="002D30CC"/>
    <w:rsid w:val="002D4C78"/>
    <w:rsid w:val="002D5E90"/>
    <w:rsid w:val="002D62A5"/>
    <w:rsid w:val="002D6B63"/>
    <w:rsid w:val="002D7094"/>
    <w:rsid w:val="002D7133"/>
    <w:rsid w:val="002D7F05"/>
    <w:rsid w:val="002E0ACE"/>
    <w:rsid w:val="002E0C76"/>
    <w:rsid w:val="002E14B0"/>
    <w:rsid w:val="002E190B"/>
    <w:rsid w:val="002E383D"/>
    <w:rsid w:val="002E41E0"/>
    <w:rsid w:val="002E4BE3"/>
    <w:rsid w:val="002E50C2"/>
    <w:rsid w:val="002E5C7B"/>
    <w:rsid w:val="002E67B4"/>
    <w:rsid w:val="002E72FC"/>
    <w:rsid w:val="002E763E"/>
    <w:rsid w:val="002E7E83"/>
    <w:rsid w:val="002F05AA"/>
    <w:rsid w:val="002F05E1"/>
    <w:rsid w:val="002F069D"/>
    <w:rsid w:val="002F08A4"/>
    <w:rsid w:val="002F0D7C"/>
    <w:rsid w:val="002F101D"/>
    <w:rsid w:val="002F1E01"/>
    <w:rsid w:val="002F1EDE"/>
    <w:rsid w:val="002F2AC9"/>
    <w:rsid w:val="002F3306"/>
    <w:rsid w:val="002F37B4"/>
    <w:rsid w:val="002F3FCD"/>
    <w:rsid w:val="002F4942"/>
    <w:rsid w:val="002F5764"/>
    <w:rsid w:val="002F64A1"/>
    <w:rsid w:val="002F6726"/>
    <w:rsid w:val="002F7A24"/>
    <w:rsid w:val="0030150E"/>
    <w:rsid w:val="00301662"/>
    <w:rsid w:val="0030172C"/>
    <w:rsid w:val="003024CE"/>
    <w:rsid w:val="003029D7"/>
    <w:rsid w:val="00302B3A"/>
    <w:rsid w:val="00304C0A"/>
    <w:rsid w:val="00306F87"/>
    <w:rsid w:val="00307459"/>
    <w:rsid w:val="0030756D"/>
    <w:rsid w:val="00307645"/>
    <w:rsid w:val="00307E3B"/>
    <w:rsid w:val="00307F26"/>
    <w:rsid w:val="00310163"/>
    <w:rsid w:val="0031030A"/>
    <w:rsid w:val="00311569"/>
    <w:rsid w:val="00311FCE"/>
    <w:rsid w:val="00312C97"/>
    <w:rsid w:val="00312D65"/>
    <w:rsid w:val="00314497"/>
    <w:rsid w:val="00314D7F"/>
    <w:rsid w:val="0031739F"/>
    <w:rsid w:val="00320534"/>
    <w:rsid w:val="0032100A"/>
    <w:rsid w:val="003211AB"/>
    <w:rsid w:val="003212E8"/>
    <w:rsid w:val="00321EB4"/>
    <w:rsid w:val="003226DF"/>
    <w:rsid w:val="003228C1"/>
    <w:rsid w:val="003229EB"/>
    <w:rsid w:val="00322D4A"/>
    <w:rsid w:val="00323028"/>
    <w:rsid w:val="00325272"/>
    <w:rsid w:val="0032530E"/>
    <w:rsid w:val="00325412"/>
    <w:rsid w:val="00325720"/>
    <w:rsid w:val="00325940"/>
    <w:rsid w:val="00325C67"/>
    <w:rsid w:val="0032630D"/>
    <w:rsid w:val="00326950"/>
    <w:rsid w:val="0032697F"/>
    <w:rsid w:val="00326C59"/>
    <w:rsid w:val="00326CF7"/>
    <w:rsid w:val="00327103"/>
    <w:rsid w:val="00330432"/>
    <w:rsid w:val="00332921"/>
    <w:rsid w:val="00332BCA"/>
    <w:rsid w:val="0033307C"/>
    <w:rsid w:val="00333668"/>
    <w:rsid w:val="00333FE7"/>
    <w:rsid w:val="003348BD"/>
    <w:rsid w:val="003357D2"/>
    <w:rsid w:val="003368F0"/>
    <w:rsid w:val="00337533"/>
    <w:rsid w:val="00337F23"/>
    <w:rsid w:val="003407F4"/>
    <w:rsid w:val="00340A66"/>
    <w:rsid w:val="00341030"/>
    <w:rsid w:val="003412CB"/>
    <w:rsid w:val="003419E6"/>
    <w:rsid w:val="00341AC8"/>
    <w:rsid w:val="00342328"/>
    <w:rsid w:val="003432DF"/>
    <w:rsid w:val="00343D04"/>
    <w:rsid w:val="00343F1B"/>
    <w:rsid w:val="00344108"/>
    <w:rsid w:val="0034499E"/>
    <w:rsid w:val="00345C9F"/>
    <w:rsid w:val="00345CC6"/>
    <w:rsid w:val="003461F0"/>
    <w:rsid w:val="00346E85"/>
    <w:rsid w:val="003471DB"/>
    <w:rsid w:val="00347D5F"/>
    <w:rsid w:val="00350848"/>
    <w:rsid w:val="0035197F"/>
    <w:rsid w:val="00352E59"/>
    <w:rsid w:val="003536CC"/>
    <w:rsid w:val="0035531B"/>
    <w:rsid w:val="00355A26"/>
    <w:rsid w:val="00356228"/>
    <w:rsid w:val="00356810"/>
    <w:rsid w:val="00356D14"/>
    <w:rsid w:val="003570F2"/>
    <w:rsid w:val="00360006"/>
    <w:rsid w:val="00361331"/>
    <w:rsid w:val="003628FE"/>
    <w:rsid w:val="0036330E"/>
    <w:rsid w:val="00363446"/>
    <w:rsid w:val="00363634"/>
    <w:rsid w:val="00363789"/>
    <w:rsid w:val="003638FA"/>
    <w:rsid w:val="00363A0F"/>
    <w:rsid w:val="00363C36"/>
    <w:rsid w:val="00365158"/>
    <w:rsid w:val="003656F0"/>
    <w:rsid w:val="00367769"/>
    <w:rsid w:val="0036784D"/>
    <w:rsid w:val="0037001A"/>
    <w:rsid w:val="00370A7B"/>
    <w:rsid w:val="003715AD"/>
    <w:rsid w:val="00371B03"/>
    <w:rsid w:val="00371D1E"/>
    <w:rsid w:val="00372C36"/>
    <w:rsid w:val="00374402"/>
    <w:rsid w:val="00374A52"/>
    <w:rsid w:val="0037573F"/>
    <w:rsid w:val="00376389"/>
    <w:rsid w:val="003769F9"/>
    <w:rsid w:val="003770D3"/>
    <w:rsid w:val="00377992"/>
    <w:rsid w:val="00377B6F"/>
    <w:rsid w:val="00380374"/>
    <w:rsid w:val="0038200D"/>
    <w:rsid w:val="00382382"/>
    <w:rsid w:val="003824B6"/>
    <w:rsid w:val="00383923"/>
    <w:rsid w:val="0038509D"/>
    <w:rsid w:val="003850A2"/>
    <w:rsid w:val="00386865"/>
    <w:rsid w:val="00386BF2"/>
    <w:rsid w:val="00387369"/>
    <w:rsid w:val="00387F66"/>
    <w:rsid w:val="003910EF"/>
    <w:rsid w:val="003914DE"/>
    <w:rsid w:val="00391659"/>
    <w:rsid w:val="00391AEA"/>
    <w:rsid w:val="00391C83"/>
    <w:rsid w:val="00391ED2"/>
    <w:rsid w:val="00392114"/>
    <w:rsid w:val="003939F0"/>
    <w:rsid w:val="003939FE"/>
    <w:rsid w:val="00394030"/>
    <w:rsid w:val="0039409A"/>
    <w:rsid w:val="003948F6"/>
    <w:rsid w:val="003951AC"/>
    <w:rsid w:val="003A1A73"/>
    <w:rsid w:val="003A3DEE"/>
    <w:rsid w:val="003A4291"/>
    <w:rsid w:val="003A4471"/>
    <w:rsid w:val="003A447C"/>
    <w:rsid w:val="003A474E"/>
    <w:rsid w:val="003A477F"/>
    <w:rsid w:val="003A4C12"/>
    <w:rsid w:val="003A4CEB"/>
    <w:rsid w:val="003A4DF0"/>
    <w:rsid w:val="003A5256"/>
    <w:rsid w:val="003A53BE"/>
    <w:rsid w:val="003A583D"/>
    <w:rsid w:val="003A58C7"/>
    <w:rsid w:val="003A6244"/>
    <w:rsid w:val="003A6DE0"/>
    <w:rsid w:val="003A6E4B"/>
    <w:rsid w:val="003B0FCD"/>
    <w:rsid w:val="003B192E"/>
    <w:rsid w:val="003B2326"/>
    <w:rsid w:val="003B2FEB"/>
    <w:rsid w:val="003B317A"/>
    <w:rsid w:val="003B3242"/>
    <w:rsid w:val="003B3FCD"/>
    <w:rsid w:val="003B4FDD"/>
    <w:rsid w:val="003B56B3"/>
    <w:rsid w:val="003B5E72"/>
    <w:rsid w:val="003B69A9"/>
    <w:rsid w:val="003B6A30"/>
    <w:rsid w:val="003B6E9B"/>
    <w:rsid w:val="003B7377"/>
    <w:rsid w:val="003B79C1"/>
    <w:rsid w:val="003C0182"/>
    <w:rsid w:val="003C0A29"/>
    <w:rsid w:val="003C0B20"/>
    <w:rsid w:val="003C102D"/>
    <w:rsid w:val="003C1598"/>
    <w:rsid w:val="003C2992"/>
    <w:rsid w:val="003C3B14"/>
    <w:rsid w:val="003C4944"/>
    <w:rsid w:val="003C4E8D"/>
    <w:rsid w:val="003C5125"/>
    <w:rsid w:val="003C5769"/>
    <w:rsid w:val="003C67D2"/>
    <w:rsid w:val="003C77E6"/>
    <w:rsid w:val="003D017C"/>
    <w:rsid w:val="003D0253"/>
    <w:rsid w:val="003D090B"/>
    <w:rsid w:val="003D0B43"/>
    <w:rsid w:val="003D1BE8"/>
    <w:rsid w:val="003D2351"/>
    <w:rsid w:val="003D2641"/>
    <w:rsid w:val="003D2B8E"/>
    <w:rsid w:val="003D2D39"/>
    <w:rsid w:val="003D32E2"/>
    <w:rsid w:val="003D377C"/>
    <w:rsid w:val="003D39B9"/>
    <w:rsid w:val="003D420F"/>
    <w:rsid w:val="003D5785"/>
    <w:rsid w:val="003D616A"/>
    <w:rsid w:val="003D654B"/>
    <w:rsid w:val="003D6E7F"/>
    <w:rsid w:val="003D71C7"/>
    <w:rsid w:val="003D7DA5"/>
    <w:rsid w:val="003E0A39"/>
    <w:rsid w:val="003E0ACF"/>
    <w:rsid w:val="003E110E"/>
    <w:rsid w:val="003E15AC"/>
    <w:rsid w:val="003E169C"/>
    <w:rsid w:val="003E29DB"/>
    <w:rsid w:val="003E2FBC"/>
    <w:rsid w:val="003E32DD"/>
    <w:rsid w:val="003E3416"/>
    <w:rsid w:val="003E475C"/>
    <w:rsid w:val="003E588E"/>
    <w:rsid w:val="003E7442"/>
    <w:rsid w:val="003F0502"/>
    <w:rsid w:val="003F0FC4"/>
    <w:rsid w:val="003F1077"/>
    <w:rsid w:val="003F1303"/>
    <w:rsid w:val="003F15D2"/>
    <w:rsid w:val="003F202E"/>
    <w:rsid w:val="003F2324"/>
    <w:rsid w:val="003F3245"/>
    <w:rsid w:val="003F3EB5"/>
    <w:rsid w:val="003F4083"/>
    <w:rsid w:val="003F448D"/>
    <w:rsid w:val="003F4EF9"/>
    <w:rsid w:val="003F5051"/>
    <w:rsid w:val="003F54D7"/>
    <w:rsid w:val="003F5CD9"/>
    <w:rsid w:val="003F5D15"/>
    <w:rsid w:val="003F6E73"/>
    <w:rsid w:val="003F744F"/>
    <w:rsid w:val="00400129"/>
    <w:rsid w:val="004005D9"/>
    <w:rsid w:val="004019BF"/>
    <w:rsid w:val="004027EC"/>
    <w:rsid w:val="00402A59"/>
    <w:rsid w:val="00402DAE"/>
    <w:rsid w:val="00403AC3"/>
    <w:rsid w:val="004041B5"/>
    <w:rsid w:val="0040531A"/>
    <w:rsid w:val="0040688F"/>
    <w:rsid w:val="004070EE"/>
    <w:rsid w:val="0040775F"/>
    <w:rsid w:val="00407E8A"/>
    <w:rsid w:val="004101ED"/>
    <w:rsid w:val="00410979"/>
    <w:rsid w:val="004116D2"/>
    <w:rsid w:val="00412DB5"/>
    <w:rsid w:val="004134EE"/>
    <w:rsid w:val="00413CFB"/>
    <w:rsid w:val="00413F56"/>
    <w:rsid w:val="0041494E"/>
    <w:rsid w:val="00415056"/>
    <w:rsid w:val="0041654B"/>
    <w:rsid w:val="0041696E"/>
    <w:rsid w:val="00416A13"/>
    <w:rsid w:val="004219D2"/>
    <w:rsid w:val="00421D55"/>
    <w:rsid w:val="00422E64"/>
    <w:rsid w:val="00423E44"/>
    <w:rsid w:val="00423EEE"/>
    <w:rsid w:val="004240B6"/>
    <w:rsid w:val="00425EAC"/>
    <w:rsid w:val="00426703"/>
    <w:rsid w:val="00426751"/>
    <w:rsid w:val="004267AA"/>
    <w:rsid w:val="00427315"/>
    <w:rsid w:val="00427671"/>
    <w:rsid w:val="00427FD5"/>
    <w:rsid w:val="00430391"/>
    <w:rsid w:val="004310C6"/>
    <w:rsid w:val="00431325"/>
    <w:rsid w:val="004315B2"/>
    <w:rsid w:val="00431963"/>
    <w:rsid w:val="0043206E"/>
    <w:rsid w:val="00432A4B"/>
    <w:rsid w:val="004331EC"/>
    <w:rsid w:val="00433799"/>
    <w:rsid w:val="00434898"/>
    <w:rsid w:val="0043504D"/>
    <w:rsid w:val="00435880"/>
    <w:rsid w:val="004359FC"/>
    <w:rsid w:val="00436B38"/>
    <w:rsid w:val="00436C3B"/>
    <w:rsid w:val="00437B79"/>
    <w:rsid w:val="00440D7B"/>
    <w:rsid w:val="0044116D"/>
    <w:rsid w:val="004416CE"/>
    <w:rsid w:val="004417D9"/>
    <w:rsid w:val="00442570"/>
    <w:rsid w:val="00442F1F"/>
    <w:rsid w:val="004433B1"/>
    <w:rsid w:val="0044346D"/>
    <w:rsid w:val="00444E44"/>
    <w:rsid w:val="00444ECC"/>
    <w:rsid w:val="0044796B"/>
    <w:rsid w:val="00450FC0"/>
    <w:rsid w:val="0045179A"/>
    <w:rsid w:val="004519EC"/>
    <w:rsid w:val="004522A3"/>
    <w:rsid w:val="0045271C"/>
    <w:rsid w:val="00453AA7"/>
    <w:rsid w:val="00453D5A"/>
    <w:rsid w:val="00454410"/>
    <w:rsid w:val="00454EF1"/>
    <w:rsid w:val="004557BE"/>
    <w:rsid w:val="00457048"/>
    <w:rsid w:val="004575B7"/>
    <w:rsid w:val="00461EE8"/>
    <w:rsid w:val="00463832"/>
    <w:rsid w:val="00464B8E"/>
    <w:rsid w:val="00465047"/>
    <w:rsid w:val="00465FDF"/>
    <w:rsid w:val="00466601"/>
    <w:rsid w:val="004668BB"/>
    <w:rsid w:val="004674B1"/>
    <w:rsid w:val="00467620"/>
    <w:rsid w:val="0047073D"/>
    <w:rsid w:val="004708B4"/>
    <w:rsid w:val="00470B84"/>
    <w:rsid w:val="00470BF3"/>
    <w:rsid w:val="004721CE"/>
    <w:rsid w:val="0047267A"/>
    <w:rsid w:val="00472B70"/>
    <w:rsid w:val="00473114"/>
    <w:rsid w:val="00473BE2"/>
    <w:rsid w:val="004750BE"/>
    <w:rsid w:val="00475165"/>
    <w:rsid w:val="004764E3"/>
    <w:rsid w:val="00481F27"/>
    <w:rsid w:val="00483201"/>
    <w:rsid w:val="00483C6F"/>
    <w:rsid w:val="00484DBF"/>
    <w:rsid w:val="004864F3"/>
    <w:rsid w:val="00486C85"/>
    <w:rsid w:val="00487356"/>
    <w:rsid w:val="00490BD3"/>
    <w:rsid w:val="00491FA0"/>
    <w:rsid w:val="00493123"/>
    <w:rsid w:val="00493DB8"/>
    <w:rsid w:val="00495775"/>
    <w:rsid w:val="00495779"/>
    <w:rsid w:val="0049581C"/>
    <w:rsid w:val="00496241"/>
    <w:rsid w:val="004972DD"/>
    <w:rsid w:val="00497F68"/>
    <w:rsid w:val="004A0972"/>
    <w:rsid w:val="004A14CB"/>
    <w:rsid w:val="004A1518"/>
    <w:rsid w:val="004A1C94"/>
    <w:rsid w:val="004A1EA3"/>
    <w:rsid w:val="004A2901"/>
    <w:rsid w:val="004A3F54"/>
    <w:rsid w:val="004A44F0"/>
    <w:rsid w:val="004A4CC3"/>
    <w:rsid w:val="004A5A03"/>
    <w:rsid w:val="004A644A"/>
    <w:rsid w:val="004A64AD"/>
    <w:rsid w:val="004A77E9"/>
    <w:rsid w:val="004B2146"/>
    <w:rsid w:val="004B245B"/>
    <w:rsid w:val="004B287D"/>
    <w:rsid w:val="004B2C70"/>
    <w:rsid w:val="004B3BBD"/>
    <w:rsid w:val="004B3BE5"/>
    <w:rsid w:val="004B3FA4"/>
    <w:rsid w:val="004B5850"/>
    <w:rsid w:val="004B606E"/>
    <w:rsid w:val="004B6A5D"/>
    <w:rsid w:val="004B7B18"/>
    <w:rsid w:val="004B7E44"/>
    <w:rsid w:val="004C00DC"/>
    <w:rsid w:val="004C179E"/>
    <w:rsid w:val="004C1BCA"/>
    <w:rsid w:val="004C229C"/>
    <w:rsid w:val="004C27D3"/>
    <w:rsid w:val="004C2CE0"/>
    <w:rsid w:val="004C33AD"/>
    <w:rsid w:val="004C5726"/>
    <w:rsid w:val="004C5DA4"/>
    <w:rsid w:val="004C62F6"/>
    <w:rsid w:val="004C6338"/>
    <w:rsid w:val="004C7196"/>
    <w:rsid w:val="004C77D9"/>
    <w:rsid w:val="004D09D5"/>
    <w:rsid w:val="004D0B97"/>
    <w:rsid w:val="004D14E9"/>
    <w:rsid w:val="004D1FC4"/>
    <w:rsid w:val="004D251B"/>
    <w:rsid w:val="004D2DB6"/>
    <w:rsid w:val="004D3277"/>
    <w:rsid w:val="004D3F79"/>
    <w:rsid w:val="004D4051"/>
    <w:rsid w:val="004D4053"/>
    <w:rsid w:val="004D4C5F"/>
    <w:rsid w:val="004D5F0D"/>
    <w:rsid w:val="004D684A"/>
    <w:rsid w:val="004D7857"/>
    <w:rsid w:val="004D7F00"/>
    <w:rsid w:val="004E07DC"/>
    <w:rsid w:val="004E16B3"/>
    <w:rsid w:val="004E3F2E"/>
    <w:rsid w:val="004E43CA"/>
    <w:rsid w:val="004E4482"/>
    <w:rsid w:val="004E45C7"/>
    <w:rsid w:val="004E47C2"/>
    <w:rsid w:val="004E4ABF"/>
    <w:rsid w:val="004E617D"/>
    <w:rsid w:val="004E7A14"/>
    <w:rsid w:val="004F23C7"/>
    <w:rsid w:val="004F24E4"/>
    <w:rsid w:val="004F2B9E"/>
    <w:rsid w:val="004F2F9F"/>
    <w:rsid w:val="004F349C"/>
    <w:rsid w:val="004F3C22"/>
    <w:rsid w:val="004F3C66"/>
    <w:rsid w:val="004F4824"/>
    <w:rsid w:val="004F4C34"/>
    <w:rsid w:val="004F4C36"/>
    <w:rsid w:val="004F50D4"/>
    <w:rsid w:val="004F6692"/>
    <w:rsid w:val="004F7643"/>
    <w:rsid w:val="004F77E6"/>
    <w:rsid w:val="00500138"/>
    <w:rsid w:val="00500EAE"/>
    <w:rsid w:val="0050221D"/>
    <w:rsid w:val="00503D0D"/>
    <w:rsid w:val="00506486"/>
    <w:rsid w:val="00506898"/>
    <w:rsid w:val="00506D38"/>
    <w:rsid w:val="00506D7B"/>
    <w:rsid w:val="0050721D"/>
    <w:rsid w:val="00510347"/>
    <w:rsid w:val="005106CC"/>
    <w:rsid w:val="0051115E"/>
    <w:rsid w:val="005123DA"/>
    <w:rsid w:val="0051315F"/>
    <w:rsid w:val="0051353A"/>
    <w:rsid w:val="0051419C"/>
    <w:rsid w:val="00514281"/>
    <w:rsid w:val="00514470"/>
    <w:rsid w:val="0051457A"/>
    <w:rsid w:val="00515B23"/>
    <w:rsid w:val="00515E4E"/>
    <w:rsid w:val="005164E2"/>
    <w:rsid w:val="00516516"/>
    <w:rsid w:val="00517E92"/>
    <w:rsid w:val="005210F0"/>
    <w:rsid w:val="00521339"/>
    <w:rsid w:val="00522503"/>
    <w:rsid w:val="005226C3"/>
    <w:rsid w:val="0052370B"/>
    <w:rsid w:val="0052420A"/>
    <w:rsid w:val="00525108"/>
    <w:rsid w:val="0052603C"/>
    <w:rsid w:val="005268DF"/>
    <w:rsid w:val="00526CD4"/>
    <w:rsid w:val="005271B1"/>
    <w:rsid w:val="0052781A"/>
    <w:rsid w:val="00527872"/>
    <w:rsid w:val="005278F1"/>
    <w:rsid w:val="00531B72"/>
    <w:rsid w:val="00533CEB"/>
    <w:rsid w:val="00533F41"/>
    <w:rsid w:val="00534F25"/>
    <w:rsid w:val="00535BDE"/>
    <w:rsid w:val="00536997"/>
    <w:rsid w:val="00536B9A"/>
    <w:rsid w:val="00537DE3"/>
    <w:rsid w:val="00540621"/>
    <w:rsid w:val="0054098F"/>
    <w:rsid w:val="00540ED4"/>
    <w:rsid w:val="0054149C"/>
    <w:rsid w:val="00541FC0"/>
    <w:rsid w:val="00542C82"/>
    <w:rsid w:val="0054328F"/>
    <w:rsid w:val="0054389B"/>
    <w:rsid w:val="00544700"/>
    <w:rsid w:val="00546090"/>
    <w:rsid w:val="0054714E"/>
    <w:rsid w:val="005475C6"/>
    <w:rsid w:val="00547CBB"/>
    <w:rsid w:val="00547DA0"/>
    <w:rsid w:val="005500D1"/>
    <w:rsid w:val="005501D1"/>
    <w:rsid w:val="00550D1C"/>
    <w:rsid w:val="005511C0"/>
    <w:rsid w:val="00552492"/>
    <w:rsid w:val="00552AC5"/>
    <w:rsid w:val="00552AE0"/>
    <w:rsid w:val="00553606"/>
    <w:rsid w:val="00554689"/>
    <w:rsid w:val="00554AA9"/>
    <w:rsid w:val="005551B3"/>
    <w:rsid w:val="00556F6C"/>
    <w:rsid w:val="005578AA"/>
    <w:rsid w:val="00557934"/>
    <w:rsid w:val="0056021C"/>
    <w:rsid w:val="00560F66"/>
    <w:rsid w:val="00561CFB"/>
    <w:rsid w:val="00562207"/>
    <w:rsid w:val="00562E83"/>
    <w:rsid w:val="00563249"/>
    <w:rsid w:val="0056349A"/>
    <w:rsid w:val="00564949"/>
    <w:rsid w:val="005667F0"/>
    <w:rsid w:val="005669AC"/>
    <w:rsid w:val="00566DE1"/>
    <w:rsid w:val="00570D41"/>
    <w:rsid w:val="00570EA4"/>
    <w:rsid w:val="00570EC4"/>
    <w:rsid w:val="00570FD1"/>
    <w:rsid w:val="005729C1"/>
    <w:rsid w:val="00572CBF"/>
    <w:rsid w:val="005733EE"/>
    <w:rsid w:val="00573BB2"/>
    <w:rsid w:val="005766BE"/>
    <w:rsid w:val="00577A01"/>
    <w:rsid w:val="00577E3C"/>
    <w:rsid w:val="00580EE7"/>
    <w:rsid w:val="005811EF"/>
    <w:rsid w:val="00581AB1"/>
    <w:rsid w:val="00582662"/>
    <w:rsid w:val="00582C41"/>
    <w:rsid w:val="005835AC"/>
    <w:rsid w:val="00583F4B"/>
    <w:rsid w:val="005842D1"/>
    <w:rsid w:val="00584557"/>
    <w:rsid w:val="00585340"/>
    <w:rsid w:val="0058540E"/>
    <w:rsid w:val="00585960"/>
    <w:rsid w:val="00585ADD"/>
    <w:rsid w:val="00585DD0"/>
    <w:rsid w:val="00586278"/>
    <w:rsid w:val="005877CE"/>
    <w:rsid w:val="00587D2F"/>
    <w:rsid w:val="00587E8C"/>
    <w:rsid w:val="005906A4"/>
    <w:rsid w:val="00591ABB"/>
    <w:rsid w:val="005924AA"/>
    <w:rsid w:val="00592505"/>
    <w:rsid w:val="00592AFA"/>
    <w:rsid w:val="00594270"/>
    <w:rsid w:val="00595171"/>
    <w:rsid w:val="00595CC7"/>
    <w:rsid w:val="00595DA3"/>
    <w:rsid w:val="00596931"/>
    <w:rsid w:val="005977E7"/>
    <w:rsid w:val="005A0A84"/>
    <w:rsid w:val="005A1302"/>
    <w:rsid w:val="005A21EE"/>
    <w:rsid w:val="005A2561"/>
    <w:rsid w:val="005A4ED5"/>
    <w:rsid w:val="005A55F8"/>
    <w:rsid w:val="005A5AAE"/>
    <w:rsid w:val="005A63E6"/>
    <w:rsid w:val="005B0510"/>
    <w:rsid w:val="005B0A65"/>
    <w:rsid w:val="005B0D3C"/>
    <w:rsid w:val="005B1391"/>
    <w:rsid w:val="005B16A8"/>
    <w:rsid w:val="005B28DE"/>
    <w:rsid w:val="005B3559"/>
    <w:rsid w:val="005B3F0D"/>
    <w:rsid w:val="005B3FC1"/>
    <w:rsid w:val="005B5C6E"/>
    <w:rsid w:val="005B664D"/>
    <w:rsid w:val="005B6F36"/>
    <w:rsid w:val="005B715F"/>
    <w:rsid w:val="005B7507"/>
    <w:rsid w:val="005C007B"/>
    <w:rsid w:val="005C0840"/>
    <w:rsid w:val="005C166D"/>
    <w:rsid w:val="005C2076"/>
    <w:rsid w:val="005C2590"/>
    <w:rsid w:val="005C308D"/>
    <w:rsid w:val="005C398C"/>
    <w:rsid w:val="005C3A63"/>
    <w:rsid w:val="005C3D48"/>
    <w:rsid w:val="005C4E14"/>
    <w:rsid w:val="005C4E96"/>
    <w:rsid w:val="005C5E53"/>
    <w:rsid w:val="005C6D62"/>
    <w:rsid w:val="005C7C42"/>
    <w:rsid w:val="005D0CB9"/>
    <w:rsid w:val="005D0D48"/>
    <w:rsid w:val="005D0F49"/>
    <w:rsid w:val="005D17A6"/>
    <w:rsid w:val="005D1C75"/>
    <w:rsid w:val="005D2305"/>
    <w:rsid w:val="005D31ED"/>
    <w:rsid w:val="005D4A76"/>
    <w:rsid w:val="005D56C0"/>
    <w:rsid w:val="005D751C"/>
    <w:rsid w:val="005E0B33"/>
    <w:rsid w:val="005E1933"/>
    <w:rsid w:val="005E233B"/>
    <w:rsid w:val="005E2885"/>
    <w:rsid w:val="005E35A0"/>
    <w:rsid w:val="005E4A14"/>
    <w:rsid w:val="005E4D7A"/>
    <w:rsid w:val="005E657D"/>
    <w:rsid w:val="005F0CB3"/>
    <w:rsid w:val="005F0CC2"/>
    <w:rsid w:val="005F1106"/>
    <w:rsid w:val="005F119B"/>
    <w:rsid w:val="005F2368"/>
    <w:rsid w:val="005F26BC"/>
    <w:rsid w:val="005F2D79"/>
    <w:rsid w:val="005F334F"/>
    <w:rsid w:val="005F42CE"/>
    <w:rsid w:val="005F5885"/>
    <w:rsid w:val="005F6616"/>
    <w:rsid w:val="005F6B1C"/>
    <w:rsid w:val="005F7031"/>
    <w:rsid w:val="005F7347"/>
    <w:rsid w:val="005F7611"/>
    <w:rsid w:val="005F7615"/>
    <w:rsid w:val="005F7951"/>
    <w:rsid w:val="0060047F"/>
    <w:rsid w:val="00600AF1"/>
    <w:rsid w:val="0060197B"/>
    <w:rsid w:val="00601A24"/>
    <w:rsid w:val="00601A94"/>
    <w:rsid w:val="00603A83"/>
    <w:rsid w:val="00604099"/>
    <w:rsid w:val="006041C3"/>
    <w:rsid w:val="00605024"/>
    <w:rsid w:val="00605893"/>
    <w:rsid w:val="006058CB"/>
    <w:rsid w:val="00605E98"/>
    <w:rsid w:val="00606E9D"/>
    <w:rsid w:val="006072EB"/>
    <w:rsid w:val="006077A9"/>
    <w:rsid w:val="00607F91"/>
    <w:rsid w:val="0061077A"/>
    <w:rsid w:val="00611305"/>
    <w:rsid w:val="00611306"/>
    <w:rsid w:val="00611BDB"/>
    <w:rsid w:val="00611DE3"/>
    <w:rsid w:val="00611F58"/>
    <w:rsid w:val="00612342"/>
    <w:rsid w:val="006129CC"/>
    <w:rsid w:val="00613BD7"/>
    <w:rsid w:val="00614B9E"/>
    <w:rsid w:val="006151DE"/>
    <w:rsid w:val="00615C76"/>
    <w:rsid w:val="006166AD"/>
    <w:rsid w:val="006178A2"/>
    <w:rsid w:val="0062003B"/>
    <w:rsid w:val="00620EB8"/>
    <w:rsid w:val="006214B8"/>
    <w:rsid w:val="00621C55"/>
    <w:rsid w:val="00621F3C"/>
    <w:rsid w:val="00622EB1"/>
    <w:rsid w:val="00624159"/>
    <w:rsid w:val="0062467A"/>
    <w:rsid w:val="00624FA6"/>
    <w:rsid w:val="00625D11"/>
    <w:rsid w:val="00625FDF"/>
    <w:rsid w:val="006263E3"/>
    <w:rsid w:val="00626456"/>
    <w:rsid w:val="006264DA"/>
    <w:rsid w:val="006266F0"/>
    <w:rsid w:val="00626891"/>
    <w:rsid w:val="00626A89"/>
    <w:rsid w:val="006270B2"/>
    <w:rsid w:val="00630C75"/>
    <w:rsid w:val="00630FF6"/>
    <w:rsid w:val="0063108D"/>
    <w:rsid w:val="0063166A"/>
    <w:rsid w:val="0063173D"/>
    <w:rsid w:val="006320B7"/>
    <w:rsid w:val="00632307"/>
    <w:rsid w:val="00633B8F"/>
    <w:rsid w:val="00633EE2"/>
    <w:rsid w:val="0063440A"/>
    <w:rsid w:val="006347FA"/>
    <w:rsid w:val="00634C5B"/>
    <w:rsid w:val="00634C82"/>
    <w:rsid w:val="00634D43"/>
    <w:rsid w:val="00634FCD"/>
    <w:rsid w:val="00635757"/>
    <w:rsid w:val="00635B31"/>
    <w:rsid w:val="00635E7D"/>
    <w:rsid w:val="00636251"/>
    <w:rsid w:val="006362FA"/>
    <w:rsid w:val="0063665A"/>
    <w:rsid w:val="00636C76"/>
    <w:rsid w:val="0064015D"/>
    <w:rsid w:val="00641C35"/>
    <w:rsid w:val="006433EF"/>
    <w:rsid w:val="00643FCA"/>
    <w:rsid w:val="00644A16"/>
    <w:rsid w:val="00644B5B"/>
    <w:rsid w:val="006453C2"/>
    <w:rsid w:val="006457A3"/>
    <w:rsid w:val="00645AD7"/>
    <w:rsid w:val="006473E0"/>
    <w:rsid w:val="00650A97"/>
    <w:rsid w:val="00651216"/>
    <w:rsid w:val="0065129B"/>
    <w:rsid w:val="0065137B"/>
    <w:rsid w:val="00651DBA"/>
    <w:rsid w:val="00651DC8"/>
    <w:rsid w:val="00652A4C"/>
    <w:rsid w:val="00652EC5"/>
    <w:rsid w:val="00653BF7"/>
    <w:rsid w:val="00654070"/>
    <w:rsid w:val="0065748D"/>
    <w:rsid w:val="00661DFE"/>
    <w:rsid w:val="00662174"/>
    <w:rsid w:val="00662C6E"/>
    <w:rsid w:val="00662FB6"/>
    <w:rsid w:val="00664371"/>
    <w:rsid w:val="00664414"/>
    <w:rsid w:val="00666CDE"/>
    <w:rsid w:val="006674E1"/>
    <w:rsid w:val="00667893"/>
    <w:rsid w:val="00667EF7"/>
    <w:rsid w:val="0067129E"/>
    <w:rsid w:val="006716E6"/>
    <w:rsid w:val="00671FBA"/>
    <w:rsid w:val="00672A82"/>
    <w:rsid w:val="00675290"/>
    <w:rsid w:val="0067541B"/>
    <w:rsid w:val="006755EE"/>
    <w:rsid w:val="00675BEE"/>
    <w:rsid w:val="00675EDF"/>
    <w:rsid w:val="0067785C"/>
    <w:rsid w:val="00677CDE"/>
    <w:rsid w:val="00677E83"/>
    <w:rsid w:val="00680DE0"/>
    <w:rsid w:val="00681CBC"/>
    <w:rsid w:val="006820F5"/>
    <w:rsid w:val="00682354"/>
    <w:rsid w:val="0068290F"/>
    <w:rsid w:val="006835AA"/>
    <w:rsid w:val="00683B5C"/>
    <w:rsid w:val="006844F3"/>
    <w:rsid w:val="0068456D"/>
    <w:rsid w:val="00684574"/>
    <w:rsid w:val="0068489E"/>
    <w:rsid w:val="006848FB"/>
    <w:rsid w:val="00685F0D"/>
    <w:rsid w:val="00686CE6"/>
    <w:rsid w:val="0068703E"/>
    <w:rsid w:val="00687848"/>
    <w:rsid w:val="006900BB"/>
    <w:rsid w:val="006910E8"/>
    <w:rsid w:val="006913DB"/>
    <w:rsid w:val="00691D8B"/>
    <w:rsid w:val="00692417"/>
    <w:rsid w:val="00692B2E"/>
    <w:rsid w:val="006937A3"/>
    <w:rsid w:val="00693C73"/>
    <w:rsid w:val="006940E9"/>
    <w:rsid w:val="00694113"/>
    <w:rsid w:val="006943B7"/>
    <w:rsid w:val="0069460E"/>
    <w:rsid w:val="00695AEF"/>
    <w:rsid w:val="00695D01"/>
    <w:rsid w:val="006962B4"/>
    <w:rsid w:val="00696A84"/>
    <w:rsid w:val="00696B2A"/>
    <w:rsid w:val="00696CB9"/>
    <w:rsid w:val="00696D6E"/>
    <w:rsid w:val="006A113B"/>
    <w:rsid w:val="006A124B"/>
    <w:rsid w:val="006A1844"/>
    <w:rsid w:val="006A1E80"/>
    <w:rsid w:val="006A2538"/>
    <w:rsid w:val="006A27D6"/>
    <w:rsid w:val="006A2D64"/>
    <w:rsid w:val="006A384D"/>
    <w:rsid w:val="006A4BFE"/>
    <w:rsid w:val="006A4FA6"/>
    <w:rsid w:val="006A5473"/>
    <w:rsid w:val="006A5723"/>
    <w:rsid w:val="006A70EC"/>
    <w:rsid w:val="006B0231"/>
    <w:rsid w:val="006B1FAA"/>
    <w:rsid w:val="006B2965"/>
    <w:rsid w:val="006B309A"/>
    <w:rsid w:val="006B31AD"/>
    <w:rsid w:val="006B3494"/>
    <w:rsid w:val="006B6DA2"/>
    <w:rsid w:val="006B708D"/>
    <w:rsid w:val="006B7412"/>
    <w:rsid w:val="006B766B"/>
    <w:rsid w:val="006C0EB0"/>
    <w:rsid w:val="006C1271"/>
    <w:rsid w:val="006C19F9"/>
    <w:rsid w:val="006C1E67"/>
    <w:rsid w:val="006C25EF"/>
    <w:rsid w:val="006C2B75"/>
    <w:rsid w:val="006C2CF5"/>
    <w:rsid w:val="006C3CF3"/>
    <w:rsid w:val="006C55F9"/>
    <w:rsid w:val="006C674A"/>
    <w:rsid w:val="006C6BEA"/>
    <w:rsid w:val="006C703F"/>
    <w:rsid w:val="006D0770"/>
    <w:rsid w:val="006D0BE5"/>
    <w:rsid w:val="006D138F"/>
    <w:rsid w:val="006D20A4"/>
    <w:rsid w:val="006D2AFF"/>
    <w:rsid w:val="006D317B"/>
    <w:rsid w:val="006D4FA0"/>
    <w:rsid w:val="006D5C2D"/>
    <w:rsid w:val="006D5D43"/>
    <w:rsid w:val="006D66B3"/>
    <w:rsid w:val="006D6804"/>
    <w:rsid w:val="006D6C61"/>
    <w:rsid w:val="006D6FA8"/>
    <w:rsid w:val="006D7D3F"/>
    <w:rsid w:val="006E0ADA"/>
    <w:rsid w:val="006E11A0"/>
    <w:rsid w:val="006E207B"/>
    <w:rsid w:val="006E2F03"/>
    <w:rsid w:val="006E334E"/>
    <w:rsid w:val="006E3501"/>
    <w:rsid w:val="006E38EB"/>
    <w:rsid w:val="006E3B3C"/>
    <w:rsid w:val="006E4370"/>
    <w:rsid w:val="006E4C63"/>
    <w:rsid w:val="006E647C"/>
    <w:rsid w:val="006E701E"/>
    <w:rsid w:val="006F0708"/>
    <w:rsid w:val="006F0BAD"/>
    <w:rsid w:val="006F0C1B"/>
    <w:rsid w:val="006F16EB"/>
    <w:rsid w:val="006F1B4D"/>
    <w:rsid w:val="006F36CC"/>
    <w:rsid w:val="006F3AED"/>
    <w:rsid w:val="006F3C1D"/>
    <w:rsid w:val="006F413F"/>
    <w:rsid w:val="006F44B2"/>
    <w:rsid w:val="006F69BC"/>
    <w:rsid w:val="00700B3C"/>
    <w:rsid w:val="0070101C"/>
    <w:rsid w:val="00701757"/>
    <w:rsid w:val="00701F94"/>
    <w:rsid w:val="00703569"/>
    <w:rsid w:val="00704F92"/>
    <w:rsid w:val="007057C7"/>
    <w:rsid w:val="00705B81"/>
    <w:rsid w:val="00705D4F"/>
    <w:rsid w:val="00706D44"/>
    <w:rsid w:val="00707D94"/>
    <w:rsid w:val="00707E2A"/>
    <w:rsid w:val="00707EED"/>
    <w:rsid w:val="007107AA"/>
    <w:rsid w:val="00710DE1"/>
    <w:rsid w:val="00710E8D"/>
    <w:rsid w:val="00710EF2"/>
    <w:rsid w:val="007122C1"/>
    <w:rsid w:val="0071295C"/>
    <w:rsid w:val="00712F34"/>
    <w:rsid w:val="007132D6"/>
    <w:rsid w:val="00713948"/>
    <w:rsid w:val="00714046"/>
    <w:rsid w:val="00714913"/>
    <w:rsid w:val="00716352"/>
    <w:rsid w:val="007169ED"/>
    <w:rsid w:val="007176DA"/>
    <w:rsid w:val="00720B55"/>
    <w:rsid w:val="00720DDD"/>
    <w:rsid w:val="00721488"/>
    <w:rsid w:val="007215DB"/>
    <w:rsid w:val="0072160F"/>
    <w:rsid w:val="0072249D"/>
    <w:rsid w:val="00722DBE"/>
    <w:rsid w:val="00722E60"/>
    <w:rsid w:val="007244A8"/>
    <w:rsid w:val="00724EA6"/>
    <w:rsid w:val="0072586F"/>
    <w:rsid w:val="00725FD9"/>
    <w:rsid w:val="00726906"/>
    <w:rsid w:val="0072724A"/>
    <w:rsid w:val="00727500"/>
    <w:rsid w:val="007278BE"/>
    <w:rsid w:val="0072795E"/>
    <w:rsid w:val="00727A8E"/>
    <w:rsid w:val="00727AAD"/>
    <w:rsid w:val="00730734"/>
    <w:rsid w:val="00731663"/>
    <w:rsid w:val="0073190C"/>
    <w:rsid w:val="00732AAE"/>
    <w:rsid w:val="00733A0B"/>
    <w:rsid w:val="00735616"/>
    <w:rsid w:val="00735832"/>
    <w:rsid w:val="00735CED"/>
    <w:rsid w:val="00735D2F"/>
    <w:rsid w:val="007370B9"/>
    <w:rsid w:val="00737687"/>
    <w:rsid w:val="00737ADF"/>
    <w:rsid w:val="00737FF3"/>
    <w:rsid w:val="007412B7"/>
    <w:rsid w:val="007417C1"/>
    <w:rsid w:val="00743FA8"/>
    <w:rsid w:val="00744384"/>
    <w:rsid w:val="00745614"/>
    <w:rsid w:val="00746404"/>
    <w:rsid w:val="00746AAD"/>
    <w:rsid w:val="00746FDD"/>
    <w:rsid w:val="00747187"/>
    <w:rsid w:val="00747802"/>
    <w:rsid w:val="00747E6B"/>
    <w:rsid w:val="00752B22"/>
    <w:rsid w:val="0075323A"/>
    <w:rsid w:val="007534CA"/>
    <w:rsid w:val="007539A2"/>
    <w:rsid w:val="00753BD5"/>
    <w:rsid w:val="00754BC6"/>
    <w:rsid w:val="00754E64"/>
    <w:rsid w:val="00754EBA"/>
    <w:rsid w:val="00755AC9"/>
    <w:rsid w:val="00755E3D"/>
    <w:rsid w:val="00755E92"/>
    <w:rsid w:val="00756D5F"/>
    <w:rsid w:val="0075703C"/>
    <w:rsid w:val="0075766D"/>
    <w:rsid w:val="007600CF"/>
    <w:rsid w:val="00761300"/>
    <w:rsid w:val="00761648"/>
    <w:rsid w:val="00762306"/>
    <w:rsid w:val="00762C2C"/>
    <w:rsid w:val="00763BE4"/>
    <w:rsid w:val="007664FA"/>
    <w:rsid w:val="00766E08"/>
    <w:rsid w:val="007673E5"/>
    <w:rsid w:val="007709B4"/>
    <w:rsid w:val="00770CE3"/>
    <w:rsid w:val="007717F4"/>
    <w:rsid w:val="00772FB0"/>
    <w:rsid w:val="007736F1"/>
    <w:rsid w:val="00773A00"/>
    <w:rsid w:val="007740AB"/>
    <w:rsid w:val="007745FC"/>
    <w:rsid w:val="00774862"/>
    <w:rsid w:val="00774C52"/>
    <w:rsid w:val="0077558F"/>
    <w:rsid w:val="007758BC"/>
    <w:rsid w:val="00775B4C"/>
    <w:rsid w:val="00777E38"/>
    <w:rsid w:val="00777EF4"/>
    <w:rsid w:val="00780222"/>
    <w:rsid w:val="00781458"/>
    <w:rsid w:val="00781A07"/>
    <w:rsid w:val="00782430"/>
    <w:rsid w:val="00782705"/>
    <w:rsid w:val="0078329E"/>
    <w:rsid w:val="00783B25"/>
    <w:rsid w:val="00783DAF"/>
    <w:rsid w:val="00784254"/>
    <w:rsid w:val="00785579"/>
    <w:rsid w:val="00785F35"/>
    <w:rsid w:val="00786401"/>
    <w:rsid w:val="00786740"/>
    <w:rsid w:val="007872F8"/>
    <w:rsid w:val="0078770B"/>
    <w:rsid w:val="00787844"/>
    <w:rsid w:val="00787CE5"/>
    <w:rsid w:val="00790058"/>
    <w:rsid w:val="0079298E"/>
    <w:rsid w:val="007929B2"/>
    <w:rsid w:val="00793109"/>
    <w:rsid w:val="00795A54"/>
    <w:rsid w:val="0079651E"/>
    <w:rsid w:val="00796894"/>
    <w:rsid w:val="0079771F"/>
    <w:rsid w:val="00797F9E"/>
    <w:rsid w:val="007A03BB"/>
    <w:rsid w:val="007A0840"/>
    <w:rsid w:val="007A13A3"/>
    <w:rsid w:val="007A181B"/>
    <w:rsid w:val="007A19E4"/>
    <w:rsid w:val="007A1D27"/>
    <w:rsid w:val="007A26F4"/>
    <w:rsid w:val="007A3364"/>
    <w:rsid w:val="007A492F"/>
    <w:rsid w:val="007A588C"/>
    <w:rsid w:val="007A5E3C"/>
    <w:rsid w:val="007A69BD"/>
    <w:rsid w:val="007B0818"/>
    <w:rsid w:val="007B11E2"/>
    <w:rsid w:val="007B1284"/>
    <w:rsid w:val="007B1B47"/>
    <w:rsid w:val="007B1D66"/>
    <w:rsid w:val="007B364E"/>
    <w:rsid w:val="007B4186"/>
    <w:rsid w:val="007B57D5"/>
    <w:rsid w:val="007B5EBD"/>
    <w:rsid w:val="007B652A"/>
    <w:rsid w:val="007B728C"/>
    <w:rsid w:val="007B75E8"/>
    <w:rsid w:val="007B76CC"/>
    <w:rsid w:val="007B7CD0"/>
    <w:rsid w:val="007C1E67"/>
    <w:rsid w:val="007C20DE"/>
    <w:rsid w:val="007C2D78"/>
    <w:rsid w:val="007C30D0"/>
    <w:rsid w:val="007C3554"/>
    <w:rsid w:val="007C3C6C"/>
    <w:rsid w:val="007C4075"/>
    <w:rsid w:val="007C5B2C"/>
    <w:rsid w:val="007C60A5"/>
    <w:rsid w:val="007C651B"/>
    <w:rsid w:val="007C6CAE"/>
    <w:rsid w:val="007D08CC"/>
    <w:rsid w:val="007D0E7F"/>
    <w:rsid w:val="007D11A3"/>
    <w:rsid w:val="007D14D3"/>
    <w:rsid w:val="007D17F8"/>
    <w:rsid w:val="007D351B"/>
    <w:rsid w:val="007D3EA4"/>
    <w:rsid w:val="007D459A"/>
    <w:rsid w:val="007D4F1C"/>
    <w:rsid w:val="007D5836"/>
    <w:rsid w:val="007D6BB2"/>
    <w:rsid w:val="007D7EED"/>
    <w:rsid w:val="007E0091"/>
    <w:rsid w:val="007E1169"/>
    <w:rsid w:val="007E192F"/>
    <w:rsid w:val="007E2802"/>
    <w:rsid w:val="007E2C0C"/>
    <w:rsid w:val="007E2C96"/>
    <w:rsid w:val="007E2ECC"/>
    <w:rsid w:val="007E3659"/>
    <w:rsid w:val="007E45AE"/>
    <w:rsid w:val="007E5861"/>
    <w:rsid w:val="007E5A07"/>
    <w:rsid w:val="007E7BD1"/>
    <w:rsid w:val="007F034A"/>
    <w:rsid w:val="007F0C70"/>
    <w:rsid w:val="007F1E7C"/>
    <w:rsid w:val="007F3137"/>
    <w:rsid w:val="007F481A"/>
    <w:rsid w:val="007F5133"/>
    <w:rsid w:val="007F53CF"/>
    <w:rsid w:val="007F704A"/>
    <w:rsid w:val="00801B02"/>
    <w:rsid w:val="00802642"/>
    <w:rsid w:val="00802B18"/>
    <w:rsid w:val="00802BE7"/>
    <w:rsid w:val="0080303D"/>
    <w:rsid w:val="008036E4"/>
    <w:rsid w:val="00803EEF"/>
    <w:rsid w:val="00803F20"/>
    <w:rsid w:val="00804A8B"/>
    <w:rsid w:val="00804B64"/>
    <w:rsid w:val="00805666"/>
    <w:rsid w:val="008074CC"/>
    <w:rsid w:val="00807939"/>
    <w:rsid w:val="00807B58"/>
    <w:rsid w:val="0081048E"/>
    <w:rsid w:val="008113F9"/>
    <w:rsid w:val="008117F4"/>
    <w:rsid w:val="0081292E"/>
    <w:rsid w:val="00812AC5"/>
    <w:rsid w:val="00813008"/>
    <w:rsid w:val="00813F75"/>
    <w:rsid w:val="00814168"/>
    <w:rsid w:val="008173D1"/>
    <w:rsid w:val="00817FC7"/>
    <w:rsid w:val="00821A71"/>
    <w:rsid w:val="00823084"/>
    <w:rsid w:val="008236E8"/>
    <w:rsid w:val="00823A41"/>
    <w:rsid w:val="00823BF0"/>
    <w:rsid w:val="00824E07"/>
    <w:rsid w:val="0082534D"/>
    <w:rsid w:val="00826616"/>
    <w:rsid w:val="008276DF"/>
    <w:rsid w:val="00827CE0"/>
    <w:rsid w:val="0083085B"/>
    <w:rsid w:val="00830CEA"/>
    <w:rsid w:val="00831707"/>
    <w:rsid w:val="00832C08"/>
    <w:rsid w:val="0083344E"/>
    <w:rsid w:val="008336CE"/>
    <w:rsid w:val="00833858"/>
    <w:rsid w:val="00833992"/>
    <w:rsid w:val="00834C16"/>
    <w:rsid w:val="00834C54"/>
    <w:rsid w:val="0083516B"/>
    <w:rsid w:val="00835455"/>
    <w:rsid w:val="00836085"/>
    <w:rsid w:val="008360FD"/>
    <w:rsid w:val="0083647F"/>
    <w:rsid w:val="00836645"/>
    <w:rsid w:val="00837A5D"/>
    <w:rsid w:val="00837BE6"/>
    <w:rsid w:val="00837ECB"/>
    <w:rsid w:val="0084018C"/>
    <w:rsid w:val="00840CED"/>
    <w:rsid w:val="00841092"/>
    <w:rsid w:val="00842078"/>
    <w:rsid w:val="00842408"/>
    <w:rsid w:val="00843052"/>
    <w:rsid w:val="00844E58"/>
    <w:rsid w:val="0084556F"/>
    <w:rsid w:val="00845A00"/>
    <w:rsid w:val="00846B7A"/>
    <w:rsid w:val="00847F65"/>
    <w:rsid w:val="008515D0"/>
    <w:rsid w:val="00851691"/>
    <w:rsid w:val="00854207"/>
    <w:rsid w:val="0085517B"/>
    <w:rsid w:val="0085525F"/>
    <w:rsid w:val="00855A49"/>
    <w:rsid w:val="00856137"/>
    <w:rsid w:val="00857843"/>
    <w:rsid w:val="00857B5C"/>
    <w:rsid w:val="00860095"/>
    <w:rsid w:val="008601FC"/>
    <w:rsid w:val="00860752"/>
    <w:rsid w:val="008607BB"/>
    <w:rsid w:val="00860885"/>
    <w:rsid w:val="00861045"/>
    <w:rsid w:val="00862340"/>
    <w:rsid w:val="008623A2"/>
    <w:rsid w:val="0086254F"/>
    <w:rsid w:val="008647CB"/>
    <w:rsid w:val="00865258"/>
    <w:rsid w:val="00865C32"/>
    <w:rsid w:val="00865E5C"/>
    <w:rsid w:val="00866587"/>
    <w:rsid w:val="00866B88"/>
    <w:rsid w:val="00866C65"/>
    <w:rsid w:val="00867662"/>
    <w:rsid w:val="00867AE7"/>
    <w:rsid w:val="0087056B"/>
    <w:rsid w:val="00870A7A"/>
    <w:rsid w:val="0087110A"/>
    <w:rsid w:val="008713D3"/>
    <w:rsid w:val="00871B68"/>
    <w:rsid w:val="008726D3"/>
    <w:rsid w:val="00873819"/>
    <w:rsid w:val="00873B4F"/>
    <w:rsid w:val="008745F0"/>
    <w:rsid w:val="00876401"/>
    <w:rsid w:val="00876E4E"/>
    <w:rsid w:val="008774D9"/>
    <w:rsid w:val="008800EE"/>
    <w:rsid w:val="00880108"/>
    <w:rsid w:val="008807D6"/>
    <w:rsid w:val="00881082"/>
    <w:rsid w:val="00883AB6"/>
    <w:rsid w:val="008848D0"/>
    <w:rsid w:val="00884E4C"/>
    <w:rsid w:val="00884FC8"/>
    <w:rsid w:val="00885498"/>
    <w:rsid w:val="00885F21"/>
    <w:rsid w:val="00885F48"/>
    <w:rsid w:val="00886029"/>
    <w:rsid w:val="00886655"/>
    <w:rsid w:val="00886EFF"/>
    <w:rsid w:val="00887C2C"/>
    <w:rsid w:val="0089007E"/>
    <w:rsid w:val="00891716"/>
    <w:rsid w:val="00891964"/>
    <w:rsid w:val="00892F0C"/>
    <w:rsid w:val="0089386E"/>
    <w:rsid w:val="008939E8"/>
    <w:rsid w:val="00894D64"/>
    <w:rsid w:val="00895099"/>
    <w:rsid w:val="00895F44"/>
    <w:rsid w:val="008969FB"/>
    <w:rsid w:val="00896E85"/>
    <w:rsid w:val="00897C9E"/>
    <w:rsid w:val="008A0DFF"/>
    <w:rsid w:val="008A1517"/>
    <w:rsid w:val="008A1C08"/>
    <w:rsid w:val="008A21ED"/>
    <w:rsid w:val="008A2FDE"/>
    <w:rsid w:val="008A4441"/>
    <w:rsid w:val="008A5CB9"/>
    <w:rsid w:val="008A5F73"/>
    <w:rsid w:val="008A611F"/>
    <w:rsid w:val="008A7D40"/>
    <w:rsid w:val="008A7DAC"/>
    <w:rsid w:val="008A7EDC"/>
    <w:rsid w:val="008B120E"/>
    <w:rsid w:val="008B1219"/>
    <w:rsid w:val="008B1F66"/>
    <w:rsid w:val="008B229B"/>
    <w:rsid w:val="008B4672"/>
    <w:rsid w:val="008B5C39"/>
    <w:rsid w:val="008B6059"/>
    <w:rsid w:val="008B72E0"/>
    <w:rsid w:val="008B7541"/>
    <w:rsid w:val="008B76BF"/>
    <w:rsid w:val="008C04E2"/>
    <w:rsid w:val="008C0E54"/>
    <w:rsid w:val="008C0FE2"/>
    <w:rsid w:val="008C10CC"/>
    <w:rsid w:val="008C11AE"/>
    <w:rsid w:val="008C256B"/>
    <w:rsid w:val="008C3236"/>
    <w:rsid w:val="008C3557"/>
    <w:rsid w:val="008C37D3"/>
    <w:rsid w:val="008C574D"/>
    <w:rsid w:val="008C5C48"/>
    <w:rsid w:val="008C692D"/>
    <w:rsid w:val="008C73C7"/>
    <w:rsid w:val="008D071E"/>
    <w:rsid w:val="008D0F81"/>
    <w:rsid w:val="008D15CF"/>
    <w:rsid w:val="008D39B3"/>
    <w:rsid w:val="008D42A9"/>
    <w:rsid w:val="008D42B6"/>
    <w:rsid w:val="008D469E"/>
    <w:rsid w:val="008D476A"/>
    <w:rsid w:val="008D4EA2"/>
    <w:rsid w:val="008D5502"/>
    <w:rsid w:val="008D5F68"/>
    <w:rsid w:val="008D68BD"/>
    <w:rsid w:val="008D6BEE"/>
    <w:rsid w:val="008D75B6"/>
    <w:rsid w:val="008D7CD6"/>
    <w:rsid w:val="008E0CBD"/>
    <w:rsid w:val="008E13A0"/>
    <w:rsid w:val="008E1EAC"/>
    <w:rsid w:val="008E22FB"/>
    <w:rsid w:val="008E2955"/>
    <w:rsid w:val="008E34DD"/>
    <w:rsid w:val="008E3CA9"/>
    <w:rsid w:val="008E5474"/>
    <w:rsid w:val="008E6AD5"/>
    <w:rsid w:val="008E7B5C"/>
    <w:rsid w:val="008E7CAB"/>
    <w:rsid w:val="008F0B13"/>
    <w:rsid w:val="008F21E8"/>
    <w:rsid w:val="008F2B4D"/>
    <w:rsid w:val="008F3EFB"/>
    <w:rsid w:val="008F44BC"/>
    <w:rsid w:val="008F4A68"/>
    <w:rsid w:val="008F4C48"/>
    <w:rsid w:val="008F53CE"/>
    <w:rsid w:val="008F54CA"/>
    <w:rsid w:val="008F594D"/>
    <w:rsid w:val="008F5A44"/>
    <w:rsid w:val="008F615D"/>
    <w:rsid w:val="008F6C69"/>
    <w:rsid w:val="008F7739"/>
    <w:rsid w:val="00900B33"/>
    <w:rsid w:val="00900B8B"/>
    <w:rsid w:val="00900BBD"/>
    <w:rsid w:val="00900F5D"/>
    <w:rsid w:val="00901DDE"/>
    <w:rsid w:val="009023C2"/>
    <w:rsid w:val="00902845"/>
    <w:rsid w:val="00903615"/>
    <w:rsid w:val="009037FE"/>
    <w:rsid w:val="00903A0A"/>
    <w:rsid w:val="00903F25"/>
    <w:rsid w:val="00904DBD"/>
    <w:rsid w:val="00906D7D"/>
    <w:rsid w:val="00907316"/>
    <w:rsid w:val="00907C68"/>
    <w:rsid w:val="00907E4F"/>
    <w:rsid w:val="00910053"/>
    <w:rsid w:val="00910952"/>
    <w:rsid w:val="00910E91"/>
    <w:rsid w:val="009115D4"/>
    <w:rsid w:val="00912037"/>
    <w:rsid w:val="00912B97"/>
    <w:rsid w:val="00912F76"/>
    <w:rsid w:val="0091347A"/>
    <w:rsid w:val="00915460"/>
    <w:rsid w:val="00915F43"/>
    <w:rsid w:val="009162CB"/>
    <w:rsid w:val="00916368"/>
    <w:rsid w:val="00916817"/>
    <w:rsid w:val="00916A83"/>
    <w:rsid w:val="009171E9"/>
    <w:rsid w:val="0091793E"/>
    <w:rsid w:val="009179DA"/>
    <w:rsid w:val="00917C40"/>
    <w:rsid w:val="009206A9"/>
    <w:rsid w:val="00920CD2"/>
    <w:rsid w:val="009211A1"/>
    <w:rsid w:val="009222ED"/>
    <w:rsid w:val="009225A6"/>
    <w:rsid w:val="00924160"/>
    <w:rsid w:val="009245C0"/>
    <w:rsid w:val="00924786"/>
    <w:rsid w:val="00924D4E"/>
    <w:rsid w:val="00924E2B"/>
    <w:rsid w:val="00925251"/>
    <w:rsid w:val="00925F1E"/>
    <w:rsid w:val="00926D0D"/>
    <w:rsid w:val="0092716B"/>
    <w:rsid w:val="00927404"/>
    <w:rsid w:val="00927B8B"/>
    <w:rsid w:val="00930156"/>
    <w:rsid w:val="00930B6C"/>
    <w:rsid w:val="00931159"/>
    <w:rsid w:val="00931A36"/>
    <w:rsid w:val="0093408B"/>
    <w:rsid w:val="009340C6"/>
    <w:rsid w:val="00934238"/>
    <w:rsid w:val="00934BF7"/>
    <w:rsid w:val="00934D94"/>
    <w:rsid w:val="009357F1"/>
    <w:rsid w:val="00935820"/>
    <w:rsid w:val="00935B1B"/>
    <w:rsid w:val="009360C0"/>
    <w:rsid w:val="009366F8"/>
    <w:rsid w:val="00936D3B"/>
    <w:rsid w:val="00936FB1"/>
    <w:rsid w:val="009370C7"/>
    <w:rsid w:val="00937690"/>
    <w:rsid w:val="00937B08"/>
    <w:rsid w:val="009401AC"/>
    <w:rsid w:val="009403CE"/>
    <w:rsid w:val="0094111F"/>
    <w:rsid w:val="0094191A"/>
    <w:rsid w:val="00941FE4"/>
    <w:rsid w:val="0094207E"/>
    <w:rsid w:val="009420A9"/>
    <w:rsid w:val="00944826"/>
    <w:rsid w:val="009449C8"/>
    <w:rsid w:val="00944EAF"/>
    <w:rsid w:val="00945B0A"/>
    <w:rsid w:val="00945C1D"/>
    <w:rsid w:val="00946511"/>
    <w:rsid w:val="00946C60"/>
    <w:rsid w:val="00946E28"/>
    <w:rsid w:val="009473B1"/>
    <w:rsid w:val="00947FBD"/>
    <w:rsid w:val="009511D4"/>
    <w:rsid w:val="009520C2"/>
    <w:rsid w:val="00952EBB"/>
    <w:rsid w:val="009553D8"/>
    <w:rsid w:val="00955709"/>
    <w:rsid w:val="0095593D"/>
    <w:rsid w:val="00955E53"/>
    <w:rsid w:val="009578F0"/>
    <w:rsid w:val="00957D09"/>
    <w:rsid w:val="00957FC8"/>
    <w:rsid w:val="0096052C"/>
    <w:rsid w:val="00961314"/>
    <w:rsid w:val="0096159B"/>
    <w:rsid w:val="00961758"/>
    <w:rsid w:val="00961CE5"/>
    <w:rsid w:val="009623A2"/>
    <w:rsid w:val="00964416"/>
    <w:rsid w:val="00964590"/>
    <w:rsid w:val="009652F8"/>
    <w:rsid w:val="00965513"/>
    <w:rsid w:val="00965818"/>
    <w:rsid w:val="00965B48"/>
    <w:rsid w:val="0096633E"/>
    <w:rsid w:val="009672FE"/>
    <w:rsid w:val="00970897"/>
    <w:rsid w:val="00971344"/>
    <w:rsid w:val="00973962"/>
    <w:rsid w:val="00973BA6"/>
    <w:rsid w:val="00973CC7"/>
    <w:rsid w:val="00974FC7"/>
    <w:rsid w:val="00976B5C"/>
    <w:rsid w:val="009776D5"/>
    <w:rsid w:val="00980749"/>
    <w:rsid w:val="009810C6"/>
    <w:rsid w:val="00981A25"/>
    <w:rsid w:val="00983571"/>
    <w:rsid w:val="00984451"/>
    <w:rsid w:val="00984C7A"/>
    <w:rsid w:val="00984D4B"/>
    <w:rsid w:val="00986115"/>
    <w:rsid w:val="00986655"/>
    <w:rsid w:val="00986C2B"/>
    <w:rsid w:val="00986FB0"/>
    <w:rsid w:val="009908AB"/>
    <w:rsid w:val="00990E39"/>
    <w:rsid w:val="0099147E"/>
    <w:rsid w:val="009920E7"/>
    <w:rsid w:val="00992452"/>
    <w:rsid w:val="00993D19"/>
    <w:rsid w:val="00993DEC"/>
    <w:rsid w:val="00994142"/>
    <w:rsid w:val="009948DE"/>
    <w:rsid w:val="009956C2"/>
    <w:rsid w:val="009959BA"/>
    <w:rsid w:val="0099630C"/>
    <w:rsid w:val="00996AEE"/>
    <w:rsid w:val="00997178"/>
    <w:rsid w:val="009A02B2"/>
    <w:rsid w:val="009A06A3"/>
    <w:rsid w:val="009A0786"/>
    <w:rsid w:val="009A08FA"/>
    <w:rsid w:val="009A0B3C"/>
    <w:rsid w:val="009A0B74"/>
    <w:rsid w:val="009A0CF6"/>
    <w:rsid w:val="009A165A"/>
    <w:rsid w:val="009A24FF"/>
    <w:rsid w:val="009A440A"/>
    <w:rsid w:val="009A4559"/>
    <w:rsid w:val="009A4EED"/>
    <w:rsid w:val="009A5116"/>
    <w:rsid w:val="009A53ED"/>
    <w:rsid w:val="009A5E6D"/>
    <w:rsid w:val="009A5EDC"/>
    <w:rsid w:val="009A6D15"/>
    <w:rsid w:val="009A73FE"/>
    <w:rsid w:val="009A75CB"/>
    <w:rsid w:val="009A793C"/>
    <w:rsid w:val="009A7D6C"/>
    <w:rsid w:val="009B1B28"/>
    <w:rsid w:val="009B1EB7"/>
    <w:rsid w:val="009B24CA"/>
    <w:rsid w:val="009B277D"/>
    <w:rsid w:val="009B2894"/>
    <w:rsid w:val="009B2D7D"/>
    <w:rsid w:val="009B362A"/>
    <w:rsid w:val="009B3BFB"/>
    <w:rsid w:val="009B5024"/>
    <w:rsid w:val="009B6EB3"/>
    <w:rsid w:val="009C05E6"/>
    <w:rsid w:val="009C1164"/>
    <w:rsid w:val="009C13C5"/>
    <w:rsid w:val="009C1620"/>
    <w:rsid w:val="009C1AFF"/>
    <w:rsid w:val="009C1EC6"/>
    <w:rsid w:val="009C21EA"/>
    <w:rsid w:val="009C28B7"/>
    <w:rsid w:val="009C334A"/>
    <w:rsid w:val="009C3367"/>
    <w:rsid w:val="009C3C87"/>
    <w:rsid w:val="009C3DFC"/>
    <w:rsid w:val="009C461F"/>
    <w:rsid w:val="009C4755"/>
    <w:rsid w:val="009C5521"/>
    <w:rsid w:val="009C6635"/>
    <w:rsid w:val="009C6780"/>
    <w:rsid w:val="009D095B"/>
    <w:rsid w:val="009D0D04"/>
    <w:rsid w:val="009D138D"/>
    <w:rsid w:val="009D15DD"/>
    <w:rsid w:val="009D1D1A"/>
    <w:rsid w:val="009D2470"/>
    <w:rsid w:val="009D247B"/>
    <w:rsid w:val="009D2BC3"/>
    <w:rsid w:val="009D2C86"/>
    <w:rsid w:val="009D3F76"/>
    <w:rsid w:val="009D4BF7"/>
    <w:rsid w:val="009D4BFA"/>
    <w:rsid w:val="009D54B5"/>
    <w:rsid w:val="009E0E57"/>
    <w:rsid w:val="009E1DBD"/>
    <w:rsid w:val="009E1DD9"/>
    <w:rsid w:val="009E22C4"/>
    <w:rsid w:val="009E35E8"/>
    <w:rsid w:val="009E44CC"/>
    <w:rsid w:val="009E4941"/>
    <w:rsid w:val="009E4989"/>
    <w:rsid w:val="009E4DF8"/>
    <w:rsid w:val="009E6A61"/>
    <w:rsid w:val="009E6EAE"/>
    <w:rsid w:val="009E790F"/>
    <w:rsid w:val="009E791C"/>
    <w:rsid w:val="009E7AE6"/>
    <w:rsid w:val="009F007D"/>
    <w:rsid w:val="009F1F0A"/>
    <w:rsid w:val="009F20C3"/>
    <w:rsid w:val="009F241F"/>
    <w:rsid w:val="009F2B94"/>
    <w:rsid w:val="009F3178"/>
    <w:rsid w:val="009F38B2"/>
    <w:rsid w:val="009F43BD"/>
    <w:rsid w:val="009F443A"/>
    <w:rsid w:val="009F4F81"/>
    <w:rsid w:val="009F5983"/>
    <w:rsid w:val="009F5D52"/>
    <w:rsid w:val="009F6112"/>
    <w:rsid w:val="00A0016D"/>
    <w:rsid w:val="00A002CA"/>
    <w:rsid w:val="00A0045B"/>
    <w:rsid w:val="00A00D01"/>
    <w:rsid w:val="00A00E95"/>
    <w:rsid w:val="00A0125D"/>
    <w:rsid w:val="00A01639"/>
    <w:rsid w:val="00A02A44"/>
    <w:rsid w:val="00A032C2"/>
    <w:rsid w:val="00A03696"/>
    <w:rsid w:val="00A04082"/>
    <w:rsid w:val="00A04087"/>
    <w:rsid w:val="00A04565"/>
    <w:rsid w:val="00A04F58"/>
    <w:rsid w:val="00A0523D"/>
    <w:rsid w:val="00A057A2"/>
    <w:rsid w:val="00A06075"/>
    <w:rsid w:val="00A06B78"/>
    <w:rsid w:val="00A07704"/>
    <w:rsid w:val="00A102CC"/>
    <w:rsid w:val="00A11B10"/>
    <w:rsid w:val="00A11BBB"/>
    <w:rsid w:val="00A11D83"/>
    <w:rsid w:val="00A12569"/>
    <w:rsid w:val="00A1296A"/>
    <w:rsid w:val="00A12B9A"/>
    <w:rsid w:val="00A12F72"/>
    <w:rsid w:val="00A13024"/>
    <w:rsid w:val="00A13623"/>
    <w:rsid w:val="00A13EE3"/>
    <w:rsid w:val="00A14124"/>
    <w:rsid w:val="00A14346"/>
    <w:rsid w:val="00A14B8F"/>
    <w:rsid w:val="00A14E5F"/>
    <w:rsid w:val="00A151C1"/>
    <w:rsid w:val="00A16A33"/>
    <w:rsid w:val="00A172D4"/>
    <w:rsid w:val="00A17D57"/>
    <w:rsid w:val="00A227D5"/>
    <w:rsid w:val="00A22A0C"/>
    <w:rsid w:val="00A22E33"/>
    <w:rsid w:val="00A23542"/>
    <w:rsid w:val="00A23C87"/>
    <w:rsid w:val="00A23E90"/>
    <w:rsid w:val="00A23FAE"/>
    <w:rsid w:val="00A24213"/>
    <w:rsid w:val="00A24771"/>
    <w:rsid w:val="00A248A6"/>
    <w:rsid w:val="00A25141"/>
    <w:rsid w:val="00A25777"/>
    <w:rsid w:val="00A261EB"/>
    <w:rsid w:val="00A26691"/>
    <w:rsid w:val="00A26CAC"/>
    <w:rsid w:val="00A272F7"/>
    <w:rsid w:val="00A2788F"/>
    <w:rsid w:val="00A27F55"/>
    <w:rsid w:val="00A30B4E"/>
    <w:rsid w:val="00A31457"/>
    <w:rsid w:val="00A32F8C"/>
    <w:rsid w:val="00A33470"/>
    <w:rsid w:val="00A33697"/>
    <w:rsid w:val="00A33EB8"/>
    <w:rsid w:val="00A34A2D"/>
    <w:rsid w:val="00A35113"/>
    <w:rsid w:val="00A354BE"/>
    <w:rsid w:val="00A357C4"/>
    <w:rsid w:val="00A35FAB"/>
    <w:rsid w:val="00A36248"/>
    <w:rsid w:val="00A369FD"/>
    <w:rsid w:val="00A374CD"/>
    <w:rsid w:val="00A37695"/>
    <w:rsid w:val="00A401E0"/>
    <w:rsid w:val="00A40F69"/>
    <w:rsid w:val="00A4101B"/>
    <w:rsid w:val="00A4175A"/>
    <w:rsid w:val="00A42876"/>
    <w:rsid w:val="00A42B45"/>
    <w:rsid w:val="00A42E03"/>
    <w:rsid w:val="00A43233"/>
    <w:rsid w:val="00A43406"/>
    <w:rsid w:val="00A45679"/>
    <w:rsid w:val="00A45F65"/>
    <w:rsid w:val="00A50554"/>
    <w:rsid w:val="00A508E4"/>
    <w:rsid w:val="00A513C5"/>
    <w:rsid w:val="00A521B6"/>
    <w:rsid w:val="00A522C8"/>
    <w:rsid w:val="00A52368"/>
    <w:rsid w:val="00A529AB"/>
    <w:rsid w:val="00A53AA7"/>
    <w:rsid w:val="00A53C2F"/>
    <w:rsid w:val="00A5426B"/>
    <w:rsid w:val="00A54575"/>
    <w:rsid w:val="00A55AFB"/>
    <w:rsid w:val="00A55FA0"/>
    <w:rsid w:val="00A569AB"/>
    <w:rsid w:val="00A56C9E"/>
    <w:rsid w:val="00A56D80"/>
    <w:rsid w:val="00A57373"/>
    <w:rsid w:val="00A57E59"/>
    <w:rsid w:val="00A601F1"/>
    <w:rsid w:val="00A60247"/>
    <w:rsid w:val="00A611F7"/>
    <w:rsid w:val="00A61389"/>
    <w:rsid w:val="00A62CED"/>
    <w:rsid w:val="00A6346F"/>
    <w:rsid w:val="00A642A0"/>
    <w:rsid w:val="00A644C0"/>
    <w:rsid w:val="00A644D1"/>
    <w:rsid w:val="00A646AA"/>
    <w:rsid w:val="00A6732F"/>
    <w:rsid w:val="00A67A07"/>
    <w:rsid w:val="00A67E5E"/>
    <w:rsid w:val="00A70717"/>
    <w:rsid w:val="00A70775"/>
    <w:rsid w:val="00A71DFE"/>
    <w:rsid w:val="00A725DA"/>
    <w:rsid w:val="00A72E35"/>
    <w:rsid w:val="00A734B7"/>
    <w:rsid w:val="00A75302"/>
    <w:rsid w:val="00A76229"/>
    <w:rsid w:val="00A777B7"/>
    <w:rsid w:val="00A77E46"/>
    <w:rsid w:val="00A81478"/>
    <w:rsid w:val="00A823AF"/>
    <w:rsid w:val="00A82B3B"/>
    <w:rsid w:val="00A82E8F"/>
    <w:rsid w:val="00A83351"/>
    <w:rsid w:val="00A83FB3"/>
    <w:rsid w:val="00A84A16"/>
    <w:rsid w:val="00A855A4"/>
    <w:rsid w:val="00A85C42"/>
    <w:rsid w:val="00A85E07"/>
    <w:rsid w:val="00A86548"/>
    <w:rsid w:val="00A9023B"/>
    <w:rsid w:val="00A908AC"/>
    <w:rsid w:val="00A912D6"/>
    <w:rsid w:val="00A915D7"/>
    <w:rsid w:val="00A91A45"/>
    <w:rsid w:val="00A91FB1"/>
    <w:rsid w:val="00A92CF3"/>
    <w:rsid w:val="00A930EB"/>
    <w:rsid w:val="00A9347C"/>
    <w:rsid w:val="00A94174"/>
    <w:rsid w:val="00A944BC"/>
    <w:rsid w:val="00A958ED"/>
    <w:rsid w:val="00A96002"/>
    <w:rsid w:val="00A9625C"/>
    <w:rsid w:val="00A9674C"/>
    <w:rsid w:val="00AA001F"/>
    <w:rsid w:val="00AA0783"/>
    <w:rsid w:val="00AA1871"/>
    <w:rsid w:val="00AA1CB8"/>
    <w:rsid w:val="00AA336F"/>
    <w:rsid w:val="00AA3404"/>
    <w:rsid w:val="00AA3417"/>
    <w:rsid w:val="00AA406D"/>
    <w:rsid w:val="00AA48AC"/>
    <w:rsid w:val="00AA59E8"/>
    <w:rsid w:val="00AA6755"/>
    <w:rsid w:val="00AA67F7"/>
    <w:rsid w:val="00AA6B1C"/>
    <w:rsid w:val="00AA6E61"/>
    <w:rsid w:val="00AA7699"/>
    <w:rsid w:val="00AB1610"/>
    <w:rsid w:val="00AB29AC"/>
    <w:rsid w:val="00AB465A"/>
    <w:rsid w:val="00AB5BF6"/>
    <w:rsid w:val="00AB5D25"/>
    <w:rsid w:val="00AB642B"/>
    <w:rsid w:val="00AB69E0"/>
    <w:rsid w:val="00AB6B78"/>
    <w:rsid w:val="00AB7D8C"/>
    <w:rsid w:val="00AC0118"/>
    <w:rsid w:val="00AC063F"/>
    <w:rsid w:val="00AC1D1D"/>
    <w:rsid w:val="00AC1F5B"/>
    <w:rsid w:val="00AC26C8"/>
    <w:rsid w:val="00AC27FC"/>
    <w:rsid w:val="00AC2DF1"/>
    <w:rsid w:val="00AC432B"/>
    <w:rsid w:val="00AC4909"/>
    <w:rsid w:val="00AC5B31"/>
    <w:rsid w:val="00AC5F2F"/>
    <w:rsid w:val="00AC64EF"/>
    <w:rsid w:val="00AC66B0"/>
    <w:rsid w:val="00AC6AB0"/>
    <w:rsid w:val="00AC6D13"/>
    <w:rsid w:val="00AD02E1"/>
    <w:rsid w:val="00AD0339"/>
    <w:rsid w:val="00AD0B49"/>
    <w:rsid w:val="00AD0E6D"/>
    <w:rsid w:val="00AD1FEC"/>
    <w:rsid w:val="00AD3059"/>
    <w:rsid w:val="00AD3F21"/>
    <w:rsid w:val="00AD40E6"/>
    <w:rsid w:val="00AD50B2"/>
    <w:rsid w:val="00AD5FEA"/>
    <w:rsid w:val="00AD760C"/>
    <w:rsid w:val="00AE08B3"/>
    <w:rsid w:val="00AE2010"/>
    <w:rsid w:val="00AE3131"/>
    <w:rsid w:val="00AE338D"/>
    <w:rsid w:val="00AE346B"/>
    <w:rsid w:val="00AE3549"/>
    <w:rsid w:val="00AE4864"/>
    <w:rsid w:val="00AE623C"/>
    <w:rsid w:val="00AE6978"/>
    <w:rsid w:val="00AE70EE"/>
    <w:rsid w:val="00AE73E6"/>
    <w:rsid w:val="00AE7D86"/>
    <w:rsid w:val="00AE7F66"/>
    <w:rsid w:val="00AF1107"/>
    <w:rsid w:val="00AF11BE"/>
    <w:rsid w:val="00AF1568"/>
    <w:rsid w:val="00AF1880"/>
    <w:rsid w:val="00AF189D"/>
    <w:rsid w:val="00AF1E05"/>
    <w:rsid w:val="00AF2173"/>
    <w:rsid w:val="00AF2F61"/>
    <w:rsid w:val="00AF34E5"/>
    <w:rsid w:val="00AF497D"/>
    <w:rsid w:val="00AF693E"/>
    <w:rsid w:val="00AF6A00"/>
    <w:rsid w:val="00AF77B8"/>
    <w:rsid w:val="00B00024"/>
    <w:rsid w:val="00B003DF"/>
    <w:rsid w:val="00B00BCB"/>
    <w:rsid w:val="00B0130E"/>
    <w:rsid w:val="00B01C10"/>
    <w:rsid w:val="00B02010"/>
    <w:rsid w:val="00B03385"/>
    <w:rsid w:val="00B04A6D"/>
    <w:rsid w:val="00B04B86"/>
    <w:rsid w:val="00B054E1"/>
    <w:rsid w:val="00B06798"/>
    <w:rsid w:val="00B06AC2"/>
    <w:rsid w:val="00B079CD"/>
    <w:rsid w:val="00B12480"/>
    <w:rsid w:val="00B1264D"/>
    <w:rsid w:val="00B12F3A"/>
    <w:rsid w:val="00B13056"/>
    <w:rsid w:val="00B1395F"/>
    <w:rsid w:val="00B15A72"/>
    <w:rsid w:val="00B1647B"/>
    <w:rsid w:val="00B17A09"/>
    <w:rsid w:val="00B17FBE"/>
    <w:rsid w:val="00B20A33"/>
    <w:rsid w:val="00B232D5"/>
    <w:rsid w:val="00B23456"/>
    <w:rsid w:val="00B247A3"/>
    <w:rsid w:val="00B25263"/>
    <w:rsid w:val="00B257E5"/>
    <w:rsid w:val="00B258A5"/>
    <w:rsid w:val="00B25B1E"/>
    <w:rsid w:val="00B26694"/>
    <w:rsid w:val="00B268A6"/>
    <w:rsid w:val="00B26B87"/>
    <w:rsid w:val="00B279D3"/>
    <w:rsid w:val="00B318B5"/>
    <w:rsid w:val="00B31DBF"/>
    <w:rsid w:val="00B32884"/>
    <w:rsid w:val="00B32A91"/>
    <w:rsid w:val="00B3300C"/>
    <w:rsid w:val="00B34358"/>
    <w:rsid w:val="00B35B1F"/>
    <w:rsid w:val="00B35F3C"/>
    <w:rsid w:val="00B3665A"/>
    <w:rsid w:val="00B36DF8"/>
    <w:rsid w:val="00B37421"/>
    <w:rsid w:val="00B42900"/>
    <w:rsid w:val="00B42A0C"/>
    <w:rsid w:val="00B43EBA"/>
    <w:rsid w:val="00B441B1"/>
    <w:rsid w:val="00B44AF9"/>
    <w:rsid w:val="00B44E0A"/>
    <w:rsid w:val="00B451DA"/>
    <w:rsid w:val="00B45760"/>
    <w:rsid w:val="00B45AB3"/>
    <w:rsid w:val="00B461FE"/>
    <w:rsid w:val="00B46B0D"/>
    <w:rsid w:val="00B46CA4"/>
    <w:rsid w:val="00B46D5F"/>
    <w:rsid w:val="00B47937"/>
    <w:rsid w:val="00B47AFC"/>
    <w:rsid w:val="00B50511"/>
    <w:rsid w:val="00B50E91"/>
    <w:rsid w:val="00B514D8"/>
    <w:rsid w:val="00B5198E"/>
    <w:rsid w:val="00B51B0D"/>
    <w:rsid w:val="00B520C4"/>
    <w:rsid w:val="00B52669"/>
    <w:rsid w:val="00B545E2"/>
    <w:rsid w:val="00B561D4"/>
    <w:rsid w:val="00B56469"/>
    <w:rsid w:val="00B56D3B"/>
    <w:rsid w:val="00B56EE8"/>
    <w:rsid w:val="00B5718E"/>
    <w:rsid w:val="00B577B8"/>
    <w:rsid w:val="00B57965"/>
    <w:rsid w:val="00B579A0"/>
    <w:rsid w:val="00B579D3"/>
    <w:rsid w:val="00B608BC"/>
    <w:rsid w:val="00B608E1"/>
    <w:rsid w:val="00B60DA7"/>
    <w:rsid w:val="00B61823"/>
    <w:rsid w:val="00B62738"/>
    <w:rsid w:val="00B62DF7"/>
    <w:rsid w:val="00B6386B"/>
    <w:rsid w:val="00B6393B"/>
    <w:rsid w:val="00B64137"/>
    <w:rsid w:val="00B64A4C"/>
    <w:rsid w:val="00B64F23"/>
    <w:rsid w:val="00B6692E"/>
    <w:rsid w:val="00B67D85"/>
    <w:rsid w:val="00B7020F"/>
    <w:rsid w:val="00B71A85"/>
    <w:rsid w:val="00B725E9"/>
    <w:rsid w:val="00B726E8"/>
    <w:rsid w:val="00B73101"/>
    <w:rsid w:val="00B733CD"/>
    <w:rsid w:val="00B74470"/>
    <w:rsid w:val="00B74799"/>
    <w:rsid w:val="00B74ED4"/>
    <w:rsid w:val="00B75F23"/>
    <w:rsid w:val="00B75FD0"/>
    <w:rsid w:val="00B77094"/>
    <w:rsid w:val="00B77B82"/>
    <w:rsid w:val="00B77F32"/>
    <w:rsid w:val="00B80D25"/>
    <w:rsid w:val="00B815B3"/>
    <w:rsid w:val="00B81C9B"/>
    <w:rsid w:val="00B81D70"/>
    <w:rsid w:val="00B81E23"/>
    <w:rsid w:val="00B82B7E"/>
    <w:rsid w:val="00B833C0"/>
    <w:rsid w:val="00B83A9D"/>
    <w:rsid w:val="00B83EDD"/>
    <w:rsid w:val="00B844BD"/>
    <w:rsid w:val="00B846FB"/>
    <w:rsid w:val="00B855C1"/>
    <w:rsid w:val="00B85B98"/>
    <w:rsid w:val="00B85C53"/>
    <w:rsid w:val="00B86392"/>
    <w:rsid w:val="00B8677D"/>
    <w:rsid w:val="00B86ADB"/>
    <w:rsid w:val="00B872E2"/>
    <w:rsid w:val="00B87949"/>
    <w:rsid w:val="00B9013A"/>
    <w:rsid w:val="00B904B4"/>
    <w:rsid w:val="00B925F4"/>
    <w:rsid w:val="00B92EF0"/>
    <w:rsid w:val="00B9466E"/>
    <w:rsid w:val="00B966B0"/>
    <w:rsid w:val="00B9760B"/>
    <w:rsid w:val="00BA025E"/>
    <w:rsid w:val="00BA131A"/>
    <w:rsid w:val="00BA1FA9"/>
    <w:rsid w:val="00BA233F"/>
    <w:rsid w:val="00BA27A5"/>
    <w:rsid w:val="00BA2AAA"/>
    <w:rsid w:val="00BA2BF9"/>
    <w:rsid w:val="00BA3CF4"/>
    <w:rsid w:val="00BA4043"/>
    <w:rsid w:val="00BA4272"/>
    <w:rsid w:val="00BA43C8"/>
    <w:rsid w:val="00BA43FE"/>
    <w:rsid w:val="00BA476E"/>
    <w:rsid w:val="00BA7D50"/>
    <w:rsid w:val="00BB0B01"/>
    <w:rsid w:val="00BB0DE3"/>
    <w:rsid w:val="00BB12DA"/>
    <w:rsid w:val="00BB1F49"/>
    <w:rsid w:val="00BB24F8"/>
    <w:rsid w:val="00BB4B24"/>
    <w:rsid w:val="00BB6082"/>
    <w:rsid w:val="00BC019C"/>
    <w:rsid w:val="00BC17A0"/>
    <w:rsid w:val="00BC24DC"/>
    <w:rsid w:val="00BC2842"/>
    <w:rsid w:val="00BC2A21"/>
    <w:rsid w:val="00BC2B81"/>
    <w:rsid w:val="00BC3D29"/>
    <w:rsid w:val="00BC410D"/>
    <w:rsid w:val="00BC549C"/>
    <w:rsid w:val="00BC75F3"/>
    <w:rsid w:val="00BC7A33"/>
    <w:rsid w:val="00BD1661"/>
    <w:rsid w:val="00BD1CA9"/>
    <w:rsid w:val="00BD21B2"/>
    <w:rsid w:val="00BD28AA"/>
    <w:rsid w:val="00BD2B83"/>
    <w:rsid w:val="00BD2CBB"/>
    <w:rsid w:val="00BD3855"/>
    <w:rsid w:val="00BD3EEF"/>
    <w:rsid w:val="00BD53E9"/>
    <w:rsid w:val="00BD5B4F"/>
    <w:rsid w:val="00BD637F"/>
    <w:rsid w:val="00BD6865"/>
    <w:rsid w:val="00BD6E4B"/>
    <w:rsid w:val="00BD788F"/>
    <w:rsid w:val="00BD7C57"/>
    <w:rsid w:val="00BD7E64"/>
    <w:rsid w:val="00BD7E76"/>
    <w:rsid w:val="00BE08E3"/>
    <w:rsid w:val="00BE09E7"/>
    <w:rsid w:val="00BE0B3B"/>
    <w:rsid w:val="00BE0C40"/>
    <w:rsid w:val="00BE0F6D"/>
    <w:rsid w:val="00BE1627"/>
    <w:rsid w:val="00BE1696"/>
    <w:rsid w:val="00BE2943"/>
    <w:rsid w:val="00BE3B02"/>
    <w:rsid w:val="00BE4B38"/>
    <w:rsid w:val="00BE5283"/>
    <w:rsid w:val="00BE531E"/>
    <w:rsid w:val="00BE545B"/>
    <w:rsid w:val="00BE557A"/>
    <w:rsid w:val="00BE6E96"/>
    <w:rsid w:val="00BE707C"/>
    <w:rsid w:val="00BE7F74"/>
    <w:rsid w:val="00BF0104"/>
    <w:rsid w:val="00BF0AE5"/>
    <w:rsid w:val="00BF141F"/>
    <w:rsid w:val="00BF1577"/>
    <w:rsid w:val="00BF3792"/>
    <w:rsid w:val="00BF4169"/>
    <w:rsid w:val="00BF49C9"/>
    <w:rsid w:val="00BF5008"/>
    <w:rsid w:val="00BF5533"/>
    <w:rsid w:val="00BF5FF6"/>
    <w:rsid w:val="00BF6710"/>
    <w:rsid w:val="00BF6D03"/>
    <w:rsid w:val="00BF7023"/>
    <w:rsid w:val="00C0025A"/>
    <w:rsid w:val="00C018FD"/>
    <w:rsid w:val="00C02E77"/>
    <w:rsid w:val="00C035DD"/>
    <w:rsid w:val="00C0383E"/>
    <w:rsid w:val="00C04104"/>
    <w:rsid w:val="00C0492C"/>
    <w:rsid w:val="00C04C57"/>
    <w:rsid w:val="00C051F2"/>
    <w:rsid w:val="00C0523F"/>
    <w:rsid w:val="00C055CD"/>
    <w:rsid w:val="00C0590E"/>
    <w:rsid w:val="00C06647"/>
    <w:rsid w:val="00C06ED5"/>
    <w:rsid w:val="00C1026B"/>
    <w:rsid w:val="00C11AC1"/>
    <w:rsid w:val="00C11BFE"/>
    <w:rsid w:val="00C1225F"/>
    <w:rsid w:val="00C12382"/>
    <w:rsid w:val="00C123B9"/>
    <w:rsid w:val="00C12FD2"/>
    <w:rsid w:val="00C13866"/>
    <w:rsid w:val="00C13942"/>
    <w:rsid w:val="00C13EB6"/>
    <w:rsid w:val="00C13F1F"/>
    <w:rsid w:val="00C13F91"/>
    <w:rsid w:val="00C1406D"/>
    <w:rsid w:val="00C14556"/>
    <w:rsid w:val="00C15619"/>
    <w:rsid w:val="00C16DD8"/>
    <w:rsid w:val="00C16E3A"/>
    <w:rsid w:val="00C172F2"/>
    <w:rsid w:val="00C175E1"/>
    <w:rsid w:val="00C17C09"/>
    <w:rsid w:val="00C20165"/>
    <w:rsid w:val="00C2023E"/>
    <w:rsid w:val="00C207E2"/>
    <w:rsid w:val="00C21218"/>
    <w:rsid w:val="00C2159B"/>
    <w:rsid w:val="00C2272A"/>
    <w:rsid w:val="00C22A40"/>
    <w:rsid w:val="00C23084"/>
    <w:rsid w:val="00C244E2"/>
    <w:rsid w:val="00C258BC"/>
    <w:rsid w:val="00C25E1F"/>
    <w:rsid w:val="00C264CF"/>
    <w:rsid w:val="00C27639"/>
    <w:rsid w:val="00C30252"/>
    <w:rsid w:val="00C30EE3"/>
    <w:rsid w:val="00C31341"/>
    <w:rsid w:val="00C33729"/>
    <w:rsid w:val="00C33B9B"/>
    <w:rsid w:val="00C33CFD"/>
    <w:rsid w:val="00C34045"/>
    <w:rsid w:val="00C3543B"/>
    <w:rsid w:val="00C35598"/>
    <w:rsid w:val="00C35860"/>
    <w:rsid w:val="00C35B96"/>
    <w:rsid w:val="00C35EF3"/>
    <w:rsid w:val="00C3626E"/>
    <w:rsid w:val="00C3649C"/>
    <w:rsid w:val="00C36F05"/>
    <w:rsid w:val="00C375A3"/>
    <w:rsid w:val="00C3787A"/>
    <w:rsid w:val="00C3796E"/>
    <w:rsid w:val="00C37BC1"/>
    <w:rsid w:val="00C40CF6"/>
    <w:rsid w:val="00C4143E"/>
    <w:rsid w:val="00C415B2"/>
    <w:rsid w:val="00C41751"/>
    <w:rsid w:val="00C41B7E"/>
    <w:rsid w:val="00C44579"/>
    <w:rsid w:val="00C45879"/>
    <w:rsid w:val="00C45BD5"/>
    <w:rsid w:val="00C46B22"/>
    <w:rsid w:val="00C46D9D"/>
    <w:rsid w:val="00C50A8D"/>
    <w:rsid w:val="00C50C60"/>
    <w:rsid w:val="00C52280"/>
    <w:rsid w:val="00C5293B"/>
    <w:rsid w:val="00C53145"/>
    <w:rsid w:val="00C532CF"/>
    <w:rsid w:val="00C54FCE"/>
    <w:rsid w:val="00C55073"/>
    <w:rsid w:val="00C5626E"/>
    <w:rsid w:val="00C564E2"/>
    <w:rsid w:val="00C565B0"/>
    <w:rsid w:val="00C5680F"/>
    <w:rsid w:val="00C568E5"/>
    <w:rsid w:val="00C578D9"/>
    <w:rsid w:val="00C57971"/>
    <w:rsid w:val="00C57E0C"/>
    <w:rsid w:val="00C603A1"/>
    <w:rsid w:val="00C60F41"/>
    <w:rsid w:val="00C6219A"/>
    <w:rsid w:val="00C62A86"/>
    <w:rsid w:val="00C63F2C"/>
    <w:rsid w:val="00C648D8"/>
    <w:rsid w:val="00C654ED"/>
    <w:rsid w:val="00C65AE4"/>
    <w:rsid w:val="00C66729"/>
    <w:rsid w:val="00C673CB"/>
    <w:rsid w:val="00C67832"/>
    <w:rsid w:val="00C71677"/>
    <w:rsid w:val="00C72EF5"/>
    <w:rsid w:val="00C73ED4"/>
    <w:rsid w:val="00C748BD"/>
    <w:rsid w:val="00C7527A"/>
    <w:rsid w:val="00C75DF4"/>
    <w:rsid w:val="00C761DA"/>
    <w:rsid w:val="00C7679D"/>
    <w:rsid w:val="00C76BA7"/>
    <w:rsid w:val="00C76C7F"/>
    <w:rsid w:val="00C77376"/>
    <w:rsid w:val="00C7757B"/>
    <w:rsid w:val="00C77664"/>
    <w:rsid w:val="00C778FA"/>
    <w:rsid w:val="00C810A4"/>
    <w:rsid w:val="00C81247"/>
    <w:rsid w:val="00C81E5A"/>
    <w:rsid w:val="00C8272F"/>
    <w:rsid w:val="00C8285D"/>
    <w:rsid w:val="00C82B0B"/>
    <w:rsid w:val="00C83056"/>
    <w:rsid w:val="00C8320C"/>
    <w:rsid w:val="00C837E1"/>
    <w:rsid w:val="00C83D40"/>
    <w:rsid w:val="00C84F40"/>
    <w:rsid w:val="00C852FB"/>
    <w:rsid w:val="00C85D92"/>
    <w:rsid w:val="00C8693E"/>
    <w:rsid w:val="00C86A02"/>
    <w:rsid w:val="00C86EA1"/>
    <w:rsid w:val="00C86EF5"/>
    <w:rsid w:val="00C87A9E"/>
    <w:rsid w:val="00C87D27"/>
    <w:rsid w:val="00C90D5C"/>
    <w:rsid w:val="00C90FF8"/>
    <w:rsid w:val="00C915C9"/>
    <w:rsid w:val="00C91A93"/>
    <w:rsid w:val="00C91E2B"/>
    <w:rsid w:val="00C92E9D"/>
    <w:rsid w:val="00C9338A"/>
    <w:rsid w:val="00C94F3E"/>
    <w:rsid w:val="00C94FA7"/>
    <w:rsid w:val="00C9518F"/>
    <w:rsid w:val="00C957BB"/>
    <w:rsid w:val="00C961BF"/>
    <w:rsid w:val="00C9702E"/>
    <w:rsid w:val="00C97231"/>
    <w:rsid w:val="00C97780"/>
    <w:rsid w:val="00C97952"/>
    <w:rsid w:val="00C97C57"/>
    <w:rsid w:val="00C97D57"/>
    <w:rsid w:val="00C97DC5"/>
    <w:rsid w:val="00CA11EE"/>
    <w:rsid w:val="00CA206F"/>
    <w:rsid w:val="00CA258A"/>
    <w:rsid w:val="00CA2B7B"/>
    <w:rsid w:val="00CA33EE"/>
    <w:rsid w:val="00CA3CAE"/>
    <w:rsid w:val="00CA3D71"/>
    <w:rsid w:val="00CA4D82"/>
    <w:rsid w:val="00CA5457"/>
    <w:rsid w:val="00CA6E36"/>
    <w:rsid w:val="00CA7765"/>
    <w:rsid w:val="00CB1129"/>
    <w:rsid w:val="00CB13BF"/>
    <w:rsid w:val="00CB16AD"/>
    <w:rsid w:val="00CB2775"/>
    <w:rsid w:val="00CB2ADE"/>
    <w:rsid w:val="00CB2DE2"/>
    <w:rsid w:val="00CB2F09"/>
    <w:rsid w:val="00CB2FBF"/>
    <w:rsid w:val="00CB321B"/>
    <w:rsid w:val="00CB33B3"/>
    <w:rsid w:val="00CB4D37"/>
    <w:rsid w:val="00CB5309"/>
    <w:rsid w:val="00CB682E"/>
    <w:rsid w:val="00CB6B8E"/>
    <w:rsid w:val="00CB6CFE"/>
    <w:rsid w:val="00CB77B0"/>
    <w:rsid w:val="00CB7FF9"/>
    <w:rsid w:val="00CC0284"/>
    <w:rsid w:val="00CC034D"/>
    <w:rsid w:val="00CC0982"/>
    <w:rsid w:val="00CC21C5"/>
    <w:rsid w:val="00CC22DC"/>
    <w:rsid w:val="00CC286D"/>
    <w:rsid w:val="00CC2DE7"/>
    <w:rsid w:val="00CC3973"/>
    <w:rsid w:val="00CC3C37"/>
    <w:rsid w:val="00CC5710"/>
    <w:rsid w:val="00CC5718"/>
    <w:rsid w:val="00CC5FE4"/>
    <w:rsid w:val="00CC7402"/>
    <w:rsid w:val="00CC79A4"/>
    <w:rsid w:val="00CC7CE8"/>
    <w:rsid w:val="00CD0FF4"/>
    <w:rsid w:val="00CD1676"/>
    <w:rsid w:val="00CD2276"/>
    <w:rsid w:val="00CD243B"/>
    <w:rsid w:val="00CD2B52"/>
    <w:rsid w:val="00CD3A4B"/>
    <w:rsid w:val="00CD462A"/>
    <w:rsid w:val="00CD496E"/>
    <w:rsid w:val="00CD56AF"/>
    <w:rsid w:val="00CD5736"/>
    <w:rsid w:val="00CD5E19"/>
    <w:rsid w:val="00CD6218"/>
    <w:rsid w:val="00CD6A35"/>
    <w:rsid w:val="00CD741B"/>
    <w:rsid w:val="00CD792E"/>
    <w:rsid w:val="00CD7F50"/>
    <w:rsid w:val="00CE07D5"/>
    <w:rsid w:val="00CE0BF5"/>
    <w:rsid w:val="00CE105B"/>
    <w:rsid w:val="00CE1436"/>
    <w:rsid w:val="00CE1F62"/>
    <w:rsid w:val="00CE2D90"/>
    <w:rsid w:val="00CE2DCD"/>
    <w:rsid w:val="00CE423B"/>
    <w:rsid w:val="00CE563C"/>
    <w:rsid w:val="00CE6DAD"/>
    <w:rsid w:val="00CE78C0"/>
    <w:rsid w:val="00CE7B37"/>
    <w:rsid w:val="00CF0922"/>
    <w:rsid w:val="00CF2D63"/>
    <w:rsid w:val="00CF2FC9"/>
    <w:rsid w:val="00CF3C4C"/>
    <w:rsid w:val="00CF4A64"/>
    <w:rsid w:val="00CF5436"/>
    <w:rsid w:val="00CF57F2"/>
    <w:rsid w:val="00CF67EF"/>
    <w:rsid w:val="00CF6AA9"/>
    <w:rsid w:val="00CF6BE4"/>
    <w:rsid w:val="00CF6D1A"/>
    <w:rsid w:val="00CF6E2F"/>
    <w:rsid w:val="00CF713E"/>
    <w:rsid w:val="00CF71F6"/>
    <w:rsid w:val="00CF7579"/>
    <w:rsid w:val="00CF782C"/>
    <w:rsid w:val="00CF7BE5"/>
    <w:rsid w:val="00D0031B"/>
    <w:rsid w:val="00D00B55"/>
    <w:rsid w:val="00D0143C"/>
    <w:rsid w:val="00D01A39"/>
    <w:rsid w:val="00D02559"/>
    <w:rsid w:val="00D0311F"/>
    <w:rsid w:val="00D03CA4"/>
    <w:rsid w:val="00D046B1"/>
    <w:rsid w:val="00D04824"/>
    <w:rsid w:val="00D05DA5"/>
    <w:rsid w:val="00D05E55"/>
    <w:rsid w:val="00D06574"/>
    <w:rsid w:val="00D10206"/>
    <w:rsid w:val="00D107A4"/>
    <w:rsid w:val="00D11BAE"/>
    <w:rsid w:val="00D12380"/>
    <w:rsid w:val="00D1248E"/>
    <w:rsid w:val="00D12BC7"/>
    <w:rsid w:val="00D12D54"/>
    <w:rsid w:val="00D135C2"/>
    <w:rsid w:val="00D15388"/>
    <w:rsid w:val="00D1664A"/>
    <w:rsid w:val="00D173B3"/>
    <w:rsid w:val="00D201C0"/>
    <w:rsid w:val="00D20512"/>
    <w:rsid w:val="00D20668"/>
    <w:rsid w:val="00D20EF0"/>
    <w:rsid w:val="00D21536"/>
    <w:rsid w:val="00D21E19"/>
    <w:rsid w:val="00D21EDC"/>
    <w:rsid w:val="00D231F3"/>
    <w:rsid w:val="00D2416A"/>
    <w:rsid w:val="00D24579"/>
    <w:rsid w:val="00D24849"/>
    <w:rsid w:val="00D24ADE"/>
    <w:rsid w:val="00D24F6C"/>
    <w:rsid w:val="00D24FFF"/>
    <w:rsid w:val="00D25404"/>
    <w:rsid w:val="00D25879"/>
    <w:rsid w:val="00D25AB3"/>
    <w:rsid w:val="00D25FC6"/>
    <w:rsid w:val="00D261AF"/>
    <w:rsid w:val="00D275D6"/>
    <w:rsid w:val="00D27B80"/>
    <w:rsid w:val="00D3063B"/>
    <w:rsid w:val="00D307C6"/>
    <w:rsid w:val="00D31973"/>
    <w:rsid w:val="00D32362"/>
    <w:rsid w:val="00D33F89"/>
    <w:rsid w:val="00D348EE"/>
    <w:rsid w:val="00D34BE8"/>
    <w:rsid w:val="00D34C6B"/>
    <w:rsid w:val="00D3513E"/>
    <w:rsid w:val="00D3651A"/>
    <w:rsid w:val="00D36B8E"/>
    <w:rsid w:val="00D3712C"/>
    <w:rsid w:val="00D3721C"/>
    <w:rsid w:val="00D37B3A"/>
    <w:rsid w:val="00D40926"/>
    <w:rsid w:val="00D40BE4"/>
    <w:rsid w:val="00D41205"/>
    <w:rsid w:val="00D41E38"/>
    <w:rsid w:val="00D422BD"/>
    <w:rsid w:val="00D42971"/>
    <w:rsid w:val="00D44694"/>
    <w:rsid w:val="00D44B2E"/>
    <w:rsid w:val="00D455CB"/>
    <w:rsid w:val="00D456B1"/>
    <w:rsid w:val="00D46935"/>
    <w:rsid w:val="00D46CB2"/>
    <w:rsid w:val="00D474F3"/>
    <w:rsid w:val="00D506A0"/>
    <w:rsid w:val="00D5170D"/>
    <w:rsid w:val="00D51E6F"/>
    <w:rsid w:val="00D53B3B"/>
    <w:rsid w:val="00D53E77"/>
    <w:rsid w:val="00D5437A"/>
    <w:rsid w:val="00D544D5"/>
    <w:rsid w:val="00D544FD"/>
    <w:rsid w:val="00D559DD"/>
    <w:rsid w:val="00D5723A"/>
    <w:rsid w:val="00D57248"/>
    <w:rsid w:val="00D57FEB"/>
    <w:rsid w:val="00D61940"/>
    <w:rsid w:val="00D620A6"/>
    <w:rsid w:val="00D6358D"/>
    <w:rsid w:val="00D64C22"/>
    <w:rsid w:val="00D660B9"/>
    <w:rsid w:val="00D66754"/>
    <w:rsid w:val="00D66F59"/>
    <w:rsid w:val="00D70275"/>
    <w:rsid w:val="00D70A84"/>
    <w:rsid w:val="00D71507"/>
    <w:rsid w:val="00D718DC"/>
    <w:rsid w:val="00D72959"/>
    <w:rsid w:val="00D73F80"/>
    <w:rsid w:val="00D7478E"/>
    <w:rsid w:val="00D74FBB"/>
    <w:rsid w:val="00D750E3"/>
    <w:rsid w:val="00D753B2"/>
    <w:rsid w:val="00D755CA"/>
    <w:rsid w:val="00D764DB"/>
    <w:rsid w:val="00D77E3D"/>
    <w:rsid w:val="00D810C5"/>
    <w:rsid w:val="00D81F52"/>
    <w:rsid w:val="00D8205B"/>
    <w:rsid w:val="00D8302A"/>
    <w:rsid w:val="00D83996"/>
    <w:rsid w:val="00D83E3D"/>
    <w:rsid w:val="00D849BF"/>
    <w:rsid w:val="00D8590B"/>
    <w:rsid w:val="00D86FFB"/>
    <w:rsid w:val="00D90BB4"/>
    <w:rsid w:val="00D927D0"/>
    <w:rsid w:val="00D92FD1"/>
    <w:rsid w:val="00D93012"/>
    <w:rsid w:val="00D94EC8"/>
    <w:rsid w:val="00D95267"/>
    <w:rsid w:val="00D9678F"/>
    <w:rsid w:val="00D97790"/>
    <w:rsid w:val="00D97D5B"/>
    <w:rsid w:val="00DA0D61"/>
    <w:rsid w:val="00DA2738"/>
    <w:rsid w:val="00DA30FF"/>
    <w:rsid w:val="00DA3313"/>
    <w:rsid w:val="00DA37CE"/>
    <w:rsid w:val="00DA4F89"/>
    <w:rsid w:val="00DA616F"/>
    <w:rsid w:val="00DA707F"/>
    <w:rsid w:val="00DA71B4"/>
    <w:rsid w:val="00DA72EE"/>
    <w:rsid w:val="00DB03B0"/>
    <w:rsid w:val="00DB1289"/>
    <w:rsid w:val="00DB371D"/>
    <w:rsid w:val="00DB38E8"/>
    <w:rsid w:val="00DB51F3"/>
    <w:rsid w:val="00DB55F9"/>
    <w:rsid w:val="00DB57F7"/>
    <w:rsid w:val="00DB637D"/>
    <w:rsid w:val="00DB6F35"/>
    <w:rsid w:val="00DB73CC"/>
    <w:rsid w:val="00DC0936"/>
    <w:rsid w:val="00DC1C3A"/>
    <w:rsid w:val="00DC33F1"/>
    <w:rsid w:val="00DC53EB"/>
    <w:rsid w:val="00DC5581"/>
    <w:rsid w:val="00DC60EB"/>
    <w:rsid w:val="00DC6130"/>
    <w:rsid w:val="00DC67B5"/>
    <w:rsid w:val="00DC6964"/>
    <w:rsid w:val="00DC6A44"/>
    <w:rsid w:val="00DC6B80"/>
    <w:rsid w:val="00DC7375"/>
    <w:rsid w:val="00DD01A4"/>
    <w:rsid w:val="00DD0EB4"/>
    <w:rsid w:val="00DD1EBC"/>
    <w:rsid w:val="00DD259C"/>
    <w:rsid w:val="00DD26EB"/>
    <w:rsid w:val="00DD2A5D"/>
    <w:rsid w:val="00DD2F68"/>
    <w:rsid w:val="00DD30AF"/>
    <w:rsid w:val="00DD3A7D"/>
    <w:rsid w:val="00DD3E37"/>
    <w:rsid w:val="00DD4121"/>
    <w:rsid w:val="00DD4B69"/>
    <w:rsid w:val="00DD4BF5"/>
    <w:rsid w:val="00DD4D91"/>
    <w:rsid w:val="00DD51B2"/>
    <w:rsid w:val="00DD51D3"/>
    <w:rsid w:val="00DD5373"/>
    <w:rsid w:val="00DD59E7"/>
    <w:rsid w:val="00DD5B1B"/>
    <w:rsid w:val="00DD5FCF"/>
    <w:rsid w:val="00DD6E90"/>
    <w:rsid w:val="00DD749E"/>
    <w:rsid w:val="00DE0411"/>
    <w:rsid w:val="00DE0AEF"/>
    <w:rsid w:val="00DE1231"/>
    <w:rsid w:val="00DE1409"/>
    <w:rsid w:val="00DE19DF"/>
    <w:rsid w:val="00DE269E"/>
    <w:rsid w:val="00DE3901"/>
    <w:rsid w:val="00DE40E9"/>
    <w:rsid w:val="00DE4B55"/>
    <w:rsid w:val="00DE59E8"/>
    <w:rsid w:val="00DE5D31"/>
    <w:rsid w:val="00DE603A"/>
    <w:rsid w:val="00DE6F95"/>
    <w:rsid w:val="00DE74BA"/>
    <w:rsid w:val="00DF06BF"/>
    <w:rsid w:val="00DF1583"/>
    <w:rsid w:val="00DF16CE"/>
    <w:rsid w:val="00DF1E39"/>
    <w:rsid w:val="00DF2010"/>
    <w:rsid w:val="00DF26B4"/>
    <w:rsid w:val="00DF2906"/>
    <w:rsid w:val="00DF3106"/>
    <w:rsid w:val="00DF3116"/>
    <w:rsid w:val="00DF51DD"/>
    <w:rsid w:val="00DF5BB0"/>
    <w:rsid w:val="00DF6169"/>
    <w:rsid w:val="00DF731C"/>
    <w:rsid w:val="00DF7427"/>
    <w:rsid w:val="00DF7B0A"/>
    <w:rsid w:val="00E01A51"/>
    <w:rsid w:val="00E02454"/>
    <w:rsid w:val="00E027FC"/>
    <w:rsid w:val="00E0321F"/>
    <w:rsid w:val="00E03B56"/>
    <w:rsid w:val="00E03DCC"/>
    <w:rsid w:val="00E055E0"/>
    <w:rsid w:val="00E05BDE"/>
    <w:rsid w:val="00E05DF6"/>
    <w:rsid w:val="00E06021"/>
    <w:rsid w:val="00E067E8"/>
    <w:rsid w:val="00E069FB"/>
    <w:rsid w:val="00E06B79"/>
    <w:rsid w:val="00E06BC3"/>
    <w:rsid w:val="00E1002A"/>
    <w:rsid w:val="00E12084"/>
    <w:rsid w:val="00E123A4"/>
    <w:rsid w:val="00E12CD8"/>
    <w:rsid w:val="00E12D24"/>
    <w:rsid w:val="00E138CB"/>
    <w:rsid w:val="00E1465A"/>
    <w:rsid w:val="00E1482A"/>
    <w:rsid w:val="00E155CF"/>
    <w:rsid w:val="00E15F33"/>
    <w:rsid w:val="00E162C8"/>
    <w:rsid w:val="00E1632E"/>
    <w:rsid w:val="00E16642"/>
    <w:rsid w:val="00E1669C"/>
    <w:rsid w:val="00E166E9"/>
    <w:rsid w:val="00E167CE"/>
    <w:rsid w:val="00E1721D"/>
    <w:rsid w:val="00E17C27"/>
    <w:rsid w:val="00E2017E"/>
    <w:rsid w:val="00E208B6"/>
    <w:rsid w:val="00E21355"/>
    <w:rsid w:val="00E21386"/>
    <w:rsid w:val="00E213A9"/>
    <w:rsid w:val="00E21786"/>
    <w:rsid w:val="00E21906"/>
    <w:rsid w:val="00E224E3"/>
    <w:rsid w:val="00E22654"/>
    <w:rsid w:val="00E22AE4"/>
    <w:rsid w:val="00E23F3C"/>
    <w:rsid w:val="00E24843"/>
    <w:rsid w:val="00E24DEC"/>
    <w:rsid w:val="00E25890"/>
    <w:rsid w:val="00E259A8"/>
    <w:rsid w:val="00E25CBA"/>
    <w:rsid w:val="00E260E0"/>
    <w:rsid w:val="00E2647D"/>
    <w:rsid w:val="00E266BB"/>
    <w:rsid w:val="00E26A24"/>
    <w:rsid w:val="00E27CEC"/>
    <w:rsid w:val="00E3125A"/>
    <w:rsid w:val="00E312A1"/>
    <w:rsid w:val="00E31E64"/>
    <w:rsid w:val="00E31E79"/>
    <w:rsid w:val="00E3407E"/>
    <w:rsid w:val="00E3442D"/>
    <w:rsid w:val="00E35F1F"/>
    <w:rsid w:val="00E361DA"/>
    <w:rsid w:val="00E36272"/>
    <w:rsid w:val="00E36BA9"/>
    <w:rsid w:val="00E36F70"/>
    <w:rsid w:val="00E37FBC"/>
    <w:rsid w:val="00E40436"/>
    <w:rsid w:val="00E4182E"/>
    <w:rsid w:val="00E41B99"/>
    <w:rsid w:val="00E421FC"/>
    <w:rsid w:val="00E4222B"/>
    <w:rsid w:val="00E42C15"/>
    <w:rsid w:val="00E43D6B"/>
    <w:rsid w:val="00E43F1D"/>
    <w:rsid w:val="00E45110"/>
    <w:rsid w:val="00E469D4"/>
    <w:rsid w:val="00E46F37"/>
    <w:rsid w:val="00E470BB"/>
    <w:rsid w:val="00E50416"/>
    <w:rsid w:val="00E5087C"/>
    <w:rsid w:val="00E50BDA"/>
    <w:rsid w:val="00E513EA"/>
    <w:rsid w:val="00E51795"/>
    <w:rsid w:val="00E51A0E"/>
    <w:rsid w:val="00E521DB"/>
    <w:rsid w:val="00E52216"/>
    <w:rsid w:val="00E53A64"/>
    <w:rsid w:val="00E53BB8"/>
    <w:rsid w:val="00E54376"/>
    <w:rsid w:val="00E54AFB"/>
    <w:rsid w:val="00E54F3E"/>
    <w:rsid w:val="00E561C2"/>
    <w:rsid w:val="00E571C8"/>
    <w:rsid w:val="00E60929"/>
    <w:rsid w:val="00E60E81"/>
    <w:rsid w:val="00E61067"/>
    <w:rsid w:val="00E61E17"/>
    <w:rsid w:val="00E6324E"/>
    <w:rsid w:val="00E661E1"/>
    <w:rsid w:val="00E663DE"/>
    <w:rsid w:val="00E664EB"/>
    <w:rsid w:val="00E6665C"/>
    <w:rsid w:val="00E669F0"/>
    <w:rsid w:val="00E67369"/>
    <w:rsid w:val="00E71AF7"/>
    <w:rsid w:val="00E72802"/>
    <w:rsid w:val="00E72A1B"/>
    <w:rsid w:val="00E72ED7"/>
    <w:rsid w:val="00E72F28"/>
    <w:rsid w:val="00E7425A"/>
    <w:rsid w:val="00E745DC"/>
    <w:rsid w:val="00E74772"/>
    <w:rsid w:val="00E747BA"/>
    <w:rsid w:val="00E76647"/>
    <w:rsid w:val="00E77071"/>
    <w:rsid w:val="00E805E0"/>
    <w:rsid w:val="00E811A5"/>
    <w:rsid w:val="00E8263A"/>
    <w:rsid w:val="00E8298B"/>
    <w:rsid w:val="00E82B67"/>
    <w:rsid w:val="00E83FEC"/>
    <w:rsid w:val="00E85669"/>
    <w:rsid w:val="00E86066"/>
    <w:rsid w:val="00E870FB"/>
    <w:rsid w:val="00E873A2"/>
    <w:rsid w:val="00E87A94"/>
    <w:rsid w:val="00E903A6"/>
    <w:rsid w:val="00E91183"/>
    <w:rsid w:val="00E912DD"/>
    <w:rsid w:val="00E9177D"/>
    <w:rsid w:val="00E9231D"/>
    <w:rsid w:val="00E923C6"/>
    <w:rsid w:val="00E925C8"/>
    <w:rsid w:val="00E929E0"/>
    <w:rsid w:val="00E92A43"/>
    <w:rsid w:val="00E92C08"/>
    <w:rsid w:val="00E92DB5"/>
    <w:rsid w:val="00E946AB"/>
    <w:rsid w:val="00E94D7C"/>
    <w:rsid w:val="00E950CE"/>
    <w:rsid w:val="00E95E36"/>
    <w:rsid w:val="00E97ADC"/>
    <w:rsid w:val="00EA05E0"/>
    <w:rsid w:val="00EA0738"/>
    <w:rsid w:val="00EA09C4"/>
    <w:rsid w:val="00EA0C91"/>
    <w:rsid w:val="00EA0CB7"/>
    <w:rsid w:val="00EA1E79"/>
    <w:rsid w:val="00EA21FC"/>
    <w:rsid w:val="00EA254C"/>
    <w:rsid w:val="00EA2EB9"/>
    <w:rsid w:val="00EA35A5"/>
    <w:rsid w:val="00EA3DEA"/>
    <w:rsid w:val="00EA4210"/>
    <w:rsid w:val="00EA6780"/>
    <w:rsid w:val="00EA6882"/>
    <w:rsid w:val="00EA6CF5"/>
    <w:rsid w:val="00EA6F58"/>
    <w:rsid w:val="00EA71D4"/>
    <w:rsid w:val="00EA7E4C"/>
    <w:rsid w:val="00EA7F8C"/>
    <w:rsid w:val="00EB11AB"/>
    <w:rsid w:val="00EB1540"/>
    <w:rsid w:val="00EB1BB5"/>
    <w:rsid w:val="00EB2294"/>
    <w:rsid w:val="00EB42DA"/>
    <w:rsid w:val="00EB4627"/>
    <w:rsid w:val="00EB4B0C"/>
    <w:rsid w:val="00EB51F7"/>
    <w:rsid w:val="00EB6358"/>
    <w:rsid w:val="00EB6360"/>
    <w:rsid w:val="00EB6969"/>
    <w:rsid w:val="00EB6B0C"/>
    <w:rsid w:val="00EB6EC7"/>
    <w:rsid w:val="00EC016F"/>
    <w:rsid w:val="00EC0B57"/>
    <w:rsid w:val="00EC113A"/>
    <w:rsid w:val="00EC11FE"/>
    <w:rsid w:val="00EC1C20"/>
    <w:rsid w:val="00EC1EF0"/>
    <w:rsid w:val="00EC21D9"/>
    <w:rsid w:val="00EC2AB7"/>
    <w:rsid w:val="00EC43EB"/>
    <w:rsid w:val="00EC494A"/>
    <w:rsid w:val="00EC4A98"/>
    <w:rsid w:val="00EC4CFB"/>
    <w:rsid w:val="00EC51BF"/>
    <w:rsid w:val="00EC53E1"/>
    <w:rsid w:val="00EC55F9"/>
    <w:rsid w:val="00EC581F"/>
    <w:rsid w:val="00EC5D9B"/>
    <w:rsid w:val="00EC602F"/>
    <w:rsid w:val="00EC6775"/>
    <w:rsid w:val="00EC6EF7"/>
    <w:rsid w:val="00EC73A2"/>
    <w:rsid w:val="00ED0425"/>
    <w:rsid w:val="00ED0694"/>
    <w:rsid w:val="00ED0F21"/>
    <w:rsid w:val="00ED123D"/>
    <w:rsid w:val="00ED1817"/>
    <w:rsid w:val="00ED1C19"/>
    <w:rsid w:val="00ED1D03"/>
    <w:rsid w:val="00ED1F65"/>
    <w:rsid w:val="00ED2371"/>
    <w:rsid w:val="00ED2738"/>
    <w:rsid w:val="00ED41F9"/>
    <w:rsid w:val="00ED4766"/>
    <w:rsid w:val="00ED5074"/>
    <w:rsid w:val="00ED51C7"/>
    <w:rsid w:val="00ED5C19"/>
    <w:rsid w:val="00ED6732"/>
    <w:rsid w:val="00ED6F09"/>
    <w:rsid w:val="00ED7608"/>
    <w:rsid w:val="00EE07A1"/>
    <w:rsid w:val="00EE15AB"/>
    <w:rsid w:val="00EE16F7"/>
    <w:rsid w:val="00EE1B51"/>
    <w:rsid w:val="00EE1F50"/>
    <w:rsid w:val="00EE25FF"/>
    <w:rsid w:val="00EE2DDA"/>
    <w:rsid w:val="00EE3990"/>
    <w:rsid w:val="00EE49EC"/>
    <w:rsid w:val="00EE639F"/>
    <w:rsid w:val="00EE68FD"/>
    <w:rsid w:val="00EE78C7"/>
    <w:rsid w:val="00EE7AD1"/>
    <w:rsid w:val="00EE7B92"/>
    <w:rsid w:val="00EE7F6F"/>
    <w:rsid w:val="00EF0389"/>
    <w:rsid w:val="00EF0BED"/>
    <w:rsid w:val="00EF0E15"/>
    <w:rsid w:val="00EF1943"/>
    <w:rsid w:val="00EF1C29"/>
    <w:rsid w:val="00EF2637"/>
    <w:rsid w:val="00EF267F"/>
    <w:rsid w:val="00EF2B0A"/>
    <w:rsid w:val="00EF30B5"/>
    <w:rsid w:val="00EF32F8"/>
    <w:rsid w:val="00EF42A7"/>
    <w:rsid w:val="00EF5001"/>
    <w:rsid w:val="00EF5023"/>
    <w:rsid w:val="00EF63F1"/>
    <w:rsid w:val="00EF672F"/>
    <w:rsid w:val="00EF6814"/>
    <w:rsid w:val="00EF6CCC"/>
    <w:rsid w:val="00EF72B7"/>
    <w:rsid w:val="00F00255"/>
    <w:rsid w:val="00F0055D"/>
    <w:rsid w:val="00F008FE"/>
    <w:rsid w:val="00F00CED"/>
    <w:rsid w:val="00F015E4"/>
    <w:rsid w:val="00F02A71"/>
    <w:rsid w:val="00F041FF"/>
    <w:rsid w:val="00F04277"/>
    <w:rsid w:val="00F053C2"/>
    <w:rsid w:val="00F054EB"/>
    <w:rsid w:val="00F057D0"/>
    <w:rsid w:val="00F06704"/>
    <w:rsid w:val="00F06B7B"/>
    <w:rsid w:val="00F0708A"/>
    <w:rsid w:val="00F07285"/>
    <w:rsid w:val="00F0732E"/>
    <w:rsid w:val="00F07629"/>
    <w:rsid w:val="00F107BE"/>
    <w:rsid w:val="00F12DCC"/>
    <w:rsid w:val="00F14D7C"/>
    <w:rsid w:val="00F162B9"/>
    <w:rsid w:val="00F1704C"/>
    <w:rsid w:val="00F17A6B"/>
    <w:rsid w:val="00F17FB1"/>
    <w:rsid w:val="00F20674"/>
    <w:rsid w:val="00F20BDE"/>
    <w:rsid w:val="00F20F86"/>
    <w:rsid w:val="00F21FDF"/>
    <w:rsid w:val="00F2248F"/>
    <w:rsid w:val="00F2438A"/>
    <w:rsid w:val="00F24676"/>
    <w:rsid w:val="00F24E18"/>
    <w:rsid w:val="00F25CC8"/>
    <w:rsid w:val="00F25ED6"/>
    <w:rsid w:val="00F27AA5"/>
    <w:rsid w:val="00F324DA"/>
    <w:rsid w:val="00F33211"/>
    <w:rsid w:val="00F3342A"/>
    <w:rsid w:val="00F3478E"/>
    <w:rsid w:val="00F347BB"/>
    <w:rsid w:val="00F34C99"/>
    <w:rsid w:val="00F34E34"/>
    <w:rsid w:val="00F367BC"/>
    <w:rsid w:val="00F375A1"/>
    <w:rsid w:val="00F37B89"/>
    <w:rsid w:val="00F37E53"/>
    <w:rsid w:val="00F402AF"/>
    <w:rsid w:val="00F40AF7"/>
    <w:rsid w:val="00F41221"/>
    <w:rsid w:val="00F41303"/>
    <w:rsid w:val="00F41386"/>
    <w:rsid w:val="00F418E5"/>
    <w:rsid w:val="00F43B29"/>
    <w:rsid w:val="00F4442E"/>
    <w:rsid w:val="00F44D14"/>
    <w:rsid w:val="00F44DC8"/>
    <w:rsid w:val="00F45BDC"/>
    <w:rsid w:val="00F46966"/>
    <w:rsid w:val="00F4699A"/>
    <w:rsid w:val="00F47D7C"/>
    <w:rsid w:val="00F50216"/>
    <w:rsid w:val="00F50680"/>
    <w:rsid w:val="00F50CA4"/>
    <w:rsid w:val="00F5103E"/>
    <w:rsid w:val="00F5122C"/>
    <w:rsid w:val="00F53079"/>
    <w:rsid w:val="00F53450"/>
    <w:rsid w:val="00F535CE"/>
    <w:rsid w:val="00F54086"/>
    <w:rsid w:val="00F5449E"/>
    <w:rsid w:val="00F544F7"/>
    <w:rsid w:val="00F54EFB"/>
    <w:rsid w:val="00F55813"/>
    <w:rsid w:val="00F56826"/>
    <w:rsid w:val="00F56AB1"/>
    <w:rsid w:val="00F60FAA"/>
    <w:rsid w:val="00F61015"/>
    <w:rsid w:val="00F6218E"/>
    <w:rsid w:val="00F62B88"/>
    <w:rsid w:val="00F62C93"/>
    <w:rsid w:val="00F630A8"/>
    <w:rsid w:val="00F638FB"/>
    <w:rsid w:val="00F64AD5"/>
    <w:rsid w:val="00F664DF"/>
    <w:rsid w:val="00F66800"/>
    <w:rsid w:val="00F66B8D"/>
    <w:rsid w:val="00F67D99"/>
    <w:rsid w:val="00F701F5"/>
    <w:rsid w:val="00F70E6A"/>
    <w:rsid w:val="00F7225B"/>
    <w:rsid w:val="00F72299"/>
    <w:rsid w:val="00F722AD"/>
    <w:rsid w:val="00F72C47"/>
    <w:rsid w:val="00F73992"/>
    <w:rsid w:val="00F7410F"/>
    <w:rsid w:val="00F7449E"/>
    <w:rsid w:val="00F74A16"/>
    <w:rsid w:val="00F74BAC"/>
    <w:rsid w:val="00F7660C"/>
    <w:rsid w:val="00F76CC4"/>
    <w:rsid w:val="00F77C4D"/>
    <w:rsid w:val="00F80361"/>
    <w:rsid w:val="00F80575"/>
    <w:rsid w:val="00F808E1"/>
    <w:rsid w:val="00F8184F"/>
    <w:rsid w:val="00F81CE5"/>
    <w:rsid w:val="00F83ACA"/>
    <w:rsid w:val="00F83DA0"/>
    <w:rsid w:val="00F84A50"/>
    <w:rsid w:val="00F857FC"/>
    <w:rsid w:val="00F8698C"/>
    <w:rsid w:val="00F86EF3"/>
    <w:rsid w:val="00F905BE"/>
    <w:rsid w:val="00F91160"/>
    <w:rsid w:val="00F92468"/>
    <w:rsid w:val="00F925DB"/>
    <w:rsid w:val="00F92626"/>
    <w:rsid w:val="00F92916"/>
    <w:rsid w:val="00F92DFB"/>
    <w:rsid w:val="00F939CB"/>
    <w:rsid w:val="00F94070"/>
    <w:rsid w:val="00F957ED"/>
    <w:rsid w:val="00F95C80"/>
    <w:rsid w:val="00F95CD9"/>
    <w:rsid w:val="00F96C86"/>
    <w:rsid w:val="00FA005A"/>
    <w:rsid w:val="00FA0237"/>
    <w:rsid w:val="00FA0353"/>
    <w:rsid w:val="00FA09DE"/>
    <w:rsid w:val="00FA09F7"/>
    <w:rsid w:val="00FA0D8B"/>
    <w:rsid w:val="00FA0DC7"/>
    <w:rsid w:val="00FA11E5"/>
    <w:rsid w:val="00FA16AF"/>
    <w:rsid w:val="00FA2B6A"/>
    <w:rsid w:val="00FA33F1"/>
    <w:rsid w:val="00FA51FD"/>
    <w:rsid w:val="00FA611D"/>
    <w:rsid w:val="00FA74AA"/>
    <w:rsid w:val="00FA773C"/>
    <w:rsid w:val="00FA782C"/>
    <w:rsid w:val="00FB1617"/>
    <w:rsid w:val="00FB1E0A"/>
    <w:rsid w:val="00FB2292"/>
    <w:rsid w:val="00FB2BDD"/>
    <w:rsid w:val="00FB31D8"/>
    <w:rsid w:val="00FB4248"/>
    <w:rsid w:val="00FB4589"/>
    <w:rsid w:val="00FB5E80"/>
    <w:rsid w:val="00FB5EAC"/>
    <w:rsid w:val="00FB6023"/>
    <w:rsid w:val="00FB66AB"/>
    <w:rsid w:val="00FB7F0A"/>
    <w:rsid w:val="00FC01AD"/>
    <w:rsid w:val="00FC0C63"/>
    <w:rsid w:val="00FC11BF"/>
    <w:rsid w:val="00FC1D01"/>
    <w:rsid w:val="00FC1F2B"/>
    <w:rsid w:val="00FC2430"/>
    <w:rsid w:val="00FC2998"/>
    <w:rsid w:val="00FC42E2"/>
    <w:rsid w:val="00FC5266"/>
    <w:rsid w:val="00FC569E"/>
    <w:rsid w:val="00FC5917"/>
    <w:rsid w:val="00FC68E8"/>
    <w:rsid w:val="00FC7D70"/>
    <w:rsid w:val="00FD1FCD"/>
    <w:rsid w:val="00FD22A8"/>
    <w:rsid w:val="00FD3289"/>
    <w:rsid w:val="00FD4202"/>
    <w:rsid w:val="00FD5602"/>
    <w:rsid w:val="00FD5866"/>
    <w:rsid w:val="00FD6510"/>
    <w:rsid w:val="00FD6598"/>
    <w:rsid w:val="00FD66A8"/>
    <w:rsid w:val="00FE2B03"/>
    <w:rsid w:val="00FE355C"/>
    <w:rsid w:val="00FE3AB0"/>
    <w:rsid w:val="00FE3DDC"/>
    <w:rsid w:val="00FE4527"/>
    <w:rsid w:val="00FE494A"/>
    <w:rsid w:val="00FE7053"/>
    <w:rsid w:val="00FE7355"/>
    <w:rsid w:val="00FE75FA"/>
    <w:rsid w:val="00FF0336"/>
    <w:rsid w:val="00FF1452"/>
    <w:rsid w:val="00FF158E"/>
    <w:rsid w:val="00FF4BA3"/>
    <w:rsid w:val="00FF5C2A"/>
    <w:rsid w:val="00FF5C2E"/>
    <w:rsid w:val="00FF5CEE"/>
    <w:rsid w:val="00FF6390"/>
    <w:rsid w:val="00FF643F"/>
    <w:rsid w:val="00FF726A"/>
    <w:rsid w:val="01175F9C"/>
    <w:rsid w:val="013232C8"/>
    <w:rsid w:val="01B270C1"/>
    <w:rsid w:val="01CC0E66"/>
    <w:rsid w:val="01D83930"/>
    <w:rsid w:val="01F86CD9"/>
    <w:rsid w:val="02377801"/>
    <w:rsid w:val="02AE3E5E"/>
    <w:rsid w:val="02BC240F"/>
    <w:rsid w:val="02D5689F"/>
    <w:rsid w:val="03523ABE"/>
    <w:rsid w:val="036413DE"/>
    <w:rsid w:val="036F2FD9"/>
    <w:rsid w:val="03AD0411"/>
    <w:rsid w:val="03D93EDE"/>
    <w:rsid w:val="03EB1B72"/>
    <w:rsid w:val="04842AA6"/>
    <w:rsid w:val="04874344"/>
    <w:rsid w:val="048C54B6"/>
    <w:rsid w:val="04AA2CD9"/>
    <w:rsid w:val="04DD5D12"/>
    <w:rsid w:val="04EC2929"/>
    <w:rsid w:val="05224E91"/>
    <w:rsid w:val="054A0094"/>
    <w:rsid w:val="05D23F9D"/>
    <w:rsid w:val="062744B1"/>
    <w:rsid w:val="069053B0"/>
    <w:rsid w:val="06A54F19"/>
    <w:rsid w:val="06CA66F9"/>
    <w:rsid w:val="07440D6B"/>
    <w:rsid w:val="0746789B"/>
    <w:rsid w:val="074769E9"/>
    <w:rsid w:val="074A174E"/>
    <w:rsid w:val="074D717F"/>
    <w:rsid w:val="076E4C19"/>
    <w:rsid w:val="07852DBD"/>
    <w:rsid w:val="07E16F76"/>
    <w:rsid w:val="07FF2B25"/>
    <w:rsid w:val="08274BAD"/>
    <w:rsid w:val="08444A26"/>
    <w:rsid w:val="084F5350"/>
    <w:rsid w:val="085E53BC"/>
    <w:rsid w:val="0893571B"/>
    <w:rsid w:val="08A00EAD"/>
    <w:rsid w:val="091B7D5F"/>
    <w:rsid w:val="092143B0"/>
    <w:rsid w:val="094F2158"/>
    <w:rsid w:val="098263C3"/>
    <w:rsid w:val="0994433E"/>
    <w:rsid w:val="09A34A1A"/>
    <w:rsid w:val="09AE5E29"/>
    <w:rsid w:val="09D25106"/>
    <w:rsid w:val="0A373D8A"/>
    <w:rsid w:val="0A402FCB"/>
    <w:rsid w:val="0A483595"/>
    <w:rsid w:val="0ADC14F9"/>
    <w:rsid w:val="0AE42B47"/>
    <w:rsid w:val="0B6C32B6"/>
    <w:rsid w:val="0B822939"/>
    <w:rsid w:val="0BA80E28"/>
    <w:rsid w:val="0BD2630A"/>
    <w:rsid w:val="0BF7016A"/>
    <w:rsid w:val="0C044FC8"/>
    <w:rsid w:val="0C077986"/>
    <w:rsid w:val="0C195E89"/>
    <w:rsid w:val="0C1B3CF0"/>
    <w:rsid w:val="0C21404B"/>
    <w:rsid w:val="0C335AD5"/>
    <w:rsid w:val="0C5C6E29"/>
    <w:rsid w:val="0C6E18F2"/>
    <w:rsid w:val="0C8E6A1C"/>
    <w:rsid w:val="0CB16402"/>
    <w:rsid w:val="0CF841AF"/>
    <w:rsid w:val="0D1B623F"/>
    <w:rsid w:val="0D5154EF"/>
    <w:rsid w:val="0D5C636E"/>
    <w:rsid w:val="0D941DAD"/>
    <w:rsid w:val="0D9B1BCB"/>
    <w:rsid w:val="0DC27B7B"/>
    <w:rsid w:val="0E2B1F38"/>
    <w:rsid w:val="0E4126BB"/>
    <w:rsid w:val="0E8F63A0"/>
    <w:rsid w:val="0EE622EA"/>
    <w:rsid w:val="0F0A3BA7"/>
    <w:rsid w:val="0F194118"/>
    <w:rsid w:val="0F861F3C"/>
    <w:rsid w:val="0F881116"/>
    <w:rsid w:val="0F91582B"/>
    <w:rsid w:val="0FC75EF9"/>
    <w:rsid w:val="0FD541B5"/>
    <w:rsid w:val="0FE76B66"/>
    <w:rsid w:val="0FEE57E3"/>
    <w:rsid w:val="10086985"/>
    <w:rsid w:val="1041300A"/>
    <w:rsid w:val="105A290D"/>
    <w:rsid w:val="107072DE"/>
    <w:rsid w:val="10B125C4"/>
    <w:rsid w:val="10D56AF2"/>
    <w:rsid w:val="10D900A6"/>
    <w:rsid w:val="110E0014"/>
    <w:rsid w:val="113C2AB9"/>
    <w:rsid w:val="11644575"/>
    <w:rsid w:val="118A5224"/>
    <w:rsid w:val="11BF5806"/>
    <w:rsid w:val="11C42733"/>
    <w:rsid w:val="11E44B84"/>
    <w:rsid w:val="11F1049F"/>
    <w:rsid w:val="12706382"/>
    <w:rsid w:val="129540C6"/>
    <w:rsid w:val="12A106C1"/>
    <w:rsid w:val="12F34198"/>
    <w:rsid w:val="133714E5"/>
    <w:rsid w:val="136B7243"/>
    <w:rsid w:val="1393060F"/>
    <w:rsid w:val="13992F0A"/>
    <w:rsid w:val="13FC6880"/>
    <w:rsid w:val="140B3F6B"/>
    <w:rsid w:val="140C03C2"/>
    <w:rsid w:val="14290F74"/>
    <w:rsid w:val="144B68AF"/>
    <w:rsid w:val="145735B3"/>
    <w:rsid w:val="145E6879"/>
    <w:rsid w:val="1477787C"/>
    <w:rsid w:val="14846C0C"/>
    <w:rsid w:val="14980D4E"/>
    <w:rsid w:val="149C37C3"/>
    <w:rsid w:val="14BE16BC"/>
    <w:rsid w:val="14EE7E4F"/>
    <w:rsid w:val="152F1114"/>
    <w:rsid w:val="15A12BD1"/>
    <w:rsid w:val="15A30AF5"/>
    <w:rsid w:val="15B97F07"/>
    <w:rsid w:val="15D55F9E"/>
    <w:rsid w:val="15EC6D60"/>
    <w:rsid w:val="1606156C"/>
    <w:rsid w:val="160B6B83"/>
    <w:rsid w:val="16261143"/>
    <w:rsid w:val="163464D2"/>
    <w:rsid w:val="163A425C"/>
    <w:rsid w:val="165B2736"/>
    <w:rsid w:val="16731471"/>
    <w:rsid w:val="168017F8"/>
    <w:rsid w:val="16900E36"/>
    <w:rsid w:val="16DB4113"/>
    <w:rsid w:val="170703C0"/>
    <w:rsid w:val="170F7C6B"/>
    <w:rsid w:val="171A6C4C"/>
    <w:rsid w:val="173914CE"/>
    <w:rsid w:val="174D5F53"/>
    <w:rsid w:val="17563671"/>
    <w:rsid w:val="17606E66"/>
    <w:rsid w:val="178E770E"/>
    <w:rsid w:val="17A81B27"/>
    <w:rsid w:val="17D24946"/>
    <w:rsid w:val="182D676D"/>
    <w:rsid w:val="183D797E"/>
    <w:rsid w:val="184C55D0"/>
    <w:rsid w:val="18871369"/>
    <w:rsid w:val="18AE139E"/>
    <w:rsid w:val="18F57010"/>
    <w:rsid w:val="19076D14"/>
    <w:rsid w:val="190A5C2F"/>
    <w:rsid w:val="19111B91"/>
    <w:rsid w:val="191856F0"/>
    <w:rsid w:val="191B7CF7"/>
    <w:rsid w:val="19297340"/>
    <w:rsid w:val="192B3098"/>
    <w:rsid w:val="192E743F"/>
    <w:rsid w:val="195A487D"/>
    <w:rsid w:val="19B672FD"/>
    <w:rsid w:val="19DF6A36"/>
    <w:rsid w:val="19FB61B7"/>
    <w:rsid w:val="1A1435C6"/>
    <w:rsid w:val="1A75281D"/>
    <w:rsid w:val="1A755AFF"/>
    <w:rsid w:val="1AA11864"/>
    <w:rsid w:val="1AAC1FB7"/>
    <w:rsid w:val="1AD03FBA"/>
    <w:rsid w:val="1AD172A0"/>
    <w:rsid w:val="1AE25D7E"/>
    <w:rsid w:val="1B09565B"/>
    <w:rsid w:val="1B3B17AF"/>
    <w:rsid w:val="1B59265E"/>
    <w:rsid w:val="1B5F3C4F"/>
    <w:rsid w:val="1BD363C7"/>
    <w:rsid w:val="1BDA516C"/>
    <w:rsid w:val="1BE404D3"/>
    <w:rsid w:val="1C375C57"/>
    <w:rsid w:val="1C4409D4"/>
    <w:rsid w:val="1C50035C"/>
    <w:rsid w:val="1C837D75"/>
    <w:rsid w:val="1C8F6CB0"/>
    <w:rsid w:val="1C8F6CD8"/>
    <w:rsid w:val="1CC85561"/>
    <w:rsid w:val="1CE23BF7"/>
    <w:rsid w:val="1CE4012E"/>
    <w:rsid w:val="1CFE09EB"/>
    <w:rsid w:val="1D1D0E86"/>
    <w:rsid w:val="1D391F1A"/>
    <w:rsid w:val="1D440973"/>
    <w:rsid w:val="1D8960EA"/>
    <w:rsid w:val="1D8B67FB"/>
    <w:rsid w:val="1DA63635"/>
    <w:rsid w:val="1DC57DC6"/>
    <w:rsid w:val="1DEB62ED"/>
    <w:rsid w:val="1E194A7B"/>
    <w:rsid w:val="1E2E794D"/>
    <w:rsid w:val="1E472722"/>
    <w:rsid w:val="1E5C0C53"/>
    <w:rsid w:val="1E662C59"/>
    <w:rsid w:val="1EBE75EB"/>
    <w:rsid w:val="1EE2069D"/>
    <w:rsid w:val="1EF93872"/>
    <w:rsid w:val="1F1F24FE"/>
    <w:rsid w:val="1F525822"/>
    <w:rsid w:val="1F8C66E0"/>
    <w:rsid w:val="1F947BE9"/>
    <w:rsid w:val="1F9653CA"/>
    <w:rsid w:val="1FEF081D"/>
    <w:rsid w:val="1FFD1FEE"/>
    <w:rsid w:val="20336C7B"/>
    <w:rsid w:val="20592520"/>
    <w:rsid w:val="20CC2261"/>
    <w:rsid w:val="20E41338"/>
    <w:rsid w:val="20FD531A"/>
    <w:rsid w:val="210C32A6"/>
    <w:rsid w:val="210E7527"/>
    <w:rsid w:val="210E79E7"/>
    <w:rsid w:val="21174E62"/>
    <w:rsid w:val="21571FA8"/>
    <w:rsid w:val="21D20E57"/>
    <w:rsid w:val="21D97B35"/>
    <w:rsid w:val="22075FF2"/>
    <w:rsid w:val="2224112A"/>
    <w:rsid w:val="2250591D"/>
    <w:rsid w:val="22602E2F"/>
    <w:rsid w:val="226D64CF"/>
    <w:rsid w:val="23033927"/>
    <w:rsid w:val="233E0D8E"/>
    <w:rsid w:val="23814F49"/>
    <w:rsid w:val="23863CED"/>
    <w:rsid w:val="23C95BEE"/>
    <w:rsid w:val="242C66E5"/>
    <w:rsid w:val="24D40A88"/>
    <w:rsid w:val="24D9609E"/>
    <w:rsid w:val="25535E4A"/>
    <w:rsid w:val="255F7C9C"/>
    <w:rsid w:val="25626093"/>
    <w:rsid w:val="25A51476"/>
    <w:rsid w:val="25AB1656"/>
    <w:rsid w:val="25B707A0"/>
    <w:rsid w:val="25B968C2"/>
    <w:rsid w:val="260C1C27"/>
    <w:rsid w:val="26171E3E"/>
    <w:rsid w:val="2628139B"/>
    <w:rsid w:val="262921E7"/>
    <w:rsid w:val="266F412D"/>
    <w:rsid w:val="268A53AC"/>
    <w:rsid w:val="26F85D1F"/>
    <w:rsid w:val="275E288B"/>
    <w:rsid w:val="27651E6B"/>
    <w:rsid w:val="278D39F6"/>
    <w:rsid w:val="27AA6D0F"/>
    <w:rsid w:val="27CD1E47"/>
    <w:rsid w:val="27F84A8D"/>
    <w:rsid w:val="283D4F75"/>
    <w:rsid w:val="28431A4B"/>
    <w:rsid w:val="285D695F"/>
    <w:rsid w:val="286E5BCF"/>
    <w:rsid w:val="289A71AA"/>
    <w:rsid w:val="28D92B11"/>
    <w:rsid w:val="28E31299"/>
    <w:rsid w:val="28EB2280"/>
    <w:rsid w:val="28ED3A7A"/>
    <w:rsid w:val="28F039B6"/>
    <w:rsid w:val="29773169"/>
    <w:rsid w:val="29852351"/>
    <w:rsid w:val="298760C9"/>
    <w:rsid w:val="29A7761D"/>
    <w:rsid w:val="29A812A9"/>
    <w:rsid w:val="29CB13F3"/>
    <w:rsid w:val="29D25D8B"/>
    <w:rsid w:val="29D465AE"/>
    <w:rsid w:val="29FF0355"/>
    <w:rsid w:val="2A0E3DD3"/>
    <w:rsid w:val="2A32323D"/>
    <w:rsid w:val="2A88659C"/>
    <w:rsid w:val="2ABD2CA9"/>
    <w:rsid w:val="2ACC23A4"/>
    <w:rsid w:val="2ACC3B53"/>
    <w:rsid w:val="2AFC20E9"/>
    <w:rsid w:val="2B73446C"/>
    <w:rsid w:val="2B7C12D2"/>
    <w:rsid w:val="2B7C358E"/>
    <w:rsid w:val="2B800901"/>
    <w:rsid w:val="2B851F33"/>
    <w:rsid w:val="2B876854"/>
    <w:rsid w:val="2B911481"/>
    <w:rsid w:val="2BAA460A"/>
    <w:rsid w:val="2BB849E9"/>
    <w:rsid w:val="2BC67772"/>
    <w:rsid w:val="2BE912BD"/>
    <w:rsid w:val="2BEC64EB"/>
    <w:rsid w:val="2C023D7C"/>
    <w:rsid w:val="2C150691"/>
    <w:rsid w:val="2C1F4CDE"/>
    <w:rsid w:val="2C267A56"/>
    <w:rsid w:val="2C6F272E"/>
    <w:rsid w:val="2C884632"/>
    <w:rsid w:val="2C9461CF"/>
    <w:rsid w:val="2C9C00DD"/>
    <w:rsid w:val="2CB71395"/>
    <w:rsid w:val="2CDF4E16"/>
    <w:rsid w:val="2CFD3991"/>
    <w:rsid w:val="2D227C53"/>
    <w:rsid w:val="2D390672"/>
    <w:rsid w:val="2D4F3FFF"/>
    <w:rsid w:val="2DC6600A"/>
    <w:rsid w:val="2E190845"/>
    <w:rsid w:val="2E222E04"/>
    <w:rsid w:val="2E2272E9"/>
    <w:rsid w:val="2E643A13"/>
    <w:rsid w:val="2E647DF6"/>
    <w:rsid w:val="2E7E5C02"/>
    <w:rsid w:val="2E840E29"/>
    <w:rsid w:val="2EA36628"/>
    <w:rsid w:val="2EC22208"/>
    <w:rsid w:val="2ED37B01"/>
    <w:rsid w:val="2EF55199"/>
    <w:rsid w:val="2EF77752"/>
    <w:rsid w:val="2F014590"/>
    <w:rsid w:val="2F18135D"/>
    <w:rsid w:val="2F306A43"/>
    <w:rsid w:val="2F343043"/>
    <w:rsid w:val="2F560CAF"/>
    <w:rsid w:val="2F6A7F7C"/>
    <w:rsid w:val="2FD61B27"/>
    <w:rsid w:val="2FDB51C4"/>
    <w:rsid w:val="30012D0C"/>
    <w:rsid w:val="30143BC2"/>
    <w:rsid w:val="3043153E"/>
    <w:rsid w:val="30632377"/>
    <w:rsid w:val="30893EC7"/>
    <w:rsid w:val="30976A66"/>
    <w:rsid w:val="30A533D4"/>
    <w:rsid w:val="30CD59E0"/>
    <w:rsid w:val="31044CEB"/>
    <w:rsid w:val="31385460"/>
    <w:rsid w:val="315A68A9"/>
    <w:rsid w:val="316E451A"/>
    <w:rsid w:val="319F2B58"/>
    <w:rsid w:val="31AC0DC2"/>
    <w:rsid w:val="31DB16A7"/>
    <w:rsid w:val="320342B1"/>
    <w:rsid w:val="32056724"/>
    <w:rsid w:val="3209215B"/>
    <w:rsid w:val="32447147"/>
    <w:rsid w:val="32801548"/>
    <w:rsid w:val="329B4B75"/>
    <w:rsid w:val="32DD2345"/>
    <w:rsid w:val="32E70599"/>
    <w:rsid w:val="32EC0E63"/>
    <w:rsid w:val="32F6725D"/>
    <w:rsid w:val="33303FBC"/>
    <w:rsid w:val="333A3E82"/>
    <w:rsid w:val="33442E2C"/>
    <w:rsid w:val="3360172B"/>
    <w:rsid w:val="336B095F"/>
    <w:rsid w:val="33900908"/>
    <w:rsid w:val="339D60DA"/>
    <w:rsid w:val="33A01018"/>
    <w:rsid w:val="33DC5263"/>
    <w:rsid w:val="33E16D1D"/>
    <w:rsid w:val="33F151B2"/>
    <w:rsid w:val="340D327F"/>
    <w:rsid w:val="344A1F45"/>
    <w:rsid w:val="34BA0A88"/>
    <w:rsid w:val="34F767F8"/>
    <w:rsid w:val="3539414B"/>
    <w:rsid w:val="3539662A"/>
    <w:rsid w:val="358B30A8"/>
    <w:rsid w:val="35E9498F"/>
    <w:rsid w:val="36060449"/>
    <w:rsid w:val="36213145"/>
    <w:rsid w:val="365646D3"/>
    <w:rsid w:val="366E6BD7"/>
    <w:rsid w:val="36790667"/>
    <w:rsid w:val="369C08F8"/>
    <w:rsid w:val="36C65A71"/>
    <w:rsid w:val="3719716F"/>
    <w:rsid w:val="37353608"/>
    <w:rsid w:val="374D2D3A"/>
    <w:rsid w:val="37527E18"/>
    <w:rsid w:val="37B0335A"/>
    <w:rsid w:val="37D343FF"/>
    <w:rsid w:val="37F44A15"/>
    <w:rsid w:val="3816051C"/>
    <w:rsid w:val="382F2FC9"/>
    <w:rsid w:val="38360444"/>
    <w:rsid w:val="384D2BD3"/>
    <w:rsid w:val="38533CFC"/>
    <w:rsid w:val="388C242A"/>
    <w:rsid w:val="38C20B2E"/>
    <w:rsid w:val="38D00523"/>
    <w:rsid w:val="38E01351"/>
    <w:rsid w:val="39483E1F"/>
    <w:rsid w:val="39754E22"/>
    <w:rsid w:val="39BE4EF3"/>
    <w:rsid w:val="39CC330E"/>
    <w:rsid w:val="39D36E51"/>
    <w:rsid w:val="3A4876F6"/>
    <w:rsid w:val="3A545BDC"/>
    <w:rsid w:val="3A5465BC"/>
    <w:rsid w:val="3A7007A7"/>
    <w:rsid w:val="3AE059CC"/>
    <w:rsid w:val="3B345984"/>
    <w:rsid w:val="3B350F7D"/>
    <w:rsid w:val="3B37375B"/>
    <w:rsid w:val="3B584BCB"/>
    <w:rsid w:val="3BA46AFE"/>
    <w:rsid w:val="3BCD34EB"/>
    <w:rsid w:val="3BF707A3"/>
    <w:rsid w:val="3BFC0A3E"/>
    <w:rsid w:val="3C3800CF"/>
    <w:rsid w:val="3C6B187A"/>
    <w:rsid w:val="3C8316B6"/>
    <w:rsid w:val="3C85293C"/>
    <w:rsid w:val="3CCE0E50"/>
    <w:rsid w:val="3CEF7A0D"/>
    <w:rsid w:val="3D0972E0"/>
    <w:rsid w:val="3D2A703F"/>
    <w:rsid w:val="3D3A1CA1"/>
    <w:rsid w:val="3D53705B"/>
    <w:rsid w:val="3D567E34"/>
    <w:rsid w:val="3D6157E6"/>
    <w:rsid w:val="3D711712"/>
    <w:rsid w:val="3D822FC9"/>
    <w:rsid w:val="3D883804"/>
    <w:rsid w:val="3DD34685"/>
    <w:rsid w:val="3DFE7E3C"/>
    <w:rsid w:val="3E1B2219"/>
    <w:rsid w:val="3E9C1829"/>
    <w:rsid w:val="3E9F347B"/>
    <w:rsid w:val="3EC677E2"/>
    <w:rsid w:val="3EE856DB"/>
    <w:rsid w:val="3EF8243B"/>
    <w:rsid w:val="3F1C0717"/>
    <w:rsid w:val="3F7A2500"/>
    <w:rsid w:val="3F8E4734"/>
    <w:rsid w:val="3FB41B8F"/>
    <w:rsid w:val="40036E1F"/>
    <w:rsid w:val="401A53A8"/>
    <w:rsid w:val="401C5365"/>
    <w:rsid w:val="40261D3C"/>
    <w:rsid w:val="402C7B0B"/>
    <w:rsid w:val="40495A31"/>
    <w:rsid w:val="405765FD"/>
    <w:rsid w:val="40644F5E"/>
    <w:rsid w:val="40696243"/>
    <w:rsid w:val="40774C91"/>
    <w:rsid w:val="40B152EF"/>
    <w:rsid w:val="40C94DC1"/>
    <w:rsid w:val="40F9731D"/>
    <w:rsid w:val="412E1135"/>
    <w:rsid w:val="41672CBF"/>
    <w:rsid w:val="41841364"/>
    <w:rsid w:val="418D10ED"/>
    <w:rsid w:val="41AC096A"/>
    <w:rsid w:val="41CE4DBC"/>
    <w:rsid w:val="41D57EC1"/>
    <w:rsid w:val="41D72026"/>
    <w:rsid w:val="41DB13A2"/>
    <w:rsid w:val="42162288"/>
    <w:rsid w:val="421F184B"/>
    <w:rsid w:val="42476D77"/>
    <w:rsid w:val="42B75819"/>
    <w:rsid w:val="42BA533D"/>
    <w:rsid w:val="437922DE"/>
    <w:rsid w:val="4391491D"/>
    <w:rsid w:val="43BB4713"/>
    <w:rsid w:val="43BC0257"/>
    <w:rsid w:val="441D0272"/>
    <w:rsid w:val="447514E8"/>
    <w:rsid w:val="447F359A"/>
    <w:rsid w:val="44A65B45"/>
    <w:rsid w:val="44F37FF7"/>
    <w:rsid w:val="45205B88"/>
    <w:rsid w:val="45413B63"/>
    <w:rsid w:val="4548631D"/>
    <w:rsid w:val="45793E0E"/>
    <w:rsid w:val="460D7ED9"/>
    <w:rsid w:val="463443A0"/>
    <w:rsid w:val="46737CA9"/>
    <w:rsid w:val="468A276F"/>
    <w:rsid w:val="46E14C12"/>
    <w:rsid w:val="470E1780"/>
    <w:rsid w:val="47342061"/>
    <w:rsid w:val="4734568A"/>
    <w:rsid w:val="47442B52"/>
    <w:rsid w:val="47655843"/>
    <w:rsid w:val="47CB141F"/>
    <w:rsid w:val="47CC16FD"/>
    <w:rsid w:val="47DE1152"/>
    <w:rsid w:val="481E1856"/>
    <w:rsid w:val="482E47CB"/>
    <w:rsid w:val="48445F2B"/>
    <w:rsid w:val="484A67E7"/>
    <w:rsid w:val="486102AC"/>
    <w:rsid w:val="48C03E1F"/>
    <w:rsid w:val="48CC34A1"/>
    <w:rsid w:val="48EB7FCA"/>
    <w:rsid w:val="48F05533"/>
    <w:rsid w:val="48F055E1"/>
    <w:rsid w:val="49020B8F"/>
    <w:rsid w:val="490C388F"/>
    <w:rsid w:val="490F2CF3"/>
    <w:rsid w:val="49766F80"/>
    <w:rsid w:val="498B1A81"/>
    <w:rsid w:val="499C5F2F"/>
    <w:rsid w:val="49A05DF7"/>
    <w:rsid w:val="49C203E0"/>
    <w:rsid w:val="49C31612"/>
    <w:rsid w:val="49E54A1A"/>
    <w:rsid w:val="4A201EF6"/>
    <w:rsid w:val="4A2662FF"/>
    <w:rsid w:val="4A8167A0"/>
    <w:rsid w:val="4A954218"/>
    <w:rsid w:val="4AB3002E"/>
    <w:rsid w:val="4ADA02F6"/>
    <w:rsid w:val="4B2A56AD"/>
    <w:rsid w:val="4B5D7233"/>
    <w:rsid w:val="4B816407"/>
    <w:rsid w:val="4BAB57EF"/>
    <w:rsid w:val="4BBA082E"/>
    <w:rsid w:val="4BD525C4"/>
    <w:rsid w:val="4C1D7300"/>
    <w:rsid w:val="4C316BC4"/>
    <w:rsid w:val="4C965C54"/>
    <w:rsid w:val="4C981B00"/>
    <w:rsid w:val="4D275112"/>
    <w:rsid w:val="4E0F2FB5"/>
    <w:rsid w:val="4E195CC6"/>
    <w:rsid w:val="4E3356CF"/>
    <w:rsid w:val="4E384598"/>
    <w:rsid w:val="4E4A7541"/>
    <w:rsid w:val="4E593837"/>
    <w:rsid w:val="4E711DBA"/>
    <w:rsid w:val="4E734CFD"/>
    <w:rsid w:val="4E97588C"/>
    <w:rsid w:val="4ED137BE"/>
    <w:rsid w:val="4EEF4A3F"/>
    <w:rsid w:val="4EFA3B7A"/>
    <w:rsid w:val="4F0A33F4"/>
    <w:rsid w:val="4F395256"/>
    <w:rsid w:val="4F3E73B7"/>
    <w:rsid w:val="4F696A1D"/>
    <w:rsid w:val="4F952B92"/>
    <w:rsid w:val="4F9660C3"/>
    <w:rsid w:val="4F977B08"/>
    <w:rsid w:val="4FB355BA"/>
    <w:rsid w:val="4FB9191E"/>
    <w:rsid w:val="4FE42D85"/>
    <w:rsid w:val="50047CE2"/>
    <w:rsid w:val="501C7547"/>
    <w:rsid w:val="5022408C"/>
    <w:rsid w:val="50405E34"/>
    <w:rsid w:val="50680152"/>
    <w:rsid w:val="50F04D5A"/>
    <w:rsid w:val="512E7AEE"/>
    <w:rsid w:val="51351338"/>
    <w:rsid w:val="513F5357"/>
    <w:rsid w:val="51B66C9C"/>
    <w:rsid w:val="51D27F79"/>
    <w:rsid w:val="51F77669"/>
    <w:rsid w:val="52011DA3"/>
    <w:rsid w:val="525D629B"/>
    <w:rsid w:val="52736A2A"/>
    <w:rsid w:val="52EF4610"/>
    <w:rsid w:val="53277E51"/>
    <w:rsid w:val="53807EA6"/>
    <w:rsid w:val="53837766"/>
    <w:rsid w:val="53CB60CB"/>
    <w:rsid w:val="54107F1D"/>
    <w:rsid w:val="543A1E06"/>
    <w:rsid w:val="54547030"/>
    <w:rsid w:val="54AB2D04"/>
    <w:rsid w:val="54D62AF8"/>
    <w:rsid w:val="551565AA"/>
    <w:rsid w:val="553774BF"/>
    <w:rsid w:val="55521DB2"/>
    <w:rsid w:val="55540CA5"/>
    <w:rsid w:val="55733821"/>
    <w:rsid w:val="557E71D5"/>
    <w:rsid w:val="55D86277"/>
    <w:rsid w:val="561B04EA"/>
    <w:rsid w:val="565B535E"/>
    <w:rsid w:val="569752EE"/>
    <w:rsid w:val="56D57BC4"/>
    <w:rsid w:val="57240578"/>
    <w:rsid w:val="57346FE0"/>
    <w:rsid w:val="573678EC"/>
    <w:rsid w:val="57641BFB"/>
    <w:rsid w:val="57B53CA5"/>
    <w:rsid w:val="57DE00B6"/>
    <w:rsid w:val="584E7C2E"/>
    <w:rsid w:val="586E03A8"/>
    <w:rsid w:val="589F5E8B"/>
    <w:rsid w:val="58BD6B62"/>
    <w:rsid w:val="590C4582"/>
    <w:rsid w:val="591700FF"/>
    <w:rsid w:val="5954688A"/>
    <w:rsid w:val="59866495"/>
    <w:rsid w:val="598F1BD0"/>
    <w:rsid w:val="59E47740"/>
    <w:rsid w:val="5A37351D"/>
    <w:rsid w:val="5A3F3ACA"/>
    <w:rsid w:val="5A7916CA"/>
    <w:rsid w:val="5A906796"/>
    <w:rsid w:val="5AD3266C"/>
    <w:rsid w:val="5AD517F9"/>
    <w:rsid w:val="5B05734C"/>
    <w:rsid w:val="5B3523D9"/>
    <w:rsid w:val="5B7B088C"/>
    <w:rsid w:val="5B882414"/>
    <w:rsid w:val="5BA94927"/>
    <w:rsid w:val="5BCB65CC"/>
    <w:rsid w:val="5BFE2F86"/>
    <w:rsid w:val="5BFF53EC"/>
    <w:rsid w:val="5C114178"/>
    <w:rsid w:val="5C331929"/>
    <w:rsid w:val="5CDA33E7"/>
    <w:rsid w:val="5CEB622F"/>
    <w:rsid w:val="5D27657E"/>
    <w:rsid w:val="5D43056B"/>
    <w:rsid w:val="5D646AA7"/>
    <w:rsid w:val="5D71657B"/>
    <w:rsid w:val="5D745F3A"/>
    <w:rsid w:val="5D7D193A"/>
    <w:rsid w:val="5D8A73C8"/>
    <w:rsid w:val="5DD05B5F"/>
    <w:rsid w:val="5E0A19CC"/>
    <w:rsid w:val="5E8048B9"/>
    <w:rsid w:val="5EBE75C7"/>
    <w:rsid w:val="5F3B6A32"/>
    <w:rsid w:val="5F667193"/>
    <w:rsid w:val="5FA84D23"/>
    <w:rsid w:val="5FAC67FA"/>
    <w:rsid w:val="5FED074B"/>
    <w:rsid w:val="5FF03426"/>
    <w:rsid w:val="5FF33B95"/>
    <w:rsid w:val="5FFC0FFC"/>
    <w:rsid w:val="601F7A80"/>
    <w:rsid w:val="60530BE2"/>
    <w:rsid w:val="60D020BC"/>
    <w:rsid w:val="61116C3B"/>
    <w:rsid w:val="611A2DA3"/>
    <w:rsid w:val="614111D4"/>
    <w:rsid w:val="614147D4"/>
    <w:rsid w:val="61687CB6"/>
    <w:rsid w:val="61690221"/>
    <w:rsid w:val="616C22EB"/>
    <w:rsid w:val="6183686F"/>
    <w:rsid w:val="618E1A52"/>
    <w:rsid w:val="619C13A5"/>
    <w:rsid w:val="619C2FD1"/>
    <w:rsid w:val="61A62889"/>
    <w:rsid w:val="61E71135"/>
    <w:rsid w:val="621E4B15"/>
    <w:rsid w:val="62FF78E6"/>
    <w:rsid w:val="63017168"/>
    <w:rsid w:val="633E4694"/>
    <w:rsid w:val="63514A76"/>
    <w:rsid w:val="637D5875"/>
    <w:rsid w:val="63931944"/>
    <w:rsid w:val="63A52D9F"/>
    <w:rsid w:val="63B74933"/>
    <w:rsid w:val="63D45DC3"/>
    <w:rsid w:val="641813B5"/>
    <w:rsid w:val="64360777"/>
    <w:rsid w:val="64491A98"/>
    <w:rsid w:val="64562D15"/>
    <w:rsid w:val="64C37127"/>
    <w:rsid w:val="64CD1E40"/>
    <w:rsid w:val="65025F61"/>
    <w:rsid w:val="651A43EC"/>
    <w:rsid w:val="65312C94"/>
    <w:rsid w:val="656071F2"/>
    <w:rsid w:val="658F19D1"/>
    <w:rsid w:val="658F2672"/>
    <w:rsid w:val="65BB04C7"/>
    <w:rsid w:val="65BF216B"/>
    <w:rsid w:val="65CB4095"/>
    <w:rsid w:val="65CF22EF"/>
    <w:rsid w:val="65D05947"/>
    <w:rsid w:val="65D8147F"/>
    <w:rsid w:val="66064BB5"/>
    <w:rsid w:val="664724AE"/>
    <w:rsid w:val="66A556AA"/>
    <w:rsid w:val="66BA73A0"/>
    <w:rsid w:val="67053F8A"/>
    <w:rsid w:val="673A28B9"/>
    <w:rsid w:val="673A6791"/>
    <w:rsid w:val="67437188"/>
    <w:rsid w:val="67A07D7A"/>
    <w:rsid w:val="67FD365C"/>
    <w:rsid w:val="683E7CBF"/>
    <w:rsid w:val="68807B6B"/>
    <w:rsid w:val="68822F81"/>
    <w:rsid w:val="689A3CB5"/>
    <w:rsid w:val="68A32D0B"/>
    <w:rsid w:val="68AB1C6C"/>
    <w:rsid w:val="68F4037D"/>
    <w:rsid w:val="69025352"/>
    <w:rsid w:val="692E559A"/>
    <w:rsid w:val="692F7608"/>
    <w:rsid w:val="696304FF"/>
    <w:rsid w:val="697119CE"/>
    <w:rsid w:val="69766FE4"/>
    <w:rsid w:val="69BA3375"/>
    <w:rsid w:val="69BF098B"/>
    <w:rsid w:val="69CC30A8"/>
    <w:rsid w:val="6A010FA4"/>
    <w:rsid w:val="6A324051"/>
    <w:rsid w:val="6A40123B"/>
    <w:rsid w:val="6A8045F6"/>
    <w:rsid w:val="6A8B6AC0"/>
    <w:rsid w:val="6A9869BE"/>
    <w:rsid w:val="6A9A4B3B"/>
    <w:rsid w:val="6AA3205B"/>
    <w:rsid w:val="6AE178B3"/>
    <w:rsid w:val="6AE95D91"/>
    <w:rsid w:val="6AED1528"/>
    <w:rsid w:val="6B0015B5"/>
    <w:rsid w:val="6B0053A0"/>
    <w:rsid w:val="6B511155"/>
    <w:rsid w:val="6B802C98"/>
    <w:rsid w:val="6B8B59E5"/>
    <w:rsid w:val="6B9E2823"/>
    <w:rsid w:val="6BAD0D11"/>
    <w:rsid w:val="6BE741CA"/>
    <w:rsid w:val="6C1A423A"/>
    <w:rsid w:val="6C264CF2"/>
    <w:rsid w:val="6C41645B"/>
    <w:rsid w:val="6C496C32"/>
    <w:rsid w:val="6C614D9A"/>
    <w:rsid w:val="6C953C26"/>
    <w:rsid w:val="6CC47F42"/>
    <w:rsid w:val="6CC52495"/>
    <w:rsid w:val="6D9373D2"/>
    <w:rsid w:val="6DB509F0"/>
    <w:rsid w:val="6DB917DC"/>
    <w:rsid w:val="6DFE6878"/>
    <w:rsid w:val="6E6C6C08"/>
    <w:rsid w:val="6EF661DA"/>
    <w:rsid w:val="6EFC72EF"/>
    <w:rsid w:val="6F763A4C"/>
    <w:rsid w:val="6F9555D2"/>
    <w:rsid w:val="6FBD4F30"/>
    <w:rsid w:val="6FC70638"/>
    <w:rsid w:val="7026305C"/>
    <w:rsid w:val="707379AA"/>
    <w:rsid w:val="70BE2E1D"/>
    <w:rsid w:val="71037B98"/>
    <w:rsid w:val="711517D9"/>
    <w:rsid w:val="71265794"/>
    <w:rsid w:val="712672D9"/>
    <w:rsid w:val="71526589"/>
    <w:rsid w:val="715658E9"/>
    <w:rsid w:val="715D308E"/>
    <w:rsid w:val="71A211E2"/>
    <w:rsid w:val="71E52F59"/>
    <w:rsid w:val="71E81464"/>
    <w:rsid w:val="71F65166"/>
    <w:rsid w:val="720304CB"/>
    <w:rsid w:val="722A4E10"/>
    <w:rsid w:val="72420A9F"/>
    <w:rsid w:val="72567DFB"/>
    <w:rsid w:val="725B29BF"/>
    <w:rsid w:val="726B42DF"/>
    <w:rsid w:val="728963C2"/>
    <w:rsid w:val="72A440CB"/>
    <w:rsid w:val="72A6176E"/>
    <w:rsid w:val="72E651DB"/>
    <w:rsid w:val="72E91BB6"/>
    <w:rsid w:val="732710B7"/>
    <w:rsid w:val="733402AF"/>
    <w:rsid w:val="734343DB"/>
    <w:rsid w:val="73B928EF"/>
    <w:rsid w:val="73B9644B"/>
    <w:rsid w:val="73CA4C19"/>
    <w:rsid w:val="73CF69C8"/>
    <w:rsid w:val="73FF037B"/>
    <w:rsid w:val="74070164"/>
    <w:rsid w:val="74246FA2"/>
    <w:rsid w:val="742D14A3"/>
    <w:rsid w:val="743B3304"/>
    <w:rsid w:val="747458E2"/>
    <w:rsid w:val="74D96C57"/>
    <w:rsid w:val="74DA6B1D"/>
    <w:rsid w:val="74EC3567"/>
    <w:rsid w:val="74F000FC"/>
    <w:rsid w:val="7500558D"/>
    <w:rsid w:val="75513299"/>
    <w:rsid w:val="758D4998"/>
    <w:rsid w:val="7595393C"/>
    <w:rsid w:val="75A12046"/>
    <w:rsid w:val="75E257A9"/>
    <w:rsid w:val="75E550A2"/>
    <w:rsid w:val="75EA07A0"/>
    <w:rsid w:val="75EF084A"/>
    <w:rsid w:val="761402B1"/>
    <w:rsid w:val="7614630D"/>
    <w:rsid w:val="7618010E"/>
    <w:rsid w:val="76993DC7"/>
    <w:rsid w:val="76F87DDA"/>
    <w:rsid w:val="773C586C"/>
    <w:rsid w:val="773D5A11"/>
    <w:rsid w:val="77DA2E34"/>
    <w:rsid w:val="77DE0B76"/>
    <w:rsid w:val="78245296"/>
    <w:rsid w:val="78270C3B"/>
    <w:rsid w:val="782F21D6"/>
    <w:rsid w:val="784418E8"/>
    <w:rsid w:val="78774B27"/>
    <w:rsid w:val="787E3729"/>
    <w:rsid w:val="78832E40"/>
    <w:rsid w:val="78AC47D1"/>
    <w:rsid w:val="78D63B79"/>
    <w:rsid w:val="78DB50B6"/>
    <w:rsid w:val="78E51A91"/>
    <w:rsid w:val="78E5389F"/>
    <w:rsid w:val="78EE6865"/>
    <w:rsid w:val="791C4F41"/>
    <w:rsid w:val="79216FB6"/>
    <w:rsid w:val="79872B48"/>
    <w:rsid w:val="79B82965"/>
    <w:rsid w:val="79C4331A"/>
    <w:rsid w:val="7A220080"/>
    <w:rsid w:val="7A2A2BBE"/>
    <w:rsid w:val="7A2F74E4"/>
    <w:rsid w:val="7A6C1CC3"/>
    <w:rsid w:val="7ACC3527"/>
    <w:rsid w:val="7ACD709A"/>
    <w:rsid w:val="7AEF4E49"/>
    <w:rsid w:val="7B02692A"/>
    <w:rsid w:val="7B4547A0"/>
    <w:rsid w:val="7B5D0D72"/>
    <w:rsid w:val="7B9F061D"/>
    <w:rsid w:val="7BA9149B"/>
    <w:rsid w:val="7BDA37F1"/>
    <w:rsid w:val="7BFD31C2"/>
    <w:rsid w:val="7C0A2122"/>
    <w:rsid w:val="7C5F1C3D"/>
    <w:rsid w:val="7C8909CB"/>
    <w:rsid w:val="7CBB1486"/>
    <w:rsid w:val="7CD5418D"/>
    <w:rsid w:val="7CEC1060"/>
    <w:rsid w:val="7D364C8A"/>
    <w:rsid w:val="7D9F519D"/>
    <w:rsid w:val="7DB96A75"/>
    <w:rsid w:val="7DE82555"/>
    <w:rsid w:val="7DF52776"/>
    <w:rsid w:val="7E3030AD"/>
    <w:rsid w:val="7E326F60"/>
    <w:rsid w:val="7E4C610E"/>
    <w:rsid w:val="7E914EF8"/>
    <w:rsid w:val="7EC300D7"/>
    <w:rsid w:val="7ED14F91"/>
    <w:rsid w:val="7EFB62E1"/>
    <w:rsid w:val="7F4A4D43"/>
    <w:rsid w:val="7F516799"/>
    <w:rsid w:val="7F8026CA"/>
    <w:rsid w:val="7FA722B7"/>
    <w:rsid w:val="7FB843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semiHidden="0" w:name="annotation reference"/>
    <w:lsdException w:qFormat="1" w:unhideWhenUsed="0" w:uiPriority="99"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iPriority="99"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64"/>
    <w:qFormat/>
    <w:uiPriority w:val="0"/>
    <w:pPr>
      <w:keepNext/>
      <w:keepLines/>
      <w:numPr>
        <w:ilvl w:val="0"/>
        <w:numId w:val="1"/>
      </w:numPr>
      <w:spacing w:before="340" w:after="330" w:line="578" w:lineRule="auto"/>
      <w:outlineLvl w:val="0"/>
    </w:pPr>
    <w:rPr>
      <w:b/>
      <w:kern w:val="44"/>
      <w:sz w:val="44"/>
      <w:szCs w:val="20"/>
    </w:rPr>
  </w:style>
  <w:style w:type="paragraph" w:styleId="6">
    <w:name w:val="heading 2"/>
    <w:basedOn w:val="1"/>
    <w:next w:val="1"/>
    <w:link w:val="100"/>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130"/>
    <w:qFormat/>
    <w:uiPriority w:val="0"/>
    <w:pPr>
      <w:keepNext/>
      <w:keepLines/>
      <w:spacing w:line="360" w:lineRule="auto"/>
      <w:jc w:val="left"/>
      <w:outlineLvl w:val="2"/>
    </w:pPr>
    <w:rPr>
      <w:rFonts w:eastAsia="微软雅黑"/>
      <w:b/>
      <w:bCs/>
      <w:sz w:val="21"/>
      <w:szCs w:val="32"/>
    </w:rPr>
  </w:style>
  <w:style w:type="paragraph" w:styleId="8">
    <w:name w:val="heading 4"/>
    <w:basedOn w:val="1"/>
    <w:next w:val="1"/>
    <w:link w:val="116"/>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qFormat/>
    <w:uiPriority w:val="0"/>
    <w:pPr>
      <w:keepNext/>
      <w:keepLines/>
      <w:spacing w:before="280" w:after="290" w:line="376" w:lineRule="auto"/>
      <w:outlineLvl w:val="4"/>
    </w:pPr>
    <w:rPr>
      <w:b/>
      <w:bCs/>
      <w:sz w:val="28"/>
      <w:szCs w:val="28"/>
    </w:rPr>
  </w:style>
  <w:style w:type="paragraph" w:styleId="10">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11">
    <w:name w:val="heading 7"/>
    <w:basedOn w:val="1"/>
    <w:next w:val="1"/>
    <w:qFormat/>
    <w:uiPriority w:val="0"/>
    <w:pPr>
      <w:keepNext/>
      <w:keepLines/>
      <w:spacing w:before="240" w:after="64" w:line="320" w:lineRule="auto"/>
      <w:outlineLvl w:val="6"/>
    </w:pPr>
    <w:rPr>
      <w:b/>
      <w:bCs/>
      <w:sz w:val="24"/>
    </w:rPr>
  </w:style>
  <w:style w:type="paragraph" w:styleId="12">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link w:val="145"/>
    <w:qFormat/>
    <w:uiPriority w:val="0"/>
    <w:pPr>
      <w:spacing w:after="120"/>
      <w:ind w:left="420" w:leftChars="200"/>
    </w:pPr>
  </w:style>
  <w:style w:type="paragraph" w:styleId="4">
    <w:name w:val="Normal Indent"/>
    <w:basedOn w:val="1"/>
    <w:next w:val="1"/>
    <w:link w:val="133"/>
    <w:qFormat/>
    <w:uiPriority w:val="0"/>
    <w:pPr>
      <w:adjustRightInd w:val="0"/>
      <w:spacing w:line="315" w:lineRule="atLeast"/>
      <w:ind w:firstLine="420"/>
      <w:jc w:val="left"/>
      <w:textAlignment w:val="baseline"/>
    </w:pPr>
    <w:rPr>
      <w:rFonts w:ascii="宋体"/>
      <w:kern w:val="0"/>
      <w:szCs w:val="20"/>
    </w:rPr>
  </w:style>
  <w:style w:type="paragraph" w:styleId="14">
    <w:name w:val="List 3"/>
    <w:basedOn w:val="1"/>
    <w:qFormat/>
    <w:uiPriority w:val="99"/>
    <w:pPr>
      <w:ind w:left="100" w:leftChars="400" w:hanging="200" w:hangingChars="200"/>
    </w:pPr>
    <w:rPr>
      <w:szCs w:val="20"/>
    </w:rPr>
  </w:style>
  <w:style w:type="paragraph" w:styleId="15">
    <w:name w:val="toc 7"/>
    <w:basedOn w:val="1"/>
    <w:next w:val="1"/>
    <w:qFormat/>
    <w:uiPriority w:val="99"/>
    <w:pPr>
      <w:ind w:left="2520" w:leftChars="1200"/>
    </w:pPr>
  </w:style>
  <w:style w:type="paragraph" w:styleId="16">
    <w:name w:val="List Number"/>
    <w:basedOn w:val="1"/>
    <w:qFormat/>
    <w:uiPriority w:val="0"/>
    <w:pPr>
      <w:tabs>
        <w:tab w:val="left" w:pos="360"/>
        <w:tab w:val="left" w:pos="5220"/>
      </w:tabs>
      <w:ind w:left="4530" w:hanging="1110"/>
    </w:pPr>
    <w:rPr>
      <w:szCs w:val="21"/>
    </w:rPr>
  </w:style>
  <w:style w:type="paragraph" w:styleId="17">
    <w:name w:val="caption"/>
    <w:basedOn w:val="1"/>
    <w:next w:val="1"/>
    <w:qFormat/>
    <w:uiPriority w:val="0"/>
    <w:rPr>
      <w:rFonts w:ascii="Cambria" w:hAnsi="Cambria" w:eastAsia="黑体"/>
      <w:sz w:val="20"/>
      <w:szCs w:val="20"/>
    </w:rPr>
  </w:style>
  <w:style w:type="paragraph" w:styleId="18">
    <w:name w:val="Document Map"/>
    <w:basedOn w:val="1"/>
    <w:semiHidden/>
    <w:qFormat/>
    <w:uiPriority w:val="0"/>
    <w:pPr>
      <w:shd w:val="clear" w:color="auto" w:fill="000080"/>
    </w:pPr>
  </w:style>
  <w:style w:type="paragraph" w:styleId="19">
    <w:name w:val="annotation text"/>
    <w:basedOn w:val="1"/>
    <w:link w:val="128"/>
    <w:qFormat/>
    <w:uiPriority w:val="99"/>
    <w:pPr>
      <w:jc w:val="left"/>
    </w:pPr>
  </w:style>
  <w:style w:type="paragraph" w:styleId="20">
    <w:name w:val="Salutation"/>
    <w:basedOn w:val="1"/>
    <w:next w:val="1"/>
    <w:link w:val="163"/>
    <w:qFormat/>
    <w:uiPriority w:val="0"/>
    <w:pPr>
      <w:tabs>
        <w:tab w:val="left" w:pos="306"/>
        <w:tab w:val="left" w:pos="1078"/>
      </w:tabs>
    </w:pPr>
    <w:rPr>
      <w:rFonts w:ascii="宋体"/>
      <w:sz w:val="24"/>
      <w:szCs w:val="20"/>
    </w:rPr>
  </w:style>
  <w:style w:type="paragraph" w:styleId="21">
    <w:name w:val="Body Text 3"/>
    <w:basedOn w:val="1"/>
    <w:qFormat/>
    <w:uiPriority w:val="0"/>
    <w:pPr>
      <w:jc w:val="center"/>
    </w:pPr>
    <w:rPr>
      <w:rFonts w:ascii="宋体"/>
      <w:szCs w:val="20"/>
    </w:rPr>
  </w:style>
  <w:style w:type="paragraph" w:styleId="22">
    <w:name w:val="Body Text"/>
    <w:basedOn w:val="1"/>
    <w:next w:val="1"/>
    <w:link w:val="87"/>
    <w:qFormat/>
    <w:uiPriority w:val="0"/>
    <w:pPr>
      <w:spacing w:after="120"/>
    </w:pPr>
  </w:style>
  <w:style w:type="paragraph" w:styleId="23">
    <w:name w:val="List 2"/>
    <w:basedOn w:val="1"/>
    <w:qFormat/>
    <w:uiPriority w:val="0"/>
    <w:pPr>
      <w:ind w:left="100" w:leftChars="200" w:hanging="200" w:hangingChars="200"/>
    </w:pPr>
    <w:rPr>
      <w:szCs w:val="21"/>
    </w:rPr>
  </w:style>
  <w:style w:type="paragraph" w:styleId="24">
    <w:name w:val="Block Text"/>
    <w:basedOn w:val="1"/>
    <w:unhideWhenUsed/>
    <w:qFormat/>
    <w:uiPriority w:val="99"/>
    <w:pPr>
      <w:spacing w:after="120"/>
      <w:ind w:left="1440" w:leftChars="700" w:right="1440" w:rightChars="700"/>
    </w:pPr>
    <w:rPr>
      <w:szCs w:val="21"/>
    </w:rPr>
  </w:style>
  <w:style w:type="paragraph" w:styleId="25">
    <w:name w:val="toc 5"/>
    <w:basedOn w:val="1"/>
    <w:next w:val="1"/>
    <w:qFormat/>
    <w:uiPriority w:val="99"/>
    <w:pPr>
      <w:ind w:left="1680" w:leftChars="800"/>
    </w:pPr>
  </w:style>
  <w:style w:type="paragraph" w:styleId="26">
    <w:name w:val="toc 3"/>
    <w:basedOn w:val="1"/>
    <w:next w:val="1"/>
    <w:qFormat/>
    <w:uiPriority w:val="99"/>
    <w:pPr>
      <w:tabs>
        <w:tab w:val="right" w:leader="dot" w:pos="9180"/>
      </w:tabs>
    </w:pPr>
  </w:style>
  <w:style w:type="paragraph" w:styleId="27">
    <w:name w:val="Plain Text"/>
    <w:basedOn w:val="1"/>
    <w:next w:val="1"/>
    <w:link w:val="114"/>
    <w:qFormat/>
    <w:uiPriority w:val="0"/>
    <w:rPr>
      <w:rFonts w:ascii="宋体" w:hAnsi="Courier New"/>
      <w:szCs w:val="21"/>
    </w:rPr>
  </w:style>
  <w:style w:type="paragraph" w:styleId="28">
    <w:name w:val="toc 8"/>
    <w:basedOn w:val="1"/>
    <w:next w:val="1"/>
    <w:qFormat/>
    <w:uiPriority w:val="99"/>
    <w:pPr>
      <w:ind w:left="2940" w:leftChars="1400"/>
    </w:pPr>
  </w:style>
  <w:style w:type="paragraph" w:styleId="29">
    <w:name w:val="Date"/>
    <w:basedOn w:val="1"/>
    <w:next w:val="1"/>
    <w:link w:val="77"/>
    <w:qFormat/>
    <w:uiPriority w:val="0"/>
    <w:pPr>
      <w:adjustRightInd w:val="0"/>
      <w:spacing w:line="312" w:lineRule="atLeast"/>
      <w:textAlignment w:val="baseline"/>
    </w:pPr>
    <w:rPr>
      <w:rFonts w:ascii="仿宋_GB2312" w:eastAsia="仿宋_GB2312"/>
      <w:kern w:val="0"/>
      <w:sz w:val="28"/>
      <w:szCs w:val="20"/>
    </w:rPr>
  </w:style>
  <w:style w:type="paragraph" w:styleId="30">
    <w:name w:val="Body Text Indent 2"/>
    <w:basedOn w:val="1"/>
    <w:link w:val="76"/>
    <w:qFormat/>
    <w:uiPriority w:val="0"/>
    <w:pPr>
      <w:spacing w:after="120" w:line="480" w:lineRule="auto"/>
      <w:ind w:left="420" w:leftChars="200"/>
    </w:pPr>
  </w:style>
  <w:style w:type="paragraph" w:styleId="31">
    <w:name w:val="endnote text"/>
    <w:basedOn w:val="1"/>
    <w:link w:val="165"/>
    <w:qFormat/>
    <w:uiPriority w:val="0"/>
    <w:pPr>
      <w:snapToGrid w:val="0"/>
      <w:jc w:val="left"/>
    </w:pPr>
  </w:style>
  <w:style w:type="paragraph" w:styleId="32">
    <w:name w:val="Balloon Text"/>
    <w:basedOn w:val="1"/>
    <w:link w:val="169"/>
    <w:qFormat/>
    <w:uiPriority w:val="0"/>
    <w:rPr>
      <w:sz w:val="18"/>
      <w:szCs w:val="18"/>
    </w:rPr>
  </w:style>
  <w:style w:type="paragraph" w:styleId="33">
    <w:name w:val="footer"/>
    <w:basedOn w:val="1"/>
    <w:link w:val="147"/>
    <w:qFormat/>
    <w:uiPriority w:val="0"/>
    <w:pPr>
      <w:tabs>
        <w:tab w:val="center" w:pos="4153"/>
        <w:tab w:val="right" w:pos="8306"/>
      </w:tabs>
      <w:adjustRightInd w:val="0"/>
      <w:spacing w:line="240" w:lineRule="atLeast"/>
      <w:jc w:val="left"/>
      <w:textAlignment w:val="baseline"/>
    </w:pPr>
    <w:rPr>
      <w:kern w:val="0"/>
      <w:sz w:val="18"/>
      <w:szCs w:val="20"/>
    </w:rPr>
  </w:style>
  <w:style w:type="paragraph" w:styleId="34">
    <w:name w:val="header"/>
    <w:basedOn w:val="1"/>
    <w:link w:val="148"/>
    <w:qFormat/>
    <w:uiPriority w:val="99"/>
    <w:pPr>
      <w:pBdr>
        <w:bottom w:val="single" w:color="auto" w:sz="6" w:space="1"/>
      </w:pBdr>
      <w:tabs>
        <w:tab w:val="center" w:pos="4153"/>
        <w:tab w:val="right" w:pos="8306"/>
      </w:tabs>
      <w:adjustRightInd w:val="0"/>
      <w:spacing w:line="240" w:lineRule="atLeast"/>
      <w:jc w:val="center"/>
      <w:textAlignment w:val="baseline"/>
    </w:pPr>
    <w:rPr>
      <w:kern w:val="0"/>
      <w:sz w:val="18"/>
      <w:szCs w:val="20"/>
    </w:rPr>
  </w:style>
  <w:style w:type="paragraph" w:styleId="35">
    <w:name w:val="toc 1"/>
    <w:basedOn w:val="1"/>
    <w:next w:val="1"/>
    <w:qFormat/>
    <w:uiPriority w:val="39"/>
    <w:pPr>
      <w:tabs>
        <w:tab w:val="right" w:leader="dot" w:pos="8834"/>
      </w:tabs>
      <w:spacing w:line="600" w:lineRule="exact"/>
    </w:pPr>
    <w:rPr>
      <w:szCs w:val="28"/>
    </w:rPr>
  </w:style>
  <w:style w:type="paragraph" w:styleId="36">
    <w:name w:val="toc 4"/>
    <w:basedOn w:val="1"/>
    <w:next w:val="1"/>
    <w:qFormat/>
    <w:uiPriority w:val="99"/>
    <w:pPr>
      <w:ind w:left="1260" w:leftChars="600"/>
    </w:pPr>
  </w:style>
  <w:style w:type="paragraph" w:styleId="37">
    <w:name w:val="Subtitle"/>
    <w:basedOn w:val="1"/>
    <w:next w:val="1"/>
    <w:link w:val="150"/>
    <w:qFormat/>
    <w:uiPriority w:val="0"/>
    <w:pPr>
      <w:spacing w:before="240" w:after="60" w:line="312" w:lineRule="auto"/>
      <w:jc w:val="center"/>
      <w:outlineLvl w:val="1"/>
    </w:pPr>
    <w:rPr>
      <w:rFonts w:ascii="Calibri Light" w:hAnsi="Calibri Light"/>
      <w:b/>
      <w:bCs/>
      <w:kern w:val="28"/>
      <w:sz w:val="32"/>
      <w:szCs w:val="32"/>
    </w:rPr>
  </w:style>
  <w:style w:type="paragraph" w:styleId="38">
    <w:name w:val="footnote text"/>
    <w:basedOn w:val="1"/>
    <w:link w:val="160"/>
    <w:qFormat/>
    <w:uiPriority w:val="0"/>
    <w:pPr>
      <w:snapToGrid w:val="0"/>
      <w:jc w:val="left"/>
    </w:pPr>
    <w:rPr>
      <w:sz w:val="18"/>
      <w:szCs w:val="18"/>
    </w:rPr>
  </w:style>
  <w:style w:type="paragraph" w:styleId="39">
    <w:name w:val="toc 6"/>
    <w:basedOn w:val="1"/>
    <w:next w:val="1"/>
    <w:qFormat/>
    <w:uiPriority w:val="99"/>
    <w:pPr>
      <w:ind w:left="2100" w:leftChars="1000"/>
    </w:pPr>
  </w:style>
  <w:style w:type="paragraph" w:styleId="40">
    <w:name w:val="Body Text Indent 3"/>
    <w:basedOn w:val="1"/>
    <w:link w:val="74"/>
    <w:qFormat/>
    <w:uiPriority w:val="0"/>
    <w:pPr>
      <w:spacing w:after="120"/>
      <w:ind w:left="420" w:leftChars="200"/>
    </w:pPr>
    <w:rPr>
      <w:sz w:val="16"/>
      <w:szCs w:val="16"/>
    </w:rPr>
  </w:style>
  <w:style w:type="paragraph" w:styleId="41">
    <w:name w:val="table of figures"/>
    <w:basedOn w:val="1"/>
    <w:next w:val="1"/>
    <w:semiHidden/>
    <w:qFormat/>
    <w:uiPriority w:val="0"/>
    <w:pPr>
      <w:tabs>
        <w:tab w:val="left" w:pos="510"/>
      </w:tabs>
      <w:adjustRightInd w:val="0"/>
      <w:spacing w:line="240" w:lineRule="atLeast"/>
      <w:textAlignment w:val="baseline"/>
    </w:pPr>
    <w:rPr>
      <w:kern w:val="0"/>
      <w:sz w:val="24"/>
      <w:szCs w:val="20"/>
    </w:rPr>
  </w:style>
  <w:style w:type="paragraph" w:styleId="42">
    <w:name w:val="toc 2"/>
    <w:basedOn w:val="1"/>
    <w:next w:val="1"/>
    <w:qFormat/>
    <w:uiPriority w:val="99"/>
    <w:pPr>
      <w:tabs>
        <w:tab w:val="right" w:leader="dot" w:pos="9180"/>
      </w:tabs>
      <w:jc w:val="left"/>
    </w:pPr>
    <w:rPr>
      <w:smallCaps/>
    </w:rPr>
  </w:style>
  <w:style w:type="paragraph" w:styleId="43">
    <w:name w:val="toc 9"/>
    <w:basedOn w:val="1"/>
    <w:next w:val="1"/>
    <w:qFormat/>
    <w:uiPriority w:val="99"/>
    <w:pPr>
      <w:ind w:left="3360" w:leftChars="1600"/>
    </w:pPr>
  </w:style>
  <w:style w:type="paragraph" w:styleId="44">
    <w:name w:val="Body Text 2"/>
    <w:basedOn w:val="1"/>
    <w:link w:val="149"/>
    <w:qFormat/>
    <w:uiPriority w:val="0"/>
    <w:rPr>
      <w:sz w:val="24"/>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99"/>
  </w:style>
  <w:style w:type="paragraph" w:styleId="47">
    <w:name w:val="Title"/>
    <w:basedOn w:val="1"/>
    <w:next w:val="1"/>
    <w:link w:val="167"/>
    <w:qFormat/>
    <w:uiPriority w:val="0"/>
    <w:pPr>
      <w:spacing w:before="240" w:after="60"/>
      <w:jc w:val="center"/>
      <w:outlineLvl w:val="0"/>
    </w:pPr>
    <w:rPr>
      <w:rFonts w:ascii="Cambria" w:hAnsi="Cambria"/>
      <w:b/>
      <w:bCs/>
      <w:sz w:val="32"/>
      <w:szCs w:val="32"/>
    </w:rPr>
  </w:style>
  <w:style w:type="paragraph" w:styleId="48">
    <w:name w:val="annotation subject"/>
    <w:basedOn w:val="19"/>
    <w:next w:val="19"/>
    <w:link w:val="82"/>
    <w:unhideWhenUsed/>
    <w:qFormat/>
    <w:uiPriority w:val="99"/>
    <w:rPr>
      <w:b/>
      <w:bCs/>
    </w:rPr>
  </w:style>
  <w:style w:type="paragraph" w:styleId="49">
    <w:name w:val="Body Text First Indent"/>
    <w:basedOn w:val="22"/>
    <w:next w:val="1"/>
    <w:link w:val="119"/>
    <w:qFormat/>
    <w:uiPriority w:val="0"/>
    <w:pPr>
      <w:autoSpaceDE w:val="0"/>
      <w:autoSpaceDN w:val="0"/>
      <w:adjustRightInd w:val="0"/>
      <w:spacing w:after="0"/>
      <w:jc w:val="left"/>
    </w:pPr>
    <w:rPr>
      <w:kern w:val="0"/>
      <w:szCs w:val="20"/>
    </w:rPr>
  </w:style>
  <w:style w:type="table" w:styleId="51">
    <w:name w:val="Table Grid"/>
    <w:basedOn w:val="5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qFormat/>
    <w:uiPriority w:val="99"/>
    <w:rPr>
      <w:b/>
      <w:bCs/>
    </w:rPr>
  </w:style>
  <w:style w:type="character" w:styleId="54">
    <w:name w:val="endnote reference"/>
    <w:qFormat/>
    <w:uiPriority w:val="0"/>
    <w:rPr>
      <w:vertAlign w:val="superscript"/>
    </w:rPr>
  </w:style>
  <w:style w:type="character" w:styleId="55">
    <w:name w:val="page number"/>
    <w:basedOn w:val="52"/>
    <w:qFormat/>
    <w:uiPriority w:val="0"/>
  </w:style>
  <w:style w:type="character" w:styleId="56">
    <w:name w:val="FollowedHyperlink"/>
    <w:qFormat/>
    <w:uiPriority w:val="99"/>
    <w:rPr>
      <w:color w:val="800080"/>
      <w:u w:val="single"/>
    </w:rPr>
  </w:style>
  <w:style w:type="character" w:styleId="57">
    <w:name w:val="line number"/>
    <w:qFormat/>
    <w:uiPriority w:val="99"/>
  </w:style>
  <w:style w:type="character" w:styleId="58">
    <w:name w:val="HTML Typewriter"/>
    <w:qFormat/>
    <w:uiPriority w:val="0"/>
    <w:rPr>
      <w:rFonts w:ascii="黑体" w:hAnsi="Courier New" w:eastAsia="黑体" w:cs="Courier New"/>
      <w:spacing w:val="312"/>
      <w:sz w:val="18"/>
      <w:szCs w:val="18"/>
    </w:rPr>
  </w:style>
  <w:style w:type="character" w:styleId="59">
    <w:name w:val="Hyperlink"/>
    <w:qFormat/>
    <w:uiPriority w:val="99"/>
    <w:rPr>
      <w:color w:val="0000FF"/>
      <w:u w:val="single"/>
    </w:rPr>
  </w:style>
  <w:style w:type="character" w:styleId="60">
    <w:name w:val="annotation reference"/>
    <w:unhideWhenUsed/>
    <w:qFormat/>
    <w:uiPriority w:val="99"/>
    <w:rPr>
      <w:sz w:val="21"/>
      <w:szCs w:val="21"/>
    </w:rPr>
  </w:style>
  <w:style w:type="character" w:styleId="61">
    <w:name w:val="footnote reference"/>
    <w:qFormat/>
    <w:uiPriority w:val="0"/>
    <w:rPr>
      <w:vertAlign w:val="superscript"/>
    </w:rPr>
  </w:style>
  <w:style w:type="paragraph" w:customStyle="1" w:styleId="62">
    <w:name w:val="FC正文"/>
    <w:basedOn w:val="1"/>
    <w:qFormat/>
    <w:uiPriority w:val="0"/>
    <w:pPr>
      <w:autoSpaceDE w:val="0"/>
      <w:autoSpaceDN w:val="0"/>
      <w:adjustRightInd w:val="0"/>
      <w:spacing w:line="360" w:lineRule="auto"/>
      <w:ind w:firstLine="200" w:firstLineChars="200"/>
    </w:pPr>
    <w:rPr>
      <w:rFonts w:ascii="宋体" w:hAnsi="宋体"/>
      <w:kern w:val="0"/>
      <w:sz w:val="24"/>
      <w:szCs w:val="28"/>
    </w:rPr>
  </w:style>
  <w:style w:type="paragraph" w:customStyle="1" w:styleId="63">
    <w:name w:val="Body Text First Indent 21"/>
    <w:basedOn w:val="64"/>
    <w:qFormat/>
    <w:uiPriority w:val="99"/>
    <w:pPr>
      <w:ind w:firstLine="420"/>
    </w:pPr>
  </w:style>
  <w:style w:type="paragraph" w:customStyle="1" w:styleId="64">
    <w:name w:val="Body Text Indent1"/>
    <w:basedOn w:val="1"/>
    <w:qFormat/>
    <w:uiPriority w:val="99"/>
    <w:pPr>
      <w:ind w:left="420" w:leftChars="200"/>
    </w:pPr>
    <w:rPr>
      <w:rFonts w:ascii="Times New Roman" w:hAnsi="Times New Roman"/>
    </w:rPr>
  </w:style>
  <w:style w:type="paragraph" w:customStyle="1" w:styleId="65">
    <w:name w:val="表格文字"/>
    <w:basedOn w:val="1"/>
    <w:next w:val="22"/>
    <w:qFormat/>
    <w:uiPriority w:val="0"/>
    <w:pPr>
      <w:jc w:val="left"/>
    </w:pPr>
    <w:rPr>
      <w:szCs w:val="22"/>
    </w:rPr>
  </w:style>
  <w:style w:type="character" w:customStyle="1" w:styleId="66">
    <w:name w:val="三级 Char"/>
    <w:link w:val="67"/>
    <w:qFormat/>
    <w:uiPriority w:val="0"/>
    <w:rPr>
      <w:rFonts w:eastAsia="黑体"/>
      <w:kern w:val="2"/>
      <w:sz w:val="24"/>
      <w:szCs w:val="22"/>
    </w:rPr>
  </w:style>
  <w:style w:type="paragraph" w:customStyle="1" w:styleId="67">
    <w:name w:val="三级"/>
    <w:basedOn w:val="1"/>
    <w:link w:val="66"/>
    <w:qFormat/>
    <w:uiPriority w:val="0"/>
    <w:pPr>
      <w:spacing w:before="120" w:after="120" w:line="400" w:lineRule="exact"/>
    </w:pPr>
    <w:rPr>
      <w:rFonts w:eastAsia="黑体"/>
      <w:sz w:val="24"/>
      <w:szCs w:val="22"/>
    </w:rPr>
  </w:style>
  <w:style w:type="character" w:customStyle="1" w:styleId="68">
    <w:name w:val="副标题 Char"/>
    <w:qFormat/>
    <w:uiPriority w:val="0"/>
    <w:rPr>
      <w:rFonts w:ascii="Calibri Light" w:hAnsi="Calibri Light" w:cs="Times New Roman"/>
      <w:b/>
      <w:bCs/>
      <w:kern w:val="28"/>
      <w:sz w:val="32"/>
      <w:szCs w:val="32"/>
    </w:rPr>
  </w:style>
  <w:style w:type="character" w:customStyle="1" w:styleId="69">
    <w:name w:val="标题 1 Char"/>
    <w:qFormat/>
    <w:locked/>
    <w:uiPriority w:val="0"/>
    <w:rPr>
      <w:rFonts w:eastAsia="宋体"/>
      <w:b/>
      <w:bCs/>
      <w:kern w:val="44"/>
      <w:sz w:val="44"/>
      <w:szCs w:val="44"/>
      <w:lang w:val="en-US" w:eastAsia="zh-CN" w:bidi="ar-SA"/>
    </w:rPr>
  </w:style>
  <w:style w:type="character" w:customStyle="1" w:styleId="70">
    <w:name w:val="font01"/>
    <w:qFormat/>
    <w:uiPriority w:val="0"/>
    <w:rPr>
      <w:rFonts w:hint="eastAsia" w:ascii="宋体" w:hAnsi="宋体" w:eastAsia="宋体" w:cs="宋体"/>
      <w:color w:val="000000"/>
      <w:sz w:val="20"/>
      <w:szCs w:val="20"/>
      <w:u w:val="none"/>
      <w:vertAlign w:val="superscript"/>
    </w:rPr>
  </w:style>
  <w:style w:type="character" w:customStyle="1" w:styleId="71">
    <w:name w:val="font51"/>
    <w:basedOn w:val="52"/>
    <w:qFormat/>
    <w:uiPriority w:val="0"/>
    <w:rPr>
      <w:rFonts w:hint="default" w:ascii="Times New Roman" w:hAnsi="Times New Roman" w:cs="Times New Roman"/>
      <w:color w:val="000000"/>
      <w:sz w:val="20"/>
      <w:szCs w:val="20"/>
      <w:u w:val="none"/>
    </w:rPr>
  </w:style>
  <w:style w:type="character" w:customStyle="1" w:styleId="72">
    <w:name w:val="Footnote Text Char1"/>
    <w:semiHidden/>
    <w:qFormat/>
    <w:uiPriority w:val="99"/>
    <w:rPr>
      <w:sz w:val="18"/>
      <w:szCs w:val="18"/>
    </w:rPr>
  </w:style>
  <w:style w:type="character" w:customStyle="1" w:styleId="73">
    <w:name w:val="Date Char1"/>
    <w:semiHidden/>
    <w:qFormat/>
    <w:uiPriority w:val="99"/>
    <w:rPr>
      <w:szCs w:val="20"/>
    </w:rPr>
  </w:style>
  <w:style w:type="character" w:customStyle="1" w:styleId="74">
    <w:name w:val="正文文本缩进 3 Char"/>
    <w:link w:val="40"/>
    <w:qFormat/>
    <w:uiPriority w:val="0"/>
    <w:rPr>
      <w:kern w:val="2"/>
      <w:sz w:val="16"/>
      <w:szCs w:val="16"/>
    </w:rPr>
  </w:style>
  <w:style w:type="character" w:customStyle="1" w:styleId="75">
    <w:name w:val="Body Text Indent Char1"/>
    <w:semiHidden/>
    <w:qFormat/>
    <w:uiPriority w:val="99"/>
    <w:rPr>
      <w:szCs w:val="20"/>
    </w:rPr>
  </w:style>
  <w:style w:type="character" w:customStyle="1" w:styleId="76">
    <w:name w:val="正文文本缩进 2 Char"/>
    <w:link w:val="30"/>
    <w:qFormat/>
    <w:uiPriority w:val="0"/>
    <w:rPr>
      <w:kern w:val="2"/>
      <w:sz w:val="21"/>
      <w:szCs w:val="24"/>
    </w:rPr>
  </w:style>
  <w:style w:type="character" w:customStyle="1" w:styleId="77">
    <w:name w:val="日期 Char"/>
    <w:link w:val="29"/>
    <w:qFormat/>
    <w:uiPriority w:val="0"/>
    <w:rPr>
      <w:rFonts w:ascii="仿宋_GB2312" w:eastAsia="仿宋_GB2312"/>
      <w:sz w:val="28"/>
    </w:rPr>
  </w:style>
  <w:style w:type="character" w:customStyle="1" w:styleId="78">
    <w:name w:val="Body Text Indent 2 Char1"/>
    <w:semiHidden/>
    <w:qFormat/>
    <w:uiPriority w:val="99"/>
    <w:rPr>
      <w:szCs w:val="20"/>
    </w:rPr>
  </w:style>
  <w:style w:type="character" w:customStyle="1" w:styleId="79">
    <w:name w:val="列出段落 Char"/>
    <w:link w:val="80"/>
    <w:qFormat/>
    <w:locked/>
    <w:uiPriority w:val="0"/>
    <w:rPr>
      <w:kern w:val="2"/>
      <w:sz w:val="21"/>
      <w:szCs w:val="24"/>
    </w:rPr>
  </w:style>
  <w:style w:type="paragraph" w:styleId="80">
    <w:name w:val="List Paragraph"/>
    <w:basedOn w:val="1"/>
    <w:link w:val="79"/>
    <w:qFormat/>
    <w:uiPriority w:val="0"/>
    <w:pPr>
      <w:ind w:firstLine="420" w:firstLineChars="200"/>
    </w:pPr>
  </w:style>
  <w:style w:type="character" w:customStyle="1" w:styleId="81">
    <w:name w:val="Char Char10"/>
    <w:qFormat/>
    <w:locked/>
    <w:uiPriority w:val="0"/>
    <w:rPr>
      <w:rFonts w:ascii="宋体" w:hAnsi="Courier New" w:eastAsia="宋体" w:cs="宋体"/>
      <w:lang w:val="en-US" w:eastAsia="zh-CN"/>
    </w:rPr>
  </w:style>
  <w:style w:type="character" w:customStyle="1" w:styleId="82">
    <w:name w:val="批注主题 Char2"/>
    <w:link w:val="48"/>
    <w:qFormat/>
    <w:uiPriority w:val="99"/>
    <w:rPr>
      <w:b/>
      <w:bCs/>
      <w:kern w:val="2"/>
      <w:sz w:val="21"/>
      <w:szCs w:val="24"/>
    </w:rPr>
  </w:style>
  <w:style w:type="character" w:customStyle="1" w:styleId="83">
    <w:name w:val="jbox-icon-success"/>
    <w:qFormat/>
    <w:uiPriority w:val="0"/>
  </w:style>
  <w:style w:type="character" w:customStyle="1" w:styleId="84">
    <w:name w:val="正文缩进 Char1"/>
    <w:qFormat/>
    <w:uiPriority w:val="0"/>
    <w:rPr>
      <w:sz w:val="21"/>
      <w:szCs w:val="21"/>
    </w:rPr>
  </w:style>
  <w:style w:type="character" w:customStyle="1" w:styleId="85">
    <w:name w:val="z-窗体顶端 Char1"/>
    <w:qFormat/>
    <w:uiPriority w:val="99"/>
    <w:rPr>
      <w:rFonts w:ascii="Arial" w:hAnsi="Arial" w:cs="Arial"/>
      <w:vanish/>
      <w:sz w:val="16"/>
      <w:szCs w:val="16"/>
    </w:rPr>
  </w:style>
  <w:style w:type="character" w:customStyle="1" w:styleId="86">
    <w:name w:val="批注文字 Char1"/>
    <w:qFormat/>
    <w:uiPriority w:val="99"/>
    <w:rPr>
      <w:kern w:val="2"/>
      <w:sz w:val="21"/>
      <w:szCs w:val="24"/>
    </w:rPr>
  </w:style>
  <w:style w:type="character" w:customStyle="1" w:styleId="87">
    <w:name w:val="正文文本 Char"/>
    <w:link w:val="22"/>
    <w:qFormat/>
    <w:uiPriority w:val="0"/>
    <w:rPr>
      <w:kern w:val="2"/>
      <w:sz w:val="21"/>
      <w:szCs w:val="24"/>
    </w:rPr>
  </w:style>
  <w:style w:type="character" w:customStyle="1" w:styleId="88">
    <w:name w:val="Body Text Char1"/>
    <w:semiHidden/>
    <w:qFormat/>
    <w:uiPriority w:val="99"/>
    <w:rPr>
      <w:szCs w:val="20"/>
    </w:rPr>
  </w:style>
  <w:style w:type="character" w:customStyle="1" w:styleId="89">
    <w:name w:val="en"/>
    <w:qFormat/>
    <w:uiPriority w:val="0"/>
  </w:style>
  <w:style w:type="character" w:customStyle="1" w:styleId="90">
    <w:name w:val="批注框文本 Char"/>
    <w:qFormat/>
    <w:uiPriority w:val="0"/>
    <w:rPr>
      <w:kern w:val="2"/>
      <w:sz w:val="18"/>
      <w:szCs w:val="18"/>
    </w:rPr>
  </w:style>
  <w:style w:type="character" w:customStyle="1" w:styleId="91">
    <w:name w:val="标题 Char1"/>
    <w:qFormat/>
    <w:uiPriority w:val="0"/>
    <w:rPr>
      <w:rFonts w:ascii="Cambria" w:hAnsi="Cambria" w:cs="Times New Roman"/>
      <w:b/>
      <w:bCs/>
      <w:kern w:val="2"/>
      <w:sz w:val="32"/>
      <w:szCs w:val="32"/>
    </w:rPr>
  </w:style>
  <w:style w:type="character" w:customStyle="1" w:styleId="92">
    <w:name w:val="layui-laypage-curr"/>
    <w:qFormat/>
    <w:uiPriority w:val="0"/>
  </w:style>
  <w:style w:type="character" w:customStyle="1" w:styleId="93">
    <w:name w:val="text"/>
    <w:qFormat/>
    <w:uiPriority w:val="0"/>
  </w:style>
  <w:style w:type="character" w:customStyle="1" w:styleId="94">
    <w:name w:val="z-窗体顶端 Char"/>
    <w:semiHidden/>
    <w:qFormat/>
    <w:uiPriority w:val="99"/>
    <w:rPr>
      <w:rFonts w:ascii="Arial" w:hAnsi="Arial" w:cs="Arial"/>
      <w:vanish/>
      <w:kern w:val="2"/>
      <w:sz w:val="16"/>
      <w:szCs w:val="16"/>
    </w:rPr>
  </w:style>
  <w:style w:type="character" w:customStyle="1" w:styleId="95">
    <w:name w:val="Plain Text Char1"/>
    <w:semiHidden/>
    <w:qFormat/>
    <w:uiPriority w:val="99"/>
    <w:rPr>
      <w:rFonts w:ascii="宋体" w:hAnsi="Courier New" w:cs="Courier New"/>
      <w:szCs w:val="21"/>
    </w:rPr>
  </w:style>
  <w:style w:type="character" w:customStyle="1" w:styleId="96">
    <w:name w:val="3级标题 Char"/>
    <w:link w:val="97"/>
    <w:qFormat/>
    <w:uiPriority w:val="0"/>
    <w:rPr>
      <w:rFonts w:ascii="Arial" w:hAnsi="Arial" w:eastAsia="黑体"/>
      <w:b/>
      <w:spacing w:val="4"/>
      <w:kern w:val="2"/>
      <w:sz w:val="21"/>
      <w:szCs w:val="21"/>
    </w:rPr>
  </w:style>
  <w:style w:type="paragraph" w:customStyle="1" w:styleId="97">
    <w:name w:val="3级标题"/>
    <w:basedOn w:val="1"/>
    <w:link w:val="96"/>
    <w:qFormat/>
    <w:uiPriority w:val="0"/>
    <w:pPr>
      <w:snapToGrid w:val="0"/>
      <w:spacing w:before="60" w:after="60" w:line="400" w:lineRule="exact"/>
    </w:pPr>
    <w:rPr>
      <w:rFonts w:ascii="Arial" w:hAnsi="Arial" w:eastAsia="黑体"/>
      <w:b/>
      <w:spacing w:val="4"/>
      <w:szCs w:val="21"/>
    </w:rPr>
  </w:style>
  <w:style w:type="character" w:customStyle="1" w:styleId="98">
    <w:name w:val="批注主题 Char"/>
    <w:qFormat/>
    <w:uiPriority w:val="0"/>
    <w:rPr>
      <w:b/>
      <w:bCs/>
      <w:kern w:val="2"/>
      <w:sz w:val="21"/>
      <w:szCs w:val="24"/>
    </w:rPr>
  </w:style>
  <w:style w:type="character" w:customStyle="1" w:styleId="99">
    <w:name w:val="font61"/>
    <w:qFormat/>
    <w:uiPriority w:val="0"/>
    <w:rPr>
      <w:rFonts w:hint="eastAsia" w:ascii="宋体" w:hAnsi="宋体" w:eastAsia="宋体" w:cs="宋体"/>
      <w:color w:val="000000"/>
      <w:sz w:val="22"/>
      <w:szCs w:val="22"/>
      <w:u w:val="none"/>
    </w:rPr>
  </w:style>
  <w:style w:type="character" w:customStyle="1" w:styleId="100">
    <w:name w:val="标题 2 Char"/>
    <w:link w:val="6"/>
    <w:qFormat/>
    <w:uiPriority w:val="0"/>
    <w:rPr>
      <w:rFonts w:ascii="Arial" w:hAnsi="Arial" w:eastAsia="黑体"/>
      <w:b/>
      <w:bCs/>
      <w:kern w:val="2"/>
      <w:sz w:val="32"/>
      <w:szCs w:val="32"/>
    </w:rPr>
  </w:style>
  <w:style w:type="character" w:customStyle="1" w:styleId="101">
    <w:name w:val="正文2 Char Char"/>
    <w:link w:val="102"/>
    <w:qFormat/>
    <w:uiPriority w:val="0"/>
    <w:rPr>
      <w:kern w:val="2"/>
      <w:sz w:val="24"/>
    </w:rPr>
  </w:style>
  <w:style w:type="paragraph" w:customStyle="1" w:styleId="102">
    <w:name w:val="正文2"/>
    <w:basedOn w:val="1"/>
    <w:link w:val="101"/>
    <w:qFormat/>
    <w:uiPriority w:val="0"/>
    <w:pPr>
      <w:spacing w:before="156" w:line="360" w:lineRule="auto"/>
      <w:ind w:firstLine="510" w:firstLineChars="200"/>
    </w:pPr>
    <w:rPr>
      <w:sz w:val="24"/>
      <w:szCs w:val="20"/>
    </w:rPr>
  </w:style>
  <w:style w:type="character" w:customStyle="1" w:styleId="103">
    <w:name w:val="jbox-icon-none"/>
    <w:qFormat/>
    <w:uiPriority w:val="0"/>
    <w:rPr>
      <w:vanish/>
    </w:rPr>
  </w:style>
  <w:style w:type="character" w:customStyle="1" w:styleId="104">
    <w:name w:val="标题 1 Char Char"/>
    <w:qFormat/>
    <w:uiPriority w:val="0"/>
    <w:rPr>
      <w:rFonts w:eastAsia="宋体"/>
      <w:b/>
      <w:spacing w:val="-2"/>
      <w:sz w:val="24"/>
      <w:lang w:val="en-US" w:eastAsia="zh-CN"/>
    </w:rPr>
  </w:style>
  <w:style w:type="character" w:customStyle="1" w:styleId="105">
    <w:name w:val="z-窗体顶端 Char2"/>
    <w:link w:val="106"/>
    <w:qFormat/>
    <w:uiPriority w:val="99"/>
    <w:rPr>
      <w:rFonts w:ascii="Arial" w:hAnsi="Arial" w:cs="Arial"/>
      <w:vanish/>
      <w:sz w:val="16"/>
      <w:szCs w:val="16"/>
    </w:rPr>
  </w:style>
  <w:style w:type="paragraph" w:customStyle="1" w:styleId="106">
    <w:name w:val="HTML Top of Form"/>
    <w:basedOn w:val="1"/>
    <w:next w:val="1"/>
    <w:link w:val="105"/>
    <w:unhideWhenUsed/>
    <w:qFormat/>
    <w:uiPriority w:val="99"/>
    <w:pPr>
      <w:widowControl/>
      <w:pBdr>
        <w:bottom w:val="single" w:color="auto" w:sz="6" w:space="1"/>
      </w:pBdr>
      <w:jc w:val="center"/>
    </w:pPr>
    <w:rPr>
      <w:rFonts w:ascii="Arial" w:hAnsi="Arial"/>
      <w:vanish/>
      <w:kern w:val="0"/>
      <w:sz w:val="16"/>
      <w:szCs w:val="16"/>
    </w:rPr>
  </w:style>
  <w:style w:type="character" w:customStyle="1" w:styleId="107">
    <w:name w:val="标题 3 字符"/>
    <w:qFormat/>
    <w:uiPriority w:val="9"/>
    <w:rPr>
      <w:b/>
      <w:bCs/>
      <w:sz w:val="32"/>
      <w:szCs w:val="32"/>
    </w:rPr>
  </w:style>
  <w:style w:type="character" w:customStyle="1" w:styleId="108">
    <w:name w:val="标题 1 Char2"/>
    <w:link w:val="5"/>
    <w:qFormat/>
    <w:uiPriority w:val="0"/>
    <w:rPr>
      <w:b/>
      <w:kern w:val="44"/>
      <w:sz w:val="44"/>
    </w:rPr>
  </w:style>
  <w:style w:type="character" w:customStyle="1" w:styleId="109">
    <w:name w:val="纯文本 Char1"/>
    <w:qFormat/>
    <w:uiPriority w:val="0"/>
    <w:rPr>
      <w:rFonts w:ascii="宋体" w:hAnsi="Courier New" w:cs="Courier New"/>
      <w:kern w:val="2"/>
      <w:sz w:val="21"/>
      <w:szCs w:val="21"/>
    </w:rPr>
  </w:style>
  <w:style w:type="character" w:customStyle="1" w:styleId="110">
    <w:name w:val="批注主题 Char1"/>
    <w:qFormat/>
    <w:uiPriority w:val="99"/>
    <w:rPr>
      <w:b/>
      <w:bCs/>
      <w:kern w:val="2"/>
      <w:sz w:val="21"/>
      <w:szCs w:val="24"/>
    </w:rPr>
  </w:style>
  <w:style w:type="character" w:customStyle="1" w:styleId="111">
    <w:name w:val="标题 1 Char1"/>
    <w:qFormat/>
    <w:uiPriority w:val="0"/>
    <w:rPr>
      <w:b/>
      <w:kern w:val="44"/>
      <w:sz w:val="44"/>
    </w:rPr>
  </w:style>
  <w:style w:type="character" w:customStyle="1" w:styleId="112">
    <w:name w:val="z-窗体底端 Char2"/>
    <w:link w:val="113"/>
    <w:qFormat/>
    <w:uiPriority w:val="99"/>
    <w:rPr>
      <w:rFonts w:ascii="Arial" w:hAnsi="Arial" w:cs="Arial"/>
      <w:vanish/>
      <w:sz w:val="16"/>
      <w:szCs w:val="16"/>
    </w:rPr>
  </w:style>
  <w:style w:type="paragraph" w:customStyle="1" w:styleId="113">
    <w:name w:val="HTML Bottom of Form"/>
    <w:basedOn w:val="1"/>
    <w:next w:val="1"/>
    <w:link w:val="112"/>
    <w:unhideWhenUsed/>
    <w:qFormat/>
    <w:uiPriority w:val="99"/>
    <w:pPr>
      <w:widowControl/>
      <w:pBdr>
        <w:top w:val="single" w:color="auto" w:sz="6" w:space="1"/>
      </w:pBdr>
      <w:jc w:val="center"/>
    </w:pPr>
    <w:rPr>
      <w:rFonts w:ascii="Arial" w:hAnsi="Arial"/>
      <w:vanish/>
      <w:kern w:val="0"/>
      <w:sz w:val="16"/>
      <w:szCs w:val="16"/>
    </w:rPr>
  </w:style>
  <w:style w:type="character" w:customStyle="1" w:styleId="114">
    <w:name w:val="纯文本 Char"/>
    <w:link w:val="27"/>
    <w:qFormat/>
    <w:uiPriority w:val="0"/>
    <w:rPr>
      <w:rFonts w:ascii="宋体" w:hAnsi="Courier New" w:cs="Courier New"/>
      <w:kern w:val="2"/>
      <w:sz w:val="21"/>
      <w:szCs w:val="21"/>
    </w:rPr>
  </w:style>
  <w:style w:type="character" w:customStyle="1" w:styleId="115">
    <w:name w:val="Footer Char1"/>
    <w:semiHidden/>
    <w:qFormat/>
    <w:uiPriority w:val="99"/>
    <w:rPr>
      <w:sz w:val="18"/>
      <w:szCs w:val="18"/>
    </w:rPr>
  </w:style>
  <w:style w:type="character" w:customStyle="1" w:styleId="116">
    <w:name w:val="标题 4 Char1"/>
    <w:link w:val="8"/>
    <w:qFormat/>
    <w:uiPriority w:val="0"/>
    <w:rPr>
      <w:rFonts w:ascii="Arial" w:hAnsi="Arial" w:eastAsia="黑体"/>
      <w:b/>
      <w:bCs/>
      <w:kern w:val="2"/>
      <w:sz w:val="28"/>
      <w:szCs w:val="28"/>
    </w:rPr>
  </w:style>
  <w:style w:type="character" w:customStyle="1" w:styleId="117">
    <w:name w:val="z-窗体底端 Char1"/>
    <w:qFormat/>
    <w:uiPriority w:val="99"/>
    <w:rPr>
      <w:rFonts w:ascii="Arial" w:hAnsi="Arial" w:cs="Arial"/>
      <w:vanish/>
      <w:sz w:val="16"/>
      <w:szCs w:val="16"/>
    </w:rPr>
  </w:style>
  <w:style w:type="character" w:customStyle="1" w:styleId="118">
    <w:name w:val="纯文本 Char2"/>
    <w:qFormat/>
    <w:locked/>
    <w:uiPriority w:val="0"/>
    <w:rPr>
      <w:rFonts w:ascii="宋体" w:hAnsi="Courier New" w:eastAsia="宋体" w:cs="宋体"/>
      <w:kern w:val="2"/>
      <w:sz w:val="24"/>
      <w:szCs w:val="24"/>
      <w:lang w:val="en-US" w:eastAsia="zh-CN" w:bidi="ar-SA"/>
    </w:rPr>
  </w:style>
  <w:style w:type="character" w:customStyle="1" w:styleId="119">
    <w:name w:val="正文首行缩进 Char"/>
    <w:link w:val="49"/>
    <w:qFormat/>
    <w:uiPriority w:val="0"/>
  </w:style>
  <w:style w:type="character" w:customStyle="1" w:styleId="120">
    <w:name w:val="标题 4 Char"/>
    <w:qFormat/>
    <w:uiPriority w:val="0"/>
    <w:rPr>
      <w:rFonts w:ascii="Arial" w:hAnsi="Arial" w:eastAsia="黑体"/>
      <w:b/>
      <w:bCs/>
      <w:kern w:val="2"/>
      <w:sz w:val="28"/>
      <w:szCs w:val="28"/>
      <w:lang w:val="en-US" w:eastAsia="zh-CN" w:bidi="ar-SA"/>
    </w:rPr>
  </w:style>
  <w:style w:type="character" w:customStyle="1" w:styleId="121">
    <w:name w:val="jbox-icon"/>
    <w:qFormat/>
    <w:uiPriority w:val="0"/>
  </w:style>
  <w:style w:type="character" w:customStyle="1" w:styleId="122">
    <w:name w:val="jbox-icon-question"/>
    <w:qFormat/>
    <w:uiPriority w:val="0"/>
  </w:style>
  <w:style w:type="character" w:customStyle="1" w:styleId="123">
    <w:name w:val="正文首行缩进 Char1"/>
    <w:qFormat/>
    <w:uiPriority w:val="0"/>
  </w:style>
  <w:style w:type="character" w:customStyle="1" w:styleId="124">
    <w:name w:val="2级标题 Char"/>
    <w:link w:val="125"/>
    <w:qFormat/>
    <w:uiPriority w:val="0"/>
    <w:rPr>
      <w:rFonts w:ascii="Arial" w:hAnsi="黑体" w:eastAsia="黑体"/>
      <w:b/>
      <w:kern w:val="2"/>
      <w:sz w:val="24"/>
      <w:szCs w:val="24"/>
    </w:rPr>
  </w:style>
  <w:style w:type="paragraph" w:customStyle="1" w:styleId="125">
    <w:name w:val="2级标题"/>
    <w:basedOn w:val="1"/>
    <w:link w:val="124"/>
    <w:qFormat/>
    <w:uiPriority w:val="0"/>
    <w:pPr>
      <w:numPr>
        <w:ilvl w:val="1"/>
        <w:numId w:val="2"/>
      </w:numPr>
      <w:tabs>
        <w:tab w:val="left" w:pos="1710"/>
      </w:tabs>
      <w:spacing w:line="360" w:lineRule="auto"/>
      <w:ind w:left="861" w:hanging="612"/>
      <w:outlineLvl w:val="1"/>
    </w:pPr>
    <w:rPr>
      <w:rFonts w:ascii="Arial" w:hAnsi="黑体" w:eastAsia="黑体"/>
      <w:b/>
      <w:sz w:val="24"/>
    </w:rPr>
  </w:style>
  <w:style w:type="character" w:customStyle="1" w:styleId="126">
    <w:name w:val="纯文本 字符"/>
    <w:qFormat/>
    <w:uiPriority w:val="0"/>
    <w:rPr>
      <w:rFonts w:ascii="宋体" w:hAnsi="Courier New"/>
      <w:kern w:val="2"/>
      <w:sz w:val="21"/>
    </w:rPr>
  </w:style>
  <w:style w:type="character" w:customStyle="1" w:styleId="127">
    <w:name w:val="font31"/>
    <w:qFormat/>
    <w:uiPriority w:val="0"/>
    <w:rPr>
      <w:rFonts w:hint="default" w:ascii="仿宋_GB2312" w:eastAsia="仿宋_GB2312" w:cs="仿宋_GB2312"/>
      <w:color w:val="000000"/>
      <w:sz w:val="20"/>
      <w:szCs w:val="20"/>
      <w:u w:val="none"/>
    </w:rPr>
  </w:style>
  <w:style w:type="character" w:customStyle="1" w:styleId="128">
    <w:name w:val="批注文字 Char2"/>
    <w:link w:val="19"/>
    <w:qFormat/>
    <w:uiPriority w:val="99"/>
    <w:rPr>
      <w:kern w:val="2"/>
      <w:sz w:val="21"/>
      <w:szCs w:val="24"/>
    </w:rPr>
  </w:style>
  <w:style w:type="character" w:customStyle="1" w:styleId="129">
    <w:name w:val="Balloon Text Char1"/>
    <w:semiHidden/>
    <w:qFormat/>
    <w:uiPriority w:val="99"/>
    <w:rPr>
      <w:sz w:val="16"/>
      <w:szCs w:val="0"/>
    </w:rPr>
  </w:style>
  <w:style w:type="character" w:customStyle="1" w:styleId="130">
    <w:name w:val="标题 3 Char"/>
    <w:link w:val="7"/>
    <w:qFormat/>
    <w:uiPriority w:val="0"/>
    <w:rPr>
      <w:rFonts w:eastAsia="微软雅黑"/>
      <w:b/>
      <w:bCs/>
      <w:kern w:val="2"/>
      <w:sz w:val="21"/>
      <w:szCs w:val="32"/>
    </w:rPr>
  </w:style>
  <w:style w:type="character" w:customStyle="1" w:styleId="131">
    <w:name w:val="样式 标题 1合同标题卷标题H1h1Level 1 Topic HeadingH11H12H111H13H1... Char Char"/>
    <w:qFormat/>
    <w:uiPriority w:val="0"/>
    <w:rPr>
      <w:rFonts w:ascii="宋体" w:hAnsi="宋体" w:eastAsia="宋体"/>
      <w:b/>
      <w:bCs/>
      <w:kern w:val="44"/>
      <w:sz w:val="24"/>
      <w:szCs w:val="44"/>
      <w:lang w:val="en-US" w:eastAsia="zh-CN" w:bidi="ar-SA"/>
    </w:rPr>
  </w:style>
  <w:style w:type="character" w:customStyle="1" w:styleId="132">
    <w:name w:val="jbox-icon-loading"/>
    <w:qFormat/>
    <w:uiPriority w:val="0"/>
  </w:style>
  <w:style w:type="character" w:customStyle="1" w:styleId="133">
    <w:name w:val="正文缩进 Char"/>
    <w:link w:val="4"/>
    <w:qFormat/>
    <w:uiPriority w:val="0"/>
    <w:rPr>
      <w:rFonts w:ascii="宋体"/>
      <w:sz w:val="21"/>
    </w:rPr>
  </w:style>
  <w:style w:type="character" w:customStyle="1" w:styleId="134">
    <w:name w:val="批注文字 Char"/>
    <w:qFormat/>
    <w:uiPriority w:val="0"/>
    <w:rPr>
      <w:kern w:val="2"/>
      <w:sz w:val="21"/>
      <w:szCs w:val="24"/>
    </w:rPr>
  </w:style>
  <w:style w:type="character" w:customStyle="1" w:styleId="135">
    <w:name w:val="z-窗体底端 Char"/>
    <w:semiHidden/>
    <w:qFormat/>
    <w:uiPriority w:val="99"/>
    <w:rPr>
      <w:rFonts w:ascii="Arial" w:hAnsi="Arial" w:cs="Arial"/>
      <w:vanish/>
      <w:kern w:val="2"/>
      <w:sz w:val="16"/>
      <w:szCs w:val="16"/>
    </w:rPr>
  </w:style>
  <w:style w:type="character" w:customStyle="1" w:styleId="136">
    <w:name w:val="1级 Char"/>
    <w:link w:val="137"/>
    <w:qFormat/>
    <w:uiPriority w:val="0"/>
    <w:rPr>
      <w:rFonts w:ascii="Arial" w:hAnsi="Arial" w:eastAsia="黑体"/>
      <w:b/>
      <w:bCs/>
      <w:kern w:val="2"/>
      <w:sz w:val="28"/>
      <w:szCs w:val="24"/>
    </w:rPr>
  </w:style>
  <w:style w:type="paragraph" w:customStyle="1" w:styleId="137">
    <w:name w:val="1级"/>
    <w:basedOn w:val="138"/>
    <w:link w:val="136"/>
    <w:qFormat/>
    <w:uiPriority w:val="0"/>
    <w:pPr>
      <w:tabs>
        <w:tab w:val="left" w:pos="366"/>
        <w:tab w:val="left" w:pos="615"/>
        <w:tab w:val="left" w:pos="1558"/>
      </w:tabs>
      <w:ind w:left="615" w:hanging="615"/>
    </w:pPr>
  </w:style>
  <w:style w:type="paragraph" w:customStyle="1" w:styleId="138">
    <w:name w:val="1级标题"/>
    <w:basedOn w:val="1"/>
    <w:link w:val="151"/>
    <w:qFormat/>
    <w:uiPriority w:val="0"/>
    <w:pPr>
      <w:tabs>
        <w:tab w:val="left" w:pos="366"/>
        <w:tab w:val="left" w:pos="1558"/>
      </w:tabs>
      <w:spacing w:before="60" w:after="60"/>
      <w:ind w:left="612" w:hanging="612"/>
      <w:outlineLvl w:val="0"/>
    </w:pPr>
    <w:rPr>
      <w:rFonts w:ascii="Arial" w:hAnsi="Arial" w:eastAsia="黑体"/>
      <w:b/>
      <w:bCs/>
      <w:sz w:val="28"/>
    </w:rPr>
  </w:style>
  <w:style w:type="character" w:customStyle="1" w:styleId="139">
    <w:name w:val="无间隔 Char"/>
    <w:link w:val="140"/>
    <w:qFormat/>
    <w:uiPriority w:val="0"/>
    <w:rPr>
      <w:rFonts w:ascii="Calibri" w:hAnsi="Calibri"/>
      <w:sz w:val="22"/>
      <w:szCs w:val="22"/>
      <w:lang w:val="en-US" w:eastAsia="zh-CN" w:bidi="ar-SA"/>
    </w:rPr>
  </w:style>
  <w:style w:type="paragraph" w:styleId="140">
    <w:name w:val="No Spacing"/>
    <w:link w:val="139"/>
    <w:qFormat/>
    <w:uiPriority w:val="0"/>
    <w:rPr>
      <w:rFonts w:ascii="Calibri" w:hAnsi="Calibri" w:eastAsia="宋体" w:cs="Times New Roman"/>
      <w:sz w:val="22"/>
      <w:szCs w:val="22"/>
      <w:lang w:val="en-US" w:eastAsia="zh-CN" w:bidi="ar-SA"/>
    </w:rPr>
  </w:style>
  <w:style w:type="character" w:customStyle="1" w:styleId="141">
    <w:name w:val="页眉 字符"/>
    <w:semiHidden/>
    <w:qFormat/>
    <w:uiPriority w:val="99"/>
    <w:rPr>
      <w:rFonts w:ascii="Times New Roman" w:hAnsi="Times New Roman"/>
      <w:kern w:val="2"/>
      <w:sz w:val="18"/>
      <w:szCs w:val="18"/>
    </w:rPr>
  </w:style>
  <w:style w:type="character" w:customStyle="1" w:styleId="142">
    <w:name w:val="Body Text First Indent Char1"/>
    <w:semiHidden/>
    <w:qFormat/>
    <w:uiPriority w:val="99"/>
    <w:rPr>
      <w:rFonts w:ascii="宋体" w:hAnsi="宋体" w:eastAsia="宋体"/>
      <w:sz w:val="24"/>
      <w:szCs w:val="20"/>
      <w:lang w:bidi="ar-SA"/>
    </w:rPr>
  </w:style>
  <w:style w:type="character" w:customStyle="1" w:styleId="143">
    <w:name w:val="Char Char13"/>
    <w:qFormat/>
    <w:locked/>
    <w:uiPriority w:val="0"/>
    <w:rPr>
      <w:rFonts w:ascii="宋体" w:hAnsi="Courier New" w:eastAsia="宋体" w:cs="宋体"/>
      <w:sz w:val="24"/>
      <w:szCs w:val="24"/>
    </w:rPr>
  </w:style>
  <w:style w:type="character" w:customStyle="1" w:styleId="144">
    <w:name w:val="jbox-icon-error"/>
    <w:qFormat/>
    <w:uiPriority w:val="0"/>
  </w:style>
  <w:style w:type="character" w:customStyle="1" w:styleId="145">
    <w:name w:val="正文文本缩进 Char"/>
    <w:link w:val="3"/>
    <w:qFormat/>
    <w:locked/>
    <w:uiPriority w:val="0"/>
    <w:rPr>
      <w:kern w:val="2"/>
      <w:sz w:val="21"/>
      <w:szCs w:val="24"/>
    </w:rPr>
  </w:style>
  <w:style w:type="character" w:customStyle="1" w:styleId="146">
    <w:name w:val="Body Text 2 Char1"/>
    <w:semiHidden/>
    <w:qFormat/>
    <w:uiPriority w:val="99"/>
    <w:rPr>
      <w:szCs w:val="20"/>
    </w:rPr>
  </w:style>
  <w:style w:type="character" w:customStyle="1" w:styleId="147">
    <w:name w:val="页脚 Char"/>
    <w:link w:val="33"/>
    <w:qFormat/>
    <w:uiPriority w:val="0"/>
    <w:rPr>
      <w:sz w:val="18"/>
    </w:rPr>
  </w:style>
  <w:style w:type="character" w:customStyle="1" w:styleId="148">
    <w:name w:val="页眉 Char"/>
    <w:link w:val="34"/>
    <w:qFormat/>
    <w:uiPriority w:val="99"/>
    <w:rPr>
      <w:sz w:val="18"/>
    </w:rPr>
  </w:style>
  <w:style w:type="character" w:customStyle="1" w:styleId="149">
    <w:name w:val="正文文本 2 Char"/>
    <w:link w:val="44"/>
    <w:qFormat/>
    <w:uiPriority w:val="0"/>
    <w:rPr>
      <w:kern w:val="2"/>
      <w:sz w:val="24"/>
      <w:szCs w:val="24"/>
    </w:rPr>
  </w:style>
  <w:style w:type="character" w:customStyle="1" w:styleId="150">
    <w:name w:val="副标题 Char1"/>
    <w:link w:val="37"/>
    <w:qFormat/>
    <w:uiPriority w:val="0"/>
    <w:rPr>
      <w:rFonts w:ascii="Calibri Light" w:hAnsi="Calibri Light"/>
      <w:b/>
      <w:bCs/>
      <w:kern w:val="28"/>
      <w:sz w:val="32"/>
      <w:szCs w:val="32"/>
    </w:rPr>
  </w:style>
  <w:style w:type="character" w:customStyle="1" w:styleId="151">
    <w:name w:val="1级标题 Char"/>
    <w:link w:val="138"/>
    <w:qFormat/>
    <w:uiPriority w:val="0"/>
    <w:rPr>
      <w:rFonts w:ascii="Arial" w:hAnsi="Arial" w:eastAsia="黑体"/>
      <w:b/>
      <w:bCs/>
      <w:kern w:val="2"/>
      <w:sz w:val="28"/>
      <w:szCs w:val="24"/>
    </w:rPr>
  </w:style>
  <w:style w:type="character" w:customStyle="1" w:styleId="152">
    <w:name w:val="Header Char1"/>
    <w:semiHidden/>
    <w:qFormat/>
    <w:uiPriority w:val="99"/>
    <w:rPr>
      <w:sz w:val="18"/>
      <w:szCs w:val="18"/>
    </w:rPr>
  </w:style>
  <w:style w:type="character" w:customStyle="1" w:styleId="153">
    <w:name w:val="font71"/>
    <w:basedOn w:val="52"/>
    <w:qFormat/>
    <w:uiPriority w:val="0"/>
    <w:rPr>
      <w:rFonts w:ascii="BatangChe" w:hAnsi="BatangChe" w:eastAsia="BatangChe" w:cs="BatangChe"/>
      <w:color w:val="000000"/>
      <w:sz w:val="20"/>
      <w:szCs w:val="20"/>
      <w:u w:val="none"/>
    </w:rPr>
  </w:style>
  <w:style w:type="character" w:customStyle="1" w:styleId="154">
    <w:name w:val="页脚 字符"/>
    <w:semiHidden/>
    <w:qFormat/>
    <w:uiPriority w:val="99"/>
    <w:rPr>
      <w:rFonts w:ascii="Times New Roman" w:hAnsi="Times New Roman"/>
      <w:kern w:val="2"/>
      <w:sz w:val="18"/>
      <w:szCs w:val="18"/>
    </w:rPr>
  </w:style>
  <w:style w:type="character" w:customStyle="1" w:styleId="155">
    <w:name w:val="标书正文 Char"/>
    <w:link w:val="156"/>
    <w:qFormat/>
    <w:uiPriority w:val="0"/>
    <w:rPr>
      <w:kern w:val="2"/>
      <w:sz w:val="24"/>
      <w:szCs w:val="22"/>
    </w:rPr>
  </w:style>
  <w:style w:type="paragraph" w:customStyle="1" w:styleId="156">
    <w:name w:val="标书正文"/>
    <w:basedOn w:val="1"/>
    <w:link w:val="155"/>
    <w:qFormat/>
    <w:uiPriority w:val="0"/>
    <w:pPr>
      <w:spacing w:line="400" w:lineRule="exact"/>
    </w:pPr>
    <w:rPr>
      <w:sz w:val="24"/>
      <w:szCs w:val="22"/>
    </w:rPr>
  </w:style>
  <w:style w:type="character" w:customStyle="1" w:styleId="157">
    <w:name w:val="Char Char7"/>
    <w:qFormat/>
    <w:uiPriority w:val="0"/>
    <w:rPr>
      <w:rFonts w:ascii="宋体" w:hAnsi="Courier New" w:eastAsia="宋体"/>
      <w:kern w:val="2"/>
      <w:sz w:val="24"/>
      <w:szCs w:val="24"/>
      <w:lang w:val="en-US" w:eastAsia="zh-CN" w:bidi="ar-SA"/>
    </w:rPr>
  </w:style>
  <w:style w:type="character" w:customStyle="1" w:styleId="158">
    <w:name w:val="font11"/>
    <w:qFormat/>
    <w:uiPriority w:val="0"/>
    <w:rPr>
      <w:rFonts w:hint="default" w:ascii="仿宋_GB2312" w:eastAsia="仿宋_GB2312" w:cs="仿宋_GB2312"/>
      <w:color w:val="000000"/>
      <w:sz w:val="20"/>
      <w:szCs w:val="20"/>
      <w:u w:val="none"/>
    </w:rPr>
  </w:style>
  <w:style w:type="character" w:customStyle="1" w:styleId="159">
    <w:name w:val="Salutation Char1"/>
    <w:semiHidden/>
    <w:qFormat/>
    <w:uiPriority w:val="99"/>
    <w:rPr>
      <w:szCs w:val="20"/>
    </w:rPr>
  </w:style>
  <w:style w:type="character" w:customStyle="1" w:styleId="160">
    <w:name w:val="脚注文本 Char"/>
    <w:link w:val="38"/>
    <w:qFormat/>
    <w:uiPriority w:val="0"/>
    <w:rPr>
      <w:kern w:val="2"/>
      <w:sz w:val="18"/>
      <w:szCs w:val="18"/>
    </w:rPr>
  </w:style>
  <w:style w:type="character" w:customStyle="1" w:styleId="161">
    <w:name w:val="jbox-icon-info"/>
    <w:qFormat/>
    <w:uiPriority w:val="0"/>
  </w:style>
  <w:style w:type="character" w:customStyle="1" w:styleId="162">
    <w:name w:val="font21"/>
    <w:qFormat/>
    <w:uiPriority w:val="0"/>
    <w:rPr>
      <w:rFonts w:ascii="Arial" w:hAnsi="Arial" w:cs="Arial"/>
      <w:color w:val="000000"/>
      <w:sz w:val="20"/>
      <w:szCs w:val="20"/>
      <w:u w:val="none"/>
    </w:rPr>
  </w:style>
  <w:style w:type="character" w:customStyle="1" w:styleId="163">
    <w:name w:val="称呼 Char"/>
    <w:link w:val="20"/>
    <w:qFormat/>
    <w:uiPriority w:val="0"/>
    <w:rPr>
      <w:rFonts w:ascii="宋体"/>
      <w:kern w:val="2"/>
      <w:sz w:val="24"/>
    </w:rPr>
  </w:style>
  <w:style w:type="character" w:customStyle="1" w:styleId="164">
    <w:name w:val="jbox-icon-warning"/>
    <w:qFormat/>
    <w:uiPriority w:val="0"/>
  </w:style>
  <w:style w:type="character" w:customStyle="1" w:styleId="165">
    <w:name w:val="尾注文本 Char"/>
    <w:link w:val="31"/>
    <w:qFormat/>
    <w:uiPriority w:val="0"/>
    <w:rPr>
      <w:kern w:val="2"/>
      <w:sz w:val="21"/>
      <w:szCs w:val="24"/>
    </w:rPr>
  </w:style>
  <w:style w:type="character" w:customStyle="1" w:styleId="166">
    <w:name w:val="称呼 Char1"/>
    <w:qFormat/>
    <w:uiPriority w:val="0"/>
    <w:rPr>
      <w:kern w:val="2"/>
      <w:sz w:val="21"/>
      <w:szCs w:val="24"/>
    </w:rPr>
  </w:style>
  <w:style w:type="character" w:customStyle="1" w:styleId="167">
    <w:name w:val="标题 Char"/>
    <w:link w:val="47"/>
    <w:qFormat/>
    <w:uiPriority w:val="0"/>
    <w:rPr>
      <w:rFonts w:ascii="Cambria" w:hAnsi="Cambria"/>
      <w:b/>
      <w:bCs/>
      <w:kern w:val="2"/>
      <w:sz w:val="32"/>
      <w:szCs w:val="32"/>
    </w:rPr>
  </w:style>
  <w:style w:type="character" w:customStyle="1" w:styleId="168">
    <w:name w:val="font41"/>
    <w:qFormat/>
    <w:uiPriority w:val="0"/>
    <w:rPr>
      <w:rFonts w:hint="eastAsia" w:ascii="宋体" w:hAnsi="宋体" w:eastAsia="宋体" w:cs="宋体"/>
      <w:color w:val="000000"/>
      <w:sz w:val="22"/>
      <w:szCs w:val="22"/>
      <w:u w:val="none"/>
    </w:rPr>
  </w:style>
  <w:style w:type="character" w:customStyle="1" w:styleId="169">
    <w:name w:val="批注框文本 Char1"/>
    <w:link w:val="32"/>
    <w:qFormat/>
    <w:uiPriority w:val="0"/>
    <w:rPr>
      <w:kern w:val="2"/>
      <w:sz w:val="18"/>
      <w:szCs w:val="18"/>
    </w:rPr>
  </w:style>
  <w:style w:type="character" w:customStyle="1" w:styleId="170">
    <w:name w:val="标题 2 Char1"/>
    <w:qFormat/>
    <w:uiPriority w:val="0"/>
    <w:rPr>
      <w:rFonts w:ascii="Arial" w:hAnsi="Arial" w:eastAsia="黑体"/>
      <w:b/>
      <w:bCs/>
      <w:kern w:val="2"/>
      <w:sz w:val="32"/>
      <w:szCs w:val="32"/>
    </w:rPr>
  </w:style>
  <w:style w:type="paragraph" w:customStyle="1" w:styleId="171">
    <w:name w:val="Table Paragraph"/>
    <w:basedOn w:val="1"/>
    <w:qFormat/>
    <w:uiPriority w:val="1"/>
    <w:rPr>
      <w:rFonts w:ascii="宋体" w:hAnsi="宋体" w:cs="宋体"/>
      <w:lang w:val="zh-CN" w:bidi="zh-CN"/>
    </w:rPr>
  </w:style>
  <w:style w:type="paragraph" w:customStyle="1" w:styleId="172">
    <w:name w:val="xl5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0"/>
    </w:rPr>
  </w:style>
  <w:style w:type="paragraph" w:customStyle="1" w:styleId="17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74">
    <w:name w:val="列出段落1"/>
    <w:basedOn w:val="1"/>
    <w:qFormat/>
    <w:uiPriority w:val="99"/>
    <w:pPr>
      <w:ind w:firstLine="200" w:firstLineChars="200"/>
    </w:pPr>
    <w:rPr>
      <w:rFonts w:ascii="Calibri" w:hAnsi="Calibri" w:cs="Arial"/>
    </w:rPr>
  </w:style>
  <w:style w:type="paragraph" w:customStyle="1" w:styleId="17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76">
    <w:name w:val="Char1"/>
    <w:basedOn w:val="1"/>
    <w:qFormat/>
    <w:uiPriority w:val="99"/>
    <w:rPr>
      <w:rFonts w:ascii="Tahoma" w:hAnsi="Tahoma"/>
      <w:sz w:val="24"/>
      <w:szCs w:val="20"/>
    </w:rPr>
  </w:style>
  <w:style w:type="paragraph" w:customStyle="1" w:styleId="177">
    <w:name w:val="样式1"/>
    <w:basedOn w:val="8"/>
    <w:qFormat/>
    <w:uiPriority w:val="99"/>
  </w:style>
  <w:style w:type="paragraph" w:customStyle="1" w:styleId="178">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9">
    <w:name w:val="二级"/>
    <w:basedOn w:val="180"/>
    <w:next w:val="1"/>
    <w:qFormat/>
    <w:uiPriority w:val="0"/>
    <w:pPr>
      <w:spacing w:before="240" w:after="240"/>
      <w:outlineLvl w:val="2"/>
    </w:pPr>
    <w:rPr>
      <w:rFonts w:eastAsia="黑体"/>
      <w:sz w:val="28"/>
    </w:rPr>
  </w:style>
  <w:style w:type="paragraph" w:customStyle="1" w:styleId="180">
    <w:name w:val="要求正文"/>
    <w:basedOn w:val="1"/>
    <w:qFormat/>
    <w:uiPriority w:val="0"/>
    <w:pPr>
      <w:spacing w:line="400" w:lineRule="exact"/>
    </w:pPr>
    <w:rPr>
      <w:sz w:val="24"/>
      <w:szCs w:val="22"/>
    </w:rPr>
  </w:style>
  <w:style w:type="paragraph" w:customStyle="1" w:styleId="181">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表格标题 Char Char Char"/>
    <w:basedOn w:val="1"/>
    <w:qFormat/>
    <w:uiPriority w:val="0"/>
    <w:pPr>
      <w:widowControl/>
      <w:spacing w:beforeLines="50" w:afterLines="50"/>
      <w:jc w:val="center"/>
    </w:pPr>
    <w:rPr>
      <w:b/>
      <w:kern w:val="0"/>
      <w:sz w:val="24"/>
      <w:szCs w:val="20"/>
    </w:rPr>
  </w:style>
  <w:style w:type="paragraph" w:customStyle="1" w:styleId="183">
    <w:name w:val="Char Char Char1 Char Char Char Char Char Char Char Char Char Char Char Char Char Char Char Char Char Char Char Char Char Char"/>
    <w:basedOn w:val="1"/>
    <w:qFormat/>
    <w:uiPriority w:val="0"/>
    <w:pPr>
      <w:spacing w:line="360" w:lineRule="auto"/>
      <w:ind w:firstLine="200" w:firstLineChars="200"/>
    </w:pPr>
    <w:rPr>
      <w:szCs w:val="20"/>
    </w:rPr>
  </w:style>
  <w:style w:type="paragraph" w:customStyle="1" w:styleId="184">
    <w:name w:val="样式 标题 1 + 长城黑体 小二 非加粗"/>
    <w:basedOn w:val="5"/>
    <w:qFormat/>
    <w:uiPriority w:val="99"/>
    <w:pPr>
      <w:numPr>
        <w:ilvl w:val="0"/>
        <w:numId w:val="3"/>
      </w:numPr>
      <w:tabs>
        <w:tab w:val="left" w:pos="720"/>
      </w:tabs>
      <w:spacing w:before="100" w:beforeAutospacing="1" w:after="100" w:afterAutospacing="1" w:line="240" w:lineRule="auto"/>
      <w:jc w:val="center"/>
    </w:pPr>
    <w:rPr>
      <w:rFonts w:ascii="宋体" w:hAnsi="宋体"/>
      <w:sz w:val="32"/>
      <w:szCs w:val="32"/>
    </w:rPr>
  </w:style>
  <w:style w:type="paragraph" w:customStyle="1" w:styleId="185">
    <w:name w:val="Char"/>
    <w:basedOn w:val="1"/>
    <w:qFormat/>
    <w:uiPriority w:val="0"/>
    <w:pPr>
      <w:ind w:firstLine="200" w:firstLineChars="200"/>
    </w:pPr>
    <w:rPr>
      <w:rFonts w:ascii="Tahoma" w:hAnsi="Tahoma"/>
      <w:sz w:val="24"/>
      <w:szCs w:val="20"/>
    </w:rPr>
  </w:style>
  <w:style w:type="paragraph" w:customStyle="1" w:styleId="186">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18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188">
    <w:name w:val="Char Char Char Char Char Char Char"/>
    <w:basedOn w:val="1"/>
    <w:qFormat/>
    <w:uiPriority w:val="0"/>
    <w:rPr>
      <w:rFonts w:ascii="仿宋_GB2312" w:eastAsia="仿宋_GB2312"/>
      <w:b/>
      <w:sz w:val="32"/>
      <w:szCs w:val="32"/>
    </w:rPr>
  </w:style>
  <w:style w:type="paragraph" w:customStyle="1" w:styleId="189">
    <w:name w:val="333"/>
    <w:basedOn w:val="1"/>
    <w:qFormat/>
    <w:uiPriority w:val="0"/>
    <w:pPr>
      <w:adjustRightInd w:val="0"/>
      <w:spacing w:line="312" w:lineRule="atLeast"/>
      <w:textAlignment w:val="baseline"/>
    </w:pPr>
    <w:rPr>
      <w:kern w:val="0"/>
      <w:szCs w:val="20"/>
    </w:rPr>
  </w:style>
  <w:style w:type="paragraph" w:customStyle="1" w:styleId="190">
    <w:name w:val="Char Char Char Char Char Char Char11"/>
    <w:basedOn w:val="1"/>
    <w:qFormat/>
    <w:uiPriority w:val="0"/>
    <w:rPr>
      <w:rFonts w:ascii="仿宋_GB2312" w:eastAsia="仿宋_GB2312"/>
      <w:b/>
      <w:sz w:val="32"/>
      <w:szCs w:val="32"/>
    </w:rPr>
  </w:style>
  <w:style w:type="paragraph" w:customStyle="1" w:styleId="191">
    <w:name w:val="一级"/>
    <w:basedOn w:val="1"/>
    <w:next w:val="1"/>
    <w:qFormat/>
    <w:uiPriority w:val="0"/>
    <w:pPr>
      <w:spacing w:before="360" w:after="360" w:line="400" w:lineRule="exact"/>
      <w:outlineLvl w:val="1"/>
    </w:pPr>
    <w:rPr>
      <w:rFonts w:eastAsia="黑体"/>
      <w:sz w:val="28"/>
      <w:szCs w:val="22"/>
    </w:rPr>
  </w:style>
  <w:style w:type="paragraph" w:customStyle="1" w:styleId="192">
    <w:name w:val="列出段落2"/>
    <w:basedOn w:val="1"/>
    <w:qFormat/>
    <w:uiPriority w:val="0"/>
    <w:pPr>
      <w:ind w:firstLine="420" w:firstLineChars="200"/>
    </w:pPr>
    <w:rPr>
      <w:szCs w:val="21"/>
    </w:rPr>
  </w:style>
  <w:style w:type="paragraph" w:customStyle="1" w:styleId="19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94">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19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96">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kern w:val="0"/>
      <w:sz w:val="24"/>
    </w:rPr>
  </w:style>
  <w:style w:type="paragraph" w:customStyle="1" w:styleId="197">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98">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9">
    <w:name w:val="方案正文"/>
    <w:basedOn w:val="1"/>
    <w:qFormat/>
    <w:uiPriority w:val="0"/>
    <w:pPr>
      <w:adjustRightInd w:val="0"/>
      <w:spacing w:line="360" w:lineRule="auto"/>
      <w:textAlignment w:val="baseline"/>
    </w:pPr>
    <w:rPr>
      <w:rFonts w:ascii="宋体" w:hAnsi="宋体"/>
      <w:kern w:val="0"/>
      <w:szCs w:val="20"/>
    </w:rPr>
  </w:style>
  <w:style w:type="paragraph" w:customStyle="1" w:styleId="200">
    <w:name w:val="编号，小四"/>
    <w:basedOn w:val="1"/>
    <w:qFormat/>
    <w:uiPriority w:val="0"/>
    <w:pPr>
      <w:numPr>
        <w:ilvl w:val="0"/>
        <w:numId w:val="4"/>
      </w:numPr>
      <w:spacing w:line="360" w:lineRule="auto"/>
    </w:pPr>
    <w:rPr>
      <w:rFonts w:ascii="Arial" w:hAnsi="Arial" w:cs="宋体"/>
      <w:sz w:val="24"/>
      <w:szCs w:val="20"/>
    </w:rPr>
  </w:style>
  <w:style w:type="paragraph" w:customStyle="1" w:styleId="201">
    <w:name w:val="PI"/>
    <w:basedOn w:val="1"/>
    <w:next w:val="3"/>
    <w:qFormat/>
    <w:uiPriority w:val="0"/>
    <w:pPr>
      <w:spacing w:line="360" w:lineRule="auto"/>
      <w:ind w:left="539" w:firstLine="721"/>
      <w:jc w:val="left"/>
    </w:pPr>
    <w:rPr>
      <w:spacing w:val="20"/>
      <w:szCs w:val="20"/>
    </w:rPr>
  </w:style>
  <w:style w:type="paragraph" w:customStyle="1" w:styleId="20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kern w:val="0"/>
      <w:sz w:val="28"/>
      <w:szCs w:val="28"/>
    </w:rPr>
  </w:style>
  <w:style w:type="paragraph" w:customStyle="1" w:styleId="203">
    <w:name w:val="正文1"/>
    <w:basedOn w:val="1"/>
    <w:qFormat/>
    <w:uiPriority w:val="99"/>
    <w:pPr>
      <w:numPr>
        <w:ilvl w:val="0"/>
        <w:numId w:val="5"/>
      </w:numPr>
      <w:spacing w:line="360" w:lineRule="auto"/>
      <w:jc w:val="left"/>
    </w:pPr>
    <w:rPr>
      <w:rFonts w:ascii="宋体" w:hAnsi="宋体"/>
      <w:spacing w:val="4"/>
      <w:sz w:val="18"/>
      <w:szCs w:val="20"/>
    </w:rPr>
  </w:style>
  <w:style w:type="paragraph" w:customStyle="1" w:styleId="204">
    <w:name w:val="正文不缩进"/>
    <w:basedOn w:val="1"/>
    <w:qFormat/>
    <w:uiPriority w:val="0"/>
    <w:pPr>
      <w:adjustRightInd w:val="0"/>
      <w:spacing w:line="360" w:lineRule="auto"/>
      <w:jc w:val="left"/>
      <w:textAlignment w:val="baseline"/>
    </w:pPr>
    <w:rPr>
      <w:kern w:val="0"/>
      <w:sz w:val="24"/>
      <w:szCs w:val="20"/>
    </w:rPr>
  </w:style>
  <w:style w:type="paragraph" w:customStyle="1" w:styleId="205">
    <w:name w:val="论文"/>
    <w:basedOn w:val="1"/>
    <w:qFormat/>
    <w:uiPriority w:val="0"/>
    <w:pPr>
      <w:spacing w:line="400" w:lineRule="exact"/>
    </w:pPr>
    <w:rPr>
      <w:sz w:val="24"/>
      <w:szCs w:val="22"/>
    </w:rPr>
  </w:style>
  <w:style w:type="paragraph" w:customStyle="1" w:styleId="206">
    <w:name w:val="SS正文首行缩进 +"/>
    <w:basedOn w:val="49"/>
    <w:qFormat/>
    <w:uiPriority w:val="99"/>
    <w:pPr>
      <w:autoSpaceDE/>
      <w:autoSpaceDN/>
      <w:adjustRightInd/>
      <w:spacing w:beforeLines="50" w:afterLines="50" w:line="360" w:lineRule="auto"/>
      <w:ind w:firstLine="480" w:firstLineChars="200"/>
      <w:jc w:val="both"/>
    </w:pPr>
    <w:rPr>
      <w:rFonts w:ascii="宋体" w:hAnsi="宋体"/>
      <w:kern w:val="2"/>
      <w:sz w:val="24"/>
    </w:rPr>
  </w:style>
  <w:style w:type="paragraph" w:customStyle="1" w:styleId="207">
    <w:name w:val="表"/>
    <w:basedOn w:val="27"/>
    <w:qFormat/>
    <w:uiPriority w:val="0"/>
    <w:pPr>
      <w:keepNext/>
      <w:tabs>
        <w:tab w:val="left" w:pos="720"/>
      </w:tabs>
      <w:autoSpaceDE w:val="0"/>
      <w:autoSpaceDN w:val="0"/>
      <w:adjustRightInd w:val="0"/>
      <w:spacing w:line="240" w:lineRule="exact"/>
      <w:jc w:val="center"/>
      <w:textAlignment w:val="baseline"/>
    </w:pPr>
    <w:rPr>
      <w:rFonts w:ascii="Times New Roman" w:hAnsi="Times New Roman" w:eastAsia="楷体_GB2312"/>
      <w:kern w:val="0"/>
      <w:sz w:val="24"/>
      <w:szCs w:val="20"/>
    </w:rPr>
  </w:style>
  <w:style w:type="paragraph" w:customStyle="1" w:styleId="20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0">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olor w:val="000000"/>
      <w:kern w:val="0"/>
      <w:sz w:val="24"/>
    </w:rPr>
  </w:style>
  <w:style w:type="paragraph" w:customStyle="1" w:styleId="211">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2">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13">
    <w:name w:val="Body Text First Indent1"/>
    <w:basedOn w:val="22"/>
    <w:next w:val="34"/>
    <w:qFormat/>
    <w:uiPriority w:val="99"/>
    <w:pPr>
      <w:ind w:firstLine="420" w:firstLineChars="100"/>
    </w:pPr>
  </w:style>
  <w:style w:type="paragraph" w:customStyle="1" w:styleId="214">
    <w:name w:val="xl65"/>
    <w:basedOn w:val="1"/>
    <w:qFormat/>
    <w:uiPriority w:val="0"/>
    <w:pPr>
      <w:widowControl/>
      <w:spacing w:before="100" w:beforeAutospacing="1" w:after="100" w:afterAutospacing="1"/>
      <w:jc w:val="center"/>
    </w:pPr>
    <w:rPr>
      <w:rFonts w:ascii="宋体" w:hAnsi="宋体" w:cs="宋体"/>
      <w:kern w:val="0"/>
      <w:sz w:val="24"/>
    </w:rPr>
  </w:style>
  <w:style w:type="paragraph" w:customStyle="1" w:styleId="215">
    <w:name w:val="前附表"/>
    <w:basedOn w:val="1"/>
    <w:qFormat/>
    <w:uiPriority w:val="0"/>
    <w:pPr>
      <w:ind w:firstLine="643"/>
      <w:jc w:val="center"/>
    </w:pPr>
    <w:rPr>
      <w:rFonts w:ascii="宋体" w:hAnsi="宋体"/>
      <w:b/>
      <w:sz w:val="30"/>
      <w:szCs w:val="30"/>
    </w:rPr>
  </w:style>
  <w:style w:type="paragraph" w:customStyle="1" w:styleId="216">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kern w:val="0"/>
      <w:sz w:val="24"/>
    </w:rPr>
  </w:style>
  <w:style w:type="paragraph" w:customStyle="1" w:styleId="217">
    <w:name w:val="GP正文(首行缩进)"/>
    <w:basedOn w:val="1"/>
    <w:qFormat/>
    <w:uiPriority w:val="0"/>
    <w:pPr>
      <w:ind w:firstLine="480" w:firstLineChars="200"/>
      <w:jc w:val="left"/>
    </w:pPr>
    <w:rPr>
      <w:rFonts w:hAnsi="宋体"/>
    </w:rPr>
  </w:style>
  <w:style w:type="paragraph" w:customStyle="1" w:styleId="218">
    <w:name w:val="正文3"/>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19">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0">
    <w:name w:val="纯文本1"/>
    <w:basedOn w:val="218"/>
    <w:qFormat/>
    <w:uiPriority w:val="0"/>
    <w:pPr>
      <w:widowControl/>
      <w:jc w:val="left"/>
    </w:pPr>
    <w:rPr>
      <w:rFonts w:ascii="宋体" w:hAnsi="Courier New"/>
    </w:rPr>
  </w:style>
  <w:style w:type="paragraph" w:customStyle="1" w:styleId="221">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222">
    <w:name w:val="样式 首行缩进:  0 字符"/>
    <w:basedOn w:val="1"/>
    <w:qFormat/>
    <w:uiPriority w:val="0"/>
    <w:pPr>
      <w:adjustRightInd w:val="0"/>
      <w:snapToGrid w:val="0"/>
      <w:spacing w:line="360" w:lineRule="auto"/>
    </w:pPr>
    <w:rPr>
      <w:sz w:val="24"/>
      <w:szCs w:val="20"/>
    </w:rPr>
  </w:style>
  <w:style w:type="paragraph" w:customStyle="1" w:styleId="22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24">
    <w:name w:val="Char Char Char Char Char Char Char1"/>
    <w:basedOn w:val="1"/>
    <w:qFormat/>
    <w:uiPriority w:val="0"/>
    <w:rPr>
      <w:rFonts w:ascii="仿宋_GB2312" w:eastAsia="仿宋_GB2312"/>
      <w:b/>
      <w:sz w:val="32"/>
      <w:szCs w:val="32"/>
    </w:rPr>
  </w:style>
  <w:style w:type="paragraph" w:customStyle="1" w:styleId="225">
    <w:name w:val="符号样式"/>
    <w:basedOn w:val="200"/>
    <w:qFormat/>
    <w:uiPriority w:val="0"/>
    <w:pPr>
      <w:numPr>
        <w:ilvl w:val="0"/>
        <w:numId w:val="6"/>
      </w:numPr>
      <w:ind w:firstLine="200" w:firstLineChars="200"/>
      <w:jc w:val="left"/>
    </w:pPr>
  </w:style>
  <w:style w:type="paragraph" w:customStyle="1" w:styleId="226">
    <w:name w:val="font6"/>
    <w:basedOn w:val="1"/>
    <w:qFormat/>
    <w:uiPriority w:val="0"/>
    <w:pPr>
      <w:widowControl/>
      <w:spacing w:before="100" w:beforeAutospacing="1" w:after="100" w:afterAutospacing="1"/>
      <w:jc w:val="left"/>
    </w:pPr>
    <w:rPr>
      <w:kern w:val="0"/>
      <w:sz w:val="20"/>
      <w:szCs w:val="20"/>
    </w:rPr>
  </w:style>
  <w:style w:type="paragraph" w:customStyle="1" w:styleId="227">
    <w:name w:val="首行缩进"/>
    <w:basedOn w:val="1"/>
    <w:qFormat/>
    <w:uiPriority w:val="0"/>
    <w:pPr>
      <w:keepNext/>
      <w:spacing w:line="520" w:lineRule="exact"/>
    </w:pPr>
    <w:rPr>
      <w:bCs/>
      <w:kern w:val="0"/>
      <w:sz w:val="24"/>
      <w:szCs w:val="28"/>
    </w:rPr>
  </w:style>
  <w:style w:type="paragraph" w:customStyle="1" w:styleId="228">
    <w:name w:val="样式 标题 5 + 右侧:  -0.18 字符"/>
    <w:basedOn w:val="1"/>
    <w:qFormat/>
    <w:uiPriority w:val="99"/>
    <w:pPr>
      <w:numPr>
        <w:ilvl w:val="4"/>
        <w:numId w:val="1"/>
      </w:numPr>
      <w:tabs>
        <w:tab w:val="left" w:pos="1008"/>
      </w:tabs>
    </w:pPr>
    <w:rPr>
      <w:szCs w:val="20"/>
    </w:rPr>
  </w:style>
  <w:style w:type="paragraph" w:customStyle="1" w:styleId="229">
    <w:name w:val="_Style 7"/>
    <w:basedOn w:val="22"/>
    <w:next w:val="49"/>
    <w:qFormat/>
    <w:uiPriority w:val="99"/>
    <w:pPr>
      <w:ind w:firstLine="420" w:firstLineChars="100"/>
    </w:pPr>
    <w:rPr>
      <w:rFonts w:ascii="Calibri" w:hAnsi="Calibri"/>
    </w:rPr>
  </w:style>
  <w:style w:type="paragraph" w:customStyle="1" w:styleId="230">
    <w:name w:val="Char1 Char Char Char Char Char Char"/>
    <w:basedOn w:val="1"/>
    <w:qFormat/>
    <w:uiPriority w:val="0"/>
    <w:rPr>
      <w:rFonts w:ascii="Tahoma" w:hAnsi="Tahoma"/>
      <w:sz w:val="24"/>
      <w:szCs w:val="20"/>
    </w:rPr>
  </w:style>
  <w:style w:type="paragraph" w:customStyle="1" w:styleId="231">
    <w:name w:val="表格标题 Char Char Char Char"/>
    <w:basedOn w:val="1"/>
    <w:qFormat/>
    <w:uiPriority w:val="0"/>
    <w:pPr>
      <w:autoSpaceDE w:val="0"/>
      <w:autoSpaceDN w:val="0"/>
      <w:adjustRightInd w:val="0"/>
      <w:jc w:val="center"/>
      <w:textAlignment w:val="baseline"/>
    </w:pPr>
    <w:rPr>
      <w:color w:val="FF0000"/>
      <w:kern w:val="0"/>
      <w:sz w:val="24"/>
      <w:szCs w:val="20"/>
    </w:rPr>
  </w:style>
  <w:style w:type="paragraph" w:customStyle="1" w:styleId="23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33">
    <w:name w:val="xl7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34">
    <w:name w:val="Char111"/>
    <w:basedOn w:val="1"/>
    <w:qFormat/>
    <w:uiPriority w:val="0"/>
    <w:rPr>
      <w:rFonts w:ascii="Tahoma" w:hAnsi="Tahoma"/>
      <w:sz w:val="24"/>
      <w:szCs w:val="20"/>
    </w:rPr>
  </w:style>
  <w:style w:type="paragraph" w:customStyle="1" w:styleId="23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3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237">
    <w:name w:val="xl66"/>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23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39">
    <w:name w:val="Default"/>
    <w:qFormat/>
    <w:uiPriority w:val="0"/>
    <w:pPr>
      <w:widowControl w:val="0"/>
      <w:autoSpaceDE w:val="0"/>
      <w:autoSpaceDN w:val="0"/>
      <w:adjustRightInd w:val="0"/>
    </w:pPr>
    <w:rPr>
      <w:rFonts w:ascii="宋体..鍼笁鍼." w:hAnsi="Calibri" w:eastAsia="宋体..鍼笁鍼." w:cs="宋体..鍼笁鍼."/>
      <w:color w:val="000000"/>
      <w:sz w:val="24"/>
      <w:szCs w:val="24"/>
      <w:lang w:val="en-US" w:eastAsia="zh-CN" w:bidi="ar-SA"/>
    </w:rPr>
  </w:style>
  <w:style w:type="paragraph" w:customStyle="1" w:styleId="240">
    <w:name w:val="无间隔1"/>
    <w:qFormat/>
    <w:uiPriority w:val="0"/>
    <w:rPr>
      <w:rFonts w:ascii="Calibri" w:hAnsi="Calibri" w:eastAsia="宋体" w:cs="Times New Roman"/>
      <w:sz w:val="22"/>
      <w:szCs w:val="22"/>
      <w:lang w:val="en-US" w:eastAsia="en-US" w:bidi="ar-SA"/>
    </w:rPr>
  </w:style>
  <w:style w:type="paragraph" w:customStyle="1" w:styleId="241">
    <w:name w:val="font7"/>
    <w:basedOn w:val="1"/>
    <w:qFormat/>
    <w:uiPriority w:val="0"/>
    <w:pPr>
      <w:widowControl/>
      <w:spacing w:before="100" w:beforeAutospacing="1" w:after="100" w:afterAutospacing="1"/>
      <w:jc w:val="left"/>
    </w:pPr>
    <w:rPr>
      <w:kern w:val="0"/>
      <w:sz w:val="20"/>
      <w:szCs w:val="20"/>
    </w:rPr>
  </w:style>
  <w:style w:type="paragraph" w:customStyle="1" w:styleId="24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0"/>
      <w:szCs w:val="20"/>
    </w:rPr>
  </w:style>
  <w:style w:type="paragraph" w:customStyle="1" w:styleId="243">
    <w:name w:val="Char1 Char Char Char Char Char Char1"/>
    <w:basedOn w:val="1"/>
    <w:qFormat/>
    <w:uiPriority w:val="99"/>
    <w:rPr>
      <w:rFonts w:ascii="Tahoma" w:hAnsi="Tahoma"/>
      <w:sz w:val="24"/>
      <w:szCs w:val="20"/>
    </w:rPr>
  </w:style>
  <w:style w:type="paragraph" w:customStyle="1" w:styleId="24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45">
    <w:name w:val="Char11"/>
    <w:basedOn w:val="1"/>
    <w:qFormat/>
    <w:uiPriority w:val="99"/>
    <w:pPr>
      <w:widowControl/>
      <w:spacing w:after="160" w:line="240" w:lineRule="exact"/>
      <w:jc w:val="left"/>
    </w:pPr>
    <w:rPr>
      <w:rFonts w:ascii="Verdana" w:hAnsi="Verdana" w:cs="Verdana"/>
      <w:kern w:val="0"/>
      <w:szCs w:val="21"/>
      <w:lang w:eastAsia="en-US"/>
    </w:rPr>
  </w:style>
  <w:style w:type="paragraph" w:customStyle="1" w:styleId="246">
    <w:name w:val="中等深浅网格 21"/>
    <w:qFormat/>
    <w:uiPriority w:val="1"/>
    <w:pPr>
      <w:widowControl w:val="0"/>
      <w:autoSpaceDE w:val="0"/>
      <w:autoSpaceDN w:val="0"/>
      <w:adjustRightInd w:val="0"/>
      <w:jc w:val="both"/>
      <w:textAlignment w:val="baseline"/>
    </w:pPr>
    <w:rPr>
      <w:rFonts w:ascii="Times New Roman" w:hAnsi="Times New Roman" w:eastAsia="宋体" w:cs="Times New Roman"/>
      <w:sz w:val="21"/>
      <w:lang w:val="en-US" w:eastAsia="zh-CN" w:bidi="ar-SA"/>
    </w:rPr>
  </w:style>
  <w:style w:type="paragraph" w:customStyle="1" w:styleId="247">
    <w:name w:val="Char Char Char1 Char Char Char Char Char Char Char Char Char Char Char Char Char Char Char Char Char Char Char Char Char Char1"/>
    <w:basedOn w:val="1"/>
    <w:qFormat/>
    <w:uiPriority w:val="99"/>
    <w:pPr>
      <w:spacing w:line="360" w:lineRule="auto"/>
      <w:ind w:firstLine="200" w:firstLineChars="200"/>
    </w:pPr>
    <w:rPr>
      <w:szCs w:val="20"/>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49">
    <w:name w:val="正文空格"/>
    <w:basedOn w:val="1"/>
    <w:next w:val="1"/>
    <w:qFormat/>
    <w:uiPriority w:val="0"/>
    <w:pPr>
      <w:spacing w:line="400" w:lineRule="exact"/>
      <w:ind w:firstLine="200" w:firstLineChars="200"/>
    </w:pPr>
    <w:rPr>
      <w:sz w:val="24"/>
      <w:szCs w:val="22"/>
    </w:rPr>
  </w:style>
  <w:style w:type="paragraph" w:customStyle="1" w:styleId="250">
    <w:name w:val="Char Char Char Char Char Char"/>
    <w:basedOn w:val="1"/>
    <w:qFormat/>
    <w:uiPriority w:val="0"/>
    <w:pPr>
      <w:ind w:firstLine="200" w:firstLineChars="200"/>
    </w:pPr>
    <w:rPr>
      <w:rFonts w:ascii="Tahoma" w:hAnsi="Tahoma"/>
      <w:sz w:val="24"/>
      <w:szCs w:val="20"/>
    </w:rPr>
  </w:style>
  <w:style w:type="paragraph" w:customStyle="1" w:styleId="251">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52">
    <w:name w:val="Char Char Char Char"/>
    <w:basedOn w:val="1"/>
    <w:qFormat/>
    <w:uiPriority w:val="0"/>
  </w:style>
  <w:style w:type="paragraph" w:customStyle="1" w:styleId="253">
    <w:name w:val="hc正文1.5"/>
    <w:basedOn w:val="1"/>
    <w:qFormat/>
    <w:uiPriority w:val="0"/>
    <w:pPr>
      <w:tabs>
        <w:tab w:val="left" w:pos="3265"/>
      </w:tabs>
      <w:spacing w:beforeLines="20" w:afterLines="20" w:line="460" w:lineRule="exact"/>
      <w:ind w:firstLine="480" w:firstLineChars="200"/>
    </w:pPr>
    <w:rPr>
      <w:rFonts w:ascii="宋体" w:hAnsi="宋体" w:cs="仿宋_GB2312"/>
    </w:rPr>
  </w:style>
  <w:style w:type="paragraph" w:customStyle="1" w:styleId="254">
    <w:name w:val="默认段落字体 Para Char Char Char Char Char Char Char Char Char1 Char Char Char Char"/>
    <w:basedOn w:val="1"/>
    <w:qFormat/>
    <w:uiPriority w:val="0"/>
    <w:rPr>
      <w:rFonts w:ascii="Tahoma" w:hAnsi="Tahoma" w:cs="Tahoma"/>
      <w:sz w:val="24"/>
    </w:rPr>
  </w:style>
  <w:style w:type="paragraph" w:customStyle="1" w:styleId="255">
    <w:name w:val="简单回函地址"/>
    <w:basedOn w:val="1"/>
    <w:qFormat/>
    <w:uiPriority w:val="0"/>
  </w:style>
  <w:style w:type="paragraph" w:customStyle="1" w:styleId="256">
    <w:name w:val="正文文本缩进1"/>
    <w:basedOn w:val="1"/>
    <w:qFormat/>
    <w:uiPriority w:val="0"/>
    <w:pPr>
      <w:widowControl/>
      <w:snapToGrid w:val="0"/>
      <w:spacing w:line="440" w:lineRule="atLeast"/>
      <w:ind w:left="2400" w:hanging="1980"/>
      <w:jc w:val="center"/>
    </w:pPr>
    <w:rPr>
      <w:rFonts w:hint="eastAsia" w:ascii="宋体"/>
      <w:kern w:val="0"/>
      <w:sz w:val="24"/>
      <w:szCs w:val="20"/>
    </w:rPr>
  </w:style>
  <w:style w:type="paragraph" w:customStyle="1" w:styleId="25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25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59">
    <w:name w:val="￥正文"/>
    <w:basedOn w:val="1"/>
    <w:qFormat/>
    <w:uiPriority w:val="0"/>
    <w:pPr>
      <w:spacing w:line="360" w:lineRule="auto"/>
      <w:ind w:firstLine="200" w:firstLineChars="200"/>
    </w:pPr>
    <w:rPr>
      <w:rFonts w:ascii="Calibri" w:hAnsi="Calibri"/>
      <w:kern w:val="0"/>
      <w:sz w:val="24"/>
      <w:lang w:eastAsia="en-US"/>
    </w:rPr>
  </w:style>
  <w:style w:type="paragraph" w:customStyle="1" w:styleId="260">
    <w:name w:val="表格1"/>
    <w:basedOn w:val="1"/>
    <w:qFormat/>
    <w:uiPriority w:val="0"/>
    <w:pPr>
      <w:adjustRightInd w:val="0"/>
      <w:spacing w:line="420" w:lineRule="atLeast"/>
      <w:ind w:left="284"/>
      <w:textAlignment w:val="baseline"/>
    </w:pPr>
    <w:rPr>
      <w:kern w:val="0"/>
      <w:szCs w:val="20"/>
    </w:rPr>
  </w:style>
  <w:style w:type="paragraph" w:customStyle="1" w:styleId="261">
    <w:name w:val="表格内容"/>
    <w:basedOn w:val="1"/>
    <w:qFormat/>
    <w:uiPriority w:val="0"/>
    <w:pPr>
      <w:widowControl/>
      <w:autoSpaceDE w:val="0"/>
      <w:autoSpaceDN w:val="0"/>
      <w:adjustRightInd w:val="0"/>
      <w:ind w:left="-99" w:leftChars="-37"/>
      <w:jc w:val="center"/>
      <w:textAlignment w:val="baseline"/>
    </w:pPr>
    <w:rPr>
      <w:rFonts w:hAnsi="宋体"/>
      <w:kern w:val="0"/>
      <w:sz w:val="24"/>
      <w:szCs w:val="21"/>
    </w:rPr>
  </w:style>
  <w:style w:type="paragraph" w:customStyle="1" w:styleId="26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63">
    <w:name w:val="TOC 标题2"/>
    <w:basedOn w:val="5"/>
    <w:next w:val="1"/>
    <w:unhideWhenUsed/>
    <w:qFormat/>
    <w:uiPriority w:val="39"/>
    <w:pPr>
      <w:keepNext/>
      <w:keepLines/>
      <w:widowControl/>
      <w:autoSpaceDE/>
      <w:autoSpaceDN/>
      <w:adjustRightInd/>
      <w:spacing w:before="480" w:line="276" w:lineRule="auto"/>
      <w:ind w:left="0"/>
      <w:jc w:val="left"/>
      <w:outlineLvl w:val="9"/>
    </w:pPr>
    <w:rPr>
      <w:rFonts w:ascii="Cambria" w:hAnsi="Cambria" w:eastAsia="宋体" w:cs="Times New Roman"/>
      <w:color w:val="366091"/>
      <w:kern w:val="0"/>
      <w:sz w:val="28"/>
      <w:szCs w:val="28"/>
    </w:rPr>
  </w:style>
  <w:style w:type="character" w:customStyle="1" w:styleId="264">
    <w:name w:val="标题 1 字符"/>
    <w:link w:val="5"/>
    <w:qFormat/>
    <w:uiPriority w:val="0"/>
    <w:rPr>
      <w:rFonts w:ascii="Times New Roman" w:hAnsi="Times New Roman" w:eastAsia="宋体" w:cs="Times New Roman"/>
      <w:b/>
      <w:kern w:val="44"/>
      <w:sz w:val="32"/>
      <w:szCs w:val="20"/>
    </w:rPr>
  </w:style>
  <w:style w:type="paragraph" w:customStyle="1" w:styleId="265">
    <w:name w:val="公告正文"/>
    <w:basedOn w:val="1"/>
    <w:qFormat/>
    <w:uiPriority w:val="0"/>
    <w:pPr>
      <w:spacing w:line="400" w:lineRule="atLeast"/>
      <w:ind w:firstLine="437"/>
    </w:pPr>
    <w:rPr>
      <w:rFonts w:ascii="宋体"/>
      <w:sz w:val="24"/>
      <w:szCs w:val="24"/>
    </w:rPr>
  </w:style>
  <w:style w:type="paragraph" w:customStyle="1" w:styleId="26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67">
    <w:name w:val="font121"/>
    <w:basedOn w:val="52"/>
    <w:qFormat/>
    <w:uiPriority w:val="0"/>
    <w:rPr>
      <w:rFonts w:hint="eastAsia" w:ascii="微软雅黑" w:hAnsi="微软雅黑" w:eastAsia="微软雅黑" w:cs="微软雅黑"/>
      <w:b/>
      <w:bCs/>
      <w:color w:val="000000"/>
      <w:sz w:val="36"/>
      <w:szCs w:val="36"/>
      <w:u w:val="none"/>
    </w:rPr>
  </w:style>
  <w:style w:type="character" w:customStyle="1" w:styleId="268">
    <w:name w:val="font91"/>
    <w:basedOn w:val="52"/>
    <w:qFormat/>
    <w:uiPriority w:val="0"/>
    <w:rPr>
      <w:rFonts w:hint="eastAsia" w:ascii="微软雅黑" w:hAnsi="微软雅黑" w:eastAsia="微软雅黑" w:cs="微软雅黑"/>
      <w:b/>
      <w:bCs/>
      <w:color w:val="000000"/>
      <w:sz w:val="28"/>
      <w:szCs w:val="28"/>
      <w:u w:val="none"/>
    </w:rPr>
  </w:style>
  <w:style w:type="character" w:customStyle="1" w:styleId="269">
    <w:name w:val="font81"/>
    <w:basedOn w:val="52"/>
    <w:qFormat/>
    <w:uiPriority w:val="0"/>
    <w:rPr>
      <w:rFonts w:hint="eastAsia" w:ascii="微软雅黑" w:hAnsi="微软雅黑" w:eastAsia="微软雅黑" w:cs="微软雅黑"/>
      <w:b/>
      <w:bCs/>
      <w:color w:val="000000"/>
      <w:sz w:val="28"/>
      <w:szCs w:val="28"/>
      <w:u w:val="none"/>
    </w:rPr>
  </w:style>
  <w:style w:type="character" w:customStyle="1" w:styleId="270">
    <w:name w:val="font131"/>
    <w:basedOn w:val="52"/>
    <w:qFormat/>
    <w:uiPriority w:val="0"/>
    <w:rPr>
      <w:rFonts w:hint="eastAsia" w:ascii="微软雅黑" w:hAnsi="微软雅黑" w:eastAsia="微软雅黑" w:cs="微软雅黑"/>
      <w:color w:val="000000"/>
      <w:sz w:val="28"/>
      <w:szCs w:val="28"/>
      <w:u w:val="none"/>
    </w:rPr>
  </w:style>
  <w:style w:type="paragraph" w:customStyle="1" w:styleId="271">
    <w:name w:val="*正文"/>
    <w:basedOn w:val="1"/>
    <w:qFormat/>
    <w:uiPriority w:val="0"/>
    <w:pPr>
      <w:widowControl/>
      <w:adjustRightInd/>
      <w:snapToGrid/>
      <w:ind w:firstLine="200"/>
    </w:pPr>
    <w:rPr>
      <w:rFonts w:ascii="宋体" w:hAnsi="宋体"/>
      <w:kern w:val="0"/>
      <w:szCs w:val="24"/>
    </w:rPr>
  </w:style>
  <w:style w:type="paragraph" w:customStyle="1" w:styleId="272">
    <w:name w:val="表格正文"/>
    <w:qFormat/>
    <w:uiPriority w:val="99"/>
    <w:pPr>
      <w:jc w:val="center"/>
    </w:pPr>
    <w:rPr>
      <w:rFonts w:ascii="宋体" w:hAnsi="宋体" w:eastAsia="宋体" w:cs="宋体"/>
      <w:kern w:val="2"/>
      <w:sz w:val="21"/>
      <w:szCs w:val="21"/>
      <w:lang w:val="en-US" w:eastAsia="zh-CN" w:bidi="ar-SA"/>
    </w:rPr>
  </w:style>
  <w:style w:type="paragraph" w:customStyle="1" w:styleId="273">
    <w:name w:val="表格小4字"/>
    <w:basedOn w:val="1"/>
    <w:next w:val="1"/>
    <w:qFormat/>
    <w:uiPriority w:val="0"/>
    <w:pPr>
      <w:widowControl/>
      <w:spacing w:line="300" w:lineRule="auto"/>
      <w:ind w:firstLine="0" w:firstLineChars="0"/>
      <w:jc w:val="center"/>
    </w:pPr>
    <w:rPr>
      <w:kern w:val="0"/>
      <w:sz w:val="21"/>
      <w:szCs w:val="28"/>
    </w:rPr>
  </w:style>
  <w:style w:type="paragraph" w:customStyle="1" w:styleId="274">
    <w:name w:val="表格"/>
    <w:basedOn w:val="1"/>
    <w:qFormat/>
    <w:uiPriority w:val="0"/>
    <w:pPr>
      <w:ind w:firstLine="0" w:firstLineChars="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e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174</Pages>
  <Words>94516</Words>
  <Characters>109961</Characters>
  <Lines>279</Lines>
  <Paragraphs>78</Paragraphs>
  <TotalTime>23</TotalTime>
  <ScaleCrop>false</ScaleCrop>
  <LinksUpToDate>false</LinksUpToDate>
  <CharactersWithSpaces>115414</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2021-11-15T01:35:00Z</dcterms:created>
  <dc:creator>石宗杰</dc:creator>
  <cp:lastModifiedBy>Bazooka</cp:lastModifiedBy>
  <cp:lastPrinted>2021-02-23T05:50:00Z</cp:lastPrinted>
  <dcterms:modified xsi:type="dcterms:W3CDTF">2022-07-05T07:58:49Z</dcterms:modified>
  <dc:title>政  府  采  购</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r8>32695518</vt:r8>
  </property>
  <property fmtid="{D5CDD505-2E9C-101B-9397-08002B2CF9AE}" pid="3" name="KSOProductBuildVer">
    <vt:lpwstr>2052-11.1.0.11830</vt:lpwstr>
  </property>
  <property fmtid="{D5CDD505-2E9C-101B-9397-08002B2CF9AE}" pid="4" name="ICV">
    <vt:lpwstr>F5E7BAF4A7154C2B905B3AD22D108C8B</vt:lpwstr>
  </property>
</Properties>
</file>