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sz w:val="32"/>
          <w:szCs w:val="32"/>
        </w:rPr>
      </w:pPr>
    </w:p>
    <w:p>
      <w:pPr>
        <w:spacing w:before="142"/>
        <w:rPr>
          <w:b/>
          <w:sz w:val="52"/>
          <w:szCs w:val="52"/>
        </w:rPr>
      </w:pPr>
    </w:p>
    <w:p>
      <w:pPr>
        <w:spacing w:before="142"/>
        <w:jc w:val="center"/>
        <w:rPr>
          <w:b/>
          <w:sz w:val="72"/>
          <w:szCs w:val="72"/>
        </w:rPr>
      </w:pPr>
      <w:r>
        <w:rPr>
          <w:b/>
          <w:sz w:val="72"/>
          <w:szCs w:val="72"/>
        </w:rPr>
        <w:t>公开招标采购文件</w:t>
      </w:r>
    </w:p>
    <w:p>
      <w:pPr>
        <w:snapToGrid w:val="0"/>
        <w:spacing w:before="142" w:line="360" w:lineRule="auto"/>
        <w:rPr>
          <w:sz w:val="30"/>
          <w:szCs w:val="72"/>
        </w:rPr>
      </w:pPr>
    </w:p>
    <w:p>
      <w:pPr>
        <w:snapToGrid w:val="0"/>
        <w:spacing w:before="142" w:line="360" w:lineRule="auto"/>
        <w:rPr>
          <w:sz w:val="30"/>
          <w:szCs w:val="72"/>
        </w:rPr>
      </w:pPr>
    </w:p>
    <w:p>
      <w:pPr>
        <w:snapToGrid w:val="0"/>
        <w:spacing w:before="142" w:line="360" w:lineRule="auto"/>
        <w:rPr>
          <w:sz w:val="30"/>
          <w:szCs w:val="72"/>
        </w:rPr>
      </w:pPr>
    </w:p>
    <w:p>
      <w:pPr>
        <w:snapToGrid w:val="0"/>
        <w:spacing w:before="142" w:line="360" w:lineRule="auto"/>
        <w:rPr>
          <w:sz w:val="30"/>
          <w:szCs w:val="72"/>
        </w:rPr>
      </w:pPr>
    </w:p>
    <w:tbl>
      <w:tblPr>
        <w:tblStyle w:val="12"/>
        <w:tblW w:w="0" w:type="auto"/>
        <w:tblInd w:w="-108" w:type="dxa"/>
        <w:tblLayout w:type="fixed"/>
        <w:tblCellMar>
          <w:top w:w="0" w:type="dxa"/>
          <w:left w:w="108" w:type="dxa"/>
          <w:bottom w:w="0" w:type="dxa"/>
          <w:right w:w="108" w:type="dxa"/>
        </w:tblCellMar>
      </w:tblPr>
      <w:tblGrid>
        <w:gridCol w:w="2134"/>
        <w:gridCol w:w="7097"/>
      </w:tblGrid>
      <w:tr>
        <w:tblPrEx>
          <w:tblCellMar>
            <w:top w:w="0" w:type="dxa"/>
            <w:left w:w="108" w:type="dxa"/>
            <w:bottom w:w="0" w:type="dxa"/>
            <w:right w:w="108" w:type="dxa"/>
          </w:tblCellMar>
        </w:tblPrEx>
        <w:trPr>
          <w:trHeight w:val="810" w:hRule="atLeast"/>
        </w:trPr>
        <w:tc>
          <w:tcPr>
            <w:tcW w:w="2134" w:type="dxa"/>
            <w:tcBorders>
              <w:top w:val="nil"/>
              <w:left w:val="nil"/>
              <w:bottom w:val="nil"/>
              <w:right w:val="nil"/>
            </w:tcBorders>
            <w:vAlign w:val="center"/>
          </w:tcPr>
          <w:p>
            <w:pPr>
              <w:snapToGrid w:val="0"/>
              <w:jc w:val="center"/>
              <w:rPr>
                <w:b/>
                <w:sz w:val="34"/>
                <w:szCs w:val="32"/>
              </w:rPr>
            </w:pPr>
            <w:r>
              <w:rPr>
                <w:b/>
                <w:sz w:val="34"/>
                <w:szCs w:val="32"/>
              </w:rPr>
              <w:t>项目编号：</w:t>
            </w:r>
          </w:p>
        </w:tc>
        <w:tc>
          <w:tcPr>
            <w:tcW w:w="7097" w:type="dxa"/>
            <w:tcBorders>
              <w:top w:val="nil"/>
              <w:left w:val="nil"/>
              <w:bottom w:val="nil"/>
              <w:right w:val="nil"/>
            </w:tcBorders>
            <w:vAlign w:val="center"/>
          </w:tcPr>
          <w:p>
            <w:pPr>
              <w:pStyle w:val="52"/>
              <w:snapToGrid w:val="0"/>
              <w:rPr>
                <w:b/>
                <w:sz w:val="34"/>
                <w:szCs w:val="32"/>
                <w:u w:val="single"/>
              </w:rPr>
            </w:pPr>
            <w:r>
              <w:rPr>
                <w:rFonts w:hint="eastAsia"/>
                <w:b/>
                <w:sz w:val="34"/>
                <w:szCs w:val="32"/>
                <w:u w:val="single"/>
              </w:rPr>
              <w:t>ZJZC-233184</w:t>
            </w:r>
          </w:p>
        </w:tc>
      </w:tr>
      <w:tr>
        <w:tblPrEx>
          <w:tblCellMar>
            <w:top w:w="0" w:type="dxa"/>
            <w:left w:w="108" w:type="dxa"/>
            <w:bottom w:w="0" w:type="dxa"/>
            <w:right w:w="108" w:type="dxa"/>
          </w:tblCellMar>
        </w:tblPrEx>
        <w:trPr>
          <w:trHeight w:val="1781" w:hRule="atLeast"/>
        </w:trPr>
        <w:tc>
          <w:tcPr>
            <w:tcW w:w="2134" w:type="dxa"/>
            <w:tcBorders>
              <w:top w:val="nil"/>
              <w:left w:val="nil"/>
              <w:bottom w:val="nil"/>
              <w:right w:val="nil"/>
            </w:tcBorders>
            <w:vAlign w:val="center"/>
          </w:tcPr>
          <w:p>
            <w:pPr>
              <w:snapToGrid w:val="0"/>
              <w:jc w:val="center"/>
              <w:rPr>
                <w:b/>
                <w:sz w:val="34"/>
                <w:szCs w:val="32"/>
              </w:rPr>
            </w:pPr>
            <w:r>
              <w:rPr>
                <w:b/>
                <w:sz w:val="34"/>
                <w:szCs w:val="32"/>
              </w:rPr>
              <w:t>项目名称：</w:t>
            </w:r>
          </w:p>
        </w:tc>
        <w:tc>
          <w:tcPr>
            <w:tcW w:w="7097" w:type="dxa"/>
            <w:tcBorders>
              <w:top w:val="nil"/>
              <w:left w:val="nil"/>
              <w:bottom w:val="nil"/>
              <w:right w:val="nil"/>
            </w:tcBorders>
            <w:vAlign w:val="center"/>
          </w:tcPr>
          <w:p>
            <w:pPr>
              <w:spacing w:line="400" w:lineRule="exact"/>
              <w:jc w:val="left"/>
              <w:rPr>
                <w:b/>
                <w:sz w:val="34"/>
                <w:szCs w:val="32"/>
                <w:u w:val="single"/>
              </w:rPr>
            </w:pPr>
            <w:r>
              <w:rPr>
                <w:rFonts w:hint="eastAsia"/>
                <w:b/>
                <w:sz w:val="34"/>
                <w:szCs w:val="32"/>
                <w:u w:val="single"/>
              </w:rPr>
              <w:t>宁波职业技术学院绿色智能供配电实训基地建设项目</w:t>
            </w:r>
          </w:p>
        </w:tc>
      </w:tr>
    </w:tbl>
    <w:p>
      <w:pPr>
        <w:pStyle w:val="52"/>
        <w:snapToGrid w:val="0"/>
        <w:spacing w:line="360" w:lineRule="auto"/>
        <w:rPr>
          <w:rFonts w:ascii="Times New Roman"/>
          <w:b/>
          <w:sz w:val="30"/>
          <w:szCs w:val="72"/>
        </w:rPr>
      </w:pPr>
    </w:p>
    <w:p>
      <w:pPr>
        <w:pStyle w:val="52"/>
        <w:snapToGrid w:val="0"/>
        <w:spacing w:line="360" w:lineRule="auto"/>
        <w:rPr>
          <w:rFonts w:ascii="Times New Roman"/>
          <w:b/>
          <w:sz w:val="30"/>
          <w:szCs w:val="72"/>
        </w:rPr>
      </w:pPr>
    </w:p>
    <w:p>
      <w:pPr>
        <w:pStyle w:val="52"/>
        <w:snapToGrid w:val="0"/>
        <w:spacing w:line="360" w:lineRule="auto"/>
        <w:rPr>
          <w:rFonts w:ascii="Times New Roman"/>
          <w:b/>
          <w:bCs/>
          <w:sz w:val="30"/>
          <w:szCs w:val="30"/>
        </w:rPr>
      </w:pPr>
      <w:r>
        <w:rPr>
          <w:rFonts w:ascii="Times New Roman"/>
          <w:b/>
          <w:bCs/>
          <w:sz w:val="30"/>
          <w:szCs w:val="30"/>
        </w:rPr>
        <w:drawing>
          <wp:anchor distT="0" distB="0" distL="0" distR="0" simplePos="0" relativeHeight="251664384" behindDoc="0" locked="0" layoutInCell="1" allowOverlap="1">
            <wp:simplePos x="0" y="0"/>
            <wp:positionH relativeFrom="column">
              <wp:align>center</wp:align>
            </wp:positionH>
            <wp:positionV relativeFrom="paragraph">
              <wp:posOffset>274955</wp:posOffset>
            </wp:positionV>
            <wp:extent cx="900430" cy="788035"/>
            <wp:effectExtent l="0" t="0" r="13970" b="12065"/>
            <wp:wrapNone/>
            <wp:docPr id="1" name="_x0000_s2488"/>
            <wp:cNvGraphicFramePr/>
            <a:graphic xmlns:a="http://schemas.openxmlformats.org/drawingml/2006/main">
              <a:graphicData uri="http://schemas.openxmlformats.org/drawingml/2006/picture">
                <pic:pic xmlns:pic="http://schemas.openxmlformats.org/drawingml/2006/picture">
                  <pic:nvPicPr>
                    <pic:cNvPr id="1" name="_x0000_s2488"/>
                    <pic:cNvPicPr/>
                  </pic:nvPicPr>
                  <pic:blipFill>
                    <a:blip r:embed="rId18"/>
                    <a:stretch>
                      <a:fillRect/>
                    </a:stretch>
                  </pic:blipFill>
                  <pic:spPr>
                    <a:xfrm>
                      <a:off x="0" y="0"/>
                      <a:ext cx="900430" cy="788035"/>
                    </a:xfrm>
                    <a:prstGeom prst="rect">
                      <a:avLst/>
                    </a:prstGeom>
                  </pic:spPr>
                </pic:pic>
              </a:graphicData>
            </a:graphic>
          </wp:anchor>
        </w:drawing>
      </w:r>
    </w:p>
    <w:p>
      <w:pPr>
        <w:snapToGrid w:val="0"/>
        <w:spacing w:before="142" w:line="360" w:lineRule="auto"/>
        <w:jc w:val="center"/>
        <w:rPr>
          <w:b/>
          <w:bCs/>
          <w:sz w:val="30"/>
          <w:szCs w:val="30"/>
        </w:rPr>
      </w:pPr>
    </w:p>
    <w:p>
      <w:pPr>
        <w:snapToGrid w:val="0"/>
        <w:spacing w:before="142" w:line="360" w:lineRule="auto"/>
        <w:jc w:val="center"/>
        <w:rPr>
          <w:b/>
          <w:bCs/>
          <w:sz w:val="30"/>
          <w:szCs w:val="30"/>
        </w:rPr>
      </w:pPr>
    </w:p>
    <w:p>
      <w:pPr>
        <w:snapToGrid w:val="0"/>
        <w:spacing w:before="142" w:line="360" w:lineRule="auto"/>
        <w:jc w:val="center"/>
        <w:rPr>
          <w:b/>
          <w:sz w:val="36"/>
          <w:szCs w:val="36"/>
        </w:rPr>
      </w:pPr>
      <w:r>
        <w:rPr>
          <w:b/>
          <w:sz w:val="36"/>
          <w:szCs w:val="36"/>
        </w:rPr>
        <w:t>浙江中创招投标有限公司</w:t>
      </w:r>
    </w:p>
    <w:p>
      <w:pPr>
        <w:wordWrap w:val="0"/>
        <w:spacing w:line="600" w:lineRule="exact"/>
        <w:jc w:val="center"/>
        <w:rPr>
          <w:b/>
          <w:bCs/>
          <w:color w:val="000000"/>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213" w:right="850" w:bottom="1440" w:left="1701" w:header="720" w:footer="0" w:gutter="0"/>
          <w:pgNumType w:start="1"/>
          <w:cols w:space="720" w:num="1"/>
          <w:docGrid w:type="lines" w:linePitch="285" w:charSpace="0"/>
        </w:sectPr>
      </w:pPr>
      <w:r>
        <w:rPr>
          <w:b/>
          <w:bCs/>
          <w:color w:val="000000"/>
          <w:sz w:val="30"/>
          <w:szCs w:val="30"/>
        </w:rPr>
        <w:t>二〇</w:t>
      </w:r>
      <w:r>
        <w:rPr>
          <w:rFonts w:hint="eastAsia"/>
          <w:b/>
          <w:bCs/>
          <w:color w:val="000000"/>
          <w:sz w:val="30"/>
          <w:szCs w:val="30"/>
        </w:rPr>
        <w:t>二三</w:t>
      </w:r>
      <w:r>
        <w:rPr>
          <w:b/>
          <w:bCs/>
          <w:color w:val="000000"/>
          <w:sz w:val="30"/>
          <w:szCs w:val="30"/>
        </w:rPr>
        <w:t>年</w:t>
      </w:r>
      <w:r>
        <w:rPr>
          <w:rFonts w:hint="eastAsia"/>
          <w:b/>
          <w:bCs/>
          <w:color w:val="000000"/>
          <w:sz w:val="30"/>
          <w:szCs w:val="30"/>
        </w:rPr>
        <w:t>七</w:t>
      </w:r>
      <w:r>
        <w:rPr>
          <w:b/>
          <w:bCs/>
          <w:color w:val="000000"/>
          <w:sz w:val="30"/>
          <w:szCs w:val="30"/>
        </w:rPr>
        <w:t>月</w:t>
      </w:r>
      <w:r>
        <w:rPr>
          <w:rFonts w:ascii="宋体" w:hAnsi="宋体"/>
          <w:b/>
          <w:color w:val="FF0000"/>
          <w:sz w:val="28"/>
          <w:szCs w:val="28"/>
        </w:rPr>
        <w:br w:type="page"/>
      </w:r>
    </w:p>
    <w:p>
      <w:pPr>
        <w:wordWrap w:val="0"/>
        <w:spacing w:line="480" w:lineRule="auto"/>
        <w:jc w:val="center"/>
        <w:rPr>
          <w:rFonts w:ascii="宋体" w:hAnsi="宋体"/>
          <w:b/>
          <w:sz w:val="52"/>
          <w:szCs w:val="52"/>
        </w:rPr>
      </w:pPr>
    </w:p>
    <w:p>
      <w:pPr>
        <w:wordWrap w:val="0"/>
        <w:spacing w:line="1200" w:lineRule="exact"/>
        <w:jc w:val="center"/>
        <w:rPr>
          <w:rFonts w:ascii="宋体" w:hAnsi="宋体"/>
          <w:b/>
          <w:sz w:val="72"/>
          <w:szCs w:val="72"/>
        </w:rPr>
      </w:pPr>
      <w:r>
        <w:rPr>
          <w:rFonts w:hint="eastAsia" w:ascii="宋体" w:hAnsi="宋体"/>
          <w:b/>
          <w:sz w:val="72"/>
          <w:szCs w:val="72"/>
        </w:rPr>
        <w:t>温馨提醒</w:t>
      </w:r>
    </w:p>
    <w:p>
      <w:pPr>
        <w:wordWrap w:val="0"/>
        <w:spacing w:line="1200" w:lineRule="exact"/>
        <w:jc w:val="center"/>
        <w:rPr>
          <w:rFonts w:ascii="宋体" w:hAnsi="宋体"/>
          <w:b/>
          <w:sz w:val="52"/>
          <w:szCs w:val="52"/>
        </w:rPr>
      </w:pPr>
    </w:p>
    <w:p>
      <w:pPr>
        <w:wordWrap w:val="0"/>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、投标文件应按采购文件要求将“资格文件”、“商务和技术文件”、“报价文件”分别编制。</w:t>
      </w:r>
    </w:p>
    <w:p>
      <w:pPr>
        <w:wordWrap w:val="0"/>
        <w:spacing w:line="1000" w:lineRule="exact"/>
        <w:jc w:val="left"/>
        <w:rPr>
          <w:rFonts w:ascii="宋体" w:hAnsi="宋体"/>
          <w:b/>
          <w:sz w:val="30"/>
          <w:szCs w:val="30"/>
        </w:rPr>
      </w:pPr>
      <w:r>
        <w:rPr>
          <w:rFonts w:hint="eastAsia" w:ascii="宋体" w:hAnsi="宋体"/>
          <w:b/>
          <w:sz w:val="30"/>
          <w:szCs w:val="30"/>
        </w:rPr>
        <w:t>2、采购人可以对已发出的采购文件进行必要的澄清或者修改，将以“更正公告”的形式发布在政采云平台，供应商应及时登录政采云平台，进行浏览并下载，未及时浏览下载的责任自负。</w:t>
      </w:r>
    </w:p>
    <w:p>
      <w:pPr>
        <w:wordWrap w:val="0"/>
        <w:jc w:val="center"/>
        <w:outlineLvl w:val="0"/>
        <w:rPr>
          <w:rFonts w:ascii="宋体" w:hAnsi="宋体"/>
          <w:b/>
          <w:bCs/>
          <w:sz w:val="32"/>
          <w:szCs w:val="32"/>
        </w:rPr>
      </w:pPr>
    </w:p>
    <w:p>
      <w:pPr>
        <w:tabs>
          <w:tab w:val="center" w:pos="4365"/>
        </w:tabs>
        <w:wordWrap w:val="0"/>
        <w:spacing w:line="480" w:lineRule="auto"/>
        <w:jc w:val="center"/>
        <w:rPr>
          <w:rFonts w:ascii="宋体" w:hAnsi="宋体"/>
          <w:b/>
          <w:bCs/>
          <w:sz w:val="32"/>
          <w:szCs w:val="32"/>
        </w:rPr>
      </w:pPr>
      <w:r>
        <w:rPr>
          <w:rFonts w:ascii="宋体" w:hAnsi="宋体"/>
          <w:b/>
          <w:bCs/>
          <w:sz w:val="32"/>
          <w:szCs w:val="32"/>
        </w:rPr>
        <w:br w:type="page"/>
      </w:r>
    </w:p>
    <w:p>
      <w:pPr>
        <w:tabs>
          <w:tab w:val="center" w:pos="4365"/>
        </w:tabs>
        <w:wordWrap w:val="0"/>
        <w:spacing w:line="480" w:lineRule="auto"/>
        <w:jc w:val="center"/>
        <w:rPr>
          <w:rFonts w:ascii="宋体" w:hAns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pPr>
        <w:pStyle w:val="8"/>
        <w:tabs>
          <w:tab w:val="right" w:leader="dot" w:pos="8731"/>
        </w:tabs>
        <w:spacing w:line="360" w:lineRule="auto"/>
        <w:rPr>
          <w:sz w:val="30"/>
          <w:szCs w:val="30"/>
        </w:rPr>
      </w:pPr>
      <w:r>
        <w:rPr>
          <w:color w:val="000000"/>
          <w:sz w:val="30"/>
          <w:szCs w:val="30"/>
        </w:rPr>
        <w:fldChar w:fldCharType="begin"/>
      </w:r>
      <w:r>
        <w:rPr>
          <w:color w:val="000000"/>
          <w:sz w:val="30"/>
          <w:szCs w:val="30"/>
        </w:rPr>
        <w:instrText xml:space="preserve"> TOC \o "1-3" \h \z \u </w:instrText>
      </w:r>
      <w:r>
        <w:rPr>
          <w:color w:val="000000"/>
          <w:sz w:val="30"/>
          <w:szCs w:val="30"/>
        </w:rPr>
        <w:fldChar w:fldCharType="separate"/>
      </w:r>
      <w:r>
        <w:fldChar w:fldCharType="begin"/>
      </w:r>
      <w:r>
        <w:instrText xml:space="preserve"> HYPERLINK \l "_Toc2636" </w:instrText>
      </w:r>
      <w:r>
        <w:fldChar w:fldCharType="separate"/>
      </w:r>
      <w:r>
        <w:rPr>
          <w:rFonts w:hint="eastAsia" w:ascii="宋体" w:hAnsi="宋体"/>
          <w:sz w:val="30"/>
          <w:szCs w:val="30"/>
        </w:rPr>
        <w:t>第一章</w:t>
      </w:r>
      <w:r>
        <w:rPr>
          <w:rFonts w:ascii="宋体" w:hAnsi="宋体"/>
          <w:sz w:val="30"/>
          <w:szCs w:val="30"/>
        </w:rPr>
        <w:t xml:space="preserve">  </w:t>
      </w:r>
      <w:r>
        <w:rPr>
          <w:rFonts w:hint="eastAsia" w:ascii="宋体" w:hAnsi="宋体"/>
          <w:sz w:val="30"/>
          <w:szCs w:val="30"/>
        </w:rPr>
        <w:t>招标公告</w:t>
      </w:r>
      <w:r>
        <w:rPr>
          <w:sz w:val="30"/>
          <w:szCs w:val="30"/>
        </w:rPr>
        <w:tab/>
      </w:r>
      <w:r>
        <w:rPr>
          <w:sz w:val="30"/>
          <w:szCs w:val="30"/>
        </w:rPr>
        <w:fldChar w:fldCharType="begin"/>
      </w:r>
      <w:r>
        <w:rPr>
          <w:sz w:val="30"/>
          <w:szCs w:val="30"/>
        </w:rPr>
        <w:instrText xml:space="preserve"> PAGEREF _Toc2636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8"/>
        <w:tabs>
          <w:tab w:val="right" w:leader="dot" w:pos="8731"/>
        </w:tabs>
        <w:spacing w:line="360" w:lineRule="auto"/>
        <w:rPr>
          <w:sz w:val="30"/>
          <w:szCs w:val="30"/>
        </w:rPr>
      </w:pPr>
      <w:r>
        <w:fldChar w:fldCharType="begin"/>
      </w:r>
      <w:r>
        <w:instrText xml:space="preserve"> HYPERLINK \l "_Toc8010" </w:instrText>
      </w:r>
      <w:r>
        <w:fldChar w:fldCharType="separate"/>
      </w:r>
      <w:r>
        <w:rPr>
          <w:rFonts w:hint="eastAsia" w:ascii="宋体" w:hAnsi="宋体"/>
          <w:sz w:val="30"/>
          <w:szCs w:val="30"/>
        </w:rPr>
        <w:t>第二章</w:t>
      </w:r>
      <w:r>
        <w:rPr>
          <w:rFonts w:ascii="宋体" w:hAnsi="宋体"/>
          <w:sz w:val="30"/>
          <w:szCs w:val="30"/>
        </w:rPr>
        <w:t xml:space="preserve">  </w:t>
      </w:r>
      <w:r>
        <w:rPr>
          <w:rFonts w:hint="eastAsia" w:ascii="宋体" w:hAnsi="宋体"/>
          <w:sz w:val="30"/>
          <w:szCs w:val="30"/>
        </w:rPr>
        <w:t>投标须知</w:t>
      </w:r>
      <w:r>
        <w:rPr>
          <w:sz w:val="30"/>
          <w:szCs w:val="30"/>
        </w:rPr>
        <w:tab/>
      </w:r>
      <w:r>
        <w:rPr>
          <w:sz w:val="30"/>
          <w:szCs w:val="30"/>
        </w:rPr>
        <w:fldChar w:fldCharType="begin"/>
      </w:r>
      <w:r>
        <w:rPr>
          <w:sz w:val="30"/>
          <w:szCs w:val="30"/>
        </w:rPr>
        <w:instrText xml:space="preserve"> PAGEREF _Toc8010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8"/>
        <w:tabs>
          <w:tab w:val="right" w:leader="dot" w:pos="8731"/>
        </w:tabs>
        <w:spacing w:line="360" w:lineRule="auto"/>
        <w:rPr>
          <w:sz w:val="30"/>
          <w:szCs w:val="30"/>
        </w:rPr>
      </w:pPr>
      <w:r>
        <w:fldChar w:fldCharType="begin"/>
      </w:r>
      <w:r>
        <w:instrText xml:space="preserve"> HYPERLINK \l "_Toc27875" </w:instrText>
      </w:r>
      <w:r>
        <w:fldChar w:fldCharType="separate"/>
      </w:r>
      <w:r>
        <w:rPr>
          <w:rFonts w:hint="eastAsia" w:ascii="宋体" w:hAnsi="宋体"/>
          <w:sz w:val="30"/>
          <w:szCs w:val="30"/>
        </w:rPr>
        <w:t>第三章</w:t>
      </w:r>
      <w:r>
        <w:rPr>
          <w:rFonts w:ascii="宋体" w:hAnsi="宋体"/>
          <w:sz w:val="30"/>
          <w:szCs w:val="30"/>
        </w:rPr>
        <w:t xml:space="preserve">  </w:t>
      </w:r>
      <w:r>
        <w:rPr>
          <w:rFonts w:hint="eastAsia" w:ascii="宋体" w:hAnsi="宋体"/>
          <w:sz w:val="30"/>
          <w:szCs w:val="30"/>
        </w:rPr>
        <w:t>评标办法及标准</w:t>
      </w:r>
      <w:r>
        <w:rPr>
          <w:sz w:val="30"/>
          <w:szCs w:val="30"/>
        </w:rPr>
        <w:tab/>
      </w:r>
      <w:r>
        <w:rPr>
          <w:sz w:val="30"/>
          <w:szCs w:val="30"/>
        </w:rPr>
        <w:fldChar w:fldCharType="begin"/>
      </w:r>
      <w:r>
        <w:rPr>
          <w:sz w:val="30"/>
          <w:szCs w:val="30"/>
        </w:rPr>
        <w:instrText xml:space="preserve"> PAGEREF _Toc27875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8"/>
        <w:tabs>
          <w:tab w:val="right" w:leader="dot" w:pos="8731"/>
        </w:tabs>
        <w:spacing w:line="360" w:lineRule="auto"/>
        <w:rPr>
          <w:sz w:val="30"/>
          <w:szCs w:val="30"/>
        </w:rPr>
      </w:pPr>
      <w:r>
        <w:fldChar w:fldCharType="begin"/>
      </w:r>
      <w:r>
        <w:instrText xml:space="preserve"> HYPERLINK \l "_Toc2348" </w:instrText>
      </w:r>
      <w:r>
        <w:fldChar w:fldCharType="separate"/>
      </w:r>
      <w:r>
        <w:rPr>
          <w:rFonts w:hint="eastAsia" w:ascii="宋体" w:hAnsi="宋体"/>
          <w:sz w:val="30"/>
          <w:szCs w:val="30"/>
        </w:rPr>
        <w:t>第四章</w:t>
      </w:r>
      <w:r>
        <w:rPr>
          <w:rFonts w:ascii="宋体" w:hAnsi="宋体"/>
          <w:sz w:val="30"/>
          <w:szCs w:val="30"/>
        </w:rPr>
        <w:t xml:space="preserve">  </w:t>
      </w:r>
      <w:r>
        <w:rPr>
          <w:rFonts w:hint="eastAsia" w:ascii="宋体" w:hAnsi="宋体"/>
          <w:sz w:val="30"/>
          <w:szCs w:val="30"/>
        </w:rPr>
        <w:t>采购合同样本</w:t>
      </w:r>
      <w:r>
        <w:rPr>
          <w:sz w:val="30"/>
          <w:szCs w:val="30"/>
        </w:rPr>
        <w:tab/>
      </w:r>
      <w:r>
        <w:rPr>
          <w:sz w:val="30"/>
          <w:szCs w:val="30"/>
        </w:rPr>
        <w:fldChar w:fldCharType="begin"/>
      </w:r>
      <w:r>
        <w:rPr>
          <w:sz w:val="30"/>
          <w:szCs w:val="30"/>
        </w:rPr>
        <w:instrText xml:space="preserve"> PAGEREF _Toc2348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8"/>
        <w:tabs>
          <w:tab w:val="right" w:leader="dot" w:pos="8731"/>
        </w:tabs>
        <w:spacing w:line="360" w:lineRule="auto"/>
        <w:rPr>
          <w:sz w:val="30"/>
          <w:szCs w:val="30"/>
        </w:rPr>
      </w:pPr>
      <w:r>
        <w:fldChar w:fldCharType="begin"/>
      </w:r>
      <w:r>
        <w:instrText xml:space="preserve"> HYPERLINK \l "_Toc14137" </w:instrText>
      </w:r>
      <w:r>
        <w:fldChar w:fldCharType="separate"/>
      </w:r>
      <w:r>
        <w:rPr>
          <w:rFonts w:hint="eastAsia" w:ascii="宋体" w:hAnsi="宋体"/>
          <w:sz w:val="30"/>
          <w:szCs w:val="30"/>
        </w:rPr>
        <w:t>第五章</w:t>
      </w:r>
      <w:r>
        <w:rPr>
          <w:rFonts w:ascii="宋体" w:hAnsi="宋体"/>
          <w:sz w:val="30"/>
          <w:szCs w:val="30"/>
        </w:rPr>
        <w:t xml:space="preserve">  </w:t>
      </w:r>
      <w:r>
        <w:rPr>
          <w:rFonts w:hint="eastAsia" w:ascii="宋体" w:hAnsi="宋体"/>
          <w:sz w:val="30"/>
          <w:szCs w:val="30"/>
        </w:rPr>
        <w:t>招标内容与技术需求</w:t>
      </w:r>
      <w:r>
        <w:rPr>
          <w:sz w:val="30"/>
          <w:szCs w:val="30"/>
        </w:rPr>
        <w:tab/>
      </w:r>
      <w:r>
        <w:rPr>
          <w:sz w:val="30"/>
          <w:szCs w:val="30"/>
        </w:rPr>
        <w:fldChar w:fldCharType="begin"/>
      </w:r>
      <w:r>
        <w:rPr>
          <w:sz w:val="30"/>
          <w:szCs w:val="30"/>
        </w:rPr>
        <w:instrText xml:space="preserve"> PAGEREF _Toc14137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8"/>
        <w:tabs>
          <w:tab w:val="right" w:leader="dot" w:pos="8731"/>
        </w:tabs>
        <w:spacing w:line="360" w:lineRule="auto"/>
        <w:rPr>
          <w:sz w:val="30"/>
          <w:szCs w:val="30"/>
        </w:rPr>
      </w:pPr>
      <w:r>
        <w:fldChar w:fldCharType="begin"/>
      </w:r>
      <w:r>
        <w:instrText xml:space="preserve"> HYPERLINK \l "_Toc19371" </w:instrText>
      </w:r>
      <w:r>
        <w:fldChar w:fldCharType="separate"/>
      </w:r>
      <w:r>
        <w:rPr>
          <w:rFonts w:hint="eastAsia" w:ascii="宋体" w:hAnsi="宋体"/>
          <w:sz w:val="30"/>
          <w:szCs w:val="30"/>
        </w:rPr>
        <w:t>第六章  商务条款</w:t>
      </w:r>
      <w:r>
        <w:rPr>
          <w:sz w:val="30"/>
          <w:szCs w:val="30"/>
        </w:rPr>
        <w:tab/>
      </w:r>
      <w:r>
        <w:rPr>
          <w:sz w:val="30"/>
          <w:szCs w:val="30"/>
        </w:rPr>
        <w:fldChar w:fldCharType="begin"/>
      </w:r>
      <w:r>
        <w:rPr>
          <w:sz w:val="30"/>
          <w:szCs w:val="30"/>
        </w:rPr>
        <w:instrText xml:space="preserve"> PAGEREF _Toc19371 \h </w:instrText>
      </w:r>
      <w:r>
        <w:rPr>
          <w:sz w:val="30"/>
          <w:szCs w:val="30"/>
        </w:rPr>
        <w:fldChar w:fldCharType="separate"/>
      </w:r>
      <w:r>
        <w:rPr>
          <w:sz w:val="30"/>
          <w:szCs w:val="30"/>
        </w:rPr>
        <w:t>42</w:t>
      </w:r>
      <w:r>
        <w:rPr>
          <w:sz w:val="30"/>
          <w:szCs w:val="30"/>
        </w:rPr>
        <w:fldChar w:fldCharType="end"/>
      </w:r>
      <w:r>
        <w:rPr>
          <w:sz w:val="30"/>
          <w:szCs w:val="30"/>
        </w:rPr>
        <w:fldChar w:fldCharType="end"/>
      </w:r>
    </w:p>
    <w:p>
      <w:pPr>
        <w:pStyle w:val="8"/>
        <w:tabs>
          <w:tab w:val="right" w:leader="dot" w:pos="8731"/>
        </w:tabs>
        <w:spacing w:line="360" w:lineRule="auto"/>
        <w:rPr>
          <w:sz w:val="30"/>
          <w:szCs w:val="30"/>
        </w:rPr>
      </w:pPr>
      <w:r>
        <w:fldChar w:fldCharType="begin"/>
      </w:r>
      <w:r>
        <w:instrText xml:space="preserve"> HYPERLINK \l "_Toc14918" </w:instrText>
      </w:r>
      <w:r>
        <w:fldChar w:fldCharType="separate"/>
      </w:r>
      <w:r>
        <w:rPr>
          <w:rFonts w:hint="eastAsia" w:ascii="宋体" w:hAnsi="宋体"/>
          <w:sz w:val="30"/>
          <w:szCs w:val="30"/>
        </w:rPr>
        <w:t>第七章</w:t>
      </w:r>
      <w:r>
        <w:rPr>
          <w:rFonts w:ascii="宋体" w:hAnsi="宋体"/>
          <w:sz w:val="30"/>
          <w:szCs w:val="30"/>
        </w:rPr>
        <w:t xml:space="preserve">  </w:t>
      </w:r>
      <w:r>
        <w:rPr>
          <w:rFonts w:hint="eastAsia" w:ascii="宋体" w:hAnsi="宋体"/>
          <w:sz w:val="30"/>
          <w:szCs w:val="30"/>
        </w:rPr>
        <w:t>附件</w:t>
      </w:r>
      <w:r>
        <w:rPr>
          <w:sz w:val="30"/>
          <w:szCs w:val="30"/>
        </w:rPr>
        <w:tab/>
      </w:r>
      <w:r>
        <w:rPr>
          <w:sz w:val="30"/>
          <w:szCs w:val="30"/>
        </w:rPr>
        <w:fldChar w:fldCharType="begin"/>
      </w:r>
      <w:r>
        <w:rPr>
          <w:sz w:val="30"/>
          <w:szCs w:val="30"/>
        </w:rPr>
        <w:instrText xml:space="preserve"> PAGEREF _Toc14918 \h </w:instrText>
      </w:r>
      <w:r>
        <w:rPr>
          <w:sz w:val="30"/>
          <w:szCs w:val="30"/>
        </w:rPr>
        <w:fldChar w:fldCharType="separate"/>
      </w:r>
      <w:r>
        <w:rPr>
          <w:sz w:val="30"/>
          <w:szCs w:val="30"/>
        </w:rPr>
        <w:t>43</w:t>
      </w:r>
      <w:r>
        <w:rPr>
          <w:sz w:val="30"/>
          <w:szCs w:val="30"/>
        </w:rPr>
        <w:fldChar w:fldCharType="end"/>
      </w:r>
      <w:r>
        <w:rPr>
          <w:sz w:val="30"/>
          <w:szCs w:val="30"/>
        </w:rPr>
        <w:fldChar w:fldCharType="end"/>
      </w:r>
    </w:p>
    <w:p>
      <w:pPr>
        <w:wordWrap w:val="0"/>
        <w:spacing w:line="360" w:lineRule="auto"/>
        <w:jc w:val="center"/>
        <w:rPr>
          <w:rFonts w:ascii="宋体" w:hAnsi="宋体"/>
        </w:rPr>
      </w:pPr>
      <w:r>
        <w:rPr>
          <w:rFonts w:ascii="宋体" w:hAnsi="宋体"/>
          <w:sz w:val="30"/>
          <w:szCs w:val="30"/>
        </w:rPr>
        <w:fldChar w:fldCharType="end"/>
      </w:r>
    </w:p>
    <w:p>
      <w:pPr>
        <w:wordWrap w:val="0"/>
        <w:spacing w:line="400" w:lineRule="exact"/>
        <w:jc w:val="center"/>
        <w:rPr>
          <w:rFonts w:ascii="宋体" w:hAnsi="宋体"/>
          <w:b/>
          <w:sz w:val="32"/>
        </w:rPr>
        <w:sectPr>
          <w:headerReference r:id="rId9" w:type="default"/>
          <w:footerReference r:id="rId10" w:type="default"/>
          <w:pgSz w:w="11907" w:h="16840"/>
          <w:pgMar w:top="1135" w:right="1588" w:bottom="854" w:left="1588" w:header="569" w:footer="700" w:gutter="0"/>
          <w:pgNumType w:start="1"/>
          <w:cols w:space="720" w:num="1"/>
          <w:docGrid w:linePitch="285" w:charSpace="0"/>
        </w:sectPr>
      </w:pPr>
      <w:r>
        <w:rPr>
          <w:rFonts w:ascii="宋体" w:hAnsi="宋体"/>
          <w:b/>
          <w:sz w:val="32"/>
        </w:rPr>
        <w:br w:type="page"/>
      </w:r>
    </w:p>
    <w:p>
      <w:pPr>
        <w:wordWrap w:val="0"/>
        <w:spacing w:line="400" w:lineRule="exact"/>
        <w:jc w:val="center"/>
        <w:outlineLvl w:val="0"/>
        <w:rPr>
          <w:rFonts w:ascii="宋体" w:hAnsi="宋体"/>
          <w:b/>
          <w:sz w:val="32"/>
        </w:rPr>
      </w:pPr>
      <w:bookmarkStart w:id="0" w:name="_Toc2636"/>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0"/>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Pr>
          <w:p>
            <w:pPr>
              <w:wordWrap w:val="0"/>
              <w:spacing w:line="360" w:lineRule="auto"/>
              <w:rPr>
                <w:rFonts w:ascii="宋体" w:hAnsi="宋体"/>
                <w:b/>
                <w:szCs w:val="21"/>
              </w:rPr>
            </w:pPr>
            <w:r>
              <w:rPr>
                <w:rFonts w:ascii="宋体" w:hAnsi="宋体"/>
                <w:b/>
                <w:szCs w:val="21"/>
              </w:rPr>
              <w:t>项目概况</w:t>
            </w:r>
          </w:p>
          <w:p>
            <w:pPr>
              <w:wordWrap w:val="0"/>
              <w:spacing w:line="360" w:lineRule="auto"/>
              <w:ind w:firstLine="420" w:firstLineChars="200"/>
              <w:rPr>
                <w:rFonts w:ascii="宋体" w:hAnsi="宋体"/>
                <w:szCs w:val="21"/>
              </w:rPr>
            </w:pPr>
            <w:r>
              <w:rPr>
                <w:rFonts w:hint="eastAsia" w:ascii="宋体" w:hAnsi="宋体"/>
                <w:szCs w:val="21"/>
              </w:rPr>
              <w:t>宁波职业技术学院绿色智能供配电实训基地建设项目</w:t>
            </w:r>
            <w:r>
              <w:rPr>
                <w:rFonts w:ascii="宋体" w:hAnsi="宋体"/>
                <w:szCs w:val="21"/>
              </w:rPr>
              <w:t>的潜在投标人应在政府采购云平台（www.zcygov.cn）获取（下载）采购文件，并于</w:t>
            </w:r>
            <w:r>
              <w:rPr>
                <w:rFonts w:hint="eastAsia" w:ascii="宋体" w:hAnsi="宋体"/>
                <w:szCs w:val="21"/>
              </w:rPr>
              <w:t>2023年0</w:t>
            </w:r>
            <w:r>
              <w:rPr>
                <w:rFonts w:hint="eastAsia" w:ascii="宋体" w:hAnsi="宋体"/>
                <w:szCs w:val="21"/>
                <w:lang w:val="en-US" w:eastAsia="zh-CN"/>
              </w:rPr>
              <w:t>8</w:t>
            </w:r>
            <w:r>
              <w:rPr>
                <w:rFonts w:ascii="宋体" w:hAnsi="宋体"/>
                <w:szCs w:val="21"/>
              </w:rPr>
              <w:t>月</w:t>
            </w:r>
            <w:r>
              <w:rPr>
                <w:rFonts w:hint="eastAsia" w:ascii="宋体" w:hAnsi="宋体"/>
                <w:szCs w:val="21"/>
              </w:rPr>
              <w:t>0</w:t>
            </w:r>
            <w:r>
              <w:rPr>
                <w:rFonts w:hint="eastAsia" w:ascii="宋体" w:hAnsi="宋体"/>
                <w:szCs w:val="21"/>
                <w:lang w:val="en-US" w:eastAsia="zh-CN"/>
              </w:rPr>
              <w:t>8</w:t>
            </w:r>
            <w:r>
              <w:rPr>
                <w:rFonts w:ascii="宋体" w:hAnsi="宋体"/>
                <w:szCs w:val="21"/>
              </w:rPr>
              <w:t>日14:00（北京时间）前递交（上传）投标文件。</w:t>
            </w:r>
          </w:p>
        </w:tc>
      </w:tr>
    </w:tbl>
    <w:p>
      <w:pPr>
        <w:wordWrap w:val="0"/>
        <w:spacing w:line="360" w:lineRule="auto"/>
        <w:rPr>
          <w:rFonts w:ascii="宋体" w:hAnsi="宋体"/>
          <w:b/>
          <w:szCs w:val="21"/>
        </w:rPr>
      </w:pPr>
      <w:r>
        <w:rPr>
          <w:rFonts w:hint="eastAsia" w:ascii="宋体" w:hAnsi="宋体"/>
          <w:b/>
          <w:szCs w:val="21"/>
        </w:rPr>
        <w:t>一、项目基本情况</w:t>
      </w:r>
    </w:p>
    <w:p>
      <w:pPr>
        <w:wordWrap w:val="0"/>
        <w:spacing w:line="360" w:lineRule="auto"/>
        <w:rPr>
          <w:rFonts w:ascii="宋体" w:hAnsi="宋体"/>
          <w:szCs w:val="21"/>
        </w:rPr>
      </w:pPr>
      <w:r>
        <w:rPr>
          <w:rFonts w:ascii="宋体" w:hAnsi="宋体"/>
          <w:szCs w:val="21"/>
        </w:rPr>
        <w:t>项目编号：</w:t>
      </w:r>
      <w:r>
        <w:rPr>
          <w:rFonts w:hint="eastAsia" w:ascii="宋体" w:hAnsi="宋体"/>
          <w:szCs w:val="21"/>
        </w:rPr>
        <w:t>ZJZC-233184</w:t>
      </w:r>
    </w:p>
    <w:p>
      <w:pPr>
        <w:wordWrap w:val="0"/>
        <w:spacing w:line="360" w:lineRule="auto"/>
        <w:rPr>
          <w:rFonts w:ascii="宋体" w:hAnsi="宋体"/>
          <w:szCs w:val="21"/>
        </w:rPr>
      </w:pPr>
      <w:r>
        <w:rPr>
          <w:rFonts w:ascii="宋体" w:hAnsi="宋体"/>
          <w:szCs w:val="21"/>
        </w:rPr>
        <w:t>项目名称：</w:t>
      </w:r>
      <w:r>
        <w:rPr>
          <w:rFonts w:hint="eastAsia" w:ascii="宋体" w:hAnsi="宋体"/>
          <w:szCs w:val="21"/>
        </w:rPr>
        <w:t>宁波职业技术学院绿色智能供配电实训基地建设项目</w:t>
      </w:r>
    </w:p>
    <w:p>
      <w:pPr>
        <w:wordWrap w:val="0"/>
        <w:spacing w:line="360" w:lineRule="auto"/>
        <w:rPr>
          <w:rFonts w:ascii="宋体" w:hAnsi="宋体"/>
          <w:szCs w:val="21"/>
        </w:rPr>
      </w:pPr>
      <w:r>
        <w:rPr>
          <w:rFonts w:ascii="宋体" w:hAnsi="宋体"/>
          <w:szCs w:val="21"/>
        </w:rPr>
        <w:t>预算金额（元）：</w:t>
      </w:r>
      <w:r>
        <w:rPr>
          <w:rFonts w:hint="eastAsia" w:ascii="宋体" w:hAnsi="宋体"/>
          <w:szCs w:val="21"/>
        </w:rPr>
        <w:t>6000000</w:t>
      </w:r>
    </w:p>
    <w:p>
      <w:pPr>
        <w:wordWrap w:val="0"/>
        <w:spacing w:line="360" w:lineRule="auto"/>
        <w:rPr>
          <w:rFonts w:ascii="宋体" w:hAnsi="宋体"/>
          <w:szCs w:val="21"/>
        </w:rPr>
      </w:pPr>
      <w:r>
        <w:rPr>
          <w:rFonts w:ascii="宋体" w:hAnsi="宋体"/>
          <w:szCs w:val="21"/>
        </w:rPr>
        <w:t>最高限价（元）：</w:t>
      </w:r>
      <w:r>
        <w:rPr>
          <w:rFonts w:hint="eastAsia" w:ascii="宋体" w:hAnsi="宋体"/>
          <w:szCs w:val="21"/>
        </w:rPr>
        <w:t>6000000</w:t>
      </w:r>
    </w:p>
    <w:p>
      <w:pPr>
        <w:wordWrap w:val="0"/>
        <w:spacing w:line="360" w:lineRule="auto"/>
        <w:rPr>
          <w:rFonts w:ascii="宋体" w:hAnsi="宋体"/>
          <w:szCs w:val="21"/>
        </w:rPr>
      </w:pPr>
      <w:r>
        <w:rPr>
          <w:rFonts w:ascii="宋体" w:hAnsi="宋体"/>
          <w:szCs w:val="21"/>
        </w:rPr>
        <w:t>采购需求：</w:t>
      </w:r>
    </w:p>
    <w:p>
      <w:pPr>
        <w:wordWrap w:val="0"/>
        <w:spacing w:line="360" w:lineRule="auto"/>
        <w:ind w:firstLine="420" w:firstLineChars="200"/>
        <w:rPr>
          <w:rFonts w:ascii="宋体" w:hAnsi="宋体"/>
          <w:szCs w:val="21"/>
        </w:rPr>
      </w:pPr>
      <w:r>
        <w:rPr>
          <w:rFonts w:hint="eastAsia" w:ascii="宋体" w:hAnsi="宋体"/>
          <w:szCs w:val="21"/>
        </w:rPr>
        <w:t>标项</w:t>
      </w:r>
      <w:r>
        <w:rPr>
          <w:rFonts w:ascii="宋体" w:hAnsi="宋体"/>
          <w:szCs w:val="21"/>
        </w:rPr>
        <w:t>一</w:t>
      </w:r>
      <w:r>
        <w:rPr>
          <w:rFonts w:hint="eastAsia" w:ascii="宋体" w:hAnsi="宋体"/>
          <w:szCs w:val="21"/>
        </w:rPr>
        <w:t>：</w:t>
      </w:r>
    </w:p>
    <w:p>
      <w:pPr>
        <w:wordWrap w:val="0"/>
        <w:spacing w:line="360" w:lineRule="auto"/>
        <w:ind w:firstLine="420" w:firstLineChars="200"/>
        <w:rPr>
          <w:rFonts w:ascii="宋体" w:hAnsi="宋体"/>
          <w:szCs w:val="21"/>
        </w:rPr>
      </w:pPr>
      <w:r>
        <w:rPr>
          <w:rFonts w:ascii="宋体" w:hAnsi="宋体"/>
          <w:szCs w:val="21"/>
        </w:rPr>
        <w:t>标项名称：</w:t>
      </w:r>
      <w:r>
        <w:rPr>
          <w:rFonts w:hint="eastAsia" w:ascii="宋体" w:hAnsi="宋体"/>
          <w:szCs w:val="21"/>
        </w:rPr>
        <w:t>绿色智能供配电实训基地建设</w:t>
      </w:r>
    </w:p>
    <w:p>
      <w:pPr>
        <w:wordWrap w:val="0"/>
        <w:spacing w:line="360" w:lineRule="auto"/>
        <w:ind w:firstLine="420" w:firstLineChars="200"/>
        <w:rPr>
          <w:rFonts w:ascii="宋体" w:hAnsi="宋体"/>
          <w:szCs w:val="21"/>
        </w:rPr>
      </w:pPr>
      <w:r>
        <w:rPr>
          <w:rFonts w:ascii="宋体" w:hAnsi="宋体"/>
          <w:szCs w:val="21"/>
        </w:rPr>
        <w:t>数量：1</w:t>
      </w:r>
      <w:r>
        <w:rPr>
          <w:rFonts w:hint="eastAsia" w:ascii="宋体" w:hAnsi="宋体"/>
          <w:szCs w:val="21"/>
        </w:rPr>
        <w:t>批</w:t>
      </w:r>
    </w:p>
    <w:p>
      <w:pPr>
        <w:wordWrap w:val="0"/>
        <w:spacing w:line="360" w:lineRule="auto"/>
        <w:ind w:firstLine="420" w:firstLineChars="200"/>
        <w:rPr>
          <w:rFonts w:ascii="宋体" w:hAnsi="宋体"/>
          <w:szCs w:val="21"/>
        </w:rPr>
      </w:pPr>
      <w:r>
        <w:rPr>
          <w:rFonts w:ascii="宋体" w:hAnsi="宋体"/>
          <w:szCs w:val="21"/>
        </w:rPr>
        <w:t>预算金额（元）：</w:t>
      </w:r>
      <w:r>
        <w:rPr>
          <w:rFonts w:hint="eastAsia" w:ascii="宋体" w:hAnsi="宋体"/>
          <w:szCs w:val="21"/>
        </w:rPr>
        <w:t>6000000</w:t>
      </w:r>
    </w:p>
    <w:p>
      <w:pPr>
        <w:wordWrap w:val="0"/>
        <w:spacing w:line="360" w:lineRule="auto"/>
        <w:ind w:firstLine="420" w:firstLineChars="200"/>
        <w:rPr>
          <w:rFonts w:ascii="宋体" w:hAnsi="宋体"/>
          <w:szCs w:val="21"/>
        </w:rPr>
      </w:pPr>
      <w:r>
        <w:rPr>
          <w:rFonts w:ascii="宋体" w:hAnsi="宋体"/>
          <w:szCs w:val="21"/>
        </w:rPr>
        <w:t>简要规格描述或项目基本概况介绍、用途：</w:t>
      </w:r>
      <w:r>
        <w:rPr>
          <w:rFonts w:hint="eastAsia" w:ascii="宋体" w:hAnsi="宋体"/>
          <w:szCs w:val="21"/>
        </w:rPr>
        <w:t>绿色能源核心架构系统、智能微电网、智能配电柜运行及操作实训系统-智能中压柜、智能配电柜运行及操作实训系统-顺控柜及顺控软件等，</w:t>
      </w:r>
      <w:r>
        <w:rPr>
          <w:rFonts w:ascii="宋体" w:hAnsi="宋体"/>
          <w:szCs w:val="21"/>
        </w:rPr>
        <w:t>详见采购文件第五章招标内容与技术需求</w:t>
      </w:r>
      <w:r>
        <w:rPr>
          <w:rFonts w:hint="eastAsia" w:ascii="宋体" w:hAnsi="宋体"/>
          <w:szCs w:val="21"/>
        </w:rPr>
        <w:t>。</w:t>
      </w:r>
    </w:p>
    <w:p>
      <w:pPr>
        <w:wordWrap w:val="0"/>
        <w:spacing w:line="360" w:lineRule="auto"/>
        <w:ind w:firstLine="420" w:firstLineChars="200"/>
        <w:rPr>
          <w:rFonts w:ascii="宋体" w:hAnsi="宋体"/>
          <w:szCs w:val="21"/>
        </w:rPr>
      </w:pPr>
      <w:r>
        <w:rPr>
          <w:rFonts w:ascii="宋体" w:hAnsi="宋体"/>
          <w:szCs w:val="21"/>
        </w:rPr>
        <w:t>备注：</w:t>
      </w:r>
      <w:r>
        <w:rPr>
          <w:rFonts w:hint="eastAsia" w:ascii="宋体" w:hAnsi="宋体"/>
          <w:szCs w:val="21"/>
        </w:rPr>
        <w:t>/</w:t>
      </w:r>
    </w:p>
    <w:p>
      <w:pPr>
        <w:wordWrap w:val="0"/>
        <w:spacing w:line="360" w:lineRule="auto"/>
        <w:rPr>
          <w:rFonts w:ascii="宋体" w:hAnsi="宋体"/>
          <w:szCs w:val="21"/>
        </w:rPr>
      </w:pPr>
      <w:r>
        <w:rPr>
          <w:rFonts w:ascii="宋体" w:hAnsi="宋体"/>
          <w:szCs w:val="21"/>
        </w:rPr>
        <w:t>合同履约期限：自合同生效之日至合同全部权利义务履行完毕之日止</w:t>
      </w:r>
    </w:p>
    <w:p>
      <w:pPr>
        <w:wordWrap w:val="0"/>
        <w:spacing w:line="360" w:lineRule="auto"/>
        <w:rPr>
          <w:rFonts w:ascii="宋体" w:hAnsi="宋体"/>
          <w:szCs w:val="21"/>
        </w:rPr>
      </w:pPr>
      <w:r>
        <w:rPr>
          <w:rFonts w:ascii="宋体" w:hAnsi="宋体"/>
          <w:szCs w:val="21"/>
        </w:rPr>
        <w:t>本项目（否）接受联合体投标。</w:t>
      </w:r>
    </w:p>
    <w:p>
      <w:pPr>
        <w:wordWrap w:val="0"/>
        <w:spacing w:line="360" w:lineRule="auto"/>
        <w:rPr>
          <w:rFonts w:ascii="宋体" w:hAnsi="宋体"/>
          <w:b/>
          <w:szCs w:val="21"/>
        </w:rPr>
      </w:pPr>
      <w:r>
        <w:rPr>
          <w:rFonts w:hint="eastAsia" w:ascii="宋体" w:hAnsi="宋体"/>
          <w:b/>
          <w:szCs w:val="21"/>
        </w:rPr>
        <w:t>二、申请人的资格要求：</w:t>
      </w:r>
    </w:p>
    <w:p>
      <w:pPr>
        <w:wordWrap w:val="0"/>
        <w:spacing w:line="360" w:lineRule="auto"/>
        <w:rPr>
          <w:rFonts w:ascii="宋体" w:hAnsi="宋体"/>
          <w:szCs w:val="21"/>
        </w:rPr>
      </w:pPr>
      <w:r>
        <w:rPr>
          <w:rFonts w:ascii="宋体"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ordWrap w:val="0"/>
        <w:spacing w:line="360" w:lineRule="auto"/>
        <w:rPr>
          <w:rFonts w:ascii="宋体" w:hAnsi="宋体"/>
          <w:szCs w:val="21"/>
        </w:rPr>
      </w:pPr>
      <w:r>
        <w:rPr>
          <w:rFonts w:ascii="宋体" w:hAnsi="宋体"/>
          <w:szCs w:val="21"/>
        </w:rPr>
        <w:t>2.落实政府采购政策需满足的资格要求：无</w:t>
      </w:r>
    </w:p>
    <w:p>
      <w:pPr>
        <w:wordWrap w:val="0"/>
        <w:spacing w:line="360" w:lineRule="auto"/>
        <w:rPr>
          <w:rFonts w:ascii="宋体" w:hAnsi="宋体"/>
          <w:szCs w:val="21"/>
        </w:rPr>
      </w:pPr>
      <w:r>
        <w:rPr>
          <w:rFonts w:ascii="宋体" w:hAnsi="宋体"/>
          <w:szCs w:val="21"/>
        </w:rPr>
        <w:t>3.本项目的特定资格要求：无</w:t>
      </w:r>
    </w:p>
    <w:p>
      <w:pPr>
        <w:wordWrap w:val="0"/>
        <w:spacing w:line="360" w:lineRule="auto"/>
        <w:rPr>
          <w:rFonts w:ascii="宋体" w:hAnsi="宋体"/>
          <w:b/>
          <w:szCs w:val="21"/>
        </w:rPr>
      </w:pPr>
      <w:r>
        <w:rPr>
          <w:rFonts w:hint="eastAsia" w:ascii="宋体" w:hAnsi="宋体"/>
          <w:b/>
          <w:szCs w:val="21"/>
        </w:rPr>
        <w:t>三、获取采购文件</w:t>
      </w:r>
    </w:p>
    <w:p>
      <w:pPr>
        <w:wordWrap w:val="0"/>
        <w:spacing w:line="360" w:lineRule="auto"/>
        <w:rPr>
          <w:rFonts w:ascii="宋体" w:hAnsi="宋体"/>
          <w:szCs w:val="21"/>
        </w:rPr>
      </w:pPr>
      <w:r>
        <w:rPr>
          <w:rFonts w:ascii="宋体" w:hAnsi="宋体"/>
          <w:szCs w:val="21"/>
        </w:rPr>
        <w:t>时间：</w:t>
      </w:r>
      <w:r>
        <w:rPr>
          <w:rFonts w:hint="eastAsia" w:ascii="宋体" w:hAnsi="宋体"/>
          <w:szCs w:val="21"/>
        </w:rPr>
        <w:t>自公告发布之日起至2023年0</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ascii="宋体" w:hAnsi="宋体"/>
          <w:szCs w:val="21"/>
        </w:rPr>
        <w:t>，每天上午00:00至12:00，下午12:00至23:59（北京时间，线上获取法定节假日均可）</w:t>
      </w:r>
    </w:p>
    <w:p>
      <w:pPr>
        <w:wordWrap w:val="0"/>
        <w:spacing w:line="360" w:lineRule="auto"/>
        <w:rPr>
          <w:rFonts w:ascii="宋体" w:hAnsi="宋体"/>
          <w:szCs w:val="21"/>
        </w:rPr>
      </w:pPr>
      <w:r>
        <w:rPr>
          <w:rFonts w:ascii="宋体" w:hAnsi="宋体"/>
          <w:szCs w:val="21"/>
        </w:rPr>
        <w:t>地点（网址）：政府采购云平台（www.zcygov.cn）</w:t>
      </w:r>
    </w:p>
    <w:p>
      <w:pPr>
        <w:wordWrap w:val="0"/>
        <w:spacing w:line="360" w:lineRule="auto"/>
        <w:rPr>
          <w:rFonts w:ascii="宋体" w:hAnsi="宋体"/>
          <w:szCs w:val="21"/>
        </w:rPr>
      </w:pPr>
      <w:r>
        <w:rPr>
          <w:rFonts w:ascii="宋体" w:hAnsi="宋体"/>
          <w:szCs w:val="21"/>
        </w:rPr>
        <w:t>方式：供应商登录政府采购云平台（www.zcygov.cn）的注册账号后，进入政采云系统“项目采购”模块“获取采购文件”菜单，进行网上获取采购文件。如有疑问请及时咨询网站客服，咨询电话：4008817190。获取采购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 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pPr>
        <w:wordWrap w:val="0"/>
        <w:spacing w:line="360" w:lineRule="auto"/>
        <w:rPr>
          <w:rFonts w:ascii="宋体" w:hAnsi="宋体"/>
          <w:szCs w:val="21"/>
        </w:rPr>
      </w:pPr>
      <w:r>
        <w:rPr>
          <w:rFonts w:ascii="宋体" w:hAnsi="宋体"/>
          <w:szCs w:val="21"/>
        </w:rPr>
        <w:t>售价（元）：0</w:t>
      </w:r>
    </w:p>
    <w:p>
      <w:pPr>
        <w:wordWrap w:val="0"/>
        <w:spacing w:line="360" w:lineRule="auto"/>
        <w:rPr>
          <w:rFonts w:ascii="宋体" w:hAnsi="宋体"/>
          <w:b/>
          <w:szCs w:val="21"/>
        </w:rPr>
      </w:pPr>
      <w:r>
        <w:rPr>
          <w:rFonts w:hint="eastAsia" w:ascii="宋体" w:hAnsi="宋体"/>
          <w:b/>
          <w:szCs w:val="21"/>
        </w:rPr>
        <w:t>四、提交投标文件截止时间、开标时间和地点</w:t>
      </w:r>
    </w:p>
    <w:p>
      <w:pPr>
        <w:wordWrap w:val="0"/>
        <w:spacing w:line="360" w:lineRule="auto"/>
        <w:rPr>
          <w:rFonts w:ascii="宋体" w:hAnsi="宋体"/>
          <w:szCs w:val="21"/>
        </w:rPr>
      </w:pPr>
      <w:r>
        <w:rPr>
          <w:rFonts w:ascii="宋体" w:hAnsi="宋体"/>
          <w:szCs w:val="21"/>
        </w:rPr>
        <w:t>提交投标文件截止时间：</w:t>
      </w:r>
      <w:r>
        <w:rPr>
          <w:rFonts w:hint="eastAsia" w:ascii="宋体" w:hAnsi="宋体"/>
          <w:szCs w:val="21"/>
        </w:rPr>
        <w:t>2023年0</w:t>
      </w:r>
      <w:r>
        <w:rPr>
          <w:rFonts w:hint="eastAsia" w:ascii="宋体" w:hAnsi="宋体"/>
          <w:szCs w:val="21"/>
          <w:lang w:val="en-US" w:eastAsia="zh-CN"/>
        </w:rPr>
        <w:t>8</w:t>
      </w:r>
      <w:r>
        <w:rPr>
          <w:rFonts w:hint="eastAsia" w:ascii="宋体" w:hAnsi="宋体"/>
          <w:szCs w:val="21"/>
        </w:rPr>
        <w:t>月0</w:t>
      </w:r>
      <w:r>
        <w:rPr>
          <w:rFonts w:hint="eastAsia" w:ascii="宋体" w:hAnsi="宋体"/>
          <w:szCs w:val="21"/>
          <w:lang w:val="en-US" w:eastAsia="zh-CN"/>
        </w:rPr>
        <w:t>8</w:t>
      </w:r>
      <w:r>
        <w:rPr>
          <w:rFonts w:hint="eastAsia" w:ascii="宋体" w:hAnsi="宋体"/>
          <w:szCs w:val="21"/>
        </w:rPr>
        <w:t>日14:00</w:t>
      </w:r>
      <w:r>
        <w:rPr>
          <w:rFonts w:ascii="宋体" w:hAnsi="宋体"/>
          <w:szCs w:val="21"/>
        </w:rPr>
        <w:t>（北京时间）</w:t>
      </w:r>
    </w:p>
    <w:p>
      <w:pPr>
        <w:wordWrap w:val="0"/>
        <w:spacing w:line="360" w:lineRule="auto"/>
        <w:rPr>
          <w:rFonts w:ascii="宋体" w:hAnsi="宋体"/>
          <w:szCs w:val="21"/>
        </w:rPr>
      </w:pPr>
      <w:r>
        <w:rPr>
          <w:rFonts w:ascii="宋体" w:hAnsi="宋体"/>
          <w:szCs w:val="21"/>
        </w:rPr>
        <w:t>投标地点（网址）：</w:t>
      </w:r>
      <w:r>
        <w:rPr>
          <w:rFonts w:hint="eastAsia" w:ascii="宋体" w:hAnsi="宋体"/>
          <w:szCs w:val="21"/>
        </w:rPr>
        <w:t>政采云平台（https：//www.zcygov.cn）</w:t>
      </w:r>
    </w:p>
    <w:p>
      <w:pPr>
        <w:wordWrap w:val="0"/>
        <w:spacing w:line="360" w:lineRule="auto"/>
        <w:rPr>
          <w:rFonts w:ascii="宋体" w:hAnsi="宋体"/>
          <w:szCs w:val="21"/>
        </w:rPr>
      </w:pPr>
      <w:r>
        <w:rPr>
          <w:rFonts w:ascii="宋体" w:hAnsi="宋体"/>
          <w:szCs w:val="21"/>
        </w:rPr>
        <w:t>开标时间：</w:t>
      </w:r>
      <w:r>
        <w:rPr>
          <w:rFonts w:hint="eastAsia" w:ascii="宋体" w:hAnsi="宋体"/>
          <w:szCs w:val="21"/>
        </w:rPr>
        <w:t>2023年0</w:t>
      </w:r>
      <w:r>
        <w:rPr>
          <w:rFonts w:hint="eastAsia" w:ascii="宋体" w:hAnsi="宋体"/>
          <w:szCs w:val="21"/>
          <w:lang w:val="en-US" w:eastAsia="zh-CN"/>
        </w:rPr>
        <w:t>8</w:t>
      </w:r>
      <w:r>
        <w:rPr>
          <w:rFonts w:hint="eastAsia" w:ascii="宋体" w:hAnsi="宋体"/>
          <w:szCs w:val="21"/>
        </w:rPr>
        <w:t>月0</w:t>
      </w:r>
      <w:r>
        <w:rPr>
          <w:rFonts w:hint="eastAsia" w:ascii="宋体" w:hAnsi="宋体"/>
          <w:szCs w:val="21"/>
          <w:lang w:val="en-US" w:eastAsia="zh-CN"/>
        </w:rPr>
        <w:t>8</w:t>
      </w:r>
      <w:r>
        <w:rPr>
          <w:rFonts w:hint="eastAsia" w:ascii="宋体" w:hAnsi="宋体"/>
          <w:szCs w:val="21"/>
        </w:rPr>
        <w:t>日14:00</w:t>
      </w:r>
      <w:r>
        <w:rPr>
          <w:rFonts w:ascii="宋体" w:hAnsi="宋体"/>
          <w:szCs w:val="21"/>
        </w:rPr>
        <w:t>（北京时间）</w:t>
      </w:r>
    </w:p>
    <w:p>
      <w:pPr>
        <w:wordWrap w:val="0"/>
        <w:spacing w:line="360" w:lineRule="auto"/>
        <w:rPr>
          <w:rFonts w:ascii="宋体" w:hAnsi="宋体"/>
          <w:szCs w:val="21"/>
        </w:rPr>
      </w:pPr>
      <w:r>
        <w:rPr>
          <w:rFonts w:ascii="宋体" w:hAnsi="宋体"/>
          <w:szCs w:val="21"/>
        </w:rPr>
        <w:t>开标地点（网址）：</w:t>
      </w:r>
      <w:r>
        <w:rPr>
          <w:rFonts w:hint="eastAsia" w:ascii="宋体" w:hAnsi="宋体"/>
          <w:szCs w:val="21"/>
        </w:rPr>
        <w:t>政采云平台（https：//www.zcygov.cn）</w:t>
      </w:r>
    </w:p>
    <w:p>
      <w:pPr>
        <w:wordWrap w:val="0"/>
        <w:spacing w:line="360" w:lineRule="auto"/>
        <w:rPr>
          <w:rFonts w:ascii="宋体" w:hAnsi="宋体"/>
          <w:b/>
          <w:szCs w:val="21"/>
        </w:rPr>
      </w:pPr>
      <w:r>
        <w:rPr>
          <w:rFonts w:hint="eastAsia" w:ascii="宋体" w:hAnsi="宋体"/>
          <w:b/>
          <w:szCs w:val="21"/>
        </w:rPr>
        <w:t>五、公告期限</w:t>
      </w:r>
    </w:p>
    <w:p>
      <w:pPr>
        <w:wordWrap w:val="0"/>
        <w:spacing w:line="360" w:lineRule="auto"/>
        <w:rPr>
          <w:rFonts w:ascii="宋体" w:hAnsi="宋体"/>
          <w:szCs w:val="21"/>
        </w:rPr>
      </w:pPr>
      <w:r>
        <w:rPr>
          <w:rFonts w:ascii="宋体" w:hAnsi="宋体"/>
          <w:szCs w:val="21"/>
        </w:rPr>
        <w:t>自本公告发布之日起5个工作日。</w:t>
      </w:r>
    </w:p>
    <w:p>
      <w:pPr>
        <w:wordWrap w:val="0"/>
        <w:spacing w:line="360" w:lineRule="auto"/>
        <w:rPr>
          <w:rFonts w:ascii="宋体" w:hAnsi="宋体"/>
          <w:b/>
          <w:szCs w:val="21"/>
        </w:rPr>
      </w:pPr>
      <w:r>
        <w:rPr>
          <w:rFonts w:hint="eastAsia" w:ascii="宋体" w:hAnsi="宋体"/>
          <w:b/>
          <w:szCs w:val="21"/>
        </w:rPr>
        <w:t>六、其他补充事宜</w:t>
      </w:r>
    </w:p>
    <w:p>
      <w:pPr>
        <w:wordWrap w:val="0"/>
        <w:spacing w:line="360" w:lineRule="auto"/>
        <w:rPr>
          <w:rFonts w:ascii="宋体" w:hAnsi="宋体"/>
          <w:szCs w:val="21"/>
        </w:rPr>
      </w:pPr>
      <w:r>
        <w:rPr>
          <w:rFonts w:ascii="宋体" w:hAnsi="宋体"/>
          <w:szCs w:val="21"/>
        </w:rPr>
        <w:t>1</w:t>
      </w:r>
      <w:r>
        <w:rPr>
          <w:rFonts w:hint="eastAsia" w:ascii="宋体" w:hAnsi="宋体"/>
          <w:szCs w:val="21"/>
        </w:rPr>
        <w:t>.</w:t>
      </w:r>
      <w:r>
        <w:rPr>
          <w:rFonts w:ascii="宋体" w:hAnsi="宋体"/>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rPr>
          <w:rFonts w:ascii="宋体" w:hAnsi="宋体"/>
          <w:szCs w:val="21"/>
        </w:rPr>
      </w:pPr>
      <w:r>
        <w:rPr>
          <w:rFonts w:hint="eastAsia" w:ascii="宋体" w:hAnsi="宋体"/>
          <w:szCs w:val="21"/>
        </w:rPr>
        <w:t>2.1.</w:t>
      </w:r>
      <w:r>
        <w:rPr>
          <w:rFonts w:ascii="宋体" w:hAnsi="宋体"/>
          <w:szCs w:val="21"/>
        </w:rPr>
        <w:t>(1)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r>
        <w:rPr>
          <w:rFonts w:hint="eastAsia" w:ascii="宋体" w:hAnsi="宋体"/>
        </w:rPr>
        <w:t>、《浙江省财政厅关于进一步发挥政府采购政策功能全力推动经济稳进提质的通知》（浙财采监（2022）3号）</w:t>
      </w:r>
      <w:r>
        <w:rPr>
          <w:rFonts w:ascii="宋体" w:hAnsi="宋体"/>
          <w:szCs w:val="21"/>
        </w:rPr>
        <w:t>，</w:t>
      </w:r>
      <w:r>
        <w:rPr>
          <w:rFonts w:hint="eastAsia" w:ascii="宋体" w:hAnsi="宋体"/>
          <w:szCs w:val="21"/>
        </w:rPr>
        <w:t>如有最新文件</w:t>
      </w:r>
      <w:r>
        <w:rPr>
          <w:rFonts w:ascii="宋体" w:hAnsi="宋体"/>
          <w:szCs w:val="21"/>
        </w:rPr>
        <w:t>按</w:t>
      </w:r>
      <w:r>
        <w:rPr>
          <w:rFonts w:hint="eastAsia" w:ascii="宋体" w:hAnsi="宋体"/>
          <w:szCs w:val="21"/>
        </w:rPr>
        <w:t>最新</w:t>
      </w:r>
      <w:r>
        <w:rPr>
          <w:rFonts w:ascii="宋体" w:hAnsi="宋体"/>
          <w:szCs w:val="21"/>
        </w:rPr>
        <w:t>文件要求执行。</w:t>
      </w:r>
    </w:p>
    <w:p>
      <w:pPr>
        <w:wordWrap w:val="0"/>
        <w:spacing w:line="360" w:lineRule="auto"/>
        <w:rPr>
          <w:rFonts w:ascii="宋体" w:hAnsi="宋体"/>
          <w:szCs w:val="21"/>
        </w:rPr>
      </w:pPr>
      <w:r>
        <w:rPr>
          <w:rFonts w:hint="eastAsia" w:ascii="宋体" w:hAnsi="宋体"/>
          <w:szCs w:val="21"/>
        </w:rPr>
        <w:t>2.2</w:t>
      </w:r>
      <w:r>
        <w:rPr>
          <w:rFonts w:ascii="宋体" w:hAnsi="宋体"/>
          <w:szCs w:val="21"/>
        </w:rPr>
        <w:t>.供应商应于提交投标文件截止时间前将电子投标文件上传到政府采购云平台（www.zcygov.cn），并应于提交投标文件截止时间前，将以U盘或光盘存储的电子备份投标文件密封后送至开标地点：</w:t>
      </w:r>
      <w:r>
        <w:rPr>
          <w:rFonts w:hint="eastAsia" w:ascii="宋体" w:hAnsi="宋体"/>
          <w:kern w:val="0"/>
          <w:szCs w:val="21"/>
        </w:rPr>
        <w:t>宁波市环城西路北段225号真如中心15楼评标室</w:t>
      </w:r>
      <w:r>
        <w:rPr>
          <w:rFonts w:ascii="宋体" w:hAnsi="宋体"/>
          <w:szCs w:val="21"/>
        </w:rPr>
        <w:t>。</w:t>
      </w:r>
    </w:p>
    <w:p>
      <w:pPr>
        <w:wordWrap w:val="0"/>
        <w:spacing w:line="360" w:lineRule="auto"/>
        <w:rPr>
          <w:rFonts w:ascii="宋体" w:hAnsi="宋体"/>
          <w:szCs w:val="21"/>
        </w:rPr>
      </w:pPr>
      <w:r>
        <w:rPr>
          <w:rFonts w:hint="eastAsia" w:ascii="宋体" w:hAnsi="宋体"/>
          <w:szCs w:val="21"/>
        </w:rPr>
        <w:t>2.3</w:t>
      </w:r>
      <w:r>
        <w:rPr>
          <w:rFonts w:ascii="宋体" w:hAnsi="宋体"/>
          <w:szCs w:val="21"/>
        </w:rPr>
        <w:t>.开标时间</w:t>
      </w:r>
      <w:r>
        <w:rPr>
          <w:rFonts w:hint="eastAsia" w:ascii="宋体" w:hAnsi="宋体"/>
          <w:szCs w:val="21"/>
        </w:rPr>
        <w:t>后</w:t>
      </w:r>
      <w:r>
        <w:rPr>
          <w:rFonts w:ascii="宋体" w:hAnsi="宋体"/>
          <w:szCs w:val="21"/>
        </w:rPr>
        <w:t>供应商可以登录政府采购云平台（www.zcygov.cn），用“项目采购-开标评标”功能进行解密投标文件。供应商按时在线解密投标文件的，以在线解密的投标文件作为评审依据，若供应商在规定时间内（</w:t>
      </w:r>
      <w:r>
        <w:rPr>
          <w:rFonts w:hint="eastAsia" w:ascii="宋体" w:hAnsi="宋体"/>
          <w:szCs w:val="21"/>
        </w:rPr>
        <w:t>开标截止后30分钟内</w:t>
      </w:r>
      <w:r>
        <w:rPr>
          <w:rFonts w:ascii="宋体" w:hAnsi="宋体"/>
          <w:szCs w:val="21"/>
        </w:rPr>
        <w:t>）无法解密或解密失败，则以备份电子投标文件作为评审依据（若备份电子投标文件与政采云平台上传的投标文件被识别为不一致，仍以备份电子投标文件作为评审依据）。如因系统或部分电子响应文件无法解密，视为供应商放弃投标。无论是否启用备份电子投标文件</w:t>
      </w:r>
      <w:r>
        <w:rPr>
          <w:rFonts w:hint="eastAsia" w:ascii="宋体" w:hAnsi="宋体"/>
          <w:szCs w:val="21"/>
        </w:rPr>
        <w:t>，</w:t>
      </w:r>
      <w:r>
        <w:rPr>
          <w:rFonts w:ascii="宋体" w:hAnsi="宋体"/>
          <w:szCs w:val="21"/>
        </w:rPr>
        <w:t>均不退还供应商。</w:t>
      </w:r>
    </w:p>
    <w:p>
      <w:pPr>
        <w:wordWrap w:val="0"/>
        <w:spacing w:line="360" w:lineRule="auto"/>
        <w:rPr>
          <w:rFonts w:ascii="宋体" w:hAnsi="宋体"/>
          <w:szCs w:val="21"/>
        </w:rPr>
      </w:pPr>
      <w:r>
        <w:rPr>
          <w:rFonts w:hint="eastAsia" w:ascii="宋体" w:hAnsi="宋体"/>
          <w:szCs w:val="21"/>
        </w:rPr>
        <w:t>2.4</w:t>
      </w:r>
      <w:r>
        <w:rPr>
          <w:rFonts w:ascii="宋体" w:hAnsi="宋体"/>
          <w:szCs w:val="21"/>
        </w:rPr>
        <w:t>.本项目实行网上投标，采用电子投标文件。若供应商参与投标，自行承担投标一切费用。</w:t>
      </w:r>
    </w:p>
    <w:p>
      <w:pPr>
        <w:wordWrap w:val="0"/>
        <w:spacing w:line="360" w:lineRule="auto"/>
        <w:rPr>
          <w:rFonts w:ascii="宋体" w:hAnsi="宋体"/>
          <w:szCs w:val="21"/>
        </w:rPr>
      </w:pPr>
      <w:r>
        <w:rPr>
          <w:rFonts w:hint="eastAsia" w:ascii="宋体" w:hAnsi="宋体"/>
          <w:szCs w:val="21"/>
        </w:rPr>
        <w:t>2.5</w:t>
      </w:r>
      <w:r>
        <w:rPr>
          <w:rFonts w:ascii="宋体" w:hAnsi="宋体"/>
          <w:szCs w:val="21"/>
        </w:rPr>
        <w:t>.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wordWrap w:val="0"/>
        <w:spacing w:line="360" w:lineRule="auto"/>
        <w:rPr>
          <w:rFonts w:ascii="宋体" w:hAnsi="宋体"/>
          <w:szCs w:val="21"/>
        </w:rPr>
      </w:pPr>
      <w:r>
        <w:rPr>
          <w:rFonts w:hint="eastAsia" w:ascii="宋体" w:hAnsi="宋体"/>
          <w:szCs w:val="21"/>
        </w:rPr>
        <w:t>2.6</w:t>
      </w:r>
      <w:r>
        <w:rPr>
          <w:rFonts w:ascii="宋体" w:hAnsi="宋体"/>
          <w:szCs w:val="21"/>
        </w:rPr>
        <w:t>.投标文件制作：（1）应按照本项目采购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w:t>
      </w:r>
      <w:r>
        <w:rPr>
          <w:rFonts w:hint="eastAsia" w:ascii="宋体" w:hAnsi="宋体"/>
          <w:szCs w:val="21"/>
        </w:rPr>
        <w:t>①</w:t>
      </w:r>
      <w:r>
        <w:rPr>
          <w:rFonts w:ascii="宋体" w:hAnsi="宋体"/>
          <w:szCs w:val="21"/>
        </w:rPr>
        <w:t>政府采购项目电子交易管理操作指南（视频）：service.zcygov.cn/#/knowledges/CW1EtGwBFdiHxlNd6I3m/7GyLXW0BXgMSmLUuYuPM（电脑登录账号观看）；</w:t>
      </w:r>
      <w:r>
        <w:rPr>
          <w:rFonts w:hint="eastAsia" w:ascii="宋体" w:hAnsi="宋体"/>
          <w:szCs w:val="21"/>
        </w:rPr>
        <w:t>②</w:t>
      </w:r>
      <w:r>
        <w:rPr>
          <w:rFonts w:ascii="宋体" w:hAnsi="宋体"/>
          <w:szCs w:val="21"/>
        </w:rPr>
        <w:t>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w:t>
      </w:r>
    </w:p>
    <w:p>
      <w:pPr>
        <w:wordWrap w:val="0"/>
        <w:spacing w:line="360" w:lineRule="auto"/>
        <w:rPr>
          <w:rFonts w:ascii="宋体" w:hAnsi="宋体"/>
          <w:b/>
          <w:szCs w:val="21"/>
        </w:rPr>
      </w:pPr>
      <w:r>
        <w:rPr>
          <w:rFonts w:hint="eastAsia" w:ascii="宋体" w:hAnsi="宋体"/>
          <w:b/>
          <w:szCs w:val="21"/>
        </w:rPr>
        <w:t>七、对本次采购提出询问、质疑、投诉，请按以下方式联系</w:t>
      </w:r>
    </w:p>
    <w:p>
      <w:pPr>
        <w:wordWrap w:val="0"/>
        <w:spacing w:line="360" w:lineRule="auto"/>
        <w:rPr>
          <w:szCs w:val="21"/>
        </w:rPr>
      </w:pPr>
      <w:r>
        <w:rPr>
          <w:szCs w:val="21"/>
        </w:rPr>
        <w:t>1.采购人信息</w:t>
      </w:r>
    </w:p>
    <w:p>
      <w:pPr>
        <w:wordWrap w:val="0"/>
        <w:spacing w:line="360" w:lineRule="auto"/>
        <w:rPr>
          <w:szCs w:val="21"/>
        </w:rPr>
      </w:pPr>
      <w:r>
        <w:rPr>
          <w:szCs w:val="21"/>
        </w:rPr>
        <w:t>名称：宁波职业技术学院</w:t>
      </w:r>
    </w:p>
    <w:p>
      <w:pPr>
        <w:wordWrap w:val="0"/>
        <w:spacing w:line="360" w:lineRule="auto"/>
        <w:rPr>
          <w:szCs w:val="21"/>
        </w:rPr>
      </w:pPr>
      <w:r>
        <w:rPr>
          <w:szCs w:val="21"/>
        </w:rPr>
        <w:t>地址：宁波经济技术开发区庐山东路388号</w:t>
      </w:r>
    </w:p>
    <w:p>
      <w:pPr>
        <w:wordWrap w:val="0"/>
        <w:spacing w:line="360" w:lineRule="auto"/>
        <w:rPr>
          <w:szCs w:val="21"/>
        </w:rPr>
      </w:pPr>
      <w:r>
        <w:rPr>
          <w:szCs w:val="21"/>
        </w:rPr>
        <w:t>传真：/</w:t>
      </w:r>
    </w:p>
    <w:p>
      <w:pPr>
        <w:wordWrap w:val="0"/>
        <w:spacing w:line="360" w:lineRule="auto"/>
        <w:rPr>
          <w:szCs w:val="21"/>
        </w:rPr>
      </w:pPr>
      <w:r>
        <w:rPr>
          <w:szCs w:val="21"/>
        </w:rPr>
        <w:t>项目联系人（询问）：</w:t>
      </w:r>
      <w:r>
        <w:rPr>
          <w:kern w:val="0"/>
          <w:szCs w:val="21"/>
        </w:rPr>
        <w:t>陈老师</w:t>
      </w:r>
    </w:p>
    <w:p>
      <w:pPr>
        <w:wordWrap w:val="0"/>
        <w:spacing w:line="360" w:lineRule="auto"/>
        <w:rPr>
          <w:szCs w:val="21"/>
        </w:rPr>
      </w:pPr>
      <w:r>
        <w:rPr>
          <w:szCs w:val="21"/>
        </w:rPr>
        <w:t>项目联系方式（询问）：0574-86891262</w:t>
      </w:r>
    </w:p>
    <w:p>
      <w:pPr>
        <w:wordWrap w:val="0"/>
        <w:spacing w:line="360" w:lineRule="auto"/>
        <w:rPr>
          <w:szCs w:val="21"/>
        </w:rPr>
      </w:pPr>
      <w:r>
        <w:rPr>
          <w:szCs w:val="21"/>
        </w:rPr>
        <w:t>质疑联系人：</w:t>
      </w:r>
      <w:r>
        <w:rPr>
          <w:kern w:val="0"/>
          <w:szCs w:val="21"/>
        </w:rPr>
        <w:t>黄老师</w:t>
      </w:r>
    </w:p>
    <w:p>
      <w:pPr>
        <w:wordWrap w:val="0"/>
        <w:spacing w:line="360" w:lineRule="auto"/>
        <w:rPr>
          <w:szCs w:val="21"/>
        </w:rPr>
      </w:pPr>
      <w:r>
        <w:rPr>
          <w:szCs w:val="21"/>
        </w:rPr>
        <w:t>质疑联系方式：</w:t>
      </w:r>
      <w:r>
        <w:rPr>
          <w:kern w:val="0"/>
          <w:szCs w:val="21"/>
        </w:rPr>
        <w:t>0574-86894504</w:t>
      </w:r>
    </w:p>
    <w:p>
      <w:pPr>
        <w:wordWrap w:val="0"/>
        <w:spacing w:line="360" w:lineRule="auto"/>
        <w:rPr>
          <w:szCs w:val="21"/>
        </w:rPr>
      </w:pPr>
      <w:r>
        <w:rPr>
          <w:szCs w:val="21"/>
        </w:rPr>
        <w:t>2.采购代理机构信息</w:t>
      </w:r>
    </w:p>
    <w:p>
      <w:pPr>
        <w:wordWrap w:val="0"/>
        <w:spacing w:line="360" w:lineRule="auto"/>
        <w:rPr>
          <w:szCs w:val="21"/>
        </w:rPr>
      </w:pPr>
      <w:r>
        <w:rPr>
          <w:szCs w:val="21"/>
        </w:rPr>
        <w:t>名称：浙江中创招投标有限公司</w:t>
      </w:r>
    </w:p>
    <w:p>
      <w:pPr>
        <w:wordWrap w:val="0"/>
        <w:spacing w:line="360" w:lineRule="auto"/>
        <w:rPr>
          <w:szCs w:val="21"/>
        </w:rPr>
      </w:pPr>
      <w:r>
        <w:rPr>
          <w:szCs w:val="21"/>
        </w:rPr>
        <w:t>地址：宁波市环城西路北段225号真如中心15楼</w:t>
      </w:r>
    </w:p>
    <w:p>
      <w:pPr>
        <w:wordWrap w:val="0"/>
        <w:spacing w:line="360" w:lineRule="auto"/>
        <w:rPr>
          <w:szCs w:val="21"/>
        </w:rPr>
      </w:pPr>
      <w:r>
        <w:rPr>
          <w:szCs w:val="21"/>
        </w:rPr>
        <w:t>传真：</w:t>
      </w:r>
      <w:r>
        <w:rPr>
          <w:kern w:val="0"/>
          <w:szCs w:val="21"/>
        </w:rPr>
        <w:t>0574-</w:t>
      </w:r>
      <w:r>
        <w:rPr>
          <w:szCs w:val="21"/>
        </w:rPr>
        <w:t>87179089</w:t>
      </w:r>
    </w:p>
    <w:p>
      <w:pPr>
        <w:wordWrap w:val="0"/>
        <w:spacing w:line="360" w:lineRule="auto"/>
        <w:rPr>
          <w:szCs w:val="21"/>
        </w:rPr>
      </w:pPr>
      <w:r>
        <w:rPr>
          <w:szCs w:val="21"/>
        </w:rPr>
        <w:t>邮箱：tender06@126.com</w:t>
      </w:r>
    </w:p>
    <w:p>
      <w:pPr>
        <w:wordWrap w:val="0"/>
        <w:spacing w:line="360" w:lineRule="auto"/>
        <w:rPr>
          <w:rFonts w:hint="eastAsia" w:eastAsia="宋体"/>
          <w:szCs w:val="21"/>
          <w:lang w:eastAsia="zh-CN"/>
        </w:rPr>
      </w:pPr>
      <w:r>
        <w:rPr>
          <w:szCs w:val="21"/>
        </w:rPr>
        <w:t>项目联系人（询问）：</w:t>
      </w:r>
      <w:r>
        <w:rPr>
          <w:kern w:val="0"/>
          <w:szCs w:val="21"/>
        </w:rPr>
        <w:t>张百军、周俊辉、卢杭燕、张晓亮</w:t>
      </w:r>
      <w:r>
        <w:rPr>
          <w:rFonts w:hint="eastAsia"/>
          <w:kern w:val="0"/>
          <w:szCs w:val="21"/>
          <w:lang w:eastAsia="zh-CN"/>
        </w:rPr>
        <w:t>、夏坤、严小伟、吴凤珠</w:t>
      </w:r>
    </w:p>
    <w:p>
      <w:pPr>
        <w:wordWrap w:val="0"/>
        <w:spacing w:line="360" w:lineRule="auto"/>
        <w:rPr>
          <w:szCs w:val="21"/>
        </w:rPr>
      </w:pPr>
      <w:r>
        <w:rPr>
          <w:szCs w:val="21"/>
        </w:rPr>
        <w:t>项目联系方式（询问）：</w:t>
      </w:r>
      <w:r>
        <w:rPr>
          <w:kern w:val="0"/>
          <w:szCs w:val="21"/>
        </w:rPr>
        <w:t>0574－87179082</w:t>
      </w:r>
    </w:p>
    <w:p>
      <w:pPr>
        <w:wordWrap w:val="0"/>
        <w:spacing w:line="360" w:lineRule="auto"/>
        <w:rPr>
          <w:szCs w:val="21"/>
        </w:rPr>
      </w:pPr>
      <w:r>
        <w:rPr>
          <w:szCs w:val="21"/>
        </w:rPr>
        <w:t>质疑联系人：</w:t>
      </w:r>
      <w:r>
        <w:rPr>
          <w:kern w:val="0"/>
          <w:szCs w:val="21"/>
        </w:rPr>
        <w:t>王家兴</w:t>
      </w:r>
    </w:p>
    <w:p>
      <w:pPr>
        <w:wordWrap w:val="0"/>
        <w:spacing w:line="360" w:lineRule="auto"/>
        <w:rPr>
          <w:szCs w:val="21"/>
        </w:rPr>
      </w:pPr>
      <w:r>
        <w:rPr>
          <w:szCs w:val="21"/>
        </w:rPr>
        <w:t>质疑联系方式：</w:t>
      </w:r>
      <w:r>
        <w:rPr>
          <w:kern w:val="0"/>
          <w:szCs w:val="21"/>
        </w:rPr>
        <w:t>0574－87179087</w:t>
      </w:r>
    </w:p>
    <w:p>
      <w:pPr>
        <w:wordWrap w:val="0"/>
        <w:spacing w:line="360" w:lineRule="auto"/>
        <w:rPr>
          <w:szCs w:val="21"/>
        </w:rPr>
      </w:pPr>
      <w:r>
        <w:rPr>
          <w:szCs w:val="21"/>
        </w:rPr>
        <w:t>3.同级政府采购监督管理部门</w:t>
      </w:r>
    </w:p>
    <w:p>
      <w:pPr>
        <w:wordWrap w:val="0"/>
        <w:spacing w:line="360" w:lineRule="auto"/>
        <w:rPr>
          <w:szCs w:val="21"/>
        </w:rPr>
      </w:pPr>
      <w:r>
        <w:rPr>
          <w:szCs w:val="21"/>
        </w:rPr>
        <w:t>名称：宁波市政府采购管理办公室</w:t>
      </w:r>
    </w:p>
    <w:p>
      <w:pPr>
        <w:wordWrap w:val="0"/>
        <w:spacing w:line="360" w:lineRule="auto"/>
        <w:rPr>
          <w:szCs w:val="21"/>
        </w:rPr>
      </w:pPr>
      <w:r>
        <w:rPr>
          <w:szCs w:val="21"/>
        </w:rPr>
        <w:t>地址：宁波市海曙区中山西路19号</w:t>
      </w:r>
    </w:p>
    <w:p>
      <w:pPr>
        <w:wordWrap w:val="0"/>
        <w:spacing w:line="360" w:lineRule="auto"/>
        <w:rPr>
          <w:szCs w:val="21"/>
        </w:rPr>
      </w:pPr>
      <w:r>
        <w:rPr>
          <w:szCs w:val="21"/>
        </w:rPr>
        <w:t>传真：/</w:t>
      </w:r>
    </w:p>
    <w:p>
      <w:pPr>
        <w:wordWrap w:val="0"/>
        <w:spacing w:line="360" w:lineRule="auto"/>
        <w:rPr>
          <w:szCs w:val="21"/>
        </w:rPr>
      </w:pPr>
      <w:r>
        <w:rPr>
          <w:szCs w:val="21"/>
        </w:rPr>
        <w:t>联系人：李老师</w:t>
      </w:r>
    </w:p>
    <w:p>
      <w:pPr>
        <w:wordWrap w:val="0"/>
        <w:spacing w:line="360" w:lineRule="auto"/>
        <w:rPr>
          <w:szCs w:val="21"/>
        </w:rPr>
      </w:pPr>
      <w:r>
        <w:rPr>
          <w:szCs w:val="21"/>
        </w:rPr>
        <w:t>监督投诉电话：0574-89388042</w:t>
      </w:r>
    </w:p>
    <w:p>
      <w:pPr>
        <w:wordWrap w:val="0"/>
        <w:spacing w:line="360" w:lineRule="auto"/>
        <w:rPr>
          <w:b/>
          <w:bCs/>
          <w:sz w:val="18"/>
          <w:szCs w:val="18"/>
        </w:rPr>
      </w:pPr>
    </w:p>
    <w:p>
      <w:pPr>
        <w:wordWrap w:val="0"/>
        <w:spacing w:line="360" w:lineRule="auto"/>
        <w:rPr>
          <w:b/>
          <w:bCs/>
          <w:sz w:val="18"/>
          <w:szCs w:val="18"/>
        </w:rPr>
      </w:pPr>
      <w:r>
        <w:rPr>
          <w:b/>
          <w:bCs/>
          <w:sz w:val="18"/>
          <w:szCs w:val="18"/>
        </w:rPr>
        <w:t>若对项目采购电子交易系统操作有疑问，可登录政采云（https://www.zcygov.cn/），点击右侧咨询小采，获取采小蜜智能服务管家帮助，或拨打政采云服务热线400-881-7190获取热线服务帮助。</w:t>
      </w:r>
    </w:p>
    <w:p>
      <w:pPr>
        <w:wordWrap w:val="0"/>
        <w:spacing w:line="360" w:lineRule="auto"/>
        <w:rPr>
          <w:b/>
          <w:bCs/>
          <w:sz w:val="18"/>
          <w:szCs w:val="18"/>
        </w:rPr>
      </w:pPr>
      <w:r>
        <w:rPr>
          <w:b/>
          <w:bCs/>
          <w:sz w:val="18"/>
          <w:szCs w:val="18"/>
        </w:rPr>
        <w:t>CA问题联系电话（人工）：汇信CA 400-888-4636；天谷CA 400-087-8198。</w:t>
      </w:r>
    </w:p>
    <w:p>
      <w:pPr>
        <w:pStyle w:val="30"/>
        <w:ind w:firstLine="0" w:firstLineChars="0"/>
      </w:pPr>
    </w:p>
    <w:p>
      <w:pPr>
        <w:widowControl/>
        <w:wordWrap w:val="0"/>
        <w:spacing w:line="400" w:lineRule="exact"/>
        <w:ind w:firstLine="420" w:firstLineChars="200"/>
        <w:rPr>
          <w:rFonts w:ascii="宋体" w:hAnsi="宋体"/>
          <w:kern w:val="0"/>
          <w:szCs w:val="21"/>
        </w:rPr>
        <w:sectPr>
          <w:footerReference r:id="rId11" w:type="default"/>
          <w:pgSz w:w="11907" w:h="16840"/>
          <w:pgMar w:top="851" w:right="1134" w:bottom="1134" w:left="1134" w:header="285" w:footer="701" w:gutter="0"/>
          <w:cols w:space="720" w:num="1"/>
          <w:docGrid w:linePitch="285" w:charSpace="0"/>
        </w:sectPr>
      </w:pPr>
    </w:p>
    <w:p>
      <w:pPr>
        <w:wordWrap w:val="0"/>
        <w:spacing w:line="400" w:lineRule="exact"/>
        <w:jc w:val="center"/>
        <w:outlineLvl w:val="0"/>
        <w:rPr>
          <w:rFonts w:ascii="宋体" w:hAnsi="宋体"/>
          <w:b/>
          <w:sz w:val="32"/>
        </w:rPr>
      </w:pPr>
      <w:bookmarkStart w:id="1" w:name="_Toc8010"/>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1"/>
    </w:p>
    <w:p>
      <w:pPr>
        <w:wordWrap w:val="0"/>
        <w:spacing w:line="360" w:lineRule="auto"/>
        <w:ind w:firstLine="422" w:firstLineChars="200"/>
        <w:rPr>
          <w:rFonts w:ascii="宋体" w:hAnsi="宋体"/>
          <w:b/>
          <w:szCs w:val="21"/>
        </w:rPr>
      </w:pPr>
      <w:r>
        <w:rPr>
          <w:rFonts w:hint="eastAsia" w:ascii="宋体" w:hAnsi="宋体"/>
          <w:b/>
          <w:szCs w:val="21"/>
        </w:rPr>
        <w:t>一、适用范围</w:t>
      </w:r>
    </w:p>
    <w:p>
      <w:pPr>
        <w:wordWrap w:val="0"/>
        <w:spacing w:line="360" w:lineRule="auto"/>
        <w:ind w:firstLine="420" w:firstLineChars="200"/>
        <w:jc w:val="left"/>
        <w:rPr>
          <w:rFonts w:ascii="宋体" w:hAnsi="宋体"/>
          <w:szCs w:val="21"/>
        </w:rPr>
      </w:pPr>
      <w:r>
        <w:rPr>
          <w:rFonts w:hint="eastAsia" w:ascii="宋体" w:hAnsi="宋体"/>
          <w:szCs w:val="21"/>
        </w:rPr>
        <w:t>本采购文件仅适用于本采购项目所叙述的货物和服务的招标、评标、定标、验收、合同履约、付款等（法律、法规另有规定的，从其规定）。</w:t>
      </w:r>
    </w:p>
    <w:p>
      <w:pPr>
        <w:wordWrap w:val="0"/>
        <w:spacing w:line="360" w:lineRule="auto"/>
        <w:ind w:firstLine="422" w:firstLineChars="200"/>
        <w:jc w:val="left"/>
        <w:rPr>
          <w:rFonts w:ascii="宋体" w:hAnsi="宋体"/>
          <w:b/>
          <w:szCs w:val="21"/>
        </w:rPr>
      </w:pPr>
      <w:r>
        <w:rPr>
          <w:rFonts w:hint="eastAsia" w:ascii="宋体" w:hAnsi="宋体"/>
          <w:b/>
          <w:szCs w:val="21"/>
        </w:rPr>
        <w:t>二、定义</w:t>
      </w:r>
    </w:p>
    <w:p>
      <w:pPr>
        <w:wordWrap w:val="0"/>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、“采购人”系指宁波职业技术学院。</w:t>
      </w:r>
    </w:p>
    <w:p>
      <w:pPr>
        <w:wordWrap w:val="0"/>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、“代理机构”系指浙江中创招投标有限公司。</w:t>
      </w:r>
    </w:p>
    <w:p>
      <w:pPr>
        <w:wordWrap w:val="0"/>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、“供应商”系指向采购人提交投标文件的供应商。</w:t>
      </w:r>
    </w:p>
    <w:p>
      <w:pPr>
        <w:wordWrap w:val="0"/>
        <w:spacing w:line="360" w:lineRule="auto"/>
        <w:ind w:firstLine="420" w:firstLineChars="200"/>
        <w:jc w:val="left"/>
        <w:rPr>
          <w:rFonts w:ascii="宋体" w:hAnsi="宋体"/>
          <w:szCs w:val="21"/>
        </w:rPr>
      </w:pPr>
      <w:r>
        <w:rPr>
          <w:rFonts w:hint="eastAsia" w:ascii="宋体" w:hAnsi="宋体"/>
          <w:szCs w:val="21"/>
        </w:rPr>
        <w:t>4、“货物”系指供方按采购文件规定承担的绿色智能供配电实训基地建设所需货物等</w:t>
      </w:r>
      <w:r>
        <w:rPr>
          <w:rFonts w:ascii="宋体" w:hAnsi="宋体"/>
          <w:color w:val="0000FF"/>
          <w:szCs w:val="21"/>
        </w:rPr>
        <w:t>。</w:t>
      </w:r>
    </w:p>
    <w:p>
      <w:pPr>
        <w:snapToGrid w:val="0"/>
        <w:spacing w:line="360" w:lineRule="auto"/>
        <w:ind w:firstLine="420" w:firstLineChars="200"/>
        <w:jc w:val="left"/>
        <w:rPr>
          <w:rFonts w:ascii="宋体" w:hAnsi="宋体"/>
          <w:szCs w:val="21"/>
        </w:rPr>
      </w:pPr>
      <w:r>
        <w:rPr>
          <w:rFonts w:hint="eastAsia" w:ascii="宋体" w:hAnsi="宋体"/>
          <w:szCs w:val="21"/>
        </w:rPr>
        <w:t>5、</w:t>
      </w:r>
      <w:r>
        <w:rPr>
          <w:rFonts w:ascii="宋体" w:hAnsi="宋体"/>
          <w:szCs w:val="21"/>
        </w:rPr>
        <w:t>“项目”系指投标人按采购文件规定向采购人提供的产品和服务。</w:t>
      </w:r>
    </w:p>
    <w:p>
      <w:pPr>
        <w:wordWrap w:val="0"/>
        <w:spacing w:line="360" w:lineRule="auto"/>
        <w:ind w:firstLine="420" w:firstLineChars="200"/>
        <w:jc w:val="left"/>
        <w:rPr>
          <w:rFonts w:ascii="宋体" w:hAnsi="宋体"/>
          <w:szCs w:val="21"/>
        </w:rPr>
      </w:pPr>
      <w:r>
        <w:rPr>
          <w:rFonts w:hint="eastAsia" w:ascii="宋体" w:hAnsi="宋体"/>
          <w:szCs w:val="21"/>
        </w:rPr>
        <w:t>6、“同级政府采购监管部门”系指</w:t>
      </w:r>
      <w:r>
        <w:rPr>
          <w:szCs w:val="21"/>
        </w:rPr>
        <w:t>宁波市政府采购管理办公室</w:t>
      </w:r>
      <w:r>
        <w:rPr>
          <w:rFonts w:hint="eastAsia" w:ascii="宋体" w:hAnsi="宋体"/>
          <w:kern w:val="10"/>
          <w:szCs w:val="21"/>
          <w:lang w:val="zh-CN"/>
        </w:rPr>
        <w:t>。</w:t>
      </w:r>
    </w:p>
    <w:p>
      <w:pPr>
        <w:wordWrap w:val="0"/>
        <w:spacing w:line="360" w:lineRule="auto"/>
        <w:ind w:firstLine="420" w:firstLineChars="200"/>
        <w:jc w:val="left"/>
        <w:rPr>
          <w:rFonts w:ascii="宋体" w:hAnsi="宋体"/>
          <w:szCs w:val="21"/>
        </w:rPr>
      </w:pPr>
      <w:r>
        <w:rPr>
          <w:rFonts w:hint="eastAsia" w:ascii="宋体" w:hAnsi="宋体"/>
          <w:szCs w:val="21"/>
        </w:rPr>
        <w:t>7、“▲”系指实质性响应条款。</w:t>
      </w:r>
    </w:p>
    <w:p>
      <w:pPr>
        <w:wordWrap w:val="0"/>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b/>
          <w:szCs w:val="21"/>
        </w:rPr>
        <w:t>三、供应商的资格要求</w:t>
      </w:r>
    </w:p>
    <w:p>
      <w:pPr>
        <w:wordWrap w:val="0"/>
        <w:spacing w:line="360" w:lineRule="auto"/>
        <w:ind w:firstLine="420" w:firstLineChars="200"/>
        <w:jc w:val="left"/>
        <w:rPr>
          <w:rFonts w:ascii="宋体" w:hAnsi="宋体"/>
          <w:szCs w:val="21"/>
        </w:rPr>
      </w:pPr>
      <w:r>
        <w:rPr>
          <w:rFonts w:hint="eastAsia" w:ascii="宋体" w:hAnsi="宋体"/>
          <w:szCs w:val="21"/>
        </w:rPr>
        <w:t>详见采购公告。</w:t>
      </w:r>
    </w:p>
    <w:p>
      <w:pPr>
        <w:wordWrap w:val="0"/>
        <w:spacing w:line="360" w:lineRule="auto"/>
        <w:ind w:firstLine="422" w:firstLineChars="200"/>
        <w:jc w:val="left"/>
        <w:rPr>
          <w:rFonts w:ascii="宋体" w:hAnsi="宋体"/>
          <w:b/>
          <w:szCs w:val="21"/>
        </w:rPr>
      </w:pPr>
      <w:r>
        <w:rPr>
          <w:rFonts w:hint="eastAsia" w:ascii="宋体" w:hAnsi="宋体"/>
          <w:b/>
          <w:szCs w:val="21"/>
        </w:rPr>
        <w:t>四、其他</w:t>
      </w:r>
      <w:r>
        <w:rPr>
          <w:rFonts w:ascii="宋体" w:hAnsi="宋体"/>
          <w:b/>
          <w:szCs w:val="21"/>
        </w:rPr>
        <w:t>说明</w:t>
      </w:r>
    </w:p>
    <w:p>
      <w:pPr>
        <w:wordWrap w:val="0"/>
        <w:spacing w:line="360" w:lineRule="auto"/>
        <w:ind w:firstLine="422" w:firstLineChars="200"/>
        <w:jc w:val="left"/>
        <w:rPr>
          <w:rFonts w:ascii="宋体" w:hAnsi="宋体"/>
          <w:b/>
          <w:szCs w:val="21"/>
        </w:rPr>
      </w:pPr>
      <w:r>
        <w:rPr>
          <w:rFonts w:hint="eastAsia" w:ascii="宋体" w:hAnsi="宋体"/>
          <w:b/>
          <w:szCs w:val="21"/>
        </w:rPr>
        <w:t>（一）投标费用</w:t>
      </w:r>
    </w:p>
    <w:p>
      <w:pPr>
        <w:wordWrap w:val="0"/>
        <w:spacing w:line="360" w:lineRule="auto"/>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pPr>
        <w:wordWrap w:val="0"/>
        <w:spacing w:line="360" w:lineRule="auto"/>
        <w:ind w:firstLine="422" w:firstLineChars="200"/>
        <w:jc w:val="left"/>
        <w:rPr>
          <w:rFonts w:ascii="宋体" w:hAnsi="宋体"/>
          <w:b/>
          <w:szCs w:val="21"/>
        </w:rPr>
      </w:pPr>
      <w:r>
        <w:rPr>
          <w:rFonts w:hint="eastAsia" w:ascii="宋体" w:hAnsi="宋体"/>
          <w:b/>
          <w:szCs w:val="21"/>
        </w:rPr>
        <w:t>（二）关于分公司投标</w:t>
      </w:r>
    </w:p>
    <w:p>
      <w:pPr>
        <w:wordWrap w:val="0"/>
        <w:spacing w:line="360" w:lineRule="auto"/>
        <w:ind w:firstLine="420" w:firstLineChars="200"/>
        <w:jc w:val="left"/>
        <w:rPr>
          <w:rFonts w:ascii="宋体" w:hAnsi="宋体"/>
          <w:szCs w:val="21"/>
        </w:rPr>
      </w:pPr>
      <w:r>
        <w:rPr>
          <w:rFonts w:hint="eastAsia" w:ascii="宋体" w:hAnsi="宋体"/>
          <w:szCs w:val="21"/>
        </w:rPr>
        <w:t>银行、保险、石油石化、电力、电信、移动、联通等行业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wordWrap w:val="0"/>
        <w:spacing w:line="360" w:lineRule="auto"/>
        <w:ind w:firstLine="422" w:firstLineChars="200"/>
        <w:jc w:val="left"/>
        <w:rPr>
          <w:rFonts w:ascii="宋体" w:hAnsi="宋体"/>
          <w:b/>
          <w:szCs w:val="21"/>
        </w:rPr>
      </w:pPr>
      <w:r>
        <w:rPr>
          <w:rFonts w:hint="eastAsia" w:ascii="宋体" w:hAnsi="宋体"/>
          <w:b/>
          <w:szCs w:val="21"/>
        </w:rPr>
        <w:t>（三）关于知识产权</w:t>
      </w:r>
    </w:p>
    <w:p>
      <w:pPr>
        <w:wordWrap w:val="0"/>
        <w:spacing w:line="360" w:lineRule="auto"/>
        <w:ind w:firstLine="420" w:firstLineChars="200"/>
        <w:jc w:val="left"/>
        <w:rPr>
          <w:rFonts w:ascii="宋体" w:hAnsi="宋体"/>
          <w:szCs w:val="21"/>
        </w:rPr>
      </w:pPr>
      <w:r>
        <w:rPr>
          <w:rFonts w:hint="eastAsia" w:ascii="宋体" w:hAnsi="宋体"/>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ordWrap w:val="0"/>
        <w:spacing w:line="360" w:lineRule="auto"/>
        <w:ind w:firstLine="420" w:firstLineChars="200"/>
        <w:jc w:val="left"/>
        <w:rPr>
          <w:rFonts w:ascii="宋体" w:hAnsi="宋体"/>
          <w:szCs w:val="21"/>
        </w:rPr>
      </w:pPr>
      <w:r>
        <w:rPr>
          <w:rFonts w:hint="eastAsia" w:ascii="宋体" w:hAnsi="宋体"/>
          <w:szCs w:val="21"/>
        </w:rPr>
        <w:t>2、投标报价应包含所有应向所有权人支付的专利权、商标权或其它知识产权的一切相关费用。</w:t>
      </w:r>
    </w:p>
    <w:p>
      <w:pPr>
        <w:wordWrap w:val="0"/>
        <w:spacing w:line="360" w:lineRule="auto"/>
        <w:ind w:firstLine="420" w:firstLineChars="200"/>
        <w:jc w:val="left"/>
        <w:rPr>
          <w:rFonts w:ascii="宋体" w:hAnsi="宋体"/>
          <w:szCs w:val="21"/>
        </w:rPr>
      </w:pPr>
      <w:r>
        <w:rPr>
          <w:rFonts w:hint="eastAsia" w:ascii="宋体" w:hAnsi="宋体"/>
          <w:szCs w:val="21"/>
        </w:rPr>
        <w:t>3、系统软件、通用软件必须是具有在中国境内的合法使用权或版权的正版软件，涉及到第三方提出侵权或知识产权的起诉及支付版税等费用由投标人承担所有责任及费用。</w:t>
      </w:r>
    </w:p>
    <w:p>
      <w:pPr>
        <w:wordWrap w:val="0"/>
        <w:spacing w:line="360" w:lineRule="auto"/>
        <w:ind w:firstLine="422" w:firstLineChars="200"/>
        <w:jc w:val="left"/>
        <w:rPr>
          <w:rFonts w:ascii="宋体" w:hAnsi="宋体"/>
          <w:b/>
          <w:szCs w:val="21"/>
        </w:rPr>
      </w:pPr>
      <w:bookmarkStart w:id="2" w:name="_Toc460857903"/>
      <w:bookmarkEnd w:id="2"/>
      <w:bookmarkStart w:id="3" w:name="_Toc23497307"/>
      <w:bookmarkEnd w:id="3"/>
      <w:bookmarkStart w:id="4" w:name="_Toc17707916"/>
      <w:bookmarkEnd w:id="4"/>
      <w:r>
        <w:rPr>
          <w:rFonts w:ascii="宋体" w:hAnsi="宋体"/>
          <w:b/>
          <w:szCs w:val="21"/>
        </w:rPr>
        <w:t>（</w:t>
      </w:r>
      <w:r>
        <w:rPr>
          <w:rFonts w:hint="eastAsia" w:ascii="宋体" w:hAnsi="宋体"/>
          <w:b/>
          <w:szCs w:val="21"/>
        </w:rPr>
        <w:t>四</w:t>
      </w:r>
      <w:r>
        <w:rPr>
          <w:rFonts w:ascii="宋体" w:hAnsi="宋体"/>
          <w:b/>
          <w:szCs w:val="21"/>
        </w:rPr>
        <w:t>）联合体投标</w:t>
      </w:r>
    </w:p>
    <w:p>
      <w:pPr>
        <w:wordWrap w:val="0"/>
        <w:spacing w:line="360" w:lineRule="auto"/>
        <w:ind w:firstLine="420" w:firstLineChars="200"/>
        <w:jc w:val="left"/>
        <w:rPr>
          <w:rFonts w:ascii="宋体" w:hAnsi="宋体"/>
          <w:szCs w:val="21"/>
        </w:rPr>
      </w:pPr>
      <w:r>
        <w:rPr>
          <w:rFonts w:ascii="宋体" w:hAnsi="宋体"/>
          <w:szCs w:val="21"/>
        </w:rPr>
        <w:t>本项目不接受联合体投标。</w:t>
      </w:r>
    </w:p>
    <w:p>
      <w:pPr>
        <w:wordWrap w:val="0"/>
        <w:spacing w:line="360" w:lineRule="auto"/>
        <w:ind w:firstLine="422" w:firstLineChars="200"/>
        <w:jc w:val="left"/>
        <w:rPr>
          <w:rFonts w:ascii="宋体" w:hAnsi="宋体"/>
          <w:b/>
          <w:szCs w:val="21"/>
        </w:rPr>
      </w:pPr>
      <w:bookmarkStart w:id="5" w:name="_Toc23497308"/>
      <w:bookmarkEnd w:id="5"/>
      <w:bookmarkStart w:id="6" w:name="_Toc17707917"/>
      <w:bookmarkEnd w:id="6"/>
      <w:bookmarkStart w:id="7" w:name="_Toc460857904"/>
      <w:bookmarkEnd w:id="7"/>
      <w:r>
        <w:rPr>
          <w:rFonts w:ascii="宋体" w:hAnsi="宋体"/>
          <w:b/>
          <w:szCs w:val="21"/>
        </w:rPr>
        <w:t>（</w:t>
      </w:r>
      <w:r>
        <w:rPr>
          <w:rFonts w:hint="eastAsia" w:ascii="宋体" w:hAnsi="宋体"/>
          <w:b/>
          <w:szCs w:val="21"/>
        </w:rPr>
        <w:t>五</w:t>
      </w:r>
      <w:r>
        <w:rPr>
          <w:rFonts w:ascii="宋体" w:hAnsi="宋体"/>
          <w:b/>
          <w:szCs w:val="21"/>
        </w:rPr>
        <w:t>）转包与分包</w:t>
      </w:r>
    </w:p>
    <w:p>
      <w:pPr>
        <w:wordWrap w:val="0"/>
        <w:spacing w:line="360" w:lineRule="auto"/>
        <w:ind w:firstLine="420" w:firstLineChars="200"/>
        <w:jc w:val="left"/>
        <w:rPr>
          <w:rFonts w:ascii="宋体" w:hAnsi="宋体"/>
          <w:szCs w:val="21"/>
        </w:rPr>
      </w:pPr>
      <w:r>
        <w:rPr>
          <w:rFonts w:ascii="宋体" w:hAnsi="宋体"/>
          <w:szCs w:val="21"/>
        </w:rPr>
        <w:t>1.本项目不允许转包</w:t>
      </w:r>
      <w:r>
        <w:rPr>
          <w:rFonts w:hint="eastAsia" w:ascii="宋体" w:hAnsi="宋体"/>
          <w:szCs w:val="21"/>
        </w:rPr>
        <w:t>，未经采购人同意，不允许分包</w:t>
      </w:r>
      <w:r>
        <w:rPr>
          <w:rFonts w:ascii="宋体" w:hAnsi="宋体"/>
          <w:szCs w:val="21"/>
        </w:rPr>
        <w:t>。</w:t>
      </w:r>
    </w:p>
    <w:p>
      <w:pPr>
        <w:wordWrap w:val="0"/>
        <w:spacing w:line="360" w:lineRule="auto"/>
        <w:ind w:firstLine="422" w:firstLineChars="200"/>
        <w:jc w:val="left"/>
        <w:rPr>
          <w:rFonts w:ascii="宋体" w:hAnsi="宋体"/>
          <w:b/>
          <w:szCs w:val="21"/>
        </w:rPr>
      </w:pPr>
      <w:bookmarkStart w:id="8" w:name="_Toc460416650"/>
      <w:bookmarkEnd w:id="8"/>
      <w:bookmarkStart w:id="9" w:name="_Toc460857905"/>
      <w:bookmarkEnd w:id="9"/>
      <w:bookmarkStart w:id="10" w:name="_Toc17707918"/>
      <w:bookmarkEnd w:id="10"/>
      <w:bookmarkStart w:id="11" w:name="_Toc460416345"/>
      <w:bookmarkEnd w:id="11"/>
      <w:bookmarkStart w:id="12" w:name="_Toc23497309"/>
      <w:bookmarkEnd w:id="12"/>
      <w:bookmarkStart w:id="13" w:name="_Toc460416601"/>
      <w:bookmarkEnd w:id="13"/>
      <w:r>
        <w:rPr>
          <w:rFonts w:ascii="宋体" w:hAnsi="宋体"/>
          <w:b/>
          <w:szCs w:val="21"/>
        </w:rPr>
        <w:t>（</w:t>
      </w:r>
      <w:r>
        <w:rPr>
          <w:rFonts w:hint="eastAsia" w:ascii="宋体" w:hAnsi="宋体"/>
          <w:b/>
          <w:szCs w:val="21"/>
        </w:rPr>
        <w:t>六</w:t>
      </w:r>
      <w:r>
        <w:rPr>
          <w:rFonts w:ascii="宋体" w:hAnsi="宋体"/>
          <w:b/>
          <w:szCs w:val="21"/>
        </w:rPr>
        <w:t>）特别说明</w:t>
      </w:r>
    </w:p>
    <w:p>
      <w:pPr>
        <w:wordWrap w:val="0"/>
        <w:spacing w:line="360" w:lineRule="auto"/>
        <w:ind w:firstLine="420" w:firstLineChars="200"/>
        <w:jc w:val="left"/>
        <w:rPr>
          <w:rFonts w:ascii="宋体" w:hAnsi="宋体"/>
          <w:szCs w:val="21"/>
        </w:rPr>
      </w:pPr>
      <w:r>
        <w:rPr>
          <w:rFonts w:ascii="宋体" w:hAnsi="宋体"/>
          <w:szCs w:val="21"/>
        </w:rPr>
        <w:t>1.投标人应仔细阅读采购文件的所有内容，按照采购文件的要求提交投标文件，并对所提供的全部资料的真实性承担法律责任。</w:t>
      </w:r>
    </w:p>
    <w:p>
      <w:pPr>
        <w:wordWrap w:val="0"/>
        <w:spacing w:line="360" w:lineRule="auto"/>
        <w:ind w:firstLine="420" w:firstLineChars="200"/>
        <w:jc w:val="left"/>
        <w:rPr>
          <w:rFonts w:ascii="宋体" w:hAnsi="宋体"/>
          <w:szCs w:val="21"/>
        </w:rPr>
      </w:pPr>
      <w:r>
        <w:rPr>
          <w:rFonts w:ascii="宋体" w:hAnsi="宋体"/>
          <w:szCs w:val="21"/>
        </w:rPr>
        <w:t>2.投标人在投标活动中提供任何虚假材料，其投标无效，并报监管部门查处；中标后发现的,中标人须依照《中华人民共和国消费者权益保护法》第</w:t>
      </w:r>
      <w:r>
        <w:rPr>
          <w:rFonts w:hint="eastAsia" w:ascii="宋体" w:hAnsi="宋体"/>
          <w:szCs w:val="21"/>
        </w:rPr>
        <w:t>55</w:t>
      </w:r>
      <w:r>
        <w:rPr>
          <w:rFonts w:ascii="宋体" w:hAnsi="宋体"/>
          <w:szCs w:val="21"/>
        </w:rPr>
        <w:t>条之规定赔偿采购人，且民事赔偿并不免除违法投标人的行政与刑事责任。</w:t>
      </w:r>
    </w:p>
    <w:p>
      <w:pPr>
        <w:wordWrap w:val="0"/>
        <w:spacing w:line="360" w:lineRule="auto"/>
        <w:ind w:firstLine="422" w:firstLineChars="200"/>
        <w:jc w:val="left"/>
        <w:rPr>
          <w:rFonts w:ascii="宋体" w:hAnsi="宋体"/>
          <w:b/>
          <w:szCs w:val="21"/>
        </w:rPr>
      </w:pPr>
      <w:r>
        <w:rPr>
          <w:rFonts w:hint="eastAsia" w:ascii="宋体" w:hAnsi="宋体"/>
          <w:b/>
          <w:szCs w:val="21"/>
        </w:rPr>
        <w:t>五、投标报价</w:t>
      </w:r>
    </w:p>
    <w:p>
      <w:pPr>
        <w:wordWrap w:val="0"/>
        <w:spacing w:line="360" w:lineRule="auto"/>
        <w:ind w:firstLine="420" w:firstLineChars="200"/>
        <w:rPr>
          <w:rFonts w:ascii="宋体" w:hAnsi="宋体"/>
          <w:szCs w:val="21"/>
        </w:rPr>
      </w:pPr>
      <w:r>
        <w:rPr>
          <w:rFonts w:hint="eastAsia" w:ascii="宋体" w:hAnsi="宋体"/>
          <w:szCs w:val="21"/>
        </w:rPr>
        <w:t>5.1</w:t>
      </w:r>
      <w:r>
        <w:rPr>
          <w:rFonts w:ascii="宋体" w:hAnsi="宋体"/>
          <w:szCs w:val="21"/>
        </w:rPr>
        <w:t>投标报价货币为人民币，</w:t>
      </w:r>
      <w:r>
        <w:rPr>
          <w:rFonts w:hint="eastAsia" w:ascii="宋体" w:hAnsi="宋体"/>
          <w:szCs w:val="21"/>
        </w:rPr>
        <w:t>投标报价包含设备材料价格、运杂费、利润、税金、装卸费、售后服务、备品备件等全部费用。</w:t>
      </w:r>
    </w:p>
    <w:p>
      <w:pPr>
        <w:wordWrap w:val="0"/>
        <w:spacing w:line="360" w:lineRule="auto"/>
        <w:ind w:firstLine="420" w:firstLineChars="200"/>
        <w:rPr>
          <w:rFonts w:ascii="宋体" w:hAnsi="宋体"/>
          <w:szCs w:val="21"/>
        </w:rPr>
      </w:pPr>
      <w:r>
        <w:rPr>
          <w:rFonts w:hint="eastAsia" w:ascii="宋体" w:hAnsi="宋体"/>
          <w:szCs w:val="21"/>
        </w:rPr>
        <w:t>5.2</w:t>
      </w:r>
      <w:r>
        <w:rPr>
          <w:rFonts w:ascii="宋体" w:hAnsi="宋体"/>
          <w:szCs w:val="21"/>
        </w:rPr>
        <w:t>供应商应详细列明各分项工作相关报价及依据，未列明的相关报价应视为已包含在已列明费用的报价中，采购人将不予单独支付。</w:t>
      </w:r>
    </w:p>
    <w:p>
      <w:pPr>
        <w:wordWrap w:val="0"/>
        <w:spacing w:line="360" w:lineRule="auto"/>
        <w:ind w:firstLine="420" w:firstLineChars="200"/>
        <w:jc w:val="left"/>
        <w:rPr>
          <w:rFonts w:ascii="宋体" w:hAnsi="宋体"/>
          <w:szCs w:val="21"/>
        </w:rPr>
      </w:pPr>
      <w:r>
        <w:rPr>
          <w:rFonts w:hint="eastAsia" w:ascii="宋体" w:hAnsi="宋体"/>
          <w:szCs w:val="21"/>
        </w:rPr>
        <w:t>5.3</w:t>
      </w:r>
      <w:r>
        <w:rPr>
          <w:rFonts w:ascii="宋体" w:hAnsi="宋体"/>
          <w:szCs w:val="21"/>
        </w:rPr>
        <w:t>投标文件的货币单位为人民币元。</w:t>
      </w:r>
    </w:p>
    <w:p>
      <w:pPr>
        <w:tabs>
          <w:tab w:val="left" w:pos="525"/>
        </w:tabs>
        <w:snapToGrid w:val="0"/>
        <w:spacing w:line="360" w:lineRule="auto"/>
        <w:ind w:firstLine="420" w:firstLineChars="200"/>
        <w:jc w:val="left"/>
        <w:rPr>
          <w:rFonts w:ascii="宋体" w:hAnsi="宋体"/>
          <w:szCs w:val="21"/>
        </w:rPr>
      </w:pPr>
      <w:r>
        <w:rPr>
          <w:rFonts w:hint="eastAsia" w:ascii="宋体" w:hAnsi="宋体"/>
          <w:szCs w:val="21"/>
        </w:rPr>
        <w:t>5.4</w:t>
      </w:r>
      <w:r>
        <w:rPr>
          <w:rFonts w:ascii="宋体" w:hAnsi="宋体"/>
          <w:b/>
          <w:szCs w:val="21"/>
        </w:rPr>
        <w:t>投标文件只允许有一个报价，有选择的或有条件的报价将不予接受。</w:t>
      </w:r>
    </w:p>
    <w:p>
      <w:pPr>
        <w:wordWrap w:val="0"/>
        <w:spacing w:line="360" w:lineRule="auto"/>
        <w:ind w:firstLine="420" w:firstLineChars="200"/>
        <w:jc w:val="left"/>
        <w:rPr>
          <w:rFonts w:ascii="宋体" w:hAnsi="宋体"/>
          <w:szCs w:val="21"/>
        </w:rPr>
      </w:pPr>
      <w:r>
        <w:rPr>
          <w:rFonts w:hint="eastAsia" w:ascii="宋体" w:hAnsi="宋体"/>
          <w:szCs w:val="21"/>
        </w:rPr>
        <w:t>5.5 因本项目采购需根据各个工程的施工进度分不同时间、不同工程地点供货，单个工程也可能分批次供货，供应商应在投标报价中综合考虑涨价风险及生产、运输成本。</w:t>
      </w:r>
    </w:p>
    <w:p>
      <w:pPr>
        <w:wordWrap w:val="0"/>
        <w:spacing w:line="360" w:lineRule="auto"/>
        <w:ind w:firstLine="422" w:firstLineChars="200"/>
        <w:jc w:val="left"/>
        <w:rPr>
          <w:rFonts w:ascii="宋体" w:hAnsi="宋体"/>
          <w:b/>
          <w:szCs w:val="21"/>
        </w:rPr>
      </w:pPr>
      <w:r>
        <w:rPr>
          <w:rFonts w:hint="eastAsia" w:ascii="宋体" w:hAnsi="宋体"/>
          <w:b/>
          <w:szCs w:val="21"/>
        </w:rPr>
        <w:t>六、投标有效期</w:t>
      </w:r>
    </w:p>
    <w:p>
      <w:pPr>
        <w:wordWrap w:val="0"/>
        <w:spacing w:line="360" w:lineRule="auto"/>
        <w:ind w:firstLine="210" w:firstLineChars="1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个日历日。投标有效期不能小于采购文件的要求。</w:t>
      </w:r>
    </w:p>
    <w:p>
      <w:pPr>
        <w:wordWrap w:val="0"/>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、特殊情况下，采购人可与供应商协商延长投标文件的有效期，这种要求和答复均以书面形式进行。</w:t>
      </w:r>
    </w:p>
    <w:p>
      <w:pPr>
        <w:wordWrap w:val="0"/>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pPr>
        <w:wordWrap w:val="0"/>
        <w:spacing w:line="360" w:lineRule="auto"/>
        <w:ind w:firstLine="422" w:firstLineChars="200"/>
        <w:jc w:val="left"/>
        <w:rPr>
          <w:rFonts w:ascii="宋体" w:hAnsi="宋体"/>
          <w:b/>
          <w:szCs w:val="21"/>
        </w:rPr>
      </w:pPr>
      <w:r>
        <w:rPr>
          <w:rFonts w:hint="eastAsia" w:ascii="宋体" w:hAnsi="宋体"/>
          <w:b/>
          <w:szCs w:val="21"/>
        </w:rPr>
        <w:t>七、投标文件的形式和效力</w:t>
      </w:r>
    </w:p>
    <w:p>
      <w:pPr>
        <w:wordWrap w:val="0"/>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、投标文件分为电子投标文件以及备份投标文件，备份投标文件分为以</w:t>
      </w:r>
      <w:r>
        <w:rPr>
          <w:rFonts w:hint="eastAsia" w:ascii="宋体" w:hAnsi="宋体"/>
          <w:kern w:val="0"/>
          <w:szCs w:val="21"/>
        </w:rPr>
        <w:t>U盘或光盘存储的电子</w:t>
      </w:r>
      <w:r>
        <w:rPr>
          <w:rFonts w:hint="eastAsia" w:ascii="宋体" w:hAnsi="宋体"/>
          <w:szCs w:val="21"/>
        </w:rPr>
        <w:t>备份投标文件和纸质备份投标文件（不做强制要求）。</w:t>
      </w:r>
    </w:p>
    <w:p>
      <w:pPr>
        <w:wordWrap w:val="0"/>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、电子投标文件，按“项目采购-电子招投标操作指南”及本采购文件要求制作，并加密。</w:t>
      </w:r>
    </w:p>
    <w:p>
      <w:pPr>
        <w:wordWrap w:val="0"/>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、以</w:t>
      </w:r>
      <w:r>
        <w:rPr>
          <w:rFonts w:hint="eastAsia" w:ascii="宋体" w:hAnsi="宋体"/>
          <w:kern w:val="0"/>
          <w:szCs w:val="21"/>
        </w:rPr>
        <w:t>U盘或光盘存储的电子</w:t>
      </w:r>
      <w:r>
        <w:rPr>
          <w:rFonts w:hint="eastAsia" w:ascii="宋体" w:hAnsi="宋体"/>
          <w:szCs w:val="21"/>
        </w:rPr>
        <w:t>备份投标文件，按“项目采购-电子招投标操作指南”制作的电子备份文件。</w:t>
      </w:r>
    </w:p>
    <w:p>
      <w:pPr>
        <w:wordWrap w:val="0"/>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、纸质备份投标文件按本章第八条投标文件的组成编制。</w:t>
      </w:r>
    </w:p>
    <w:p>
      <w:pPr>
        <w:wordWrap w:val="0"/>
        <w:spacing w:line="360" w:lineRule="auto"/>
        <w:ind w:firstLine="420" w:firstLineChars="200"/>
        <w:jc w:val="left"/>
        <w:rPr>
          <w:rFonts w:ascii="宋体" w:hAnsi="宋体"/>
          <w:szCs w:val="21"/>
        </w:rPr>
      </w:pPr>
      <w:r>
        <w:rPr>
          <w:rFonts w:hint="eastAsia" w:ascii="宋体" w:hAnsi="宋体"/>
          <w:szCs w:val="21"/>
        </w:rPr>
        <w:t>5、投标文件填写字迹必须清楚、工整，对不同文字文本投标文件的解释发生异议的，以中文文本为准。</w:t>
      </w:r>
    </w:p>
    <w:p>
      <w:pPr>
        <w:wordWrap w:val="0"/>
        <w:spacing w:line="360" w:lineRule="auto"/>
        <w:ind w:firstLine="420" w:firstLineChars="200"/>
        <w:jc w:val="left"/>
        <w:rPr>
          <w:rFonts w:ascii="宋体" w:hAnsi="宋体"/>
          <w:szCs w:val="21"/>
        </w:rPr>
      </w:pPr>
      <w:r>
        <w:rPr>
          <w:rFonts w:hint="eastAsia" w:ascii="宋体" w:hAnsi="宋体"/>
          <w:szCs w:val="21"/>
        </w:rPr>
        <w:t>6、投标文件的效力</w:t>
      </w:r>
    </w:p>
    <w:p>
      <w:pPr>
        <w:wordWrap w:val="0"/>
        <w:spacing w:line="360" w:lineRule="auto"/>
        <w:ind w:firstLine="420" w:firstLineChars="200"/>
        <w:jc w:val="left"/>
        <w:rPr>
          <w:rFonts w:ascii="宋体" w:hAnsi="宋体"/>
          <w:szCs w:val="21"/>
        </w:rPr>
      </w:pPr>
      <w:r>
        <w:rPr>
          <w:rFonts w:hint="eastAsia" w:ascii="宋体" w:hAnsi="宋体"/>
          <w:szCs w:val="21"/>
        </w:rPr>
        <w:t>投标文件的启用，按先后顺位分别为电子投标文件、以</w:t>
      </w:r>
      <w:r>
        <w:rPr>
          <w:rFonts w:hint="eastAsia" w:ascii="宋体" w:hAnsi="宋体"/>
          <w:kern w:val="0"/>
          <w:szCs w:val="21"/>
        </w:rPr>
        <w:t>U盘或光盘存储的电子</w:t>
      </w:r>
      <w:r>
        <w:rPr>
          <w:rFonts w:hint="eastAsia" w:ascii="宋体" w:hAnsi="宋体"/>
          <w:szCs w:val="21"/>
        </w:rPr>
        <w:t>备份投标文件、纸质备份投标文件。在下一顺位的投标文件启用时，前一顺位的投标文件自动失效。</w:t>
      </w:r>
    </w:p>
    <w:p>
      <w:pPr>
        <w:wordWrap w:val="0"/>
        <w:spacing w:line="360" w:lineRule="auto"/>
        <w:ind w:firstLine="420" w:firstLineChars="200"/>
        <w:jc w:val="left"/>
        <w:rPr>
          <w:rFonts w:ascii="宋体" w:hAnsi="宋体"/>
          <w:szCs w:val="21"/>
        </w:rPr>
      </w:pPr>
      <w:r>
        <w:rPr>
          <w:rFonts w:hint="eastAsia" w:ascii="宋体" w:hAnsi="宋体"/>
          <w:szCs w:val="21"/>
        </w:rPr>
        <w:t>电子投标文件未能按时解密，供应商提供了电子备份投标文件、纸质备份投标文件的，以电子备份投标文件、纸质备份投标文件作为依据，否则视为投标文件撤回。电子投标文件已按时解密的，电子备份投标文件、纸质备份投标文件自动失效。</w:t>
      </w:r>
    </w:p>
    <w:p>
      <w:pPr>
        <w:wordWrap w:val="0"/>
        <w:spacing w:line="360" w:lineRule="auto"/>
        <w:ind w:firstLine="422" w:firstLineChars="200"/>
        <w:jc w:val="left"/>
        <w:rPr>
          <w:rFonts w:ascii="宋体" w:hAnsi="宋体"/>
          <w:b/>
          <w:bCs/>
          <w:szCs w:val="21"/>
        </w:rPr>
      </w:pPr>
      <w:bookmarkStart w:id="14" w:name="_Hlk23147633"/>
      <w:bookmarkStart w:id="15" w:name="_Hlk23150950"/>
      <w:r>
        <w:rPr>
          <w:rFonts w:hint="eastAsia" w:ascii="宋体" w:hAnsi="宋体"/>
          <w:b/>
          <w:bCs/>
          <w:szCs w:val="21"/>
        </w:rPr>
        <w:t>八、投标文件的组成和份数</w:t>
      </w:r>
    </w:p>
    <w:p>
      <w:pPr>
        <w:wordWrap w:val="0"/>
        <w:spacing w:line="360" w:lineRule="auto"/>
        <w:ind w:firstLine="420" w:firstLineChars="200"/>
        <w:jc w:val="left"/>
        <w:rPr>
          <w:rFonts w:ascii="宋体" w:hAnsi="宋体"/>
          <w:szCs w:val="21"/>
        </w:rPr>
      </w:pPr>
      <w:r>
        <w:rPr>
          <w:rFonts w:hint="eastAsia" w:ascii="宋体" w:hAnsi="宋体"/>
          <w:szCs w:val="21"/>
        </w:rPr>
        <w:t>1、投标文件的组成：</w:t>
      </w:r>
    </w:p>
    <w:p>
      <w:pPr>
        <w:wordWrap w:val="0"/>
        <w:spacing w:line="360" w:lineRule="auto"/>
        <w:ind w:firstLine="422" w:firstLineChars="200"/>
        <w:jc w:val="left"/>
        <w:rPr>
          <w:rFonts w:ascii="宋体" w:hAnsi="宋体"/>
          <w:b/>
          <w:bCs/>
          <w:szCs w:val="21"/>
        </w:rPr>
      </w:pPr>
      <w:r>
        <w:rPr>
          <w:rFonts w:hint="eastAsia" w:ascii="宋体" w:hAnsi="宋体"/>
          <w:b/>
          <w:bCs/>
          <w:szCs w:val="21"/>
        </w:rPr>
        <w:t>A、第一册：资格文件</w:t>
      </w:r>
    </w:p>
    <w:p>
      <w:pPr>
        <w:wordWrap w:val="0"/>
        <w:spacing w:line="360" w:lineRule="auto"/>
        <w:ind w:firstLine="420" w:firstLineChars="200"/>
        <w:jc w:val="left"/>
        <w:rPr>
          <w:rFonts w:ascii="宋体" w:hAnsi="宋体"/>
          <w:szCs w:val="21"/>
        </w:rPr>
      </w:pPr>
      <w:r>
        <w:rPr>
          <w:rFonts w:hint="eastAsia" w:ascii="宋体" w:hAnsi="宋体"/>
          <w:szCs w:val="21"/>
        </w:rPr>
        <w:t>A1、营业执照副本（或事业法人登记证副本或其他登记证明材料）复印件加盖供应商公章（供应商如果有名称变更的，应提供由行政主管部门出具的变更证明文件复印件加盖供应商公章）；</w:t>
      </w:r>
    </w:p>
    <w:p>
      <w:pPr>
        <w:wordWrap w:val="0"/>
        <w:spacing w:line="360" w:lineRule="auto"/>
        <w:ind w:firstLine="420" w:firstLineChars="200"/>
        <w:jc w:val="left"/>
        <w:rPr>
          <w:rFonts w:ascii="宋体" w:hAnsi="宋体"/>
          <w:szCs w:val="21"/>
        </w:rPr>
      </w:pPr>
      <w:r>
        <w:rPr>
          <w:rFonts w:hint="eastAsia" w:ascii="宋体" w:hAnsi="宋体"/>
          <w:szCs w:val="21"/>
        </w:rPr>
        <w:t>A2、具有履行合同所必需的设备和专业技术能力的声明函；</w:t>
      </w:r>
    </w:p>
    <w:p>
      <w:pPr>
        <w:pStyle w:val="30"/>
        <w:wordWrap w:val="0"/>
        <w:spacing w:line="360" w:lineRule="auto"/>
        <w:rPr>
          <w:spacing w:val="0"/>
          <w:kern w:val="2"/>
          <w:sz w:val="21"/>
          <w:szCs w:val="21"/>
        </w:rPr>
      </w:pPr>
      <w:r>
        <w:rPr>
          <w:rFonts w:hint="eastAsia"/>
          <w:spacing w:val="0"/>
          <w:kern w:val="2"/>
          <w:sz w:val="21"/>
          <w:szCs w:val="21"/>
        </w:rPr>
        <w:t>A3、无重大违法记录的声明函；</w:t>
      </w:r>
    </w:p>
    <w:p>
      <w:pPr>
        <w:pStyle w:val="30"/>
        <w:wordWrap w:val="0"/>
        <w:spacing w:line="360" w:lineRule="auto"/>
        <w:rPr>
          <w:spacing w:val="0"/>
          <w:kern w:val="2"/>
          <w:sz w:val="21"/>
          <w:szCs w:val="21"/>
        </w:rPr>
      </w:pPr>
      <w:r>
        <w:rPr>
          <w:rFonts w:hint="eastAsia"/>
          <w:spacing w:val="0"/>
          <w:kern w:val="2"/>
          <w:sz w:val="21"/>
          <w:szCs w:val="21"/>
        </w:rPr>
        <w:t>A4、其他资格要求需提供的声明函。</w:t>
      </w:r>
    </w:p>
    <w:p>
      <w:pPr>
        <w:wordWrap w:val="0"/>
        <w:spacing w:line="360" w:lineRule="auto"/>
        <w:ind w:firstLine="422" w:firstLineChars="200"/>
        <w:jc w:val="left"/>
        <w:rPr>
          <w:rFonts w:ascii="宋体" w:hAnsi="宋体"/>
          <w:b/>
          <w:bCs/>
          <w:szCs w:val="21"/>
        </w:rPr>
      </w:pPr>
      <w:r>
        <w:rPr>
          <w:rFonts w:hint="eastAsia" w:ascii="宋体" w:hAnsi="宋体"/>
          <w:b/>
          <w:bCs/>
          <w:szCs w:val="21"/>
        </w:rPr>
        <w:t>B、第二册：商务和技术文件</w:t>
      </w:r>
    </w:p>
    <w:p>
      <w:pPr>
        <w:wordWrap w:val="0"/>
        <w:spacing w:line="360" w:lineRule="auto"/>
        <w:ind w:firstLine="420" w:firstLineChars="200"/>
        <w:jc w:val="left"/>
        <w:rPr>
          <w:rFonts w:ascii="宋体" w:hAnsi="宋体"/>
          <w:szCs w:val="21"/>
        </w:rPr>
      </w:pPr>
      <w:r>
        <w:rPr>
          <w:rFonts w:hint="eastAsia" w:ascii="宋体" w:hAnsi="宋体"/>
          <w:szCs w:val="21"/>
        </w:rPr>
        <w:t>B1、投标书；</w:t>
      </w:r>
    </w:p>
    <w:p>
      <w:pPr>
        <w:wordWrap w:val="0"/>
        <w:spacing w:line="360" w:lineRule="auto"/>
        <w:ind w:firstLine="420" w:firstLineChars="200"/>
        <w:jc w:val="left"/>
        <w:rPr>
          <w:rFonts w:ascii="宋体" w:hAnsi="宋体"/>
          <w:szCs w:val="21"/>
        </w:rPr>
      </w:pPr>
      <w:r>
        <w:rPr>
          <w:rFonts w:hint="eastAsia" w:ascii="宋体" w:hAnsi="宋体"/>
          <w:szCs w:val="21"/>
        </w:rPr>
        <w:t>B2、法定代表人身份证明；</w:t>
      </w:r>
    </w:p>
    <w:p>
      <w:pPr>
        <w:wordWrap w:val="0"/>
        <w:spacing w:line="360" w:lineRule="auto"/>
        <w:ind w:firstLine="420" w:firstLineChars="200"/>
        <w:jc w:val="left"/>
        <w:rPr>
          <w:rFonts w:ascii="宋体" w:hAnsi="宋体"/>
          <w:szCs w:val="21"/>
        </w:rPr>
      </w:pPr>
      <w:r>
        <w:rPr>
          <w:rFonts w:hint="eastAsia" w:ascii="宋体" w:hAnsi="宋体"/>
          <w:szCs w:val="21"/>
        </w:rPr>
        <w:t>B3、法定代表人授权书（投标文件由授权代表签字的须提供）；</w:t>
      </w:r>
    </w:p>
    <w:p>
      <w:pPr>
        <w:wordWrap w:val="0"/>
        <w:spacing w:line="360" w:lineRule="auto"/>
        <w:ind w:firstLine="420" w:firstLineChars="200"/>
        <w:jc w:val="left"/>
        <w:rPr>
          <w:rFonts w:ascii="宋体" w:hAnsi="宋体"/>
          <w:szCs w:val="21"/>
        </w:rPr>
      </w:pPr>
      <w:bookmarkStart w:id="16" w:name="_Hlk75968770"/>
      <w:r>
        <w:rPr>
          <w:rFonts w:hint="eastAsia" w:ascii="宋体" w:hAnsi="宋体"/>
          <w:szCs w:val="21"/>
        </w:rPr>
        <w:t>B4、供应商一般情况表；</w:t>
      </w:r>
    </w:p>
    <w:bookmarkEnd w:id="16"/>
    <w:p>
      <w:pPr>
        <w:wordWrap w:val="0"/>
        <w:spacing w:line="360" w:lineRule="auto"/>
        <w:ind w:firstLine="420" w:firstLineChars="200"/>
        <w:jc w:val="left"/>
        <w:rPr>
          <w:rFonts w:ascii="宋体" w:hAnsi="宋体"/>
          <w:szCs w:val="21"/>
        </w:rPr>
      </w:pPr>
      <w:r>
        <w:rPr>
          <w:rFonts w:hint="eastAsia" w:ascii="宋体" w:hAnsi="宋体"/>
          <w:szCs w:val="21"/>
        </w:rPr>
        <w:t>B5、商务条款响应表；</w:t>
      </w:r>
    </w:p>
    <w:p>
      <w:pPr>
        <w:wordWrap w:val="0"/>
        <w:spacing w:line="360" w:lineRule="auto"/>
        <w:ind w:firstLine="420" w:firstLineChars="200"/>
        <w:jc w:val="left"/>
        <w:rPr>
          <w:rFonts w:ascii="宋体" w:hAnsi="宋体"/>
          <w:szCs w:val="21"/>
        </w:rPr>
      </w:pPr>
      <w:r>
        <w:rPr>
          <w:rFonts w:hint="eastAsia" w:ascii="宋体" w:hAnsi="宋体"/>
          <w:szCs w:val="21"/>
        </w:rPr>
        <w:t>B6、技术条款响应表；</w:t>
      </w:r>
    </w:p>
    <w:p>
      <w:pPr>
        <w:wordWrap w:val="0"/>
        <w:spacing w:line="360" w:lineRule="auto"/>
        <w:ind w:firstLine="420" w:firstLineChars="200"/>
        <w:jc w:val="left"/>
        <w:rPr>
          <w:rFonts w:ascii="宋体" w:hAnsi="宋体"/>
          <w:szCs w:val="21"/>
        </w:rPr>
      </w:pPr>
      <w:r>
        <w:rPr>
          <w:rFonts w:hint="eastAsia" w:ascii="宋体" w:hAnsi="宋体"/>
          <w:szCs w:val="21"/>
        </w:rPr>
        <w:t>B7、第三章“评标办法及标准”中商务和技术评分表要求提供的资料（如有需提供）；</w:t>
      </w:r>
    </w:p>
    <w:p>
      <w:pPr>
        <w:wordWrap w:val="0"/>
        <w:spacing w:line="360" w:lineRule="auto"/>
        <w:ind w:firstLine="420" w:firstLineChars="200"/>
        <w:jc w:val="left"/>
        <w:rPr>
          <w:rFonts w:ascii="宋体" w:hAnsi="宋体"/>
          <w:szCs w:val="21"/>
        </w:rPr>
      </w:pPr>
      <w:r>
        <w:rPr>
          <w:rFonts w:hint="eastAsia" w:ascii="宋体" w:hAnsi="宋体"/>
          <w:szCs w:val="21"/>
        </w:rPr>
        <w:t>B8、供应商认为需要的其他资料（如有需提供）。</w:t>
      </w:r>
    </w:p>
    <w:bookmarkEnd w:id="14"/>
    <w:p>
      <w:pPr>
        <w:wordWrap w:val="0"/>
        <w:spacing w:line="360" w:lineRule="auto"/>
        <w:ind w:firstLine="422" w:firstLineChars="200"/>
        <w:jc w:val="left"/>
        <w:rPr>
          <w:rFonts w:ascii="宋体" w:hAnsi="宋体"/>
          <w:b/>
          <w:szCs w:val="21"/>
        </w:rPr>
      </w:pPr>
      <w:r>
        <w:rPr>
          <w:rFonts w:ascii="宋体" w:hAnsi="宋体"/>
          <w:b/>
          <w:szCs w:val="21"/>
        </w:rPr>
        <w:t>C</w:t>
      </w:r>
      <w:r>
        <w:rPr>
          <w:rFonts w:hint="eastAsia" w:ascii="宋体" w:hAnsi="宋体"/>
          <w:b/>
          <w:szCs w:val="21"/>
        </w:rPr>
        <w:t>、第三册：报价文件</w:t>
      </w:r>
    </w:p>
    <w:p>
      <w:pPr>
        <w:wordWrap w:val="0"/>
        <w:spacing w:line="360" w:lineRule="auto"/>
        <w:ind w:firstLine="420" w:firstLineChars="200"/>
        <w:jc w:val="left"/>
        <w:rPr>
          <w:rFonts w:ascii="宋体" w:hAnsi="宋体"/>
          <w:szCs w:val="21"/>
        </w:rPr>
      </w:pPr>
      <w:r>
        <w:rPr>
          <w:rFonts w:ascii="宋体" w:hAnsi="宋体"/>
          <w:szCs w:val="21"/>
        </w:rPr>
        <w:t>C1</w:t>
      </w:r>
      <w:r>
        <w:rPr>
          <w:rFonts w:hint="eastAsia" w:ascii="宋体" w:hAnsi="宋体"/>
          <w:szCs w:val="21"/>
        </w:rPr>
        <w:t>、开标一览表；</w:t>
      </w:r>
    </w:p>
    <w:p>
      <w:pPr>
        <w:wordWrap w:val="0"/>
        <w:spacing w:line="360" w:lineRule="auto"/>
        <w:ind w:firstLine="420" w:firstLineChars="200"/>
        <w:jc w:val="left"/>
        <w:rPr>
          <w:rFonts w:ascii="宋体" w:hAnsi="宋体"/>
          <w:szCs w:val="21"/>
        </w:rPr>
      </w:pPr>
      <w:r>
        <w:rPr>
          <w:rFonts w:ascii="宋体" w:hAnsi="宋体"/>
          <w:szCs w:val="21"/>
        </w:rPr>
        <w:t>C</w:t>
      </w:r>
      <w:r>
        <w:rPr>
          <w:rFonts w:hint="eastAsia" w:ascii="宋体" w:hAnsi="宋体"/>
          <w:szCs w:val="21"/>
        </w:rPr>
        <w:t>2、分项报价表；</w:t>
      </w:r>
    </w:p>
    <w:p>
      <w:pPr>
        <w:wordWrap w:val="0"/>
        <w:spacing w:line="360" w:lineRule="auto"/>
        <w:ind w:firstLine="420" w:firstLineChars="200"/>
        <w:jc w:val="left"/>
        <w:rPr>
          <w:rFonts w:ascii="宋体" w:hAnsi="宋体"/>
          <w:szCs w:val="21"/>
        </w:rPr>
      </w:pPr>
      <w:r>
        <w:rPr>
          <w:rFonts w:ascii="宋体" w:hAnsi="宋体"/>
          <w:szCs w:val="21"/>
        </w:rPr>
        <w:t>C</w:t>
      </w:r>
      <w:r>
        <w:rPr>
          <w:rFonts w:hint="eastAsia" w:ascii="宋体" w:hAnsi="宋体"/>
          <w:szCs w:val="21"/>
        </w:rPr>
        <w:t>3、中小企业声明函；</w:t>
      </w:r>
    </w:p>
    <w:p>
      <w:pPr>
        <w:wordWrap w:val="0"/>
        <w:spacing w:line="360" w:lineRule="auto"/>
        <w:ind w:firstLine="420" w:firstLineChars="200"/>
        <w:jc w:val="left"/>
        <w:rPr>
          <w:rFonts w:ascii="宋体" w:hAnsi="宋体"/>
          <w:szCs w:val="21"/>
        </w:rPr>
      </w:pPr>
      <w:r>
        <w:rPr>
          <w:rFonts w:ascii="宋体" w:hAnsi="宋体"/>
          <w:szCs w:val="21"/>
        </w:rPr>
        <w:t>C</w:t>
      </w:r>
      <w:r>
        <w:rPr>
          <w:rFonts w:hint="eastAsia" w:ascii="宋体" w:hAnsi="宋体"/>
          <w:szCs w:val="21"/>
        </w:rPr>
        <w:t>4、残疾人福利性单位声明函；</w:t>
      </w:r>
    </w:p>
    <w:p>
      <w:pPr>
        <w:wordWrap w:val="0"/>
        <w:spacing w:line="360" w:lineRule="auto"/>
        <w:ind w:firstLine="420" w:firstLineChars="200"/>
        <w:jc w:val="left"/>
        <w:rPr>
          <w:rFonts w:ascii="宋体" w:hAnsi="宋体"/>
          <w:szCs w:val="21"/>
        </w:rPr>
      </w:pPr>
      <w:r>
        <w:rPr>
          <w:rFonts w:ascii="宋体" w:hAnsi="宋体"/>
          <w:szCs w:val="21"/>
        </w:rPr>
        <w:t>C</w:t>
      </w:r>
      <w:r>
        <w:rPr>
          <w:rFonts w:hint="eastAsia" w:ascii="宋体" w:hAnsi="宋体"/>
          <w:szCs w:val="21"/>
        </w:rPr>
        <w:t>5、供应商认为需要的其他资料（如有需提供）。</w:t>
      </w:r>
    </w:p>
    <w:bookmarkEnd w:id="15"/>
    <w:p>
      <w:pPr>
        <w:wordWrap w:val="0"/>
        <w:spacing w:line="360" w:lineRule="auto"/>
        <w:ind w:firstLine="420" w:firstLineChars="200"/>
        <w:jc w:val="left"/>
        <w:rPr>
          <w:rFonts w:ascii="宋体" w:hAnsi="宋体"/>
          <w:szCs w:val="21"/>
        </w:rPr>
      </w:pPr>
      <w:r>
        <w:rPr>
          <w:rFonts w:hint="eastAsia" w:ascii="宋体" w:hAnsi="宋体"/>
          <w:szCs w:val="21"/>
        </w:rPr>
        <w:t>2、投标文件的份数：</w:t>
      </w:r>
    </w:p>
    <w:p>
      <w:pPr>
        <w:wordWrap w:val="0"/>
        <w:spacing w:line="360" w:lineRule="auto"/>
        <w:ind w:firstLine="420" w:firstLineChars="200"/>
        <w:jc w:val="left"/>
        <w:rPr>
          <w:rFonts w:ascii="宋体" w:hAnsi="宋体"/>
          <w:szCs w:val="21"/>
        </w:rPr>
      </w:pPr>
      <w:r>
        <w:rPr>
          <w:rFonts w:hint="eastAsia" w:ascii="宋体" w:hAnsi="宋体"/>
          <w:szCs w:val="21"/>
        </w:rPr>
        <w:t>本项目实行网上投标，供应商应准备以下投标文件：</w:t>
      </w:r>
    </w:p>
    <w:p>
      <w:pPr>
        <w:wordWrap w:val="0"/>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kern w:val="0"/>
          <w:szCs w:val="21"/>
        </w:rPr>
        <w:t>上传到政府采购云平台的电子投标文件（含</w:t>
      </w:r>
      <w:r>
        <w:rPr>
          <w:rFonts w:hint="eastAsia" w:ascii="宋体" w:hAnsi="宋体"/>
          <w:szCs w:val="21"/>
        </w:rPr>
        <w:t>资格文件、商务和技术文件、报价文件）</w:t>
      </w:r>
      <w:r>
        <w:rPr>
          <w:rFonts w:hint="eastAsia" w:ascii="宋体" w:hAnsi="宋体"/>
          <w:kern w:val="0"/>
          <w:szCs w:val="21"/>
        </w:rPr>
        <w:t>1份</w:t>
      </w:r>
      <w:r>
        <w:rPr>
          <w:rFonts w:hint="eastAsia" w:ascii="宋体" w:hAnsi="宋体"/>
          <w:szCs w:val="21"/>
        </w:rPr>
        <w:t>。</w:t>
      </w:r>
    </w:p>
    <w:p>
      <w:pPr>
        <w:wordWrap w:val="0"/>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kern w:val="0"/>
          <w:szCs w:val="21"/>
        </w:rPr>
        <w:t>以U盘或光盘存储的电子备份投标文件（含</w:t>
      </w:r>
      <w:r>
        <w:rPr>
          <w:rFonts w:hint="eastAsia" w:ascii="宋体" w:hAnsi="宋体"/>
          <w:szCs w:val="21"/>
        </w:rPr>
        <w:t>资格文件、商务和技术文件、报价文件）</w:t>
      </w:r>
      <w:r>
        <w:rPr>
          <w:rFonts w:hint="eastAsia" w:ascii="宋体" w:hAnsi="宋体"/>
          <w:kern w:val="0"/>
          <w:szCs w:val="21"/>
        </w:rPr>
        <w:t>1份</w:t>
      </w:r>
      <w:r>
        <w:rPr>
          <w:rFonts w:hint="eastAsia" w:ascii="宋体" w:hAnsi="宋体"/>
          <w:szCs w:val="21"/>
        </w:rPr>
        <w:t>。</w:t>
      </w:r>
    </w:p>
    <w:p>
      <w:pPr>
        <w:wordWrap w:val="0"/>
        <w:spacing w:line="360" w:lineRule="auto"/>
        <w:ind w:firstLine="420" w:firstLineChars="200"/>
        <w:jc w:val="left"/>
        <w:rPr>
          <w:rFonts w:ascii="宋体" w:hAnsi="宋体"/>
          <w:szCs w:val="21"/>
        </w:rPr>
      </w:pPr>
      <w:r>
        <w:rPr>
          <w:rFonts w:hint="eastAsia" w:ascii="宋体" w:hAnsi="宋体"/>
          <w:szCs w:val="21"/>
        </w:rPr>
        <w:t>（3）纸质备份投标文件（含资格文件、商务和技术文件、报价文件）1份（不做强制要求）。</w:t>
      </w:r>
    </w:p>
    <w:p>
      <w:pPr>
        <w:wordWrap w:val="0"/>
        <w:spacing w:line="360" w:lineRule="auto"/>
        <w:ind w:firstLine="420" w:firstLineChars="200"/>
        <w:jc w:val="left"/>
        <w:rPr>
          <w:rFonts w:ascii="宋体" w:hAnsi="宋体"/>
          <w:szCs w:val="21"/>
        </w:rPr>
      </w:pPr>
      <w:r>
        <w:rPr>
          <w:rFonts w:ascii="宋体" w:hAnsi="宋体"/>
          <w:szCs w:val="21"/>
        </w:rPr>
        <w:t>▲</w:t>
      </w:r>
      <w:r>
        <w:rPr>
          <w:rFonts w:hint="eastAsia" w:ascii="宋体" w:hAnsi="宋体"/>
          <w:b/>
          <w:bCs/>
          <w:szCs w:val="21"/>
        </w:rPr>
        <w:t>九、投标文件的签署盖章</w:t>
      </w:r>
    </w:p>
    <w:p>
      <w:pPr>
        <w:wordWrap w:val="0"/>
        <w:spacing w:line="360" w:lineRule="auto"/>
        <w:ind w:firstLine="420" w:firstLineChars="200"/>
        <w:jc w:val="left"/>
        <w:rPr>
          <w:rFonts w:ascii="宋体" w:hAnsi="宋体"/>
          <w:szCs w:val="21"/>
        </w:rPr>
      </w:pPr>
      <w:r>
        <w:rPr>
          <w:rFonts w:hint="eastAsia" w:ascii="宋体" w:hAnsi="宋体"/>
          <w:szCs w:val="21"/>
        </w:rPr>
        <w:t>1、采购文件第七章“附件”中标明加盖公章或签字的，加盖公章部分采用CA签章，签字部分由法定代表人或授权代表签字后扫描上传。授权代表签字的，还应附法定代表人签署的法定代表人授权书。</w:t>
      </w:r>
    </w:p>
    <w:p>
      <w:pPr>
        <w:wordWrap w:val="0"/>
        <w:spacing w:line="360" w:lineRule="auto"/>
        <w:ind w:firstLine="420" w:firstLineChars="200"/>
        <w:jc w:val="left"/>
        <w:rPr>
          <w:rFonts w:ascii="宋体" w:hAnsi="宋体"/>
          <w:szCs w:val="21"/>
        </w:rPr>
      </w:pPr>
      <w:r>
        <w:rPr>
          <w:rFonts w:hint="eastAsia" w:ascii="宋体" w:hAnsi="宋体"/>
          <w:szCs w:val="21"/>
        </w:rPr>
        <w:t>2、纸质备份投标文件需打印或用不褪色的墨水填写。采购文件第七章“附件”中标明加盖公章或签字的，纸质备份投标文件须加盖供应商公章或其法定代表人（或授权代表）签字。授权代表签字的，纸质备份投标文件应附法定代表人签署的法定代表人授权书。纸质备份投标文件应尽量避免涂改、行间插字或删除。如果出现上述情况，改动之处应加盖供应商公章或由其法定代表人（或授权代表）签字确认。</w:t>
      </w:r>
    </w:p>
    <w:p>
      <w:pPr>
        <w:wordWrap w:val="0"/>
        <w:spacing w:line="360" w:lineRule="auto"/>
        <w:ind w:firstLine="422" w:firstLineChars="200"/>
        <w:jc w:val="left"/>
        <w:rPr>
          <w:rFonts w:ascii="宋体" w:hAnsi="宋体"/>
          <w:b/>
          <w:szCs w:val="21"/>
        </w:rPr>
      </w:pPr>
      <w:r>
        <w:rPr>
          <w:rFonts w:hint="eastAsia" w:ascii="宋体" w:hAnsi="宋体"/>
          <w:b/>
          <w:szCs w:val="21"/>
        </w:rPr>
        <w:t>十、投标文件的密封和标记</w:t>
      </w:r>
    </w:p>
    <w:p>
      <w:pPr>
        <w:wordWrap w:val="0"/>
        <w:spacing w:line="360" w:lineRule="auto"/>
        <w:ind w:firstLine="420" w:firstLineChars="200"/>
        <w:jc w:val="left"/>
        <w:rPr>
          <w:rFonts w:ascii="宋体" w:hAnsi="宋体"/>
          <w:szCs w:val="21"/>
        </w:rPr>
      </w:pPr>
      <w:r>
        <w:rPr>
          <w:rFonts w:hint="eastAsia" w:ascii="宋体" w:hAnsi="宋体"/>
          <w:szCs w:val="21"/>
        </w:rPr>
        <w:t>1、电子投标文件：供应商应根据“项目采购-电子招投标操作指南”及本采购文件规定的格式和顺序编制电子投标文件并进行关联定位。</w:t>
      </w:r>
    </w:p>
    <w:p>
      <w:pPr>
        <w:wordWrap w:val="0"/>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kern w:val="0"/>
          <w:szCs w:val="21"/>
        </w:rPr>
        <w:t>以U盘或光盘存储的电子备份投标文件</w:t>
      </w:r>
      <w:r>
        <w:rPr>
          <w:rFonts w:hint="eastAsia" w:ascii="宋体" w:hAnsi="宋体"/>
          <w:b/>
          <w:szCs w:val="21"/>
        </w:rPr>
        <w:t>用封袋密封后递交。</w:t>
      </w:r>
    </w:p>
    <w:p>
      <w:pPr>
        <w:wordWrap w:val="0"/>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kern w:val="0"/>
          <w:szCs w:val="21"/>
        </w:rPr>
        <w:t>纸质备份投标文件（不做强制要求）：</w:t>
      </w:r>
      <w:r>
        <w:rPr>
          <w:rFonts w:hint="eastAsia" w:ascii="宋体" w:hAnsi="宋体"/>
          <w:szCs w:val="21"/>
        </w:rPr>
        <w:t>“资格文件正本1份”、“商务和技术文件正本1份”、“报价文件正本1份”</w:t>
      </w:r>
      <w:r>
        <w:rPr>
          <w:rFonts w:hint="eastAsia" w:ascii="宋体" w:hAnsi="宋体"/>
          <w:b/>
          <w:szCs w:val="21"/>
        </w:rPr>
        <w:t>用封袋密封后递交</w:t>
      </w:r>
      <w:r>
        <w:rPr>
          <w:rFonts w:hint="eastAsia" w:ascii="宋体" w:hAnsi="宋体"/>
          <w:szCs w:val="21"/>
        </w:rPr>
        <w:t>。</w:t>
      </w:r>
    </w:p>
    <w:p>
      <w:pPr>
        <w:wordWrap w:val="0"/>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kern w:val="0"/>
          <w:szCs w:val="21"/>
        </w:rPr>
        <w:t>电子备份投标文件、纸质备份投标文件须在</w:t>
      </w:r>
      <w:r>
        <w:rPr>
          <w:rFonts w:hint="eastAsia" w:ascii="宋体" w:hAnsi="宋体"/>
          <w:szCs w:val="21"/>
        </w:rPr>
        <w:t>封袋上分别注明：</w:t>
      </w:r>
    </w:p>
    <w:p>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“电子备份投标文件”、“纸质备份投标文件”            </w:t>
      </w:r>
      <w:r>
        <w:rPr>
          <w:rFonts w:hint="eastAsia" w:ascii="宋体" w:hAnsi="宋体"/>
          <w:szCs w:val="21"/>
        </w:rPr>
        <w:t>；</w:t>
      </w:r>
    </w:p>
    <w:p>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ZJZC-233184</w:t>
      </w:r>
      <w:r>
        <w:rPr>
          <w:rFonts w:ascii="宋体" w:hAnsi="宋体"/>
          <w:szCs w:val="21"/>
          <w:u w:val="single"/>
        </w:rPr>
        <w:t xml:space="preserve">                 </w:t>
      </w:r>
      <w:r>
        <w:rPr>
          <w:rFonts w:hint="eastAsia" w:ascii="宋体" w:hAnsi="宋体"/>
          <w:szCs w:val="21"/>
        </w:rPr>
        <w:t>；</w:t>
      </w:r>
    </w:p>
    <w:p>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宁波职业技术学院绿色智能供配电实训基地建设项目</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rPr>
        <w:t>；</w:t>
      </w:r>
    </w:p>
    <w:p>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pPr>
        <w:wordWrap w:val="0"/>
        <w:spacing w:line="360" w:lineRule="auto"/>
        <w:ind w:firstLine="420" w:firstLineChars="200"/>
        <w:jc w:val="left"/>
        <w:rPr>
          <w:rFonts w:ascii="宋体" w:hAnsi="宋体"/>
          <w:szCs w:val="21"/>
        </w:rPr>
      </w:pPr>
      <w:r>
        <w:rPr>
          <w:rFonts w:hint="eastAsia" w:ascii="宋体" w:hAnsi="宋体"/>
          <w:szCs w:val="21"/>
        </w:rPr>
        <w:t>供应商须在包封上加盖供应商公章或由其法定代表人（或授权代表）签字。</w:t>
      </w:r>
    </w:p>
    <w:p>
      <w:pPr>
        <w:wordWrap w:val="0"/>
        <w:spacing w:line="360" w:lineRule="auto"/>
        <w:ind w:firstLine="420" w:firstLineChars="200"/>
        <w:jc w:val="left"/>
        <w:rPr>
          <w:rFonts w:ascii="宋体" w:hAnsi="宋体"/>
          <w:szCs w:val="21"/>
        </w:rPr>
      </w:pPr>
      <w:r>
        <w:rPr>
          <w:rFonts w:hint="eastAsia" w:ascii="宋体" w:hAnsi="宋体"/>
          <w:szCs w:val="21"/>
        </w:rPr>
        <w:t>供应商未按上述要求标记的，采购人（代理机构）不承担错放或提前开封的责任。</w:t>
      </w:r>
    </w:p>
    <w:p>
      <w:pPr>
        <w:wordWrap w:val="0"/>
        <w:spacing w:line="360" w:lineRule="auto"/>
        <w:ind w:firstLine="422" w:firstLineChars="200"/>
        <w:jc w:val="left"/>
        <w:rPr>
          <w:rFonts w:ascii="宋体" w:hAnsi="宋体"/>
          <w:b/>
          <w:szCs w:val="21"/>
        </w:rPr>
      </w:pPr>
      <w:r>
        <w:rPr>
          <w:rFonts w:hint="eastAsia" w:ascii="宋体" w:hAnsi="宋体"/>
          <w:b/>
          <w:szCs w:val="21"/>
        </w:rPr>
        <w:t>十一、投标文件的递交</w:t>
      </w:r>
    </w:p>
    <w:p>
      <w:pPr>
        <w:wordWrap w:val="0"/>
        <w:spacing w:line="360" w:lineRule="auto"/>
        <w:ind w:firstLine="420" w:firstLineChars="200"/>
        <w:jc w:val="left"/>
        <w:rPr>
          <w:rFonts w:ascii="宋体" w:hAnsi="宋体"/>
          <w:szCs w:val="21"/>
        </w:rPr>
      </w:pPr>
      <w:r>
        <w:rPr>
          <w:rFonts w:hint="eastAsia" w:ascii="宋体" w:hAnsi="宋体"/>
          <w:szCs w:val="21"/>
        </w:rPr>
        <w:t>1、投标文件递交的具体要求详见采购公告。</w:t>
      </w:r>
    </w:p>
    <w:p>
      <w:pPr>
        <w:wordWrap w:val="0"/>
        <w:spacing w:line="360" w:lineRule="auto"/>
        <w:ind w:firstLine="420" w:firstLineChars="200"/>
        <w:jc w:val="left"/>
        <w:rPr>
          <w:rFonts w:ascii="宋体" w:hAnsi="宋体"/>
          <w:szCs w:val="21"/>
        </w:rPr>
      </w:pPr>
      <w:r>
        <w:rPr>
          <w:rFonts w:hint="eastAsia" w:ascii="宋体" w:hAnsi="宋体"/>
          <w:szCs w:val="21"/>
        </w:rPr>
        <w:t>“电子备份投标文件”、“纸质备份投标文件（不做强制要求）”提交截止时间及投标地点详见采购公告。</w:t>
      </w:r>
    </w:p>
    <w:p>
      <w:pPr>
        <w:wordWrap w:val="0"/>
        <w:spacing w:line="360" w:lineRule="auto"/>
        <w:ind w:firstLine="420" w:firstLineChars="200"/>
        <w:jc w:val="left"/>
        <w:rPr>
          <w:rFonts w:ascii="宋体" w:hAnsi="宋体"/>
          <w:szCs w:val="21"/>
        </w:rPr>
      </w:pPr>
      <w:r>
        <w:rPr>
          <w:rFonts w:hint="eastAsia" w:ascii="宋体" w:hAnsi="宋体"/>
          <w:szCs w:val="21"/>
        </w:rPr>
        <w:t>2、供应商未按上述要求密封的电子备份投标文件，代理机构不予受理。</w:t>
      </w:r>
    </w:p>
    <w:p>
      <w:pPr>
        <w:wordWrap w:val="0"/>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pPr>
        <w:wordWrap w:val="0"/>
        <w:spacing w:line="360" w:lineRule="auto"/>
        <w:ind w:firstLine="420" w:firstLineChars="200"/>
        <w:jc w:val="left"/>
        <w:rPr>
          <w:rFonts w:ascii="宋体" w:hAnsi="宋体"/>
          <w:szCs w:val="21"/>
        </w:rPr>
      </w:pPr>
      <w:r>
        <w:rPr>
          <w:rFonts w:hint="eastAsia" w:ascii="宋体" w:hAnsi="宋体"/>
          <w:szCs w:val="21"/>
        </w:rPr>
        <w:t>4、投标文件的补充、修改</w:t>
      </w:r>
    </w:p>
    <w:p>
      <w:pPr>
        <w:wordWrap w:val="0"/>
        <w:spacing w:line="360" w:lineRule="auto"/>
        <w:ind w:firstLine="420" w:firstLineChars="200"/>
        <w:rPr>
          <w:rFonts w:ascii="宋体" w:hAnsi="宋体"/>
          <w:szCs w:val="21"/>
        </w:rPr>
      </w:pPr>
      <w:r>
        <w:rPr>
          <w:rFonts w:hint="eastAsia" w:ascii="宋体" w:hAnsi="宋体"/>
          <w:szCs w:val="21"/>
        </w:rPr>
        <w:t>投标截止时间前，供应商可以对递交的投标文件进行补充、修改，</w:t>
      </w:r>
      <w:r>
        <w:rPr>
          <w:rFonts w:hint="eastAsia" w:ascii="宋体" w:hAnsi="宋体"/>
          <w:szCs w:val="21"/>
          <w:lang w:val="en"/>
        </w:rPr>
        <w:t>补充、修改</w:t>
      </w:r>
      <w:r>
        <w:rPr>
          <w:rFonts w:hint="eastAsia" w:ascii="宋体" w:hAnsi="宋体"/>
          <w:szCs w:val="21"/>
        </w:rPr>
        <w:t>电子投标文件</w:t>
      </w:r>
      <w:r>
        <w:rPr>
          <w:rFonts w:hint="eastAsia" w:ascii="宋体" w:hAnsi="宋体"/>
          <w:szCs w:val="21"/>
          <w:lang w:val="en"/>
        </w:rPr>
        <w:t>的，应当先行撤回原文件，补充、修改后重新上传，电子备份投标文件也应重新制作。修改后的</w:t>
      </w:r>
      <w:r>
        <w:rPr>
          <w:rFonts w:hint="eastAsia" w:ascii="宋体" w:hAnsi="宋体"/>
          <w:szCs w:val="21"/>
        </w:rPr>
        <w:t>纸质备份投标文件应当按本采购文件的要求签署、盖章和密封。在投标截止时间之后，供应商不得对其投标文件进行补充、修改。投标截止时间之后供应商要求撤销投标文件的，应向采购人提交正式文件。</w:t>
      </w:r>
    </w:p>
    <w:p>
      <w:pPr>
        <w:wordWrap w:val="0"/>
        <w:spacing w:line="360" w:lineRule="auto"/>
        <w:ind w:firstLine="422" w:firstLineChars="200"/>
        <w:jc w:val="left"/>
        <w:rPr>
          <w:rFonts w:ascii="宋体" w:hAnsi="宋体"/>
          <w:b/>
          <w:szCs w:val="21"/>
        </w:rPr>
      </w:pPr>
      <w:r>
        <w:rPr>
          <w:rFonts w:hint="eastAsia" w:ascii="宋体" w:hAnsi="宋体"/>
          <w:b/>
          <w:szCs w:val="21"/>
        </w:rPr>
        <w:t>十二、开标</w:t>
      </w:r>
    </w:p>
    <w:p>
      <w:pPr>
        <w:wordWrap w:val="0"/>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wordWrap w:val="0"/>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、电子投标开标及评审程序：</w:t>
      </w:r>
    </w:p>
    <w:p>
      <w:pPr>
        <w:wordWrap w:val="0"/>
        <w:spacing w:line="360" w:lineRule="auto"/>
        <w:ind w:firstLine="420" w:firstLineChars="200"/>
        <w:jc w:val="left"/>
        <w:rPr>
          <w:rFonts w:ascii="宋体" w:hAnsi="宋体"/>
          <w:szCs w:val="21"/>
        </w:rPr>
      </w:pPr>
      <w:r>
        <w:rPr>
          <w:rFonts w:hint="eastAsia" w:ascii="宋体" w:hAnsi="宋体"/>
          <w:szCs w:val="21"/>
        </w:rPr>
        <w:t xml:space="preserve">第一阶段： </w:t>
      </w:r>
    </w:p>
    <w:p>
      <w:pPr>
        <w:wordWrap w:val="0"/>
        <w:spacing w:line="360" w:lineRule="auto"/>
        <w:ind w:firstLine="420" w:firstLineChars="200"/>
        <w:jc w:val="left"/>
        <w:rPr>
          <w:rFonts w:ascii="宋体" w:hAnsi="宋体"/>
          <w:szCs w:val="21"/>
        </w:rPr>
      </w:pPr>
      <w:r>
        <w:rPr>
          <w:rFonts w:ascii="宋体" w:hAnsi="宋体"/>
          <w:szCs w:val="21"/>
        </w:rPr>
        <w:t xml:space="preserve">（1）投标截止时间后，供应商登录政府采购云平台，用“项目采购-开标评标”功能对电子 </w:t>
      </w:r>
    </w:p>
    <w:p>
      <w:pPr>
        <w:wordWrap w:val="0"/>
        <w:spacing w:line="360" w:lineRule="auto"/>
        <w:ind w:firstLine="420" w:firstLineChars="200"/>
        <w:jc w:val="left"/>
        <w:rPr>
          <w:rFonts w:ascii="宋体" w:hAnsi="宋体"/>
          <w:szCs w:val="21"/>
        </w:rPr>
      </w:pPr>
      <w:r>
        <w:rPr>
          <w:rFonts w:ascii="宋体" w:hAnsi="宋体"/>
          <w:szCs w:val="21"/>
        </w:rPr>
        <w:t xml:space="preserve">投标文件进行在线解密，在线解密电子投标文件时间为开标时间后 30 分钟内。 </w:t>
      </w:r>
    </w:p>
    <w:p>
      <w:pPr>
        <w:wordWrap w:val="0"/>
        <w:spacing w:line="360" w:lineRule="auto"/>
        <w:ind w:firstLine="420" w:firstLineChars="200"/>
        <w:jc w:val="left"/>
        <w:rPr>
          <w:rFonts w:ascii="宋体" w:hAnsi="宋体"/>
          <w:szCs w:val="21"/>
        </w:rPr>
      </w:pPr>
      <w:r>
        <w:rPr>
          <w:rFonts w:ascii="宋体" w:hAnsi="宋体"/>
          <w:szCs w:val="21"/>
        </w:rPr>
        <w:t xml:space="preserve">（2）在政府采购云平台开启已解密供应商的“资信技术文件”，并做开标记录； </w:t>
      </w:r>
    </w:p>
    <w:p>
      <w:pPr>
        <w:wordWrap w:val="0"/>
        <w:spacing w:line="360" w:lineRule="auto"/>
        <w:ind w:firstLine="420" w:firstLineChars="200"/>
        <w:jc w:val="left"/>
        <w:rPr>
          <w:rFonts w:ascii="宋体" w:hAnsi="宋体"/>
          <w:szCs w:val="21"/>
        </w:rPr>
      </w:pPr>
      <w:r>
        <w:rPr>
          <w:rFonts w:ascii="宋体" w:hAnsi="宋体"/>
          <w:szCs w:val="21"/>
        </w:rPr>
        <w:t xml:space="preserve">第二阶段： </w:t>
      </w:r>
    </w:p>
    <w:p>
      <w:pPr>
        <w:wordWrap w:val="0"/>
        <w:spacing w:line="360" w:lineRule="auto"/>
        <w:ind w:firstLine="420" w:firstLineChars="200"/>
        <w:jc w:val="left"/>
        <w:rPr>
          <w:rFonts w:ascii="宋体" w:hAnsi="宋体"/>
          <w:szCs w:val="21"/>
        </w:rPr>
      </w:pPr>
      <w:r>
        <w:rPr>
          <w:rFonts w:ascii="宋体" w:hAnsi="宋体"/>
          <w:szCs w:val="21"/>
        </w:rPr>
        <w:t xml:space="preserve">（1）在政府采购云平台宣告第一阶段评审无效供应商名单及理由； </w:t>
      </w:r>
    </w:p>
    <w:p>
      <w:pPr>
        <w:wordWrap w:val="0"/>
        <w:spacing w:line="360" w:lineRule="auto"/>
        <w:ind w:firstLine="420" w:firstLineChars="200"/>
        <w:jc w:val="left"/>
        <w:rPr>
          <w:rFonts w:ascii="宋体" w:hAnsi="宋体"/>
          <w:szCs w:val="21"/>
        </w:rPr>
      </w:pPr>
      <w:r>
        <w:rPr>
          <w:rFonts w:ascii="宋体" w:hAnsi="宋体"/>
          <w:szCs w:val="21"/>
        </w:rPr>
        <w:t xml:space="preserve">（2）公布经第一阶段评审符合采购文件要求的供应商的资信技术得分情况； </w:t>
      </w:r>
    </w:p>
    <w:p>
      <w:pPr>
        <w:wordWrap w:val="0"/>
        <w:spacing w:line="360" w:lineRule="auto"/>
        <w:ind w:firstLine="420" w:firstLineChars="200"/>
        <w:jc w:val="left"/>
        <w:rPr>
          <w:rFonts w:ascii="宋体" w:hAnsi="宋体"/>
          <w:szCs w:val="21"/>
        </w:rPr>
      </w:pPr>
      <w:r>
        <w:rPr>
          <w:rFonts w:ascii="宋体" w:hAnsi="宋体"/>
          <w:szCs w:val="21"/>
        </w:rPr>
        <w:t xml:space="preserve">（3）在政府采购云平台开启除第一阶段无效标外的供应商的“报价文件”，并做开标记录； </w:t>
      </w:r>
    </w:p>
    <w:p>
      <w:pPr>
        <w:wordWrap w:val="0"/>
        <w:spacing w:line="360" w:lineRule="auto"/>
        <w:ind w:firstLine="420" w:firstLineChars="200"/>
        <w:jc w:val="left"/>
        <w:rPr>
          <w:rFonts w:ascii="宋体" w:hAnsi="宋体"/>
          <w:szCs w:val="21"/>
        </w:rPr>
      </w:pPr>
      <w:r>
        <w:rPr>
          <w:rFonts w:ascii="宋体" w:hAnsi="宋体"/>
          <w:szCs w:val="21"/>
        </w:rPr>
        <w:t xml:space="preserve">（4）在政府采购云平台公布评审结果。 </w:t>
      </w:r>
    </w:p>
    <w:p>
      <w:pPr>
        <w:wordWrap w:val="0"/>
        <w:spacing w:line="360" w:lineRule="auto"/>
        <w:ind w:firstLine="420" w:firstLineChars="200"/>
        <w:jc w:val="left"/>
        <w:rPr>
          <w:rFonts w:ascii="宋体" w:hAnsi="宋体"/>
          <w:szCs w:val="21"/>
        </w:rPr>
      </w:pPr>
      <w:r>
        <w:rPr>
          <w:rFonts w:ascii="宋体" w:hAnsi="宋体"/>
          <w:szCs w:val="21"/>
        </w:rPr>
        <w:t>（5）开标会议结束。</w:t>
      </w:r>
    </w:p>
    <w:p>
      <w:pPr>
        <w:wordWrap w:val="0"/>
        <w:spacing w:line="360" w:lineRule="auto"/>
        <w:ind w:firstLine="420" w:firstLineChars="200"/>
        <w:jc w:val="left"/>
        <w:rPr>
          <w:rFonts w:ascii="宋体" w:hAnsi="宋体"/>
          <w:szCs w:val="21"/>
        </w:rPr>
      </w:pPr>
      <w:r>
        <w:rPr>
          <w:rFonts w:hint="eastAsia" w:ascii="宋体" w:hAnsi="宋体"/>
          <w:szCs w:val="21"/>
        </w:rPr>
        <w:t>3、特别说明：</w:t>
      </w:r>
      <w:r>
        <w:rPr>
          <w:rFonts w:hint="eastAsia" w:ascii="宋体" w:hAnsi="宋体"/>
          <w:kern w:val="0"/>
          <w:szCs w:val="21"/>
        </w:rPr>
        <w:t>政府采购云平台</w:t>
      </w:r>
      <w:r>
        <w:rPr>
          <w:rFonts w:hint="eastAsia" w:ascii="宋体" w:hAnsi="宋体"/>
          <w:szCs w:val="21"/>
        </w:rPr>
        <w:t>如对电子化开标及评审程序有调整的，按调整后的程序操作。</w:t>
      </w:r>
    </w:p>
    <w:p>
      <w:pPr>
        <w:wordWrap w:val="0"/>
        <w:spacing w:line="360" w:lineRule="auto"/>
        <w:ind w:firstLine="420" w:firstLineChars="200"/>
        <w:jc w:val="left"/>
        <w:rPr>
          <w:rFonts w:ascii="宋体" w:hAnsi="宋体"/>
          <w:szCs w:val="21"/>
        </w:rPr>
      </w:pPr>
      <w:r>
        <w:rPr>
          <w:rFonts w:hint="eastAsia" w:ascii="宋体" w:hAnsi="宋体"/>
          <w:szCs w:val="21"/>
        </w:rPr>
        <w:t>本项目原则上采用政采云电子投标开标及评审程序，但有下情形之一的，按以下情况处理：</w:t>
      </w:r>
    </w:p>
    <w:p>
      <w:pPr>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）若供应商在规定时间内无法解密或解密失败，代理机构将开启上述供应商递交的</w:t>
      </w:r>
      <w:r>
        <w:rPr>
          <w:rFonts w:hint="eastAsia" w:ascii="宋体" w:hAnsi="宋体"/>
          <w:kern w:val="0"/>
          <w:szCs w:val="21"/>
        </w:rPr>
        <w:t>以U盘或光盘存储的电子备份投标文件</w:t>
      </w:r>
      <w:r>
        <w:rPr>
          <w:rFonts w:hint="eastAsia" w:ascii="宋体" w:hAnsi="宋体"/>
          <w:szCs w:val="21"/>
        </w:rPr>
        <w:t>，上传至政采云平台项目采购模块，以完成开标，电子投标文件自动失效。</w:t>
      </w:r>
    </w:p>
    <w:p>
      <w:pPr>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）若因</w:t>
      </w:r>
      <w:r>
        <w:rPr>
          <w:rFonts w:hint="eastAsia" w:ascii="宋体" w:hAnsi="宋体"/>
          <w:kern w:val="0"/>
          <w:szCs w:val="21"/>
        </w:rPr>
        <w:t>政府采购云平台</w:t>
      </w:r>
      <w:r>
        <w:rPr>
          <w:rFonts w:hint="eastAsia" w:ascii="宋体" w:hAnsi="宋体"/>
          <w:szCs w:val="21"/>
        </w:rPr>
        <w:t>原因无法读取或电子开评标无法正常进行，代理机构将开启所有供应商递交的纸质备份投标文件，以完成开标，电子投标文件及</w:t>
      </w:r>
      <w:r>
        <w:rPr>
          <w:rFonts w:hint="eastAsia" w:ascii="宋体" w:hAnsi="宋体"/>
          <w:kern w:val="0"/>
          <w:szCs w:val="21"/>
        </w:rPr>
        <w:t>以U盘或光盘存储的电子备份投标文件</w:t>
      </w:r>
      <w:r>
        <w:rPr>
          <w:rFonts w:hint="eastAsia" w:ascii="宋体" w:hAnsi="宋体"/>
          <w:szCs w:val="21"/>
        </w:rPr>
        <w:t>自动失效。</w:t>
      </w:r>
    </w:p>
    <w:p>
      <w:pPr>
        <w:wordWrap w:val="0"/>
        <w:spacing w:line="360" w:lineRule="auto"/>
        <w:ind w:firstLine="420" w:firstLineChars="200"/>
        <w:jc w:val="left"/>
        <w:rPr>
          <w:rFonts w:ascii="宋体" w:hAnsi="宋体"/>
          <w:szCs w:val="21"/>
        </w:rPr>
      </w:pPr>
      <w:r>
        <w:rPr>
          <w:rFonts w:hint="eastAsia" w:ascii="宋体" w:hAnsi="宋体"/>
          <w:szCs w:val="21"/>
        </w:rPr>
        <w:t>（3）采购过程中出现以下情形，导致电子交易平台无法正常运行，或者无法保证电子交易的公平、公正和安全时，采购人（或代理机构）可中止电子交易活动：</w:t>
      </w:r>
    </w:p>
    <w:p>
      <w:pPr>
        <w:wordWrap w:val="0"/>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电子交易平台发生故障而无法登录访问的；</w:t>
      </w:r>
    </w:p>
    <w:p>
      <w:pPr>
        <w:wordWrap w:val="0"/>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电子交易平台应用或数据库出现错误，不能进行正常操作的；</w:t>
      </w:r>
    </w:p>
    <w:p>
      <w:pPr>
        <w:wordWrap w:val="0"/>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电子交易平台发现严重安全漏洞，有潜在泄密危险的；</w:t>
      </w:r>
    </w:p>
    <w:p>
      <w:pPr>
        <w:wordWrap w:val="0"/>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 xml:space="preserve">病毒发作导致不能进行正常操作的； </w:t>
      </w:r>
    </w:p>
    <w:p>
      <w:pPr>
        <w:wordWrap w:val="0"/>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其他无法保证电子交易的公平、公正和安全的情况。</w:t>
      </w:r>
    </w:p>
    <w:p>
      <w:pPr>
        <w:wordWrap w:val="0"/>
        <w:spacing w:line="360" w:lineRule="auto"/>
        <w:ind w:firstLine="420" w:firstLineChars="200"/>
        <w:jc w:val="left"/>
        <w:rPr>
          <w:rFonts w:ascii="宋体" w:hAnsi="宋体"/>
          <w:szCs w:val="21"/>
        </w:rPr>
      </w:pPr>
      <w:r>
        <w:rPr>
          <w:rFonts w:hint="eastAsia" w:ascii="宋体" w:hAnsi="宋体"/>
          <w:szCs w:val="21"/>
        </w:rPr>
        <w:t>出现前款规定情形，不影响采购公平、公正性的，采购人（或代理机构）可以待上述情形消除后继续组织电子交易活动，也可以决定某些环节以纸质形式进行。</w:t>
      </w:r>
    </w:p>
    <w:p>
      <w:pPr>
        <w:wordWrap w:val="0"/>
        <w:spacing w:line="360" w:lineRule="auto"/>
        <w:ind w:firstLine="422" w:firstLineChars="200"/>
        <w:jc w:val="left"/>
        <w:rPr>
          <w:rFonts w:ascii="宋体" w:hAnsi="宋体"/>
          <w:b/>
          <w:szCs w:val="21"/>
        </w:rPr>
      </w:pPr>
      <w:r>
        <w:rPr>
          <w:rFonts w:hint="eastAsia" w:ascii="宋体" w:hAnsi="宋体"/>
          <w:b/>
          <w:szCs w:val="21"/>
        </w:rPr>
        <w:t>十三、评标</w:t>
      </w:r>
    </w:p>
    <w:p>
      <w:pPr>
        <w:wordWrap w:val="0"/>
        <w:spacing w:line="360" w:lineRule="auto"/>
        <w:ind w:firstLine="422" w:firstLineChars="200"/>
        <w:jc w:val="left"/>
        <w:rPr>
          <w:rFonts w:ascii="宋体" w:hAnsi="宋体"/>
          <w:b/>
          <w:szCs w:val="21"/>
        </w:rPr>
      </w:pPr>
      <w:bookmarkStart w:id="17" w:name="_Toc17884841"/>
      <w:bookmarkEnd w:id="17"/>
      <w:bookmarkStart w:id="18" w:name="_Toc460857925"/>
      <w:bookmarkEnd w:id="18"/>
      <w:r>
        <w:rPr>
          <w:rFonts w:hint="eastAsia" w:ascii="宋体" w:hAnsi="宋体"/>
          <w:b/>
          <w:szCs w:val="21"/>
        </w:rPr>
        <w:t>（一）组建评标委员会</w:t>
      </w:r>
    </w:p>
    <w:p>
      <w:pPr>
        <w:pStyle w:val="52"/>
        <w:snapToGrid w:val="0"/>
        <w:spacing w:before="0" w:beforeAutospacing="0" w:after="0" w:afterAutospacing="0" w:line="360" w:lineRule="auto"/>
        <w:ind w:firstLine="420" w:firstLineChars="200"/>
        <w:rPr>
          <w:rFonts w:hAnsi="宋体"/>
          <w:sz w:val="21"/>
          <w:szCs w:val="21"/>
        </w:rPr>
      </w:pPr>
      <w:r>
        <w:rPr>
          <w:rFonts w:hint="eastAsia" w:hAnsi="宋体"/>
          <w:sz w:val="21"/>
          <w:szCs w:val="21"/>
        </w:rPr>
        <w:t>本项目评标委员会依法组建。</w:t>
      </w:r>
    </w:p>
    <w:p>
      <w:pPr>
        <w:wordWrap w:val="0"/>
        <w:spacing w:line="360" w:lineRule="auto"/>
        <w:ind w:firstLine="422" w:firstLineChars="200"/>
        <w:jc w:val="left"/>
        <w:rPr>
          <w:rFonts w:ascii="宋体" w:hAnsi="宋体"/>
          <w:b/>
          <w:szCs w:val="21"/>
        </w:rPr>
      </w:pPr>
      <w:bookmarkStart w:id="19" w:name="_Toc17884842"/>
      <w:bookmarkEnd w:id="19"/>
      <w:bookmarkStart w:id="20" w:name="_Toc460857926"/>
      <w:bookmarkEnd w:id="20"/>
      <w:r>
        <w:rPr>
          <w:rFonts w:hint="eastAsia" w:ascii="宋体" w:hAnsi="宋体"/>
          <w:b/>
          <w:szCs w:val="21"/>
        </w:rPr>
        <w:t>（二）评标的方式</w:t>
      </w:r>
    </w:p>
    <w:p>
      <w:pPr>
        <w:pStyle w:val="52"/>
        <w:snapToGrid w:val="0"/>
        <w:spacing w:before="0" w:beforeAutospacing="0" w:after="0" w:afterAutospacing="0" w:line="360" w:lineRule="auto"/>
        <w:ind w:left="689" w:leftChars="228" w:hanging="210" w:hangingChars="100"/>
        <w:rPr>
          <w:rFonts w:hAnsi="宋体"/>
          <w:sz w:val="21"/>
          <w:szCs w:val="21"/>
        </w:rPr>
      </w:pPr>
      <w:r>
        <w:rPr>
          <w:rFonts w:hint="eastAsia" w:hAnsi="宋体"/>
          <w:sz w:val="21"/>
          <w:szCs w:val="21"/>
        </w:rPr>
        <w:t>本项目采用不公开方式评标，评标的依据为采购文件和投标文件。</w:t>
      </w:r>
    </w:p>
    <w:p>
      <w:pPr>
        <w:wordWrap w:val="0"/>
        <w:spacing w:line="360" w:lineRule="auto"/>
        <w:ind w:firstLine="422" w:firstLineChars="200"/>
        <w:jc w:val="left"/>
        <w:rPr>
          <w:rFonts w:ascii="宋体" w:hAnsi="宋体"/>
          <w:b/>
          <w:szCs w:val="21"/>
        </w:rPr>
      </w:pPr>
      <w:bookmarkStart w:id="21" w:name="_Toc17884843"/>
      <w:bookmarkEnd w:id="21"/>
      <w:bookmarkStart w:id="22" w:name="_Toc460857927"/>
      <w:bookmarkEnd w:id="22"/>
      <w:r>
        <w:rPr>
          <w:rFonts w:hint="eastAsia" w:ascii="宋体" w:hAnsi="宋体"/>
          <w:b/>
          <w:szCs w:val="21"/>
        </w:rPr>
        <w:t>（三）评标程序</w:t>
      </w:r>
    </w:p>
    <w:p>
      <w:pPr>
        <w:snapToGrid w:val="0"/>
        <w:spacing w:line="360" w:lineRule="auto"/>
        <w:ind w:firstLine="413" w:firstLineChars="196"/>
        <w:jc w:val="left"/>
        <w:rPr>
          <w:rFonts w:ascii="宋体" w:hAnsi="宋体"/>
          <w:b/>
          <w:bCs/>
          <w:szCs w:val="21"/>
        </w:rPr>
      </w:pPr>
      <w:r>
        <w:rPr>
          <w:rFonts w:hint="eastAsia" w:ascii="宋体" w:hAnsi="宋体"/>
          <w:b/>
          <w:bCs/>
          <w:szCs w:val="21"/>
        </w:rPr>
        <w:t>1、资格审查</w:t>
      </w:r>
    </w:p>
    <w:p>
      <w:pPr>
        <w:snapToGrid w:val="0"/>
        <w:spacing w:line="360" w:lineRule="auto"/>
        <w:ind w:firstLine="420" w:firstLineChars="200"/>
        <w:rPr>
          <w:rFonts w:ascii="宋体" w:hAnsi="宋体"/>
          <w:szCs w:val="21"/>
        </w:rPr>
      </w:pPr>
      <w:r>
        <w:rPr>
          <w:rFonts w:hint="eastAsia" w:ascii="宋体" w:hAnsi="宋体"/>
          <w:szCs w:val="21"/>
        </w:rPr>
        <w:t>招标代理机构工作人员对投标人的资格</w:t>
      </w:r>
      <w:r>
        <w:rPr>
          <w:rFonts w:ascii="宋体" w:hAnsi="宋体"/>
          <w:szCs w:val="21"/>
        </w:rPr>
        <w:t>进行审查。</w:t>
      </w:r>
    </w:p>
    <w:p>
      <w:pPr>
        <w:snapToGrid w:val="0"/>
        <w:spacing w:line="360" w:lineRule="auto"/>
        <w:ind w:firstLine="413" w:firstLineChars="196"/>
        <w:jc w:val="left"/>
        <w:rPr>
          <w:rFonts w:ascii="宋体" w:hAnsi="宋体"/>
          <w:b/>
          <w:bCs/>
          <w:szCs w:val="21"/>
        </w:rPr>
      </w:pPr>
      <w:r>
        <w:rPr>
          <w:rFonts w:hint="eastAsia" w:ascii="宋体" w:hAnsi="宋体"/>
          <w:b/>
          <w:bCs/>
          <w:szCs w:val="21"/>
        </w:rPr>
        <w:t>2、符合性审查与比较</w:t>
      </w:r>
    </w:p>
    <w:p>
      <w:pPr>
        <w:snapToGrid w:val="0"/>
        <w:spacing w:line="360" w:lineRule="auto"/>
        <w:ind w:firstLine="420" w:firstLineChars="200"/>
        <w:jc w:val="left"/>
        <w:rPr>
          <w:rFonts w:ascii="宋体" w:hAnsi="宋体"/>
          <w:szCs w:val="21"/>
        </w:rPr>
      </w:pPr>
      <w:r>
        <w:rPr>
          <w:rFonts w:hint="eastAsia" w:ascii="宋体" w:hAnsi="宋体"/>
          <w:szCs w:val="21"/>
        </w:rPr>
        <w:t>（1）评标委员会审查投标文件的实质性内容是否符合采购文件的实质性要求。</w:t>
      </w:r>
    </w:p>
    <w:p>
      <w:pPr>
        <w:snapToGrid w:val="0"/>
        <w:spacing w:line="360" w:lineRule="auto"/>
        <w:ind w:firstLine="420" w:firstLineChars="200"/>
        <w:jc w:val="left"/>
        <w:rPr>
          <w:rFonts w:ascii="宋体" w:hAnsi="宋体"/>
          <w:szCs w:val="21"/>
        </w:rPr>
      </w:pPr>
      <w:r>
        <w:rPr>
          <w:rFonts w:hint="eastAsia" w:ascii="宋体" w:hAnsi="宋体"/>
          <w:szCs w:val="21"/>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jc w:val="left"/>
        <w:rPr>
          <w:rFonts w:ascii="宋体" w:hAnsi="宋体"/>
          <w:szCs w:val="21"/>
        </w:rPr>
      </w:pPr>
      <w:r>
        <w:rPr>
          <w:rFonts w:hint="eastAsia" w:ascii="宋体" w:hAnsi="宋体"/>
          <w:szCs w:val="21"/>
        </w:rPr>
        <w:t>投标人代表未到场或者拒绝澄清或者澄清的内容改变了投标文件的实质性内容的，评标委员会有权对该投标文件作出不利于投标人的评判。</w:t>
      </w:r>
    </w:p>
    <w:p>
      <w:pPr>
        <w:snapToGrid w:val="0"/>
        <w:spacing w:line="360" w:lineRule="auto"/>
        <w:ind w:firstLine="420" w:firstLineChars="200"/>
        <w:jc w:val="left"/>
        <w:rPr>
          <w:rFonts w:ascii="宋体" w:hAnsi="宋体"/>
          <w:szCs w:val="21"/>
        </w:rPr>
      </w:pPr>
      <w:r>
        <w:rPr>
          <w:rFonts w:hint="eastAsia" w:ascii="宋体" w:hAnsi="宋体"/>
          <w:szCs w:val="21"/>
        </w:rPr>
        <w:t>（3）各投标人的技术商务报价得分为所有评委的有效评分的算术平均数，由指定专人进行计算复核。</w:t>
      </w:r>
    </w:p>
    <w:p>
      <w:pPr>
        <w:snapToGrid w:val="0"/>
        <w:spacing w:line="360" w:lineRule="auto"/>
        <w:ind w:firstLine="420" w:firstLineChars="200"/>
        <w:jc w:val="left"/>
        <w:rPr>
          <w:rFonts w:ascii="宋体" w:hAnsi="宋体"/>
          <w:szCs w:val="21"/>
        </w:rPr>
      </w:pPr>
      <w:r>
        <w:rPr>
          <w:rFonts w:hint="eastAsia" w:ascii="宋体" w:hAnsi="宋体"/>
          <w:szCs w:val="21"/>
        </w:rPr>
        <w:t>（4）采购代理机构工作人员协助评标委员会根据本项目的评分标准计算各投标人的报价得分。</w:t>
      </w:r>
    </w:p>
    <w:p>
      <w:pPr>
        <w:snapToGrid w:val="0"/>
        <w:spacing w:line="360" w:lineRule="auto"/>
        <w:ind w:firstLine="420" w:firstLineChars="200"/>
        <w:jc w:val="left"/>
        <w:rPr>
          <w:rFonts w:ascii="宋体" w:hAnsi="宋体"/>
          <w:szCs w:val="21"/>
        </w:rPr>
      </w:pPr>
      <w:r>
        <w:rPr>
          <w:rFonts w:hint="eastAsia" w:ascii="宋体" w:hAnsi="宋体"/>
          <w:szCs w:val="21"/>
        </w:rPr>
        <w:t>（5）评标委员会完成评标后,评委对各部分得分汇总,计算出本项目最终得分。评标委员会按评标原则推荐中标候选人同时起草评标报告。</w:t>
      </w:r>
    </w:p>
    <w:p>
      <w:pPr>
        <w:wordWrap w:val="0"/>
        <w:spacing w:line="360" w:lineRule="auto"/>
        <w:ind w:firstLine="422" w:firstLineChars="200"/>
        <w:jc w:val="left"/>
        <w:rPr>
          <w:rFonts w:ascii="宋体" w:hAnsi="宋体"/>
          <w:b/>
          <w:szCs w:val="21"/>
        </w:rPr>
      </w:pPr>
      <w:bookmarkStart w:id="23" w:name="_Toc17884844"/>
      <w:bookmarkEnd w:id="23"/>
      <w:bookmarkStart w:id="24" w:name="_Toc460857928"/>
      <w:bookmarkEnd w:id="24"/>
      <w:r>
        <w:rPr>
          <w:rFonts w:hint="eastAsia" w:ascii="宋体" w:hAnsi="宋体"/>
          <w:b/>
          <w:szCs w:val="21"/>
        </w:rPr>
        <w:t>（四）澄清问题的形式</w:t>
      </w:r>
    </w:p>
    <w:p>
      <w:pPr>
        <w:widowControl/>
        <w:spacing w:line="360" w:lineRule="auto"/>
        <w:ind w:firstLine="420" w:firstLineChars="200"/>
        <w:jc w:val="left"/>
        <w:outlineLvl w:val="1"/>
        <w:rPr>
          <w:rFonts w:ascii="宋体" w:hAnsi="宋体"/>
          <w:szCs w:val="21"/>
        </w:rPr>
      </w:pPr>
      <w:bookmarkStart w:id="25" w:name="_Toc497898868"/>
      <w:bookmarkEnd w:id="25"/>
      <w:bookmarkStart w:id="26" w:name="_Toc17250"/>
      <w:bookmarkStart w:id="27" w:name="_Toc460857930"/>
      <w:bookmarkStart w:id="28" w:name="_Toc17884845"/>
      <w:r>
        <w:rPr>
          <w:rFonts w:hint="eastAsia" w:ascii="宋体" w:hAnsi="宋体"/>
          <w:szCs w:val="21"/>
        </w:rPr>
        <w:t>对于投标文件中含义不明确、同类问题表述不一致或者有明显文字和计算错误的内容，评标委员会可要求</w:t>
      </w:r>
      <w:r>
        <w:rPr>
          <w:rFonts w:ascii="宋体" w:hAnsi="宋体"/>
          <w:szCs w:val="21"/>
        </w:rPr>
        <w:t>投标人</w:t>
      </w:r>
      <w:r>
        <w:rPr>
          <w:rFonts w:hint="eastAsia" w:ascii="宋体" w:hAnsi="宋体"/>
          <w:szCs w:val="21"/>
        </w:rPr>
        <w:t>以书面形式作出必要的澄清、说明或者补正。</w:t>
      </w:r>
      <w:bookmarkEnd w:id="26"/>
    </w:p>
    <w:p>
      <w:pPr>
        <w:widowControl/>
        <w:spacing w:line="360" w:lineRule="auto"/>
        <w:ind w:firstLine="420" w:firstLineChars="200"/>
        <w:jc w:val="left"/>
        <w:outlineLvl w:val="1"/>
        <w:rPr>
          <w:rFonts w:ascii="宋体" w:hAnsi="宋体"/>
          <w:szCs w:val="21"/>
        </w:rPr>
      </w:pPr>
      <w:bookmarkStart w:id="29" w:name="_Toc497898869"/>
      <w:bookmarkEnd w:id="29"/>
      <w:bookmarkStart w:id="30" w:name="_Toc9486"/>
      <w:r>
        <w:rPr>
          <w:rFonts w:ascii="宋体" w:hAnsi="宋体"/>
          <w:szCs w:val="21"/>
        </w:rPr>
        <w:t>投标人</w:t>
      </w:r>
      <w:r>
        <w:rPr>
          <w:rFonts w:hint="eastAsia" w:ascii="宋体" w:hAnsi="宋体"/>
          <w:szCs w:val="21"/>
        </w:rPr>
        <w:t>的澄清、说明或者补正应当采用书面形式，并加盖公章，或者由法定代表人或其授权代表签字确认，</w:t>
      </w:r>
      <w:r>
        <w:rPr>
          <w:rFonts w:ascii="宋体" w:hAnsi="宋体"/>
          <w:szCs w:val="21"/>
        </w:rPr>
        <w:t>投标人</w:t>
      </w:r>
      <w:r>
        <w:rPr>
          <w:rFonts w:hint="eastAsia" w:ascii="宋体" w:hAnsi="宋体"/>
          <w:szCs w:val="21"/>
        </w:rPr>
        <w:t>的澄清、说明或者补正不得超出投标文件的范围或者改变投标文件的实质性内容。</w:t>
      </w:r>
      <w:bookmarkEnd w:id="30"/>
    </w:p>
    <w:p>
      <w:pPr>
        <w:wordWrap w:val="0"/>
        <w:spacing w:line="360" w:lineRule="auto"/>
        <w:ind w:firstLine="422" w:firstLineChars="200"/>
        <w:jc w:val="left"/>
        <w:rPr>
          <w:rFonts w:ascii="宋体" w:hAnsi="宋体"/>
          <w:b/>
          <w:szCs w:val="21"/>
        </w:rPr>
      </w:pPr>
      <w:bookmarkStart w:id="31" w:name="_Toc497898870"/>
      <w:bookmarkEnd w:id="31"/>
      <w:r>
        <w:rPr>
          <w:rFonts w:hint="eastAsia" w:ascii="宋体" w:hAnsi="宋体"/>
          <w:b/>
          <w:szCs w:val="21"/>
        </w:rPr>
        <w:t>（五）错误修正</w:t>
      </w:r>
    </w:p>
    <w:p>
      <w:pPr>
        <w:pStyle w:val="197"/>
        <w:widowControl/>
        <w:spacing w:line="360" w:lineRule="auto"/>
        <w:ind w:left="689" w:leftChars="228" w:hanging="210" w:hangingChars="100"/>
        <w:jc w:val="left"/>
        <w:rPr>
          <w:rFonts w:hAnsi="宋体"/>
          <w:szCs w:val="21"/>
        </w:rPr>
      </w:pPr>
      <w:r>
        <w:rPr>
          <w:rFonts w:hint="eastAsia" w:hAnsi="宋体"/>
          <w:szCs w:val="21"/>
        </w:rPr>
        <w:t>投标文件报价出现前后不一致的，除采购文件另有规定外，按照下列规定修正：</w:t>
      </w:r>
    </w:p>
    <w:p>
      <w:pPr>
        <w:pStyle w:val="52"/>
        <w:snapToGrid w:val="0"/>
        <w:spacing w:before="0" w:beforeAutospacing="0" w:after="0" w:afterAutospacing="0" w:line="360" w:lineRule="auto"/>
        <w:ind w:firstLine="420" w:firstLineChars="200"/>
        <w:rPr>
          <w:rFonts w:hAnsi="宋体"/>
          <w:sz w:val="21"/>
          <w:szCs w:val="21"/>
        </w:rPr>
      </w:pPr>
      <w:r>
        <w:rPr>
          <w:rFonts w:hint="eastAsia" w:hAnsi="宋体"/>
          <w:sz w:val="21"/>
          <w:szCs w:val="21"/>
        </w:rPr>
        <w:t>1、投标文件中开标一览表（报价表）内容与投标文件中相应内容不一致的，以开标一览表（报价表）为准；</w:t>
      </w:r>
    </w:p>
    <w:p>
      <w:pPr>
        <w:pStyle w:val="52"/>
        <w:snapToGrid w:val="0"/>
        <w:spacing w:before="0" w:beforeAutospacing="0" w:after="0" w:afterAutospacing="0" w:line="360" w:lineRule="auto"/>
        <w:ind w:firstLine="420" w:firstLineChars="200"/>
        <w:rPr>
          <w:rFonts w:hAnsi="宋体"/>
          <w:sz w:val="21"/>
          <w:szCs w:val="21"/>
        </w:rPr>
      </w:pPr>
      <w:r>
        <w:rPr>
          <w:rFonts w:hint="eastAsia" w:hAnsi="宋体"/>
          <w:sz w:val="21"/>
          <w:szCs w:val="21"/>
        </w:rPr>
        <w:t>2、大写金额和小写金额不一致的，以大写金额为准；</w:t>
      </w:r>
    </w:p>
    <w:p>
      <w:pPr>
        <w:pStyle w:val="52"/>
        <w:snapToGrid w:val="0"/>
        <w:spacing w:before="0" w:beforeAutospacing="0" w:after="0" w:afterAutospacing="0" w:line="360" w:lineRule="auto"/>
        <w:ind w:firstLine="420" w:firstLineChars="200"/>
        <w:rPr>
          <w:rFonts w:hAnsi="宋体"/>
          <w:sz w:val="21"/>
          <w:szCs w:val="21"/>
        </w:rPr>
      </w:pPr>
      <w:r>
        <w:rPr>
          <w:rFonts w:hint="eastAsia" w:hAnsi="宋体"/>
          <w:sz w:val="21"/>
          <w:szCs w:val="21"/>
        </w:rPr>
        <w:t>3、单价金额小数点或者百分比有明显错位的，以开标一览表的总价为准，并修改单价；</w:t>
      </w:r>
    </w:p>
    <w:p>
      <w:pPr>
        <w:pStyle w:val="52"/>
        <w:snapToGrid w:val="0"/>
        <w:spacing w:before="0" w:beforeAutospacing="0" w:after="0" w:afterAutospacing="0" w:line="360" w:lineRule="auto"/>
        <w:ind w:firstLine="420" w:firstLineChars="200"/>
        <w:rPr>
          <w:rFonts w:hAnsi="宋体"/>
          <w:sz w:val="21"/>
          <w:szCs w:val="21"/>
        </w:rPr>
      </w:pPr>
      <w:r>
        <w:rPr>
          <w:rFonts w:hint="eastAsia" w:hAnsi="宋体"/>
          <w:sz w:val="21"/>
          <w:szCs w:val="21"/>
        </w:rPr>
        <w:t>4、总价金额与按单价汇总金额不一致的，以单价金额计算结果为准；</w:t>
      </w:r>
    </w:p>
    <w:p>
      <w:pPr>
        <w:pStyle w:val="197"/>
        <w:widowControl/>
        <w:spacing w:line="360" w:lineRule="auto"/>
        <w:ind w:firstLine="422" w:firstLineChars="200"/>
        <w:jc w:val="left"/>
        <w:rPr>
          <w:rFonts w:hAnsi="宋体"/>
          <w:b/>
          <w:bCs/>
          <w:szCs w:val="21"/>
        </w:rPr>
      </w:pPr>
      <w:r>
        <w:rPr>
          <w:rFonts w:hint="eastAsia" w:hAnsi="宋体"/>
          <w:b/>
          <w:bCs/>
          <w:szCs w:val="21"/>
        </w:rPr>
        <w:t>同时出现两种以上不一致的，按照前款规定的顺序修正。修正后的报价经</w:t>
      </w:r>
      <w:r>
        <w:rPr>
          <w:rFonts w:hAnsi="宋体"/>
          <w:b/>
          <w:bCs/>
          <w:szCs w:val="21"/>
        </w:rPr>
        <w:t>投标人</w:t>
      </w:r>
      <w:r>
        <w:rPr>
          <w:rFonts w:hint="eastAsia" w:hAnsi="宋体"/>
          <w:b/>
          <w:bCs/>
          <w:szCs w:val="21"/>
        </w:rPr>
        <w:t>确认后具有约束力，若</w:t>
      </w:r>
      <w:r>
        <w:rPr>
          <w:rFonts w:hAnsi="宋体"/>
          <w:b/>
          <w:bCs/>
          <w:szCs w:val="21"/>
        </w:rPr>
        <w:t>投标人</w:t>
      </w:r>
      <w:r>
        <w:rPr>
          <w:rFonts w:hint="eastAsia" w:hAnsi="宋体"/>
          <w:b/>
          <w:bCs/>
          <w:szCs w:val="21"/>
        </w:rPr>
        <w:t>不确认的，则其投标无效。</w:t>
      </w:r>
    </w:p>
    <w:bookmarkEnd w:id="27"/>
    <w:bookmarkEnd w:id="28"/>
    <w:p>
      <w:pPr>
        <w:wordWrap w:val="0"/>
        <w:spacing w:line="360" w:lineRule="auto"/>
        <w:ind w:firstLine="422" w:firstLineChars="200"/>
        <w:jc w:val="left"/>
        <w:rPr>
          <w:rFonts w:ascii="宋体" w:hAnsi="宋体"/>
          <w:b/>
          <w:szCs w:val="21"/>
        </w:rPr>
      </w:pPr>
      <w:r>
        <w:rPr>
          <w:rFonts w:hint="eastAsia" w:ascii="宋体" w:hAnsi="宋体"/>
          <w:b/>
          <w:szCs w:val="21"/>
        </w:rPr>
        <w:t>（六）评标原则和评标办法</w:t>
      </w:r>
    </w:p>
    <w:p>
      <w:pPr>
        <w:pStyle w:val="52"/>
        <w:snapToGrid w:val="0"/>
        <w:spacing w:before="0" w:beforeAutospacing="0" w:after="0" w:afterAutospacing="0" w:line="360" w:lineRule="auto"/>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52"/>
        <w:snapToGrid w:val="0"/>
        <w:spacing w:before="0" w:beforeAutospacing="0" w:after="0" w:afterAutospacing="0" w:line="360" w:lineRule="auto"/>
        <w:ind w:firstLine="422" w:firstLineChars="200"/>
        <w:rPr>
          <w:rFonts w:hAnsi="宋体"/>
          <w:b/>
          <w:sz w:val="21"/>
          <w:szCs w:val="21"/>
        </w:rPr>
      </w:pPr>
      <w:r>
        <w:rPr>
          <w:rFonts w:hint="eastAsia" w:hAnsi="宋体"/>
          <w:b/>
          <w:sz w:val="21"/>
          <w:szCs w:val="21"/>
        </w:rPr>
        <w:t>2、评标办法。本项目评标办法是</w:t>
      </w:r>
      <w:r>
        <w:rPr>
          <w:rFonts w:hint="eastAsia" w:hAnsi="宋体"/>
          <w:b/>
          <w:sz w:val="21"/>
          <w:szCs w:val="21"/>
          <w:u w:val="single"/>
        </w:rPr>
        <w:t xml:space="preserve"> 综合评分法 </w:t>
      </w:r>
      <w:r>
        <w:rPr>
          <w:rFonts w:hint="eastAsia" w:hAnsi="宋体"/>
          <w:b/>
          <w:sz w:val="21"/>
          <w:szCs w:val="21"/>
        </w:rPr>
        <w:t>，具体评标内容及评分标准等详见《第三章 评标办法及评分标准》。</w:t>
      </w:r>
    </w:p>
    <w:p>
      <w:pPr>
        <w:spacing w:line="360" w:lineRule="auto"/>
        <w:ind w:firstLine="422" w:firstLineChars="200"/>
        <w:rPr>
          <w:rFonts w:ascii="宋体" w:hAnsi="宋体"/>
          <w:b/>
          <w:szCs w:val="21"/>
        </w:rPr>
      </w:pPr>
      <w:bookmarkStart w:id="32" w:name="_Toc17884846"/>
      <w:bookmarkEnd w:id="32"/>
      <w:bookmarkStart w:id="33" w:name="_Toc460857931"/>
      <w:bookmarkEnd w:id="33"/>
      <w:r>
        <w:rPr>
          <w:rFonts w:hint="eastAsia" w:ascii="宋体" w:hAnsi="宋体"/>
          <w:b/>
          <w:szCs w:val="21"/>
        </w:rPr>
        <w:t>十四、项目终止</w:t>
      </w:r>
    </w:p>
    <w:p>
      <w:pPr>
        <w:snapToGrid w:val="0"/>
        <w:spacing w:line="360" w:lineRule="auto"/>
        <w:ind w:firstLine="420" w:firstLineChars="200"/>
        <w:jc w:val="left"/>
        <w:rPr>
          <w:rFonts w:ascii="宋体" w:hAnsi="宋体"/>
          <w:szCs w:val="21"/>
        </w:rPr>
      </w:pPr>
      <w:bookmarkStart w:id="34" w:name="_Toc460857932"/>
      <w:r>
        <w:rPr>
          <w:rFonts w:hint="eastAsia" w:ascii="宋体" w:hAnsi="宋体"/>
          <w:szCs w:val="21"/>
        </w:rPr>
        <w:t>政府采购的国内公开招标，采购响应截止时间或评审期间，出现参与采购响应或者对采购文件作出实质性响应的供应商不足3家的情况，招标人有权全部或部分终止招标。</w:t>
      </w:r>
    </w:p>
    <w:bookmarkEnd w:id="34"/>
    <w:p>
      <w:pPr>
        <w:spacing w:line="360" w:lineRule="auto"/>
        <w:ind w:firstLine="422" w:firstLineChars="200"/>
        <w:rPr>
          <w:rFonts w:ascii="宋体" w:hAnsi="宋体"/>
          <w:b/>
          <w:szCs w:val="21"/>
        </w:rPr>
      </w:pPr>
      <w:bookmarkStart w:id="35" w:name="_Toc17884847"/>
      <w:bookmarkEnd w:id="35"/>
      <w:r>
        <w:rPr>
          <w:rFonts w:hint="eastAsia" w:ascii="宋体" w:hAnsi="宋体"/>
          <w:b/>
          <w:szCs w:val="21"/>
        </w:rPr>
        <w:t>十五、定标</w:t>
      </w:r>
    </w:p>
    <w:p>
      <w:pPr>
        <w:spacing w:line="360" w:lineRule="auto"/>
        <w:ind w:firstLine="422" w:firstLineChars="200"/>
        <w:rPr>
          <w:rFonts w:ascii="宋体" w:hAnsi="宋体"/>
          <w:b/>
          <w:szCs w:val="21"/>
        </w:rPr>
      </w:pPr>
      <w:bookmarkStart w:id="36" w:name="_Toc460857933"/>
      <w:bookmarkEnd w:id="36"/>
      <w:bookmarkStart w:id="37" w:name="_Toc17884848"/>
      <w:bookmarkEnd w:id="37"/>
      <w:r>
        <w:rPr>
          <w:rFonts w:hint="eastAsia" w:ascii="宋体" w:hAnsi="宋体"/>
          <w:b/>
          <w:szCs w:val="21"/>
        </w:rPr>
        <w:t>（一）确定中标人</w:t>
      </w:r>
    </w:p>
    <w:p>
      <w:pPr>
        <w:pStyle w:val="52"/>
        <w:spacing w:before="0" w:beforeAutospacing="0" w:after="0" w:afterAutospacing="0" w:line="360" w:lineRule="auto"/>
        <w:ind w:firstLine="420" w:firstLineChars="200"/>
        <w:rPr>
          <w:rFonts w:hAnsi="宋体"/>
          <w:sz w:val="21"/>
          <w:szCs w:val="21"/>
        </w:rPr>
      </w:pPr>
      <w:bookmarkStart w:id="38" w:name="_Toc460416664"/>
      <w:bookmarkStart w:id="39" w:name="_Toc460416359"/>
      <w:bookmarkStart w:id="40" w:name="_Toc460857934"/>
      <w:bookmarkStart w:id="41" w:name="_Toc17884849"/>
      <w:r>
        <w:rPr>
          <w:rFonts w:hint="eastAsia" w:hAnsi="宋体"/>
          <w:sz w:val="21"/>
          <w:szCs w:val="21"/>
        </w:rPr>
        <w:t>1、确定中标人。本项目由评标委员会推荐中标候选人，采购人不得在评标委员会推荐的中标候选人以外确定中标候选人。</w:t>
      </w:r>
    </w:p>
    <w:p>
      <w:pPr>
        <w:pStyle w:val="52"/>
        <w:spacing w:before="0" w:beforeAutospacing="0" w:after="0" w:afterAutospacing="0" w:line="360" w:lineRule="auto"/>
        <w:ind w:firstLine="420" w:firstLineChars="200"/>
        <w:rPr>
          <w:rFonts w:hAnsi="宋体"/>
          <w:sz w:val="21"/>
          <w:szCs w:val="21"/>
        </w:rPr>
      </w:pPr>
      <w:r>
        <w:rPr>
          <w:rFonts w:hint="eastAsia" w:hAnsi="宋体"/>
          <w:sz w:val="21"/>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52"/>
        <w:spacing w:before="0" w:beforeAutospacing="0" w:after="0" w:afterAutospacing="0" w:line="360" w:lineRule="auto"/>
        <w:ind w:firstLine="420" w:firstLineChars="200"/>
        <w:rPr>
          <w:rFonts w:hAnsi="宋体"/>
          <w:sz w:val="21"/>
          <w:szCs w:val="21"/>
        </w:rPr>
      </w:pPr>
      <w:r>
        <w:rPr>
          <w:rFonts w:hAnsi="宋体"/>
          <w:sz w:val="21"/>
          <w:szCs w:val="21"/>
        </w:rPr>
        <w:t>3</w:t>
      </w:r>
      <w:r>
        <w:rPr>
          <w:rFonts w:hint="eastAsia" w:hAnsi="宋体"/>
          <w:sz w:val="21"/>
          <w:szCs w:val="21"/>
        </w:rPr>
        <w:t>、采购代理机构自中标人确定之日起2个工作日内，在发布招标公告的网站上对中标结果进行公示，中标结果公告期限为1个工作日。</w:t>
      </w:r>
    </w:p>
    <w:p>
      <w:pPr>
        <w:pStyle w:val="52"/>
        <w:spacing w:before="0" w:beforeAutospacing="0" w:after="0" w:afterAutospacing="0" w:line="360" w:lineRule="auto"/>
        <w:ind w:firstLine="420" w:firstLineChars="200"/>
        <w:rPr>
          <w:rFonts w:hAnsi="宋体"/>
          <w:sz w:val="21"/>
          <w:szCs w:val="21"/>
        </w:rPr>
      </w:pPr>
      <w:r>
        <w:rPr>
          <w:rFonts w:hAnsi="宋体"/>
          <w:sz w:val="21"/>
          <w:szCs w:val="21"/>
        </w:rPr>
        <w:t>4</w:t>
      </w:r>
      <w:r>
        <w:rPr>
          <w:rFonts w:hint="eastAsia" w:hAnsi="宋体"/>
          <w:sz w:val="21"/>
          <w:szCs w:val="21"/>
        </w:rPr>
        <w:t>、凡发现中标人有下列行为之一的，将移交政府采购监督管理部门依法处理：</w:t>
      </w:r>
    </w:p>
    <w:p>
      <w:pPr>
        <w:numPr>
          <w:ilvl w:val="0"/>
          <w:numId w:val="3"/>
        </w:numPr>
        <w:spacing w:line="360" w:lineRule="auto"/>
        <w:rPr>
          <w:rFonts w:ascii="宋体" w:hAnsi="宋体"/>
          <w:szCs w:val="21"/>
        </w:rPr>
      </w:pPr>
      <w:r>
        <w:rPr>
          <w:rFonts w:hint="eastAsia" w:ascii="宋体" w:hAnsi="宋体"/>
          <w:szCs w:val="21"/>
        </w:rPr>
        <w:t>提供虚假材料谋取中标的；</w:t>
      </w:r>
    </w:p>
    <w:p>
      <w:pPr>
        <w:numPr>
          <w:ilvl w:val="0"/>
          <w:numId w:val="3"/>
        </w:numPr>
        <w:spacing w:line="360" w:lineRule="auto"/>
        <w:rPr>
          <w:rFonts w:ascii="宋体" w:hAnsi="宋体"/>
          <w:szCs w:val="21"/>
        </w:rPr>
      </w:pPr>
      <w:r>
        <w:rPr>
          <w:rFonts w:hint="eastAsia" w:ascii="宋体" w:hAnsi="宋体"/>
          <w:szCs w:val="21"/>
        </w:rPr>
        <w:t>采取不正当手段诋毁、排挤其他</w:t>
      </w:r>
      <w:r>
        <w:rPr>
          <w:rFonts w:ascii="宋体" w:hAnsi="宋体"/>
          <w:szCs w:val="21"/>
        </w:rPr>
        <w:t>投标人</w:t>
      </w:r>
      <w:r>
        <w:rPr>
          <w:rFonts w:hint="eastAsia" w:ascii="宋体" w:hAnsi="宋体"/>
          <w:szCs w:val="21"/>
        </w:rPr>
        <w:t>的；</w:t>
      </w:r>
    </w:p>
    <w:p>
      <w:pPr>
        <w:numPr>
          <w:ilvl w:val="0"/>
          <w:numId w:val="3"/>
        </w:numPr>
        <w:spacing w:line="360" w:lineRule="auto"/>
        <w:rPr>
          <w:rFonts w:ascii="宋体" w:hAnsi="宋体"/>
          <w:szCs w:val="21"/>
        </w:rPr>
      </w:pPr>
      <w:r>
        <w:rPr>
          <w:rFonts w:hint="eastAsia" w:ascii="宋体" w:hAnsi="宋体"/>
          <w:szCs w:val="21"/>
        </w:rPr>
        <w:t>与采购人、其他</w:t>
      </w:r>
      <w:r>
        <w:rPr>
          <w:rFonts w:ascii="宋体" w:hAnsi="宋体"/>
          <w:szCs w:val="21"/>
        </w:rPr>
        <w:t>投标人</w:t>
      </w:r>
      <w:r>
        <w:rPr>
          <w:rFonts w:hint="eastAsia" w:ascii="宋体" w:hAnsi="宋体"/>
          <w:szCs w:val="21"/>
        </w:rPr>
        <w:t>或者采购代理机构工作人员恶意串通的；</w:t>
      </w:r>
    </w:p>
    <w:p>
      <w:pPr>
        <w:numPr>
          <w:ilvl w:val="0"/>
          <w:numId w:val="3"/>
        </w:numPr>
        <w:spacing w:line="360" w:lineRule="auto"/>
        <w:rPr>
          <w:rFonts w:ascii="宋体" w:hAnsi="宋体"/>
          <w:szCs w:val="21"/>
        </w:rPr>
      </w:pPr>
      <w:r>
        <w:rPr>
          <w:rFonts w:hint="eastAsia" w:ascii="宋体" w:hAnsi="宋体"/>
          <w:szCs w:val="21"/>
        </w:rPr>
        <w:t>向采购人或采购代理机构人员行贿或者提供其他不正当利益的；</w:t>
      </w:r>
    </w:p>
    <w:p>
      <w:pPr>
        <w:numPr>
          <w:ilvl w:val="0"/>
          <w:numId w:val="3"/>
        </w:numPr>
        <w:spacing w:line="360" w:lineRule="auto"/>
        <w:rPr>
          <w:rFonts w:ascii="宋体" w:hAnsi="宋体"/>
          <w:szCs w:val="21"/>
        </w:rPr>
      </w:pPr>
      <w:r>
        <w:rPr>
          <w:rFonts w:hint="eastAsia" w:ascii="宋体" w:hAnsi="宋体"/>
          <w:szCs w:val="21"/>
        </w:rPr>
        <w:t>拒绝有关部门监督检查或者提供虚假情况的；</w:t>
      </w:r>
    </w:p>
    <w:p>
      <w:pPr>
        <w:numPr>
          <w:ilvl w:val="0"/>
          <w:numId w:val="3"/>
        </w:numPr>
        <w:spacing w:line="360" w:lineRule="auto"/>
        <w:rPr>
          <w:rFonts w:ascii="宋体" w:hAnsi="宋体"/>
          <w:szCs w:val="21"/>
        </w:rPr>
      </w:pPr>
      <w:r>
        <w:rPr>
          <w:rFonts w:hint="eastAsia" w:ascii="宋体" w:hAnsi="宋体"/>
          <w:szCs w:val="21"/>
        </w:rPr>
        <w:t>有法律、法规规定的其他损害采购人利益和社会公共利益情形的。</w:t>
      </w:r>
    </w:p>
    <w:p>
      <w:pPr>
        <w:widowControl/>
        <w:spacing w:line="360" w:lineRule="auto"/>
        <w:ind w:firstLine="422" w:firstLineChars="200"/>
        <w:jc w:val="left"/>
        <w:outlineLvl w:val="1"/>
        <w:rPr>
          <w:rFonts w:ascii="宋体" w:hAnsi="宋体"/>
          <w:b/>
          <w:szCs w:val="21"/>
        </w:rPr>
      </w:pPr>
      <w:bookmarkStart w:id="42" w:name="_Toc497898872"/>
      <w:bookmarkEnd w:id="42"/>
      <w:bookmarkStart w:id="43" w:name="_Toc28830"/>
      <w:r>
        <w:rPr>
          <w:rFonts w:hint="eastAsia" w:ascii="宋体" w:hAnsi="宋体"/>
          <w:b/>
          <w:szCs w:val="21"/>
        </w:rPr>
        <w:t>十六、评标过程的监控</w:t>
      </w:r>
      <w:bookmarkEnd w:id="43"/>
    </w:p>
    <w:p>
      <w:pPr>
        <w:snapToGrid w:val="0"/>
        <w:spacing w:line="360" w:lineRule="auto"/>
        <w:ind w:firstLine="420" w:firstLineChars="200"/>
        <w:jc w:val="left"/>
        <w:rPr>
          <w:rFonts w:ascii="宋体" w:hAnsi="宋体"/>
          <w:szCs w:val="21"/>
        </w:rPr>
      </w:pPr>
      <w:bookmarkStart w:id="44" w:name="_Toc497898873"/>
      <w:bookmarkEnd w:id="44"/>
      <w:r>
        <w:rPr>
          <w:rFonts w:hint="eastAsia" w:ascii="宋体" w:hAnsi="宋体"/>
          <w:szCs w:val="21"/>
        </w:rPr>
        <w:t>本项目评标过程实行全程录音</w:t>
      </w:r>
      <w:r>
        <w:rPr>
          <w:rFonts w:hint="eastAsia" w:ascii="宋体" w:hAnsi="宋体"/>
          <w:bCs/>
          <w:szCs w:val="21"/>
        </w:rPr>
        <w:t>、录像监控，</w:t>
      </w:r>
      <w:r>
        <w:rPr>
          <w:rFonts w:ascii="宋体" w:hAnsi="宋体"/>
          <w:bCs/>
          <w:szCs w:val="21"/>
        </w:rPr>
        <w:t>投标人</w:t>
      </w:r>
      <w:r>
        <w:rPr>
          <w:rFonts w:hint="eastAsia" w:ascii="宋体" w:hAnsi="宋体"/>
          <w:bCs/>
          <w:szCs w:val="21"/>
        </w:rPr>
        <w:t>在评标过程中所进行的试图影响评标结果的不公正活动，可能导致其投标被拒绝。</w:t>
      </w:r>
    </w:p>
    <w:bookmarkEnd w:id="38"/>
    <w:bookmarkEnd w:id="39"/>
    <w:bookmarkEnd w:id="40"/>
    <w:bookmarkEnd w:id="41"/>
    <w:p>
      <w:pPr>
        <w:wordWrap w:val="0"/>
        <w:spacing w:line="360" w:lineRule="auto"/>
        <w:ind w:firstLine="422" w:firstLineChars="200"/>
        <w:jc w:val="left"/>
        <w:rPr>
          <w:rFonts w:ascii="宋体" w:hAnsi="宋体"/>
          <w:b/>
          <w:szCs w:val="21"/>
        </w:rPr>
      </w:pPr>
      <w:r>
        <w:rPr>
          <w:rFonts w:hint="eastAsia" w:ascii="宋体" w:hAnsi="宋体"/>
          <w:b/>
          <w:szCs w:val="21"/>
        </w:rPr>
        <w:t>十七、采购文件的澄清和修改</w:t>
      </w:r>
    </w:p>
    <w:p>
      <w:pPr>
        <w:wordWrap w:val="0"/>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b/>
          <w:szCs w:val="21"/>
        </w:rPr>
        <w:t>采购人可以对已发出的采购文件进行必要的澄清或者修改，将以“更正公告”的形式发布在政采云平台，供应商应及时登录政采云平台，进行浏览并下载，未及时浏览下载的责任自负。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供应商具有约束力。</w:t>
      </w:r>
    </w:p>
    <w:p>
      <w:pPr>
        <w:wordWrap w:val="0"/>
        <w:spacing w:line="360" w:lineRule="auto"/>
        <w:ind w:firstLine="422" w:firstLineChars="200"/>
        <w:jc w:val="left"/>
        <w:rPr>
          <w:rFonts w:ascii="宋体" w:hAnsi="宋体"/>
          <w:b/>
          <w:szCs w:val="21"/>
        </w:rPr>
      </w:pPr>
      <w:r>
        <w:rPr>
          <w:rFonts w:hint="eastAsia" w:ascii="宋体" w:hAnsi="宋体"/>
          <w:b/>
          <w:szCs w:val="21"/>
        </w:rPr>
        <w:t>十八、质疑与投诉</w:t>
      </w:r>
    </w:p>
    <w:p>
      <w:pPr>
        <w:wordWrap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wordWrap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wordWrap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pPr>
        <w:wordWrap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wordWrap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、采购人、代理机构接收质疑函的方式：只接收供应商以当面递交、邮寄、传真或电子邮件方式提出的质疑函，以其他方式提出的质疑不予接收。</w:t>
      </w:r>
    </w:p>
    <w:p>
      <w:pPr>
        <w:wordWrap w:val="0"/>
        <w:spacing w:line="360" w:lineRule="auto"/>
        <w:ind w:firstLine="420" w:firstLineChars="200"/>
        <w:rPr>
          <w:rFonts w:ascii="宋体" w:hAnsi="宋体"/>
          <w:szCs w:val="21"/>
        </w:rPr>
      </w:pPr>
      <w:r>
        <w:rPr>
          <w:rFonts w:hint="eastAsia" w:ascii="宋体" w:hAnsi="宋体"/>
          <w:szCs w:val="21"/>
        </w:rPr>
        <w:t>采取邮寄方式的，提出质疑的时间为质疑函原件交邮的时间（以邮戳时间或快递收件时间为准）。</w:t>
      </w:r>
    </w:p>
    <w:p>
      <w:pPr>
        <w:wordWrap w:val="0"/>
        <w:spacing w:line="360" w:lineRule="auto"/>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pPr>
        <w:wordWrap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pPr>
        <w:wordWrap w:val="0"/>
        <w:spacing w:line="360" w:lineRule="auto"/>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、采购人、代理机构接收质疑函的联系人、联系电话和通讯地址等信息详见采购公告。</w:t>
      </w:r>
    </w:p>
    <w:p>
      <w:pPr>
        <w:wordWrap w:val="0"/>
        <w:spacing w:line="360" w:lineRule="auto"/>
        <w:ind w:firstLine="422" w:firstLineChars="200"/>
        <w:jc w:val="left"/>
        <w:rPr>
          <w:rFonts w:ascii="宋体" w:hAnsi="宋体"/>
          <w:b/>
          <w:szCs w:val="21"/>
        </w:rPr>
      </w:pPr>
      <w:r>
        <w:rPr>
          <w:rFonts w:ascii="宋体" w:hAnsi="宋体"/>
          <w:b/>
          <w:szCs w:val="21"/>
        </w:rPr>
        <w:t>▲</w:t>
      </w:r>
      <w:r>
        <w:rPr>
          <w:rFonts w:hint="eastAsia" w:ascii="宋体" w:hAnsi="宋体"/>
          <w:b/>
          <w:szCs w:val="21"/>
        </w:rPr>
        <w:t>十九、最高限价</w:t>
      </w:r>
    </w:p>
    <w:p>
      <w:pPr>
        <w:wordWrap w:val="0"/>
        <w:spacing w:line="360" w:lineRule="auto"/>
        <w:ind w:firstLine="420" w:firstLineChars="200"/>
        <w:jc w:val="left"/>
        <w:rPr>
          <w:rFonts w:ascii="宋体" w:hAnsi="宋体"/>
          <w:szCs w:val="21"/>
        </w:rPr>
      </w:pPr>
      <w:bookmarkStart w:id="45" w:name="_Hlk37142004"/>
      <w:r>
        <w:rPr>
          <w:rFonts w:hint="eastAsia" w:ascii="宋体" w:hAnsi="宋体"/>
          <w:szCs w:val="21"/>
        </w:rPr>
        <w:t>1、本次公开招标设有最高限价：人民币6000000元，投标价超出最高限价作无效标处理。</w:t>
      </w:r>
    </w:p>
    <w:p>
      <w:pPr>
        <w:wordWrap w:val="0"/>
        <w:spacing w:line="360" w:lineRule="auto"/>
        <w:ind w:firstLine="422" w:firstLineChars="200"/>
        <w:jc w:val="left"/>
        <w:rPr>
          <w:rFonts w:ascii="宋体" w:hAnsi="宋体"/>
          <w:b/>
          <w:szCs w:val="21"/>
        </w:rPr>
      </w:pPr>
      <w:r>
        <w:rPr>
          <w:rFonts w:hint="eastAsia" w:ascii="宋体" w:hAnsi="宋体"/>
          <w:b/>
          <w:szCs w:val="21"/>
        </w:rPr>
        <w:t>二十、招标代理服务费</w:t>
      </w:r>
    </w:p>
    <w:p>
      <w:pPr>
        <w:wordWrap w:val="0"/>
        <w:spacing w:line="360" w:lineRule="auto"/>
        <w:ind w:firstLine="424" w:firstLineChars="202"/>
        <w:rPr>
          <w:rFonts w:ascii="宋体" w:hAnsi="宋体"/>
          <w:szCs w:val="21"/>
        </w:rPr>
      </w:pPr>
      <w:r>
        <w:rPr>
          <w:rFonts w:hint="eastAsia" w:ascii="宋体" w:hAnsi="宋体"/>
          <w:szCs w:val="21"/>
        </w:rPr>
        <w:t>1、向中标人收取招标服务费：本招标公司参照国家发改委发改办价格[2003]857号通知和国家计委计价格[2002]1980号文件的规定的货物招标费率标准下浮20</w:t>
      </w:r>
      <w:r>
        <w:rPr>
          <w:rFonts w:ascii="宋体" w:hAnsi="宋体"/>
          <w:szCs w:val="21"/>
        </w:rPr>
        <w:t>%</w:t>
      </w:r>
      <w:r>
        <w:rPr>
          <w:rFonts w:hint="eastAsia" w:ascii="宋体" w:hAnsi="宋体"/>
          <w:szCs w:val="21"/>
        </w:rPr>
        <w:t>，按照中标通知书确定的中标总金额向中标人收取招标服务费。</w:t>
      </w:r>
    </w:p>
    <w:p>
      <w:pPr>
        <w:wordWrap w:val="0"/>
        <w:snapToGrid w:val="0"/>
        <w:spacing w:line="360" w:lineRule="auto"/>
        <w:ind w:firstLine="420" w:firstLineChars="200"/>
        <w:rPr>
          <w:rFonts w:ascii="宋体" w:hAnsi="宋体"/>
          <w:szCs w:val="21"/>
        </w:rPr>
      </w:pPr>
      <w:r>
        <w:rPr>
          <w:rFonts w:hint="eastAsia" w:ascii="宋体" w:hAnsi="宋体"/>
          <w:szCs w:val="21"/>
        </w:rPr>
        <w:t>2、中标供应商应在代理机构发出中标通知书5个工作日内向本代理机构支付招标代理服务费。</w:t>
      </w:r>
    </w:p>
    <w:p>
      <w:pPr>
        <w:wordWrap w:val="0"/>
        <w:spacing w:line="360" w:lineRule="auto"/>
        <w:ind w:firstLine="420" w:firstLineChars="200"/>
        <w:jc w:val="left"/>
        <w:rPr>
          <w:rFonts w:ascii="宋体" w:hAnsi="宋体"/>
          <w:szCs w:val="21"/>
        </w:rPr>
      </w:pPr>
      <w:r>
        <w:rPr>
          <w:rFonts w:hint="eastAsia" w:ascii="宋体" w:hAnsi="宋体"/>
          <w:szCs w:val="21"/>
        </w:rPr>
        <w:t>3、招标代理服务费收取银行票汇款、电汇款。</w:t>
      </w:r>
    </w:p>
    <w:p>
      <w:pPr>
        <w:wordWrap w:val="0"/>
        <w:snapToGrid w:val="0"/>
        <w:spacing w:line="360" w:lineRule="auto"/>
        <w:ind w:firstLine="420" w:firstLineChars="200"/>
        <w:rPr>
          <w:rFonts w:ascii="宋体" w:hAnsi="宋体"/>
          <w:szCs w:val="21"/>
        </w:rPr>
      </w:pPr>
      <w:r>
        <w:rPr>
          <w:rFonts w:hint="eastAsia" w:ascii="宋体" w:hAnsi="宋体"/>
          <w:szCs w:val="21"/>
        </w:rPr>
        <w:t>开户银行：宁波银行孔浦支行（行号：313332082133）</w:t>
      </w:r>
    </w:p>
    <w:p>
      <w:pPr>
        <w:wordWrap w:val="0"/>
        <w:snapToGrid w:val="0"/>
        <w:spacing w:line="360" w:lineRule="auto"/>
        <w:ind w:firstLine="420" w:firstLineChars="200"/>
        <w:rPr>
          <w:rFonts w:ascii="宋体" w:hAnsi="宋体"/>
          <w:szCs w:val="21"/>
        </w:rPr>
      </w:pPr>
      <w:r>
        <w:rPr>
          <w:rFonts w:hint="eastAsia" w:ascii="宋体" w:hAnsi="宋体"/>
          <w:szCs w:val="21"/>
        </w:rPr>
        <w:t>户名：浙江中创招投标有限公司</w:t>
      </w:r>
    </w:p>
    <w:p>
      <w:pPr>
        <w:wordWrap w:val="0"/>
        <w:snapToGrid w:val="0"/>
        <w:spacing w:line="360" w:lineRule="auto"/>
        <w:ind w:firstLine="420" w:firstLineChars="200"/>
        <w:rPr>
          <w:rFonts w:ascii="宋体" w:hAnsi="宋体"/>
          <w:szCs w:val="21"/>
        </w:rPr>
      </w:pPr>
      <w:r>
        <w:rPr>
          <w:rFonts w:hint="eastAsia" w:ascii="宋体" w:hAnsi="宋体"/>
          <w:szCs w:val="21"/>
        </w:rPr>
        <w:t>账号：40030122000275085</w:t>
      </w:r>
    </w:p>
    <w:bookmarkEnd w:id="45"/>
    <w:p>
      <w:pPr>
        <w:spacing w:line="360" w:lineRule="auto"/>
        <w:ind w:firstLine="422" w:firstLineChars="200"/>
        <w:rPr>
          <w:rFonts w:ascii="宋体" w:hAnsi="宋体"/>
          <w:b/>
          <w:szCs w:val="21"/>
        </w:rPr>
      </w:pPr>
      <w:r>
        <w:rPr>
          <w:rFonts w:hint="eastAsia" w:ascii="宋体" w:hAnsi="宋体"/>
          <w:b/>
          <w:szCs w:val="21"/>
        </w:rPr>
        <w:t>二十一、合同授予</w:t>
      </w:r>
    </w:p>
    <w:p>
      <w:pPr>
        <w:spacing w:line="360" w:lineRule="auto"/>
        <w:ind w:firstLine="422" w:firstLineChars="200"/>
        <w:rPr>
          <w:rFonts w:ascii="宋体" w:hAnsi="宋体"/>
          <w:b/>
          <w:szCs w:val="21"/>
        </w:rPr>
      </w:pPr>
      <w:bookmarkStart w:id="46" w:name="_Toc17884850"/>
      <w:bookmarkEnd w:id="46"/>
      <w:bookmarkStart w:id="47" w:name="_Toc460857935"/>
      <w:bookmarkEnd w:id="47"/>
      <w:r>
        <w:rPr>
          <w:rFonts w:hint="eastAsia" w:ascii="宋体" w:hAnsi="宋体"/>
          <w:b/>
          <w:szCs w:val="21"/>
        </w:rPr>
        <w:t>（一）签订合同</w:t>
      </w:r>
    </w:p>
    <w:p>
      <w:pPr>
        <w:snapToGrid w:val="0"/>
        <w:spacing w:line="360" w:lineRule="auto"/>
        <w:ind w:firstLine="420" w:firstLineChars="200"/>
        <w:jc w:val="left"/>
        <w:rPr>
          <w:rFonts w:ascii="宋体" w:hAnsi="宋体"/>
          <w:szCs w:val="21"/>
        </w:rPr>
      </w:pPr>
      <w:r>
        <w:rPr>
          <w:rFonts w:hint="eastAsia" w:ascii="宋体" w:hAnsi="宋体"/>
          <w:szCs w:val="21"/>
        </w:rPr>
        <w:t>1、采购人与中标人应当在中标通知书发出之日起</w:t>
      </w:r>
      <w:r>
        <w:rPr>
          <w:rFonts w:hint="eastAsia" w:ascii="宋体" w:hAnsi="宋体"/>
          <w:b/>
          <w:szCs w:val="21"/>
          <w:u w:val="single"/>
        </w:rPr>
        <w:t>30</w:t>
      </w:r>
      <w:r>
        <w:rPr>
          <w:rFonts w:hint="eastAsia" w:ascii="宋体" w:hAnsi="宋体"/>
          <w:szCs w:val="21"/>
        </w:rPr>
        <w:t>日内签订政府采购合同。</w:t>
      </w:r>
    </w:p>
    <w:p>
      <w:pPr>
        <w:snapToGrid w:val="0"/>
        <w:spacing w:line="360" w:lineRule="auto"/>
        <w:ind w:firstLine="420" w:firstLineChars="200"/>
        <w:jc w:val="left"/>
        <w:rPr>
          <w:rFonts w:ascii="宋体" w:hAnsi="宋体"/>
          <w:szCs w:val="21"/>
        </w:rPr>
      </w:pPr>
      <w:r>
        <w:rPr>
          <w:rFonts w:hint="eastAsia" w:ascii="宋体" w:hAnsi="宋体"/>
          <w:szCs w:val="21"/>
        </w:rPr>
        <w:t>2、中标人拖延、拒签合同的,将取消中标资格。</w:t>
      </w:r>
    </w:p>
    <w:p>
      <w:pPr>
        <w:spacing w:line="360" w:lineRule="auto"/>
        <w:ind w:firstLine="422" w:firstLineChars="200"/>
        <w:rPr>
          <w:rFonts w:ascii="宋体" w:hAnsi="宋体"/>
          <w:b/>
          <w:szCs w:val="21"/>
        </w:rPr>
      </w:pPr>
      <w:bookmarkStart w:id="48" w:name="_Toc460857936"/>
      <w:bookmarkEnd w:id="48"/>
      <w:bookmarkStart w:id="49" w:name="_Toc17884851"/>
      <w:bookmarkEnd w:id="49"/>
      <w:r>
        <w:rPr>
          <w:rFonts w:hint="eastAsia" w:ascii="宋体" w:hAnsi="宋体"/>
          <w:b/>
          <w:szCs w:val="21"/>
        </w:rPr>
        <w:t>（二）履约保证金</w:t>
      </w:r>
    </w:p>
    <w:p>
      <w:pPr>
        <w:snapToGrid w:val="0"/>
        <w:spacing w:line="360" w:lineRule="auto"/>
        <w:ind w:firstLine="420" w:firstLineChars="200"/>
        <w:jc w:val="left"/>
        <w:rPr>
          <w:rFonts w:ascii="宋体" w:hAnsi="宋体"/>
          <w:szCs w:val="21"/>
        </w:rPr>
      </w:pPr>
      <w:r>
        <w:rPr>
          <w:rFonts w:hint="eastAsia" w:ascii="宋体" w:hAnsi="宋体"/>
          <w:szCs w:val="21"/>
        </w:rPr>
        <w:t>本项目不适用</w:t>
      </w:r>
    </w:p>
    <w:p>
      <w:pPr>
        <w:pStyle w:val="52"/>
        <w:snapToGrid w:val="0"/>
        <w:spacing w:before="0" w:beforeAutospacing="0" w:after="0" w:afterAutospacing="0" w:line="360" w:lineRule="auto"/>
        <w:ind w:firstLine="422" w:firstLineChars="200"/>
        <w:rPr>
          <w:rFonts w:hAnsi="宋体"/>
          <w:b/>
          <w:sz w:val="21"/>
          <w:szCs w:val="21"/>
        </w:rPr>
      </w:pPr>
      <w:r>
        <w:rPr>
          <w:rFonts w:hint="eastAsia" w:hAnsi="宋体"/>
          <w:b/>
          <w:sz w:val="21"/>
          <w:szCs w:val="21"/>
        </w:rPr>
        <w:t>（三）合同履行过程中，若发现投标人的投标文件中有投标价错误的，按不利于投标人的原则修正、调整相关价格，合同总价有变化的签订补充协议后作相应调整。</w:t>
      </w:r>
    </w:p>
    <w:p>
      <w:pPr>
        <w:wordWrap w:val="0"/>
        <w:spacing w:line="360" w:lineRule="auto"/>
        <w:ind w:firstLine="422" w:firstLineChars="200"/>
        <w:jc w:val="left"/>
        <w:rPr>
          <w:rFonts w:ascii="宋体" w:hAnsi="宋体"/>
          <w:b/>
          <w:szCs w:val="21"/>
        </w:rPr>
      </w:pPr>
      <w:r>
        <w:rPr>
          <w:rFonts w:hint="eastAsia" w:ascii="宋体" w:hAnsi="宋体"/>
          <w:b/>
          <w:szCs w:val="21"/>
        </w:rPr>
        <w:t>二十二、特别说明</w:t>
      </w:r>
    </w:p>
    <w:p>
      <w:pPr>
        <w:wordWrap w:val="0"/>
        <w:spacing w:line="360" w:lineRule="auto"/>
        <w:ind w:firstLine="424" w:firstLineChars="202"/>
        <w:rPr>
          <w:rFonts w:ascii="宋体" w:hAnsi="宋体"/>
          <w:szCs w:val="21"/>
        </w:rPr>
      </w:pPr>
      <w:bookmarkStart w:id="50" w:name="_Toc495244277"/>
      <w:bookmarkStart w:id="51" w:name="_Toc21541015"/>
      <w:r>
        <w:rPr>
          <w:rFonts w:ascii="宋体" w:hAnsi="宋体"/>
          <w:szCs w:val="21"/>
        </w:rPr>
        <w:t>1</w:t>
      </w:r>
      <w:r>
        <w:rPr>
          <w:rFonts w:hint="eastAsia" w:ascii="宋体" w:hAnsi="宋体"/>
          <w:szCs w:val="21"/>
        </w:rPr>
        <w:t>、</w:t>
      </w:r>
      <w:r>
        <w:rPr>
          <w:rFonts w:ascii="宋体" w:hAnsi="宋体"/>
          <w:szCs w:val="21"/>
        </w:rPr>
        <w:t>执行财政部、工业和信息化部《政府采购促进中小企业发展管理办法》（财库〔2020〕46号）。政府采购活动中有关中小企业的相关规定如下：</w:t>
      </w:r>
    </w:p>
    <w:p>
      <w:pPr>
        <w:wordWrap w:val="0"/>
        <w:spacing w:line="360" w:lineRule="auto"/>
        <w:ind w:firstLine="424" w:firstLineChars="202"/>
        <w:rPr>
          <w:rFonts w:ascii="宋体" w:hAnsi="宋体"/>
          <w:szCs w:val="21"/>
        </w:rPr>
      </w:pPr>
      <w:r>
        <w:rPr>
          <w:rFonts w:hint="eastAsia" w:ascii="宋体" w:hAnsi="宋体"/>
          <w:szCs w:val="21"/>
        </w:rPr>
        <w:t>1.1</w:t>
      </w:r>
      <w:r>
        <w:rPr>
          <w:rFonts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ordWrap w:val="0"/>
        <w:spacing w:line="360" w:lineRule="auto"/>
        <w:ind w:firstLine="424" w:firstLineChars="202"/>
        <w:rPr>
          <w:rFonts w:ascii="宋体" w:hAnsi="宋体"/>
          <w:szCs w:val="21"/>
        </w:rPr>
      </w:pPr>
      <w:r>
        <w:rPr>
          <w:rFonts w:hint="eastAsia" w:ascii="宋体" w:hAnsi="宋体"/>
          <w:szCs w:val="21"/>
        </w:rPr>
        <w:t>1.2</w:t>
      </w:r>
      <w:r>
        <w:rPr>
          <w:rFonts w:ascii="宋体" w:hAnsi="宋体"/>
          <w:szCs w:val="21"/>
        </w:rPr>
        <w:t>在政府采购活动中，供应商提供的货物、工程或者服务符合下列情形的，享受《政府采购促进中小企业发展管理办法》规定的中小企业扶持政策：</w:t>
      </w:r>
    </w:p>
    <w:p>
      <w:pPr>
        <w:wordWrap w:val="0"/>
        <w:spacing w:line="360" w:lineRule="auto"/>
        <w:ind w:firstLine="424" w:firstLineChars="202"/>
        <w:rPr>
          <w:rFonts w:ascii="宋体" w:hAnsi="宋体"/>
          <w:szCs w:val="21"/>
        </w:rPr>
      </w:pPr>
      <w:r>
        <w:rPr>
          <w:rFonts w:ascii="宋体" w:hAnsi="宋体"/>
          <w:szCs w:val="21"/>
        </w:rPr>
        <w:t>（1）、在货物采购项目中，货物由中小企业制造，即货物由中小企业生产且使用该中小企业商号或者注册商标；</w:t>
      </w:r>
    </w:p>
    <w:p>
      <w:pPr>
        <w:wordWrap w:val="0"/>
        <w:spacing w:line="360" w:lineRule="auto"/>
        <w:ind w:firstLine="424" w:firstLineChars="202"/>
        <w:rPr>
          <w:rFonts w:ascii="宋体" w:hAnsi="宋体"/>
          <w:szCs w:val="21"/>
        </w:rPr>
      </w:pPr>
      <w:r>
        <w:rPr>
          <w:rFonts w:ascii="宋体" w:hAnsi="宋体"/>
          <w:szCs w:val="21"/>
        </w:rPr>
        <w:t>（2）、在工程采购项目中，工程由中小企业承建，即工程施工单位为中小企业；</w:t>
      </w:r>
    </w:p>
    <w:p>
      <w:pPr>
        <w:wordWrap w:val="0"/>
        <w:spacing w:line="360" w:lineRule="auto"/>
        <w:ind w:firstLine="424" w:firstLineChars="202"/>
        <w:rPr>
          <w:rFonts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pPr>
        <w:wordWrap w:val="0"/>
        <w:spacing w:line="360" w:lineRule="auto"/>
        <w:ind w:firstLine="424" w:firstLineChars="202"/>
        <w:rPr>
          <w:rFonts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pPr>
        <w:wordWrap w:val="0"/>
        <w:spacing w:line="360" w:lineRule="auto"/>
        <w:ind w:firstLine="424" w:firstLineChars="202"/>
        <w:rPr>
          <w:rFonts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pPr>
        <w:wordWrap w:val="0"/>
        <w:spacing w:line="360" w:lineRule="auto"/>
        <w:ind w:firstLine="424" w:firstLineChars="202"/>
        <w:rPr>
          <w:rFonts w:ascii="宋体" w:hAnsi="宋体"/>
          <w:szCs w:val="21"/>
        </w:rPr>
      </w:pPr>
      <w:r>
        <w:rPr>
          <w:rFonts w:hint="eastAsia" w:ascii="宋体" w:hAnsi="宋体"/>
          <w:szCs w:val="21"/>
        </w:rPr>
        <w:t>1.3</w:t>
      </w:r>
      <w:r>
        <w:rPr>
          <w:rFonts w:ascii="宋体" w:hAnsi="宋体"/>
          <w:szCs w:val="21"/>
        </w:rPr>
        <w:t>中小企业参加政府采购活动，应当出具《政府采购促进中小企业发展管理办法》规定的《中小企业声明函》（格式见本采购文件附件），否则不得享受相关中小企业扶持政策。</w:t>
      </w:r>
    </w:p>
    <w:p>
      <w:pPr>
        <w:wordWrap w:val="0"/>
        <w:spacing w:line="360" w:lineRule="auto"/>
        <w:ind w:firstLine="424" w:firstLineChars="202"/>
        <w:rPr>
          <w:rFonts w:ascii="宋体" w:hAnsi="宋体"/>
          <w:szCs w:val="21"/>
        </w:rPr>
      </w:pPr>
      <w:r>
        <w:rPr>
          <w:rFonts w:hint="eastAsia" w:ascii="宋体" w:hAnsi="宋体"/>
          <w:szCs w:val="21"/>
        </w:rPr>
        <w:t>1.4</w:t>
      </w:r>
      <w:r>
        <w:rPr>
          <w:rFonts w:ascii="宋体" w:hAnsi="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wordWrap w:val="0"/>
        <w:spacing w:line="360" w:lineRule="auto"/>
        <w:ind w:firstLine="424" w:firstLineChars="202"/>
        <w:rPr>
          <w:rFonts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pPr>
        <w:wordWrap w:val="0"/>
        <w:spacing w:line="360" w:lineRule="auto"/>
        <w:ind w:firstLine="424" w:firstLineChars="202"/>
        <w:rPr>
          <w:rFonts w:ascii="宋体" w:hAnsi="宋体"/>
          <w:szCs w:val="21"/>
        </w:rPr>
      </w:pPr>
      <w:r>
        <w:rPr>
          <w:rFonts w:ascii="宋体" w:hAnsi="宋体"/>
          <w:szCs w:val="21"/>
        </w:rPr>
        <w:t>适用招标投标法的政府采购工程建设项目，投标人提供声明函内容不实的，属于弄虚作假骗取中标，依照《中华人民共和国招标投标法》等国家有关规定追究相应责任。</w:t>
      </w:r>
    </w:p>
    <w:p>
      <w:pPr>
        <w:wordWrap w:val="0"/>
        <w:spacing w:line="360" w:lineRule="auto"/>
        <w:ind w:firstLine="424" w:firstLineChars="202"/>
        <w:rPr>
          <w:rFonts w:ascii="宋体" w:hAnsi="宋体"/>
          <w:szCs w:val="21"/>
        </w:rPr>
      </w:pPr>
      <w:r>
        <w:rPr>
          <w:rFonts w:hint="eastAsia" w:ascii="宋体" w:hAnsi="宋体"/>
          <w:szCs w:val="21"/>
        </w:rPr>
        <w:t>1.5</w:t>
      </w:r>
      <w:r>
        <w:rPr>
          <w:rFonts w:ascii="宋体" w:hAnsi="宋体"/>
          <w:szCs w:val="21"/>
        </w:rPr>
        <w:t>《中小企业声明函》由参加投标的供应商提交，如供应商为代理商，须自行采集制造商的中小企业划分类型信息填入相应栏目并对其真实性负责。</w:t>
      </w:r>
    </w:p>
    <w:bookmarkEnd w:id="50"/>
    <w:bookmarkEnd w:id="51"/>
    <w:p>
      <w:pPr>
        <w:wordWrap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wordWrap w:val="0"/>
        <w:spacing w:line="360" w:lineRule="auto"/>
        <w:ind w:firstLine="420" w:firstLineChars="200"/>
        <w:rPr>
          <w:rFonts w:ascii="宋体" w:hAnsi="宋体"/>
          <w:szCs w:val="21"/>
        </w:rPr>
      </w:pPr>
      <w:bookmarkStart w:id="52" w:name="_Toc21541016"/>
      <w:bookmarkEnd w:id="52"/>
      <w:r>
        <w:rPr>
          <w:rFonts w:ascii="宋体" w:hAnsi="宋体"/>
          <w:szCs w:val="21"/>
        </w:rPr>
        <w:t>3</w:t>
      </w:r>
      <w:r>
        <w:rPr>
          <w:rFonts w:hint="eastAsia" w:ascii="宋体" w:hAnsi="宋体"/>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p>
    <w:p>
      <w:pPr>
        <w:wordWrap w:val="0"/>
        <w:spacing w:line="360" w:lineRule="auto"/>
        <w:ind w:firstLine="420" w:firstLineChars="200"/>
        <w:rPr>
          <w:rFonts w:ascii="宋体" w:hAnsi="宋体"/>
          <w:szCs w:val="21"/>
        </w:rPr>
      </w:pPr>
      <w:bookmarkStart w:id="53" w:name="_Toc21541017"/>
      <w:bookmarkEnd w:id="53"/>
      <w:bookmarkStart w:id="54" w:name="_Toc419729158"/>
      <w:r>
        <w:rPr>
          <w:rFonts w:ascii="宋体" w:hAnsi="宋体"/>
          <w:szCs w:val="21"/>
        </w:rPr>
        <w:t>4</w:t>
      </w:r>
      <w:r>
        <w:rPr>
          <w:rFonts w:hint="eastAsia" w:ascii="宋体" w:hAnsi="宋体"/>
          <w:szCs w:val="21"/>
        </w:rPr>
        <w:t>、本项目不组织潜在供应商现场考察或者召开开标前答疑。</w:t>
      </w:r>
    </w:p>
    <w:bookmarkEnd w:id="54"/>
    <w:p>
      <w:pPr>
        <w:wordWrap w:val="0"/>
        <w:spacing w:line="360" w:lineRule="auto"/>
        <w:ind w:firstLine="420" w:firstLineChars="200"/>
        <w:rPr>
          <w:rFonts w:ascii="宋体" w:hAnsi="宋体"/>
          <w:szCs w:val="21"/>
        </w:rPr>
      </w:pPr>
      <w:bookmarkStart w:id="55" w:name="_Toc21541018"/>
      <w:bookmarkEnd w:id="55"/>
      <w:r>
        <w:rPr>
          <w:rFonts w:ascii="宋体" w:hAnsi="宋体"/>
          <w:szCs w:val="21"/>
        </w:rPr>
        <w:t>5</w:t>
      </w:r>
      <w:r>
        <w:rPr>
          <w:rFonts w:hint="eastAsia" w:ascii="宋体" w:hAnsi="宋体"/>
          <w:szCs w:val="21"/>
        </w:rPr>
        <w:t>、本文件未及事项，在签订合同时供需及使用方友好商定。</w:t>
      </w:r>
    </w:p>
    <w:p>
      <w:pPr>
        <w:wordWrap w:val="0"/>
        <w:spacing w:line="360" w:lineRule="auto"/>
        <w:ind w:firstLine="422" w:firstLineChars="200"/>
        <w:rPr>
          <w:rFonts w:ascii="宋体" w:hAnsi="宋体"/>
          <w:b/>
          <w:szCs w:val="21"/>
        </w:rPr>
      </w:pPr>
      <w:bookmarkStart w:id="56" w:name="_Hlk75969284"/>
      <w:r>
        <w:rPr>
          <w:rFonts w:ascii="宋体" w:hAnsi="宋体"/>
          <w:b/>
          <w:szCs w:val="21"/>
        </w:rPr>
        <w:t>▲</w:t>
      </w:r>
      <w:r>
        <w:rPr>
          <w:rFonts w:hint="eastAsia" w:ascii="宋体" w:hAnsi="宋体"/>
          <w:szCs w:val="21"/>
        </w:rPr>
        <w:t>6、不同投标人的投标文件出自同一终端设备或在相同Internet主机分配地址（相同IP地址）网上报名投标的作无效标处理。</w:t>
      </w:r>
    </w:p>
    <w:bookmarkEnd w:id="56"/>
    <w:p>
      <w:pPr>
        <w:wordWrap w:val="0"/>
        <w:spacing w:line="360" w:lineRule="auto"/>
        <w:ind w:firstLine="420" w:firstLineChars="200"/>
        <w:rPr>
          <w:rFonts w:ascii="宋体" w:hAnsi="宋体"/>
          <w:szCs w:val="21"/>
        </w:rPr>
      </w:pPr>
      <w:bookmarkStart w:id="57" w:name="_Toc419729159"/>
      <w:bookmarkEnd w:id="57"/>
      <w:r>
        <w:rPr>
          <w:rFonts w:hint="eastAsia" w:ascii="宋体" w:hAnsi="宋体"/>
          <w:szCs w:val="21"/>
        </w:rPr>
        <w:t>7、本采购文件解释权归采购人。</w:t>
      </w:r>
    </w:p>
    <w:p>
      <w:pPr>
        <w:wordWrap w:val="0"/>
        <w:spacing w:line="400" w:lineRule="exact"/>
        <w:jc w:val="center"/>
        <w:outlineLvl w:val="0"/>
        <w:rPr>
          <w:rFonts w:ascii="宋体" w:hAnsi="宋体"/>
          <w:b/>
          <w:sz w:val="32"/>
        </w:rPr>
      </w:pPr>
      <w:r>
        <w:rPr>
          <w:rFonts w:hint="eastAsia" w:ascii="宋体" w:hAnsi="宋体"/>
          <w:b/>
          <w:sz w:val="32"/>
        </w:rPr>
        <w:br w:type="page"/>
      </w:r>
      <w:bookmarkStart w:id="58" w:name="_Toc27875"/>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58"/>
    </w:p>
    <w:p>
      <w:pPr>
        <w:wordWrap w:val="0"/>
        <w:spacing w:line="400" w:lineRule="exact"/>
        <w:jc w:val="left"/>
        <w:rPr>
          <w:rFonts w:ascii="宋体" w:hAnsi="宋体"/>
          <w:b/>
          <w:szCs w:val="21"/>
        </w:rPr>
      </w:pPr>
      <w:r>
        <w:rPr>
          <w:rFonts w:hint="eastAsia" w:ascii="宋体" w:hAnsi="宋体"/>
          <w:b/>
          <w:szCs w:val="21"/>
        </w:rPr>
        <w:t>一、评标办法</w:t>
      </w:r>
    </w:p>
    <w:p>
      <w:pPr>
        <w:wordWrap w:val="0"/>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w:t>
      </w:r>
    </w:p>
    <w:p>
      <w:pPr>
        <w:wordWrap w:val="0"/>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wordWrap w:val="0"/>
        <w:spacing w:line="400" w:lineRule="exact"/>
        <w:ind w:firstLine="420" w:firstLineChars="200"/>
        <w:jc w:val="left"/>
        <w:rPr>
          <w:rFonts w:ascii="宋体" w:hAnsi="宋体"/>
          <w:szCs w:val="21"/>
        </w:rPr>
      </w:pPr>
      <w:r>
        <w:rPr>
          <w:rFonts w:ascii="宋体" w:hAnsi="宋体"/>
          <w:szCs w:val="21"/>
        </w:rPr>
        <w:t>1.3</w:t>
      </w:r>
      <w:r>
        <w:rPr>
          <w:rFonts w:hint="eastAsia" w:ascii="宋体" w:hAnsi="宋体"/>
        </w:rPr>
        <w:t>本项目需要落实的政府采购政策：《关于促进残疾人就业政府采购政策的通知》（财库[2017]141号）、《政府采购促进中小企业发展管理办法》（财库〔2020〕46号）、《关于政府采购支持监狱企业发展有关问题的通知》（财库[2014]68号）、《浙江省财政厅关于进一步发挥政府采购政策功能全力推动经济稳进提质的通知》（浙财采监（2022）3号）</w:t>
      </w:r>
      <w:r>
        <w:rPr>
          <w:rFonts w:ascii="宋体" w:hAnsi="宋体"/>
          <w:szCs w:val="21"/>
        </w:rPr>
        <w:t>，</w:t>
      </w:r>
      <w:r>
        <w:rPr>
          <w:rFonts w:hint="eastAsia" w:ascii="宋体" w:hAnsi="宋体"/>
          <w:szCs w:val="21"/>
        </w:rPr>
        <w:t>如有最新文件</w:t>
      </w:r>
      <w:r>
        <w:rPr>
          <w:rFonts w:ascii="宋体" w:hAnsi="宋体"/>
          <w:szCs w:val="21"/>
        </w:rPr>
        <w:t>按</w:t>
      </w:r>
      <w:r>
        <w:rPr>
          <w:rFonts w:hint="eastAsia" w:ascii="宋体" w:hAnsi="宋体"/>
          <w:szCs w:val="21"/>
        </w:rPr>
        <w:t>最新</w:t>
      </w:r>
      <w:r>
        <w:rPr>
          <w:rFonts w:ascii="宋体" w:hAnsi="宋体"/>
          <w:szCs w:val="21"/>
        </w:rPr>
        <w:t>文件要求执行</w:t>
      </w:r>
      <w:r>
        <w:rPr>
          <w:rFonts w:hint="eastAsia" w:ascii="宋体" w:hAnsi="宋体"/>
        </w:rPr>
        <w:t>。</w:t>
      </w:r>
    </w:p>
    <w:p>
      <w:pPr>
        <w:wordWrap w:val="0"/>
        <w:spacing w:line="400" w:lineRule="exact"/>
        <w:ind w:firstLine="420" w:firstLineChars="200"/>
        <w:jc w:val="left"/>
        <w:rPr>
          <w:rFonts w:ascii="宋体" w:hAnsi="宋体"/>
          <w:szCs w:val="21"/>
        </w:rPr>
      </w:pPr>
      <w:r>
        <w:rPr>
          <w:rFonts w:ascii="宋体" w:hAnsi="宋体"/>
          <w:szCs w:val="21"/>
        </w:rPr>
        <w:t>1.4本次采购为非专门面向中小企业，采购标的对应的中小企业划分标准所属行业</w:t>
      </w:r>
      <w:r>
        <w:rPr>
          <w:rFonts w:hint="eastAsia" w:ascii="宋体" w:hAnsi="宋体"/>
          <w:szCs w:val="21"/>
        </w:rPr>
        <w:t>为</w:t>
      </w:r>
      <w:r>
        <w:rPr>
          <w:rFonts w:ascii="宋体" w:hAnsi="宋体"/>
          <w:szCs w:val="21"/>
        </w:rPr>
        <w:t>：</w:t>
      </w:r>
      <w:r>
        <w:rPr>
          <w:rFonts w:hint="eastAsia" w:ascii="宋体" w:hAnsi="宋体"/>
          <w:szCs w:val="21"/>
          <w:u w:val="single"/>
        </w:rPr>
        <w:t>工业（具体详见中小企业声明函）</w:t>
      </w:r>
      <w:r>
        <w:rPr>
          <w:rFonts w:ascii="宋体" w:hAnsi="宋体"/>
          <w:szCs w:val="21"/>
        </w:rPr>
        <w:t>。本次评标将对中小企业声明函满足采购文件要求的</w:t>
      </w:r>
      <w:r>
        <w:rPr>
          <w:rFonts w:ascii="宋体" w:hAnsi="宋体"/>
          <w:szCs w:val="21"/>
          <w:u w:val="single"/>
        </w:rPr>
        <w:t>货物制造商</w:t>
      </w:r>
      <w:r>
        <w:rPr>
          <w:rFonts w:ascii="宋体" w:hAnsi="宋体"/>
          <w:szCs w:val="21"/>
        </w:rPr>
        <w:t>企业均为小微企业的价格给予</w:t>
      </w:r>
      <w:r>
        <w:rPr>
          <w:rFonts w:hint="eastAsia" w:ascii="宋体" w:hAnsi="宋体"/>
          <w:szCs w:val="21"/>
        </w:rPr>
        <w:t>10</w:t>
      </w:r>
      <w:r>
        <w:rPr>
          <w:rFonts w:ascii="宋体" w:hAnsi="宋体"/>
          <w:szCs w:val="21"/>
        </w:rPr>
        <w:t>%的扣除，用扣除后的价格参与评审。价格扣除只用于评审过程，如中标，中标价格仍按照其投标价格进行公示。</w:t>
      </w:r>
    </w:p>
    <w:p>
      <w:pPr>
        <w:wordWrap w:val="0"/>
        <w:spacing w:line="400" w:lineRule="exact"/>
        <w:ind w:firstLine="420" w:firstLineChars="200"/>
        <w:jc w:val="left"/>
        <w:rPr>
          <w:rFonts w:ascii="宋体" w:hAnsi="宋体"/>
          <w:szCs w:val="21"/>
        </w:rPr>
      </w:pPr>
      <w:r>
        <w:rPr>
          <w:rFonts w:hint="eastAsia" w:ascii="宋体" w:hAnsi="宋体"/>
          <w:szCs w:val="21"/>
        </w:rPr>
        <w:t>1.5投标产品如属于节能产品、环境标志产品的，供应商须提供由国家确定的认证机构出具的、处于有效期之内的节能产品、环境标志产品认证证书，未按要求提供认证证书或认证证书与中国政府采购网（</w:t>
      </w:r>
      <w:r>
        <w:fldChar w:fldCharType="begin"/>
      </w:r>
      <w:r>
        <w:instrText xml:space="preserve"> HYPERLINK "http://www.ccgp.gov.cn/" </w:instrText>
      </w:r>
      <w:r>
        <w:fldChar w:fldCharType="separate"/>
      </w:r>
      <w:r>
        <w:rPr>
          <w:rFonts w:hint="eastAsia" w:ascii="宋体" w:hAnsi="宋体"/>
          <w:szCs w:val="21"/>
        </w:rPr>
        <w:t>www.ccgp.gov.cn</w:t>
      </w:r>
      <w:r>
        <w:rPr>
          <w:rFonts w:hint="eastAsia" w:ascii="宋体" w:hAnsi="宋体"/>
          <w:szCs w:val="21"/>
        </w:rPr>
        <w:fldChar w:fldCharType="end"/>
      </w:r>
      <w:r>
        <w:rPr>
          <w:rFonts w:hint="eastAsia" w:ascii="宋体" w:hAnsi="宋体"/>
          <w:szCs w:val="21"/>
        </w:rPr>
        <w:t>）节能产品、环境标志产品查询结果不相符的评标委员会将不予认可，不得享受技术加分。由多个产品集成的项目（标项），必须所有产品符合上述要求才能享受技术加分。</w:t>
      </w:r>
    </w:p>
    <w:p>
      <w:pPr>
        <w:wordWrap w:val="0"/>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6评标委员会成员对需要共同认定的事项存在争议的，应当按照少数服从多数的原则作出结论。</w:t>
      </w:r>
    </w:p>
    <w:p>
      <w:pPr>
        <w:wordWrap w:val="0"/>
        <w:spacing w:line="400" w:lineRule="exact"/>
        <w:jc w:val="left"/>
        <w:rPr>
          <w:rFonts w:ascii="宋体" w:hAnsi="宋体"/>
          <w:szCs w:val="21"/>
        </w:rPr>
      </w:pPr>
      <w:r>
        <w:rPr>
          <w:rFonts w:hint="eastAsia" w:ascii="宋体" w:hAnsi="宋体"/>
          <w:szCs w:val="21"/>
        </w:rPr>
        <w:t>二、</w:t>
      </w:r>
      <w:r>
        <w:rPr>
          <w:rFonts w:hint="eastAsia" w:ascii="宋体" w:hAnsi="宋体"/>
          <w:b/>
          <w:bCs/>
          <w:szCs w:val="21"/>
        </w:rPr>
        <w:t>评标程序</w:t>
      </w:r>
    </w:p>
    <w:p>
      <w:pPr>
        <w:wordWrap w:val="0"/>
        <w:spacing w:line="400" w:lineRule="exact"/>
        <w:ind w:firstLine="420" w:firstLineChars="200"/>
        <w:rPr>
          <w:rFonts w:ascii="宋体" w:hAnsi="宋体"/>
          <w:szCs w:val="21"/>
        </w:rPr>
      </w:pPr>
      <w:r>
        <w:rPr>
          <w:rFonts w:ascii="宋体" w:hAnsi="宋体"/>
          <w:szCs w:val="21"/>
        </w:rPr>
        <w:t>2.1</w:t>
      </w:r>
      <w:r>
        <w:rPr>
          <w:rFonts w:hint="eastAsia" w:ascii="宋体" w:hAnsi="宋体"/>
          <w:szCs w:val="21"/>
        </w:rPr>
        <w:t>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pPr>
        <w:wordWrap w:val="0"/>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pPr>
        <w:wordWrap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3在评标过程中，发现的价格计算错误按下述原则修正：</w:t>
      </w:r>
    </w:p>
    <w:p>
      <w:pPr>
        <w:wordWrap w:val="0"/>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）投标文件中开标一览表内容与投标文件中分项报价表内容不一致的，以开标一览表为准；</w:t>
      </w:r>
    </w:p>
    <w:p>
      <w:pPr>
        <w:wordWrap w:val="0"/>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）投标文件的大写金额和小写金额不一致的，以大写金额为准；</w:t>
      </w:r>
    </w:p>
    <w:p>
      <w:pPr>
        <w:wordWrap w:val="0"/>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）单价金额小数点或者百分比有明显错位的，以开标一览表的总价为准，并修改单价；</w:t>
      </w:r>
    </w:p>
    <w:p>
      <w:pPr>
        <w:wordWrap w:val="0"/>
        <w:spacing w:line="400" w:lineRule="exact"/>
        <w:ind w:firstLine="420" w:firstLineChars="200"/>
        <w:jc w:val="left"/>
        <w:rPr>
          <w:rFonts w:ascii="宋体" w:hAnsi="宋体"/>
          <w:szCs w:val="21"/>
        </w:rPr>
      </w:pPr>
      <w:r>
        <w:rPr>
          <w:rFonts w:hint="eastAsia" w:ascii="宋体" w:hAnsi="宋体"/>
          <w:szCs w:val="21"/>
        </w:rPr>
        <w:t>（3）总价金额与按单价汇总金额不一致的，以单价金额计算结果为准；</w:t>
      </w:r>
    </w:p>
    <w:p>
      <w:pPr>
        <w:wordWrap w:val="0"/>
        <w:spacing w:line="400" w:lineRule="exact"/>
        <w:ind w:firstLine="420" w:firstLineChars="200"/>
        <w:jc w:val="left"/>
        <w:rPr>
          <w:rFonts w:ascii="宋体" w:hAnsi="宋体"/>
          <w:szCs w:val="21"/>
        </w:rPr>
      </w:pPr>
      <w:r>
        <w:rPr>
          <w:rFonts w:hint="eastAsia" w:ascii="宋体" w:hAnsi="宋体"/>
          <w:szCs w:val="21"/>
        </w:rPr>
        <w:t>同时出现两种以上不一致的，按照前款规定的顺序修正。修正后的报价经投标人确认后具有约束力，若投标人不确认的，则其投标无效。</w:t>
      </w:r>
    </w:p>
    <w:p>
      <w:pPr>
        <w:wordWrap w:val="0"/>
        <w:spacing w:line="400" w:lineRule="exact"/>
        <w:ind w:firstLine="420" w:firstLineChars="200"/>
        <w:jc w:val="left"/>
        <w:rPr>
          <w:rFonts w:ascii="宋体" w:hAnsi="宋体"/>
          <w:szCs w:val="21"/>
        </w:rPr>
      </w:pPr>
      <w:r>
        <w:rPr>
          <w:rFonts w:ascii="宋体" w:hAnsi="宋体"/>
          <w:szCs w:val="21"/>
        </w:rPr>
        <w:t>2.2.3</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pPr>
        <w:wordWrap w:val="0"/>
        <w:spacing w:line="400" w:lineRule="exact"/>
        <w:ind w:firstLine="420" w:firstLineChars="200"/>
        <w:jc w:val="left"/>
        <w:rPr>
          <w:rFonts w:ascii="宋体" w:hAnsi="宋体"/>
        </w:rPr>
      </w:pPr>
      <w:r>
        <w:rPr>
          <w:rFonts w:hint="eastAsia" w:ascii="宋体" w:hAnsi="宋体"/>
        </w:rPr>
        <w:t>非单一产品采购项目，多家供应商提供的核心产品品牌相同的，按上述规定处理。</w:t>
      </w:r>
    </w:p>
    <w:p>
      <w:pPr>
        <w:wordWrap w:val="0"/>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评标委员会根据“附表4价格评分表”的规定，计算供应商报价得分（小数点后保留二位数）。</w:t>
      </w:r>
    </w:p>
    <w:p>
      <w:pPr>
        <w:wordWrap w:val="0"/>
        <w:spacing w:line="400" w:lineRule="exact"/>
        <w:ind w:firstLine="420" w:firstLineChars="200"/>
        <w:jc w:val="left"/>
        <w:rPr>
          <w:rFonts w:ascii="宋体" w:hAnsi="宋体"/>
          <w:szCs w:val="21"/>
        </w:rPr>
      </w:pPr>
      <w:r>
        <w:rPr>
          <w:rFonts w:ascii="宋体" w:hAnsi="宋体"/>
          <w:szCs w:val="21"/>
        </w:rPr>
        <w:t>2.2.5</w:t>
      </w:r>
      <w:r>
        <w:rPr>
          <w:rFonts w:hint="eastAsia" w:ascii="宋体" w:hAnsi="宋体"/>
          <w:szCs w:val="21"/>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wordWrap w:val="0"/>
        <w:spacing w:line="400" w:lineRule="exact"/>
        <w:ind w:firstLine="420" w:firstLineChars="200"/>
        <w:jc w:val="left"/>
        <w:rPr>
          <w:rFonts w:ascii="宋体" w:hAnsi="宋体"/>
          <w:szCs w:val="21"/>
        </w:rPr>
      </w:pPr>
      <w:r>
        <w:rPr>
          <w:rFonts w:ascii="宋体" w:hAnsi="宋体"/>
          <w:szCs w:val="21"/>
        </w:rPr>
        <w:t>2.2.6</w:t>
      </w:r>
      <w:r>
        <w:rPr>
          <w:rFonts w:hint="eastAsia" w:ascii="宋体" w:hAnsi="宋体"/>
          <w:szCs w:val="21"/>
        </w:rPr>
        <w:t>综合评估：供应商的综合得分为商务和技术得分与报价得分之和。</w:t>
      </w:r>
    </w:p>
    <w:p>
      <w:pPr>
        <w:wordWrap w:val="0"/>
        <w:spacing w:line="400" w:lineRule="exact"/>
        <w:ind w:firstLine="422" w:firstLineChars="200"/>
        <w:jc w:val="left"/>
        <w:rPr>
          <w:rFonts w:ascii="宋体"/>
          <w:b/>
          <w:szCs w:val="21"/>
        </w:rPr>
      </w:pPr>
      <w:r>
        <w:rPr>
          <w:rFonts w:ascii="宋体"/>
          <w:b/>
          <w:szCs w:val="21"/>
        </w:rPr>
        <w:t>2.2.7推荐中标候选人：根据供应商综合得分由高到低进行排序，推荐综合得分排序第一名的供应商为中标候选人。若供应商的综合得分相等，则投标报价低者列前。若投标报价也相同时，则采取随机抽签的方式确定排序。</w:t>
      </w:r>
    </w:p>
    <w:p>
      <w:pPr>
        <w:wordWrap w:val="0"/>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pPr>
        <w:wordWrap w:val="0"/>
        <w:spacing w:line="400" w:lineRule="exact"/>
        <w:ind w:firstLine="420" w:firstLineChars="200"/>
        <w:jc w:val="left"/>
        <w:rPr>
          <w:rFonts w:ascii="宋体" w:hAnsi="宋体"/>
          <w:szCs w:val="21"/>
        </w:rPr>
      </w:pPr>
      <w:r>
        <w:rPr>
          <w:rFonts w:hint="eastAsia" w:ascii="宋体" w:hAnsi="宋体"/>
          <w:szCs w:val="21"/>
        </w:rPr>
        <w:t>评标委员会按综合得分由高到低的排序，向采购人推荐排序</w:t>
      </w:r>
      <w:r>
        <w:rPr>
          <w:rFonts w:hint="eastAsia" w:ascii="宋体"/>
          <w:szCs w:val="21"/>
        </w:rPr>
        <w:t>第一名</w:t>
      </w:r>
      <w:r>
        <w:rPr>
          <w:rFonts w:hint="eastAsia" w:ascii="宋体" w:hAnsi="宋体"/>
          <w:szCs w:val="21"/>
        </w:rPr>
        <w:t>的供应商为中标候选人。代理机构应当自评审结束之日起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个工作日内在评审报告推荐的中标候选人中按顺序确定1名中标供应商。中标供应商因不可抗力或者自身原因不能履行政府采购合同的，采购人可以按照</w:t>
      </w:r>
      <w:r>
        <w:rPr>
          <w:rFonts w:hint="eastAsia" w:ascii="宋体" w:hAnsi="宋体"/>
          <w:bCs/>
          <w:kern w:val="0"/>
          <w:szCs w:val="21"/>
        </w:rPr>
        <w:t>评审结果排名先后替补，确定</w:t>
      </w:r>
      <w:r>
        <w:rPr>
          <w:rFonts w:hint="eastAsia" w:ascii="宋体" w:hAnsi="宋体"/>
          <w:szCs w:val="21"/>
        </w:rPr>
        <w:t>下一个供应商为中标供应商或重新招标。</w:t>
      </w:r>
    </w:p>
    <w:p>
      <w:pPr>
        <w:wordWrap w:val="0"/>
        <w:spacing w:line="400" w:lineRule="exact"/>
        <w:jc w:val="left"/>
        <w:rPr>
          <w:rFonts w:ascii="宋体" w:hAnsi="宋体"/>
          <w:b/>
          <w:szCs w:val="21"/>
        </w:rPr>
      </w:pPr>
      <w:r>
        <w:rPr>
          <w:rFonts w:hint="eastAsia" w:ascii="宋体" w:hAnsi="宋体"/>
          <w:b/>
          <w:szCs w:val="21"/>
        </w:rPr>
        <w:t>三、投标的澄清</w:t>
      </w:r>
    </w:p>
    <w:p>
      <w:pPr>
        <w:wordWrap w:val="0"/>
        <w:spacing w:line="400" w:lineRule="exact"/>
        <w:ind w:firstLine="420" w:firstLineChars="200"/>
        <w:rPr>
          <w:rFonts w:ascii="宋体" w:hAnsi="宋体"/>
        </w:rPr>
      </w:pPr>
      <w:r>
        <w:rPr>
          <w:rFonts w:ascii="宋体" w:hAnsi="宋体"/>
        </w:rPr>
        <w:t>3.1</w:t>
      </w:r>
      <w:r>
        <w:rPr>
          <w:rFonts w:hint="eastAsia" w:ascii="宋体" w:hAnsi="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wordWrap w:val="0"/>
        <w:spacing w:line="400" w:lineRule="exact"/>
        <w:ind w:firstLine="420" w:firstLineChars="200"/>
        <w:rPr>
          <w:rFonts w:ascii="宋体" w:hAnsi="宋体"/>
        </w:rPr>
      </w:pPr>
      <w:r>
        <w:rPr>
          <w:rFonts w:ascii="宋体" w:hAnsi="宋体"/>
        </w:rPr>
        <w:t>3.2</w:t>
      </w:r>
      <w:r>
        <w:rPr>
          <w:rFonts w:hint="eastAsia" w:ascii="宋体" w:hAnsi="宋体"/>
        </w:rPr>
        <w:t>政采云具体操作如下：</w:t>
      </w:r>
    </w:p>
    <w:p>
      <w:pPr>
        <w:wordWrap w:val="0"/>
        <w:spacing w:line="400" w:lineRule="exact"/>
        <w:ind w:firstLine="420" w:firstLineChars="200"/>
        <w:rPr>
          <w:rFonts w:ascii="宋体" w:hAnsi="宋体"/>
        </w:rPr>
      </w:pPr>
      <w:r>
        <w:rPr>
          <w:rFonts w:hint="eastAsia" w:ascii="宋体" w:hAnsi="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wordWrap w:val="0"/>
        <w:spacing w:line="400" w:lineRule="exact"/>
        <w:ind w:firstLine="420" w:firstLineChars="200"/>
        <w:rPr>
          <w:rFonts w:ascii="宋体" w:hAnsi="宋体"/>
        </w:rPr>
      </w:pPr>
      <w:r>
        <w:rPr>
          <w:rFonts w:hint="eastAsia" w:ascii="宋体" w:hAnsi="宋体"/>
        </w:rPr>
        <w:t>路径：用户中心—项目采购—询标澄清</w:t>
      </w:r>
    </w:p>
    <w:p>
      <w:pPr>
        <w:wordWrap w:val="0"/>
        <w:spacing w:line="400" w:lineRule="exact"/>
        <w:ind w:firstLine="420" w:firstLineChars="200"/>
        <w:rPr>
          <w:rFonts w:ascii="宋体" w:hAnsi="宋体"/>
        </w:rPr>
      </w:pPr>
      <w:r>
        <w:rPr>
          <w:rFonts w:hint="eastAsia" w:ascii="宋体" w:hAnsi="宋体"/>
        </w:rPr>
        <w:t>（1）政采云平台通过待办事项和短信提醒供应商在截止时间前完成澄清。</w:t>
      </w:r>
    </w:p>
    <w:p>
      <w:pPr>
        <w:wordWrap w:val="0"/>
        <w:spacing w:line="400" w:lineRule="exact"/>
        <w:ind w:firstLine="420" w:firstLineChars="200"/>
        <w:rPr>
          <w:rFonts w:ascii="宋体" w:hAnsi="宋体"/>
        </w:rPr>
      </w:pPr>
      <w:r>
        <w:rPr>
          <w:rFonts w:hint="eastAsia" w:ascii="宋体" w:hAnsi="宋体"/>
        </w:rPr>
        <w:t>（2）供应商在“询标澄清-待办理”标签页下选择状态为“待澄清”的项目，点击操作栏【澄清】。</w:t>
      </w:r>
    </w:p>
    <w:p>
      <w:pPr>
        <w:wordWrap w:val="0"/>
        <w:spacing w:line="400" w:lineRule="exact"/>
        <w:ind w:firstLine="420" w:firstLineChars="200"/>
        <w:rPr>
          <w:rFonts w:ascii="宋体" w:hAnsi="宋体"/>
        </w:rPr>
      </w:pPr>
      <w:r>
        <w:rPr>
          <w:rFonts w:hint="eastAsia" w:ascii="宋体" w:hAnsi="宋体"/>
        </w:rPr>
        <w:t>（3）查看函内容，在澄清截止时间前上传澄清文件并对澄清文件进行签章。（注：澄清文件必须以PDF格式上传，文件大小：50M）</w:t>
      </w:r>
    </w:p>
    <w:p>
      <w:pPr>
        <w:wordWrap w:val="0"/>
        <w:spacing w:line="400" w:lineRule="exact"/>
        <w:ind w:firstLine="420" w:firstLineChars="200"/>
        <w:rPr>
          <w:rFonts w:ascii="宋体" w:hAnsi="宋体"/>
        </w:rPr>
      </w:pPr>
      <w:r>
        <w:rPr>
          <w:rFonts w:hint="eastAsia" w:ascii="宋体" w:hAnsi="宋体"/>
        </w:rPr>
        <w:t>（4）签章完成，文件名称处显示“已签章”，供应商可“撤回签章”修改澄清函和“查看文件”。</w:t>
      </w:r>
    </w:p>
    <w:p>
      <w:pPr>
        <w:wordWrap w:val="0"/>
        <w:spacing w:line="400" w:lineRule="exact"/>
        <w:ind w:firstLine="420" w:firstLineChars="200"/>
        <w:rPr>
          <w:rFonts w:ascii="宋体" w:hAnsi="宋体"/>
        </w:rPr>
      </w:pPr>
      <w:r>
        <w:rPr>
          <w:rFonts w:hint="eastAsia" w:ascii="宋体" w:hAnsi="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wordWrap w:val="0"/>
        <w:spacing w:line="400" w:lineRule="exact"/>
        <w:ind w:firstLine="420" w:firstLineChars="200"/>
        <w:rPr>
          <w:rFonts w:ascii="宋体" w:hAnsi="宋体"/>
        </w:rPr>
      </w:pPr>
      <w:r>
        <w:rPr>
          <w:rFonts w:hint="eastAsia" w:ascii="宋体" w:hAnsi="宋体"/>
        </w:rPr>
        <w:t>（6）完成状态：供应商澄清文件提交成功后，在“询标澄清-全部”标签页下显示状态为“已澄清”。</w:t>
      </w:r>
    </w:p>
    <w:p>
      <w:pPr>
        <w:wordWrap w:val="0"/>
        <w:spacing w:line="400" w:lineRule="exact"/>
        <w:ind w:firstLine="420" w:firstLineChars="200"/>
        <w:rPr>
          <w:rFonts w:ascii="宋体" w:hAnsi="宋体"/>
        </w:rPr>
      </w:pPr>
      <w:r>
        <w:rPr>
          <w:rFonts w:ascii="宋体" w:hAnsi="宋体"/>
        </w:rPr>
        <w:t>3.3</w:t>
      </w:r>
      <w:r>
        <w:rPr>
          <w:rFonts w:hint="eastAsia" w:ascii="宋体" w:hAnsi="宋体"/>
        </w:rPr>
        <w:t>开标现场，供应商安排</w:t>
      </w:r>
      <w:r>
        <w:rPr>
          <w:rFonts w:hint="eastAsia" w:ascii="宋体" w:hAnsi="宋体"/>
          <w:szCs w:val="21"/>
        </w:rPr>
        <w:t>法定代表人或授权代表到场的，则由</w:t>
      </w:r>
      <w:r>
        <w:rPr>
          <w:rFonts w:hint="eastAsia" w:ascii="宋体" w:hAnsi="宋体"/>
        </w:rPr>
        <w:t>评标委员会组长将问题汇总后向供应商发出书面“采购响应文件问题澄清通知”，供应商应对需要澄清的问题作书面回答，该书面澄清应当由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rPr>
        <w:t>或者加盖供应商公章。书面澄清将作为投标文件内容的一部分，具有相应的法律效力。</w:t>
      </w:r>
    </w:p>
    <w:p>
      <w:pPr>
        <w:wordWrap w:val="0"/>
        <w:spacing w:line="400" w:lineRule="exact"/>
        <w:ind w:firstLine="420" w:firstLineChars="200"/>
        <w:jc w:val="left"/>
        <w:rPr>
          <w:rFonts w:ascii="宋体" w:hAnsi="宋体"/>
        </w:rPr>
      </w:pPr>
      <w:r>
        <w:rPr>
          <w:rFonts w:ascii="宋体" w:hAnsi="宋体"/>
        </w:rPr>
        <w:t>3.4</w:t>
      </w:r>
      <w:r>
        <w:rPr>
          <w:rFonts w:hint="eastAsia" w:ascii="宋体" w:hAnsi="宋体"/>
        </w:rPr>
        <w:t>供应商未在截止时间前完成澄清，将被视作自动放弃。</w:t>
      </w:r>
    </w:p>
    <w:p>
      <w:pPr>
        <w:wordWrap w:val="0"/>
        <w:spacing w:line="400" w:lineRule="exact"/>
        <w:jc w:val="left"/>
        <w:rPr>
          <w:rFonts w:ascii="宋体" w:hAnsi="宋体"/>
          <w:b/>
          <w:szCs w:val="21"/>
        </w:rPr>
      </w:pPr>
      <w:r>
        <w:rPr>
          <w:rFonts w:hint="eastAsia" w:ascii="宋体" w:hAnsi="宋体"/>
          <w:b/>
          <w:szCs w:val="21"/>
        </w:rPr>
        <w:t>四、特别声明：价格是评标的重要因素之一，但最低价不是中标的唯一依据。</w:t>
      </w:r>
    </w:p>
    <w:p>
      <w:pPr>
        <w:wordWrap w:val="0"/>
        <w:spacing w:line="400" w:lineRule="exact"/>
        <w:jc w:val="left"/>
        <w:rPr>
          <w:rFonts w:ascii="宋体" w:hAnsi="宋体"/>
          <w:b/>
          <w:szCs w:val="21"/>
        </w:rPr>
      </w:pPr>
      <w:r>
        <w:rPr>
          <w:rFonts w:hint="eastAsia" w:ascii="宋体" w:hAnsi="宋体"/>
          <w:b/>
          <w:szCs w:val="21"/>
        </w:rPr>
        <w:t>五、重新招标</w:t>
      </w:r>
    </w:p>
    <w:p>
      <w:pPr>
        <w:wordWrap w:val="0"/>
        <w:spacing w:line="400" w:lineRule="exact"/>
        <w:ind w:firstLine="420" w:firstLineChars="200"/>
        <w:rPr>
          <w:rFonts w:ascii="宋体" w:hAnsi="宋体"/>
          <w:szCs w:val="21"/>
        </w:rPr>
      </w:pPr>
      <w:r>
        <w:rPr>
          <w:rFonts w:hint="eastAsia" w:ascii="宋体" w:hAnsi="宋体"/>
          <w:szCs w:val="21"/>
        </w:rPr>
        <w:t>有下列情形之一的，采购人将重新招标：</w:t>
      </w:r>
    </w:p>
    <w:p>
      <w:pPr>
        <w:wordWrap w:val="0"/>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投标截止时间止，供应商少于</w:t>
      </w:r>
      <w:r>
        <w:rPr>
          <w:rFonts w:ascii="宋体" w:hAnsi="宋体"/>
          <w:szCs w:val="21"/>
        </w:rPr>
        <w:t>3</w:t>
      </w:r>
      <w:r>
        <w:rPr>
          <w:rFonts w:hint="eastAsia" w:ascii="宋体" w:hAnsi="宋体"/>
          <w:szCs w:val="21"/>
        </w:rPr>
        <w:t>个的；</w:t>
      </w:r>
    </w:p>
    <w:p>
      <w:pPr>
        <w:wordWrap w:val="0"/>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评标委员会评标过程中，有效供应商少于</w:t>
      </w:r>
      <w:r>
        <w:rPr>
          <w:rFonts w:ascii="宋体" w:hAnsi="宋体"/>
          <w:szCs w:val="21"/>
        </w:rPr>
        <w:t>3</w:t>
      </w:r>
      <w:r>
        <w:rPr>
          <w:rFonts w:hint="eastAsia" w:ascii="宋体" w:hAnsi="宋体"/>
          <w:szCs w:val="21"/>
        </w:rPr>
        <w:t>个的；</w:t>
      </w:r>
    </w:p>
    <w:p>
      <w:pPr>
        <w:widowControl/>
        <w:wordWrap w:val="0"/>
        <w:spacing w:line="400" w:lineRule="exact"/>
        <w:ind w:firstLine="420" w:firstLineChars="200"/>
        <w:jc w:val="left"/>
        <w:rPr>
          <w:rFonts w:ascii="宋体" w:hAnsi="宋体"/>
          <w:szCs w:val="21"/>
        </w:rPr>
      </w:pPr>
      <w:r>
        <w:rPr>
          <w:rFonts w:ascii="宋体" w:hAnsi="宋体"/>
          <w:szCs w:val="21"/>
        </w:rPr>
        <w:t>5.3</w:t>
      </w:r>
      <w:r>
        <w:rPr>
          <w:rFonts w:hint="eastAsia" w:ascii="宋体" w:hAnsi="宋体"/>
          <w:szCs w:val="21"/>
        </w:rPr>
        <w:t>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pPr>
        <w:wordWrap w:val="0"/>
        <w:spacing w:line="400" w:lineRule="exact"/>
        <w:rPr>
          <w:rFonts w:ascii="宋体" w:hAnsi="宋体"/>
          <w:sz w:val="24"/>
          <w:szCs w:val="24"/>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pPr>
        <w:wordWrap w:val="0"/>
        <w:spacing w:line="400" w:lineRule="exact"/>
        <w:jc w:val="center"/>
        <w:rPr>
          <w:rFonts w:ascii="宋体" w:hAnsi="宋体"/>
          <w:b/>
          <w:szCs w:val="21"/>
        </w:rPr>
      </w:pPr>
      <w:r>
        <w:rPr>
          <w:rFonts w:hint="eastAsia" w:ascii="宋体" w:hAnsi="宋体"/>
          <w:b/>
          <w:szCs w:val="21"/>
        </w:rPr>
        <w:t>资格性审查表</w:t>
      </w:r>
    </w:p>
    <w:tbl>
      <w:tblPr>
        <w:tblStyle w:val="12"/>
        <w:tblW w:w="10088"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247"/>
        <w:gridCol w:w="6274"/>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7" w:type="dxa"/>
            <w:vAlign w:val="center"/>
          </w:tcPr>
          <w:p>
            <w:pPr>
              <w:wordWrap w:val="0"/>
              <w:spacing w:line="400" w:lineRule="exact"/>
              <w:jc w:val="center"/>
              <w:rPr>
                <w:rFonts w:ascii="宋体" w:hAnsi="宋体"/>
                <w:b/>
                <w:szCs w:val="21"/>
              </w:rPr>
            </w:pPr>
            <w:r>
              <w:rPr>
                <w:rFonts w:hint="eastAsia" w:ascii="宋体" w:hAnsi="宋体"/>
                <w:b/>
                <w:szCs w:val="21"/>
              </w:rPr>
              <w:t>序号</w:t>
            </w:r>
          </w:p>
        </w:tc>
        <w:tc>
          <w:tcPr>
            <w:tcW w:w="3247" w:type="dxa"/>
            <w:vAlign w:val="center"/>
          </w:tcPr>
          <w:p>
            <w:pPr>
              <w:wordWrap w:val="0"/>
              <w:spacing w:line="400" w:lineRule="exact"/>
              <w:jc w:val="center"/>
              <w:rPr>
                <w:rFonts w:ascii="宋体" w:hAnsi="宋体"/>
                <w:b/>
                <w:szCs w:val="21"/>
              </w:rPr>
            </w:pPr>
            <w:r>
              <w:rPr>
                <w:rFonts w:hint="eastAsia" w:ascii="宋体" w:hAnsi="宋体"/>
                <w:b/>
                <w:szCs w:val="21"/>
              </w:rPr>
              <w:t>要求说明</w:t>
            </w:r>
          </w:p>
        </w:tc>
        <w:tc>
          <w:tcPr>
            <w:tcW w:w="6274" w:type="dxa"/>
            <w:vAlign w:val="center"/>
          </w:tcPr>
          <w:p>
            <w:pPr>
              <w:wordWrap w:val="0"/>
              <w:spacing w:line="400" w:lineRule="exact"/>
              <w:jc w:val="center"/>
              <w:rPr>
                <w:rFonts w:ascii="宋体" w:hAnsi="宋体"/>
                <w:b/>
                <w:szCs w:val="21"/>
              </w:rPr>
            </w:pPr>
            <w:r>
              <w:rPr>
                <w:rFonts w:hint="eastAsia" w:ascii="宋体" w:hAnsi="宋体"/>
                <w:b/>
                <w:szCs w:val="21"/>
              </w:rPr>
              <w:t>审查要求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7" w:type="dxa"/>
            <w:vAlign w:val="center"/>
          </w:tcPr>
          <w:p>
            <w:pPr>
              <w:wordWrap w:val="0"/>
              <w:spacing w:line="400" w:lineRule="exact"/>
              <w:jc w:val="center"/>
              <w:rPr>
                <w:rFonts w:ascii="宋体" w:hAnsi="宋体"/>
                <w:szCs w:val="21"/>
              </w:rPr>
            </w:pPr>
            <w:r>
              <w:rPr>
                <w:rFonts w:ascii="宋体" w:hAnsi="宋体"/>
                <w:szCs w:val="21"/>
              </w:rPr>
              <w:t>1</w:t>
            </w:r>
          </w:p>
        </w:tc>
        <w:tc>
          <w:tcPr>
            <w:tcW w:w="3247" w:type="dxa"/>
            <w:vAlign w:val="center"/>
          </w:tcPr>
          <w:p>
            <w:pPr>
              <w:wordWrap w:val="0"/>
              <w:spacing w:line="400" w:lineRule="exact"/>
              <w:jc w:val="left"/>
              <w:rPr>
                <w:rFonts w:ascii="宋体" w:hAnsi="宋体"/>
                <w:szCs w:val="21"/>
              </w:rPr>
            </w:pPr>
            <w:r>
              <w:rPr>
                <w:rFonts w:hint="eastAsia" w:ascii="宋体" w:hAnsi="宋体"/>
                <w:szCs w:val="21"/>
              </w:rPr>
              <w:t>具有独立承担民事责任的能力；</w:t>
            </w:r>
          </w:p>
        </w:tc>
        <w:tc>
          <w:tcPr>
            <w:tcW w:w="6274" w:type="dxa"/>
            <w:vAlign w:val="center"/>
          </w:tcPr>
          <w:p>
            <w:pPr>
              <w:wordWrap w:val="0"/>
              <w:spacing w:line="400" w:lineRule="exact"/>
              <w:jc w:val="left"/>
              <w:rPr>
                <w:rFonts w:ascii="宋体" w:hAnsi="宋体"/>
                <w:szCs w:val="21"/>
              </w:rPr>
            </w:pPr>
            <w:r>
              <w:rPr>
                <w:rFonts w:hint="eastAsia" w:ascii="宋体" w:hAnsi="宋体"/>
                <w:szCs w:val="21"/>
              </w:rPr>
              <w:t>营业执照副本（或事业法人登记证副本或其他登记证明材料）复印件加盖供应商公章（供应商如果有名称变更的，应提供由行政主管部门出具的变更证明文件复印件加盖供应商公章）。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7" w:type="dxa"/>
            <w:vAlign w:val="center"/>
          </w:tcPr>
          <w:p>
            <w:pPr>
              <w:wordWrap w:val="0"/>
              <w:spacing w:line="400" w:lineRule="exact"/>
              <w:jc w:val="center"/>
              <w:rPr>
                <w:rFonts w:ascii="宋体" w:hAnsi="宋体"/>
                <w:szCs w:val="21"/>
              </w:rPr>
            </w:pPr>
            <w:r>
              <w:rPr>
                <w:rFonts w:hint="eastAsia" w:ascii="宋体" w:hAnsi="宋体"/>
                <w:szCs w:val="21"/>
              </w:rPr>
              <w:t>2</w:t>
            </w:r>
          </w:p>
        </w:tc>
        <w:tc>
          <w:tcPr>
            <w:tcW w:w="3247" w:type="dxa"/>
            <w:vAlign w:val="center"/>
          </w:tcPr>
          <w:p>
            <w:pPr>
              <w:wordWrap w:val="0"/>
              <w:spacing w:line="400" w:lineRule="exact"/>
              <w:jc w:val="left"/>
              <w:rPr>
                <w:rFonts w:ascii="宋体" w:hAnsi="宋体"/>
                <w:szCs w:val="21"/>
              </w:rPr>
            </w:pPr>
            <w:r>
              <w:rPr>
                <w:rFonts w:hint="eastAsia" w:ascii="宋体" w:hAnsi="宋体"/>
                <w:szCs w:val="21"/>
              </w:rPr>
              <w:t>具有履行合同所必需的设备和专业技术能力；</w:t>
            </w:r>
          </w:p>
        </w:tc>
        <w:tc>
          <w:tcPr>
            <w:tcW w:w="6274" w:type="dxa"/>
            <w:vAlign w:val="center"/>
          </w:tcPr>
          <w:p>
            <w:pPr>
              <w:wordWrap w:val="0"/>
              <w:spacing w:line="400" w:lineRule="exact"/>
              <w:jc w:val="left"/>
              <w:rPr>
                <w:rFonts w:ascii="宋体" w:hAnsi="宋体"/>
                <w:szCs w:val="21"/>
              </w:rPr>
            </w:pPr>
            <w:r>
              <w:rPr>
                <w:rFonts w:hint="eastAsia" w:ascii="宋体" w:hAnsi="宋体"/>
                <w:szCs w:val="21"/>
              </w:rPr>
              <w:t>提供“具有履行合同所必需的设备和专业技术能力的声明函”。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7" w:type="dxa"/>
            <w:vAlign w:val="center"/>
          </w:tcPr>
          <w:p>
            <w:pPr>
              <w:wordWrap w:val="0"/>
              <w:spacing w:line="400" w:lineRule="exact"/>
              <w:jc w:val="center"/>
              <w:rPr>
                <w:rFonts w:ascii="宋体" w:hAnsi="宋体"/>
                <w:szCs w:val="21"/>
              </w:rPr>
            </w:pPr>
            <w:r>
              <w:rPr>
                <w:rFonts w:hint="eastAsia" w:ascii="宋体" w:hAnsi="宋体"/>
                <w:szCs w:val="21"/>
              </w:rPr>
              <w:t>3</w:t>
            </w:r>
          </w:p>
        </w:tc>
        <w:tc>
          <w:tcPr>
            <w:tcW w:w="3247" w:type="dxa"/>
            <w:vAlign w:val="center"/>
          </w:tcPr>
          <w:p>
            <w:pPr>
              <w:wordWrap w:val="0"/>
              <w:spacing w:line="400" w:lineRule="exact"/>
              <w:jc w:val="left"/>
              <w:rPr>
                <w:rFonts w:ascii="宋体" w:hAnsi="宋体"/>
                <w:szCs w:val="21"/>
              </w:rPr>
            </w:pPr>
            <w:r>
              <w:rPr>
                <w:rFonts w:hint="eastAsia" w:ascii="宋体" w:hAnsi="宋体"/>
                <w:szCs w:val="21"/>
              </w:rPr>
              <w:t>参加政府采购活动前三年内，在经营活动中没有重大违法记录；</w:t>
            </w:r>
          </w:p>
        </w:tc>
        <w:tc>
          <w:tcPr>
            <w:tcW w:w="6274" w:type="dxa"/>
            <w:vAlign w:val="center"/>
          </w:tcPr>
          <w:p>
            <w:pPr>
              <w:wordWrap w:val="0"/>
              <w:spacing w:line="400" w:lineRule="exact"/>
              <w:jc w:val="left"/>
              <w:rPr>
                <w:rFonts w:ascii="宋体" w:hAnsi="宋体"/>
                <w:szCs w:val="21"/>
              </w:rPr>
            </w:pPr>
            <w:r>
              <w:rPr>
                <w:rFonts w:hint="eastAsia" w:ascii="宋体" w:hAnsi="宋体"/>
                <w:szCs w:val="21"/>
              </w:rPr>
              <w:t>提供“无重大违法记录的声明函”。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7" w:type="dxa"/>
            <w:vAlign w:val="center"/>
          </w:tcPr>
          <w:p>
            <w:pPr>
              <w:wordWrap w:val="0"/>
              <w:spacing w:line="400" w:lineRule="exact"/>
              <w:jc w:val="center"/>
              <w:rPr>
                <w:rFonts w:ascii="宋体" w:hAnsi="宋体"/>
                <w:szCs w:val="21"/>
              </w:rPr>
            </w:pPr>
            <w:r>
              <w:rPr>
                <w:rFonts w:hint="eastAsia" w:ascii="宋体" w:hAnsi="宋体"/>
                <w:szCs w:val="21"/>
              </w:rPr>
              <w:t>4</w:t>
            </w:r>
          </w:p>
        </w:tc>
        <w:tc>
          <w:tcPr>
            <w:tcW w:w="3247" w:type="dxa"/>
            <w:vAlign w:val="center"/>
          </w:tcPr>
          <w:p>
            <w:pPr>
              <w:wordWrap w:val="0"/>
              <w:spacing w:line="400" w:lineRule="exact"/>
              <w:jc w:val="left"/>
              <w:rPr>
                <w:rFonts w:ascii="宋体" w:hAnsi="宋体"/>
                <w:szCs w:val="21"/>
              </w:rPr>
            </w:pPr>
            <w:r>
              <w:rPr>
                <w:rFonts w:hint="eastAsia" w:ascii="宋体" w:hAnsi="宋体"/>
                <w:szCs w:val="21"/>
              </w:rPr>
              <w:t>法律、行政法规规定的其他条件。</w:t>
            </w:r>
          </w:p>
        </w:tc>
        <w:tc>
          <w:tcPr>
            <w:tcW w:w="6274" w:type="dxa"/>
            <w:vAlign w:val="center"/>
          </w:tcPr>
          <w:p>
            <w:pPr>
              <w:wordWrap w:val="0"/>
              <w:spacing w:line="400" w:lineRule="exact"/>
              <w:jc w:val="left"/>
              <w:rPr>
                <w:rFonts w:ascii="宋体" w:hAnsi="宋体"/>
                <w:szCs w:val="21"/>
              </w:rPr>
            </w:pPr>
            <w:r>
              <w:rPr>
                <w:rFonts w:hint="eastAsia" w:ascii="宋体" w:hAnsi="宋体"/>
                <w:szCs w:val="21"/>
              </w:rPr>
              <w:t>提供“其他资格要求需提供的声明函”。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7" w:type="dxa"/>
            <w:vAlign w:val="center"/>
          </w:tcPr>
          <w:p>
            <w:pPr>
              <w:wordWrap w:val="0"/>
              <w:spacing w:line="400" w:lineRule="exact"/>
              <w:jc w:val="center"/>
              <w:rPr>
                <w:rFonts w:ascii="宋体" w:hAnsi="宋体"/>
                <w:szCs w:val="21"/>
              </w:rPr>
            </w:pPr>
            <w:r>
              <w:rPr>
                <w:rFonts w:hint="eastAsia" w:ascii="宋体" w:hAnsi="宋体"/>
                <w:szCs w:val="21"/>
              </w:rPr>
              <w:t>5</w:t>
            </w:r>
          </w:p>
        </w:tc>
        <w:tc>
          <w:tcPr>
            <w:tcW w:w="3247" w:type="dxa"/>
            <w:vAlign w:val="center"/>
          </w:tcPr>
          <w:p>
            <w:pPr>
              <w:wordWrap w:val="0"/>
              <w:spacing w:line="400" w:lineRule="exact"/>
              <w:jc w:val="left"/>
              <w:rPr>
                <w:rFonts w:ascii="宋体" w:hAnsi="宋体"/>
                <w:szCs w:val="21"/>
              </w:rPr>
            </w:pPr>
            <w:r>
              <w:rPr>
                <w:rFonts w:hint="eastAsia" w:ascii="宋体" w:hAnsi="宋体"/>
                <w:szCs w:val="21"/>
              </w:rPr>
              <w:t>未被信用中国网站（</w:t>
            </w:r>
            <w:r>
              <w:fldChar w:fldCharType="begin"/>
            </w:r>
            <w:r>
              <w:instrText xml:space="preserve"> HYPERLINK "http://www.creditchina.gov.cn" </w:instrText>
            </w:r>
            <w:r>
              <w:fldChar w:fldCharType="separate"/>
            </w:r>
            <w:r>
              <w:rPr>
                <w:rFonts w:ascii="宋体" w:hAnsi="宋体"/>
                <w:szCs w:val="21"/>
              </w:rPr>
              <w:t>www.creditchina.gov.cn</w:t>
            </w:r>
            <w:r>
              <w:rPr>
                <w:rFonts w:ascii="宋体" w:hAnsi="宋体"/>
                <w:szCs w:val="21"/>
              </w:rPr>
              <w:fldChar w:fldCharType="end"/>
            </w:r>
            <w:r>
              <w:rPr>
                <w:rFonts w:hint="eastAsia" w:ascii="宋体" w:hAnsi="宋体"/>
                <w:szCs w:val="21"/>
              </w:rPr>
              <w:t>）列入失信被执行人、重大税收违法案件当事人名单，未被中国政府采购网（</w:t>
            </w:r>
            <w:r>
              <w:fldChar w:fldCharType="begin"/>
            </w:r>
            <w:r>
              <w:instrText xml:space="preserve"> HYPERLINK "http://www.ccgp" </w:instrText>
            </w:r>
            <w:r>
              <w:fldChar w:fldCharType="separate"/>
            </w:r>
            <w:r>
              <w:rPr>
                <w:rFonts w:ascii="宋体" w:hAnsi="宋体"/>
              </w:rPr>
              <w:t>www.ccgp</w:t>
            </w:r>
            <w:r>
              <w:rPr>
                <w:rFonts w:ascii="宋体" w:hAnsi="宋体"/>
              </w:rPr>
              <w:fldChar w:fldCharType="end"/>
            </w:r>
            <w:r>
              <w:rPr>
                <w:rFonts w:ascii="宋体" w:hAnsi="宋体"/>
                <w:szCs w:val="21"/>
              </w:rPr>
              <w:t>.gov.cn</w:t>
            </w:r>
            <w:r>
              <w:rPr>
                <w:rFonts w:hint="eastAsia" w:ascii="宋体" w:hAnsi="宋体"/>
                <w:szCs w:val="21"/>
              </w:rPr>
              <w:t>）列入政府采购严重违法失信行为记录名单。</w:t>
            </w:r>
          </w:p>
        </w:tc>
        <w:tc>
          <w:tcPr>
            <w:tcW w:w="6274" w:type="dxa"/>
            <w:vAlign w:val="center"/>
          </w:tcPr>
          <w:p>
            <w:pPr>
              <w:wordWrap w:val="0"/>
              <w:spacing w:line="400" w:lineRule="exact"/>
              <w:jc w:val="left"/>
              <w:rPr>
                <w:rFonts w:ascii="宋体" w:hAnsi="宋体"/>
                <w:szCs w:val="21"/>
              </w:rPr>
            </w:pPr>
            <w:r>
              <w:rPr>
                <w:rFonts w:hint="eastAsia" w:ascii="宋体" w:hAnsi="宋体"/>
                <w:szCs w:val="21"/>
              </w:rPr>
              <w:t>提供“其他资格要求需提供的声明函”。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14" w:type="dxa"/>
            <w:gridSpan w:val="2"/>
            <w:vAlign w:val="center"/>
          </w:tcPr>
          <w:p>
            <w:pPr>
              <w:wordWrap w:val="0"/>
              <w:spacing w:line="400" w:lineRule="exact"/>
              <w:jc w:val="center"/>
              <w:rPr>
                <w:rFonts w:ascii="宋体" w:hAnsi="宋体"/>
                <w:b/>
                <w:szCs w:val="21"/>
              </w:rPr>
            </w:pPr>
            <w:r>
              <w:rPr>
                <w:rFonts w:hint="eastAsia" w:ascii="宋体" w:hAnsi="宋体"/>
                <w:b/>
                <w:szCs w:val="21"/>
              </w:rPr>
              <w:t>资格性审查结论</w:t>
            </w:r>
          </w:p>
        </w:tc>
        <w:tc>
          <w:tcPr>
            <w:tcW w:w="6274" w:type="dxa"/>
            <w:vAlign w:val="center"/>
          </w:tcPr>
          <w:p>
            <w:pPr>
              <w:wordWrap w:val="0"/>
              <w:spacing w:line="400" w:lineRule="exact"/>
              <w:jc w:val="center"/>
              <w:rPr>
                <w:rFonts w:ascii="宋体" w:hAnsi="宋体"/>
                <w:szCs w:val="21"/>
              </w:rPr>
            </w:pPr>
          </w:p>
        </w:tc>
      </w:tr>
    </w:tbl>
    <w:p>
      <w:pPr>
        <w:wordWrap w:val="0"/>
        <w:spacing w:line="320" w:lineRule="exact"/>
        <w:rPr>
          <w:rFonts w:ascii="宋体" w:hAnsi="宋体"/>
          <w:b/>
        </w:rPr>
      </w:pPr>
      <w:r>
        <w:rPr>
          <w:rFonts w:hint="eastAsia" w:ascii="宋体" w:hAnsi="宋体"/>
          <w:b/>
        </w:rPr>
        <w:t>注：</w:t>
      </w:r>
    </w:p>
    <w:p>
      <w:pPr>
        <w:wordWrap w:val="0"/>
        <w:spacing w:line="320" w:lineRule="exact"/>
        <w:ind w:firstLine="422" w:firstLineChars="200"/>
        <w:rPr>
          <w:rFonts w:ascii="宋体" w:hAnsi="宋体"/>
          <w:b/>
        </w:rPr>
      </w:pPr>
      <w:r>
        <w:rPr>
          <w:rFonts w:ascii="宋体" w:hAnsi="宋体"/>
          <w:b/>
        </w:rPr>
        <w:t>1</w:t>
      </w:r>
      <w:r>
        <w:rPr>
          <w:rFonts w:hint="eastAsia" w:ascii="宋体" w:hAnsi="宋体"/>
          <w:b/>
        </w:rPr>
        <w:t>、上述资格证明文件未按采购文件要求附入投标文件中的，资格性审查不合格。</w:t>
      </w:r>
    </w:p>
    <w:p>
      <w:pPr>
        <w:wordWrap w:val="0"/>
        <w:spacing w:line="320" w:lineRule="exact"/>
        <w:ind w:firstLine="422" w:firstLineChars="200"/>
        <w:rPr>
          <w:rFonts w:ascii="宋体" w:hAnsi="宋体"/>
          <w:b/>
        </w:rPr>
      </w:pPr>
      <w:r>
        <w:rPr>
          <w:rFonts w:ascii="宋体" w:hAnsi="宋体"/>
          <w:b/>
        </w:rPr>
        <w:t>2</w:t>
      </w:r>
      <w:r>
        <w:rPr>
          <w:rFonts w:hint="eastAsia" w:ascii="宋体" w:hAnsi="宋体"/>
          <w:b/>
        </w:rPr>
        <w:t>、上述审查项目中，任意一项不符合的，资格性审查不合格。</w:t>
      </w:r>
    </w:p>
    <w:p>
      <w:pPr>
        <w:wordWrap w:val="0"/>
        <w:spacing w:line="320" w:lineRule="exact"/>
        <w:ind w:firstLine="422" w:firstLineChars="200"/>
        <w:rPr>
          <w:rFonts w:ascii="宋体" w:hAnsi="宋体"/>
          <w:b/>
        </w:rPr>
      </w:pPr>
      <w:r>
        <w:rPr>
          <w:rFonts w:ascii="宋体" w:hAnsi="宋体"/>
          <w:b/>
        </w:rPr>
        <w:t>3</w:t>
      </w:r>
      <w:r>
        <w:rPr>
          <w:rFonts w:hint="eastAsia" w:ascii="宋体" w:hAnsi="宋体"/>
          <w:b/>
        </w:rPr>
        <w:t>、依法免税或不需要缴纳社保的供应商，应提供相应文件证明其依法免税或不需要缴纳社保。</w:t>
      </w:r>
    </w:p>
    <w:p>
      <w:pPr>
        <w:wordWrap w:val="0"/>
        <w:spacing w:line="320" w:lineRule="exact"/>
        <w:ind w:firstLine="422" w:firstLineChars="200"/>
        <w:rPr>
          <w:rFonts w:ascii="宋体" w:hAnsi="宋体"/>
          <w:b/>
        </w:rPr>
      </w:pPr>
      <w:r>
        <w:rPr>
          <w:rFonts w:ascii="宋体" w:hAnsi="宋体"/>
          <w:b/>
        </w:rPr>
        <w:t>4</w:t>
      </w:r>
      <w:r>
        <w:rPr>
          <w:rFonts w:hint="eastAsia" w:ascii="宋体" w:hAnsi="宋体"/>
          <w:b/>
        </w:rPr>
        <w:t>、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wordWrap w:val="0"/>
        <w:spacing w:line="320" w:lineRule="exact"/>
        <w:ind w:firstLine="517" w:firstLineChars="245"/>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wordWrap w:val="0"/>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pPr>
        <w:widowControl/>
        <w:wordWrap w:val="0"/>
        <w:snapToGrid w:val="0"/>
        <w:spacing w:line="560" w:lineRule="exact"/>
        <w:jc w:val="center"/>
        <w:rPr>
          <w:rFonts w:ascii="宋体" w:hAnsi="宋体"/>
          <w:b/>
          <w:szCs w:val="21"/>
        </w:rPr>
      </w:pPr>
      <w:r>
        <w:rPr>
          <w:rFonts w:hint="eastAsia" w:ascii="宋体" w:hAnsi="宋体"/>
          <w:b/>
          <w:szCs w:val="21"/>
        </w:rPr>
        <w:t>符合性审查表</w:t>
      </w:r>
    </w:p>
    <w:tbl>
      <w:tblPr>
        <w:tblStyle w:val="12"/>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3988"/>
        <w:gridCol w:w="4707"/>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0" w:type="dxa"/>
          </w:tcPr>
          <w:p>
            <w:pPr>
              <w:wordWrap w:val="0"/>
              <w:snapToGrid w:val="0"/>
              <w:spacing w:line="400" w:lineRule="exact"/>
              <w:jc w:val="center"/>
              <w:rPr>
                <w:rFonts w:ascii="宋体" w:hAnsi="宋体"/>
                <w:b/>
                <w:szCs w:val="21"/>
              </w:rPr>
            </w:pPr>
            <w:r>
              <w:rPr>
                <w:rFonts w:hint="eastAsia" w:ascii="宋体" w:hAnsi="宋体"/>
                <w:b/>
                <w:szCs w:val="21"/>
              </w:rPr>
              <w:t>序号</w:t>
            </w:r>
          </w:p>
        </w:tc>
        <w:tc>
          <w:tcPr>
            <w:tcW w:w="3988" w:type="dxa"/>
            <w:vAlign w:val="center"/>
          </w:tcPr>
          <w:p>
            <w:pPr>
              <w:wordWrap w:val="0"/>
              <w:snapToGrid w:val="0"/>
              <w:spacing w:line="400" w:lineRule="exact"/>
              <w:jc w:val="center"/>
              <w:rPr>
                <w:rFonts w:ascii="宋体" w:hAnsi="宋体"/>
                <w:b/>
                <w:szCs w:val="21"/>
              </w:rPr>
            </w:pPr>
            <w:r>
              <w:rPr>
                <w:rFonts w:hint="eastAsia" w:ascii="宋体" w:hAnsi="宋体"/>
                <w:b/>
                <w:szCs w:val="21"/>
              </w:rPr>
              <w:t>要求说明</w:t>
            </w:r>
          </w:p>
        </w:tc>
        <w:tc>
          <w:tcPr>
            <w:tcW w:w="4707" w:type="dxa"/>
            <w:vAlign w:val="center"/>
          </w:tcPr>
          <w:p>
            <w:pPr>
              <w:wordWrap w:val="0"/>
              <w:snapToGrid w:val="0"/>
              <w:spacing w:line="400" w:lineRule="exact"/>
              <w:jc w:val="center"/>
              <w:rPr>
                <w:rFonts w:ascii="宋体" w:hAnsi="宋体"/>
                <w:b/>
                <w:szCs w:val="21"/>
              </w:rPr>
            </w:pPr>
            <w:r>
              <w:rPr>
                <w:rFonts w:hint="eastAsia" w:ascii="宋体" w:hAnsi="宋体"/>
                <w:b/>
                <w:szCs w:val="21"/>
              </w:rPr>
              <w:t>审查要求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400" w:lineRule="exact"/>
              <w:jc w:val="center"/>
              <w:rPr>
                <w:rFonts w:ascii="宋体" w:hAnsi="宋体"/>
                <w:szCs w:val="21"/>
              </w:rPr>
            </w:pPr>
            <w:r>
              <w:rPr>
                <w:rFonts w:ascii="宋体" w:hAnsi="宋体"/>
                <w:szCs w:val="21"/>
              </w:rPr>
              <w:t>1</w:t>
            </w:r>
          </w:p>
        </w:tc>
        <w:tc>
          <w:tcPr>
            <w:tcW w:w="3988" w:type="dxa"/>
            <w:vAlign w:val="center"/>
          </w:tcPr>
          <w:p>
            <w:pPr>
              <w:wordWrap w:val="0"/>
              <w:snapToGrid w:val="0"/>
              <w:spacing w:line="40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4707" w:type="dxa"/>
            <w:vAlign w:val="center"/>
          </w:tcPr>
          <w:p>
            <w:pPr>
              <w:wordWrap w:val="0"/>
              <w:snapToGrid w:val="0"/>
              <w:spacing w:line="400" w:lineRule="exact"/>
              <w:rPr>
                <w:rFonts w:ascii="宋体" w:hAnsi="宋体"/>
                <w:szCs w:val="21"/>
              </w:rPr>
            </w:pPr>
            <w:r>
              <w:rPr>
                <w:rFonts w:hint="eastAsia" w:ascii="宋体" w:hAnsi="宋体"/>
                <w:szCs w:val="21"/>
              </w:rPr>
              <w:t>提供“投标书”。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400" w:lineRule="exact"/>
              <w:jc w:val="center"/>
              <w:rPr>
                <w:rFonts w:ascii="宋体" w:hAnsi="宋体"/>
                <w:szCs w:val="21"/>
              </w:rPr>
            </w:pPr>
            <w:r>
              <w:rPr>
                <w:rFonts w:ascii="宋体" w:hAnsi="宋体"/>
                <w:szCs w:val="21"/>
              </w:rPr>
              <w:t>2</w:t>
            </w:r>
          </w:p>
        </w:tc>
        <w:tc>
          <w:tcPr>
            <w:tcW w:w="3988" w:type="dxa"/>
            <w:vAlign w:val="center"/>
          </w:tcPr>
          <w:p>
            <w:pPr>
              <w:wordWrap w:val="0"/>
              <w:snapToGrid w:val="0"/>
              <w:spacing w:line="400" w:lineRule="exact"/>
              <w:rPr>
                <w:rFonts w:ascii="宋体" w:hAnsi="宋体"/>
                <w:szCs w:val="21"/>
              </w:rPr>
            </w:pPr>
            <w:r>
              <w:rPr>
                <w:rFonts w:hint="eastAsia" w:ascii="宋体" w:hAnsi="宋体"/>
                <w:szCs w:val="21"/>
              </w:rPr>
              <w:t>法定代表人身份证明、法定代表人授权书。</w:t>
            </w:r>
          </w:p>
        </w:tc>
        <w:tc>
          <w:tcPr>
            <w:tcW w:w="4707" w:type="dxa"/>
            <w:vAlign w:val="center"/>
          </w:tcPr>
          <w:p>
            <w:pPr>
              <w:wordWrap w:val="0"/>
              <w:snapToGrid w:val="0"/>
              <w:spacing w:line="400" w:lineRule="exact"/>
              <w:rPr>
                <w:rFonts w:ascii="宋体" w:hAnsi="宋体"/>
                <w:szCs w:val="21"/>
              </w:rPr>
            </w:pPr>
            <w:r>
              <w:rPr>
                <w:rFonts w:hint="eastAsia" w:ascii="宋体" w:hAnsi="宋体"/>
                <w:szCs w:val="21"/>
              </w:rPr>
              <w:t>（1）投标文件由法定代表人签字的，提供“法定代表人身份证明”。</w:t>
            </w:r>
          </w:p>
          <w:p>
            <w:pPr>
              <w:wordWrap w:val="0"/>
              <w:snapToGrid w:val="0"/>
              <w:spacing w:line="400" w:lineRule="exact"/>
              <w:rPr>
                <w:rFonts w:ascii="宋体" w:hAnsi="宋体"/>
                <w:szCs w:val="21"/>
              </w:rPr>
            </w:pPr>
            <w:r>
              <w:rPr>
                <w:rFonts w:hint="eastAsia" w:ascii="宋体" w:hAnsi="宋体"/>
                <w:szCs w:val="21"/>
              </w:rPr>
              <w:t>（2）投标文件由授权代表签字的，提供“法定代表人身份证明”和“法定代表人授权书”，并提供社保部门出具的供应商单位为授权代表缴纳社保的证明资料复印件。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400" w:lineRule="exact"/>
              <w:jc w:val="center"/>
              <w:rPr>
                <w:rFonts w:ascii="宋体" w:hAnsi="宋体"/>
                <w:szCs w:val="21"/>
              </w:rPr>
            </w:pPr>
            <w:r>
              <w:rPr>
                <w:rFonts w:hint="eastAsia" w:ascii="宋体" w:hAnsi="宋体"/>
                <w:szCs w:val="21"/>
              </w:rPr>
              <w:t>3</w:t>
            </w:r>
          </w:p>
        </w:tc>
        <w:tc>
          <w:tcPr>
            <w:tcW w:w="3988" w:type="dxa"/>
            <w:vAlign w:val="center"/>
          </w:tcPr>
          <w:p>
            <w:pPr>
              <w:wordWrap w:val="0"/>
              <w:snapToGrid w:val="0"/>
              <w:spacing w:line="40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4707" w:type="dxa"/>
            <w:vAlign w:val="center"/>
          </w:tcPr>
          <w:p>
            <w:pPr>
              <w:wordWrap w:val="0"/>
              <w:snapToGrid w:val="0"/>
              <w:spacing w:line="400" w:lineRule="exact"/>
              <w:rPr>
                <w:rFonts w:ascii="宋体" w:hAnsi="宋体"/>
                <w:szCs w:val="21"/>
              </w:rPr>
            </w:pPr>
            <w:r>
              <w:rPr>
                <w:rFonts w:hint="eastAsia" w:ascii="宋体" w:hAnsi="宋体"/>
                <w:szCs w:val="21"/>
              </w:rPr>
              <w:t>投标文件的签署盖章。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400" w:lineRule="exact"/>
              <w:jc w:val="center"/>
              <w:rPr>
                <w:rFonts w:ascii="宋体" w:hAnsi="宋体"/>
                <w:szCs w:val="21"/>
              </w:rPr>
            </w:pPr>
            <w:r>
              <w:rPr>
                <w:rFonts w:hint="eastAsia" w:ascii="宋体" w:hAnsi="宋体"/>
                <w:szCs w:val="21"/>
              </w:rPr>
              <w:t>4</w:t>
            </w:r>
          </w:p>
        </w:tc>
        <w:tc>
          <w:tcPr>
            <w:tcW w:w="3988" w:type="dxa"/>
            <w:vAlign w:val="center"/>
          </w:tcPr>
          <w:p>
            <w:pPr>
              <w:wordWrap w:val="0"/>
              <w:snapToGrid w:val="0"/>
              <w:spacing w:line="400" w:lineRule="exact"/>
              <w:rPr>
                <w:rFonts w:ascii="宋体" w:hAnsi="宋体"/>
                <w:szCs w:val="21"/>
              </w:rPr>
            </w:pPr>
            <w:r>
              <w:rPr>
                <w:rFonts w:hint="eastAsia" w:ascii="宋体" w:hAnsi="宋体"/>
                <w:szCs w:val="21"/>
              </w:rPr>
              <w:t>对同个标项不允许提供两个投标方案。</w:t>
            </w:r>
          </w:p>
        </w:tc>
        <w:tc>
          <w:tcPr>
            <w:tcW w:w="4707" w:type="dxa"/>
            <w:vAlign w:val="center"/>
          </w:tcPr>
          <w:p>
            <w:pPr>
              <w:wordWrap w:val="0"/>
              <w:snapToGrid w:val="0"/>
              <w:spacing w:line="400" w:lineRule="exact"/>
              <w:rPr>
                <w:rFonts w:ascii="宋体" w:hAnsi="宋体"/>
                <w:szCs w:val="21"/>
              </w:rPr>
            </w:pPr>
            <w:r>
              <w:rPr>
                <w:rFonts w:hint="eastAsia" w:ascii="宋体" w:hAnsi="宋体"/>
                <w:szCs w:val="21"/>
              </w:rPr>
              <w:t>是否有两个投标方案。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400" w:lineRule="exact"/>
              <w:jc w:val="center"/>
              <w:rPr>
                <w:rFonts w:ascii="宋体" w:hAnsi="宋体"/>
                <w:szCs w:val="21"/>
              </w:rPr>
            </w:pPr>
            <w:r>
              <w:rPr>
                <w:rFonts w:hint="eastAsia" w:ascii="宋体" w:hAnsi="宋体"/>
                <w:szCs w:val="21"/>
              </w:rPr>
              <w:t>5</w:t>
            </w:r>
          </w:p>
        </w:tc>
        <w:tc>
          <w:tcPr>
            <w:tcW w:w="3988" w:type="dxa"/>
            <w:vAlign w:val="center"/>
          </w:tcPr>
          <w:p>
            <w:pPr>
              <w:wordWrap w:val="0"/>
              <w:snapToGrid w:val="0"/>
              <w:spacing w:line="400" w:lineRule="exact"/>
              <w:rPr>
                <w:rFonts w:ascii="宋体" w:hAnsi="宋体"/>
                <w:szCs w:val="21"/>
              </w:rPr>
            </w:pPr>
            <w:r>
              <w:rPr>
                <w:rFonts w:hint="eastAsia" w:ascii="宋体" w:hAnsi="宋体"/>
                <w:szCs w:val="21"/>
              </w:rPr>
              <w:t>供应商不得在投标活动中提供任何虚假材料或从事其他违法活动的。</w:t>
            </w:r>
          </w:p>
        </w:tc>
        <w:tc>
          <w:tcPr>
            <w:tcW w:w="4707" w:type="dxa"/>
            <w:vAlign w:val="center"/>
          </w:tcPr>
          <w:p>
            <w:pPr>
              <w:wordWrap w:val="0"/>
              <w:snapToGrid w:val="0"/>
              <w:spacing w:line="400" w:lineRule="exact"/>
              <w:rPr>
                <w:rFonts w:ascii="宋体" w:hAnsi="宋体"/>
                <w:szCs w:val="21"/>
              </w:rPr>
            </w:pPr>
            <w:r>
              <w:rPr>
                <w:rFonts w:hint="eastAsia" w:ascii="宋体" w:hAnsi="宋体"/>
                <w:szCs w:val="21"/>
              </w:rPr>
              <w:t>不得提供任何虚假材料或从事其他违法活动。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400" w:lineRule="exact"/>
              <w:jc w:val="center"/>
              <w:rPr>
                <w:rFonts w:ascii="宋体" w:hAnsi="宋体"/>
                <w:szCs w:val="21"/>
              </w:rPr>
            </w:pPr>
            <w:r>
              <w:rPr>
                <w:rFonts w:hint="eastAsia" w:ascii="宋体" w:hAnsi="宋体"/>
                <w:szCs w:val="21"/>
              </w:rPr>
              <w:t>6</w:t>
            </w:r>
          </w:p>
        </w:tc>
        <w:tc>
          <w:tcPr>
            <w:tcW w:w="3988" w:type="dxa"/>
            <w:vAlign w:val="center"/>
          </w:tcPr>
          <w:p>
            <w:pPr>
              <w:wordWrap w:val="0"/>
              <w:snapToGrid w:val="0"/>
              <w:spacing w:line="400" w:lineRule="exact"/>
              <w:rPr>
                <w:rFonts w:ascii="宋体" w:hAnsi="宋体"/>
                <w:szCs w:val="21"/>
              </w:rPr>
            </w:pPr>
            <w:r>
              <w:rPr>
                <w:rFonts w:hint="eastAsia" w:ascii="宋体" w:hAnsi="宋体"/>
                <w:szCs w:val="21"/>
              </w:rPr>
              <w:t>评标委员会经过审查，认定供应商虚假应标、串通投标的，有下列情形之一的，视为供应商串通投标：</w:t>
            </w:r>
          </w:p>
          <w:p>
            <w:pPr>
              <w:widowControl/>
              <w:wordWrap w:val="0"/>
              <w:snapToGrid w:val="0"/>
              <w:spacing w:line="40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）不同供应商的投标文件由同一单位或者个人编制；</w:t>
            </w:r>
          </w:p>
          <w:p>
            <w:pPr>
              <w:widowControl/>
              <w:wordWrap w:val="0"/>
              <w:snapToGrid w:val="0"/>
              <w:spacing w:line="40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）不同供应商委托同一单位或者个人办理投标事宜；</w:t>
            </w:r>
          </w:p>
          <w:p>
            <w:pPr>
              <w:widowControl/>
              <w:wordWrap w:val="0"/>
              <w:snapToGrid w:val="0"/>
              <w:spacing w:line="40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）不同供应商的投标文件载明的项目管理成员或者联系人员为同一人；</w:t>
            </w:r>
          </w:p>
          <w:p>
            <w:pPr>
              <w:widowControl/>
              <w:wordWrap w:val="0"/>
              <w:snapToGrid w:val="0"/>
              <w:spacing w:line="40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）不同供应商的投标文件异常一致或者投标报价呈规律性差异；</w:t>
            </w:r>
          </w:p>
          <w:p>
            <w:pPr>
              <w:widowControl/>
              <w:wordWrap w:val="0"/>
              <w:snapToGrid w:val="0"/>
              <w:spacing w:line="400" w:lineRule="exact"/>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）不同供应商的投标文件相互混装。</w:t>
            </w:r>
          </w:p>
        </w:tc>
        <w:tc>
          <w:tcPr>
            <w:tcW w:w="4707" w:type="dxa"/>
            <w:vAlign w:val="center"/>
          </w:tcPr>
          <w:p>
            <w:pPr>
              <w:wordWrap w:val="0"/>
              <w:snapToGrid w:val="0"/>
              <w:spacing w:line="400" w:lineRule="exact"/>
              <w:rPr>
                <w:rFonts w:ascii="宋体" w:hAnsi="宋体"/>
                <w:szCs w:val="21"/>
              </w:rPr>
            </w:pPr>
            <w:r>
              <w:rPr>
                <w:rFonts w:hint="eastAsia" w:ascii="宋体" w:hAnsi="宋体"/>
                <w:szCs w:val="21"/>
              </w:rPr>
              <w:t>不得有所述情形。</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400" w:lineRule="exact"/>
              <w:jc w:val="center"/>
              <w:rPr>
                <w:rFonts w:ascii="宋体" w:hAnsi="宋体"/>
                <w:szCs w:val="21"/>
              </w:rPr>
            </w:pPr>
            <w:r>
              <w:rPr>
                <w:rFonts w:hint="eastAsia" w:ascii="宋体" w:hAnsi="宋体"/>
                <w:szCs w:val="21"/>
              </w:rPr>
              <w:t>7</w:t>
            </w:r>
          </w:p>
        </w:tc>
        <w:tc>
          <w:tcPr>
            <w:tcW w:w="3988" w:type="dxa"/>
            <w:vAlign w:val="center"/>
          </w:tcPr>
          <w:p>
            <w:pPr>
              <w:wordWrap w:val="0"/>
              <w:snapToGrid w:val="0"/>
              <w:spacing w:line="400" w:lineRule="exact"/>
              <w:rPr>
                <w:rFonts w:ascii="宋体" w:hAnsi="宋体"/>
                <w:szCs w:val="21"/>
              </w:rPr>
            </w:pPr>
            <w:r>
              <w:rPr>
                <w:rFonts w:hint="eastAsia" w:ascii="宋体" w:hAnsi="宋体"/>
                <w:szCs w:val="21"/>
              </w:rPr>
              <w:t>符合法律、法规和采购文件中规定的其他实质性要求（实质性要求采购文件中“</w:t>
            </w:r>
            <w:r>
              <w:rPr>
                <w:rFonts w:hint="eastAsia" w:ascii="宋体" w:hAnsi="宋体"/>
                <w:b/>
                <w:sz w:val="24"/>
              </w:rPr>
              <w:t>▲</w:t>
            </w:r>
            <w:r>
              <w:rPr>
                <w:rFonts w:hint="eastAsia" w:ascii="宋体" w:hAnsi="宋体"/>
                <w:szCs w:val="21"/>
              </w:rPr>
              <w:t>”标记）</w:t>
            </w:r>
          </w:p>
        </w:tc>
        <w:tc>
          <w:tcPr>
            <w:tcW w:w="4707" w:type="dxa"/>
            <w:vAlign w:val="center"/>
          </w:tcPr>
          <w:p>
            <w:pPr>
              <w:wordWrap w:val="0"/>
              <w:snapToGrid w:val="0"/>
              <w:spacing w:line="400" w:lineRule="exact"/>
              <w:rPr>
                <w:rFonts w:ascii="宋体" w:hAnsi="宋体"/>
                <w:szCs w:val="21"/>
              </w:rPr>
            </w:pPr>
            <w:r>
              <w:rPr>
                <w:rFonts w:hint="eastAsia" w:ascii="宋体" w:hAnsi="宋体"/>
                <w:szCs w:val="21"/>
              </w:rPr>
              <w:t>符合所述要求。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400" w:lineRule="exact"/>
              <w:jc w:val="center"/>
              <w:rPr>
                <w:rFonts w:ascii="宋体" w:hAnsi="宋体"/>
                <w:szCs w:val="21"/>
              </w:rPr>
            </w:pPr>
            <w:r>
              <w:rPr>
                <w:rFonts w:hint="eastAsia" w:ascii="宋体" w:hAnsi="宋体"/>
                <w:szCs w:val="21"/>
              </w:rPr>
              <w:t>8</w:t>
            </w:r>
          </w:p>
        </w:tc>
        <w:tc>
          <w:tcPr>
            <w:tcW w:w="3988" w:type="dxa"/>
            <w:vAlign w:val="center"/>
          </w:tcPr>
          <w:p>
            <w:pPr>
              <w:wordWrap w:val="0"/>
              <w:snapToGrid w:val="0"/>
              <w:spacing w:line="400" w:lineRule="exact"/>
              <w:rPr>
                <w:rFonts w:ascii="宋体" w:hAnsi="宋体"/>
                <w:szCs w:val="21"/>
              </w:rPr>
            </w:pPr>
            <w:r>
              <w:rPr>
                <w:rFonts w:hint="eastAsia" w:ascii="宋体" w:hAnsi="宋体"/>
                <w:szCs w:val="21"/>
              </w:rPr>
              <w:t>本项目不接受联合体投标。</w:t>
            </w:r>
          </w:p>
        </w:tc>
        <w:tc>
          <w:tcPr>
            <w:tcW w:w="4707" w:type="dxa"/>
            <w:vAlign w:val="center"/>
          </w:tcPr>
          <w:p>
            <w:pPr>
              <w:wordWrap w:val="0"/>
              <w:snapToGrid w:val="0"/>
              <w:spacing w:line="400" w:lineRule="exact"/>
              <w:rPr>
                <w:rFonts w:ascii="宋体" w:hAnsi="宋体"/>
                <w:szCs w:val="21"/>
              </w:rPr>
            </w:pPr>
            <w:r>
              <w:rPr>
                <w:rFonts w:hint="eastAsia" w:ascii="宋体" w:hAnsi="宋体"/>
                <w:szCs w:val="21"/>
              </w:rPr>
              <w:t>供应商非联合体。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400" w:lineRule="exact"/>
              <w:jc w:val="center"/>
              <w:rPr>
                <w:rFonts w:ascii="宋体" w:hAnsi="宋体"/>
                <w:szCs w:val="21"/>
              </w:rPr>
            </w:pPr>
            <w:r>
              <w:rPr>
                <w:rFonts w:hint="eastAsia" w:ascii="宋体" w:hAnsi="宋体"/>
                <w:szCs w:val="21"/>
              </w:rPr>
              <w:t>9</w:t>
            </w:r>
          </w:p>
        </w:tc>
        <w:tc>
          <w:tcPr>
            <w:tcW w:w="3988" w:type="dxa"/>
            <w:vAlign w:val="center"/>
          </w:tcPr>
          <w:p>
            <w:pPr>
              <w:wordWrap w:val="0"/>
              <w:spacing w:line="360" w:lineRule="auto"/>
              <w:rPr>
                <w:rFonts w:ascii="宋体" w:hAnsi="宋体"/>
                <w:szCs w:val="21"/>
              </w:rPr>
            </w:pPr>
            <w:r>
              <w:rPr>
                <w:rFonts w:hint="eastAsia" w:ascii="宋体" w:hAnsi="宋体"/>
                <w:szCs w:val="21"/>
              </w:rPr>
              <w:t>本次公开招标设有最高限价：人民币6000000元，投标价超出最高限价作无效标处理。</w:t>
            </w:r>
          </w:p>
        </w:tc>
        <w:tc>
          <w:tcPr>
            <w:tcW w:w="4707" w:type="dxa"/>
            <w:vAlign w:val="center"/>
          </w:tcPr>
          <w:p>
            <w:pPr>
              <w:wordWrap w:val="0"/>
              <w:spacing w:line="400" w:lineRule="exact"/>
              <w:rPr>
                <w:rFonts w:ascii="宋体" w:hAnsi="宋体"/>
                <w:szCs w:val="21"/>
              </w:rPr>
            </w:pPr>
            <w:r>
              <w:rPr>
                <w:rFonts w:hint="eastAsia" w:ascii="宋体" w:hAnsi="宋体"/>
                <w:szCs w:val="21"/>
              </w:rPr>
              <w:t>提供“开标一览表”、“分项报价表”。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400" w:lineRule="exact"/>
              <w:jc w:val="center"/>
              <w:rPr>
                <w:rFonts w:ascii="宋体" w:hAnsi="宋体"/>
                <w:szCs w:val="21"/>
              </w:rPr>
            </w:pPr>
            <w:r>
              <w:rPr>
                <w:rFonts w:hint="eastAsia" w:ascii="宋体" w:hAnsi="宋体"/>
                <w:szCs w:val="21"/>
              </w:rPr>
              <w:t>10</w:t>
            </w:r>
          </w:p>
        </w:tc>
        <w:tc>
          <w:tcPr>
            <w:tcW w:w="3988" w:type="dxa"/>
            <w:vAlign w:val="center"/>
          </w:tcPr>
          <w:p>
            <w:pPr>
              <w:wordWrap w:val="0"/>
              <w:spacing w:line="400" w:lineRule="exact"/>
              <w:rPr>
                <w:rFonts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707" w:type="dxa"/>
            <w:vAlign w:val="center"/>
          </w:tcPr>
          <w:p>
            <w:pPr>
              <w:wordWrap w:val="0"/>
              <w:spacing w:line="400" w:lineRule="exact"/>
              <w:rPr>
                <w:rFonts w:ascii="宋体" w:hAnsi="宋体"/>
                <w:szCs w:val="21"/>
              </w:rPr>
            </w:pPr>
            <w:r>
              <w:rPr>
                <w:rFonts w:hint="eastAsia" w:ascii="宋体" w:hAnsi="宋体"/>
                <w:szCs w:val="21"/>
              </w:rPr>
              <w:t>符合所述要求。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708" w:type="dxa"/>
            <w:gridSpan w:val="2"/>
            <w:vAlign w:val="center"/>
          </w:tcPr>
          <w:p>
            <w:pPr>
              <w:wordWrap w:val="0"/>
              <w:snapToGrid w:val="0"/>
              <w:spacing w:line="400" w:lineRule="exact"/>
              <w:jc w:val="center"/>
              <w:rPr>
                <w:rFonts w:ascii="宋体" w:hAnsi="宋体"/>
                <w:b/>
                <w:szCs w:val="21"/>
              </w:rPr>
            </w:pPr>
            <w:r>
              <w:rPr>
                <w:rFonts w:hint="eastAsia" w:ascii="宋体" w:hAnsi="宋体"/>
                <w:b/>
                <w:szCs w:val="21"/>
              </w:rPr>
              <w:t>符合性审查结论</w:t>
            </w:r>
          </w:p>
        </w:tc>
        <w:tc>
          <w:tcPr>
            <w:tcW w:w="4707" w:type="dxa"/>
            <w:vAlign w:val="center"/>
          </w:tcPr>
          <w:p>
            <w:pPr>
              <w:wordWrap w:val="0"/>
              <w:snapToGrid w:val="0"/>
              <w:spacing w:line="400" w:lineRule="exact"/>
              <w:rPr>
                <w:rFonts w:ascii="宋体" w:hAnsi="宋体"/>
                <w:szCs w:val="21"/>
              </w:rPr>
            </w:pPr>
          </w:p>
        </w:tc>
      </w:tr>
    </w:tbl>
    <w:p>
      <w:pPr>
        <w:wordWrap w:val="0"/>
        <w:spacing w:line="400" w:lineRule="exact"/>
        <w:rPr>
          <w:rFonts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pPr>
        <w:wordWrap w:val="0"/>
        <w:spacing w:line="400" w:lineRule="exact"/>
        <w:ind w:firstLine="413" w:firstLineChars="196"/>
        <w:rPr>
          <w:rFonts w:ascii="宋体" w:hAnsi="宋体"/>
          <w:b/>
        </w:rPr>
      </w:pPr>
      <w:r>
        <w:rPr>
          <w:rFonts w:hint="eastAsia" w:ascii="宋体" w:hAnsi="宋体"/>
          <w:b/>
        </w:rPr>
        <w:t>2、序号3-序号8、序号10在政采云上无须添加关联点。</w:t>
      </w:r>
    </w:p>
    <w:p>
      <w:pPr>
        <w:wordWrap w:val="0"/>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pPr>
        <w:wordWrap w:val="0"/>
        <w:spacing w:line="400" w:lineRule="exact"/>
        <w:jc w:val="center"/>
        <w:rPr>
          <w:rFonts w:ascii="宋体" w:hAnsi="宋体"/>
          <w:b/>
          <w:szCs w:val="21"/>
        </w:rPr>
      </w:pPr>
      <w:r>
        <w:rPr>
          <w:rFonts w:hint="eastAsia" w:ascii="宋体" w:hAnsi="宋体"/>
          <w:b/>
          <w:szCs w:val="21"/>
        </w:rPr>
        <w:t>商务和技术评分表</w:t>
      </w:r>
    </w:p>
    <w:tbl>
      <w:tblPr>
        <w:tblStyle w:val="12"/>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5880"/>
        <w:gridCol w:w="841"/>
        <w:gridCol w:w="663"/>
        <w:gridCol w:w="662"/>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6494" w:type="dxa"/>
            <w:gridSpan w:val="2"/>
            <w:tcBorders>
              <w:top w:val="single" w:color="auto" w:sz="4" w:space="0"/>
              <w:left w:val="single" w:color="auto" w:sz="4" w:space="0"/>
              <w:bottom w:val="single" w:color="auto" w:sz="4" w:space="0"/>
              <w:right w:val="single" w:color="auto" w:sz="2" w:space="0"/>
              <w:tl2br w:val="single" w:color="auto" w:sz="2" w:space="0"/>
            </w:tcBorders>
          </w:tcPr>
          <w:p>
            <w:pPr>
              <w:spacing w:line="400" w:lineRule="exact"/>
              <w:jc w:val="right"/>
              <w:rPr>
                <w:rFonts w:ascii="宋体" w:hAnsi="宋体" w:cs="宋体"/>
                <w:szCs w:val="21"/>
              </w:rPr>
            </w:pPr>
            <w:r>
              <w:rPr>
                <w:rFonts w:ascii="宋体" w:hAnsi="宋体"/>
                <w:szCs w:val="21"/>
              </w:rPr>
              <w:br w:type="page"/>
            </w:r>
            <w:r>
              <w:rPr>
                <w:rFonts w:hint="eastAsia" w:ascii="宋体" w:hAnsi="宋体" w:cs="宋体"/>
                <w:szCs w:val="21"/>
              </w:rPr>
              <w:t>投标单位</w:t>
            </w:r>
          </w:p>
          <w:p>
            <w:pPr>
              <w:spacing w:line="400" w:lineRule="exact"/>
              <w:rPr>
                <w:rFonts w:ascii="宋体" w:hAnsi="宋体" w:cs="宋体"/>
                <w:szCs w:val="21"/>
              </w:rPr>
            </w:pPr>
            <w:r>
              <w:rPr>
                <w:rFonts w:hint="eastAsia" w:ascii="宋体" w:hAnsi="宋体" w:cs="宋体"/>
                <w:szCs w:val="21"/>
              </w:rPr>
              <w:t>评分项及分值</w:t>
            </w:r>
          </w:p>
        </w:tc>
        <w:tc>
          <w:tcPr>
            <w:tcW w:w="841" w:type="dxa"/>
            <w:tcBorders>
              <w:top w:val="single" w:color="auto" w:sz="4" w:space="0"/>
              <w:left w:val="single" w:color="auto" w:sz="2" w:space="0"/>
              <w:bottom w:val="single" w:color="auto" w:sz="4" w:space="0"/>
              <w:right w:val="single" w:color="auto" w:sz="2" w:space="0"/>
            </w:tcBorders>
            <w:vAlign w:val="center"/>
          </w:tcPr>
          <w:p>
            <w:pPr>
              <w:tabs>
                <w:tab w:val="left" w:pos="5245"/>
              </w:tabs>
              <w:spacing w:line="400" w:lineRule="exact"/>
              <w:jc w:val="center"/>
              <w:rPr>
                <w:rFonts w:ascii="宋体" w:hAnsi="宋体" w:cs="宋体"/>
                <w:szCs w:val="21"/>
              </w:rPr>
            </w:pPr>
            <w:r>
              <w:rPr>
                <w:rFonts w:hint="eastAsia" w:ascii="宋体" w:hAnsi="宋体" w:cs="宋体"/>
                <w:szCs w:val="21"/>
              </w:rPr>
              <w:t>分值</w:t>
            </w:r>
          </w:p>
        </w:tc>
        <w:tc>
          <w:tcPr>
            <w:tcW w:w="663" w:type="dxa"/>
            <w:tcBorders>
              <w:top w:val="single" w:color="auto" w:sz="4" w:space="0"/>
              <w:left w:val="single" w:color="auto" w:sz="2" w:space="0"/>
              <w:bottom w:val="single" w:color="auto" w:sz="4" w:space="0"/>
              <w:right w:val="single" w:color="auto" w:sz="2" w:space="0"/>
            </w:tcBorders>
            <w:vAlign w:val="center"/>
          </w:tcPr>
          <w:p>
            <w:pPr>
              <w:tabs>
                <w:tab w:val="left" w:pos="5245"/>
              </w:tabs>
              <w:spacing w:line="400" w:lineRule="exact"/>
              <w:jc w:val="center"/>
              <w:rPr>
                <w:rFonts w:ascii="宋体" w:hAnsi="宋体" w:cs="宋体"/>
                <w:szCs w:val="21"/>
              </w:rPr>
            </w:pPr>
          </w:p>
        </w:tc>
        <w:tc>
          <w:tcPr>
            <w:tcW w:w="662" w:type="dxa"/>
            <w:tcBorders>
              <w:top w:val="single" w:color="auto" w:sz="4" w:space="0"/>
              <w:left w:val="single" w:color="auto" w:sz="2" w:space="0"/>
              <w:bottom w:val="single" w:color="auto" w:sz="4" w:space="0"/>
              <w:right w:val="single" w:color="auto" w:sz="2" w:space="0"/>
            </w:tcBorders>
            <w:vAlign w:val="center"/>
          </w:tcPr>
          <w:p>
            <w:pPr>
              <w:tabs>
                <w:tab w:val="left" w:pos="5245"/>
              </w:tabs>
              <w:spacing w:line="400" w:lineRule="exact"/>
              <w:jc w:val="center"/>
              <w:rPr>
                <w:rFonts w:ascii="宋体" w:hAnsi="宋体" w:cs="宋体"/>
                <w:szCs w:val="21"/>
              </w:rPr>
            </w:pPr>
          </w:p>
        </w:tc>
        <w:tc>
          <w:tcPr>
            <w:tcW w:w="687" w:type="dxa"/>
            <w:tcBorders>
              <w:top w:val="single" w:color="auto" w:sz="4" w:space="0"/>
              <w:left w:val="single" w:color="auto" w:sz="2" w:space="0"/>
              <w:bottom w:val="single" w:color="auto" w:sz="4" w:space="0"/>
              <w:right w:val="single" w:color="auto" w:sz="2" w:space="0"/>
            </w:tcBorders>
            <w:vAlign w:val="center"/>
          </w:tcPr>
          <w:p>
            <w:pPr>
              <w:tabs>
                <w:tab w:val="left" w:pos="524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5" w:hRule="atLeast"/>
          <w:jc w:val="center"/>
        </w:trPr>
        <w:tc>
          <w:tcPr>
            <w:tcW w:w="614" w:type="dxa"/>
            <w:vMerge w:val="restart"/>
            <w:tcBorders>
              <w:top w:val="single" w:color="auto" w:sz="4" w:space="0"/>
              <w:left w:val="single" w:color="auto" w:sz="4" w:space="0"/>
              <w:right w:val="single" w:color="auto" w:sz="2" w:space="0"/>
            </w:tcBorders>
            <w:textDirection w:val="tbRlV"/>
            <w:vAlign w:val="center"/>
          </w:tcPr>
          <w:p>
            <w:pPr>
              <w:tabs>
                <w:tab w:val="left" w:pos="5245"/>
              </w:tabs>
              <w:spacing w:line="400" w:lineRule="exact"/>
              <w:jc w:val="center"/>
              <w:rPr>
                <w:rFonts w:ascii="宋体" w:hAnsi="宋体" w:cs="宋体"/>
                <w:szCs w:val="21"/>
              </w:rPr>
            </w:pPr>
            <w:r>
              <w:rPr>
                <w:rFonts w:hint="eastAsia" w:ascii="宋体" w:hAnsi="宋体" w:cs="宋体"/>
                <w:szCs w:val="21"/>
              </w:rPr>
              <w:t>商务和技术分70分</w:t>
            </w:r>
          </w:p>
        </w:tc>
        <w:tc>
          <w:tcPr>
            <w:tcW w:w="5880" w:type="dxa"/>
            <w:tcBorders>
              <w:top w:val="single" w:color="auto" w:sz="4" w:space="0"/>
              <w:left w:val="single" w:color="auto" w:sz="2" w:space="0"/>
              <w:right w:val="single" w:color="auto" w:sz="2" w:space="0"/>
            </w:tcBorders>
            <w:vAlign w:val="center"/>
          </w:tcPr>
          <w:p>
            <w:pPr>
              <w:tabs>
                <w:tab w:val="left" w:pos="4915"/>
              </w:tabs>
              <w:spacing w:line="400" w:lineRule="exact"/>
            </w:pPr>
            <w:r>
              <w:rPr>
                <w:rFonts w:hint="eastAsia"/>
              </w:rPr>
              <w:t>技术参数响应性</w:t>
            </w:r>
          </w:p>
          <w:p>
            <w:pPr>
              <w:tabs>
                <w:tab w:val="left" w:pos="4469"/>
              </w:tabs>
              <w:spacing w:line="400" w:lineRule="exact"/>
              <w:jc w:val="left"/>
            </w:pPr>
            <w:r>
              <w:rPr>
                <w:bCs/>
                <w:szCs w:val="21"/>
              </w:rPr>
              <w:t>投标产品技术条款全部满足招标文件（第五章采购需求）要求的得</w:t>
            </w:r>
            <w:r>
              <w:rPr>
                <w:rFonts w:hint="eastAsia"/>
                <w:bCs/>
                <w:szCs w:val="21"/>
              </w:rPr>
              <w:t>30</w:t>
            </w:r>
            <w:r>
              <w:rPr>
                <w:bCs/>
                <w:szCs w:val="21"/>
              </w:rPr>
              <w:t>分，每负偏离一条</w:t>
            </w:r>
            <w:r>
              <w:rPr>
                <w:rFonts w:hint="eastAsia"/>
                <w:bCs/>
                <w:szCs w:val="21"/>
              </w:rPr>
              <w:t>普通</w:t>
            </w:r>
            <w:r>
              <w:rPr>
                <w:bCs/>
                <w:szCs w:val="21"/>
              </w:rPr>
              <w:t>技术条款扣</w:t>
            </w:r>
            <w:r>
              <w:rPr>
                <w:rFonts w:hint="eastAsia"/>
                <w:bCs/>
                <w:szCs w:val="21"/>
              </w:rPr>
              <w:t>1</w:t>
            </w:r>
            <w:r>
              <w:rPr>
                <w:bCs/>
                <w:szCs w:val="21"/>
              </w:rPr>
              <w:t>分，每负偏离</w:t>
            </w:r>
            <w:r>
              <w:rPr>
                <w:rFonts w:hint="eastAsia"/>
                <w:bCs/>
                <w:szCs w:val="21"/>
              </w:rPr>
              <w:t>（或未按要求提供支持或证明文件）</w:t>
            </w:r>
            <w:r>
              <w:rPr>
                <w:bCs/>
                <w:szCs w:val="21"/>
              </w:rPr>
              <w:t>一条</w:t>
            </w:r>
            <w:r>
              <w:rPr>
                <w:rFonts w:hint="eastAsia"/>
                <w:bCs/>
                <w:szCs w:val="21"/>
              </w:rPr>
              <w:t>带</w:t>
            </w:r>
            <w:r>
              <w:rPr>
                <w:rFonts w:hint="eastAsia" w:ascii="宋体" w:cs="宋体"/>
                <w:szCs w:val="21"/>
              </w:rPr>
              <w:t>★</w:t>
            </w:r>
            <w:r>
              <w:rPr>
                <w:bCs/>
                <w:szCs w:val="21"/>
              </w:rPr>
              <w:t>技术条款扣</w:t>
            </w:r>
            <w:r>
              <w:rPr>
                <w:rFonts w:hint="eastAsia"/>
                <w:bCs/>
                <w:szCs w:val="21"/>
              </w:rPr>
              <w:t>3</w:t>
            </w:r>
            <w:r>
              <w:rPr>
                <w:bCs/>
                <w:szCs w:val="21"/>
              </w:rPr>
              <w:t>分，负偏离</w:t>
            </w:r>
            <w:r>
              <w:rPr>
                <w:rFonts w:hint="eastAsia"/>
                <w:bCs/>
                <w:szCs w:val="21"/>
              </w:rPr>
              <w:t>（或未按要求提供支持或证明文件）带</w:t>
            </w:r>
            <w:r>
              <w:rPr>
                <w:rFonts w:hint="eastAsia" w:ascii="宋体" w:hAnsi="宋体"/>
                <w:bCs/>
                <w:szCs w:val="21"/>
              </w:rPr>
              <w:t>▲技术条款</w:t>
            </w:r>
            <w:r>
              <w:rPr>
                <w:bCs/>
                <w:szCs w:val="21"/>
              </w:rPr>
              <w:t>作无效标处理。</w:t>
            </w:r>
          </w:p>
        </w:tc>
        <w:tc>
          <w:tcPr>
            <w:tcW w:w="841" w:type="dxa"/>
            <w:tcBorders>
              <w:top w:val="single" w:color="auto" w:sz="4"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r>
              <w:rPr>
                <w:rFonts w:hint="eastAsia" w:ascii="宋体" w:hAnsi="宋体" w:cs="宋体"/>
                <w:szCs w:val="21"/>
              </w:rPr>
              <w:t>30分</w:t>
            </w:r>
          </w:p>
        </w:tc>
        <w:tc>
          <w:tcPr>
            <w:tcW w:w="663" w:type="dxa"/>
            <w:tcBorders>
              <w:top w:val="single" w:color="auto" w:sz="4"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c>
          <w:tcPr>
            <w:tcW w:w="662" w:type="dxa"/>
            <w:tcBorders>
              <w:top w:val="single" w:color="auto" w:sz="4"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c>
          <w:tcPr>
            <w:tcW w:w="687" w:type="dxa"/>
            <w:tcBorders>
              <w:top w:val="single" w:color="auto" w:sz="4"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jc w:val="center"/>
        </w:trPr>
        <w:tc>
          <w:tcPr>
            <w:tcW w:w="614" w:type="dxa"/>
            <w:vMerge w:val="continue"/>
            <w:tcBorders>
              <w:top w:val="single" w:color="auto" w:sz="4" w:space="0"/>
              <w:left w:val="single" w:color="auto" w:sz="4" w:space="0"/>
              <w:right w:val="single" w:color="auto" w:sz="2" w:space="0"/>
            </w:tcBorders>
            <w:textDirection w:val="tbRlV"/>
            <w:vAlign w:val="center"/>
          </w:tcPr>
          <w:p>
            <w:pPr>
              <w:tabs>
                <w:tab w:val="left" w:pos="5245"/>
              </w:tabs>
              <w:spacing w:line="400" w:lineRule="exact"/>
              <w:jc w:val="center"/>
              <w:rPr>
                <w:rFonts w:ascii="宋体" w:hAnsi="宋体" w:cs="宋体"/>
                <w:szCs w:val="21"/>
              </w:rPr>
            </w:pPr>
          </w:p>
        </w:tc>
        <w:tc>
          <w:tcPr>
            <w:tcW w:w="5880" w:type="dxa"/>
            <w:tcBorders>
              <w:top w:val="single" w:color="auto" w:sz="4" w:space="0"/>
              <w:left w:val="single" w:color="auto" w:sz="2" w:space="0"/>
              <w:right w:val="single" w:color="auto" w:sz="2" w:space="0"/>
            </w:tcBorders>
            <w:vAlign w:val="center"/>
          </w:tcPr>
          <w:p>
            <w:pPr>
              <w:tabs>
                <w:tab w:val="left" w:pos="4915"/>
              </w:tabs>
              <w:spacing w:line="400" w:lineRule="exact"/>
            </w:pPr>
            <w:r>
              <w:rPr>
                <w:rFonts w:hint="eastAsia"/>
              </w:rPr>
              <w:t>投标设备技术方案评议</w:t>
            </w:r>
          </w:p>
          <w:p>
            <w:pPr>
              <w:tabs>
                <w:tab w:val="left" w:pos="4915"/>
              </w:tabs>
              <w:spacing w:line="400" w:lineRule="exact"/>
            </w:pPr>
            <w:r>
              <w:rPr>
                <w:rFonts w:hint="eastAsia"/>
              </w:rPr>
              <w:t>根据各投标人提供的设备技术方案先进性、性能优劣性、可靠性等进行综合评议。</w:t>
            </w:r>
          </w:p>
          <w:p>
            <w:pPr>
              <w:tabs>
                <w:tab w:val="left" w:pos="4915"/>
              </w:tabs>
              <w:spacing w:line="400" w:lineRule="exact"/>
            </w:pPr>
            <w:r>
              <w:rPr>
                <w:rFonts w:hint="eastAsia"/>
              </w:rPr>
              <w:t>设备及软件技术先进、性能优越、可靠性完全符合采购需求的得8</w:t>
            </w:r>
            <w:r>
              <w:rPr>
                <w:rFonts w:hint="eastAsia"/>
                <w:lang w:eastAsia="zh-Hans"/>
              </w:rPr>
              <w:t>分</w:t>
            </w:r>
            <w:r>
              <w:rPr>
                <w:rFonts w:hint="eastAsia"/>
              </w:rPr>
              <w:t>；设备技术较为先进、性能较为优越、具有一定可靠性，符合采购需求的得6</w:t>
            </w:r>
            <w:r>
              <w:rPr>
                <w:rFonts w:hint="eastAsia"/>
                <w:lang w:eastAsia="zh-Hans"/>
              </w:rPr>
              <w:t>分</w:t>
            </w:r>
            <w:r>
              <w:rPr>
                <w:rFonts w:hint="eastAsia"/>
              </w:rPr>
              <w:t>；设备技术落后，基本符合采购需求的得4</w:t>
            </w:r>
            <w:r>
              <w:rPr>
                <w:rFonts w:hint="eastAsia"/>
                <w:lang w:eastAsia="zh-Hans"/>
              </w:rPr>
              <w:t>分</w:t>
            </w:r>
            <w:r>
              <w:rPr>
                <w:rFonts w:hint="eastAsia"/>
              </w:rPr>
              <w:t>；设备及软件存在缺陷、技术性能与采购需求差距过大的得2</w:t>
            </w:r>
            <w:r>
              <w:rPr>
                <w:rFonts w:hint="eastAsia"/>
                <w:lang w:eastAsia="zh-Hans"/>
              </w:rPr>
              <w:t>分</w:t>
            </w:r>
            <w:r>
              <w:rPr>
                <w:rFonts w:hint="eastAsia"/>
              </w:rPr>
              <w:t>；未提供不得分。</w:t>
            </w:r>
          </w:p>
        </w:tc>
        <w:tc>
          <w:tcPr>
            <w:tcW w:w="841" w:type="dxa"/>
            <w:tcBorders>
              <w:top w:val="single" w:color="auto" w:sz="4"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r>
              <w:rPr>
                <w:rFonts w:hint="eastAsia" w:cs="宋体"/>
                <w:szCs w:val="21"/>
              </w:rPr>
              <w:t>8分</w:t>
            </w:r>
          </w:p>
        </w:tc>
        <w:tc>
          <w:tcPr>
            <w:tcW w:w="663" w:type="dxa"/>
            <w:tcBorders>
              <w:top w:val="single" w:color="auto" w:sz="4"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c>
          <w:tcPr>
            <w:tcW w:w="662" w:type="dxa"/>
            <w:tcBorders>
              <w:top w:val="single" w:color="auto" w:sz="4"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c>
          <w:tcPr>
            <w:tcW w:w="687" w:type="dxa"/>
            <w:tcBorders>
              <w:top w:val="single" w:color="auto" w:sz="4"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2" w:hRule="atLeast"/>
          <w:jc w:val="center"/>
        </w:trPr>
        <w:tc>
          <w:tcPr>
            <w:tcW w:w="614" w:type="dxa"/>
            <w:vMerge w:val="continue"/>
            <w:tcBorders>
              <w:left w:val="single" w:color="auto" w:sz="4" w:space="0"/>
              <w:right w:val="single" w:color="auto" w:sz="2" w:space="0"/>
            </w:tcBorders>
            <w:vAlign w:val="center"/>
          </w:tcPr>
          <w:p>
            <w:pPr>
              <w:spacing w:line="400" w:lineRule="exact"/>
              <w:jc w:val="center"/>
              <w:rPr>
                <w:rFonts w:ascii="宋体" w:hAnsi="宋体" w:cs="宋体"/>
                <w:szCs w:val="21"/>
              </w:rPr>
            </w:pPr>
          </w:p>
        </w:tc>
        <w:tc>
          <w:tcPr>
            <w:tcW w:w="5880" w:type="dxa"/>
            <w:tcBorders>
              <w:top w:val="single" w:color="auto" w:sz="2" w:space="0"/>
              <w:left w:val="single" w:color="auto" w:sz="2" w:space="0"/>
              <w:right w:val="single" w:color="auto" w:sz="2" w:space="0"/>
            </w:tcBorders>
            <w:vAlign w:val="center"/>
          </w:tcPr>
          <w:p>
            <w:pPr>
              <w:tabs>
                <w:tab w:val="left" w:pos="4915"/>
              </w:tabs>
              <w:spacing w:line="400" w:lineRule="exact"/>
            </w:pPr>
            <w:r>
              <w:rPr>
                <w:rFonts w:hint="eastAsia"/>
              </w:rPr>
              <w:t>实施方案</w:t>
            </w:r>
          </w:p>
          <w:p>
            <w:pPr>
              <w:tabs>
                <w:tab w:val="left" w:pos="4915"/>
              </w:tabs>
              <w:spacing w:line="400" w:lineRule="exact"/>
            </w:pPr>
            <w:r>
              <w:rPr>
                <w:rFonts w:hint="eastAsia" w:ascii="宋体" w:hAnsi="宋体" w:cs="Courier New"/>
                <w:bCs/>
                <w:szCs w:val="21"/>
              </w:rPr>
              <w:t>项目实施方案详细，有详细实训基地企业文化设计方案及满足教学使用的设备布局图的，有明确的供货配送方案，在配送过程中对仪器设备有具体的保护措施，有人员配备及合理的项目进度安排计划，能保证本项目能按时完成，以上内容切合实际，内容明晰、简练，完全满足或优于本项目实施需求</w:t>
            </w:r>
            <w:r>
              <w:rPr>
                <w:rFonts w:hint="eastAsia" w:ascii="宋体" w:hAnsi="宋体" w:cs="宋体"/>
                <w:szCs w:val="21"/>
              </w:rPr>
              <w:t>的得8分；</w:t>
            </w:r>
            <w:r>
              <w:rPr>
                <w:rFonts w:hint="eastAsia" w:ascii="宋体" w:hAnsi="宋体" w:cs="Courier New"/>
                <w:bCs/>
                <w:szCs w:val="21"/>
              </w:rPr>
              <w:t>项目实施方案可行，具备笼统实训基地企业文化设计、设备布局初步方案，且有供货配送方案及人员配备等服务方案，符合本项目实际实施要求</w:t>
            </w:r>
            <w:r>
              <w:rPr>
                <w:rFonts w:hint="eastAsia" w:ascii="宋体" w:hAnsi="宋体" w:cs="宋体"/>
                <w:szCs w:val="21"/>
              </w:rPr>
              <w:t>的得6分；</w:t>
            </w:r>
            <w:r>
              <w:rPr>
                <w:rFonts w:hint="eastAsia" w:ascii="宋体" w:hAnsi="宋体" w:cs="Courier New"/>
                <w:bCs/>
                <w:szCs w:val="21"/>
              </w:rPr>
              <w:t>项目实施方案一般，笼统实训基地企业文化设计、设备布局初步方案一般，供货配送方案及人员配备等服务方案一般，基本符合本项目实际实施要求</w:t>
            </w:r>
            <w:r>
              <w:rPr>
                <w:rFonts w:hint="eastAsia" w:ascii="宋体" w:hAnsi="宋体" w:cs="宋体"/>
                <w:szCs w:val="21"/>
              </w:rPr>
              <w:t>的得4分；</w:t>
            </w:r>
            <w:r>
              <w:rPr>
                <w:rFonts w:hint="eastAsia" w:ascii="宋体" w:hAnsi="宋体" w:cs="Courier New"/>
                <w:bCs/>
                <w:szCs w:val="21"/>
              </w:rPr>
              <w:t>内容缺项过于简单，或内容冗杂多余且不切合项目实际的</w:t>
            </w:r>
            <w:r>
              <w:rPr>
                <w:rFonts w:hint="eastAsia" w:ascii="宋体" w:hAnsi="宋体" w:cs="宋体"/>
                <w:szCs w:val="21"/>
              </w:rPr>
              <w:t>得2分；未提供方案不得分。</w:t>
            </w:r>
          </w:p>
        </w:tc>
        <w:tc>
          <w:tcPr>
            <w:tcW w:w="841"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pPr>
            <w:r>
              <w:rPr>
                <w:rFonts w:hint="eastAsia" w:cs="宋体"/>
                <w:spacing w:val="0"/>
                <w:kern w:val="2"/>
                <w:sz w:val="21"/>
                <w:szCs w:val="21"/>
              </w:rPr>
              <w:t>8分</w:t>
            </w:r>
          </w:p>
        </w:tc>
        <w:tc>
          <w:tcPr>
            <w:tcW w:w="663"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c>
          <w:tcPr>
            <w:tcW w:w="662"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c>
          <w:tcPr>
            <w:tcW w:w="687"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614" w:type="dxa"/>
            <w:vMerge w:val="continue"/>
            <w:tcBorders>
              <w:left w:val="single" w:color="auto" w:sz="4" w:space="0"/>
              <w:right w:val="single" w:color="auto" w:sz="2" w:space="0"/>
            </w:tcBorders>
            <w:vAlign w:val="center"/>
          </w:tcPr>
          <w:p>
            <w:pPr>
              <w:spacing w:line="400" w:lineRule="exact"/>
              <w:jc w:val="center"/>
              <w:rPr>
                <w:rFonts w:ascii="宋体" w:hAnsi="宋体" w:cs="宋体"/>
                <w:szCs w:val="21"/>
              </w:rPr>
            </w:pPr>
          </w:p>
        </w:tc>
        <w:tc>
          <w:tcPr>
            <w:tcW w:w="5880" w:type="dxa"/>
            <w:tcBorders>
              <w:top w:val="single" w:color="auto" w:sz="2" w:space="0"/>
              <w:left w:val="single" w:color="auto" w:sz="2" w:space="0"/>
              <w:right w:val="single" w:color="auto" w:sz="2" w:space="0"/>
            </w:tcBorders>
            <w:vAlign w:val="center"/>
          </w:tcPr>
          <w:p>
            <w:pPr>
              <w:tabs>
                <w:tab w:val="left" w:pos="4915"/>
              </w:tabs>
              <w:spacing w:line="400" w:lineRule="exact"/>
              <w:rPr>
                <w:rFonts w:ascii="宋体" w:hAnsi="宋体" w:cs="Courier New"/>
                <w:bCs/>
                <w:szCs w:val="21"/>
              </w:rPr>
            </w:pPr>
            <w:r>
              <w:rPr>
                <w:rFonts w:hint="eastAsia" w:ascii="宋体" w:hAnsi="宋体" w:cs="Courier New"/>
                <w:bCs/>
                <w:szCs w:val="21"/>
              </w:rPr>
              <w:t>质量管理方案</w:t>
            </w:r>
          </w:p>
          <w:p>
            <w:pPr>
              <w:tabs>
                <w:tab w:val="left" w:pos="4915"/>
              </w:tabs>
              <w:spacing w:line="400" w:lineRule="exact"/>
            </w:pPr>
            <w:r>
              <w:rPr>
                <w:rFonts w:hint="eastAsia" w:ascii="宋体" w:hAnsi="宋体" w:cs="Courier New"/>
                <w:bCs/>
                <w:szCs w:val="21"/>
              </w:rPr>
              <w:t>有详细的质量保证措施，具备完整可行的出厂测试、安装调试方案，专业性强，关键节点把控清晰，并完全符合项目需求的，得8分；具备较专业的质量保证措施及安装调试方案，内容相对简单，满足项目需求的，得</w:t>
            </w:r>
            <w:r>
              <w:rPr>
                <w:rFonts w:ascii="宋体" w:hAnsi="宋体" w:cs="Courier New"/>
                <w:bCs/>
                <w:szCs w:val="21"/>
              </w:rPr>
              <w:t>6</w:t>
            </w:r>
            <w:r>
              <w:rPr>
                <w:rFonts w:hint="eastAsia" w:ascii="宋体" w:hAnsi="宋体" w:cs="Courier New"/>
                <w:bCs/>
                <w:szCs w:val="21"/>
              </w:rPr>
              <w:t>分；方案内容一般，具备笼统的质量管理方案，基本符合项目需求的得4分；内容缺项过于简单，或内容冗杂多余且不切合项目实际的</w:t>
            </w:r>
            <w:r>
              <w:rPr>
                <w:rFonts w:hint="eastAsia" w:ascii="宋体" w:hAnsi="宋体" w:cs="宋体"/>
                <w:szCs w:val="21"/>
              </w:rPr>
              <w:t>得2分；未提供方案不得分。</w:t>
            </w:r>
          </w:p>
        </w:tc>
        <w:tc>
          <w:tcPr>
            <w:tcW w:w="841"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r>
              <w:rPr>
                <w:rFonts w:cs="宋体"/>
                <w:spacing w:val="0"/>
                <w:kern w:val="2"/>
                <w:sz w:val="21"/>
                <w:szCs w:val="21"/>
              </w:rPr>
              <w:t>8</w:t>
            </w:r>
            <w:r>
              <w:rPr>
                <w:rFonts w:hint="eastAsia" w:cs="宋体"/>
                <w:spacing w:val="0"/>
                <w:kern w:val="2"/>
                <w:sz w:val="21"/>
                <w:szCs w:val="21"/>
              </w:rPr>
              <w:t>分</w:t>
            </w:r>
          </w:p>
        </w:tc>
        <w:tc>
          <w:tcPr>
            <w:tcW w:w="663"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c>
          <w:tcPr>
            <w:tcW w:w="662"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c>
          <w:tcPr>
            <w:tcW w:w="687"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7" w:hRule="atLeast"/>
          <w:jc w:val="center"/>
        </w:trPr>
        <w:tc>
          <w:tcPr>
            <w:tcW w:w="614" w:type="dxa"/>
            <w:vMerge w:val="continue"/>
            <w:tcBorders>
              <w:left w:val="single" w:color="auto" w:sz="4" w:space="0"/>
              <w:right w:val="single" w:color="auto" w:sz="2" w:space="0"/>
            </w:tcBorders>
            <w:vAlign w:val="center"/>
          </w:tcPr>
          <w:p>
            <w:pPr>
              <w:spacing w:line="400" w:lineRule="exact"/>
              <w:jc w:val="center"/>
              <w:rPr>
                <w:rFonts w:ascii="宋体" w:hAnsi="宋体" w:cs="宋体"/>
                <w:szCs w:val="21"/>
              </w:rPr>
            </w:pPr>
          </w:p>
        </w:tc>
        <w:tc>
          <w:tcPr>
            <w:tcW w:w="5880" w:type="dxa"/>
            <w:tcBorders>
              <w:top w:val="single" w:color="auto" w:sz="2" w:space="0"/>
              <w:left w:val="single" w:color="auto" w:sz="2" w:space="0"/>
              <w:right w:val="single" w:color="auto" w:sz="2" w:space="0"/>
            </w:tcBorders>
            <w:vAlign w:val="center"/>
          </w:tcPr>
          <w:p>
            <w:pPr>
              <w:tabs>
                <w:tab w:val="left" w:pos="4915"/>
              </w:tabs>
              <w:spacing w:line="400" w:lineRule="exact"/>
            </w:pPr>
            <w:r>
              <w:rPr>
                <w:rFonts w:hint="eastAsia"/>
              </w:rPr>
              <w:t>培训方案</w:t>
            </w:r>
          </w:p>
          <w:p>
            <w:pPr>
              <w:tabs>
                <w:tab w:val="left" w:pos="4915"/>
              </w:tabs>
              <w:spacing w:line="400" w:lineRule="exact"/>
            </w:pPr>
            <w:r>
              <w:rPr>
                <w:rFonts w:hint="eastAsia" w:ascii="宋体" w:hAnsi="宋体"/>
                <w:szCs w:val="21"/>
              </w:rPr>
              <w:t>根据实际情况做出可行性的、表述清晰、完整、科学的培训方案，培训内容及时间安排合理，完全满足培训要求</w:t>
            </w:r>
            <w:r>
              <w:rPr>
                <w:rFonts w:hint="eastAsia" w:ascii="宋体" w:hAnsi="宋体" w:cs="宋体"/>
                <w:szCs w:val="21"/>
              </w:rPr>
              <w:t>得</w:t>
            </w:r>
            <w:r>
              <w:rPr>
                <w:rFonts w:ascii="宋体" w:hAnsi="宋体" w:cs="宋体"/>
                <w:szCs w:val="21"/>
              </w:rPr>
              <w:t>6</w:t>
            </w:r>
            <w:r>
              <w:rPr>
                <w:rFonts w:hint="eastAsia" w:ascii="宋体" w:hAnsi="宋体" w:cs="宋体"/>
                <w:szCs w:val="21"/>
              </w:rPr>
              <w:t>分；</w:t>
            </w:r>
            <w:r>
              <w:rPr>
                <w:rFonts w:hint="eastAsia" w:ascii="宋体" w:hAnsi="宋体"/>
                <w:szCs w:val="21"/>
              </w:rPr>
              <w:t>根据实际情况做出可行性的、完整的培训方案，满足培训要求</w:t>
            </w:r>
            <w:r>
              <w:rPr>
                <w:rFonts w:hint="eastAsia" w:ascii="宋体" w:hAnsi="宋体" w:cs="宋体"/>
                <w:szCs w:val="21"/>
              </w:rPr>
              <w:t>的得4分；</w:t>
            </w:r>
            <w:r>
              <w:rPr>
                <w:rFonts w:hint="eastAsia" w:ascii="宋体" w:hAnsi="宋体"/>
                <w:szCs w:val="21"/>
              </w:rPr>
              <w:t>培训方案基本可行，内容笼统针对性较差的得</w:t>
            </w:r>
            <w:r>
              <w:rPr>
                <w:rFonts w:ascii="宋体" w:hAnsi="宋体" w:cs="宋体"/>
                <w:szCs w:val="21"/>
              </w:rPr>
              <w:t>2</w:t>
            </w:r>
            <w:r>
              <w:rPr>
                <w:rFonts w:hint="eastAsia" w:ascii="宋体" w:hAnsi="宋体" w:cs="宋体"/>
                <w:szCs w:val="21"/>
              </w:rPr>
              <w:t>分；未提供不得分。</w:t>
            </w:r>
          </w:p>
        </w:tc>
        <w:tc>
          <w:tcPr>
            <w:tcW w:w="841"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r>
              <w:rPr>
                <w:rFonts w:cs="宋体"/>
                <w:spacing w:val="0"/>
                <w:kern w:val="2"/>
                <w:sz w:val="21"/>
                <w:szCs w:val="21"/>
              </w:rPr>
              <w:t>6</w:t>
            </w:r>
            <w:r>
              <w:rPr>
                <w:rFonts w:hint="eastAsia" w:cs="宋体"/>
                <w:spacing w:val="0"/>
                <w:kern w:val="2"/>
                <w:sz w:val="21"/>
                <w:szCs w:val="21"/>
              </w:rPr>
              <w:t>分</w:t>
            </w:r>
          </w:p>
        </w:tc>
        <w:tc>
          <w:tcPr>
            <w:tcW w:w="663"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c>
          <w:tcPr>
            <w:tcW w:w="662"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c>
          <w:tcPr>
            <w:tcW w:w="687"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0" w:hRule="atLeast"/>
          <w:jc w:val="center"/>
        </w:trPr>
        <w:tc>
          <w:tcPr>
            <w:tcW w:w="614" w:type="dxa"/>
            <w:vMerge w:val="continue"/>
            <w:tcBorders>
              <w:left w:val="single" w:color="auto" w:sz="4" w:space="0"/>
              <w:right w:val="single" w:color="auto" w:sz="2" w:space="0"/>
            </w:tcBorders>
            <w:vAlign w:val="center"/>
          </w:tcPr>
          <w:p>
            <w:pPr>
              <w:spacing w:line="400" w:lineRule="exact"/>
              <w:jc w:val="center"/>
              <w:rPr>
                <w:rFonts w:ascii="宋体" w:hAnsi="宋体" w:cs="宋体"/>
                <w:szCs w:val="21"/>
              </w:rPr>
            </w:pPr>
          </w:p>
        </w:tc>
        <w:tc>
          <w:tcPr>
            <w:tcW w:w="5880" w:type="dxa"/>
            <w:tcBorders>
              <w:top w:val="single" w:color="auto" w:sz="2" w:space="0"/>
              <w:left w:val="single" w:color="auto" w:sz="2" w:space="0"/>
              <w:right w:val="single" w:color="auto" w:sz="2" w:space="0"/>
            </w:tcBorders>
            <w:vAlign w:val="center"/>
          </w:tcPr>
          <w:p>
            <w:pPr>
              <w:tabs>
                <w:tab w:val="left" w:pos="4469"/>
              </w:tabs>
              <w:spacing w:line="400" w:lineRule="exact"/>
            </w:pPr>
            <w:r>
              <w:rPr>
                <w:rFonts w:hint="eastAsia" w:ascii="宋体" w:hAnsi="宋体" w:cs="宋体"/>
                <w:kern w:val="0"/>
                <w:szCs w:val="21"/>
              </w:rPr>
              <w:t>售后服务</w:t>
            </w:r>
            <w:r>
              <w:rPr>
                <w:rFonts w:hint="eastAsia" w:ascii="宋体" w:hAnsi="宋体" w:cs="Courier New"/>
                <w:bCs/>
                <w:szCs w:val="21"/>
              </w:rPr>
              <w:t>方案</w:t>
            </w:r>
          </w:p>
          <w:p>
            <w:pPr>
              <w:tabs>
                <w:tab w:val="left" w:pos="4469"/>
              </w:tabs>
              <w:spacing w:line="400" w:lineRule="exact"/>
            </w:pPr>
            <w:r>
              <w:rPr>
                <w:rFonts w:hint="eastAsia" w:ascii="宋体" w:hAnsi="宋体"/>
                <w:szCs w:val="21"/>
              </w:rPr>
              <w:t>投标人提供的售后质保服务期限应为3年，售后服务方案针对需求，切合实际，提供有详细的项目服务维护、应急保障措施，且能详细描述其实现方式；到达故障现场的响应时间完全满足或优于采购需求，提供的售后服务体系健全，备品备件充足，整体方案考虑周全的</w:t>
            </w:r>
            <w:r>
              <w:rPr>
                <w:rFonts w:hint="eastAsia" w:ascii="宋体" w:hAnsi="宋体" w:cs="宋体"/>
                <w:szCs w:val="21"/>
              </w:rPr>
              <w:t>得</w:t>
            </w:r>
            <w:r>
              <w:rPr>
                <w:rFonts w:ascii="宋体" w:hAnsi="宋体" w:cs="宋体"/>
                <w:szCs w:val="21"/>
              </w:rPr>
              <w:t>7</w:t>
            </w:r>
            <w:r>
              <w:rPr>
                <w:rFonts w:hint="eastAsia" w:ascii="宋体" w:hAnsi="宋体" w:cs="宋体"/>
                <w:szCs w:val="21"/>
              </w:rPr>
              <w:t>分；</w:t>
            </w:r>
            <w:r>
              <w:rPr>
                <w:rFonts w:hint="eastAsia" w:ascii="宋体" w:hAnsi="宋体"/>
                <w:szCs w:val="21"/>
              </w:rPr>
              <w:t>符合实际，内容措施满足项目需求；提供有项目服务维护、应急保障措施等内容，能提供定期上门维护且响应时间满足需求，具备一定售后服务能力</w:t>
            </w:r>
            <w:r>
              <w:rPr>
                <w:rFonts w:hint="eastAsia" w:ascii="宋体" w:hAnsi="宋体" w:cs="宋体"/>
                <w:szCs w:val="21"/>
              </w:rPr>
              <w:t>的得</w:t>
            </w:r>
            <w:r>
              <w:rPr>
                <w:rFonts w:hint="eastAsia" w:cs="宋体"/>
                <w:szCs w:val="21"/>
              </w:rPr>
              <w:t>5</w:t>
            </w:r>
            <w:r>
              <w:rPr>
                <w:rFonts w:hint="eastAsia" w:ascii="宋体" w:hAnsi="宋体" w:cs="宋体"/>
                <w:szCs w:val="21"/>
              </w:rPr>
              <w:t>分；</w:t>
            </w:r>
            <w:r>
              <w:rPr>
                <w:rFonts w:hint="eastAsia" w:ascii="宋体" w:hAnsi="宋体"/>
                <w:szCs w:val="21"/>
              </w:rPr>
              <w:t>方案包含有简单的应急保障方案、维护方案，响应时间较长，服务体系配备简单的</w:t>
            </w:r>
            <w:r>
              <w:rPr>
                <w:rFonts w:hint="eastAsia" w:ascii="宋体" w:hAnsi="宋体" w:cs="宋体"/>
                <w:szCs w:val="21"/>
              </w:rPr>
              <w:t>得</w:t>
            </w:r>
            <w:r>
              <w:rPr>
                <w:rFonts w:hint="eastAsia" w:cs="宋体"/>
                <w:szCs w:val="21"/>
              </w:rPr>
              <w:t>3</w:t>
            </w:r>
            <w:r>
              <w:rPr>
                <w:rFonts w:hint="eastAsia" w:ascii="宋体" w:hAnsi="宋体" w:cs="宋体"/>
                <w:szCs w:val="21"/>
              </w:rPr>
              <w:t>分；</w:t>
            </w:r>
            <w:r>
              <w:rPr>
                <w:rFonts w:hint="eastAsia" w:ascii="宋体" w:hAnsi="宋体"/>
                <w:szCs w:val="21"/>
              </w:rPr>
              <w:t>不切合项目实际，内容冗杂、多余的</w:t>
            </w:r>
            <w:r>
              <w:rPr>
                <w:rFonts w:hint="eastAsia" w:ascii="宋体" w:hAnsi="宋体" w:cs="宋体"/>
                <w:szCs w:val="21"/>
              </w:rPr>
              <w:t>得</w:t>
            </w:r>
            <w:r>
              <w:rPr>
                <w:rFonts w:hint="eastAsia" w:cs="宋体"/>
                <w:szCs w:val="21"/>
              </w:rPr>
              <w:t>1</w:t>
            </w:r>
            <w:r>
              <w:rPr>
                <w:rFonts w:hint="eastAsia" w:ascii="宋体" w:hAnsi="宋体" w:cs="宋体"/>
                <w:szCs w:val="21"/>
              </w:rPr>
              <w:t>分；未提供不得分。</w:t>
            </w:r>
          </w:p>
        </w:tc>
        <w:tc>
          <w:tcPr>
            <w:tcW w:w="841"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pPr>
            <w:r>
              <w:rPr>
                <w:rFonts w:cs="宋体"/>
                <w:spacing w:val="0"/>
                <w:kern w:val="2"/>
                <w:sz w:val="21"/>
                <w:szCs w:val="21"/>
              </w:rPr>
              <w:t>7</w:t>
            </w:r>
            <w:r>
              <w:rPr>
                <w:rFonts w:hint="eastAsia" w:cs="宋体"/>
                <w:spacing w:val="0"/>
                <w:kern w:val="2"/>
                <w:sz w:val="21"/>
                <w:szCs w:val="21"/>
              </w:rPr>
              <w:t>分</w:t>
            </w:r>
          </w:p>
        </w:tc>
        <w:tc>
          <w:tcPr>
            <w:tcW w:w="663"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c>
          <w:tcPr>
            <w:tcW w:w="662" w:type="dxa"/>
            <w:tcBorders>
              <w:top w:val="single" w:color="auto" w:sz="2" w:space="0"/>
              <w:left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c>
          <w:tcPr>
            <w:tcW w:w="687" w:type="dxa"/>
            <w:tcBorders>
              <w:top w:val="single" w:color="auto" w:sz="2" w:space="0"/>
              <w:left w:val="single" w:color="auto" w:sz="2" w:space="0"/>
              <w:bottom w:val="single" w:color="auto" w:sz="2" w:space="0"/>
              <w:right w:val="single" w:color="auto" w:sz="2" w:space="0"/>
            </w:tcBorders>
            <w:vAlign w:val="center"/>
          </w:tcPr>
          <w:p>
            <w:pPr>
              <w:pStyle w:val="3"/>
              <w:spacing w:line="400" w:lineRule="exact"/>
              <w:ind w:firstLine="0" w:firstLineChars="0"/>
              <w:jc w:val="center"/>
              <w:rPr>
                <w:rFonts w:cs="宋体"/>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jc w:val="center"/>
        </w:trPr>
        <w:tc>
          <w:tcPr>
            <w:tcW w:w="614" w:type="dxa"/>
            <w:vMerge w:val="continue"/>
            <w:tcBorders>
              <w:left w:val="single" w:color="auto" w:sz="4" w:space="0"/>
              <w:right w:val="single" w:color="auto" w:sz="2" w:space="0"/>
            </w:tcBorders>
            <w:vAlign w:val="center"/>
          </w:tcPr>
          <w:p>
            <w:pPr>
              <w:spacing w:line="400" w:lineRule="exact"/>
              <w:jc w:val="center"/>
              <w:rPr>
                <w:rFonts w:ascii="宋体" w:hAnsi="宋体" w:cs="宋体"/>
                <w:szCs w:val="21"/>
              </w:rPr>
            </w:pPr>
          </w:p>
        </w:tc>
        <w:tc>
          <w:tcPr>
            <w:tcW w:w="5880" w:type="dxa"/>
            <w:tcBorders>
              <w:top w:val="single" w:color="auto" w:sz="2" w:space="0"/>
              <w:left w:val="single" w:color="auto" w:sz="2" w:space="0"/>
              <w:bottom w:val="single" w:color="auto" w:sz="2" w:space="0"/>
              <w:right w:val="single" w:color="auto" w:sz="2" w:space="0"/>
            </w:tcBorders>
            <w:vAlign w:val="center"/>
          </w:tcPr>
          <w:p>
            <w:pPr>
              <w:tabs>
                <w:tab w:val="left" w:pos="4469"/>
              </w:tabs>
              <w:spacing w:line="400" w:lineRule="exact"/>
              <w:rPr>
                <w:rFonts w:ascii="宋体" w:hAnsi="宋体" w:cs="宋体"/>
                <w:szCs w:val="21"/>
              </w:rPr>
            </w:pPr>
            <w:r>
              <w:rPr>
                <w:rFonts w:hint="eastAsia" w:ascii="宋体" w:hAnsi="宋体" w:cs="宋体"/>
                <w:szCs w:val="21"/>
              </w:rPr>
              <w:t>业绩</w:t>
            </w:r>
          </w:p>
          <w:p>
            <w:pPr>
              <w:tabs>
                <w:tab w:val="left" w:pos="4469"/>
              </w:tabs>
              <w:spacing w:line="400" w:lineRule="exact"/>
              <w:rPr>
                <w:rFonts w:ascii="宋体" w:hAnsi="宋体" w:cs="宋体"/>
                <w:szCs w:val="21"/>
              </w:rPr>
            </w:pPr>
            <w:r>
              <w:rPr>
                <w:rFonts w:hint="eastAsia" w:ascii="宋体" w:hAnsi="宋体" w:cs="宋体"/>
                <w:szCs w:val="21"/>
              </w:rPr>
              <w:t>投标人或制造商自2020年01月01日（签订日期）起至今，具有同类建设项目业绩的每提供1份得1分，最高3分。</w:t>
            </w:r>
          </w:p>
          <w:p>
            <w:pPr>
              <w:tabs>
                <w:tab w:val="left" w:pos="4469"/>
              </w:tabs>
              <w:spacing w:line="400" w:lineRule="exact"/>
            </w:pPr>
            <w:r>
              <w:rPr>
                <w:rFonts w:hint="eastAsia" w:ascii="宋体" w:hAnsi="宋体" w:cs="宋体"/>
                <w:kern w:val="0"/>
                <w:szCs w:val="21"/>
                <w:lang w:eastAsia="zh-Hans"/>
              </w:rPr>
              <w:t>需提供合同复印件加盖公章</w:t>
            </w:r>
            <w:r>
              <w:rPr>
                <w:rFonts w:hint="eastAsia" w:ascii="宋体" w:hAnsi="宋体" w:cs="宋体"/>
                <w:kern w:val="0"/>
                <w:szCs w:val="21"/>
              </w:rPr>
              <w:t>。</w:t>
            </w:r>
          </w:p>
        </w:tc>
        <w:tc>
          <w:tcPr>
            <w:tcW w:w="841" w:type="dxa"/>
            <w:tcBorders>
              <w:top w:val="single" w:color="auto" w:sz="2" w:space="0"/>
              <w:left w:val="single" w:color="auto" w:sz="2" w:space="0"/>
              <w:bottom w:val="single" w:color="auto" w:sz="2" w:space="0"/>
              <w:right w:val="single" w:color="auto" w:sz="2" w:space="0"/>
            </w:tcBorders>
            <w:vAlign w:val="center"/>
          </w:tcPr>
          <w:p>
            <w:pPr>
              <w:tabs>
                <w:tab w:val="left" w:pos="5245"/>
              </w:tabs>
              <w:spacing w:line="400" w:lineRule="exact"/>
              <w:jc w:val="center"/>
              <w:rPr>
                <w:rFonts w:cs="宋体"/>
                <w:szCs w:val="21"/>
              </w:rPr>
            </w:pPr>
            <w:r>
              <w:rPr>
                <w:rFonts w:hint="eastAsia" w:ascii="宋体" w:hAnsi="宋体" w:cs="宋体"/>
                <w:szCs w:val="21"/>
              </w:rPr>
              <w:t>3分</w:t>
            </w:r>
          </w:p>
        </w:tc>
        <w:tc>
          <w:tcPr>
            <w:tcW w:w="663" w:type="dxa"/>
            <w:tcBorders>
              <w:top w:val="single" w:color="auto" w:sz="2" w:space="0"/>
              <w:left w:val="single" w:color="auto" w:sz="2" w:space="0"/>
              <w:bottom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c>
          <w:tcPr>
            <w:tcW w:w="662" w:type="dxa"/>
            <w:tcBorders>
              <w:top w:val="single" w:color="auto" w:sz="2" w:space="0"/>
              <w:left w:val="single" w:color="auto" w:sz="2" w:space="0"/>
              <w:bottom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c>
          <w:tcPr>
            <w:tcW w:w="687" w:type="dxa"/>
            <w:tcBorders>
              <w:top w:val="single" w:color="auto" w:sz="2" w:space="0"/>
              <w:left w:val="single" w:color="auto" w:sz="2" w:space="0"/>
              <w:bottom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6494" w:type="dxa"/>
            <w:gridSpan w:val="2"/>
            <w:tcBorders>
              <w:left w:val="single" w:color="auto" w:sz="4" w:space="0"/>
              <w:right w:val="single" w:color="auto" w:sz="2" w:space="0"/>
            </w:tcBorders>
            <w:vAlign w:val="center"/>
          </w:tcPr>
          <w:p>
            <w:pPr>
              <w:tabs>
                <w:tab w:val="left" w:pos="4469"/>
              </w:tabs>
              <w:spacing w:line="400" w:lineRule="exact"/>
              <w:jc w:val="center"/>
              <w:rPr>
                <w:rFonts w:ascii="宋体" w:hAnsi="宋体" w:cs="宋体"/>
                <w:kern w:val="0"/>
                <w:szCs w:val="21"/>
              </w:rPr>
            </w:pPr>
            <w:r>
              <w:rPr>
                <w:rFonts w:hint="eastAsia" w:ascii="宋体" w:hAnsi="宋体" w:cs="宋体"/>
                <w:kern w:val="0"/>
                <w:szCs w:val="21"/>
              </w:rPr>
              <w:t>合计</w:t>
            </w:r>
          </w:p>
        </w:tc>
        <w:tc>
          <w:tcPr>
            <w:tcW w:w="841" w:type="dxa"/>
            <w:tcBorders>
              <w:top w:val="single" w:color="auto" w:sz="2"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r>
              <w:rPr>
                <w:rFonts w:hint="eastAsia" w:ascii="宋体" w:hAnsi="宋体" w:cs="宋体"/>
                <w:szCs w:val="21"/>
              </w:rPr>
              <w:t>70分</w:t>
            </w:r>
          </w:p>
        </w:tc>
        <w:tc>
          <w:tcPr>
            <w:tcW w:w="663" w:type="dxa"/>
            <w:tcBorders>
              <w:top w:val="single" w:color="auto" w:sz="2"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c>
          <w:tcPr>
            <w:tcW w:w="662" w:type="dxa"/>
            <w:tcBorders>
              <w:top w:val="single" w:color="auto" w:sz="2"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c>
          <w:tcPr>
            <w:tcW w:w="687" w:type="dxa"/>
            <w:tcBorders>
              <w:top w:val="single" w:color="auto" w:sz="2" w:space="0"/>
              <w:left w:val="single" w:color="auto" w:sz="2" w:space="0"/>
              <w:right w:val="single" w:color="auto" w:sz="2" w:space="0"/>
            </w:tcBorders>
            <w:vAlign w:val="center"/>
          </w:tcPr>
          <w:p>
            <w:pPr>
              <w:tabs>
                <w:tab w:val="left" w:pos="5245"/>
              </w:tabs>
              <w:spacing w:line="400" w:lineRule="exact"/>
              <w:jc w:val="center"/>
              <w:rPr>
                <w:rFonts w:ascii="宋体" w:hAnsi="宋体" w:cs="宋体"/>
                <w:szCs w:val="21"/>
              </w:rPr>
            </w:pPr>
          </w:p>
        </w:tc>
      </w:tr>
    </w:tbl>
    <w:p>
      <w:pPr>
        <w:wordWrap w:val="0"/>
        <w:spacing w:line="40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、各评委成员自行按以上参考分值评分，评分小数点后保留二位数。</w:t>
      </w:r>
    </w:p>
    <w:p>
      <w:pPr>
        <w:wordWrap w:val="0"/>
        <w:spacing w:line="400" w:lineRule="exact"/>
        <w:ind w:firstLine="420" w:firstLineChars="200"/>
        <w:rPr>
          <w:rFonts w:ascii="宋体" w:hAnsi="宋体"/>
          <w:szCs w:val="21"/>
        </w:rPr>
      </w:pPr>
      <w:r>
        <w:rPr>
          <w:rFonts w:hint="eastAsia" w:ascii="宋体" w:hAnsi="宋体"/>
          <w:szCs w:val="21"/>
        </w:rPr>
        <w:t>2、表内要求提供的资料，未按要求提供的均不得分。</w:t>
      </w:r>
    </w:p>
    <w:p>
      <w:pPr>
        <w:widowControl/>
        <w:wordWrap w:val="0"/>
        <w:spacing w:line="400" w:lineRule="exact"/>
        <w:ind w:firstLine="420" w:firstLineChars="200"/>
        <w:jc w:val="lef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idowControl/>
        <w:wordWrap w:val="0"/>
        <w:spacing w:line="400" w:lineRule="exact"/>
        <w:ind w:firstLine="420" w:firstLineChars="200"/>
        <w:jc w:val="left"/>
        <w:rPr>
          <w:rFonts w:ascii="宋体" w:hAnsi="宋体"/>
          <w:szCs w:val="21"/>
          <w:highlight w:val="yellow"/>
        </w:rPr>
      </w:pPr>
      <w:r>
        <w:rPr>
          <w:rFonts w:ascii="宋体" w:hAnsi="宋体"/>
          <w:szCs w:val="21"/>
          <w:highlight w:val="yellow"/>
        </w:rPr>
        <w:br w:type="page"/>
      </w:r>
      <w:r>
        <w:rPr>
          <w:rFonts w:hint="eastAsia" w:ascii="宋体" w:hAnsi="宋体"/>
          <w:szCs w:val="21"/>
        </w:rPr>
        <w:t>附表4</w:t>
      </w:r>
    </w:p>
    <w:p>
      <w:pPr>
        <w:widowControl/>
        <w:wordWrap w:val="0"/>
        <w:snapToGrid w:val="0"/>
        <w:spacing w:line="560" w:lineRule="exact"/>
        <w:jc w:val="center"/>
        <w:rPr>
          <w:rFonts w:ascii="宋体" w:hAnsi="宋体"/>
          <w:b/>
          <w:sz w:val="24"/>
          <w:szCs w:val="21"/>
        </w:rPr>
      </w:pPr>
      <w:r>
        <w:rPr>
          <w:rFonts w:hint="eastAsia" w:ascii="宋体" w:hAnsi="宋体"/>
          <w:b/>
          <w:sz w:val="24"/>
          <w:szCs w:val="21"/>
        </w:rPr>
        <w:t>价格评分表</w:t>
      </w:r>
    </w:p>
    <w:p>
      <w:pPr>
        <w:wordWrap w:val="0"/>
        <w:rPr>
          <w:b/>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7604"/>
        <w:gridCol w:w="1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pPr>
              <w:wordWrap w:val="0"/>
              <w:spacing w:line="320" w:lineRule="exact"/>
              <w:ind w:right="83" w:firstLine="4410" w:firstLineChars="2100"/>
              <w:jc w:val="right"/>
              <w:rPr>
                <w:rFonts w:ascii="宋体" w:hAnsi="宋体"/>
                <w:szCs w:val="21"/>
              </w:rPr>
            </w:pPr>
            <w:r>
              <w:rPr>
                <w:rFonts w:hint="eastAsia" w:ascii="宋体" w:hAnsi="宋体"/>
                <w:szCs w:val="21"/>
              </w:rPr>
              <w:t>供应商</w:t>
            </w:r>
          </w:p>
          <w:p>
            <w:pPr>
              <w:wordWrap w:val="0"/>
              <w:spacing w:line="320" w:lineRule="exact"/>
              <w:rPr>
                <w:rFonts w:ascii="宋体" w:hAnsi="宋体"/>
                <w:szCs w:val="21"/>
              </w:rPr>
            </w:pPr>
            <w:r>
              <w:rPr>
                <w:rFonts w:hint="eastAsia" w:ascii="宋体" w:hAnsi="宋体"/>
                <w:szCs w:val="21"/>
              </w:rPr>
              <w:t>分值</w:t>
            </w:r>
          </w:p>
        </w:tc>
        <w:tc>
          <w:tcPr>
            <w:tcW w:w="1339" w:type="dxa"/>
            <w:vAlign w:val="center"/>
          </w:tcPr>
          <w:p>
            <w:pPr>
              <w:wordWrap w:val="0"/>
              <w:spacing w:line="320" w:lineRule="exact"/>
              <w:jc w:val="center"/>
              <w:rPr>
                <w:rFonts w:ascii="宋体" w:hAnsi="宋体"/>
                <w:szCs w:val="21"/>
                <w:lang w:val="ru-RU"/>
              </w:rPr>
            </w:pPr>
            <w:r>
              <w:rPr>
                <w:rFonts w:hint="eastAsia" w:ascii="宋体" w:hAnsi="宋体"/>
                <w:szCs w:val="21"/>
                <w:lang w:val="ru-RU"/>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11" w:hRule="atLeast"/>
          <w:jc w:val="center"/>
        </w:trPr>
        <w:tc>
          <w:tcPr>
            <w:tcW w:w="675" w:type="dxa"/>
            <w:vAlign w:val="center"/>
          </w:tcPr>
          <w:p>
            <w:pPr>
              <w:wordWrap w:val="0"/>
              <w:spacing w:line="360" w:lineRule="auto"/>
              <w:jc w:val="center"/>
              <w:rPr>
                <w:rFonts w:ascii="宋体" w:hAnsi="宋体"/>
                <w:szCs w:val="21"/>
              </w:rPr>
            </w:pPr>
            <w:r>
              <w:rPr>
                <w:rFonts w:hint="eastAsia" w:ascii="宋体" w:hAnsi="宋体"/>
                <w:szCs w:val="21"/>
              </w:rPr>
              <w:t>价</w:t>
            </w:r>
          </w:p>
          <w:p>
            <w:pPr>
              <w:wordWrap w:val="0"/>
              <w:spacing w:line="360" w:lineRule="auto"/>
              <w:jc w:val="center"/>
              <w:rPr>
                <w:rFonts w:ascii="宋体" w:hAnsi="宋体"/>
                <w:szCs w:val="21"/>
              </w:rPr>
            </w:pPr>
            <w:r>
              <w:rPr>
                <w:rFonts w:hint="eastAsia" w:ascii="宋体" w:hAnsi="宋体"/>
                <w:szCs w:val="21"/>
              </w:rPr>
              <w:t>格</w:t>
            </w:r>
          </w:p>
          <w:p>
            <w:pPr>
              <w:wordWrap w:val="0"/>
              <w:spacing w:line="360" w:lineRule="auto"/>
              <w:jc w:val="center"/>
              <w:rPr>
                <w:rFonts w:ascii="宋体" w:hAnsi="宋体"/>
                <w:szCs w:val="21"/>
              </w:rPr>
            </w:pPr>
            <w:r>
              <w:rPr>
                <w:rFonts w:hint="eastAsia" w:ascii="宋体" w:hAnsi="宋体"/>
                <w:szCs w:val="21"/>
              </w:rPr>
              <w:t>分</w:t>
            </w:r>
          </w:p>
          <w:p>
            <w:pPr>
              <w:wordWrap w:val="0"/>
              <w:spacing w:line="360" w:lineRule="auto"/>
              <w:jc w:val="center"/>
              <w:rPr>
                <w:rFonts w:ascii="宋体" w:hAnsi="宋体"/>
                <w:szCs w:val="21"/>
              </w:rPr>
            </w:pPr>
            <w:r>
              <w:rPr>
                <w:rFonts w:ascii="宋体" w:hAnsi="宋体"/>
                <w:szCs w:val="21"/>
              </w:rPr>
              <w:t>3</w:t>
            </w:r>
            <w:r>
              <w:rPr>
                <w:rFonts w:hint="eastAsia" w:ascii="宋体" w:hAnsi="宋体"/>
                <w:szCs w:val="21"/>
              </w:rPr>
              <w:t>0</w:t>
            </w:r>
          </w:p>
          <w:p>
            <w:pPr>
              <w:wordWrap w:val="0"/>
              <w:spacing w:line="360" w:lineRule="auto"/>
              <w:jc w:val="center"/>
              <w:rPr>
                <w:rFonts w:ascii="宋体" w:hAnsi="宋体"/>
                <w:szCs w:val="21"/>
              </w:rPr>
            </w:pPr>
            <w:r>
              <w:rPr>
                <w:rFonts w:hint="eastAsia" w:ascii="宋体" w:hAnsi="宋体"/>
                <w:szCs w:val="21"/>
              </w:rPr>
              <w:t>分</w:t>
            </w:r>
          </w:p>
        </w:tc>
        <w:tc>
          <w:tcPr>
            <w:tcW w:w="7604" w:type="dxa"/>
            <w:vAlign w:val="center"/>
          </w:tcPr>
          <w:p>
            <w:pPr>
              <w:wordWrap w:val="0"/>
              <w:spacing w:line="360" w:lineRule="auto"/>
              <w:rPr>
                <w:rFonts w:ascii="宋体" w:hAnsi="宋体"/>
                <w:szCs w:val="21"/>
              </w:rPr>
            </w:pPr>
            <w:r>
              <w:rPr>
                <w:rFonts w:hint="eastAsia" w:ascii="宋体" w:hAnsi="宋体"/>
                <w:szCs w:val="21"/>
              </w:rPr>
              <w:t>本次公开招标设有最高限价：人民币6000000元，投标价超出最高限价作无效标处理。</w:t>
            </w:r>
          </w:p>
          <w:p>
            <w:pPr>
              <w:wordWrap w:val="0"/>
              <w:spacing w:line="360" w:lineRule="auto"/>
              <w:rPr>
                <w:rFonts w:ascii="宋体" w:hAnsi="宋体"/>
                <w:szCs w:val="21"/>
              </w:rPr>
            </w:pPr>
            <w:r>
              <w:rPr>
                <w:rFonts w:hint="eastAsia" w:ascii="宋体" w:hAnsi="宋体"/>
                <w:szCs w:val="21"/>
              </w:rPr>
              <w:t>参与评审的价格</w:t>
            </w:r>
            <w:r>
              <w:rPr>
                <w:rFonts w:ascii="宋体" w:hAnsi="宋体"/>
                <w:szCs w:val="21"/>
              </w:rPr>
              <w:t>=</w:t>
            </w:r>
            <w:r>
              <w:rPr>
                <w:rFonts w:hint="eastAsia" w:ascii="宋体" w:hAnsi="宋体"/>
                <w:szCs w:val="21"/>
              </w:rPr>
              <w:t>评标价</w:t>
            </w:r>
            <w:r>
              <w:rPr>
                <w:rFonts w:ascii="宋体" w:hAnsi="宋体"/>
                <w:szCs w:val="21"/>
              </w:rPr>
              <w:t>-</w:t>
            </w:r>
            <w:r>
              <w:rPr>
                <w:rFonts w:hint="eastAsia" w:ascii="宋体" w:hAnsi="宋体"/>
                <w:szCs w:val="21"/>
              </w:rPr>
              <w:t>小微企业价格扣除优惠值10</w:t>
            </w:r>
            <w:r>
              <w:rPr>
                <w:rFonts w:ascii="宋体" w:hAnsi="宋体"/>
                <w:szCs w:val="21"/>
              </w:rPr>
              <w:t>%</w:t>
            </w:r>
          </w:p>
          <w:p>
            <w:pPr>
              <w:wordWrap w:val="0"/>
              <w:spacing w:line="360" w:lineRule="auto"/>
              <w:rPr>
                <w:rFonts w:ascii="宋体" w:hAnsi="宋体"/>
                <w:szCs w:val="21"/>
              </w:rPr>
            </w:pPr>
            <w:r>
              <w:rPr>
                <w:rFonts w:hint="eastAsia" w:ascii="宋体" w:hAnsi="宋体"/>
                <w:szCs w:val="21"/>
              </w:rPr>
              <w:t>评标基准价</w:t>
            </w:r>
            <w:r>
              <w:rPr>
                <w:rFonts w:ascii="宋体" w:hAnsi="宋体"/>
                <w:szCs w:val="21"/>
              </w:rPr>
              <w:t>=</w:t>
            </w:r>
            <w:r>
              <w:rPr>
                <w:rFonts w:hint="eastAsia" w:ascii="宋体" w:hAnsi="宋体"/>
                <w:szCs w:val="21"/>
              </w:rPr>
              <w:t>满足采购文件要求且“参与评审的价格”中最低的价格为评标基准价</w:t>
            </w:r>
          </w:p>
          <w:p>
            <w:pPr>
              <w:wordWrap w:val="0"/>
              <w:spacing w:line="360" w:lineRule="auto"/>
              <w:rPr>
                <w:rFonts w:ascii="宋体" w:hAnsi="宋体"/>
                <w:szCs w:val="21"/>
              </w:rPr>
            </w:pPr>
            <w:r>
              <w:rPr>
                <w:rFonts w:hint="eastAsia" w:ascii="宋体" w:hAnsi="宋体"/>
                <w:szCs w:val="21"/>
              </w:rPr>
              <w:t>基准价得分为满分</w:t>
            </w:r>
            <w:r>
              <w:rPr>
                <w:rFonts w:ascii="宋体" w:hAnsi="宋体"/>
                <w:szCs w:val="21"/>
              </w:rPr>
              <w:t>30</w:t>
            </w:r>
            <w:r>
              <w:rPr>
                <w:rFonts w:hint="eastAsia" w:ascii="宋体" w:hAnsi="宋体"/>
                <w:szCs w:val="21"/>
              </w:rPr>
              <w:t>分，其他供应商报价得分计算公式如下：</w:t>
            </w:r>
          </w:p>
          <w:p>
            <w:pPr>
              <w:wordWrap w:val="0"/>
              <w:spacing w:line="360" w:lineRule="auto"/>
              <w:rPr>
                <w:rFonts w:ascii="宋体" w:hAnsi="宋体"/>
                <w:szCs w:val="21"/>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w:t>
            </w:r>
            <w:r>
              <w:rPr>
                <w:rFonts w:ascii="宋体" w:hAnsi="宋体"/>
                <w:szCs w:val="21"/>
              </w:rPr>
              <w:t>）</w:t>
            </w:r>
            <w:r>
              <w:rPr>
                <w:rFonts w:hint="eastAsia" w:ascii="宋体" w:hAnsi="宋体"/>
                <w:szCs w:val="21"/>
              </w:rPr>
              <w:t>×</w:t>
            </w:r>
            <w:r>
              <w:rPr>
                <w:rFonts w:ascii="宋体" w:hAnsi="宋体"/>
                <w:szCs w:val="21"/>
              </w:rPr>
              <w:t>3</w:t>
            </w:r>
            <w:r>
              <w:rPr>
                <w:rFonts w:hint="eastAsia" w:ascii="宋体" w:hAnsi="宋体"/>
                <w:szCs w:val="21"/>
              </w:rPr>
              <w:t>0</w:t>
            </w:r>
            <w:r>
              <w:rPr>
                <w:rFonts w:ascii="宋体" w:hAnsi="宋体"/>
                <w:szCs w:val="21"/>
              </w:rPr>
              <w:t>%</w:t>
            </w:r>
            <w:r>
              <w:rPr>
                <w:rFonts w:hint="eastAsia" w:ascii="宋体" w:hAnsi="宋体"/>
                <w:szCs w:val="21"/>
              </w:rPr>
              <w:t>×</w:t>
            </w:r>
            <w:r>
              <w:rPr>
                <w:rFonts w:ascii="宋体" w:hAnsi="宋体"/>
                <w:szCs w:val="21"/>
              </w:rPr>
              <w:t>100</w:t>
            </w:r>
          </w:p>
          <w:p>
            <w:pPr>
              <w:pStyle w:val="30"/>
              <w:wordWrap w:val="0"/>
              <w:spacing w:line="360" w:lineRule="auto"/>
              <w:ind w:firstLine="0" w:firstLineChars="0"/>
              <w:rPr>
                <w:spacing w:val="0"/>
                <w:kern w:val="2"/>
                <w:sz w:val="21"/>
                <w:szCs w:val="21"/>
              </w:rPr>
            </w:pPr>
            <w:r>
              <w:rPr>
                <w:rFonts w:hint="eastAsia"/>
                <w:spacing w:val="0"/>
                <w:kern w:val="2"/>
                <w:sz w:val="21"/>
                <w:szCs w:val="21"/>
              </w:rPr>
              <w:t>（保留二位小数）</w:t>
            </w:r>
          </w:p>
        </w:tc>
        <w:tc>
          <w:tcPr>
            <w:tcW w:w="1339" w:type="dxa"/>
            <w:vAlign w:val="center"/>
          </w:tcPr>
          <w:p>
            <w:pPr>
              <w:wordWrap w:val="0"/>
              <w:spacing w:line="360" w:lineRule="auto"/>
              <w:jc w:val="center"/>
              <w:rPr>
                <w:rFonts w:ascii="宋体" w:hAnsi="宋体"/>
                <w:szCs w:val="21"/>
              </w:rPr>
            </w:pPr>
            <w:r>
              <w:rPr>
                <w:rFonts w:ascii="宋体" w:hAnsi="宋体"/>
                <w:szCs w:val="21"/>
              </w:rPr>
              <w:t>3</w:t>
            </w:r>
            <w:r>
              <w:rPr>
                <w:rFonts w:hint="eastAsia" w:ascii="宋体" w:hAnsi="宋体"/>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pPr>
              <w:wordWrap w:val="0"/>
              <w:spacing w:line="320" w:lineRule="exact"/>
              <w:jc w:val="center"/>
              <w:rPr>
                <w:rFonts w:ascii="宋体" w:hAnsi="宋体"/>
                <w:b/>
                <w:szCs w:val="21"/>
              </w:rPr>
            </w:pPr>
            <w:r>
              <w:rPr>
                <w:rFonts w:hint="eastAsia" w:ascii="宋体" w:hAnsi="宋体"/>
                <w:b/>
                <w:szCs w:val="21"/>
              </w:rPr>
              <w:t>报价得分（</w:t>
            </w:r>
            <w:r>
              <w:rPr>
                <w:rFonts w:ascii="宋体" w:hAnsi="宋体"/>
                <w:b/>
                <w:szCs w:val="21"/>
              </w:rPr>
              <w:t>3</w:t>
            </w:r>
            <w:r>
              <w:rPr>
                <w:rFonts w:hint="eastAsia" w:ascii="宋体" w:hAnsi="宋体"/>
                <w:b/>
                <w:szCs w:val="21"/>
              </w:rPr>
              <w:t>0分）</w:t>
            </w:r>
          </w:p>
        </w:tc>
        <w:tc>
          <w:tcPr>
            <w:tcW w:w="1339" w:type="dxa"/>
            <w:vAlign w:val="center"/>
          </w:tcPr>
          <w:p>
            <w:pPr>
              <w:wordWrap w:val="0"/>
              <w:spacing w:line="320" w:lineRule="exact"/>
              <w:jc w:val="center"/>
              <w:rPr>
                <w:rFonts w:ascii="宋体" w:hAnsi="宋体"/>
                <w:szCs w:val="21"/>
              </w:rPr>
            </w:pPr>
            <w:r>
              <w:rPr>
                <w:rFonts w:ascii="宋体" w:hAnsi="宋体"/>
                <w:szCs w:val="21"/>
              </w:rPr>
              <w:t>3</w:t>
            </w:r>
            <w:r>
              <w:rPr>
                <w:rFonts w:hint="eastAsia" w:ascii="宋体" w:hAnsi="宋体"/>
                <w:szCs w:val="21"/>
              </w:rPr>
              <w:t>0</w:t>
            </w:r>
          </w:p>
        </w:tc>
      </w:tr>
    </w:tbl>
    <w:p>
      <w:pPr>
        <w:wordWrap w:val="0"/>
        <w:spacing w:line="320" w:lineRule="exact"/>
        <w:rPr>
          <w:rFonts w:ascii="宋体" w:hAnsi="宋体"/>
          <w:sz w:val="28"/>
          <w:szCs w:val="28"/>
        </w:rPr>
      </w:pPr>
    </w:p>
    <w:p>
      <w:pPr>
        <w:wordWrap w:val="0"/>
        <w:spacing w:line="400" w:lineRule="exact"/>
        <w:rPr>
          <w:rFonts w:ascii="宋体" w:hAnsi="宋体"/>
          <w:sz w:val="28"/>
          <w:szCs w:val="28"/>
        </w:rPr>
      </w:pPr>
    </w:p>
    <w:p>
      <w:pPr>
        <w:pStyle w:val="209"/>
        <w:ind w:left="0" w:leftChars="0" w:firstLine="0"/>
        <w:rPr>
          <w:rFonts w:ascii="宋体" w:hAnsi="宋体"/>
          <w:sz w:val="28"/>
          <w:szCs w:val="28"/>
        </w:rPr>
      </w:pPr>
    </w:p>
    <w:p>
      <w:pPr>
        <w:pStyle w:val="209"/>
        <w:rPr>
          <w:rFonts w:ascii="宋体" w:hAnsi="宋体"/>
          <w:sz w:val="28"/>
          <w:szCs w:val="28"/>
        </w:rPr>
        <w:sectPr>
          <w:headerReference r:id="rId12" w:type="default"/>
          <w:footerReference r:id="rId13" w:type="default"/>
          <w:pgSz w:w="11907" w:h="16840"/>
          <w:pgMar w:top="854" w:right="1275" w:bottom="1135" w:left="1276" w:header="285" w:footer="616" w:gutter="0"/>
          <w:cols w:space="720" w:num="1"/>
          <w:docGrid w:linePitch="285" w:charSpace="0"/>
        </w:sectPr>
      </w:pPr>
      <w:r>
        <w:rPr>
          <w:rFonts w:ascii="宋体" w:hAnsi="宋体"/>
          <w:sz w:val="28"/>
          <w:szCs w:val="28"/>
        </w:rPr>
        <w:br w:type="page"/>
      </w:r>
    </w:p>
    <w:p>
      <w:pPr>
        <w:wordWrap w:val="0"/>
        <w:spacing w:line="400" w:lineRule="exact"/>
        <w:jc w:val="center"/>
        <w:outlineLvl w:val="0"/>
        <w:rPr>
          <w:rFonts w:ascii="宋体" w:hAnsi="宋体"/>
          <w:b/>
          <w:sz w:val="32"/>
        </w:rPr>
      </w:pPr>
      <w:bookmarkStart w:id="59" w:name="_Toc2348"/>
      <w:r>
        <w:rPr>
          <w:rFonts w:hint="eastAsia" w:ascii="宋体" w:hAnsi="宋体"/>
          <w:b/>
          <w:sz w:val="32"/>
        </w:rPr>
        <w:t>第四章</w:t>
      </w:r>
      <w:r>
        <w:rPr>
          <w:rFonts w:ascii="宋体" w:hAnsi="宋体"/>
          <w:b/>
          <w:sz w:val="32"/>
        </w:rPr>
        <w:t xml:space="preserve">  </w:t>
      </w:r>
      <w:r>
        <w:rPr>
          <w:rFonts w:hint="eastAsia" w:ascii="宋体" w:hAnsi="宋体"/>
          <w:b/>
          <w:sz w:val="32"/>
        </w:rPr>
        <w:t>采购合同样本</w:t>
      </w:r>
      <w:bookmarkEnd w:id="59"/>
    </w:p>
    <w:p>
      <w:pPr>
        <w:wordWrap w:val="0"/>
        <w:rPr>
          <w:rFonts w:ascii="宋体" w:hAnsi="宋体"/>
        </w:rPr>
      </w:pPr>
    </w:p>
    <w:p>
      <w:pPr>
        <w:rPr>
          <w:rFonts w:ascii="宋体" w:hAnsi="宋体" w:eastAsia="Times New Roman"/>
        </w:rPr>
      </w:pPr>
    </w:p>
    <w:p>
      <w:pPr>
        <w:spacing w:line="360" w:lineRule="auto"/>
      </w:pPr>
      <w:r>
        <w:t>甲方：</w:t>
      </w:r>
      <w:r>
        <w:rPr>
          <w:rFonts w:hint="eastAsia"/>
        </w:rPr>
        <w:t>宁波职业技术学院</w:t>
      </w:r>
      <w:r>
        <w:rPr>
          <w:rFonts w:ascii="宋体" w:hAnsi="宋体"/>
        </w:rPr>
        <w:t xml:space="preserve"> </w:t>
      </w:r>
    </w:p>
    <w:p>
      <w:pPr>
        <w:spacing w:line="360" w:lineRule="auto"/>
      </w:pPr>
      <w:r>
        <w:t>地址：</w:t>
      </w:r>
      <w:r>
        <w:rPr>
          <w:rFonts w:hint="eastAsia"/>
        </w:rPr>
        <w:t>宁波钱湖南路8号</w:t>
      </w:r>
    </w:p>
    <w:p>
      <w:pPr>
        <w:spacing w:line="360" w:lineRule="auto"/>
      </w:pPr>
      <w:r>
        <w:t>乙方：</w:t>
      </w:r>
    </w:p>
    <w:p>
      <w:pPr>
        <w:spacing w:line="360" w:lineRule="auto"/>
      </w:pPr>
      <w:r>
        <w:t>地址：</w:t>
      </w:r>
    </w:p>
    <w:p>
      <w:pPr>
        <w:spacing w:line="360" w:lineRule="auto"/>
      </w:pPr>
      <w:r>
        <w:t>招标编号：</w:t>
      </w:r>
    </w:p>
    <w:p>
      <w:pPr>
        <w:spacing w:line="360" w:lineRule="auto"/>
      </w:pPr>
      <w:r>
        <w:t>招标日期：</w:t>
      </w:r>
    </w:p>
    <w:p>
      <w:pPr>
        <w:spacing w:line="360" w:lineRule="auto"/>
      </w:pPr>
      <w:r>
        <w:t>合同编号：</w:t>
      </w:r>
    </w:p>
    <w:p>
      <w:pPr>
        <w:spacing w:line="360" w:lineRule="auto"/>
      </w:pPr>
      <w:r>
        <w:t>一、内容、要求和金额：</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fixed"/>
        <w:tblCellMar>
          <w:top w:w="0" w:type="dxa"/>
          <w:left w:w="108" w:type="dxa"/>
          <w:bottom w:w="0" w:type="dxa"/>
          <w:right w:w="108" w:type="dxa"/>
        </w:tblCellMar>
      </w:tblPr>
      <w:tblGrid>
        <w:gridCol w:w="1384"/>
        <w:gridCol w:w="2115"/>
        <w:gridCol w:w="709"/>
        <w:gridCol w:w="1374"/>
        <w:gridCol w:w="1319"/>
        <w:gridCol w:w="1560"/>
        <w:gridCol w:w="1172"/>
      </w:tblGrid>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393" w:hRule="atLeast"/>
        </w:trPr>
        <w:tc>
          <w:tcPr>
            <w:tcW w:w="1384" w:type="dxa"/>
            <w:vAlign w:val="center"/>
          </w:tcPr>
          <w:p>
            <w:pPr>
              <w:pStyle w:val="47"/>
              <w:spacing w:line="360" w:lineRule="auto"/>
              <w:ind w:firstLine="0"/>
              <w:jc w:val="center"/>
              <w:rPr>
                <w:rFonts w:hAnsi="宋体"/>
                <w:sz w:val="21"/>
                <w:szCs w:val="21"/>
              </w:rPr>
            </w:pPr>
            <w:r>
              <w:rPr>
                <w:rFonts w:hint="eastAsia" w:hAnsi="宋体"/>
                <w:sz w:val="21"/>
                <w:szCs w:val="21"/>
              </w:rPr>
              <w:t>产品</w:t>
            </w:r>
            <w:r>
              <w:rPr>
                <w:rFonts w:hAnsi="宋体"/>
                <w:sz w:val="21"/>
                <w:szCs w:val="21"/>
              </w:rPr>
              <w:t>名称</w:t>
            </w:r>
          </w:p>
        </w:tc>
        <w:tc>
          <w:tcPr>
            <w:tcW w:w="2115" w:type="dxa"/>
            <w:vAlign w:val="center"/>
          </w:tcPr>
          <w:p>
            <w:pPr>
              <w:pStyle w:val="47"/>
              <w:spacing w:line="360" w:lineRule="auto"/>
              <w:ind w:firstLine="0"/>
              <w:jc w:val="center"/>
              <w:rPr>
                <w:rFonts w:hAnsi="宋体"/>
                <w:sz w:val="21"/>
                <w:szCs w:val="21"/>
              </w:rPr>
            </w:pPr>
            <w:r>
              <w:rPr>
                <w:rFonts w:hAnsi="宋体"/>
                <w:sz w:val="21"/>
                <w:szCs w:val="21"/>
              </w:rPr>
              <w:t>型号、规格</w:t>
            </w:r>
          </w:p>
          <w:p>
            <w:pPr>
              <w:pStyle w:val="47"/>
              <w:spacing w:line="360" w:lineRule="auto"/>
              <w:ind w:firstLine="0"/>
              <w:jc w:val="center"/>
              <w:rPr>
                <w:rFonts w:hAnsi="宋体"/>
                <w:sz w:val="21"/>
                <w:szCs w:val="21"/>
              </w:rPr>
            </w:pPr>
            <w:r>
              <w:rPr>
                <w:rFonts w:hAnsi="宋体"/>
                <w:sz w:val="21"/>
                <w:szCs w:val="21"/>
              </w:rPr>
              <w:t>（配置清单附后）</w:t>
            </w:r>
          </w:p>
        </w:tc>
        <w:tc>
          <w:tcPr>
            <w:tcW w:w="709" w:type="dxa"/>
            <w:vAlign w:val="center"/>
          </w:tcPr>
          <w:p>
            <w:pPr>
              <w:pStyle w:val="47"/>
              <w:spacing w:line="360" w:lineRule="auto"/>
              <w:ind w:firstLine="0"/>
              <w:jc w:val="center"/>
              <w:rPr>
                <w:rFonts w:hAnsi="宋体"/>
                <w:sz w:val="21"/>
                <w:szCs w:val="21"/>
              </w:rPr>
            </w:pPr>
            <w:r>
              <w:rPr>
                <w:rFonts w:hAnsi="宋体"/>
                <w:sz w:val="21"/>
                <w:szCs w:val="21"/>
              </w:rPr>
              <w:t>数量</w:t>
            </w:r>
          </w:p>
        </w:tc>
        <w:tc>
          <w:tcPr>
            <w:tcW w:w="1374" w:type="dxa"/>
            <w:vAlign w:val="center"/>
          </w:tcPr>
          <w:p>
            <w:pPr>
              <w:pStyle w:val="47"/>
              <w:spacing w:line="360" w:lineRule="auto"/>
              <w:ind w:firstLine="0"/>
              <w:jc w:val="center"/>
              <w:rPr>
                <w:rFonts w:hAnsi="宋体"/>
                <w:sz w:val="21"/>
                <w:szCs w:val="21"/>
              </w:rPr>
            </w:pPr>
            <w:r>
              <w:rPr>
                <w:rFonts w:hAnsi="宋体"/>
                <w:sz w:val="21"/>
                <w:szCs w:val="21"/>
              </w:rPr>
              <w:t>单价</w:t>
            </w:r>
            <w:r>
              <w:rPr>
                <w:rFonts w:hAnsi="宋体" w:eastAsia="宋体"/>
                <w:sz w:val="21"/>
                <w:szCs w:val="21"/>
              </w:rPr>
              <w:t>(</w:t>
            </w:r>
            <w:r>
              <w:rPr>
                <w:rFonts w:hint="eastAsia" w:ascii="宋体" w:hAnsi="宋体" w:eastAsia="宋体"/>
                <w:sz w:val="21"/>
                <w:szCs w:val="21"/>
              </w:rPr>
              <w:t>元</w:t>
            </w:r>
            <w:r>
              <w:rPr>
                <w:rFonts w:hAnsi="宋体" w:eastAsia="宋体"/>
                <w:sz w:val="21"/>
                <w:szCs w:val="21"/>
              </w:rPr>
              <w:t>)</w:t>
            </w:r>
          </w:p>
        </w:tc>
        <w:tc>
          <w:tcPr>
            <w:tcW w:w="1319" w:type="dxa"/>
            <w:vAlign w:val="center"/>
          </w:tcPr>
          <w:p>
            <w:pPr>
              <w:pStyle w:val="47"/>
              <w:spacing w:line="360" w:lineRule="auto"/>
              <w:ind w:firstLine="0"/>
              <w:jc w:val="center"/>
              <w:rPr>
                <w:rFonts w:hAnsi="宋体"/>
                <w:sz w:val="21"/>
                <w:szCs w:val="21"/>
              </w:rPr>
            </w:pPr>
            <w:r>
              <w:rPr>
                <w:rFonts w:hAnsi="宋体"/>
                <w:sz w:val="21"/>
                <w:szCs w:val="21"/>
              </w:rPr>
              <w:t>金额</w:t>
            </w:r>
            <w:r>
              <w:rPr>
                <w:rFonts w:hAnsi="宋体" w:eastAsia="宋体"/>
                <w:sz w:val="21"/>
                <w:szCs w:val="21"/>
              </w:rPr>
              <w:t>(</w:t>
            </w:r>
            <w:r>
              <w:rPr>
                <w:rFonts w:hint="eastAsia" w:ascii="宋体" w:hAnsi="宋体" w:eastAsia="宋体"/>
                <w:sz w:val="21"/>
                <w:szCs w:val="21"/>
              </w:rPr>
              <w:t>元</w:t>
            </w:r>
            <w:r>
              <w:rPr>
                <w:rFonts w:hAnsi="宋体" w:eastAsia="宋体"/>
                <w:sz w:val="21"/>
                <w:szCs w:val="21"/>
              </w:rPr>
              <w:t>)</w:t>
            </w:r>
          </w:p>
        </w:tc>
        <w:tc>
          <w:tcPr>
            <w:tcW w:w="1560" w:type="dxa"/>
            <w:vAlign w:val="center"/>
          </w:tcPr>
          <w:p>
            <w:pPr>
              <w:pStyle w:val="47"/>
              <w:spacing w:line="360" w:lineRule="auto"/>
              <w:ind w:firstLine="0"/>
              <w:jc w:val="center"/>
              <w:rPr>
                <w:rFonts w:hAnsi="宋体"/>
                <w:sz w:val="21"/>
                <w:szCs w:val="21"/>
              </w:rPr>
            </w:pPr>
            <w:r>
              <w:rPr>
                <w:rFonts w:hAnsi="宋体"/>
                <w:sz w:val="21"/>
                <w:szCs w:val="21"/>
              </w:rPr>
              <w:t>原产地及品牌</w:t>
            </w:r>
          </w:p>
        </w:tc>
        <w:tc>
          <w:tcPr>
            <w:tcW w:w="1172" w:type="dxa"/>
            <w:vAlign w:val="center"/>
          </w:tcPr>
          <w:p>
            <w:pPr>
              <w:pStyle w:val="47"/>
              <w:spacing w:line="360" w:lineRule="auto"/>
              <w:ind w:firstLine="0"/>
              <w:jc w:val="center"/>
              <w:rPr>
                <w:rFonts w:hAnsi="宋体"/>
                <w:sz w:val="21"/>
                <w:szCs w:val="21"/>
              </w:rPr>
            </w:pPr>
            <w:r>
              <w:rPr>
                <w:rFonts w:hAnsi="宋体"/>
                <w:sz w:val="21"/>
                <w:szCs w:val="21"/>
              </w:rPr>
              <w:t>使用单位</w:t>
            </w: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538" w:hRule="atLeast"/>
        </w:trPr>
        <w:tc>
          <w:tcPr>
            <w:tcW w:w="1384" w:type="dxa"/>
            <w:vAlign w:val="center"/>
          </w:tcPr>
          <w:p>
            <w:pPr>
              <w:pStyle w:val="47"/>
              <w:spacing w:line="360" w:lineRule="auto"/>
              <w:ind w:firstLine="0"/>
              <w:jc w:val="center"/>
              <w:rPr>
                <w:rFonts w:hAnsi="宋体"/>
                <w:sz w:val="21"/>
                <w:szCs w:val="21"/>
              </w:rPr>
            </w:pPr>
          </w:p>
        </w:tc>
        <w:tc>
          <w:tcPr>
            <w:tcW w:w="2115" w:type="dxa"/>
            <w:vAlign w:val="center"/>
          </w:tcPr>
          <w:p>
            <w:pPr>
              <w:pStyle w:val="47"/>
              <w:spacing w:line="360" w:lineRule="auto"/>
              <w:ind w:firstLine="0"/>
              <w:jc w:val="center"/>
              <w:rPr>
                <w:rFonts w:hAnsi="宋体"/>
                <w:sz w:val="21"/>
                <w:szCs w:val="21"/>
              </w:rPr>
            </w:pPr>
          </w:p>
        </w:tc>
        <w:tc>
          <w:tcPr>
            <w:tcW w:w="709" w:type="dxa"/>
            <w:vAlign w:val="center"/>
          </w:tcPr>
          <w:p>
            <w:pPr>
              <w:pStyle w:val="47"/>
              <w:spacing w:line="360" w:lineRule="auto"/>
              <w:ind w:left="-110" w:right="-115" w:firstLine="0"/>
              <w:jc w:val="center"/>
              <w:rPr>
                <w:rFonts w:hAnsi="宋体"/>
                <w:sz w:val="21"/>
                <w:szCs w:val="21"/>
              </w:rPr>
            </w:pPr>
          </w:p>
        </w:tc>
        <w:tc>
          <w:tcPr>
            <w:tcW w:w="1374" w:type="dxa"/>
            <w:vAlign w:val="center"/>
          </w:tcPr>
          <w:p>
            <w:pPr>
              <w:pStyle w:val="47"/>
              <w:spacing w:line="360" w:lineRule="auto"/>
              <w:ind w:firstLine="0"/>
              <w:jc w:val="center"/>
              <w:rPr>
                <w:rFonts w:hAnsi="宋体"/>
                <w:sz w:val="21"/>
                <w:szCs w:val="21"/>
              </w:rPr>
            </w:pPr>
          </w:p>
        </w:tc>
        <w:tc>
          <w:tcPr>
            <w:tcW w:w="1319" w:type="dxa"/>
            <w:vAlign w:val="center"/>
          </w:tcPr>
          <w:p>
            <w:pPr>
              <w:pStyle w:val="47"/>
              <w:spacing w:line="360" w:lineRule="auto"/>
              <w:ind w:firstLine="0"/>
              <w:jc w:val="center"/>
              <w:rPr>
                <w:rFonts w:hAnsi="宋体"/>
                <w:sz w:val="21"/>
                <w:szCs w:val="21"/>
              </w:rPr>
            </w:pPr>
          </w:p>
        </w:tc>
        <w:tc>
          <w:tcPr>
            <w:tcW w:w="1560" w:type="dxa"/>
            <w:vAlign w:val="center"/>
          </w:tcPr>
          <w:p>
            <w:pPr>
              <w:pStyle w:val="47"/>
              <w:spacing w:line="360" w:lineRule="auto"/>
              <w:ind w:firstLine="0"/>
              <w:jc w:val="center"/>
              <w:rPr>
                <w:rFonts w:hAnsi="宋体"/>
                <w:sz w:val="21"/>
                <w:szCs w:val="21"/>
              </w:rPr>
            </w:pPr>
          </w:p>
        </w:tc>
        <w:tc>
          <w:tcPr>
            <w:tcW w:w="1172" w:type="dxa"/>
            <w:vAlign w:val="center"/>
          </w:tcPr>
          <w:p>
            <w:pPr>
              <w:pStyle w:val="47"/>
              <w:spacing w:line="360" w:lineRule="auto"/>
              <w:ind w:firstLine="0"/>
              <w:jc w:val="center"/>
              <w:rPr>
                <w:rFonts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538" w:hRule="atLeast"/>
        </w:trPr>
        <w:tc>
          <w:tcPr>
            <w:tcW w:w="1384" w:type="dxa"/>
            <w:vAlign w:val="center"/>
          </w:tcPr>
          <w:p>
            <w:pPr>
              <w:pStyle w:val="47"/>
              <w:spacing w:line="360" w:lineRule="auto"/>
              <w:ind w:firstLine="0"/>
              <w:jc w:val="center"/>
              <w:rPr>
                <w:rFonts w:hAnsi="宋体"/>
                <w:sz w:val="21"/>
                <w:szCs w:val="21"/>
              </w:rPr>
            </w:pPr>
          </w:p>
        </w:tc>
        <w:tc>
          <w:tcPr>
            <w:tcW w:w="2115" w:type="dxa"/>
            <w:vAlign w:val="center"/>
          </w:tcPr>
          <w:p>
            <w:pPr>
              <w:pStyle w:val="47"/>
              <w:spacing w:line="360" w:lineRule="auto"/>
              <w:ind w:firstLine="0"/>
              <w:jc w:val="center"/>
              <w:rPr>
                <w:rFonts w:hAnsi="宋体"/>
                <w:sz w:val="21"/>
                <w:szCs w:val="21"/>
              </w:rPr>
            </w:pPr>
          </w:p>
        </w:tc>
        <w:tc>
          <w:tcPr>
            <w:tcW w:w="709" w:type="dxa"/>
            <w:vAlign w:val="center"/>
          </w:tcPr>
          <w:p>
            <w:pPr>
              <w:pStyle w:val="47"/>
              <w:spacing w:line="360" w:lineRule="auto"/>
              <w:ind w:left="-110" w:right="-115" w:firstLine="0"/>
              <w:jc w:val="center"/>
              <w:rPr>
                <w:rFonts w:hAnsi="宋体"/>
                <w:sz w:val="21"/>
                <w:szCs w:val="21"/>
              </w:rPr>
            </w:pPr>
          </w:p>
        </w:tc>
        <w:tc>
          <w:tcPr>
            <w:tcW w:w="1374" w:type="dxa"/>
            <w:vAlign w:val="center"/>
          </w:tcPr>
          <w:p>
            <w:pPr>
              <w:pStyle w:val="47"/>
              <w:spacing w:line="360" w:lineRule="auto"/>
              <w:ind w:firstLine="0"/>
              <w:jc w:val="center"/>
              <w:rPr>
                <w:rFonts w:hAnsi="宋体"/>
                <w:sz w:val="21"/>
                <w:szCs w:val="21"/>
              </w:rPr>
            </w:pPr>
          </w:p>
        </w:tc>
        <w:tc>
          <w:tcPr>
            <w:tcW w:w="1319" w:type="dxa"/>
            <w:vAlign w:val="center"/>
          </w:tcPr>
          <w:p>
            <w:pPr>
              <w:pStyle w:val="47"/>
              <w:spacing w:line="360" w:lineRule="auto"/>
              <w:ind w:firstLine="0"/>
              <w:jc w:val="center"/>
              <w:rPr>
                <w:rFonts w:hAnsi="宋体"/>
                <w:sz w:val="21"/>
                <w:szCs w:val="21"/>
              </w:rPr>
            </w:pPr>
          </w:p>
        </w:tc>
        <w:tc>
          <w:tcPr>
            <w:tcW w:w="1560" w:type="dxa"/>
            <w:vAlign w:val="center"/>
          </w:tcPr>
          <w:p>
            <w:pPr>
              <w:pStyle w:val="47"/>
              <w:spacing w:line="360" w:lineRule="auto"/>
              <w:ind w:firstLine="0"/>
              <w:jc w:val="center"/>
              <w:rPr>
                <w:rFonts w:hAnsi="宋体"/>
                <w:sz w:val="21"/>
                <w:szCs w:val="21"/>
              </w:rPr>
            </w:pPr>
          </w:p>
        </w:tc>
        <w:tc>
          <w:tcPr>
            <w:tcW w:w="1172" w:type="dxa"/>
            <w:vAlign w:val="center"/>
          </w:tcPr>
          <w:p>
            <w:pPr>
              <w:pStyle w:val="47"/>
              <w:spacing w:line="360" w:lineRule="auto"/>
              <w:ind w:firstLine="0"/>
              <w:jc w:val="center"/>
              <w:rPr>
                <w:rFonts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538" w:hRule="atLeast"/>
        </w:trPr>
        <w:tc>
          <w:tcPr>
            <w:tcW w:w="1384" w:type="dxa"/>
            <w:vAlign w:val="center"/>
          </w:tcPr>
          <w:p>
            <w:pPr>
              <w:pStyle w:val="47"/>
              <w:spacing w:line="360" w:lineRule="auto"/>
              <w:ind w:firstLine="0"/>
              <w:jc w:val="center"/>
              <w:rPr>
                <w:rFonts w:hAnsi="宋体"/>
                <w:sz w:val="21"/>
                <w:szCs w:val="21"/>
              </w:rPr>
            </w:pPr>
          </w:p>
        </w:tc>
        <w:tc>
          <w:tcPr>
            <w:tcW w:w="2115" w:type="dxa"/>
            <w:vAlign w:val="center"/>
          </w:tcPr>
          <w:p>
            <w:pPr>
              <w:pStyle w:val="47"/>
              <w:spacing w:line="360" w:lineRule="auto"/>
              <w:ind w:firstLine="0"/>
              <w:jc w:val="center"/>
              <w:rPr>
                <w:rFonts w:hAnsi="宋体"/>
                <w:sz w:val="21"/>
                <w:szCs w:val="21"/>
              </w:rPr>
            </w:pPr>
          </w:p>
        </w:tc>
        <w:tc>
          <w:tcPr>
            <w:tcW w:w="709" w:type="dxa"/>
            <w:vAlign w:val="center"/>
          </w:tcPr>
          <w:p>
            <w:pPr>
              <w:pStyle w:val="47"/>
              <w:spacing w:line="360" w:lineRule="auto"/>
              <w:ind w:left="-110" w:right="-115" w:firstLine="0"/>
              <w:jc w:val="center"/>
              <w:rPr>
                <w:rFonts w:hAnsi="宋体"/>
                <w:sz w:val="21"/>
                <w:szCs w:val="21"/>
              </w:rPr>
            </w:pPr>
          </w:p>
        </w:tc>
        <w:tc>
          <w:tcPr>
            <w:tcW w:w="1374" w:type="dxa"/>
            <w:vAlign w:val="center"/>
          </w:tcPr>
          <w:p>
            <w:pPr>
              <w:pStyle w:val="47"/>
              <w:spacing w:line="360" w:lineRule="auto"/>
              <w:ind w:firstLine="0"/>
              <w:jc w:val="center"/>
              <w:rPr>
                <w:rFonts w:hAnsi="宋体"/>
                <w:sz w:val="21"/>
                <w:szCs w:val="21"/>
              </w:rPr>
            </w:pPr>
          </w:p>
        </w:tc>
        <w:tc>
          <w:tcPr>
            <w:tcW w:w="1319" w:type="dxa"/>
            <w:vAlign w:val="center"/>
          </w:tcPr>
          <w:p>
            <w:pPr>
              <w:pStyle w:val="47"/>
              <w:spacing w:line="360" w:lineRule="auto"/>
              <w:ind w:firstLine="0"/>
              <w:jc w:val="center"/>
              <w:rPr>
                <w:rFonts w:hAnsi="宋体"/>
                <w:sz w:val="21"/>
                <w:szCs w:val="21"/>
              </w:rPr>
            </w:pPr>
          </w:p>
        </w:tc>
        <w:tc>
          <w:tcPr>
            <w:tcW w:w="1560" w:type="dxa"/>
            <w:vAlign w:val="center"/>
          </w:tcPr>
          <w:p>
            <w:pPr>
              <w:pStyle w:val="47"/>
              <w:spacing w:line="360" w:lineRule="auto"/>
              <w:ind w:firstLine="0"/>
              <w:jc w:val="center"/>
              <w:rPr>
                <w:rFonts w:hAnsi="宋体"/>
                <w:sz w:val="21"/>
                <w:szCs w:val="21"/>
              </w:rPr>
            </w:pPr>
          </w:p>
        </w:tc>
        <w:tc>
          <w:tcPr>
            <w:tcW w:w="1172" w:type="dxa"/>
            <w:vAlign w:val="center"/>
          </w:tcPr>
          <w:p>
            <w:pPr>
              <w:pStyle w:val="47"/>
              <w:spacing w:line="360" w:lineRule="auto"/>
              <w:ind w:firstLine="0"/>
              <w:jc w:val="center"/>
              <w:rPr>
                <w:rFonts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538" w:hRule="atLeast"/>
        </w:trPr>
        <w:tc>
          <w:tcPr>
            <w:tcW w:w="9633" w:type="dxa"/>
            <w:gridSpan w:val="7"/>
            <w:vAlign w:val="center"/>
          </w:tcPr>
          <w:p>
            <w:pPr>
              <w:pStyle w:val="47"/>
              <w:spacing w:line="360" w:lineRule="auto"/>
              <w:ind w:firstLine="0"/>
              <w:jc w:val="left"/>
              <w:rPr>
                <w:rFonts w:hAnsi="宋体"/>
                <w:sz w:val="21"/>
                <w:szCs w:val="21"/>
              </w:rPr>
            </w:pPr>
            <w:r>
              <w:rPr>
                <w:rFonts w:hAnsi="宋体"/>
                <w:sz w:val="21"/>
                <w:szCs w:val="21"/>
              </w:rPr>
              <w:t>含税合计（人民币大写）：</w:t>
            </w:r>
          </w:p>
        </w:tc>
      </w:tr>
    </w:tbl>
    <w:p>
      <w:pPr>
        <w:pStyle w:val="61"/>
        <w:tabs>
          <w:tab w:val="clear" w:pos="4153"/>
          <w:tab w:val="clear" w:pos="8306"/>
        </w:tabs>
        <w:spacing w:after="120" w:line="360" w:lineRule="auto"/>
        <w:rPr>
          <w:sz w:val="21"/>
          <w:szCs w:val="21"/>
        </w:rPr>
      </w:pPr>
      <w:r>
        <w:rPr>
          <w:sz w:val="21"/>
          <w:szCs w:val="21"/>
        </w:rPr>
        <w:t>合同金额包括但不仅限于：所有设备、运输及装卸、安装调试、验收、质保期内的售后服务、利润、税金、技术培训及政策性文件规定的各项应有的所有费用。</w:t>
      </w:r>
    </w:p>
    <w:p>
      <w:pPr>
        <w:pStyle w:val="61"/>
        <w:tabs>
          <w:tab w:val="clear" w:pos="4153"/>
          <w:tab w:val="clear" w:pos="8306"/>
        </w:tabs>
        <w:spacing w:after="120" w:line="360" w:lineRule="auto"/>
        <w:rPr>
          <w:sz w:val="21"/>
          <w:szCs w:val="21"/>
        </w:rPr>
      </w:pPr>
      <w:r>
        <w:rPr>
          <w:sz w:val="21"/>
          <w:szCs w:val="21"/>
        </w:rPr>
        <w:t>二、付款方式及条件</w:t>
      </w:r>
    </w:p>
    <w:p>
      <w:pPr>
        <w:spacing w:line="360" w:lineRule="auto"/>
        <w:rPr>
          <w:rFonts w:ascii="宋体" w:hAnsi="宋体" w:eastAsia="Times New Roman"/>
        </w:rPr>
      </w:pPr>
      <w:r>
        <w:rPr>
          <w:rFonts w:hint="eastAsia" w:ascii="宋体" w:hAnsi="宋体" w:eastAsia="Times New Roman"/>
        </w:rPr>
        <w:t>1</w:t>
      </w:r>
      <w:r>
        <w:t>、乙方应当向甲方支付履约保证金，以作为其履行本合同的保证。</w:t>
      </w:r>
    </w:p>
    <w:p>
      <w:pPr>
        <w:spacing w:line="360" w:lineRule="auto"/>
        <w:ind w:firstLine="420" w:firstLineChars="200"/>
      </w:pPr>
      <w:r>
        <w:t>（</w:t>
      </w:r>
      <w:r>
        <w:rPr>
          <w:rFonts w:ascii="宋体" w:hAnsi="宋体"/>
        </w:rPr>
        <w:t>1</w:t>
      </w:r>
      <w:r>
        <w:t>）履约保证金金额：</w:t>
      </w:r>
      <w:r>
        <w:rPr>
          <w:rFonts w:hint="eastAsia"/>
        </w:rPr>
        <w:t>/</w:t>
      </w:r>
    </w:p>
    <w:p>
      <w:pPr>
        <w:spacing w:line="360" w:lineRule="auto"/>
        <w:ind w:firstLine="420" w:firstLineChars="200"/>
      </w:pPr>
      <w:r>
        <w:t>（</w:t>
      </w:r>
      <w:r>
        <w:rPr>
          <w:rFonts w:ascii="宋体" w:hAnsi="宋体"/>
        </w:rPr>
        <w:t>2</w:t>
      </w:r>
      <w:r>
        <w:t>）履约保证金形式：</w:t>
      </w:r>
      <w:r>
        <w:rPr>
          <w:rFonts w:hint="eastAsia"/>
        </w:rPr>
        <w:t>/</w:t>
      </w:r>
    </w:p>
    <w:p>
      <w:pPr>
        <w:spacing w:line="360" w:lineRule="auto"/>
        <w:ind w:firstLine="420" w:firstLineChars="200"/>
      </w:pPr>
      <w:r>
        <w:t>（</w:t>
      </w:r>
      <w:r>
        <w:rPr>
          <w:rFonts w:ascii="宋体" w:hAnsi="宋体"/>
        </w:rPr>
        <w:t>3</w:t>
      </w:r>
      <w:r>
        <w:t>）履约保证金递交时间：</w:t>
      </w:r>
      <w:r>
        <w:rPr>
          <w:rFonts w:hint="eastAsia"/>
        </w:rPr>
        <w:t>/</w:t>
      </w:r>
    </w:p>
    <w:p>
      <w:pPr>
        <w:spacing w:line="360" w:lineRule="auto"/>
        <w:ind w:firstLine="420" w:firstLineChars="200"/>
      </w:pPr>
      <w:r>
        <w:t>（</w:t>
      </w:r>
      <w:r>
        <w:rPr>
          <w:rFonts w:ascii="宋体" w:hAnsi="宋体"/>
        </w:rPr>
        <w:t>4</w:t>
      </w:r>
      <w:r>
        <w:t>）履约保证金退还时间：</w:t>
      </w:r>
      <w:r>
        <w:rPr>
          <w:rFonts w:hint="eastAsia"/>
        </w:rPr>
        <w:t>/</w:t>
      </w:r>
    </w:p>
    <w:p>
      <w:pPr>
        <w:spacing w:line="360" w:lineRule="auto"/>
        <w:ind w:firstLine="420" w:firstLineChars="200"/>
      </w:pPr>
      <w:r>
        <w:t>收件人：</w:t>
      </w:r>
      <w:r>
        <w:rPr>
          <w:rFonts w:hint="eastAsia"/>
        </w:rPr>
        <w:t>宁波职业技术学院</w:t>
      </w:r>
    </w:p>
    <w:p>
      <w:pPr>
        <w:spacing w:line="360" w:lineRule="auto"/>
        <w:rPr>
          <w:rFonts w:ascii="宋体" w:hAnsi="宋体"/>
        </w:rPr>
      </w:pPr>
      <w:r>
        <w:rPr>
          <w:rFonts w:ascii="宋体" w:hAnsi="宋体"/>
        </w:rPr>
        <w:t>2</w:t>
      </w:r>
      <w:r>
        <w:t xml:space="preserve">、付款方式： </w:t>
      </w:r>
    </w:p>
    <w:p>
      <w:pPr>
        <w:spacing w:line="360" w:lineRule="auto"/>
        <w:ind w:firstLine="420" w:firstLineChars="200"/>
      </w:pPr>
      <w:r>
        <w:rPr>
          <w:rFonts w:hint="eastAsia"/>
        </w:rPr>
        <w:t>（1）合同签订后支付合同价款的40%，货到验收合格付至合同金额的100%；</w:t>
      </w:r>
    </w:p>
    <w:p>
      <w:pPr>
        <w:spacing w:line="360" w:lineRule="auto"/>
        <w:ind w:firstLine="420" w:firstLineChars="200"/>
      </w:pPr>
      <w:r>
        <w:rPr>
          <w:rFonts w:hint="eastAsia"/>
        </w:rPr>
        <w:t>（2）按照招标文件的规定、中标人的投标响应、中标通知书确定的规格、数量和金额签订合同。</w:t>
      </w:r>
    </w:p>
    <w:p>
      <w:pPr>
        <w:spacing w:line="360" w:lineRule="auto"/>
      </w:pPr>
      <w:r>
        <w:t>3、甲方增值税专用发票信息：</w:t>
      </w:r>
    </w:p>
    <w:p>
      <w:pPr>
        <w:spacing w:line="360" w:lineRule="auto"/>
        <w:ind w:firstLine="420" w:firstLineChars="200"/>
      </w:pPr>
      <w:r>
        <w:t>名称：</w:t>
      </w:r>
      <w:r>
        <w:rPr>
          <w:rFonts w:hint="eastAsia"/>
        </w:rPr>
        <w:t>宁波职业技术学院</w:t>
      </w:r>
    </w:p>
    <w:p>
      <w:pPr>
        <w:spacing w:line="360" w:lineRule="auto"/>
        <w:ind w:firstLine="420" w:firstLineChars="200"/>
      </w:pPr>
      <w:r>
        <w:t>纳税人识别号：</w:t>
      </w:r>
    </w:p>
    <w:p>
      <w:pPr>
        <w:spacing w:line="360" w:lineRule="auto"/>
        <w:ind w:firstLine="420" w:firstLineChars="200"/>
      </w:pPr>
      <w:r>
        <w:t>开户银行及账号：</w:t>
      </w:r>
    </w:p>
    <w:p>
      <w:pPr>
        <w:spacing w:line="360" w:lineRule="auto"/>
        <w:ind w:firstLine="420" w:firstLineChars="200"/>
      </w:pPr>
      <w:r>
        <w:t>地址：</w:t>
      </w:r>
      <w:r>
        <w:rPr>
          <w:rFonts w:ascii="宋体" w:hAnsi="宋体"/>
        </w:rPr>
        <w:t xml:space="preserve">     </w:t>
      </w:r>
      <w:r>
        <w:t>，电话</w:t>
      </w:r>
    </w:p>
    <w:p>
      <w:pPr>
        <w:spacing w:line="360" w:lineRule="auto"/>
        <w:ind w:firstLine="420" w:firstLineChars="200"/>
      </w:pPr>
      <w:r>
        <w:t>增值税税率：</w:t>
      </w:r>
    </w:p>
    <w:p>
      <w:pPr>
        <w:spacing w:line="360" w:lineRule="auto"/>
        <w:rPr>
          <w:rFonts w:ascii="宋体" w:hAnsi="宋体"/>
        </w:rPr>
      </w:pPr>
      <w:r>
        <w:rPr>
          <w:rFonts w:ascii="宋体" w:hAnsi="宋体"/>
        </w:rPr>
        <w:t>4</w:t>
      </w:r>
      <w:r>
        <w:t>、以上款项由甲方汇入乙方指定的如下帐户内：</w:t>
      </w:r>
    </w:p>
    <w:p>
      <w:pPr>
        <w:spacing w:before="120" w:after="120" w:line="360" w:lineRule="auto"/>
        <w:ind w:firstLine="420" w:firstLineChars="200"/>
      </w:pPr>
      <w:r>
        <w:t>户</w:t>
      </w:r>
      <w:r>
        <w:rPr>
          <w:rFonts w:ascii="宋体" w:hAnsi="宋体"/>
        </w:rPr>
        <w:t xml:space="preserve">    </w:t>
      </w:r>
      <w:r>
        <w:t>名：</w:t>
      </w:r>
    </w:p>
    <w:p>
      <w:pPr>
        <w:spacing w:before="120" w:after="120" w:line="360" w:lineRule="auto"/>
        <w:ind w:firstLine="420" w:firstLineChars="200"/>
      </w:pPr>
      <w:r>
        <w:t>帐</w:t>
      </w:r>
      <w:r>
        <w:rPr>
          <w:rFonts w:ascii="宋体" w:hAnsi="宋体"/>
        </w:rPr>
        <w:t xml:space="preserve">    </w:t>
      </w:r>
      <w:r>
        <w:t>号：</w:t>
      </w:r>
    </w:p>
    <w:p>
      <w:pPr>
        <w:spacing w:line="360" w:lineRule="auto"/>
        <w:ind w:firstLine="420" w:firstLineChars="200"/>
      </w:pPr>
      <w:r>
        <w:t>开户银行：</w:t>
      </w:r>
    </w:p>
    <w:p>
      <w:pPr>
        <w:spacing w:line="360" w:lineRule="auto"/>
      </w:pPr>
      <w:r>
        <w:t>三、设备交货时间及地点</w:t>
      </w:r>
    </w:p>
    <w:p>
      <w:pPr>
        <w:numPr>
          <w:ilvl w:val="0"/>
          <w:numId w:val="4"/>
        </w:numPr>
        <w:spacing w:line="360" w:lineRule="auto"/>
      </w:pPr>
      <w:r>
        <w:t>乙方应当于合同签订之日起日内将货物交付甲方，乙方必须同时向甲方提供产品说明书、产品合格证、质量保证书、保修卡、软件光盘等必须具备的相关资料和附件。</w:t>
      </w:r>
    </w:p>
    <w:p>
      <w:pPr>
        <w:numPr>
          <w:ilvl w:val="0"/>
          <w:numId w:val="4"/>
        </w:numPr>
        <w:spacing w:line="360" w:lineRule="auto"/>
      </w:pPr>
      <w:r>
        <w:t>乙方负责对设备进行坚固的包装，以防止设备在运输中发生损害。</w:t>
      </w:r>
    </w:p>
    <w:p>
      <w:pPr>
        <w:numPr>
          <w:ilvl w:val="0"/>
          <w:numId w:val="4"/>
        </w:numPr>
        <w:spacing w:line="360" w:lineRule="auto"/>
      </w:pPr>
      <w:r>
        <w:t>乙方应当于设备运至甲方指定地点后</w:t>
      </w:r>
      <w:r>
        <w:rPr>
          <w:rFonts w:hint="eastAsia"/>
        </w:rPr>
        <w:t>7</w:t>
      </w:r>
      <w:r>
        <w:t>个工作日内免费安装完毕。</w:t>
      </w:r>
    </w:p>
    <w:p>
      <w:pPr>
        <w:pStyle w:val="41"/>
        <w:numPr>
          <w:ilvl w:val="0"/>
          <w:numId w:val="4"/>
        </w:numPr>
        <w:spacing w:line="360" w:lineRule="auto"/>
      </w:pPr>
      <w:r>
        <w:t>若甲方原因影响进度，则乙方的到货交付日期顺延。</w:t>
      </w:r>
    </w:p>
    <w:p>
      <w:pPr>
        <w:pStyle w:val="41"/>
        <w:numPr>
          <w:ilvl w:val="0"/>
          <w:numId w:val="4"/>
        </w:numPr>
        <w:spacing w:line="360" w:lineRule="auto"/>
      </w:pPr>
      <w:r>
        <w:t>若因火灾、水灾、台风、地震等及双方同意的其它不可抗力因素影响进度，则乙方的到货交付日期顺延。</w:t>
      </w:r>
    </w:p>
    <w:p>
      <w:pPr>
        <w:numPr>
          <w:ilvl w:val="0"/>
          <w:numId w:val="4"/>
        </w:numPr>
        <w:spacing w:line="360" w:lineRule="auto"/>
      </w:pPr>
      <w:r>
        <w:t>交货地点：为甲方指定地点：。</w:t>
      </w:r>
    </w:p>
    <w:p>
      <w:pPr>
        <w:spacing w:line="360" w:lineRule="auto"/>
      </w:pPr>
      <w:r>
        <w:t>四、甲方义务</w:t>
      </w:r>
    </w:p>
    <w:p>
      <w:pPr>
        <w:numPr>
          <w:ilvl w:val="0"/>
          <w:numId w:val="5"/>
        </w:numPr>
        <w:spacing w:line="360" w:lineRule="auto"/>
      </w:pPr>
      <w:r>
        <w:t>甲方应当配合乙方在设备安装过程提供衔接事务，提供符合设备正常使用的场地和环境。</w:t>
      </w:r>
    </w:p>
    <w:p>
      <w:pPr>
        <w:numPr>
          <w:ilvl w:val="0"/>
          <w:numId w:val="5"/>
        </w:numPr>
        <w:spacing w:line="360" w:lineRule="auto"/>
      </w:pPr>
      <w:r>
        <w:t>甲方应当按合同约定组织办理验收和款项支付。</w:t>
      </w:r>
    </w:p>
    <w:p>
      <w:pPr>
        <w:pStyle w:val="61"/>
        <w:tabs>
          <w:tab w:val="clear" w:pos="4153"/>
          <w:tab w:val="clear" w:pos="8306"/>
        </w:tabs>
        <w:spacing w:after="120" w:line="360" w:lineRule="auto"/>
        <w:jc w:val="both"/>
        <w:rPr>
          <w:sz w:val="21"/>
          <w:szCs w:val="21"/>
        </w:rPr>
      </w:pPr>
      <w:r>
        <w:rPr>
          <w:sz w:val="21"/>
          <w:szCs w:val="21"/>
        </w:rPr>
        <w:t>五、乙方义务</w:t>
      </w:r>
    </w:p>
    <w:p>
      <w:pPr>
        <w:numPr>
          <w:ilvl w:val="0"/>
          <w:numId w:val="6"/>
        </w:numPr>
        <w:spacing w:line="360" w:lineRule="auto"/>
      </w:pPr>
      <w:r>
        <w:t>负责设备的运输、保险、安装、调试、培训、保修服务及相应费用等。</w:t>
      </w:r>
    </w:p>
    <w:p>
      <w:pPr>
        <w:numPr>
          <w:ilvl w:val="0"/>
          <w:numId w:val="6"/>
        </w:numPr>
        <w:spacing w:line="360" w:lineRule="auto"/>
      </w:pPr>
      <w:r>
        <w:t>选派合格的技术人员负责本项目的安装调试。</w:t>
      </w:r>
    </w:p>
    <w:p>
      <w:pPr>
        <w:spacing w:line="360" w:lineRule="auto"/>
      </w:pPr>
      <w:r>
        <w:rPr>
          <w:rFonts w:hint="eastAsia"/>
        </w:rPr>
        <w:t>六、</w:t>
      </w:r>
      <w:r>
        <w:t>质保期</w:t>
      </w:r>
    </w:p>
    <w:p>
      <w:pPr>
        <w:spacing w:line="360" w:lineRule="auto"/>
        <w:ind w:firstLine="420" w:firstLineChars="200"/>
      </w:pPr>
      <w:r>
        <w:t>质保期      年。（自竣工验收合格之日起计）</w:t>
      </w:r>
    </w:p>
    <w:p>
      <w:pPr>
        <w:spacing w:line="360" w:lineRule="auto"/>
      </w:pPr>
      <w:r>
        <w:rPr>
          <w:rFonts w:hint="eastAsia"/>
        </w:rPr>
        <w:t>七</w:t>
      </w:r>
      <w:r>
        <w:t>、实施的时间及地点</w:t>
      </w:r>
    </w:p>
    <w:p>
      <w:pPr>
        <w:numPr>
          <w:ilvl w:val="0"/>
          <w:numId w:val="6"/>
        </w:numPr>
        <w:spacing w:line="360" w:lineRule="auto"/>
      </w:pPr>
      <w:r>
        <w:t>交付的时间：</w:t>
      </w:r>
    </w:p>
    <w:p>
      <w:pPr>
        <w:numPr>
          <w:ilvl w:val="0"/>
          <w:numId w:val="6"/>
        </w:numPr>
        <w:spacing w:line="360" w:lineRule="auto"/>
      </w:pPr>
      <w:r>
        <w:t>交付的地点：采购人指定地点。</w:t>
      </w:r>
    </w:p>
    <w:p>
      <w:pPr>
        <w:pStyle w:val="61"/>
        <w:tabs>
          <w:tab w:val="clear" w:pos="4153"/>
          <w:tab w:val="clear" w:pos="8306"/>
        </w:tabs>
        <w:spacing w:after="120" w:line="360" w:lineRule="auto"/>
        <w:jc w:val="both"/>
        <w:rPr>
          <w:sz w:val="21"/>
          <w:szCs w:val="21"/>
        </w:rPr>
      </w:pPr>
      <w:r>
        <w:rPr>
          <w:rFonts w:hint="eastAsia"/>
          <w:sz w:val="21"/>
          <w:szCs w:val="21"/>
        </w:rPr>
        <w:t>八</w:t>
      </w:r>
      <w:r>
        <w:rPr>
          <w:sz w:val="21"/>
          <w:szCs w:val="21"/>
        </w:rPr>
        <w:t>、售后服务</w:t>
      </w:r>
    </w:p>
    <w:p>
      <w:pPr>
        <w:numPr>
          <w:ilvl w:val="0"/>
          <w:numId w:val="6"/>
        </w:numPr>
        <w:spacing w:line="360" w:lineRule="auto"/>
      </w:pPr>
      <w:r>
        <w:t>乙方保证对所提供的产品实行年免费保修（免费上门服务），设备附带的软件年内免费升级，维修响应时间为接到用户保修电话后小时到现场解决。乙方在接到甲方通知后，未及时派员维修的，甲方有权自行委托第三方进行维修，甲方有权从履约保证金中直接予以扣除产生相关费用。</w:t>
      </w:r>
    </w:p>
    <w:p>
      <w:pPr>
        <w:numPr>
          <w:ilvl w:val="0"/>
          <w:numId w:val="6"/>
        </w:numPr>
        <w:spacing w:line="360" w:lineRule="auto"/>
      </w:pPr>
      <w:r>
        <w:t>由此产生的费用保修期从验收合格之日算起计算，乙方提供的货物在保修期内因货物、软件本身的质量问题发生故障，乙方应负责免费更换。根据实际情况，经双方协商，可按以下办法处理：</w:t>
      </w:r>
    </w:p>
    <w:p>
      <w:pPr>
        <w:spacing w:line="360" w:lineRule="auto"/>
        <w:ind w:firstLine="420" w:firstLineChars="200"/>
      </w:pPr>
      <w:r>
        <w:t>（</w:t>
      </w:r>
      <w:r>
        <w:rPr>
          <w:rFonts w:ascii="宋体" w:hAnsi="宋体"/>
        </w:rPr>
        <w:t>1</w:t>
      </w:r>
      <w:r>
        <w:t>）更换：由乙方承担所发生的全部费用。</w:t>
      </w:r>
    </w:p>
    <w:p>
      <w:pPr>
        <w:spacing w:line="360" w:lineRule="auto"/>
        <w:ind w:firstLine="411" w:firstLineChars="196"/>
      </w:pPr>
      <w:r>
        <w:t>（</w:t>
      </w:r>
      <w:r>
        <w:rPr>
          <w:rFonts w:ascii="宋体" w:hAnsi="宋体"/>
        </w:rPr>
        <w:t>2</w:t>
      </w:r>
      <w:r>
        <w:t>）贬值处理：由甲乙双方协商定价。</w:t>
      </w:r>
    </w:p>
    <w:p>
      <w:pPr>
        <w:spacing w:line="360" w:lineRule="auto"/>
        <w:ind w:left="636" w:leftChars="200" w:hanging="216" w:hangingChars="103"/>
      </w:pPr>
      <w:r>
        <w:t>（</w:t>
      </w:r>
      <w:r>
        <w:rPr>
          <w:rFonts w:ascii="宋体" w:hAnsi="宋体"/>
        </w:rPr>
        <w:t>3</w:t>
      </w:r>
      <w:r>
        <w:t>）退货处理：乙方应退还甲方支付的全部合同款并赔偿甲方由此造成的全部损失，同时应承担该货物的直接费用（运输、保险、检验、全部合同款的利息损失及银行手续费等）。</w:t>
      </w:r>
    </w:p>
    <w:p>
      <w:pPr>
        <w:numPr>
          <w:ilvl w:val="0"/>
          <w:numId w:val="6"/>
        </w:numPr>
        <w:spacing w:line="360" w:lineRule="auto"/>
      </w:pPr>
      <w:r>
        <w:t>保修期过后由乙方提供维修服务。双方可另行签订维修服务合同，如采购文件对维修费用有约定，则应当以采购文件约定为准。</w:t>
      </w:r>
    </w:p>
    <w:p>
      <w:pPr>
        <w:numPr>
          <w:ilvl w:val="0"/>
          <w:numId w:val="6"/>
        </w:numPr>
        <w:spacing w:line="360" w:lineRule="auto"/>
      </w:pPr>
      <w:r>
        <w:t>乙方应当承担因设备故障原因造成的甲方财产损失、人员伤亡等赔偿责任。</w:t>
      </w:r>
    </w:p>
    <w:p>
      <w:pPr>
        <w:spacing w:line="360" w:lineRule="auto"/>
      </w:pPr>
      <w:r>
        <w:rPr>
          <w:rFonts w:hint="eastAsia"/>
        </w:rPr>
        <w:t>九</w:t>
      </w:r>
      <w:r>
        <w:t>、设备验收及风险转移</w:t>
      </w:r>
    </w:p>
    <w:p>
      <w:pPr>
        <w:numPr>
          <w:ilvl w:val="0"/>
          <w:numId w:val="7"/>
        </w:numPr>
        <w:spacing w:line="360" w:lineRule="auto"/>
      </w:pPr>
      <w:r>
        <w:t>验收标准：按下列第</w:t>
      </w:r>
      <w:r>
        <w:rPr>
          <w:rFonts w:ascii="宋体" w:hAnsi="宋体"/>
        </w:rPr>
        <w:t>( )</w:t>
      </w:r>
      <w:r>
        <w:t xml:space="preserve">项执行： </w:t>
      </w:r>
      <w:r>
        <w:rPr>
          <w:rFonts w:ascii="宋体" w:hAnsi="宋体"/>
        </w:rPr>
        <w:br w:type="textWrapping"/>
      </w:r>
      <w:r>
        <w:rPr>
          <w:rFonts w:ascii="宋体" w:hAnsi="宋体"/>
        </w:rPr>
        <w:t xml:space="preserve"> (1) </w:t>
      </w:r>
      <w:r>
        <w:t>按照＿＿＿＿＿＿标准执行</w:t>
      </w:r>
      <w:r>
        <w:rPr>
          <w:rFonts w:ascii="宋体" w:hAnsi="宋体"/>
        </w:rPr>
        <w:t>(</w:t>
      </w:r>
      <w:r>
        <w:t>须注明按国家标准或部颁或企业具体标准，如标准代号、编号和标准名称等</w:t>
      </w:r>
      <w:r>
        <w:rPr>
          <w:rFonts w:ascii="宋体" w:hAnsi="宋体"/>
        </w:rPr>
        <w:t>)</w:t>
      </w:r>
      <w:r>
        <w:t xml:space="preserve">。 </w:t>
      </w:r>
      <w:r>
        <w:rPr>
          <w:rFonts w:ascii="宋体" w:hAnsi="宋体"/>
        </w:rPr>
        <w:br w:type="textWrapping"/>
      </w:r>
      <w:r>
        <w:rPr>
          <w:rFonts w:ascii="宋体" w:hAnsi="宋体"/>
        </w:rPr>
        <w:t xml:space="preserve"> (2) </w:t>
      </w:r>
      <w:r>
        <w:t xml:space="preserve">按样本，样本作为合同的附件（应注明样本封存及保管方式）。 </w:t>
      </w:r>
      <w:r>
        <w:rPr>
          <w:rFonts w:ascii="宋体" w:hAnsi="宋体"/>
        </w:rPr>
        <w:br w:type="textWrapping"/>
      </w:r>
      <w:r>
        <w:rPr>
          <w:rFonts w:ascii="宋体" w:hAnsi="宋体"/>
        </w:rPr>
        <w:t xml:space="preserve"> (3) </w:t>
      </w:r>
      <w:r>
        <w:t xml:space="preserve">按双方商定要求执行，具体为： ＿＿＿＿＿＿＿＿＿（应具体约定产品质量要求）。 </w:t>
      </w:r>
    </w:p>
    <w:p>
      <w:pPr>
        <w:numPr>
          <w:ilvl w:val="0"/>
          <w:numId w:val="7"/>
        </w:numPr>
        <w:spacing w:line="360" w:lineRule="auto"/>
      </w:pPr>
      <w:r>
        <w:t>由于设备不符合合同约定的标准或国家标准、行业标准，甲方拒绝受领的，设备的风险仍由乙方承担。</w:t>
      </w:r>
    </w:p>
    <w:p>
      <w:pPr>
        <w:numPr>
          <w:ilvl w:val="0"/>
          <w:numId w:val="7"/>
        </w:numPr>
        <w:spacing w:line="360" w:lineRule="auto"/>
      </w:pPr>
      <w:r>
        <w:t>开箱验收：由双方共同对设备进行开箱清点，乙方不得事先拆封原厂商包装，否则甲方可拒绝接收设备且可以单方通知乙方解除合同，由此而产生的后果由乙方负责。</w:t>
      </w:r>
    </w:p>
    <w:p>
      <w:pPr>
        <w:numPr>
          <w:ilvl w:val="0"/>
          <w:numId w:val="7"/>
        </w:numPr>
        <w:spacing w:line="360" w:lineRule="auto"/>
      </w:pPr>
      <w:r>
        <w:t>甲方在验收中如发现货物的品种、型号、规格、花色和质量不合规定或约定，应在妥为保管货物的同时，自收到货物后日内向乙方提出书面异议。</w:t>
      </w:r>
    </w:p>
    <w:p>
      <w:pPr>
        <w:numPr>
          <w:ilvl w:val="0"/>
          <w:numId w:val="7"/>
        </w:numPr>
        <w:spacing w:line="360" w:lineRule="auto"/>
      </w:pPr>
      <w:r>
        <w:t>乙方在接到甲方书面异议后，应在＿＿＿＿＿日内负责处理并通知甲方处理情况，否则，即视为默认甲方提出的异议和处理意见。</w:t>
      </w:r>
      <w:r>
        <w:rPr>
          <w:rFonts w:ascii="宋体" w:hAnsi="宋体"/>
        </w:rPr>
        <w:t xml:space="preserve"> </w:t>
      </w:r>
    </w:p>
    <w:p>
      <w:pPr>
        <w:numPr>
          <w:ilvl w:val="0"/>
          <w:numId w:val="7"/>
        </w:numPr>
        <w:spacing w:line="360" w:lineRule="auto"/>
      </w:pPr>
      <w:r>
        <w:t>风险转移：乙方需对所有设备购买保险，设备在乙方送货前毁损、灭失的风险由乙方承担；在乙方送货后因乙方或乙方设备的自身原因造成的毁损、灭失的风险由乙方承担，因甲方人为破坏造成的毁损、灭失的风险由甲方承担。乙方应当在送货前告知甲方关于设备的存放条件及保管要求，因乙方未告知情况下造成的设备毁损、灭失，该风险也由乙方承担。</w:t>
      </w:r>
    </w:p>
    <w:p>
      <w:pPr>
        <w:spacing w:line="360" w:lineRule="auto"/>
      </w:pPr>
      <w:r>
        <w:rPr>
          <w:rFonts w:hint="eastAsia"/>
        </w:rPr>
        <w:t>十</w:t>
      </w:r>
      <w:r>
        <w:t>、设备的安装调试</w:t>
      </w:r>
    </w:p>
    <w:p>
      <w:pPr>
        <w:numPr>
          <w:ilvl w:val="0"/>
          <w:numId w:val="8"/>
        </w:numPr>
        <w:spacing w:line="360" w:lineRule="auto"/>
      </w:pPr>
      <w:r>
        <w:t>乙方在设备开箱验收合格后</w:t>
      </w:r>
      <w:r>
        <w:rPr>
          <w:rFonts w:hint="eastAsia" w:ascii="宋体" w:hAnsi="宋体"/>
        </w:rPr>
        <w:t>30</w:t>
      </w:r>
      <w:r>
        <w:t>日内完成设备的安装调试。</w:t>
      </w:r>
    </w:p>
    <w:p>
      <w:pPr>
        <w:numPr>
          <w:ilvl w:val="0"/>
          <w:numId w:val="8"/>
        </w:numPr>
        <w:spacing w:line="360" w:lineRule="auto"/>
      </w:pPr>
      <w:r>
        <w:t>乙方完成安装调试后，应以书面形式通知甲方进行安装调试后的验收。</w:t>
      </w:r>
    </w:p>
    <w:p>
      <w:pPr>
        <w:numPr>
          <w:ilvl w:val="0"/>
          <w:numId w:val="8"/>
        </w:numPr>
        <w:spacing w:line="360" w:lineRule="auto"/>
      </w:pPr>
      <w:r>
        <w:t>设备功能验收</w:t>
      </w:r>
    </w:p>
    <w:p>
      <w:pPr>
        <w:numPr>
          <w:ilvl w:val="0"/>
          <w:numId w:val="9"/>
        </w:numPr>
        <w:spacing w:line="360" w:lineRule="auto"/>
      </w:pPr>
      <w:r>
        <w:t>甲方应在收到乙方书面通知后的当日内完成安装调试后的验收，如验收不合格，乙方须重新进行安装调试，并再次向甲方提交书面验收通知，经甲方两次验收仍不合格的，甲方有权单方解除本合同，并按照本合同第七条的约定追究乙方的违约责任。</w:t>
      </w:r>
    </w:p>
    <w:p>
      <w:pPr>
        <w:numPr>
          <w:ilvl w:val="0"/>
          <w:numId w:val="9"/>
        </w:numPr>
        <w:spacing w:line="360" w:lineRule="auto"/>
      </w:pPr>
      <w:r>
        <w:t>功能验收合格后，应由甲乙双方在《验收报告》上签字盖章确认。《验收报告》一式贰份，甲乙双方各执壹份，具有同等法律效力。</w:t>
      </w:r>
    </w:p>
    <w:p>
      <w:pPr>
        <w:spacing w:line="360" w:lineRule="auto"/>
      </w:pPr>
      <w:r>
        <w:rPr>
          <w:rFonts w:hint="eastAsia"/>
        </w:rPr>
        <w:t>十一</w:t>
      </w:r>
      <w:r>
        <w:t>、违约责任</w:t>
      </w:r>
    </w:p>
    <w:p>
      <w:pPr>
        <w:numPr>
          <w:ilvl w:val="0"/>
          <w:numId w:val="10"/>
        </w:numPr>
        <w:spacing w:line="360" w:lineRule="auto"/>
      </w:pPr>
      <w:r>
        <w:t>乙方无正当理由延迟交货，乙方应付给甲方每星期按合同总价</w:t>
      </w:r>
      <w:r>
        <w:rPr>
          <w:rFonts w:ascii="宋体" w:hAnsi="宋体"/>
        </w:rPr>
        <w:t>0.5%</w:t>
      </w:r>
      <w:r>
        <w:t>的违约金，不足一星期的一律按一星期计算，甲方有权直接在货款或履约保证金中直接扣除相应违约金，此项违约金总额不超过全部合同总价的</w:t>
      </w:r>
      <w:r>
        <w:rPr>
          <w:rFonts w:hint="eastAsia"/>
        </w:rPr>
        <w:t>2.</w:t>
      </w:r>
      <w:r>
        <w:rPr>
          <w:rFonts w:ascii="宋体" w:hAnsi="宋体"/>
        </w:rPr>
        <w:t>5%</w:t>
      </w:r>
      <w:r>
        <w:t>，无特殊理由延迟交货</w:t>
      </w:r>
      <w:r>
        <w:rPr>
          <w:rFonts w:ascii="宋体" w:hAnsi="宋体"/>
        </w:rPr>
        <w:t>1</w:t>
      </w:r>
      <w:r>
        <w:t>个月以上，甲方可拒绝收货且可以单方通知乙方解除合同，乙方需自行承担由此而产生的一切后果；延迟付款，甲方应付给乙方每星期按合同总价</w:t>
      </w:r>
      <w:r>
        <w:rPr>
          <w:rFonts w:ascii="宋体" w:hAnsi="宋体"/>
        </w:rPr>
        <w:t>0.5%</w:t>
      </w:r>
      <w:r>
        <w:t>的违约金，此项违约金总额不超过全部合同总价的</w:t>
      </w:r>
      <w:r>
        <w:rPr>
          <w:rFonts w:ascii="宋体" w:hAnsi="宋体"/>
        </w:rPr>
        <w:t>5%</w:t>
      </w:r>
      <w:r>
        <w:t>。</w:t>
      </w:r>
    </w:p>
    <w:p>
      <w:pPr>
        <w:numPr>
          <w:ilvl w:val="0"/>
          <w:numId w:val="10"/>
        </w:numPr>
        <w:spacing w:line="360" w:lineRule="auto"/>
      </w:pPr>
      <w:r>
        <w:t>违约金应在守约方发出书面违约通知之日起十个工作日内完成支付，因违约方违约行为给守约方造成损失的，违约方还需承担全部赔偿责任，守约方为维护权益，向违约方主张权利的一切费用（包括但不限于律师费、诉讼费、保全费、交通费、差旅费、鉴定费等等）均由违约方承担。</w:t>
      </w:r>
    </w:p>
    <w:p>
      <w:pPr>
        <w:spacing w:line="360" w:lineRule="auto"/>
      </w:pPr>
      <w:r>
        <w:t>十</w:t>
      </w:r>
      <w:r>
        <w:rPr>
          <w:rFonts w:hint="eastAsia"/>
        </w:rPr>
        <w:t>二</w:t>
      </w:r>
      <w:r>
        <w:t>、争议的解决</w:t>
      </w:r>
    </w:p>
    <w:p>
      <w:pPr>
        <w:spacing w:line="360" w:lineRule="auto"/>
        <w:ind w:firstLine="420" w:firstLineChars="200"/>
      </w:pPr>
      <w:r>
        <w:t>因执行本合同所发生的或与本合同有关的一切争议，甲乙双方应通过友好协商解决。如经协商仍不能解决争议时，可向甲方所在地人民法院提起诉讼。</w:t>
      </w:r>
    </w:p>
    <w:p>
      <w:pPr>
        <w:spacing w:line="360" w:lineRule="auto"/>
      </w:pPr>
      <w:r>
        <w:t>十</w:t>
      </w:r>
      <w:r>
        <w:rPr>
          <w:rFonts w:hint="eastAsia"/>
        </w:rPr>
        <w:t>三</w:t>
      </w:r>
      <w:r>
        <w:t>、通讯地址</w:t>
      </w:r>
    </w:p>
    <w:p>
      <w:pPr>
        <w:numPr>
          <w:ilvl w:val="0"/>
          <w:numId w:val="11"/>
        </w:numPr>
        <w:spacing w:line="360" w:lineRule="auto"/>
      </w:pPr>
      <w:r>
        <w:t>甲方与乙方就合同中涉及各类通知、协议等文件以及就合同发生纠纷时相关文件和法律文书送达时的送达地址及法律后果作如下约定：</w:t>
      </w:r>
    </w:p>
    <w:p>
      <w:pPr>
        <w:spacing w:line="360" w:lineRule="auto"/>
        <w:ind w:firstLine="420" w:firstLineChars="200"/>
      </w:pPr>
      <w:r>
        <w:t>甲方确认其有效的送达地址为：</w:t>
      </w:r>
      <w:r>
        <w:rPr>
          <w:rFonts w:hint="eastAsia" w:ascii="宋体" w:hAnsi="宋体" w:eastAsia="Times New Roman"/>
        </w:rPr>
        <w:t xml:space="preserve"> </w:t>
      </w:r>
    </w:p>
    <w:p>
      <w:pPr>
        <w:spacing w:line="360" w:lineRule="auto"/>
        <w:ind w:firstLine="420" w:firstLineChars="200"/>
      </w:pPr>
      <w:r>
        <w:t>乙方确认其有效的送达地址为：</w:t>
      </w:r>
    </w:p>
    <w:p>
      <w:pPr>
        <w:numPr>
          <w:ilvl w:val="0"/>
          <w:numId w:val="11"/>
        </w:numPr>
        <w:spacing w:line="360" w:lineRule="auto"/>
      </w:pPr>
      <w:r>
        <w:t>甲方或乙方未按前述方式履行通知义务，双方所确认的送达地址仍视为有效送达地址，因当事人提供或确认的送达地址不准确、送达地址变更后未及时依程序告知对方和法院、当事人或指定的接收人拒绝签收等原因，导致法律文书未能被当事人实际接收的，邮寄送达，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spacing w:line="360" w:lineRule="auto"/>
      </w:pPr>
      <w:r>
        <w:t>十</w:t>
      </w:r>
      <w:r>
        <w:rPr>
          <w:rFonts w:hint="eastAsia"/>
        </w:rPr>
        <w:t>四</w:t>
      </w:r>
      <w:r>
        <w:t>、知识产权保护</w:t>
      </w:r>
    </w:p>
    <w:p>
      <w:pPr>
        <w:numPr>
          <w:ilvl w:val="0"/>
          <w:numId w:val="12"/>
        </w:numPr>
        <w:spacing w:line="360" w:lineRule="auto"/>
      </w:pPr>
      <w:r>
        <w:t>乙方承诺出售给甲方的设备不会侵犯任何第三方的合同知识产权或其他权益。</w:t>
      </w:r>
    </w:p>
    <w:p>
      <w:pPr>
        <w:numPr>
          <w:ilvl w:val="0"/>
          <w:numId w:val="12"/>
        </w:numPr>
        <w:spacing w:line="360" w:lineRule="auto"/>
      </w:pPr>
      <w:r>
        <w:t>本合同履行过程中及设备使用过程中，如发生第三方主张甲方侵权，乙方须负责与第三方交涉，承担全部责任，并赔偿由此给甲方造成的一切损失，应承担的损失包括但不限于：生效判决书、仲裁书、调解书中所确定的赔偿金额、和解协议确定的赔偿金额、诉讼费或仲裁费与诉讼或仲裁相关的费用、律师费、差旅费、公证费。</w:t>
      </w:r>
    </w:p>
    <w:p>
      <w:pPr>
        <w:numPr>
          <w:ilvl w:val="0"/>
          <w:numId w:val="12"/>
        </w:numPr>
        <w:spacing w:line="360" w:lineRule="auto"/>
      </w:pPr>
      <w:r>
        <w:t>乙方保证本合同中甲方所享有的一切权利（包括合同货物所指软件的使用权以及软件的有效性和合法性），并保证甲方不受第三方追究侵权责任。如发生第三方追究甲方购买软件的侵权责任，甲方对此不负任何法律和经济责任，应由乙方与第三方进行交涉，并承担由此而产生的一切法律和经济责任。</w:t>
      </w:r>
    </w:p>
    <w:p>
      <w:pPr>
        <w:spacing w:line="360" w:lineRule="auto"/>
      </w:pPr>
      <w:r>
        <w:t>十</w:t>
      </w:r>
      <w:r>
        <w:rPr>
          <w:rFonts w:hint="eastAsia"/>
        </w:rPr>
        <w:t>五</w:t>
      </w:r>
      <w:r>
        <w:t>、附则</w:t>
      </w:r>
    </w:p>
    <w:p>
      <w:pPr>
        <w:numPr>
          <w:ilvl w:val="0"/>
          <w:numId w:val="13"/>
        </w:numPr>
        <w:spacing w:line="360" w:lineRule="auto"/>
      </w:pPr>
      <w:r>
        <w:t>本合同</w:t>
      </w:r>
      <w:r>
        <w:rPr>
          <w:rFonts w:hint="eastAsia"/>
        </w:rPr>
        <w:t>正本</w:t>
      </w:r>
      <w:r>
        <w:t>一式</w:t>
      </w:r>
      <w:r>
        <w:rPr>
          <w:rFonts w:hint="eastAsia"/>
        </w:rPr>
        <w:t>肆</w:t>
      </w:r>
      <w:r>
        <w:t>份，</w:t>
      </w:r>
      <w:r>
        <w:rPr>
          <w:rFonts w:hint="eastAsia"/>
        </w:rPr>
        <w:t>具有同等法律效力，甲乙双方各执二份</w:t>
      </w:r>
      <w:r>
        <w:t>。</w:t>
      </w:r>
    </w:p>
    <w:p>
      <w:pPr>
        <w:numPr>
          <w:ilvl w:val="0"/>
          <w:numId w:val="13"/>
        </w:numPr>
        <w:spacing w:line="360" w:lineRule="auto"/>
      </w:pPr>
      <w:r>
        <w:t>本合同由双方代表签字，加盖双方公章或合同章后生效，投标书及招标现场书面承诺作为合同附件具有同等法律效力。</w:t>
      </w:r>
    </w:p>
    <w:p>
      <w:pPr>
        <w:spacing w:line="360" w:lineRule="auto"/>
      </w:pPr>
      <w:r>
        <w:t>十</w:t>
      </w:r>
      <w:r>
        <w:rPr>
          <w:rFonts w:hint="eastAsia"/>
        </w:rPr>
        <w:t>六</w:t>
      </w:r>
      <w:r>
        <w:t>、其他约定</w:t>
      </w:r>
    </w:p>
    <w:p>
      <w:pPr>
        <w:spacing w:line="360" w:lineRule="auto"/>
        <w:ind w:left="816" w:leftChars="200" w:hanging="396" w:hangingChars="189"/>
      </w:pPr>
      <w:r>
        <w:t>其他约定详见附件</w:t>
      </w:r>
      <w:r>
        <w:rPr>
          <w:rFonts w:ascii="宋体" w:hAnsi="宋体"/>
          <w:u w:val="single"/>
        </w:rPr>
        <w:t xml:space="preserve">    </w:t>
      </w:r>
      <w:r>
        <w:rPr>
          <w:u w:val="single"/>
        </w:rPr>
        <w:t>配置清单</w:t>
      </w:r>
      <w:r>
        <w:rPr>
          <w:rFonts w:ascii="宋体" w:hAnsi="宋体"/>
          <w:u w:val="single"/>
        </w:rPr>
        <w:t xml:space="preserve">     </w:t>
      </w:r>
      <w:r>
        <w:t>。</w:t>
      </w:r>
    </w:p>
    <w:p>
      <w:pPr>
        <w:spacing w:line="360" w:lineRule="auto"/>
      </w:pPr>
      <w:r>
        <w:t>十</w:t>
      </w:r>
      <w:r>
        <w:rPr>
          <w:rFonts w:hint="eastAsia"/>
        </w:rPr>
        <w:t>七</w:t>
      </w:r>
      <w:r>
        <w:t>、本合同共有附件</w:t>
      </w:r>
      <w:r>
        <w:rPr>
          <w:rFonts w:hint="eastAsia"/>
          <w:u w:val="single"/>
        </w:rPr>
        <w:t xml:space="preserve">     </w:t>
      </w:r>
      <w:r>
        <w:t>个，共计</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t>页。</w:t>
      </w:r>
    </w:p>
    <w:p>
      <w:pPr>
        <w:spacing w:line="360" w:lineRule="auto"/>
        <w:rPr>
          <w:rFonts w:ascii="宋体" w:hAnsi="宋体"/>
        </w:rPr>
      </w:pPr>
      <w:r>
        <w:rPr>
          <w:rFonts w:hint="eastAsia" w:ascii="宋体" w:hAnsi="宋体"/>
        </w:rPr>
        <w:t xml:space="preserve"> </w:t>
      </w:r>
    </w:p>
    <w:p>
      <w:pPr>
        <w:spacing w:line="360" w:lineRule="auto"/>
      </w:pPr>
      <w:r>
        <w:t>甲</w:t>
      </w:r>
      <w:r>
        <w:rPr>
          <w:rFonts w:ascii="宋体" w:hAnsi="宋体"/>
        </w:rPr>
        <w:t xml:space="preserve">    </w:t>
      </w:r>
      <w:r>
        <w:t>方：（盖</w:t>
      </w:r>
      <w:r>
        <w:rPr>
          <w:rFonts w:ascii="宋体" w:hAnsi="宋体"/>
        </w:rPr>
        <w:t xml:space="preserve">  </w:t>
      </w:r>
      <w:r>
        <w:t>章）</w:t>
      </w:r>
      <w:r>
        <w:rPr>
          <w:rFonts w:ascii="宋体" w:hAnsi="宋体"/>
        </w:rPr>
        <w:t xml:space="preserve">                            </w:t>
      </w:r>
      <w:r>
        <w:t>乙</w:t>
      </w:r>
      <w:r>
        <w:rPr>
          <w:rFonts w:ascii="宋体" w:hAnsi="宋体"/>
        </w:rPr>
        <w:t xml:space="preserve">    </w:t>
      </w:r>
      <w:r>
        <w:t>方：（盖</w:t>
      </w:r>
      <w:r>
        <w:rPr>
          <w:rFonts w:ascii="宋体" w:hAnsi="宋体"/>
        </w:rPr>
        <w:t xml:space="preserve">  </w:t>
      </w:r>
      <w:r>
        <w:t>章）</w:t>
      </w:r>
      <w:r>
        <w:rPr>
          <w:rFonts w:ascii="宋体" w:hAnsi="宋体"/>
        </w:rPr>
        <w:t xml:space="preserve">           </w:t>
      </w:r>
    </w:p>
    <w:p>
      <w:pPr>
        <w:spacing w:line="360" w:lineRule="auto"/>
        <w:rPr>
          <w:rFonts w:ascii="宋体" w:hAnsi="宋体" w:eastAsia="Times New Roman"/>
        </w:rPr>
      </w:pPr>
      <w:r>
        <w:rPr>
          <w:rFonts w:hint="eastAsia" w:ascii="宋体" w:hAnsi="宋体" w:eastAsia="Times New Roman"/>
        </w:rPr>
        <w:t xml:space="preserve"> </w:t>
      </w:r>
    </w:p>
    <w:p>
      <w:pPr>
        <w:spacing w:line="360" w:lineRule="auto"/>
      </w:pPr>
      <w:r>
        <w:t>名称：</w:t>
      </w:r>
      <w:r>
        <w:rPr>
          <w:rFonts w:hint="eastAsia"/>
        </w:rPr>
        <w:t>宁波职业技术学院</w:t>
      </w:r>
      <w:r>
        <w:rPr>
          <w:rFonts w:ascii="宋体" w:hAnsi="宋体"/>
        </w:rPr>
        <w:t xml:space="preserve">          </w:t>
      </w:r>
      <w:r>
        <w:rPr>
          <w:rFonts w:hint="eastAsia" w:ascii="宋体" w:hAnsi="宋体" w:eastAsia="Times New Roman"/>
        </w:rPr>
        <w:t xml:space="preserve">              </w:t>
      </w:r>
      <w:r>
        <w:rPr>
          <w:rFonts w:ascii="宋体" w:hAnsi="宋体"/>
        </w:rPr>
        <w:t xml:space="preserve"> </w:t>
      </w:r>
      <w:r>
        <w:t>名称：</w:t>
      </w:r>
      <w:r>
        <w:rPr>
          <w:rFonts w:ascii="宋体" w:hAnsi="宋体"/>
        </w:rPr>
        <w:t xml:space="preserve">                        </w:t>
      </w:r>
    </w:p>
    <w:p>
      <w:pPr>
        <w:spacing w:line="360" w:lineRule="auto"/>
        <w:rPr>
          <w:rFonts w:ascii="宋体" w:hAnsi="宋体" w:eastAsia="Times New Roman"/>
        </w:rPr>
      </w:pPr>
      <w:r>
        <w:rPr>
          <w:rFonts w:hint="eastAsia" w:ascii="宋体" w:hAnsi="宋体" w:eastAsia="Times New Roman"/>
        </w:rPr>
        <w:t xml:space="preserve"> </w:t>
      </w:r>
    </w:p>
    <w:p>
      <w:pPr>
        <w:spacing w:line="360" w:lineRule="auto"/>
      </w:pPr>
      <w:r>
        <w:t>代表签字：</w:t>
      </w:r>
      <w:r>
        <w:rPr>
          <w:rFonts w:ascii="宋体" w:hAnsi="宋体"/>
        </w:rPr>
        <w:t xml:space="preserve">                                     </w:t>
      </w:r>
      <w:r>
        <w:t>代表签字：</w:t>
      </w:r>
      <w:r>
        <w:rPr>
          <w:rFonts w:ascii="宋体" w:hAnsi="宋体"/>
        </w:rPr>
        <w:t xml:space="preserve">                    </w:t>
      </w:r>
    </w:p>
    <w:p>
      <w:pPr>
        <w:spacing w:line="360" w:lineRule="auto"/>
        <w:rPr>
          <w:rFonts w:ascii="宋体" w:hAnsi="宋体" w:eastAsia="Times New Roman"/>
        </w:rPr>
      </w:pPr>
      <w:r>
        <w:rPr>
          <w:rFonts w:hint="eastAsia" w:ascii="宋体" w:hAnsi="宋体" w:eastAsia="Times New Roman"/>
        </w:rPr>
        <w:t xml:space="preserve"> </w:t>
      </w:r>
    </w:p>
    <w:p>
      <w:pPr>
        <w:spacing w:line="360" w:lineRule="auto"/>
      </w:pPr>
      <w:r>
        <w:t>联系电话：</w:t>
      </w:r>
      <w:r>
        <w:rPr>
          <w:rFonts w:ascii="宋体" w:hAnsi="宋体"/>
        </w:rPr>
        <w:t xml:space="preserve">                                     </w:t>
      </w:r>
      <w:r>
        <w:t>联系电话：</w:t>
      </w:r>
      <w:r>
        <w:rPr>
          <w:rFonts w:ascii="宋体" w:hAnsi="宋体"/>
        </w:rPr>
        <w:t xml:space="preserve">                    </w:t>
      </w:r>
    </w:p>
    <w:p>
      <w:pPr>
        <w:spacing w:line="360" w:lineRule="auto"/>
        <w:rPr>
          <w:rFonts w:ascii="宋体" w:hAnsi="宋体" w:eastAsia="Times New Roman"/>
        </w:rPr>
      </w:pPr>
      <w:r>
        <w:rPr>
          <w:rFonts w:hint="eastAsia" w:ascii="宋体" w:hAnsi="宋体" w:eastAsia="Times New Roman"/>
        </w:rPr>
        <w:t xml:space="preserve"> </w:t>
      </w:r>
    </w:p>
    <w:p>
      <w:pPr>
        <w:pStyle w:val="47"/>
        <w:widowControl/>
        <w:spacing w:line="360" w:lineRule="auto"/>
        <w:ind w:firstLine="0"/>
        <w:jc w:val="left"/>
        <w:rPr>
          <w:sz w:val="21"/>
          <w:szCs w:val="21"/>
        </w:rPr>
      </w:pPr>
      <w:r>
        <w:rPr>
          <w:sz w:val="21"/>
          <w:szCs w:val="21"/>
        </w:rPr>
        <w:t>日</w:t>
      </w:r>
      <w:r>
        <w:rPr>
          <w:rFonts w:hAnsi="宋体"/>
          <w:sz w:val="21"/>
          <w:szCs w:val="21"/>
        </w:rPr>
        <w:t xml:space="preserve">    </w:t>
      </w:r>
      <w:r>
        <w:rPr>
          <w:sz w:val="21"/>
          <w:szCs w:val="21"/>
        </w:rPr>
        <w:t>期：</w:t>
      </w:r>
      <w:r>
        <w:rPr>
          <w:rFonts w:hAnsi="宋体"/>
          <w:sz w:val="21"/>
          <w:szCs w:val="21"/>
        </w:rPr>
        <w:t xml:space="preserve">    </w:t>
      </w:r>
      <w:r>
        <w:rPr>
          <w:sz w:val="21"/>
          <w:szCs w:val="21"/>
        </w:rPr>
        <w:t>年</w:t>
      </w:r>
      <w:r>
        <w:rPr>
          <w:rFonts w:hAnsi="宋体"/>
          <w:sz w:val="21"/>
          <w:szCs w:val="21"/>
        </w:rPr>
        <w:t xml:space="preserve">    </w:t>
      </w:r>
      <w:r>
        <w:rPr>
          <w:sz w:val="21"/>
          <w:szCs w:val="21"/>
        </w:rPr>
        <w:t>月</w:t>
      </w:r>
      <w:r>
        <w:rPr>
          <w:rFonts w:hAnsi="宋体"/>
          <w:sz w:val="21"/>
          <w:szCs w:val="21"/>
        </w:rPr>
        <w:t xml:space="preserve">    </w:t>
      </w:r>
      <w:r>
        <w:rPr>
          <w:sz w:val="21"/>
          <w:szCs w:val="21"/>
        </w:rPr>
        <w:t>日</w:t>
      </w:r>
      <w:r>
        <w:rPr>
          <w:rFonts w:hAnsi="宋体"/>
          <w:sz w:val="21"/>
          <w:szCs w:val="21"/>
        </w:rPr>
        <w:t xml:space="preserve">             </w:t>
      </w:r>
      <w:r>
        <w:rPr>
          <w:rFonts w:hint="eastAsia" w:hAnsi="宋体"/>
          <w:sz w:val="21"/>
          <w:szCs w:val="21"/>
        </w:rPr>
        <w:t xml:space="preserve">   </w:t>
      </w:r>
      <w:r>
        <w:rPr>
          <w:rFonts w:hAnsi="宋体"/>
          <w:sz w:val="21"/>
          <w:szCs w:val="21"/>
        </w:rPr>
        <w:t xml:space="preserve">      </w:t>
      </w:r>
      <w:r>
        <w:rPr>
          <w:sz w:val="21"/>
          <w:szCs w:val="21"/>
        </w:rPr>
        <w:t>日</w:t>
      </w:r>
      <w:r>
        <w:rPr>
          <w:rFonts w:hAnsi="宋体"/>
          <w:sz w:val="21"/>
          <w:szCs w:val="21"/>
        </w:rPr>
        <w:t xml:space="preserve">    </w:t>
      </w:r>
      <w:r>
        <w:rPr>
          <w:sz w:val="21"/>
          <w:szCs w:val="21"/>
        </w:rPr>
        <w:t>期：</w:t>
      </w:r>
      <w:r>
        <w:rPr>
          <w:rFonts w:hAnsi="宋体"/>
          <w:sz w:val="21"/>
          <w:szCs w:val="21"/>
        </w:rPr>
        <w:t xml:space="preserve">       </w:t>
      </w:r>
      <w:r>
        <w:rPr>
          <w:sz w:val="21"/>
          <w:szCs w:val="21"/>
        </w:rPr>
        <w:t>年</w:t>
      </w:r>
      <w:r>
        <w:rPr>
          <w:rFonts w:hAnsi="宋体"/>
          <w:sz w:val="21"/>
          <w:szCs w:val="21"/>
        </w:rPr>
        <w:t xml:space="preserve">    </w:t>
      </w:r>
      <w:r>
        <w:rPr>
          <w:sz w:val="21"/>
          <w:szCs w:val="21"/>
        </w:rPr>
        <w:t>月</w:t>
      </w:r>
      <w:r>
        <w:rPr>
          <w:rFonts w:hAnsi="宋体"/>
          <w:sz w:val="21"/>
          <w:szCs w:val="21"/>
        </w:rPr>
        <w:t xml:space="preserve">    </w:t>
      </w:r>
      <w:r>
        <w:rPr>
          <w:rFonts w:hint="eastAsia" w:ascii="宋体" w:hAnsi="宋体" w:eastAsia="宋体"/>
          <w:sz w:val="21"/>
          <w:szCs w:val="21"/>
        </w:rPr>
        <w:t>日</w:t>
      </w:r>
    </w:p>
    <w:p>
      <w:pPr>
        <w:spacing w:line="360" w:lineRule="auto"/>
        <w:rPr>
          <w:rFonts w:ascii="宋体" w:hAnsi="宋体"/>
          <w:b/>
          <w:bCs/>
          <w:color w:val="FF0000"/>
        </w:rPr>
      </w:pPr>
    </w:p>
    <w:p>
      <w:pPr>
        <w:spacing w:line="360" w:lineRule="auto"/>
      </w:pPr>
      <w:r>
        <w:t>见证方：</w:t>
      </w:r>
    </w:p>
    <w:p>
      <w:pPr>
        <w:spacing w:line="360" w:lineRule="auto"/>
      </w:pPr>
      <w:r>
        <w:t>日期：</w:t>
      </w:r>
    </w:p>
    <w:p>
      <w:pPr>
        <w:pStyle w:val="52"/>
        <w:wordWrap w:val="0"/>
        <w:rPr>
          <w:color w:val="FF0000"/>
          <w:szCs w:val="21"/>
        </w:rPr>
      </w:pPr>
    </w:p>
    <w:p>
      <w:pPr>
        <w:pStyle w:val="52"/>
        <w:wordWrap w:val="0"/>
        <w:rPr>
          <w:rFonts w:hAnsi="宋体"/>
          <w:b/>
          <w:szCs w:val="21"/>
        </w:rPr>
        <w:sectPr>
          <w:headerReference r:id="rId14" w:type="default"/>
          <w:pgSz w:w="11907" w:h="16840"/>
          <w:pgMar w:top="854" w:right="1275" w:bottom="1138" w:left="1276" w:header="284" w:footer="989" w:gutter="0"/>
          <w:cols w:space="720" w:num="1"/>
          <w:docGrid w:linePitch="285" w:charSpace="0"/>
        </w:sectPr>
      </w:pPr>
    </w:p>
    <w:p>
      <w:pPr>
        <w:wordWrap w:val="0"/>
        <w:spacing w:line="360" w:lineRule="auto"/>
        <w:jc w:val="center"/>
        <w:outlineLvl w:val="0"/>
        <w:rPr>
          <w:rFonts w:ascii="宋体" w:hAnsi="宋体"/>
          <w:b/>
          <w:sz w:val="32"/>
        </w:rPr>
      </w:pPr>
      <w:bookmarkStart w:id="60" w:name="_Toc14137"/>
      <w:bookmarkStart w:id="61" w:name="_Toc216662965"/>
      <w:r>
        <w:rPr>
          <w:rFonts w:hint="eastAsia" w:ascii="宋体" w:hAnsi="宋体"/>
          <w:b/>
          <w:sz w:val="32"/>
        </w:rPr>
        <w:t>第五章</w:t>
      </w:r>
      <w:r>
        <w:rPr>
          <w:rFonts w:ascii="宋体" w:hAnsi="宋体"/>
          <w:b/>
          <w:sz w:val="32"/>
        </w:rPr>
        <w:t xml:space="preserve">  </w:t>
      </w:r>
      <w:r>
        <w:rPr>
          <w:rFonts w:hint="eastAsia" w:ascii="宋体" w:hAnsi="宋体"/>
          <w:b/>
          <w:sz w:val="32"/>
        </w:rPr>
        <w:t>招标内容与技术需求</w:t>
      </w:r>
      <w:bookmarkEnd w:id="60"/>
    </w:p>
    <w:p>
      <w:pPr>
        <w:widowControl/>
        <w:spacing w:line="360" w:lineRule="auto"/>
        <w:jc w:val="left"/>
        <w:outlineLvl w:val="1"/>
        <w:rPr>
          <w:rFonts w:ascii="宋体" w:hAnsi="宋体"/>
          <w:b/>
          <w:sz w:val="24"/>
          <w:szCs w:val="24"/>
        </w:rPr>
      </w:pPr>
      <w:bookmarkStart w:id="62" w:name="_Toc16839"/>
      <w:r>
        <w:rPr>
          <w:rFonts w:hint="eastAsia" w:ascii="宋体" w:hAnsi="宋体"/>
          <w:b/>
          <w:sz w:val="24"/>
          <w:szCs w:val="24"/>
        </w:rPr>
        <w:t>一、技术参数</w:t>
      </w:r>
      <w:bookmarkEnd w:id="62"/>
    </w:p>
    <w:tbl>
      <w:tblPr>
        <w:tblStyle w:val="12"/>
        <w:tblW w:w="9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1239"/>
        <w:gridCol w:w="5129"/>
        <w:gridCol w:w="802"/>
        <w:gridCol w:w="784"/>
        <w:gridCol w:w="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jc w:val="center"/>
        </w:trPr>
        <w:tc>
          <w:tcPr>
            <w:tcW w:w="652" w:type="dxa"/>
            <w:vAlign w:val="center"/>
          </w:tcPr>
          <w:p>
            <w:pPr>
              <w:jc w:val="center"/>
              <w:rPr>
                <w:b/>
                <w:bCs/>
                <w:lang w:bidi="ar"/>
              </w:rPr>
            </w:pPr>
            <w:r>
              <w:rPr>
                <w:rFonts w:hint="eastAsia"/>
                <w:b/>
                <w:bCs/>
                <w:lang w:bidi="ar"/>
              </w:rPr>
              <w:t>序号</w:t>
            </w:r>
          </w:p>
        </w:tc>
        <w:tc>
          <w:tcPr>
            <w:tcW w:w="1239" w:type="dxa"/>
            <w:vAlign w:val="center"/>
          </w:tcPr>
          <w:p>
            <w:pPr>
              <w:jc w:val="center"/>
              <w:rPr>
                <w:b/>
                <w:bCs/>
                <w:lang w:bidi="ar"/>
              </w:rPr>
            </w:pPr>
            <w:r>
              <w:rPr>
                <w:rFonts w:hint="eastAsia"/>
                <w:b/>
                <w:bCs/>
                <w:lang w:bidi="ar"/>
              </w:rPr>
              <w:t>货物名称</w:t>
            </w:r>
          </w:p>
        </w:tc>
        <w:tc>
          <w:tcPr>
            <w:tcW w:w="5129" w:type="dxa"/>
            <w:vAlign w:val="center"/>
          </w:tcPr>
          <w:p>
            <w:pPr>
              <w:jc w:val="center"/>
              <w:rPr>
                <w:b/>
                <w:bCs/>
                <w:lang w:bidi="ar"/>
              </w:rPr>
            </w:pPr>
            <w:r>
              <w:rPr>
                <w:rFonts w:hint="eastAsia"/>
                <w:b/>
                <w:bCs/>
                <w:lang w:bidi="ar"/>
              </w:rPr>
              <w:t>规格、性能</w:t>
            </w:r>
          </w:p>
        </w:tc>
        <w:tc>
          <w:tcPr>
            <w:tcW w:w="802" w:type="dxa"/>
            <w:vAlign w:val="center"/>
          </w:tcPr>
          <w:p>
            <w:pPr>
              <w:jc w:val="center"/>
              <w:rPr>
                <w:b/>
                <w:bCs/>
                <w:lang w:bidi="ar"/>
              </w:rPr>
            </w:pPr>
            <w:r>
              <w:rPr>
                <w:rFonts w:hint="eastAsia"/>
                <w:b/>
                <w:bCs/>
                <w:lang w:bidi="ar"/>
              </w:rPr>
              <w:t>数量</w:t>
            </w:r>
          </w:p>
        </w:tc>
        <w:tc>
          <w:tcPr>
            <w:tcW w:w="784" w:type="dxa"/>
            <w:vAlign w:val="center"/>
          </w:tcPr>
          <w:p>
            <w:pPr>
              <w:jc w:val="center"/>
              <w:rPr>
                <w:b/>
                <w:bCs/>
                <w:lang w:bidi="ar"/>
              </w:rPr>
            </w:pPr>
            <w:r>
              <w:rPr>
                <w:rFonts w:hint="eastAsia"/>
                <w:b/>
                <w:bCs/>
                <w:lang w:bidi="ar"/>
              </w:rPr>
              <w:t>单位</w:t>
            </w:r>
          </w:p>
        </w:tc>
        <w:tc>
          <w:tcPr>
            <w:tcW w:w="784" w:type="dxa"/>
            <w:vAlign w:val="center"/>
          </w:tcPr>
          <w:p>
            <w:pPr>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2" w:type="dxa"/>
            <w:vAlign w:val="center"/>
          </w:tcPr>
          <w:p>
            <w:pPr>
              <w:jc w:val="center"/>
              <w:rPr>
                <w:lang w:bidi="ar"/>
              </w:rPr>
            </w:pPr>
            <w:r>
              <w:rPr>
                <w:rFonts w:hint="eastAsia"/>
                <w:lang w:bidi="ar"/>
              </w:rPr>
              <w:t>1</w:t>
            </w:r>
          </w:p>
        </w:tc>
        <w:tc>
          <w:tcPr>
            <w:tcW w:w="1239" w:type="dxa"/>
            <w:vAlign w:val="center"/>
          </w:tcPr>
          <w:p>
            <w:pPr>
              <w:jc w:val="center"/>
              <w:rPr>
                <w:lang w:bidi="ar"/>
              </w:rPr>
            </w:pPr>
            <w:r>
              <w:rPr>
                <w:rFonts w:hint="eastAsia"/>
                <w:lang w:bidi="ar"/>
              </w:rPr>
              <w:t>绿色能源核心架构系统</w:t>
            </w:r>
          </w:p>
        </w:tc>
        <w:tc>
          <w:tcPr>
            <w:tcW w:w="5129" w:type="dxa"/>
            <w:vAlign w:val="center"/>
          </w:tcPr>
          <w:p>
            <w:pPr>
              <w:ind w:firstLine="420" w:firstLineChars="200"/>
              <w:jc w:val="left"/>
              <w:rPr>
                <w:rFonts w:ascii="宋体"/>
                <w:szCs w:val="21"/>
              </w:rPr>
            </w:pPr>
            <w:r>
              <w:rPr>
                <w:rFonts w:ascii="宋体"/>
                <w:szCs w:val="21"/>
              </w:rPr>
              <w:t>绿色能源核心架构系统需提供相关展板的设计图纸（可依据该图纸进行展板制作）、教学用的元器件集成柜、教学用的移动屏，包括以下内容：</w:t>
            </w:r>
          </w:p>
          <w:p>
            <w:pPr>
              <w:jc w:val="left"/>
              <w:rPr>
                <w:rFonts w:ascii="宋体"/>
                <w:b/>
                <w:bCs/>
                <w:szCs w:val="21"/>
              </w:rPr>
            </w:pPr>
            <w:r>
              <w:rPr>
                <w:rFonts w:ascii="宋体"/>
                <w:b/>
                <w:bCs/>
                <w:szCs w:val="21"/>
              </w:rPr>
              <w:t>1</w:t>
            </w:r>
            <w:r>
              <w:rPr>
                <w:rFonts w:hint="eastAsia" w:ascii="宋体"/>
                <w:b/>
                <w:bCs/>
                <w:szCs w:val="21"/>
              </w:rPr>
              <w:t>、</w:t>
            </w:r>
            <w:r>
              <w:rPr>
                <w:rFonts w:ascii="宋体"/>
                <w:b/>
                <w:bCs/>
                <w:szCs w:val="21"/>
              </w:rPr>
              <w:t>架构系统要求</w:t>
            </w:r>
          </w:p>
          <w:p>
            <w:pPr>
              <w:ind w:firstLine="420" w:firstLineChars="200"/>
              <w:jc w:val="left"/>
              <w:rPr>
                <w:rFonts w:ascii="宋体"/>
                <w:szCs w:val="21"/>
              </w:rPr>
            </w:pPr>
            <w:r>
              <w:rPr>
                <w:rFonts w:ascii="宋体"/>
                <w:szCs w:val="21"/>
              </w:rPr>
              <w:t>提供展板设计架构，支持把智能配电系统中的智能化的产品（包括但不限于</w:t>
            </w:r>
            <w:r>
              <w:rPr>
                <w:rFonts w:hint="eastAsia" w:ascii="宋体"/>
                <w:szCs w:val="21"/>
              </w:rPr>
              <w:t>“3、主要的元件”</w:t>
            </w:r>
            <w:r>
              <w:rPr>
                <w:rFonts w:ascii="宋体"/>
                <w:szCs w:val="21"/>
              </w:rPr>
              <w:t>中所描述的主要元件）架构图在展板上展示出来，体现出智能配电系统的智能性、先进性。</w:t>
            </w:r>
          </w:p>
          <w:p>
            <w:pPr>
              <w:jc w:val="left"/>
              <w:rPr>
                <w:rFonts w:ascii="宋体"/>
                <w:b/>
                <w:bCs/>
                <w:szCs w:val="21"/>
              </w:rPr>
            </w:pPr>
            <w:r>
              <w:rPr>
                <w:rFonts w:ascii="宋体"/>
                <w:b/>
                <w:bCs/>
                <w:szCs w:val="21"/>
              </w:rPr>
              <w:t>2</w:t>
            </w:r>
            <w:r>
              <w:rPr>
                <w:rFonts w:hint="eastAsia" w:ascii="宋体"/>
                <w:b/>
                <w:bCs/>
                <w:szCs w:val="21"/>
              </w:rPr>
              <w:t>、</w:t>
            </w:r>
            <w:r>
              <w:rPr>
                <w:rFonts w:ascii="宋体"/>
                <w:b/>
                <w:bCs/>
                <w:szCs w:val="21"/>
              </w:rPr>
              <w:t>移动教学装置</w:t>
            </w:r>
          </w:p>
          <w:p>
            <w:pPr>
              <w:ind w:firstLine="420" w:firstLineChars="200"/>
              <w:jc w:val="left"/>
              <w:rPr>
                <w:rFonts w:ascii="宋体"/>
                <w:szCs w:val="21"/>
              </w:rPr>
            </w:pPr>
            <w:r>
              <w:rPr>
                <w:rFonts w:ascii="宋体"/>
                <w:szCs w:val="21"/>
              </w:rPr>
              <w:t>1)不低于65英寸显示设备；</w:t>
            </w:r>
          </w:p>
          <w:p>
            <w:pPr>
              <w:ind w:firstLine="420" w:firstLineChars="200"/>
              <w:jc w:val="left"/>
              <w:rPr>
                <w:rFonts w:ascii="宋体"/>
                <w:szCs w:val="21"/>
              </w:rPr>
            </w:pPr>
            <w:r>
              <w:rPr>
                <w:rFonts w:ascii="宋体"/>
                <w:szCs w:val="21"/>
              </w:rPr>
              <w:t>2)主机：CPU≥四核/2.6GHz/8线程/8G内存，512G及以上硬盘存储。</w:t>
            </w:r>
          </w:p>
          <w:p>
            <w:pPr>
              <w:ind w:firstLine="420" w:firstLineChars="200"/>
              <w:jc w:val="left"/>
              <w:rPr>
                <w:rFonts w:ascii="宋体"/>
                <w:szCs w:val="21"/>
              </w:rPr>
            </w:pPr>
            <w:r>
              <w:rPr>
                <w:rFonts w:ascii="宋体"/>
                <w:szCs w:val="21"/>
              </w:rPr>
              <w:t>3)带有移动支架，可自定义调整摆放位置；</w:t>
            </w:r>
          </w:p>
          <w:p>
            <w:pPr>
              <w:ind w:firstLine="420" w:firstLineChars="200"/>
              <w:jc w:val="left"/>
              <w:rPr>
                <w:rFonts w:ascii="宋体"/>
                <w:szCs w:val="21"/>
              </w:rPr>
            </w:pPr>
            <w:r>
              <w:rPr>
                <w:rFonts w:hint="eastAsia" w:ascii="宋体"/>
                <w:szCs w:val="21"/>
              </w:rPr>
              <w:t>4</w:t>
            </w:r>
            <w:r>
              <w:rPr>
                <w:rFonts w:ascii="宋体"/>
                <w:szCs w:val="21"/>
              </w:rPr>
              <w:t>)可播放讲稿及视频文件；</w:t>
            </w:r>
          </w:p>
          <w:p>
            <w:pPr>
              <w:ind w:firstLine="422" w:firstLineChars="200"/>
              <w:jc w:val="left"/>
              <w:rPr>
                <w:rFonts w:ascii="宋体" w:hAnsi="宋体"/>
                <w:b/>
                <w:bCs/>
                <w:szCs w:val="21"/>
              </w:rPr>
            </w:pPr>
            <w:r>
              <w:rPr>
                <w:rFonts w:hint="eastAsia" w:ascii="宋体" w:hAnsi="宋体"/>
                <w:b/>
                <w:bCs/>
                <w:szCs w:val="21"/>
              </w:rPr>
              <w:t>▲</w:t>
            </w:r>
            <w:r>
              <w:rPr>
                <w:rFonts w:ascii="宋体"/>
                <w:b/>
                <w:bCs/>
                <w:szCs w:val="21"/>
              </w:rPr>
              <w:t>5</w:t>
            </w:r>
            <w:r>
              <w:rPr>
                <w:rFonts w:hint="eastAsia" w:ascii="宋体"/>
                <w:b/>
                <w:bCs/>
                <w:szCs w:val="21"/>
              </w:rPr>
              <w:t>）须在响应文件中附所投产品的国家认可的认证机构出具的、处于有效期之内的节能产品认证证书扫描件并加盖公章。</w:t>
            </w:r>
          </w:p>
          <w:p>
            <w:pPr>
              <w:jc w:val="left"/>
              <w:rPr>
                <w:rFonts w:ascii="宋体"/>
                <w:b/>
                <w:bCs/>
                <w:szCs w:val="21"/>
                <w:lang w:bidi="ar"/>
              </w:rPr>
            </w:pPr>
            <w:r>
              <w:rPr>
                <w:rFonts w:ascii="宋体"/>
                <w:b/>
                <w:bCs/>
                <w:szCs w:val="21"/>
                <w:lang w:bidi="ar"/>
              </w:rPr>
              <w:t>3</w:t>
            </w:r>
            <w:r>
              <w:rPr>
                <w:rFonts w:hint="eastAsia" w:ascii="宋体"/>
                <w:b/>
                <w:bCs/>
                <w:szCs w:val="21"/>
                <w:lang w:bidi="ar"/>
              </w:rPr>
              <w:t>、</w:t>
            </w:r>
            <w:r>
              <w:rPr>
                <w:rFonts w:ascii="宋体"/>
                <w:b/>
                <w:bCs/>
                <w:szCs w:val="21"/>
                <w:lang w:bidi="ar"/>
              </w:rPr>
              <w:t>主要的</w:t>
            </w:r>
            <w:r>
              <w:rPr>
                <w:rFonts w:hint="eastAsia" w:ascii="宋体"/>
                <w:b/>
                <w:bCs/>
                <w:szCs w:val="21"/>
                <w:lang w:bidi="ar"/>
              </w:rPr>
              <w:t>元件</w:t>
            </w:r>
          </w:p>
          <w:p>
            <w:pPr>
              <w:ind w:firstLine="420" w:firstLineChars="200"/>
              <w:jc w:val="left"/>
              <w:rPr>
                <w:rFonts w:ascii="宋体"/>
                <w:szCs w:val="21"/>
              </w:rPr>
            </w:pPr>
            <w:r>
              <w:rPr>
                <w:rFonts w:ascii="宋体"/>
                <w:szCs w:val="21"/>
              </w:rPr>
              <w:t>包括但不限于以下产品：智能低压断路器、智能仪表、智能温度传感器、智能浪涌保护器、智能无功补偿控制器、智能火灾监测、UPS：</w:t>
            </w:r>
          </w:p>
          <w:p>
            <w:pPr>
              <w:jc w:val="left"/>
              <w:rPr>
                <w:rFonts w:ascii="宋体"/>
                <w:szCs w:val="21"/>
              </w:rPr>
            </w:pPr>
            <w:r>
              <w:rPr>
                <w:rFonts w:ascii="宋体"/>
                <w:szCs w:val="21"/>
              </w:rPr>
              <w:t>3.</w:t>
            </w:r>
            <w:r>
              <w:rPr>
                <w:rFonts w:hint="eastAsia" w:ascii="宋体"/>
                <w:szCs w:val="21"/>
              </w:rPr>
              <w:t>1</w:t>
            </w:r>
            <w:r>
              <w:rPr>
                <w:rFonts w:ascii="宋体"/>
                <w:szCs w:val="21"/>
              </w:rPr>
              <w:t xml:space="preserve">智能框架断路器 </w:t>
            </w:r>
          </w:p>
          <w:p>
            <w:pPr>
              <w:ind w:firstLine="420" w:firstLineChars="200"/>
              <w:jc w:val="left"/>
              <w:rPr>
                <w:rFonts w:ascii="宋体"/>
                <w:szCs w:val="21"/>
              </w:rPr>
            </w:pPr>
            <w:r>
              <w:rPr>
                <w:rFonts w:ascii="宋体"/>
                <w:szCs w:val="21"/>
              </w:rPr>
              <w:t xml:space="preserve">1)断路器控制单元同时具有长延时、短延时、瞬时三段保护功能，并具有图形显示及中文菜单功能。 </w:t>
            </w:r>
          </w:p>
          <w:p>
            <w:pPr>
              <w:ind w:firstLine="420" w:firstLineChars="200"/>
              <w:jc w:val="left"/>
              <w:rPr>
                <w:rFonts w:ascii="宋体"/>
                <w:szCs w:val="21"/>
              </w:rPr>
            </w:pPr>
            <w:r>
              <w:rPr>
                <w:rFonts w:ascii="宋体"/>
                <w:szCs w:val="21"/>
              </w:rPr>
              <w:t xml:space="preserve">2)框架断路器需配置的电子控制单元，可以测量显示电流、电压、功率、电 能、频率、相序、功率因数，并且同时具有谐波测量功能。 </w:t>
            </w:r>
          </w:p>
          <w:p>
            <w:pPr>
              <w:ind w:firstLine="420" w:firstLineChars="200"/>
              <w:jc w:val="left"/>
              <w:rPr>
                <w:rFonts w:ascii="宋体"/>
                <w:szCs w:val="21"/>
              </w:rPr>
            </w:pPr>
            <w:r>
              <w:rPr>
                <w:rFonts w:ascii="宋体"/>
                <w:szCs w:val="21"/>
              </w:rPr>
              <w:t xml:space="preserve">3)控制单元具有脱扣记录、报警记录、维护记录以及故障分断电流显示功能。同时具有可编程报警和保护功能。 </w:t>
            </w:r>
          </w:p>
          <w:p>
            <w:pPr>
              <w:ind w:firstLine="420" w:firstLineChars="200"/>
              <w:jc w:val="left"/>
              <w:rPr>
                <w:rFonts w:ascii="宋体" w:hAnsi="宋体"/>
                <w:szCs w:val="21"/>
              </w:rPr>
            </w:pPr>
            <w:r>
              <w:rPr>
                <w:rFonts w:hint="eastAsia" w:ascii="宋体" w:hAnsi="宋体"/>
                <w:szCs w:val="21"/>
              </w:rPr>
              <w:t>★</w:t>
            </w:r>
            <w:r>
              <w:rPr>
                <w:rFonts w:ascii="宋体"/>
                <w:szCs w:val="21"/>
              </w:rPr>
              <w:t>4)框架断路器具有蓝牙、NFC等无线连接功能，可以实现不断电升级，并且可以在断电的情况下读取故障事件信息。</w:t>
            </w:r>
            <w:r>
              <w:rPr>
                <w:rFonts w:hint="eastAsia" w:ascii="宋体" w:hAnsi="宋体"/>
                <w:kern w:val="0"/>
                <w:szCs w:val="21"/>
              </w:rPr>
              <w:t>投标时需提供手机App截图。</w:t>
            </w:r>
          </w:p>
          <w:p>
            <w:pPr>
              <w:ind w:firstLine="420" w:firstLineChars="200"/>
              <w:jc w:val="left"/>
              <w:rPr>
                <w:rFonts w:ascii="宋体"/>
                <w:szCs w:val="21"/>
              </w:rPr>
            </w:pPr>
            <w:r>
              <w:rPr>
                <w:rFonts w:ascii="宋体"/>
                <w:szCs w:val="21"/>
              </w:rPr>
              <w:t>5)框架断路器具有以太网通讯功能,提供TCP/IP通信接口；</w:t>
            </w:r>
          </w:p>
          <w:p>
            <w:pPr>
              <w:ind w:firstLine="420" w:firstLineChars="200"/>
              <w:jc w:val="left"/>
              <w:rPr>
                <w:rFonts w:ascii="宋体"/>
                <w:szCs w:val="21"/>
              </w:rPr>
            </w:pPr>
            <w:r>
              <w:rPr>
                <w:rFonts w:ascii="宋体"/>
                <w:szCs w:val="21"/>
              </w:rPr>
              <w:t>6</w:t>
            </w:r>
            <w:r>
              <w:rPr>
                <w:rFonts w:hint="eastAsia" w:ascii="宋体"/>
                <w:szCs w:val="21"/>
              </w:rPr>
              <w:t>)</w:t>
            </w:r>
            <w:r>
              <w:rPr>
                <w:rFonts w:hint="eastAsia" w:ascii="宋体"/>
                <w:szCs w:val="21"/>
              </w:rPr>
              <w:tab/>
            </w:r>
            <w:r>
              <w:rPr>
                <w:rFonts w:hint="eastAsia" w:ascii="宋体"/>
                <w:szCs w:val="21"/>
              </w:rPr>
              <w:t>空气断路器应满足以下技术要求，以提升断路器的安全性，保障学习的安全性</w:t>
            </w:r>
          </w:p>
          <w:p>
            <w:pPr>
              <w:numPr>
                <w:ilvl w:val="0"/>
                <w:numId w:val="14"/>
              </w:numPr>
              <w:ind w:left="855"/>
              <w:jc w:val="left"/>
              <w:rPr>
                <w:rFonts w:ascii="宋体"/>
                <w:szCs w:val="21"/>
              </w:rPr>
            </w:pPr>
            <w:r>
              <w:rPr>
                <w:rFonts w:hint="eastAsia" w:ascii="宋体"/>
                <w:szCs w:val="21"/>
              </w:rPr>
              <w:t xml:space="preserve">额定电压Ue=690V，额定绝缘电压Ui=1000V，额定冲击耐受电压Uimp=12kV；额定电流 [In] 800 A </w:t>
            </w:r>
          </w:p>
          <w:p>
            <w:pPr>
              <w:numPr>
                <w:ilvl w:val="0"/>
                <w:numId w:val="14"/>
              </w:numPr>
              <w:ind w:left="855"/>
              <w:jc w:val="left"/>
              <w:rPr>
                <w:rFonts w:ascii="宋体"/>
                <w:szCs w:val="21"/>
              </w:rPr>
            </w:pPr>
            <w:r>
              <w:rPr>
                <w:rFonts w:hint="eastAsia" w:ascii="宋体"/>
                <w:szCs w:val="21"/>
              </w:rPr>
              <w:t>交流电压415V下，空气断路器的分断能力要求如下： 额定电流2500A及以下, Ics=100%Icu ≧50kA；</w:t>
            </w:r>
          </w:p>
          <w:p>
            <w:pPr>
              <w:numPr>
                <w:ilvl w:val="0"/>
                <w:numId w:val="14"/>
              </w:numPr>
              <w:ind w:left="855"/>
              <w:jc w:val="left"/>
              <w:rPr>
                <w:rFonts w:ascii="宋体"/>
                <w:szCs w:val="21"/>
              </w:rPr>
            </w:pPr>
            <w:r>
              <w:rPr>
                <w:rFonts w:hint="eastAsia" w:ascii="宋体"/>
                <w:szCs w:val="21"/>
              </w:rPr>
              <w:t>空气断路器1秒下的短时耐受电流Icw(1s)要求如下：额定电流2500A及以下, Icw(1s) ≧50kA；</w:t>
            </w:r>
          </w:p>
          <w:p>
            <w:pPr>
              <w:numPr>
                <w:ilvl w:val="0"/>
                <w:numId w:val="14"/>
              </w:numPr>
              <w:ind w:left="855"/>
              <w:jc w:val="left"/>
              <w:rPr>
                <w:rFonts w:ascii="宋体"/>
                <w:szCs w:val="21"/>
              </w:rPr>
            </w:pPr>
            <w:r>
              <w:rPr>
                <w:rFonts w:hint="eastAsia" w:ascii="宋体"/>
                <w:szCs w:val="21"/>
              </w:rPr>
              <w:t>空气断路器配置带LCD液晶显示屏的智能化控制单元，可显示图形化曲线，并具备测量和显示电流，电压，功率，电能，频率以及功率因数等电参量的能力。</w:t>
            </w:r>
          </w:p>
          <w:p>
            <w:pPr>
              <w:jc w:val="left"/>
              <w:rPr>
                <w:rFonts w:ascii="宋体"/>
                <w:szCs w:val="21"/>
              </w:rPr>
            </w:pPr>
            <w:r>
              <w:rPr>
                <w:rFonts w:ascii="宋体"/>
                <w:szCs w:val="21"/>
              </w:rPr>
              <w:t>3.2智能塑壳断路器</w:t>
            </w:r>
          </w:p>
          <w:p>
            <w:pPr>
              <w:ind w:firstLine="420" w:firstLineChars="200"/>
              <w:jc w:val="left"/>
              <w:rPr>
                <w:rFonts w:ascii="宋体"/>
                <w:szCs w:val="21"/>
              </w:rPr>
            </w:pPr>
            <w:r>
              <w:rPr>
                <w:rFonts w:ascii="宋体"/>
                <w:szCs w:val="21"/>
              </w:rPr>
              <w:t>1)断路器配置无线监测模块，可实现：</w:t>
            </w:r>
          </w:p>
          <w:p>
            <w:pPr>
              <w:ind w:firstLine="428" w:firstLineChars="204"/>
              <w:jc w:val="left"/>
              <w:rPr>
                <w:rFonts w:ascii="宋体" w:hAnsi="宋体"/>
                <w:szCs w:val="21"/>
              </w:rPr>
            </w:pPr>
            <w:r>
              <w:rPr>
                <w:rFonts w:hint="eastAsia" w:ascii="宋体" w:hAnsi="宋体"/>
                <w:szCs w:val="21"/>
              </w:rPr>
              <w:t>★</w:t>
            </w:r>
            <w:r>
              <w:rPr>
                <w:rFonts w:ascii="宋体"/>
                <w:szCs w:val="21"/>
              </w:rPr>
              <w:t>a）测量：电流、电压、功率、功率因数、频率、电能量测量精度≤1%。</w:t>
            </w:r>
            <w:r>
              <w:rPr>
                <w:rFonts w:hint="eastAsia" w:ascii="宋体"/>
                <w:szCs w:val="21"/>
              </w:rPr>
              <w:t>投标时需提供符合CNAS的机构出具的测试报告或证书。</w:t>
            </w:r>
          </w:p>
          <w:p>
            <w:pPr>
              <w:ind w:firstLine="428" w:firstLineChars="204"/>
              <w:jc w:val="left"/>
              <w:rPr>
                <w:rFonts w:ascii="宋体"/>
                <w:szCs w:val="21"/>
              </w:rPr>
            </w:pPr>
            <w:r>
              <w:rPr>
                <w:rFonts w:ascii="宋体"/>
                <w:szCs w:val="21"/>
              </w:rPr>
              <w:t>b）报警：故障脱扣、过流、线电压过压、线电压欠压、带时间点的故障报警历史记录；</w:t>
            </w:r>
          </w:p>
          <w:p>
            <w:pPr>
              <w:ind w:firstLine="428" w:firstLineChars="204"/>
              <w:jc w:val="left"/>
              <w:rPr>
                <w:rFonts w:ascii="宋体"/>
                <w:szCs w:val="21"/>
              </w:rPr>
            </w:pPr>
            <w:r>
              <w:rPr>
                <w:rFonts w:ascii="宋体"/>
                <w:szCs w:val="21"/>
              </w:rPr>
              <w:t>c）诊断：故障模糊诊断，脱扣故障发生后，主动推送故障前1s的最大电流。</w:t>
            </w:r>
          </w:p>
          <w:p>
            <w:pPr>
              <w:ind w:firstLine="420" w:firstLineChars="200"/>
              <w:jc w:val="left"/>
              <w:rPr>
                <w:rFonts w:ascii="宋体"/>
                <w:szCs w:val="21"/>
              </w:rPr>
            </w:pPr>
            <w:r>
              <w:rPr>
                <w:rFonts w:ascii="宋体"/>
                <w:szCs w:val="21"/>
              </w:rPr>
              <w:t>2)智能断路器具有漏电保护监测模块；</w:t>
            </w:r>
          </w:p>
          <w:p>
            <w:pPr>
              <w:ind w:firstLine="420" w:firstLineChars="200"/>
              <w:jc w:val="left"/>
              <w:rPr>
                <w:rFonts w:ascii="宋体"/>
                <w:szCs w:val="21"/>
              </w:rPr>
            </w:pPr>
            <w:r>
              <w:rPr>
                <w:rFonts w:ascii="宋体"/>
                <w:szCs w:val="21"/>
              </w:rPr>
              <w:t>3)智能断路器具有热磁式脱扣单元和电子式脱扣单元</w:t>
            </w:r>
          </w:p>
          <w:p>
            <w:pPr>
              <w:ind w:firstLine="420" w:firstLineChars="200"/>
              <w:jc w:val="left"/>
              <w:rPr>
                <w:rFonts w:ascii="宋体"/>
                <w:szCs w:val="21"/>
              </w:rPr>
            </w:pPr>
            <w:r>
              <w:rPr>
                <w:rFonts w:ascii="宋体"/>
                <w:szCs w:val="21"/>
              </w:rPr>
              <w:t>4)提供智能断路器的其它相关附件，包括：标准延伸旋转手柄、带通讯功能的电动操作机构、分励线圈、通讯模块、SDE适配器。</w:t>
            </w:r>
          </w:p>
          <w:p>
            <w:pPr>
              <w:jc w:val="left"/>
              <w:rPr>
                <w:rFonts w:ascii="宋体"/>
                <w:szCs w:val="21"/>
              </w:rPr>
            </w:pPr>
            <w:r>
              <w:rPr>
                <w:rFonts w:ascii="宋体"/>
                <w:szCs w:val="21"/>
              </w:rPr>
              <w:t>3.3智能微型断路器</w:t>
            </w:r>
          </w:p>
          <w:p>
            <w:pPr>
              <w:ind w:firstLine="420" w:firstLineChars="200"/>
              <w:jc w:val="left"/>
              <w:rPr>
                <w:rFonts w:ascii="宋体" w:hAnsi="宋体"/>
                <w:szCs w:val="21"/>
              </w:rPr>
            </w:pPr>
            <w:r>
              <w:rPr>
                <w:rFonts w:hint="eastAsia" w:ascii="宋体" w:hAnsi="宋体"/>
                <w:szCs w:val="21"/>
              </w:rPr>
              <w:t>★</w:t>
            </w:r>
            <w:r>
              <w:rPr>
                <w:rFonts w:ascii="宋体"/>
                <w:szCs w:val="21"/>
              </w:rPr>
              <w:t>1)具备无线通信模块</w:t>
            </w:r>
            <w:r>
              <w:rPr>
                <w:rFonts w:hint="eastAsia" w:ascii="宋体"/>
                <w:szCs w:val="21"/>
              </w:rPr>
              <w:t>,可实现有功电能以及电流、电压、功率、功率因数等实时电力参数，并能对失压、过载等关键监测信息进行故障预警及报警。电能量测量精度1%。需提供符合CNAS的机构出具的测试报告或证书。</w:t>
            </w:r>
          </w:p>
          <w:p>
            <w:pPr>
              <w:ind w:firstLine="420" w:firstLineChars="200"/>
              <w:jc w:val="left"/>
              <w:rPr>
                <w:rFonts w:ascii="宋体"/>
                <w:szCs w:val="21"/>
              </w:rPr>
            </w:pPr>
            <w:r>
              <w:rPr>
                <w:rFonts w:ascii="宋体"/>
                <w:szCs w:val="21"/>
              </w:rPr>
              <w:t>2)提供微型断路器可以自定义拼装各种电气、机械以及控制附件，包括辅助触点、报警触点、分励脱扣单元、iOF附件、微型断路器安装配电箱。</w:t>
            </w:r>
          </w:p>
          <w:p>
            <w:pPr>
              <w:jc w:val="left"/>
              <w:rPr>
                <w:rFonts w:ascii="宋体"/>
                <w:szCs w:val="21"/>
              </w:rPr>
            </w:pPr>
            <w:r>
              <w:rPr>
                <w:rFonts w:ascii="宋体"/>
                <w:szCs w:val="21"/>
              </w:rPr>
              <w:t>3.4智能化网络设备提供有线通信和无线通信功能，支撑网络互连和安全管理。</w:t>
            </w:r>
          </w:p>
          <w:p>
            <w:pPr>
              <w:jc w:val="left"/>
              <w:rPr>
                <w:rFonts w:ascii="宋体"/>
                <w:szCs w:val="21"/>
              </w:rPr>
            </w:pPr>
            <w:r>
              <w:rPr>
                <w:rFonts w:ascii="宋体"/>
                <w:szCs w:val="21"/>
              </w:rPr>
              <w:t>3.5智能型电涌保护器</w:t>
            </w:r>
          </w:p>
          <w:p>
            <w:pPr>
              <w:ind w:firstLine="420" w:firstLineChars="200"/>
              <w:jc w:val="left"/>
              <w:rPr>
                <w:rFonts w:ascii="宋体" w:hAnsi="宋体"/>
                <w:szCs w:val="21"/>
              </w:rPr>
            </w:pPr>
            <w:r>
              <w:rPr>
                <w:rFonts w:hint="eastAsia" w:ascii="宋体" w:hAnsi="宋体"/>
                <w:szCs w:val="21"/>
              </w:rPr>
              <w:t>★</w:t>
            </w:r>
            <w:r>
              <w:rPr>
                <w:rFonts w:ascii="宋体"/>
                <w:szCs w:val="21"/>
              </w:rPr>
              <w:t>1)智能电涌保护器应具备通讯功能；</w:t>
            </w:r>
          </w:p>
          <w:p>
            <w:pPr>
              <w:ind w:firstLine="420" w:firstLineChars="200"/>
              <w:jc w:val="left"/>
              <w:rPr>
                <w:rFonts w:ascii="宋体"/>
                <w:szCs w:val="21"/>
              </w:rPr>
            </w:pPr>
            <w:r>
              <w:rPr>
                <w:rFonts w:ascii="宋体"/>
                <w:szCs w:val="21"/>
              </w:rPr>
              <w:t>2)电涌保护器应具有劣化指示功能；</w:t>
            </w:r>
          </w:p>
          <w:p>
            <w:pPr>
              <w:ind w:firstLine="420" w:firstLineChars="200"/>
              <w:jc w:val="left"/>
              <w:rPr>
                <w:rFonts w:ascii="宋体"/>
                <w:szCs w:val="21"/>
              </w:rPr>
            </w:pPr>
            <w:r>
              <w:rPr>
                <w:rFonts w:ascii="宋体"/>
                <w:szCs w:val="21"/>
              </w:rPr>
              <w:t>3)交流电源防雷器需配置专用后备保护装置；</w:t>
            </w:r>
          </w:p>
          <w:p>
            <w:pPr>
              <w:ind w:firstLine="420" w:firstLineChars="200"/>
              <w:jc w:val="left"/>
              <w:rPr>
                <w:rFonts w:ascii="宋体"/>
                <w:szCs w:val="21"/>
              </w:rPr>
            </w:pPr>
            <w:r>
              <w:rPr>
                <w:rFonts w:ascii="宋体"/>
                <w:szCs w:val="21"/>
              </w:rPr>
              <w:t>4)智能电涌保护装置要求直接采用220V±20%供电，无需外置开关电源；</w:t>
            </w:r>
          </w:p>
          <w:p>
            <w:pPr>
              <w:ind w:firstLine="420" w:firstLineChars="200"/>
              <w:jc w:val="left"/>
              <w:rPr>
                <w:rFonts w:ascii="宋体" w:hAnsi="宋体"/>
                <w:szCs w:val="21"/>
              </w:rPr>
            </w:pPr>
            <w:r>
              <w:rPr>
                <w:rFonts w:hint="eastAsia" w:ascii="宋体" w:hAnsi="宋体"/>
                <w:szCs w:val="21"/>
              </w:rPr>
              <w:t>★</w:t>
            </w:r>
            <w:r>
              <w:rPr>
                <w:rFonts w:hint="eastAsia" w:ascii="宋体"/>
                <w:szCs w:val="21"/>
              </w:rPr>
              <w:t>5）电涌保护器应取得CQC认证，投标时，需在投标文件中提供认证证明</w:t>
            </w:r>
          </w:p>
          <w:p>
            <w:pPr>
              <w:jc w:val="left"/>
              <w:rPr>
                <w:rFonts w:ascii="宋体"/>
                <w:szCs w:val="21"/>
              </w:rPr>
            </w:pPr>
            <w:r>
              <w:rPr>
                <w:rFonts w:ascii="宋体"/>
                <w:szCs w:val="21"/>
              </w:rPr>
              <w:t xml:space="preserve">3.6智能温度传感器 </w:t>
            </w:r>
          </w:p>
          <w:p>
            <w:pPr>
              <w:ind w:firstLine="420" w:firstLineChars="200"/>
              <w:jc w:val="left"/>
              <w:rPr>
                <w:rFonts w:ascii="宋体"/>
                <w:szCs w:val="21"/>
              </w:rPr>
            </w:pPr>
            <w:r>
              <w:rPr>
                <w:rFonts w:ascii="宋体"/>
                <w:szCs w:val="21"/>
              </w:rPr>
              <w:t>采用非接触式无线通讯技术，实现接收单元与高压侧彻底的电气隔离。</w:t>
            </w:r>
          </w:p>
          <w:p>
            <w:pPr>
              <w:jc w:val="left"/>
              <w:rPr>
                <w:rFonts w:ascii="宋体"/>
                <w:szCs w:val="21"/>
              </w:rPr>
            </w:pPr>
            <w:r>
              <w:rPr>
                <w:rFonts w:ascii="宋体"/>
                <w:szCs w:val="21"/>
              </w:rPr>
              <w:t xml:space="preserve">3.7电容器 </w:t>
            </w:r>
          </w:p>
          <w:p>
            <w:pPr>
              <w:ind w:firstLine="420" w:firstLineChars="200"/>
              <w:jc w:val="left"/>
              <w:rPr>
                <w:rFonts w:ascii="宋体"/>
                <w:szCs w:val="21"/>
              </w:rPr>
            </w:pPr>
            <w:r>
              <w:rPr>
                <w:rFonts w:ascii="宋体"/>
                <w:szCs w:val="21"/>
              </w:rPr>
              <w:t>电容器应为干式自愈电容器，其外壳应为铝制金属防爆外壳；电介质为聚丙烯锌铝合金镀膜，内部填充为生物降解树脂Non-PCB(无聚氯联苯)。</w:t>
            </w:r>
          </w:p>
          <w:p>
            <w:pPr>
              <w:jc w:val="left"/>
              <w:rPr>
                <w:rFonts w:ascii="宋体"/>
                <w:szCs w:val="21"/>
              </w:rPr>
            </w:pPr>
            <w:r>
              <w:rPr>
                <w:rFonts w:ascii="宋体"/>
                <w:szCs w:val="21"/>
              </w:rPr>
              <w:t xml:space="preserve">3.8 UPS装置 </w:t>
            </w:r>
          </w:p>
          <w:p>
            <w:pPr>
              <w:ind w:firstLine="420" w:firstLineChars="200"/>
              <w:jc w:val="left"/>
              <w:rPr>
                <w:rFonts w:ascii="宋体"/>
                <w:szCs w:val="21"/>
              </w:rPr>
            </w:pPr>
            <w:r>
              <w:rPr>
                <w:rFonts w:ascii="宋体"/>
                <w:szCs w:val="21"/>
              </w:rPr>
              <w:t xml:space="preserve">1)额定输入电压：AC220V单相（+7%,-10%） </w:t>
            </w:r>
          </w:p>
          <w:p>
            <w:pPr>
              <w:ind w:firstLine="420" w:firstLineChars="200"/>
              <w:jc w:val="left"/>
              <w:rPr>
                <w:rFonts w:ascii="宋体"/>
                <w:szCs w:val="21"/>
              </w:rPr>
            </w:pPr>
            <w:r>
              <w:rPr>
                <w:rFonts w:ascii="宋体"/>
                <w:szCs w:val="21"/>
              </w:rPr>
              <w:t xml:space="preserve">2)输入电压频率范围：40-70Hz </w:t>
            </w:r>
          </w:p>
          <w:p>
            <w:pPr>
              <w:ind w:firstLine="420" w:firstLineChars="200"/>
              <w:jc w:val="left"/>
              <w:rPr>
                <w:rFonts w:ascii="宋体"/>
                <w:szCs w:val="21"/>
              </w:rPr>
            </w:pPr>
            <w:r>
              <w:rPr>
                <w:rFonts w:ascii="宋体"/>
                <w:szCs w:val="21"/>
              </w:rPr>
              <w:t xml:space="preserve">3)输入电压范围：110-300VAC </w:t>
            </w:r>
          </w:p>
          <w:p>
            <w:pPr>
              <w:ind w:firstLine="420" w:firstLineChars="200"/>
              <w:jc w:val="left"/>
              <w:rPr>
                <w:rFonts w:ascii="宋体"/>
                <w:szCs w:val="21"/>
              </w:rPr>
            </w:pPr>
            <w:r>
              <w:rPr>
                <w:rFonts w:ascii="宋体"/>
                <w:szCs w:val="21"/>
              </w:rPr>
              <w:t xml:space="preserve">4)输入功率因数：≥0.95 </w:t>
            </w:r>
          </w:p>
          <w:p>
            <w:pPr>
              <w:ind w:firstLine="420" w:firstLineChars="200"/>
              <w:jc w:val="left"/>
              <w:rPr>
                <w:rFonts w:ascii="宋体"/>
                <w:szCs w:val="21"/>
              </w:rPr>
            </w:pPr>
            <w:r>
              <w:rPr>
                <w:rFonts w:ascii="宋体"/>
                <w:szCs w:val="21"/>
              </w:rPr>
              <w:t xml:space="preserve">5)输入保护：10A保护器精度(±0.2A) </w:t>
            </w:r>
          </w:p>
          <w:p>
            <w:pPr>
              <w:ind w:firstLine="420" w:firstLineChars="200"/>
              <w:jc w:val="left"/>
              <w:rPr>
                <w:rFonts w:ascii="宋体"/>
                <w:szCs w:val="21"/>
              </w:rPr>
            </w:pPr>
            <w:r>
              <w:rPr>
                <w:rFonts w:ascii="宋体"/>
                <w:szCs w:val="21"/>
              </w:rPr>
              <w:t xml:space="preserve">6)最大输出功率：不低于800W/1000VA </w:t>
            </w:r>
          </w:p>
          <w:p>
            <w:pPr>
              <w:ind w:firstLine="420" w:firstLineChars="200"/>
              <w:jc w:val="left"/>
              <w:rPr>
                <w:rFonts w:ascii="宋体"/>
                <w:szCs w:val="21"/>
              </w:rPr>
            </w:pPr>
            <w:r>
              <w:rPr>
                <w:rFonts w:ascii="宋体"/>
                <w:szCs w:val="21"/>
              </w:rPr>
              <w:t>7)输出功率因数：不低于0</w:t>
            </w:r>
          </w:p>
          <w:p>
            <w:pPr>
              <w:jc w:val="left"/>
              <w:rPr>
                <w:rFonts w:ascii="宋体"/>
                <w:szCs w:val="21"/>
                <w:lang w:bidi="ar"/>
              </w:rPr>
            </w:pPr>
            <w:r>
              <w:rPr>
                <w:rFonts w:ascii="宋体"/>
                <w:szCs w:val="21"/>
                <w:lang w:bidi="ar"/>
              </w:rPr>
              <w:t>3.9具有接触器、热继电器。</w:t>
            </w:r>
          </w:p>
          <w:p>
            <w:pPr>
              <w:jc w:val="left"/>
              <w:rPr>
                <w:rFonts w:ascii="宋体"/>
                <w:b/>
                <w:bCs/>
                <w:szCs w:val="21"/>
                <w:lang w:bidi="ar"/>
              </w:rPr>
            </w:pPr>
            <w:r>
              <w:rPr>
                <w:rFonts w:ascii="宋体"/>
                <w:b/>
                <w:bCs/>
                <w:szCs w:val="21"/>
                <w:lang w:bidi="ar"/>
              </w:rPr>
              <w:t>4</w:t>
            </w:r>
            <w:r>
              <w:rPr>
                <w:rFonts w:hint="eastAsia" w:ascii="宋体"/>
                <w:b/>
                <w:bCs/>
                <w:szCs w:val="21"/>
                <w:lang w:bidi="ar"/>
              </w:rPr>
              <w:t>、集成柜技术要求</w:t>
            </w:r>
          </w:p>
          <w:p>
            <w:pPr>
              <w:ind w:firstLine="420" w:firstLineChars="200"/>
              <w:jc w:val="left"/>
              <w:rPr>
                <w:rFonts w:ascii="宋体"/>
                <w:szCs w:val="21"/>
              </w:rPr>
            </w:pPr>
            <w:r>
              <w:rPr>
                <w:rFonts w:hint="eastAsia" w:ascii="宋体"/>
                <w:szCs w:val="21"/>
              </w:rPr>
              <w:t>1)具备元件防尘功能，带滚轮方便移动，带存储柜便于教学用具的存放；</w:t>
            </w:r>
          </w:p>
          <w:p>
            <w:pPr>
              <w:ind w:firstLine="420" w:firstLineChars="200"/>
              <w:jc w:val="left"/>
              <w:rPr>
                <w:rFonts w:ascii="宋体"/>
                <w:szCs w:val="21"/>
              </w:rPr>
            </w:pPr>
            <w:r>
              <w:rPr>
                <w:rFonts w:ascii="宋体"/>
                <w:szCs w:val="21"/>
              </w:rPr>
              <w:t>2)</w:t>
            </w:r>
            <w:r>
              <w:rPr>
                <w:rFonts w:hint="eastAsia" w:ascii="宋体"/>
                <w:szCs w:val="21"/>
              </w:rPr>
              <w:t>具备元件展示功能，可展示全部智能元件。</w:t>
            </w:r>
          </w:p>
          <w:p>
            <w:pPr>
              <w:ind w:firstLine="420" w:firstLineChars="200"/>
              <w:jc w:val="left"/>
              <w:rPr>
                <w:rFonts w:ascii="宋体"/>
                <w:szCs w:val="21"/>
              </w:rPr>
            </w:pPr>
            <w:r>
              <w:rPr>
                <w:rFonts w:ascii="宋体"/>
                <w:szCs w:val="21"/>
              </w:rPr>
              <w:t>3)</w:t>
            </w:r>
            <w:r>
              <w:rPr>
                <w:rFonts w:hint="eastAsia" w:ascii="宋体"/>
                <w:szCs w:val="21"/>
              </w:rPr>
              <w:t>需提供6个展示柜，要求带滚轮及储物功能，尺寸≥W1000*D500*H400mm，颜色为白色。</w:t>
            </w:r>
          </w:p>
        </w:tc>
        <w:tc>
          <w:tcPr>
            <w:tcW w:w="802" w:type="dxa"/>
            <w:vAlign w:val="center"/>
          </w:tcPr>
          <w:p>
            <w:pPr>
              <w:jc w:val="center"/>
              <w:rPr>
                <w:lang w:bidi="ar"/>
              </w:rPr>
            </w:pPr>
            <w:r>
              <w:rPr>
                <w:rFonts w:hint="eastAsia"/>
                <w:lang w:bidi="ar"/>
              </w:rPr>
              <w:t>1</w:t>
            </w:r>
          </w:p>
        </w:tc>
        <w:tc>
          <w:tcPr>
            <w:tcW w:w="784" w:type="dxa"/>
            <w:vAlign w:val="center"/>
          </w:tcPr>
          <w:p>
            <w:pPr>
              <w:jc w:val="center"/>
              <w:rPr>
                <w:lang w:bidi="ar"/>
              </w:rPr>
            </w:pPr>
            <w:r>
              <w:rPr>
                <w:rFonts w:hint="eastAsia"/>
                <w:lang w:bidi="ar"/>
              </w:rPr>
              <w:t>套</w:t>
            </w:r>
          </w:p>
        </w:tc>
        <w:tc>
          <w:tcPr>
            <w:tcW w:w="784" w:type="dxa"/>
            <w:vAlign w:val="center"/>
          </w:tcPr>
          <w:p>
            <w:pPr>
              <w:jc w:val="center"/>
              <w:rPr>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1" w:hRule="atLeast"/>
          <w:jc w:val="center"/>
        </w:trPr>
        <w:tc>
          <w:tcPr>
            <w:tcW w:w="652" w:type="dxa"/>
            <w:vAlign w:val="center"/>
          </w:tcPr>
          <w:p>
            <w:pPr>
              <w:jc w:val="center"/>
              <w:rPr>
                <w:rFonts w:ascii="宋体"/>
                <w:szCs w:val="21"/>
              </w:rPr>
            </w:pPr>
            <w:r>
              <w:rPr>
                <w:rFonts w:hint="eastAsia" w:ascii="宋体"/>
                <w:szCs w:val="21"/>
              </w:rPr>
              <w:t>2</w:t>
            </w:r>
          </w:p>
        </w:tc>
        <w:tc>
          <w:tcPr>
            <w:tcW w:w="1239" w:type="dxa"/>
            <w:vAlign w:val="center"/>
          </w:tcPr>
          <w:p>
            <w:pPr>
              <w:jc w:val="center"/>
              <w:rPr>
                <w:rFonts w:ascii="宋体"/>
                <w:szCs w:val="21"/>
              </w:rPr>
            </w:pPr>
            <w:bookmarkStart w:id="63" w:name="_Hlk139275381"/>
            <w:bookmarkEnd w:id="63"/>
            <w:r>
              <w:rPr>
                <w:rFonts w:hint="eastAsia" w:ascii="宋体"/>
                <w:szCs w:val="21"/>
              </w:rPr>
              <w:t>智能微电网</w:t>
            </w:r>
          </w:p>
        </w:tc>
        <w:tc>
          <w:tcPr>
            <w:tcW w:w="5129" w:type="dxa"/>
            <w:vAlign w:val="center"/>
          </w:tcPr>
          <w:p>
            <w:pPr>
              <w:rPr>
                <w:rFonts w:ascii="宋体"/>
                <w:b/>
                <w:bCs/>
                <w:szCs w:val="21"/>
              </w:rPr>
            </w:pPr>
            <w:r>
              <w:rPr>
                <w:rFonts w:ascii="宋体"/>
                <w:b/>
                <w:bCs/>
                <w:szCs w:val="21"/>
              </w:rPr>
              <w:t>1、总体功能要求</w:t>
            </w:r>
          </w:p>
          <w:p>
            <w:pPr>
              <w:ind w:firstLine="420" w:firstLineChars="200"/>
              <w:rPr>
                <w:rFonts w:ascii="宋体"/>
                <w:szCs w:val="21"/>
              </w:rPr>
            </w:pPr>
            <w:r>
              <w:rPr>
                <w:rFonts w:ascii="宋体"/>
                <w:szCs w:val="21"/>
              </w:rPr>
              <w:t>1.1智能微电网教学系统需要能够模拟未来智慧城市</w:t>
            </w:r>
            <w:r>
              <w:rPr>
                <w:rFonts w:hint="eastAsia" w:ascii="宋体"/>
                <w:szCs w:val="21"/>
              </w:rPr>
              <w:t>的微电网系统，可模拟微电网的基本架构及工作机理，可通过模拟建立和管理一个影响能源生产和消耗的电网平衡系统，获得组成微电网的设备的实际数据。</w:t>
            </w:r>
          </w:p>
          <w:p>
            <w:pPr>
              <w:ind w:firstLine="420" w:firstLineChars="200"/>
              <w:rPr>
                <w:rFonts w:ascii="宋体"/>
                <w:szCs w:val="21"/>
              </w:rPr>
            </w:pPr>
            <w:r>
              <w:rPr>
                <w:rFonts w:ascii="宋体"/>
                <w:szCs w:val="21"/>
              </w:rPr>
              <w:t>1.2可培养电气专业学生系统掌握城市电网在电力传</w:t>
            </w:r>
            <w:r>
              <w:rPr>
                <w:rFonts w:hint="eastAsia" w:ascii="宋体"/>
                <w:szCs w:val="21"/>
              </w:rPr>
              <w:t>输、变配电站运行管理、供用电技术、能效管理等方面的技术技能。展示城市电力监控管理数字化、调度管理智能化、能效管理敏捷管理策略，培训专业人员学习并掌握高压电器设备，及数字化配电控制系统和先进的控制理念。</w:t>
            </w:r>
          </w:p>
          <w:p>
            <w:pPr>
              <w:ind w:firstLine="420" w:firstLineChars="200"/>
              <w:rPr>
                <w:rFonts w:ascii="宋体" w:hAnsi="宋体"/>
                <w:szCs w:val="21"/>
              </w:rPr>
            </w:pPr>
            <w:r>
              <w:rPr>
                <w:rFonts w:hint="eastAsia" w:ascii="宋体" w:hAnsi="宋体"/>
                <w:szCs w:val="21"/>
              </w:rPr>
              <w:t>★</w:t>
            </w:r>
            <w:r>
              <w:rPr>
                <w:rFonts w:ascii="宋体"/>
                <w:szCs w:val="21"/>
              </w:rPr>
              <w:t>1.3城市电网应具备以下五个互联的区域，每个区域代</w:t>
            </w:r>
          </w:p>
          <w:p>
            <w:pPr>
              <w:rPr>
                <w:rFonts w:ascii="宋体"/>
                <w:szCs w:val="21"/>
              </w:rPr>
            </w:pPr>
            <w:r>
              <w:rPr>
                <w:rFonts w:hint="eastAsia" w:ascii="宋体"/>
                <w:szCs w:val="21"/>
              </w:rPr>
              <w:t>表一种特定类型的活动场景。</w:t>
            </w:r>
          </w:p>
          <w:p>
            <w:pPr>
              <w:ind w:firstLine="420" w:firstLineChars="200"/>
              <w:rPr>
                <w:rFonts w:ascii="宋体"/>
                <w:szCs w:val="21"/>
              </w:rPr>
            </w:pPr>
            <w:r>
              <w:rPr>
                <w:rFonts w:ascii="宋体"/>
                <w:szCs w:val="21"/>
              </w:rPr>
              <w:t>1)住宅区的终端用电高峰，在傍晚</w:t>
            </w:r>
          </w:p>
          <w:p>
            <w:pPr>
              <w:ind w:firstLine="420" w:firstLineChars="200"/>
              <w:rPr>
                <w:rFonts w:ascii="宋体"/>
                <w:szCs w:val="21"/>
              </w:rPr>
            </w:pPr>
            <w:r>
              <w:rPr>
                <w:rFonts w:ascii="宋体"/>
                <w:szCs w:val="21"/>
              </w:rPr>
              <w:t>2)商业区域上午用电量较高</w:t>
            </w:r>
          </w:p>
          <w:p>
            <w:pPr>
              <w:ind w:firstLine="420" w:firstLineChars="200"/>
              <w:rPr>
                <w:rFonts w:ascii="宋体"/>
                <w:szCs w:val="21"/>
              </w:rPr>
            </w:pPr>
            <w:r>
              <w:rPr>
                <w:rFonts w:ascii="宋体"/>
                <w:szCs w:val="21"/>
              </w:rPr>
              <w:t>3)工业区具有阶段性、交错的能源消耗需求</w:t>
            </w:r>
          </w:p>
          <w:p>
            <w:pPr>
              <w:ind w:firstLine="420" w:firstLineChars="200"/>
              <w:rPr>
                <w:rFonts w:ascii="宋体"/>
                <w:szCs w:val="21"/>
              </w:rPr>
            </w:pPr>
            <w:r>
              <w:rPr>
                <w:rFonts w:ascii="宋体"/>
                <w:szCs w:val="21"/>
              </w:rPr>
              <w:t>4)基础设施区域电能消耗，由条条在晚上街区照明的</w:t>
            </w:r>
          </w:p>
          <w:p>
            <w:pPr>
              <w:ind w:firstLine="420" w:firstLineChars="200"/>
              <w:rPr>
                <w:rFonts w:ascii="宋体"/>
                <w:szCs w:val="21"/>
              </w:rPr>
            </w:pPr>
            <w:r>
              <w:rPr>
                <w:rFonts w:hint="eastAsia" w:ascii="宋体"/>
                <w:szCs w:val="21"/>
              </w:rPr>
              <w:t>街道决定。</w:t>
            </w:r>
          </w:p>
          <w:p>
            <w:pPr>
              <w:ind w:firstLine="420" w:firstLineChars="200"/>
              <w:rPr>
                <w:rFonts w:ascii="宋体"/>
                <w:szCs w:val="21"/>
              </w:rPr>
            </w:pPr>
            <w:r>
              <w:rPr>
                <w:rFonts w:ascii="宋体"/>
                <w:szCs w:val="21"/>
              </w:rPr>
              <w:t>5)再生能源的生产，会因天气条件而异。</w:t>
            </w:r>
          </w:p>
          <w:p>
            <w:pPr>
              <w:ind w:firstLine="420" w:firstLineChars="200"/>
              <w:rPr>
                <w:rFonts w:ascii="宋体"/>
                <w:szCs w:val="21"/>
              </w:rPr>
            </w:pPr>
            <w:r>
              <w:rPr>
                <w:rFonts w:ascii="宋体"/>
                <w:szCs w:val="21"/>
              </w:rPr>
              <w:t>1.4具备一个主控制台，用以保持微电网平衡。</w:t>
            </w:r>
          </w:p>
          <w:p>
            <w:pPr>
              <w:rPr>
                <w:rFonts w:ascii="宋体"/>
                <w:b/>
                <w:bCs/>
                <w:szCs w:val="21"/>
              </w:rPr>
            </w:pPr>
            <w:r>
              <w:rPr>
                <w:rFonts w:ascii="宋体"/>
                <w:b/>
                <w:bCs/>
                <w:szCs w:val="21"/>
              </w:rPr>
              <w:t>2、住宅区场景要求</w:t>
            </w:r>
          </w:p>
          <w:p>
            <w:pPr>
              <w:ind w:firstLine="420" w:firstLineChars="200"/>
              <w:rPr>
                <w:rFonts w:ascii="宋体"/>
                <w:szCs w:val="21"/>
              </w:rPr>
            </w:pPr>
            <w:r>
              <w:rPr>
                <w:rFonts w:hint="eastAsia" w:ascii="宋体"/>
                <w:szCs w:val="21"/>
              </w:rPr>
              <w:t>至少模拟</w:t>
            </w:r>
            <w:r>
              <w:rPr>
                <w:rFonts w:ascii="宋体"/>
                <w:szCs w:val="21"/>
              </w:rPr>
              <w:t>50户家庭的电能消耗，每户均具备：</w:t>
            </w:r>
          </w:p>
          <w:p>
            <w:pPr>
              <w:ind w:firstLine="420" w:firstLineChars="200"/>
              <w:rPr>
                <w:rFonts w:ascii="宋体"/>
                <w:szCs w:val="21"/>
              </w:rPr>
            </w:pPr>
            <w:r>
              <w:rPr>
                <w:rFonts w:ascii="宋体"/>
                <w:szCs w:val="21"/>
              </w:rPr>
              <w:t>1)基本功耗</w:t>
            </w:r>
          </w:p>
          <w:p>
            <w:pPr>
              <w:ind w:firstLine="420" w:firstLineChars="200"/>
              <w:rPr>
                <w:rFonts w:ascii="宋体"/>
                <w:szCs w:val="21"/>
              </w:rPr>
            </w:pPr>
            <w:r>
              <w:rPr>
                <w:rFonts w:ascii="宋体"/>
                <w:szCs w:val="21"/>
              </w:rPr>
              <w:t>2)照明</w:t>
            </w:r>
          </w:p>
          <w:p>
            <w:pPr>
              <w:ind w:firstLine="420" w:firstLineChars="200"/>
              <w:rPr>
                <w:rFonts w:ascii="宋体"/>
                <w:szCs w:val="21"/>
              </w:rPr>
            </w:pPr>
            <w:r>
              <w:rPr>
                <w:rFonts w:ascii="宋体"/>
                <w:szCs w:val="21"/>
              </w:rPr>
              <w:t>3)电加热</w:t>
            </w:r>
          </w:p>
          <w:p>
            <w:pPr>
              <w:ind w:firstLine="420" w:firstLineChars="200"/>
              <w:rPr>
                <w:rFonts w:ascii="宋体"/>
                <w:szCs w:val="21"/>
              </w:rPr>
            </w:pPr>
            <w:r>
              <w:rPr>
                <w:rFonts w:ascii="宋体"/>
                <w:szCs w:val="21"/>
              </w:rPr>
              <w:t>4)家用设备</w:t>
            </w:r>
          </w:p>
          <w:p>
            <w:pPr>
              <w:ind w:firstLine="420" w:firstLineChars="200"/>
              <w:rPr>
                <w:rFonts w:ascii="宋体"/>
                <w:szCs w:val="21"/>
              </w:rPr>
            </w:pPr>
            <w:r>
              <w:rPr>
                <w:rFonts w:ascii="宋体"/>
                <w:szCs w:val="21"/>
              </w:rPr>
              <w:t>5)电动汽车充电站（至少20户家庭）</w:t>
            </w:r>
          </w:p>
          <w:p>
            <w:pPr>
              <w:ind w:firstLine="420" w:firstLineChars="200"/>
              <w:rPr>
                <w:rFonts w:ascii="宋体"/>
                <w:szCs w:val="21"/>
              </w:rPr>
            </w:pPr>
            <w:r>
              <w:rPr>
                <w:rFonts w:ascii="宋体"/>
                <w:szCs w:val="21"/>
              </w:rPr>
              <w:t>6)自备发电设施。</w:t>
            </w:r>
          </w:p>
          <w:p>
            <w:pPr>
              <w:rPr>
                <w:rFonts w:ascii="宋体"/>
                <w:b/>
                <w:bCs/>
                <w:szCs w:val="21"/>
              </w:rPr>
            </w:pPr>
            <w:r>
              <w:rPr>
                <w:rFonts w:ascii="宋体"/>
                <w:b/>
                <w:bCs/>
                <w:szCs w:val="21"/>
              </w:rPr>
              <w:t>3、商业区场景要求</w:t>
            </w:r>
          </w:p>
          <w:p>
            <w:pPr>
              <w:ind w:firstLine="420" w:firstLineChars="200"/>
              <w:rPr>
                <w:rFonts w:ascii="宋体"/>
                <w:szCs w:val="21"/>
              </w:rPr>
            </w:pPr>
            <w:r>
              <w:rPr>
                <w:rFonts w:hint="eastAsia" w:ascii="宋体"/>
                <w:szCs w:val="21"/>
              </w:rPr>
              <w:t>至少模拟两栋办公楼的电能消耗</w:t>
            </w:r>
            <w:r>
              <w:rPr>
                <w:rFonts w:ascii="宋体"/>
                <w:szCs w:val="21"/>
              </w:rPr>
              <w:t xml:space="preserve"> ，具备：</w:t>
            </w:r>
          </w:p>
          <w:p>
            <w:pPr>
              <w:ind w:firstLine="420" w:firstLineChars="200"/>
              <w:rPr>
                <w:rFonts w:ascii="宋体"/>
                <w:szCs w:val="21"/>
              </w:rPr>
            </w:pPr>
            <w:r>
              <w:rPr>
                <w:rFonts w:ascii="宋体"/>
                <w:szCs w:val="21"/>
              </w:rPr>
              <w:t>1)基本功耗</w:t>
            </w:r>
          </w:p>
          <w:p>
            <w:pPr>
              <w:ind w:firstLine="420" w:firstLineChars="200"/>
              <w:rPr>
                <w:rFonts w:ascii="宋体"/>
                <w:szCs w:val="21"/>
              </w:rPr>
            </w:pPr>
            <w:r>
              <w:rPr>
                <w:rFonts w:ascii="宋体"/>
                <w:szCs w:val="21"/>
              </w:rPr>
              <w:t>2)中央空调(HVAC)</w:t>
            </w:r>
          </w:p>
          <w:p>
            <w:pPr>
              <w:ind w:firstLine="420" w:firstLineChars="200"/>
              <w:rPr>
                <w:rFonts w:ascii="宋体"/>
                <w:szCs w:val="21"/>
              </w:rPr>
            </w:pPr>
            <w:r>
              <w:rPr>
                <w:rFonts w:ascii="宋体"/>
                <w:szCs w:val="21"/>
              </w:rPr>
              <w:t>3)照明</w:t>
            </w:r>
          </w:p>
          <w:p>
            <w:pPr>
              <w:ind w:firstLine="420" w:firstLineChars="200"/>
              <w:rPr>
                <w:rFonts w:ascii="宋体"/>
                <w:szCs w:val="21"/>
              </w:rPr>
            </w:pPr>
            <w:r>
              <w:rPr>
                <w:rFonts w:ascii="宋体"/>
                <w:szCs w:val="21"/>
              </w:rPr>
              <w:t>4)公用设施</w:t>
            </w:r>
          </w:p>
          <w:p>
            <w:pPr>
              <w:ind w:firstLine="420" w:firstLineChars="200"/>
              <w:rPr>
                <w:rFonts w:ascii="宋体"/>
                <w:szCs w:val="21"/>
              </w:rPr>
            </w:pPr>
            <w:r>
              <w:rPr>
                <w:rFonts w:ascii="宋体"/>
                <w:szCs w:val="21"/>
              </w:rPr>
              <w:t>5)蓄热</w:t>
            </w:r>
          </w:p>
          <w:p>
            <w:pPr>
              <w:ind w:firstLine="420" w:firstLineChars="200"/>
              <w:rPr>
                <w:rFonts w:ascii="宋体"/>
                <w:szCs w:val="21"/>
              </w:rPr>
            </w:pPr>
            <w:r>
              <w:rPr>
                <w:rFonts w:ascii="宋体"/>
                <w:szCs w:val="21"/>
              </w:rPr>
              <w:t>6)再生能源的自发</w:t>
            </w:r>
          </w:p>
          <w:p>
            <w:pPr>
              <w:rPr>
                <w:rFonts w:ascii="宋体"/>
                <w:b/>
                <w:bCs/>
                <w:szCs w:val="21"/>
              </w:rPr>
            </w:pPr>
            <w:r>
              <w:rPr>
                <w:rFonts w:ascii="宋体"/>
                <w:b/>
                <w:bCs/>
                <w:szCs w:val="21"/>
              </w:rPr>
              <w:t>4、工业区场景要求</w:t>
            </w:r>
          </w:p>
          <w:p>
            <w:pPr>
              <w:ind w:firstLine="420" w:firstLineChars="200"/>
              <w:rPr>
                <w:rFonts w:ascii="宋体"/>
                <w:szCs w:val="21"/>
              </w:rPr>
            </w:pPr>
            <w:r>
              <w:rPr>
                <w:rFonts w:hint="eastAsia" w:ascii="宋体"/>
                <w:szCs w:val="21"/>
              </w:rPr>
              <w:t>至少模拟两个工厂的电能消耗，具备：</w:t>
            </w:r>
          </w:p>
          <w:p>
            <w:pPr>
              <w:ind w:firstLine="420" w:firstLineChars="200"/>
              <w:rPr>
                <w:rFonts w:ascii="宋体"/>
                <w:szCs w:val="21"/>
              </w:rPr>
            </w:pPr>
            <w:r>
              <w:rPr>
                <w:rFonts w:ascii="宋体"/>
                <w:szCs w:val="21"/>
              </w:rPr>
              <w:t>1)基本功耗</w:t>
            </w:r>
          </w:p>
          <w:p>
            <w:pPr>
              <w:ind w:firstLine="420" w:firstLineChars="200"/>
              <w:rPr>
                <w:rFonts w:ascii="宋体"/>
                <w:szCs w:val="21"/>
              </w:rPr>
            </w:pPr>
            <w:r>
              <w:rPr>
                <w:rFonts w:ascii="宋体"/>
                <w:szCs w:val="21"/>
              </w:rPr>
              <w:t>2)单班运行的两条生产线</w:t>
            </w:r>
          </w:p>
          <w:p>
            <w:pPr>
              <w:ind w:firstLine="420" w:firstLineChars="200"/>
              <w:rPr>
                <w:rFonts w:ascii="宋体"/>
                <w:szCs w:val="21"/>
              </w:rPr>
            </w:pPr>
            <w:r>
              <w:rPr>
                <w:rFonts w:ascii="宋体"/>
                <w:szCs w:val="21"/>
              </w:rPr>
              <w:t>3)一台发电机</w:t>
            </w:r>
          </w:p>
          <w:p>
            <w:pPr>
              <w:ind w:firstLine="420" w:firstLineChars="200"/>
              <w:rPr>
                <w:rFonts w:ascii="宋体"/>
                <w:szCs w:val="21"/>
              </w:rPr>
            </w:pPr>
            <w:r>
              <w:rPr>
                <w:rFonts w:ascii="宋体"/>
                <w:szCs w:val="21"/>
              </w:rPr>
              <w:t>4)照明</w:t>
            </w:r>
          </w:p>
          <w:p>
            <w:pPr>
              <w:ind w:firstLine="420" w:firstLineChars="200"/>
              <w:rPr>
                <w:rFonts w:ascii="宋体"/>
                <w:szCs w:val="21"/>
              </w:rPr>
            </w:pPr>
            <w:r>
              <w:rPr>
                <w:rFonts w:ascii="宋体"/>
                <w:szCs w:val="21"/>
              </w:rPr>
              <w:t>5)供暖</w:t>
            </w:r>
          </w:p>
          <w:p>
            <w:pPr>
              <w:rPr>
                <w:rFonts w:ascii="宋体"/>
                <w:b/>
                <w:bCs/>
                <w:szCs w:val="21"/>
              </w:rPr>
            </w:pPr>
            <w:r>
              <w:rPr>
                <w:rFonts w:ascii="宋体"/>
                <w:b/>
                <w:bCs/>
                <w:szCs w:val="21"/>
              </w:rPr>
              <w:t>5、基础设施区场景要求</w:t>
            </w:r>
          </w:p>
          <w:p>
            <w:pPr>
              <w:ind w:firstLine="420" w:firstLineChars="200"/>
              <w:rPr>
                <w:rFonts w:ascii="宋体"/>
                <w:szCs w:val="21"/>
              </w:rPr>
            </w:pPr>
            <w:r>
              <w:rPr>
                <w:rFonts w:hint="eastAsia" w:ascii="宋体"/>
                <w:szCs w:val="21"/>
              </w:rPr>
              <w:t>模拟街区的能源消耗，具备：</w:t>
            </w:r>
          </w:p>
          <w:p>
            <w:pPr>
              <w:ind w:firstLine="420" w:firstLineChars="200"/>
              <w:rPr>
                <w:rFonts w:ascii="宋体"/>
                <w:szCs w:val="21"/>
              </w:rPr>
            </w:pPr>
            <w:r>
              <w:rPr>
                <w:rFonts w:ascii="宋体"/>
                <w:szCs w:val="21"/>
              </w:rPr>
              <w:t>1)公共照明</w:t>
            </w:r>
          </w:p>
          <w:p>
            <w:pPr>
              <w:ind w:firstLine="420" w:firstLineChars="200"/>
              <w:rPr>
                <w:rFonts w:ascii="宋体"/>
                <w:szCs w:val="21"/>
              </w:rPr>
            </w:pPr>
            <w:r>
              <w:rPr>
                <w:rFonts w:ascii="宋体"/>
                <w:szCs w:val="21"/>
              </w:rPr>
              <w:t>2)公共充电站</w:t>
            </w:r>
          </w:p>
          <w:p>
            <w:pPr>
              <w:rPr>
                <w:rFonts w:ascii="宋体"/>
                <w:b/>
                <w:bCs/>
                <w:szCs w:val="21"/>
              </w:rPr>
            </w:pPr>
            <w:r>
              <w:rPr>
                <w:rFonts w:ascii="宋体"/>
                <w:b/>
                <w:bCs/>
                <w:szCs w:val="21"/>
              </w:rPr>
              <w:t>6、再生能源生产区场景要求</w:t>
            </w:r>
          </w:p>
          <w:p>
            <w:pPr>
              <w:ind w:firstLine="420" w:firstLineChars="200"/>
              <w:rPr>
                <w:rFonts w:ascii="宋体"/>
                <w:szCs w:val="21"/>
              </w:rPr>
            </w:pPr>
            <w:r>
              <w:rPr>
                <w:rFonts w:hint="eastAsia" w:ascii="宋体"/>
                <w:szCs w:val="21"/>
              </w:rPr>
              <w:t>模拟电网（城市电网外）以及太阳能和风力发电场提供的电能生产，具备：</w:t>
            </w:r>
          </w:p>
          <w:p>
            <w:pPr>
              <w:ind w:firstLine="420" w:firstLineChars="200"/>
              <w:rPr>
                <w:rFonts w:ascii="宋体"/>
                <w:szCs w:val="21"/>
              </w:rPr>
            </w:pPr>
            <w:r>
              <w:rPr>
                <w:rFonts w:ascii="宋体"/>
                <w:szCs w:val="21"/>
              </w:rPr>
              <w:t>1)光伏EnR</w:t>
            </w:r>
          </w:p>
          <w:p>
            <w:pPr>
              <w:ind w:firstLine="420" w:firstLineChars="200"/>
              <w:rPr>
                <w:rFonts w:ascii="宋体"/>
                <w:szCs w:val="21"/>
              </w:rPr>
            </w:pPr>
            <w:r>
              <w:rPr>
                <w:rFonts w:ascii="宋体"/>
                <w:szCs w:val="21"/>
              </w:rPr>
              <w:t>2)风力涡轮机生产</w:t>
            </w:r>
          </w:p>
          <w:p>
            <w:pPr>
              <w:ind w:firstLine="420" w:firstLineChars="200"/>
              <w:rPr>
                <w:rFonts w:ascii="宋体"/>
                <w:szCs w:val="21"/>
              </w:rPr>
            </w:pPr>
            <w:r>
              <w:rPr>
                <w:rFonts w:ascii="宋体"/>
                <w:szCs w:val="21"/>
              </w:rPr>
              <w:t>3)网络功率限制在 1000kW。</w:t>
            </w:r>
          </w:p>
          <w:p>
            <w:pPr>
              <w:rPr>
                <w:rFonts w:ascii="宋体"/>
                <w:b/>
                <w:bCs/>
                <w:szCs w:val="21"/>
              </w:rPr>
            </w:pPr>
            <w:r>
              <w:rPr>
                <w:rFonts w:ascii="宋体"/>
                <w:b/>
                <w:bCs/>
                <w:szCs w:val="21"/>
              </w:rPr>
              <w:t>7、主控制站</w:t>
            </w:r>
          </w:p>
          <w:p>
            <w:pPr>
              <w:ind w:firstLine="420" w:firstLineChars="200"/>
              <w:rPr>
                <w:rFonts w:ascii="宋体"/>
                <w:szCs w:val="21"/>
              </w:rPr>
            </w:pPr>
            <w:r>
              <w:rPr>
                <w:rFonts w:hint="eastAsia" w:ascii="宋体"/>
                <w:szCs w:val="21"/>
              </w:rPr>
              <w:t>场景增强，具有三种操作模式</w:t>
            </w:r>
          </w:p>
          <w:p>
            <w:pPr>
              <w:ind w:firstLine="420" w:firstLineChars="200"/>
              <w:rPr>
                <w:rFonts w:ascii="宋体"/>
                <w:szCs w:val="21"/>
              </w:rPr>
            </w:pPr>
            <w:r>
              <w:rPr>
                <w:rFonts w:ascii="宋体"/>
                <w:szCs w:val="21"/>
              </w:rPr>
              <w:t>1)自动：基于预先配置的场景。</w:t>
            </w:r>
          </w:p>
          <w:p>
            <w:pPr>
              <w:ind w:firstLine="420" w:firstLineChars="200"/>
              <w:rPr>
                <w:rFonts w:ascii="宋体"/>
                <w:szCs w:val="21"/>
              </w:rPr>
            </w:pPr>
            <w:r>
              <w:rPr>
                <w:rFonts w:ascii="宋体"/>
                <w:szCs w:val="21"/>
              </w:rPr>
              <w:t>2)手动：可手动输入每个区域的生产消耗数据。</w:t>
            </w:r>
          </w:p>
          <w:p>
            <w:pPr>
              <w:ind w:firstLine="420" w:firstLineChars="200"/>
              <w:rPr>
                <w:rFonts w:ascii="宋体"/>
                <w:szCs w:val="21"/>
              </w:rPr>
            </w:pPr>
            <w:r>
              <w:rPr>
                <w:rFonts w:ascii="宋体"/>
                <w:szCs w:val="21"/>
              </w:rPr>
              <w:t>3)设备：连接到现有培训设备。</w:t>
            </w:r>
          </w:p>
          <w:p>
            <w:pPr>
              <w:ind w:firstLine="420" w:firstLineChars="200"/>
              <w:rPr>
                <w:rFonts w:ascii="宋体"/>
                <w:szCs w:val="21"/>
              </w:rPr>
            </w:pPr>
            <w:r>
              <w:rPr>
                <w:rFonts w:hint="eastAsia" w:ascii="宋体"/>
                <w:szCs w:val="21"/>
              </w:rPr>
              <w:t>可查看各区域的能源生产和消耗，以及生产和消耗之间的平衡。通过输入平衡状态和相关说明与每个区域进行通信：增加消耗（存储）或减少消耗（进给、减载、需求侧管理），以保持电网平衡。</w:t>
            </w:r>
          </w:p>
          <w:p>
            <w:pPr>
              <w:rPr>
                <w:rFonts w:ascii="宋体"/>
                <w:b/>
                <w:bCs/>
                <w:szCs w:val="21"/>
              </w:rPr>
            </w:pPr>
            <w:r>
              <w:rPr>
                <w:rFonts w:ascii="宋体"/>
                <w:b/>
                <w:bCs/>
                <w:szCs w:val="21"/>
              </w:rPr>
              <w:t>8、技术参数</w:t>
            </w:r>
          </w:p>
          <w:p>
            <w:pPr>
              <w:ind w:firstLine="420" w:firstLineChars="200"/>
              <w:rPr>
                <w:rFonts w:ascii="宋体"/>
                <w:szCs w:val="21"/>
              </w:rPr>
            </w:pPr>
            <w:r>
              <w:rPr>
                <w:rFonts w:ascii="宋体"/>
                <w:szCs w:val="21"/>
              </w:rPr>
              <w:t>8.1存储及使用环境要求</w:t>
            </w:r>
          </w:p>
          <w:p>
            <w:pPr>
              <w:ind w:firstLine="420" w:firstLineChars="200"/>
              <w:rPr>
                <w:rFonts w:ascii="宋体"/>
                <w:szCs w:val="21"/>
              </w:rPr>
            </w:pPr>
            <w:r>
              <w:rPr>
                <w:rFonts w:ascii="宋体"/>
                <w:szCs w:val="21"/>
              </w:rPr>
              <w:t>8.1.1温度</w:t>
            </w:r>
          </w:p>
          <w:p>
            <w:pPr>
              <w:ind w:firstLine="420" w:firstLineChars="200"/>
              <w:rPr>
                <w:rFonts w:ascii="宋体"/>
                <w:szCs w:val="21"/>
              </w:rPr>
            </w:pPr>
            <w:r>
              <w:rPr>
                <w:rFonts w:ascii="宋体"/>
                <w:szCs w:val="21"/>
              </w:rPr>
              <w:t>1)工作环境温度至少满足：0°C&lt;T&lt;+40°C</w:t>
            </w:r>
          </w:p>
          <w:p>
            <w:pPr>
              <w:ind w:firstLine="420" w:firstLineChars="200"/>
              <w:rPr>
                <w:rFonts w:ascii="宋体"/>
                <w:szCs w:val="21"/>
              </w:rPr>
            </w:pPr>
            <w:r>
              <w:rPr>
                <w:rFonts w:ascii="宋体"/>
                <w:szCs w:val="21"/>
              </w:rPr>
              <w:t>2)储存温度至少满足：-20°C&lt;T&lt;+40°C</w:t>
            </w:r>
          </w:p>
          <w:p>
            <w:pPr>
              <w:ind w:firstLine="420" w:firstLineChars="200"/>
              <w:rPr>
                <w:rFonts w:ascii="宋体"/>
                <w:szCs w:val="21"/>
              </w:rPr>
            </w:pPr>
            <w:r>
              <w:rPr>
                <w:rFonts w:ascii="宋体"/>
                <w:szCs w:val="21"/>
              </w:rPr>
              <w:t>8.1.2湿度</w:t>
            </w:r>
          </w:p>
          <w:p>
            <w:pPr>
              <w:ind w:firstLine="420" w:firstLineChars="200"/>
              <w:rPr>
                <w:rFonts w:ascii="宋体"/>
                <w:szCs w:val="21"/>
              </w:rPr>
            </w:pPr>
            <w:r>
              <w:rPr>
                <w:rFonts w:ascii="宋体"/>
                <w:szCs w:val="21"/>
              </w:rPr>
              <w:t>1)需满足相对湿度&lt;50%（T=+40C）时正常工作</w:t>
            </w:r>
          </w:p>
          <w:p>
            <w:pPr>
              <w:ind w:firstLine="420" w:firstLineChars="200"/>
              <w:rPr>
                <w:rFonts w:ascii="宋体"/>
                <w:szCs w:val="21"/>
              </w:rPr>
            </w:pPr>
            <w:r>
              <w:rPr>
                <w:rFonts w:ascii="宋体"/>
                <w:szCs w:val="21"/>
              </w:rPr>
              <w:t>2)需满足相对湿度&lt;90%（T=+20C）时无损储存</w:t>
            </w:r>
          </w:p>
          <w:p>
            <w:pPr>
              <w:ind w:firstLine="420" w:firstLineChars="200"/>
              <w:rPr>
                <w:rFonts w:ascii="宋体"/>
                <w:szCs w:val="21"/>
              </w:rPr>
            </w:pPr>
            <w:r>
              <w:rPr>
                <w:rFonts w:ascii="宋体"/>
                <w:szCs w:val="21"/>
              </w:rPr>
              <w:t>8.1.3海拔高度</w:t>
            </w:r>
          </w:p>
          <w:p>
            <w:pPr>
              <w:ind w:firstLine="420" w:firstLineChars="200"/>
              <w:rPr>
                <w:rFonts w:ascii="宋体"/>
                <w:szCs w:val="21"/>
              </w:rPr>
            </w:pPr>
            <w:r>
              <w:rPr>
                <w:rFonts w:hint="eastAsia" w:ascii="宋体"/>
                <w:szCs w:val="21"/>
              </w:rPr>
              <w:t>满足</w:t>
            </w:r>
            <w:r>
              <w:rPr>
                <w:rFonts w:ascii="宋体"/>
                <w:szCs w:val="21"/>
              </w:rPr>
              <w:t>2000米以内均可正常使用</w:t>
            </w:r>
          </w:p>
          <w:p>
            <w:pPr>
              <w:ind w:firstLine="420" w:firstLineChars="200"/>
              <w:rPr>
                <w:rFonts w:ascii="宋体"/>
                <w:szCs w:val="21"/>
              </w:rPr>
            </w:pPr>
            <w:r>
              <w:rPr>
                <w:rFonts w:ascii="宋体"/>
                <w:szCs w:val="21"/>
              </w:rPr>
              <w:t>8.1.4污染</w:t>
            </w:r>
          </w:p>
          <w:p>
            <w:pPr>
              <w:ind w:firstLine="420" w:firstLineChars="200"/>
              <w:rPr>
                <w:rFonts w:ascii="宋体"/>
                <w:szCs w:val="21"/>
              </w:rPr>
            </w:pPr>
            <w:r>
              <w:rPr>
                <w:rFonts w:hint="eastAsia" w:ascii="宋体"/>
                <w:szCs w:val="21"/>
              </w:rPr>
              <w:t>污染环境仅为非导电干燥型的条件下可使用。</w:t>
            </w:r>
          </w:p>
          <w:p>
            <w:pPr>
              <w:ind w:firstLine="420" w:firstLineChars="200"/>
              <w:rPr>
                <w:rFonts w:ascii="宋体"/>
                <w:szCs w:val="21"/>
              </w:rPr>
            </w:pPr>
            <w:r>
              <w:rPr>
                <w:rFonts w:ascii="宋体"/>
                <w:szCs w:val="21"/>
              </w:rPr>
              <w:t>8.2电气要求</w:t>
            </w:r>
          </w:p>
          <w:p>
            <w:pPr>
              <w:ind w:firstLine="420" w:firstLineChars="200"/>
              <w:rPr>
                <w:rFonts w:ascii="宋体"/>
                <w:szCs w:val="21"/>
              </w:rPr>
            </w:pPr>
            <w:r>
              <w:rPr>
                <w:rFonts w:ascii="宋体"/>
                <w:szCs w:val="21"/>
              </w:rPr>
              <w:t>8.2.1电源</w:t>
            </w:r>
          </w:p>
          <w:p>
            <w:pPr>
              <w:ind w:firstLine="420" w:firstLineChars="200"/>
              <w:rPr>
                <w:rFonts w:ascii="宋体"/>
                <w:szCs w:val="21"/>
              </w:rPr>
            </w:pPr>
            <w:r>
              <w:rPr>
                <w:rFonts w:hint="eastAsia" w:ascii="宋体"/>
                <w:szCs w:val="21"/>
              </w:rPr>
              <w:t>设备所接电源要求：</w:t>
            </w:r>
          </w:p>
          <w:p>
            <w:pPr>
              <w:ind w:firstLine="420" w:firstLineChars="200"/>
              <w:rPr>
                <w:rFonts w:ascii="宋体"/>
                <w:szCs w:val="21"/>
              </w:rPr>
            </w:pPr>
            <w:r>
              <w:rPr>
                <w:rFonts w:ascii="宋体"/>
                <w:szCs w:val="21"/>
              </w:rPr>
              <w:t>1)电压：220Vac+N+</w:t>
            </w:r>
          </w:p>
          <w:p>
            <w:pPr>
              <w:ind w:firstLine="420" w:firstLineChars="200"/>
              <w:rPr>
                <w:rFonts w:ascii="宋体"/>
                <w:szCs w:val="21"/>
              </w:rPr>
            </w:pPr>
            <w:r>
              <w:rPr>
                <w:rFonts w:ascii="宋体"/>
                <w:szCs w:val="21"/>
              </w:rPr>
              <w:t>2)频率：50/60HZ+/-5%</w:t>
            </w:r>
          </w:p>
          <w:p>
            <w:pPr>
              <w:ind w:firstLine="420" w:firstLineChars="200"/>
              <w:rPr>
                <w:rFonts w:ascii="宋体"/>
                <w:szCs w:val="21"/>
              </w:rPr>
            </w:pPr>
            <w:r>
              <w:rPr>
                <w:rFonts w:ascii="宋体"/>
                <w:szCs w:val="21"/>
              </w:rPr>
              <w:t>3)电流：16A</w:t>
            </w:r>
          </w:p>
          <w:p>
            <w:pPr>
              <w:ind w:firstLine="420" w:firstLineChars="200"/>
              <w:rPr>
                <w:rFonts w:ascii="宋体"/>
                <w:szCs w:val="21"/>
              </w:rPr>
            </w:pPr>
            <w:r>
              <w:rPr>
                <w:rFonts w:ascii="宋体"/>
                <w:szCs w:val="21"/>
              </w:rPr>
              <w:t>8.2.2电气安全</w:t>
            </w:r>
          </w:p>
          <w:p>
            <w:pPr>
              <w:ind w:firstLine="420" w:firstLineChars="200"/>
              <w:rPr>
                <w:rFonts w:ascii="宋体"/>
                <w:szCs w:val="21"/>
              </w:rPr>
            </w:pPr>
            <w:r>
              <w:rPr>
                <w:rFonts w:hint="eastAsia" w:ascii="宋体"/>
                <w:szCs w:val="21"/>
              </w:rPr>
              <w:t>具备</w:t>
            </w:r>
            <w:r>
              <w:rPr>
                <w:rFonts w:ascii="宋体"/>
                <w:szCs w:val="21"/>
              </w:rPr>
              <w:t>2P+接地电源线，且必须连接到具有保护接地导</w:t>
            </w:r>
            <w:r>
              <w:rPr>
                <w:rFonts w:hint="eastAsia" w:ascii="宋体"/>
                <w:szCs w:val="21"/>
              </w:rPr>
              <w:t>体的位置。配电开关具备剩余电流保护功能，预防接地故障发生时造成人员电击伤害。</w:t>
            </w:r>
          </w:p>
        </w:tc>
        <w:tc>
          <w:tcPr>
            <w:tcW w:w="802" w:type="dxa"/>
          </w:tcPr>
          <w:p>
            <w:pPr>
              <w:jc w:val="center"/>
              <w:rPr>
                <w:rFonts w:ascii="宋体"/>
                <w:szCs w:val="21"/>
              </w:rPr>
            </w:pPr>
            <w:r>
              <w:rPr>
                <w:rFonts w:hint="eastAsia" w:ascii="宋体"/>
                <w:szCs w:val="21"/>
              </w:rPr>
              <w:t>1</w:t>
            </w:r>
          </w:p>
        </w:tc>
        <w:tc>
          <w:tcPr>
            <w:tcW w:w="784" w:type="dxa"/>
          </w:tcPr>
          <w:p>
            <w:pPr>
              <w:jc w:val="center"/>
              <w:rPr>
                <w:rFonts w:ascii="宋体"/>
                <w:szCs w:val="21"/>
              </w:rPr>
            </w:pPr>
            <w:r>
              <w:rPr>
                <w:rFonts w:hint="eastAsia" w:ascii="宋体"/>
                <w:szCs w:val="21"/>
              </w:rPr>
              <w:t>套</w:t>
            </w:r>
          </w:p>
        </w:tc>
        <w:tc>
          <w:tcPr>
            <w:tcW w:w="784" w:type="dxa"/>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jc w:val="center"/>
        </w:trPr>
        <w:tc>
          <w:tcPr>
            <w:tcW w:w="652" w:type="dxa"/>
            <w:vAlign w:val="center"/>
          </w:tcPr>
          <w:p>
            <w:pPr>
              <w:jc w:val="center"/>
              <w:rPr>
                <w:rFonts w:ascii="宋体"/>
                <w:szCs w:val="21"/>
              </w:rPr>
            </w:pPr>
            <w:r>
              <w:rPr>
                <w:rFonts w:hint="eastAsia" w:ascii="宋体"/>
                <w:szCs w:val="21"/>
              </w:rPr>
              <w:t>3</w:t>
            </w:r>
          </w:p>
        </w:tc>
        <w:tc>
          <w:tcPr>
            <w:tcW w:w="1239" w:type="dxa"/>
            <w:vAlign w:val="center"/>
          </w:tcPr>
          <w:p>
            <w:pPr>
              <w:jc w:val="center"/>
              <w:rPr>
                <w:rFonts w:ascii="宋体"/>
                <w:szCs w:val="21"/>
              </w:rPr>
            </w:pPr>
            <w:r>
              <w:rPr>
                <w:rFonts w:hint="eastAsia" w:ascii="宋体"/>
                <w:szCs w:val="21"/>
              </w:rPr>
              <w:t>智能配电柜运行及操作实训系统</w:t>
            </w:r>
            <w:r>
              <w:rPr>
                <w:rFonts w:ascii="宋体"/>
                <w:szCs w:val="21"/>
              </w:rPr>
              <w:t>-智能中压柜</w:t>
            </w:r>
          </w:p>
        </w:tc>
        <w:tc>
          <w:tcPr>
            <w:tcW w:w="5129" w:type="dxa"/>
            <w:vAlign w:val="center"/>
          </w:tcPr>
          <w:p>
            <w:pPr>
              <w:ind w:firstLine="420" w:firstLineChars="200"/>
              <w:rPr>
                <w:rFonts w:ascii="宋体"/>
                <w:szCs w:val="21"/>
              </w:rPr>
            </w:pPr>
            <w:r>
              <w:rPr>
                <w:rFonts w:hint="eastAsia" w:ascii="宋体"/>
                <w:szCs w:val="21"/>
              </w:rPr>
              <w:t>智能中压开关柜包括智能中压进线柜、中压馈线柜及移动运维系统。</w:t>
            </w:r>
          </w:p>
          <w:p>
            <w:pPr>
              <w:rPr>
                <w:rFonts w:ascii="宋体"/>
                <w:b/>
                <w:bCs/>
                <w:szCs w:val="21"/>
              </w:rPr>
            </w:pPr>
            <w:r>
              <w:rPr>
                <w:rFonts w:ascii="宋体"/>
                <w:b/>
                <w:bCs/>
                <w:szCs w:val="21"/>
              </w:rPr>
              <w:t>智能中压开关柜技术要求</w:t>
            </w:r>
            <w:r>
              <w:rPr>
                <w:rFonts w:hint="eastAsia" w:ascii="宋体"/>
                <w:b/>
                <w:bCs/>
                <w:szCs w:val="21"/>
              </w:rPr>
              <w:t>：</w:t>
            </w:r>
          </w:p>
          <w:p>
            <w:pPr>
              <w:ind w:firstLine="420" w:firstLineChars="200"/>
              <w:rPr>
                <w:rFonts w:ascii="宋体"/>
                <w:szCs w:val="21"/>
              </w:rPr>
            </w:pPr>
            <w:r>
              <w:rPr>
                <w:rFonts w:hint="eastAsia" w:ascii="宋体"/>
                <w:szCs w:val="21"/>
              </w:rPr>
              <w:t>智能中压开关柜包括智能中压进线柜、智能中压馈线柜，智能中压柜要求具有抗震功能，以确保操作人员和开关柜安全。</w:t>
            </w:r>
          </w:p>
          <w:p>
            <w:pPr>
              <w:rPr>
                <w:rFonts w:ascii="宋体"/>
                <w:b/>
                <w:bCs/>
                <w:szCs w:val="21"/>
              </w:rPr>
            </w:pPr>
            <w:r>
              <w:rPr>
                <w:rFonts w:hint="eastAsia" w:ascii="宋体"/>
                <w:b/>
                <w:bCs/>
                <w:szCs w:val="21"/>
              </w:rPr>
              <w:t>1、</w:t>
            </w:r>
            <w:r>
              <w:rPr>
                <w:rFonts w:ascii="宋体"/>
                <w:b/>
                <w:bCs/>
                <w:szCs w:val="21"/>
              </w:rPr>
              <w:t>基本构成</w:t>
            </w:r>
          </w:p>
          <w:p>
            <w:pPr>
              <w:ind w:firstLine="420" w:firstLineChars="200"/>
              <w:rPr>
                <w:rFonts w:ascii="宋体"/>
                <w:szCs w:val="21"/>
              </w:rPr>
            </w:pPr>
            <w:r>
              <w:rPr>
                <w:rFonts w:ascii="宋体"/>
                <w:szCs w:val="21"/>
              </w:rPr>
              <w:t>1)</w:t>
            </w:r>
            <w:r>
              <w:rPr>
                <w:rFonts w:ascii="宋体"/>
                <w:szCs w:val="21"/>
              </w:rPr>
              <w:tab/>
            </w:r>
            <w:r>
              <w:rPr>
                <w:rFonts w:ascii="宋体"/>
                <w:szCs w:val="21"/>
              </w:rPr>
              <w:t>智能中压开关柜及其附属设备、备品备件及专用工器具。</w:t>
            </w:r>
          </w:p>
          <w:p>
            <w:pPr>
              <w:ind w:firstLine="420" w:firstLineChars="200"/>
              <w:rPr>
                <w:rFonts w:ascii="宋体"/>
                <w:szCs w:val="21"/>
              </w:rPr>
            </w:pPr>
            <w:r>
              <w:rPr>
                <w:rFonts w:ascii="宋体"/>
                <w:szCs w:val="21"/>
              </w:rPr>
              <w:t>2)</w:t>
            </w:r>
            <w:r>
              <w:rPr>
                <w:rFonts w:ascii="宋体"/>
                <w:szCs w:val="21"/>
              </w:rPr>
              <w:tab/>
            </w:r>
            <w:r>
              <w:rPr>
                <w:rFonts w:ascii="宋体"/>
                <w:szCs w:val="21"/>
              </w:rPr>
              <w:t>智能中压开关柜采用户内金属铠装中置移开式开关柜，提供断路器、微机保护、顺序控制等智能化设备。</w:t>
            </w:r>
          </w:p>
          <w:p>
            <w:pPr>
              <w:rPr>
                <w:rFonts w:ascii="宋体"/>
                <w:b/>
                <w:bCs/>
                <w:szCs w:val="21"/>
              </w:rPr>
            </w:pPr>
            <w:r>
              <w:rPr>
                <w:rFonts w:hint="eastAsia" w:ascii="宋体"/>
                <w:b/>
                <w:bCs/>
                <w:szCs w:val="21"/>
              </w:rPr>
              <w:t>2、</w:t>
            </w:r>
            <w:r>
              <w:rPr>
                <w:rFonts w:ascii="宋体"/>
                <w:b/>
                <w:bCs/>
                <w:szCs w:val="21"/>
              </w:rPr>
              <w:t>智能中压开关柜型式</w:t>
            </w:r>
          </w:p>
          <w:p>
            <w:pPr>
              <w:ind w:firstLine="420" w:firstLineChars="200"/>
              <w:rPr>
                <w:rFonts w:ascii="宋体"/>
                <w:szCs w:val="21"/>
              </w:rPr>
            </w:pPr>
            <w:r>
              <w:rPr>
                <w:rFonts w:ascii="宋体"/>
                <w:szCs w:val="21"/>
              </w:rPr>
              <w:t>1)</w:t>
            </w:r>
            <w:r>
              <w:rPr>
                <w:rFonts w:ascii="宋体"/>
                <w:szCs w:val="21"/>
              </w:rPr>
              <w:tab/>
            </w:r>
            <w:r>
              <w:rPr>
                <w:rFonts w:ascii="宋体"/>
                <w:szCs w:val="21"/>
              </w:rPr>
              <w:t>智能中压开关柜采用户内金属铠装中置移开式高压开关柜。</w:t>
            </w:r>
          </w:p>
          <w:p>
            <w:pPr>
              <w:ind w:firstLine="420" w:firstLineChars="200"/>
              <w:rPr>
                <w:rFonts w:ascii="宋体"/>
                <w:szCs w:val="21"/>
              </w:rPr>
            </w:pPr>
            <w:r>
              <w:rPr>
                <w:rFonts w:hint="eastAsia" w:ascii="宋体"/>
                <w:szCs w:val="21"/>
              </w:rPr>
              <w:t>★</w:t>
            </w:r>
            <w:r>
              <w:rPr>
                <w:rFonts w:ascii="宋体"/>
                <w:szCs w:val="21"/>
              </w:rPr>
              <w:t>2)</w:t>
            </w:r>
            <w:r>
              <w:rPr>
                <w:rFonts w:ascii="宋体"/>
                <w:szCs w:val="21"/>
              </w:rPr>
              <w:tab/>
            </w:r>
            <w:r>
              <w:rPr>
                <w:rFonts w:ascii="宋体"/>
                <w:szCs w:val="21"/>
              </w:rPr>
              <w:t>12kV中压开关柜标准为：IAC级   AFLR  ，内燃弧试验要求：内部电弧（有效值）≥50kA /1S。响应文件中需提供具有中国合格评定国家认可委员会（CNAS）认可的第三方检测机构出具的中压柜柜体50KA/1S及以上性能的内燃弧试验报告。</w:t>
            </w:r>
          </w:p>
          <w:p>
            <w:pPr>
              <w:ind w:firstLine="420" w:firstLineChars="200"/>
              <w:rPr>
                <w:rFonts w:ascii="宋体"/>
                <w:szCs w:val="21"/>
              </w:rPr>
            </w:pPr>
            <w:r>
              <w:rPr>
                <w:rFonts w:ascii="宋体"/>
                <w:szCs w:val="21"/>
              </w:rPr>
              <w:t>3)</w:t>
            </w:r>
            <w:r>
              <w:rPr>
                <w:rFonts w:ascii="宋体"/>
                <w:szCs w:val="21"/>
              </w:rPr>
              <w:tab/>
            </w:r>
            <w:r>
              <w:rPr>
                <w:rFonts w:ascii="宋体"/>
                <w:szCs w:val="21"/>
              </w:rPr>
              <w:t>柜体尺寸：宽度为不大于800mm，深度不大于1600mm。</w:t>
            </w:r>
          </w:p>
          <w:p>
            <w:pPr>
              <w:rPr>
                <w:rFonts w:ascii="宋体"/>
                <w:b/>
                <w:bCs/>
                <w:szCs w:val="21"/>
              </w:rPr>
            </w:pPr>
            <w:r>
              <w:rPr>
                <w:rFonts w:hint="eastAsia" w:ascii="宋体"/>
                <w:b/>
                <w:bCs/>
                <w:szCs w:val="21"/>
              </w:rPr>
              <w:t>3、</w:t>
            </w:r>
            <w:r>
              <w:rPr>
                <w:rFonts w:ascii="宋体"/>
                <w:b/>
                <w:bCs/>
                <w:szCs w:val="21"/>
              </w:rPr>
              <w:t>基本技术参数</w:t>
            </w:r>
          </w:p>
          <w:p>
            <w:pPr>
              <w:ind w:firstLine="420" w:firstLineChars="200"/>
              <w:rPr>
                <w:rFonts w:ascii="宋体"/>
                <w:szCs w:val="21"/>
              </w:rPr>
            </w:pPr>
            <w:r>
              <w:rPr>
                <w:rFonts w:ascii="宋体"/>
                <w:szCs w:val="21"/>
              </w:rPr>
              <w:t>1)</w:t>
            </w:r>
            <w:r>
              <w:rPr>
                <w:rFonts w:ascii="宋体"/>
                <w:szCs w:val="21"/>
              </w:rPr>
              <w:tab/>
            </w:r>
            <w:r>
              <w:rPr>
                <w:rFonts w:ascii="宋体"/>
                <w:szCs w:val="21"/>
              </w:rPr>
              <w:t>额定电压： 12kV</w:t>
            </w:r>
          </w:p>
          <w:p>
            <w:pPr>
              <w:ind w:firstLine="420" w:firstLineChars="200"/>
              <w:rPr>
                <w:rFonts w:ascii="宋体"/>
                <w:szCs w:val="21"/>
              </w:rPr>
            </w:pPr>
            <w:r>
              <w:rPr>
                <w:rFonts w:ascii="宋体"/>
                <w:szCs w:val="21"/>
              </w:rPr>
              <w:t>2)</w:t>
            </w:r>
            <w:r>
              <w:rPr>
                <w:rFonts w:ascii="宋体"/>
                <w:szCs w:val="21"/>
              </w:rPr>
              <w:tab/>
            </w:r>
            <w:r>
              <w:rPr>
                <w:rFonts w:ascii="宋体"/>
                <w:szCs w:val="21"/>
              </w:rPr>
              <w:t>相数： 3相</w:t>
            </w:r>
          </w:p>
          <w:p>
            <w:pPr>
              <w:ind w:firstLine="420" w:firstLineChars="200"/>
              <w:rPr>
                <w:rFonts w:ascii="宋体"/>
                <w:szCs w:val="21"/>
              </w:rPr>
            </w:pPr>
            <w:r>
              <w:rPr>
                <w:rFonts w:ascii="宋体"/>
                <w:szCs w:val="21"/>
              </w:rPr>
              <w:t>3)</w:t>
            </w:r>
            <w:r>
              <w:rPr>
                <w:rFonts w:ascii="宋体"/>
                <w:szCs w:val="21"/>
              </w:rPr>
              <w:tab/>
            </w:r>
            <w:r>
              <w:rPr>
                <w:rFonts w:ascii="宋体"/>
                <w:szCs w:val="21"/>
              </w:rPr>
              <w:t>绝缘水平：</w:t>
            </w:r>
            <w:r>
              <w:rPr>
                <w:rFonts w:ascii="宋体"/>
                <w:szCs w:val="21"/>
              </w:rPr>
              <w:tab/>
            </w:r>
          </w:p>
          <w:p>
            <w:pPr>
              <w:ind w:firstLine="630" w:firstLineChars="300"/>
              <w:rPr>
                <w:rFonts w:ascii="宋体"/>
                <w:szCs w:val="21"/>
              </w:rPr>
            </w:pPr>
            <w:r>
              <w:rPr>
                <w:rFonts w:ascii="宋体"/>
                <w:szCs w:val="21"/>
              </w:rPr>
              <w:t>a)</w:t>
            </w:r>
            <w:r>
              <w:rPr>
                <w:rFonts w:ascii="宋体"/>
                <w:szCs w:val="21"/>
              </w:rPr>
              <w:tab/>
            </w:r>
            <w:r>
              <w:rPr>
                <w:rFonts w:ascii="宋体"/>
                <w:szCs w:val="21"/>
              </w:rPr>
              <w:t>工频耐受电压kV/1min：≥42</w:t>
            </w:r>
          </w:p>
          <w:p>
            <w:pPr>
              <w:ind w:firstLine="630" w:firstLineChars="300"/>
              <w:rPr>
                <w:rFonts w:ascii="宋体"/>
                <w:szCs w:val="21"/>
              </w:rPr>
            </w:pPr>
            <w:r>
              <w:rPr>
                <w:rFonts w:ascii="宋体"/>
                <w:szCs w:val="21"/>
              </w:rPr>
              <w:t>b)</w:t>
            </w:r>
            <w:r>
              <w:rPr>
                <w:rFonts w:ascii="宋体"/>
                <w:szCs w:val="21"/>
              </w:rPr>
              <w:tab/>
            </w:r>
            <w:r>
              <w:rPr>
                <w:rFonts w:ascii="宋体"/>
                <w:szCs w:val="21"/>
              </w:rPr>
              <w:t>雷电冲击耐受电压kV：≥75</w:t>
            </w:r>
          </w:p>
          <w:p>
            <w:pPr>
              <w:ind w:firstLine="420" w:firstLineChars="200"/>
              <w:rPr>
                <w:rFonts w:ascii="宋体"/>
                <w:szCs w:val="21"/>
              </w:rPr>
            </w:pPr>
            <w:r>
              <w:rPr>
                <w:rFonts w:ascii="宋体"/>
                <w:szCs w:val="21"/>
              </w:rPr>
              <w:t>4)</w:t>
            </w:r>
            <w:r>
              <w:rPr>
                <w:rFonts w:ascii="宋体"/>
                <w:szCs w:val="21"/>
              </w:rPr>
              <w:tab/>
            </w:r>
            <w:r>
              <w:rPr>
                <w:rFonts w:ascii="宋体"/>
                <w:szCs w:val="21"/>
              </w:rPr>
              <w:t>额定频率： 50Hz</w:t>
            </w:r>
          </w:p>
          <w:p>
            <w:pPr>
              <w:ind w:firstLine="420" w:firstLineChars="200"/>
              <w:rPr>
                <w:rFonts w:ascii="宋体"/>
                <w:szCs w:val="21"/>
              </w:rPr>
            </w:pPr>
            <w:r>
              <w:rPr>
                <w:rFonts w:ascii="宋体"/>
                <w:szCs w:val="21"/>
              </w:rPr>
              <w:t>5)</w:t>
            </w:r>
            <w:r>
              <w:rPr>
                <w:rFonts w:ascii="宋体"/>
                <w:szCs w:val="21"/>
              </w:rPr>
              <w:tab/>
            </w:r>
            <w:r>
              <w:rPr>
                <w:rFonts w:ascii="宋体"/>
                <w:szCs w:val="21"/>
              </w:rPr>
              <w:t>防护等级： IP4X</w:t>
            </w:r>
          </w:p>
          <w:p>
            <w:pPr>
              <w:ind w:firstLine="420" w:firstLineChars="200"/>
              <w:rPr>
                <w:rFonts w:ascii="宋体"/>
                <w:szCs w:val="21"/>
              </w:rPr>
            </w:pPr>
            <w:r>
              <w:rPr>
                <w:rFonts w:ascii="宋体"/>
                <w:szCs w:val="21"/>
              </w:rPr>
              <w:t>6)</w:t>
            </w:r>
            <w:r>
              <w:rPr>
                <w:rFonts w:ascii="宋体"/>
                <w:szCs w:val="21"/>
              </w:rPr>
              <w:tab/>
            </w:r>
            <w:r>
              <w:rPr>
                <w:rFonts w:ascii="宋体"/>
                <w:szCs w:val="21"/>
              </w:rPr>
              <w:t>温升：</w:t>
            </w:r>
            <w:r>
              <w:rPr>
                <w:rFonts w:ascii="宋体"/>
                <w:szCs w:val="21"/>
              </w:rPr>
              <w:tab/>
            </w:r>
          </w:p>
          <w:p>
            <w:pPr>
              <w:ind w:firstLine="630" w:firstLineChars="300"/>
              <w:rPr>
                <w:rFonts w:ascii="宋体"/>
                <w:szCs w:val="21"/>
              </w:rPr>
            </w:pPr>
            <w:r>
              <w:rPr>
                <w:rFonts w:ascii="宋体"/>
                <w:szCs w:val="21"/>
              </w:rPr>
              <w:t>a)</w:t>
            </w:r>
            <w:r>
              <w:rPr>
                <w:rFonts w:ascii="宋体"/>
                <w:szCs w:val="21"/>
              </w:rPr>
              <w:tab/>
            </w:r>
            <w:r>
              <w:rPr>
                <w:rFonts w:ascii="宋体"/>
                <w:szCs w:val="21"/>
              </w:rPr>
              <w:t>可触及的外壳和盖板</w:t>
            </w:r>
            <w:r>
              <w:rPr>
                <w:rFonts w:ascii="宋体"/>
                <w:szCs w:val="21"/>
              </w:rPr>
              <w:tab/>
            </w:r>
            <w:r>
              <w:rPr>
                <w:rFonts w:ascii="宋体"/>
                <w:szCs w:val="21"/>
              </w:rPr>
              <w:t>≤30K；</w:t>
            </w:r>
          </w:p>
          <w:p>
            <w:pPr>
              <w:ind w:firstLine="630" w:firstLineChars="300"/>
              <w:rPr>
                <w:rFonts w:ascii="宋体"/>
                <w:szCs w:val="21"/>
              </w:rPr>
            </w:pPr>
            <w:r>
              <w:rPr>
                <w:rFonts w:ascii="宋体"/>
                <w:szCs w:val="21"/>
              </w:rPr>
              <w:t>b)</w:t>
            </w:r>
            <w:r>
              <w:rPr>
                <w:rFonts w:ascii="宋体"/>
                <w:szCs w:val="21"/>
              </w:rPr>
              <w:tab/>
            </w:r>
            <w:r>
              <w:rPr>
                <w:rFonts w:ascii="宋体"/>
                <w:szCs w:val="21"/>
              </w:rPr>
              <w:t>可触及而在正常运行时又无需触及的外壳和盖板≤40K；</w:t>
            </w:r>
          </w:p>
          <w:p>
            <w:pPr>
              <w:ind w:firstLine="420" w:firstLineChars="200"/>
              <w:rPr>
                <w:rFonts w:ascii="宋体"/>
                <w:szCs w:val="21"/>
              </w:rPr>
            </w:pPr>
            <w:r>
              <w:rPr>
                <w:rFonts w:ascii="宋体"/>
                <w:szCs w:val="21"/>
              </w:rPr>
              <w:t>7)</w:t>
            </w:r>
            <w:r>
              <w:rPr>
                <w:rFonts w:ascii="宋体"/>
                <w:szCs w:val="21"/>
              </w:rPr>
              <w:tab/>
            </w:r>
            <w:r>
              <w:rPr>
                <w:rFonts w:ascii="宋体"/>
                <w:szCs w:val="21"/>
              </w:rPr>
              <w:t>辅助电源电压</w:t>
            </w:r>
          </w:p>
          <w:p>
            <w:pPr>
              <w:ind w:firstLine="630" w:firstLineChars="300"/>
              <w:rPr>
                <w:rFonts w:ascii="宋体"/>
                <w:szCs w:val="21"/>
              </w:rPr>
            </w:pPr>
            <w:r>
              <w:rPr>
                <w:rFonts w:ascii="宋体"/>
                <w:szCs w:val="21"/>
              </w:rPr>
              <w:t>a)</w:t>
            </w:r>
            <w:r>
              <w:rPr>
                <w:rFonts w:ascii="宋体"/>
                <w:szCs w:val="21"/>
              </w:rPr>
              <w:tab/>
            </w:r>
            <w:r>
              <w:rPr>
                <w:rFonts w:ascii="宋体"/>
                <w:szCs w:val="21"/>
              </w:rPr>
              <w:t>柜内照明采用AC220V；</w:t>
            </w:r>
          </w:p>
          <w:p>
            <w:pPr>
              <w:ind w:firstLine="630" w:firstLineChars="300"/>
              <w:rPr>
                <w:rFonts w:ascii="宋体"/>
                <w:szCs w:val="21"/>
              </w:rPr>
            </w:pPr>
            <w:r>
              <w:rPr>
                <w:rFonts w:ascii="宋体"/>
                <w:szCs w:val="21"/>
              </w:rPr>
              <w:t>b)</w:t>
            </w:r>
            <w:r>
              <w:rPr>
                <w:rFonts w:ascii="宋体"/>
                <w:szCs w:val="21"/>
              </w:rPr>
              <w:tab/>
            </w:r>
            <w:r>
              <w:rPr>
                <w:rFonts w:ascii="宋体"/>
                <w:szCs w:val="21"/>
              </w:rPr>
              <w:t>控制电源：AC220V；</w:t>
            </w:r>
          </w:p>
          <w:p>
            <w:pPr>
              <w:rPr>
                <w:rFonts w:ascii="宋体"/>
                <w:b/>
                <w:bCs/>
                <w:szCs w:val="21"/>
              </w:rPr>
            </w:pPr>
            <w:r>
              <w:rPr>
                <w:rFonts w:hint="eastAsia" w:ascii="宋体"/>
                <w:b/>
                <w:bCs/>
                <w:szCs w:val="21"/>
              </w:rPr>
              <w:t>4、</w:t>
            </w:r>
            <w:r>
              <w:rPr>
                <w:rFonts w:ascii="宋体"/>
                <w:b/>
                <w:bCs/>
                <w:szCs w:val="21"/>
              </w:rPr>
              <w:t>智能中压开关柜组件技术要求</w:t>
            </w:r>
          </w:p>
          <w:p>
            <w:pPr>
              <w:rPr>
                <w:rFonts w:ascii="宋体"/>
                <w:szCs w:val="21"/>
              </w:rPr>
            </w:pPr>
            <w:r>
              <w:rPr>
                <w:rFonts w:ascii="宋体"/>
                <w:szCs w:val="21"/>
              </w:rPr>
              <w:t>4.1 断路器</w:t>
            </w:r>
          </w:p>
          <w:p>
            <w:pPr>
              <w:ind w:firstLine="420" w:firstLineChars="200"/>
              <w:rPr>
                <w:rFonts w:ascii="宋体"/>
                <w:szCs w:val="21"/>
              </w:rPr>
            </w:pPr>
            <w:r>
              <w:rPr>
                <w:rFonts w:hint="eastAsia" w:ascii="宋体"/>
                <w:szCs w:val="21"/>
              </w:rPr>
              <w:t>智能中压进线柜和馈线柜内均具有断路器，断路器技术要求如下：</w:t>
            </w:r>
          </w:p>
          <w:p>
            <w:pPr>
              <w:ind w:firstLine="420" w:firstLineChars="200"/>
              <w:rPr>
                <w:rFonts w:ascii="宋体"/>
                <w:szCs w:val="21"/>
              </w:rPr>
            </w:pPr>
            <w:r>
              <w:rPr>
                <w:rFonts w:ascii="宋体"/>
                <w:szCs w:val="21"/>
              </w:rPr>
              <w:t>1)</w:t>
            </w:r>
            <w:r>
              <w:rPr>
                <w:rFonts w:ascii="宋体"/>
                <w:szCs w:val="21"/>
              </w:rPr>
              <w:tab/>
            </w:r>
            <w:r>
              <w:rPr>
                <w:rFonts w:ascii="宋体"/>
                <w:szCs w:val="21"/>
              </w:rPr>
              <w:t>型式:真空断路器</w:t>
            </w:r>
          </w:p>
          <w:p>
            <w:pPr>
              <w:ind w:firstLine="420" w:firstLineChars="200"/>
              <w:rPr>
                <w:rFonts w:ascii="宋体"/>
                <w:szCs w:val="21"/>
              </w:rPr>
            </w:pPr>
            <w:r>
              <w:rPr>
                <w:rFonts w:ascii="宋体"/>
                <w:szCs w:val="21"/>
              </w:rPr>
              <w:t>2)</w:t>
            </w:r>
            <w:r>
              <w:rPr>
                <w:rFonts w:ascii="宋体"/>
                <w:szCs w:val="21"/>
              </w:rPr>
              <w:tab/>
            </w:r>
            <w:r>
              <w:rPr>
                <w:rFonts w:ascii="宋体"/>
                <w:szCs w:val="21"/>
              </w:rPr>
              <w:t>技术参数</w:t>
            </w:r>
          </w:p>
          <w:p>
            <w:pPr>
              <w:ind w:firstLine="630" w:firstLineChars="300"/>
              <w:rPr>
                <w:rFonts w:ascii="宋体"/>
                <w:szCs w:val="21"/>
              </w:rPr>
            </w:pPr>
            <w:r>
              <w:rPr>
                <w:rFonts w:ascii="宋体"/>
                <w:szCs w:val="21"/>
              </w:rPr>
              <w:t>a)</w:t>
            </w:r>
            <w:r>
              <w:rPr>
                <w:rFonts w:ascii="宋体"/>
                <w:szCs w:val="21"/>
              </w:rPr>
              <w:tab/>
            </w:r>
            <w:r>
              <w:rPr>
                <w:rFonts w:ascii="宋体"/>
                <w:szCs w:val="21"/>
              </w:rPr>
              <w:t>额定电压：12kV</w:t>
            </w:r>
          </w:p>
          <w:p>
            <w:pPr>
              <w:ind w:firstLine="630" w:firstLineChars="300"/>
              <w:rPr>
                <w:rFonts w:ascii="宋体"/>
                <w:szCs w:val="21"/>
              </w:rPr>
            </w:pPr>
            <w:r>
              <w:rPr>
                <w:rFonts w:ascii="宋体"/>
                <w:szCs w:val="21"/>
              </w:rPr>
              <w:t>b)</w:t>
            </w:r>
            <w:r>
              <w:rPr>
                <w:rFonts w:ascii="宋体"/>
                <w:szCs w:val="21"/>
              </w:rPr>
              <w:tab/>
            </w:r>
            <w:r>
              <w:rPr>
                <w:rFonts w:ascii="宋体"/>
                <w:szCs w:val="21"/>
              </w:rPr>
              <w:t>使用地点绝缘水平</w:t>
            </w:r>
          </w:p>
          <w:p>
            <w:pPr>
              <w:ind w:firstLine="630" w:firstLineChars="300"/>
              <w:rPr>
                <w:rFonts w:ascii="宋体"/>
                <w:szCs w:val="21"/>
              </w:rPr>
            </w:pPr>
            <w:r>
              <w:rPr>
                <w:rFonts w:ascii="宋体"/>
                <w:szCs w:val="21"/>
              </w:rPr>
              <w:t>c)</w:t>
            </w:r>
            <w:r>
              <w:rPr>
                <w:rFonts w:ascii="宋体"/>
                <w:szCs w:val="21"/>
              </w:rPr>
              <w:tab/>
            </w:r>
            <w:r>
              <w:rPr>
                <w:rFonts w:ascii="宋体"/>
                <w:szCs w:val="21"/>
              </w:rPr>
              <w:t>工频耐受电压(1min，干燥状态)</w:t>
            </w:r>
          </w:p>
          <w:p>
            <w:pPr>
              <w:ind w:firstLine="420" w:firstLineChars="200"/>
              <w:rPr>
                <w:rFonts w:ascii="宋体"/>
                <w:szCs w:val="21"/>
              </w:rPr>
            </w:pPr>
            <w:r>
              <w:rPr>
                <w:rFonts w:hint="eastAsia" w:ascii="宋体"/>
                <w:szCs w:val="21"/>
              </w:rPr>
              <w:t>相对地和相间：≥</w:t>
            </w:r>
            <w:r>
              <w:rPr>
                <w:rFonts w:ascii="宋体"/>
                <w:szCs w:val="21"/>
              </w:rPr>
              <w:t xml:space="preserve"> 42kV </w:t>
            </w:r>
          </w:p>
          <w:p>
            <w:pPr>
              <w:ind w:firstLine="420" w:firstLineChars="200"/>
              <w:rPr>
                <w:rFonts w:ascii="宋体"/>
                <w:szCs w:val="21"/>
              </w:rPr>
            </w:pPr>
            <w:r>
              <w:rPr>
                <w:rFonts w:hint="eastAsia" w:ascii="宋体"/>
                <w:szCs w:val="21"/>
              </w:rPr>
              <w:t>隔离断口间</w:t>
            </w:r>
            <w:r>
              <w:rPr>
                <w:rFonts w:ascii="宋体"/>
                <w:szCs w:val="21"/>
              </w:rPr>
              <w:tab/>
            </w:r>
            <w:r>
              <w:rPr>
                <w:rFonts w:ascii="宋体"/>
                <w:szCs w:val="21"/>
              </w:rPr>
              <w:t>：≥48kV</w:t>
            </w:r>
          </w:p>
          <w:p>
            <w:pPr>
              <w:ind w:firstLine="630" w:firstLineChars="300"/>
              <w:rPr>
                <w:rFonts w:ascii="宋体"/>
                <w:szCs w:val="21"/>
              </w:rPr>
            </w:pPr>
            <w:r>
              <w:rPr>
                <w:rFonts w:ascii="宋体"/>
                <w:szCs w:val="21"/>
              </w:rPr>
              <w:t>d)</w:t>
            </w:r>
            <w:r>
              <w:rPr>
                <w:rFonts w:ascii="宋体"/>
                <w:szCs w:val="21"/>
              </w:rPr>
              <w:tab/>
            </w:r>
            <w:r>
              <w:rPr>
                <w:rFonts w:ascii="宋体"/>
                <w:szCs w:val="21"/>
              </w:rPr>
              <w:t>额定雷电冲击耐受电压</w:t>
            </w:r>
          </w:p>
          <w:p>
            <w:pPr>
              <w:ind w:firstLine="420" w:firstLineChars="200"/>
              <w:rPr>
                <w:rFonts w:ascii="宋体"/>
                <w:szCs w:val="21"/>
              </w:rPr>
            </w:pPr>
            <w:r>
              <w:rPr>
                <w:rFonts w:hint="eastAsia" w:ascii="宋体"/>
                <w:szCs w:val="21"/>
              </w:rPr>
              <w:t>相对地和相间：≥</w:t>
            </w:r>
            <w:r>
              <w:rPr>
                <w:rFonts w:ascii="宋体"/>
                <w:szCs w:val="21"/>
              </w:rPr>
              <w:t>75kV</w:t>
            </w:r>
          </w:p>
          <w:p>
            <w:pPr>
              <w:ind w:firstLine="420" w:firstLineChars="200"/>
              <w:rPr>
                <w:rFonts w:ascii="宋体"/>
                <w:szCs w:val="21"/>
              </w:rPr>
            </w:pPr>
            <w:r>
              <w:rPr>
                <w:rFonts w:hint="eastAsia" w:ascii="宋体"/>
                <w:szCs w:val="21"/>
              </w:rPr>
              <w:t>隔离断口间：≥</w:t>
            </w:r>
            <w:r>
              <w:rPr>
                <w:rFonts w:ascii="宋体"/>
                <w:szCs w:val="21"/>
              </w:rPr>
              <w:tab/>
            </w:r>
            <w:r>
              <w:rPr>
                <w:rFonts w:ascii="宋体"/>
                <w:szCs w:val="21"/>
              </w:rPr>
              <w:t>85kV</w:t>
            </w:r>
          </w:p>
          <w:p>
            <w:pPr>
              <w:ind w:firstLine="630" w:firstLineChars="300"/>
              <w:rPr>
                <w:rFonts w:ascii="宋体"/>
                <w:szCs w:val="21"/>
              </w:rPr>
            </w:pPr>
            <w:r>
              <w:rPr>
                <w:rFonts w:ascii="宋体"/>
                <w:szCs w:val="21"/>
              </w:rPr>
              <w:t>e)</w:t>
            </w:r>
            <w:r>
              <w:rPr>
                <w:rFonts w:ascii="宋体"/>
                <w:szCs w:val="21"/>
              </w:rPr>
              <w:tab/>
            </w:r>
            <w:r>
              <w:rPr>
                <w:rFonts w:ascii="宋体"/>
                <w:szCs w:val="21"/>
              </w:rPr>
              <w:t xml:space="preserve">   额定频率：50Hz</w:t>
            </w:r>
          </w:p>
          <w:p>
            <w:pPr>
              <w:ind w:firstLine="630" w:firstLineChars="300"/>
              <w:rPr>
                <w:rFonts w:ascii="宋体"/>
                <w:szCs w:val="21"/>
              </w:rPr>
            </w:pPr>
            <w:r>
              <w:rPr>
                <w:rFonts w:ascii="宋体"/>
                <w:szCs w:val="21"/>
              </w:rPr>
              <w:t>f)</w:t>
            </w:r>
            <w:r>
              <w:rPr>
                <w:rFonts w:ascii="宋体"/>
                <w:szCs w:val="21"/>
              </w:rPr>
              <w:tab/>
            </w:r>
            <w:r>
              <w:rPr>
                <w:rFonts w:ascii="宋体"/>
                <w:szCs w:val="21"/>
              </w:rPr>
              <w:t xml:space="preserve">   额定操作顺序：O-0.3s-CO-180s-CO</w:t>
            </w:r>
          </w:p>
          <w:p>
            <w:pPr>
              <w:ind w:firstLine="630" w:firstLineChars="300"/>
              <w:rPr>
                <w:rFonts w:ascii="宋体"/>
                <w:szCs w:val="21"/>
              </w:rPr>
            </w:pPr>
            <w:r>
              <w:rPr>
                <w:rFonts w:ascii="宋体"/>
                <w:szCs w:val="21"/>
              </w:rPr>
              <w:t>g)</w:t>
            </w:r>
            <w:r>
              <w:rPr>
                <w:rFonts w:ascii="宋体"/>
                <w:szCs w:val="21"/>
              </w:rPr>
              <w:tab/>
            </w:r>
            <w:r>
              <w:rPr>
                <w:rFonts w:ascii="宋体"/>
                <w:szCs w:val="21"/>
              </w:rPr>
              <w:t>电寿命 满容量30次</w:t>
            </w:r>
          </w:p>
          <w:p>
            <w:pPr>
              <w:ind w:firstLine="630" w:firstLineChars="300"/>
              <w:rPr>
                <w:rFonts w:ascii="宋体"/>
                <w:szCs w:val="21"/>
              </w:rPr>
            </w:pPr>
            <w:r>
              <w:rPr>
                <w:rFonts w:ascii="宋体"/>
                <w:szCs w:val="21"/>
              </w:rPr>
              <w:t>h)</w:t>
            </w:r>
            <w:r>
              <w:rPr>
                <w:rFonts w:ascii="宋体"/>
                <w:szCs w:val="21"/>
              </w:rPr>
              <w:tab/>
            </w:r>
            <w:r>
              <w:rPr>
                <w:rFonts w:ascii="宋体"/>
                <w:szCs w:val="21"/>
              </w:rPr>
              <w:t>机械寿命≥30000次</w:t>
            </w:r>
          </w:p>
          <w:p>
            <w:pPr>
              <w:ind w:firstLine="630" w:firstLineChars="300"/>
              <w:rPr>
                <w:rFonts w:ascii="宋体"/>
                <w:szCs w:val="21"/>
              </w:rPr>
            </w:pPr>
            <w:r>
              <w:rPr>
                <w:rFonts w:ascii="宋体"/>
                <w:szCs w:val="21"/>
              </w:rPr>
              <w:t>i)</w:t>
            </w:r>
            <w:r>
              <w:rPr>
                <w:rFonts w:ascii="宋体"/>
                <w:szCs w:val="21"/>
              </w:rPr>
              <w:tab/>
            </w:r>
            <w:r>
              <w:rPr>
                <w:rFonts w:ascii="宋体"/>
                <w:szCs w:val="21"/>
              </w:rPr>
              <w:t>额定短路开断电流直流分量百分比</w:t>
            </w:r>
            <w:r>
              <w:rPr>
                <w:rFonts w:ascii="宋体"/>
                <w:szCs w:val="21"/>
              </w:rPr>
              <w:tab/>
            </w:r>
            <w:r>
              <w:rPr>
                <w:rFonts w:ascii="宋体"/>
                <w:szCs w:val="21"/>
              </w:rPr>
              <w:t>45%</w:t>
            </w:r>
          </w:p>
          <w:p>
            <w:pPr>
              <w:ind w:firstLine="630" w:firstLineChars="300"/>
              <w:rPr>
                <w:rFonts w:ascii="宋体"/>
                <w:szCs w:val="21"/>
              </w:rPr>
            </w:pPr>
            <w:r>
              <w:rPr>
                <w:rFonts w:ascii="宋体"/>
                <w:szCs w:val="21"/>
              </w:rPr>
              <w:t>j)</w:t>
            </w:r>
            <w:r>
              <w:rPr>
                <w:rFonts w:ascii="宋体"/>
                <w:szCs w:val="21"/>
              </w:rPr>
              <w:tab/>
            </w:r>
            <w:r>
              <w:rPr>
                <w:rFonts w:ascii="宋体"/>
                <w:szCs w:val="21"/>
              </w:rPr>
              <w:t>储能电机输出功率</w:t>
            </w:r>
            <w:r>
              <w:rPr>
                <w:rFonts w:ascii="宋体"/>
                <w:szCs w:val="21"/>
              </w:rPr>
              <w:tab/>
            </w:r>
            <w:r>
              <w:rPr>
                <w:rFonts w:ascii="宋体"/>
                <w:szCs w:val="21"/>
              </w:rPr>
              <w:t>≤100W</w:t>
            </w:r>
          </w:p>
          <w:p>
            <w:pPr>
              <w:ind w:firstLine="630" w:firstLineChars="300"/>
              <w:rPr>
                <w:rFonts w:ascii="宋体"/>
                <w:szCs w:val="21"/>
              </w:rPr>
            </w:pPr>
            <w:r>
              <w:rPr>
                <w:rFonts w:ascii="宋体"/>
                <w:szCs w:val="21"/>
              </w:rPr>
              <w:t>k)</w:t>
            </w:r>
            <w:r>
              <w:rPr>
                <w:rFonts w:ascii="宋体"/>
                <w:szCs w:val="21"/>
              </w:rPr>
              <w:tab/>
            </w:r>
            <w:r>
              <w:rPr>
                <w:rFonts w:ascii="宋体"/>
                <w:szCs w:val="21"/>
              </w:rPr>
              <w:t>储能时间：4-12秒</w:t>
            </w:r>
          </w:p>
          <w:p>
            <w:pPr>
              <w:ind w:firstLine="420" w:firstLineChars="200"/>
              <w:rPr>
                <w:rFonts w:ascii="宋体"/>
                <w:szCs w:val="21"/>
              </w:rPr>
            </w:pPr>
            <w:r>
              <w:rPr>
                <w:rFonts w:ascii="宋体"/>
                <w:szCs w:val="21"/>
              </w:rPr>
              <w:t>l)</w:t>
            </w:r>
            <w:r>
              <w:rPr>
                <w:rFonts w:ascii="宋体"/>
                <w:szCs w:val="21"/>
              </w:rPr>
              <w:tab/>
            </w:r>
            <w:r>
              <w:rPr>
                <w:rFonts w:ascii="宋体"/>
                <w:szCs w:val="21"/>
              </w:rPr>
              <w:t>切电容能力要求</w:t>
            </w:r>
          </w:p>
          <w:p>
            <w:pPr>
              <w:ind w:firstLine="420" w:firstLineChars="200"/>
              <w:rPr>
                <w:rFonts w:ascii="宋体"/>
                <w:szCs w:val="21"/>
              </w:rPr>
            </w:pPr>
            <w:r>
              <w:rPr>
                <w:rFonts w:ascii="宋体"/>
                <w:szCs w:val="21"/>
              </w:rPr>
              <w:t>3)</w:t>
            </w:r>
            <w:r>
              <w:rPr>
                <w:rFonts w:ascii="宋体"/>
                <w:szCs w:val="21"/>
              </w:rPr>
              <w:tab/>
            </w:r>
            <w:r>
              <w:rPr>
                <w:rFonts w:ascii="宋体"/>
                <w:szCs w:val="21"/>
              </w:rPr>
              <w:t>真空灭弧室额定参数</w:t>
            </w:r>
          </w:p>
          <w:p>
            <w:pPr>
              <w:ind w:firstLine="630" w:firstLineChars="300"/>
              <w:rPr>
                <w:rFonts w:ascii="宋体"/>
                <w:szCs w:val="21"/>
              </w:rPr>
            </w:pPr>
            <w:r>
              <w:rPr>
                <w:rFonts w:ascii="宋体"/>
                <w:szCs w:val="21"/>
              </w:rPr>
              <w:t>a)</w:t>
            </w:r>
            <w:r>
              <w:rPr>
                <w:rFonts w:ascii="宋体"/>
                <w:szCs w:val="21"/>
              </w:rPr>
              <w:tab/>
            </w:r>
            <w:r>
              <w:rPr>
                <w:rFonts w:ascii="宋体"/>
                <w:szCs w:val="21"/>
              </w:rPr>
              <w:t>真空灭弧室老练试验要求：电流老练+电压老练；</w:t>
            </w:r>
          </w:p>
          <w:p>
            <w:pPr>
              <w:ind w:firstLine="630" w:firstLineChars="300"/>
              <w:rPr>
                <w:rFonts w:ascii="宋体"/>
                <w:szCs w:val="21"/>
              </w:rPr>
            </w:pPr>
            <w:r>
              <w:rPr>
                <w:rFonts w:ascii="宋体"/>
                <w:szCs w:val="21"/>
              </w:rPr>
              <w:t>b)</w:t>
            </w:r>
            <w:r>
              <w:rPr>
                <w:rFonts w:ascii="宋体"/>
                <w:szCs w:val="21"/>
              </w:rPr>
              <w:tab/>
            </w:r>
            <w:r>
              <w:rPr>
                <w:rFonts w:ascii="宋体"/>
                <w:szCs w:val="21"/>
              </w:rPr>
              <w:t>要求电流值不低于2kA, 电压值不低于120kV；</w:t>
            </w:r>
          </w:p>
          <w:p>
            <w:pPr>
              <w:ind w:firstLine="630" w:firstLineChars="300"/>
              <w:rPr>
                <w:rFonts w:ascii="宋体"/>
                <w:szCs w:val="21"/>
              </w:rPr>
            </w:pPr>
            <w:r>
              <w:rPr>
                <w:rFonts w:ascii="宋体"/>
                <w:szCs w:val="21"/>
              </w:rPr>
              <w:t>c)</w:t>
            </w:r>
            <w:r>
              <w:rPr>
                <w:rFonts w:ascii="宋体"/>
                <w:szCs w:val="21"/>
              </w:rPr>
              <w:tab/>
            </w:r>
            <w:r>
              <w:rPr>
                <w:rFonts w:ascii="宋体"/>
                <w:szCs w:val="21"/>
              </w:rPr>
              <w:t>真空灭弧室要求采用一次封排工艺，无需任何部件焊接，100％冲击耐压测试，以保证真空断路器的运行可靠性。</w:t>
            </w:r>
          </w:p>
          <w:p>
            <w:pPr>
              <w:ind w:firstLine="420" w:firstLineChars="200"/>
              <w:rPr>
                <w:rFonts w:ascii="宋体"/>
                <w:szCs w:val="21"/>
              </w:rPr>
            </w:pPr>
            <w:r>
              <w:rPr>
                <w:rFonts w:ascii="宋体"/>
                <w:szCs w:val="21"/>
              </w:rPr>
              <w:t>4)</w:t>
            </w:r>
            <w:r>
              <w:rPr>
                <w:rFonts w:ascii="宋体"/>
                <w:szCs w:val="21"/>
              </w:rPr>
              <w:tab/>
            </w:r>
            <w:r>
              <w:rPr>
                <w:rFonts w:ascii="宋体"/>
                <w:szCs w:val="21"/>
              </w:rPr>
              <w:t>真空断路器结构和技术要求</w:t>
            </w:r>
          </w:p>
          <w:p>
            <w:pPr>
              <w:ind w:firstLine="630" w:firstLineChars="300"/>
              <w:rPr>
                <w:rFonts w:ascii="宋体"/>
                <w:szCs w:val="21"/>
              </w:rPr>
            </w:pPr>
            <w:r>
              <w:rPr>
                <w:rFonts w:ascii="宋体"/>
                <w:szCs w:val="21"/>
              </w:rPr>
              <w:t>a)</w:t>
            </w:r>
            <w:r>
              <w:rPr>
                <w:rFonts w:ascii="宋体"/>
                <w:szCs w:val="21"/>
              </w:rPr>
              <w:tab/>
            </w:r>
            <w:r>
              <w:rPr>
                <w:rFonts w:ascii="宋体"/>
                <w:szCs w:val="21"/>
              </w:rPr>
              <w:t>断路器极柱部分应采用环氧树脂全固封结构，以适应复杂环境并减小局放值。</w:t>
            </w:r>
          </w:p>
          <w:p>
            <w:pPr>
              <w:ind w:firstLine="630" w:firstLineChars="300"/>
              <w:rPr>
                <w:rFonts w:ascii="宋体"/>
                <w:szCs w:val="21"/>
              </w:rPr>
            </w:pPr>
            <w:r>
              <w:rPr>
                <w:rFonts w:ascii="宋体"/>
                <w:szCs w:val="21"/>
              </w:rPr>
              <w:t>b)</w:t>
            </w:r>
            <w:r>
              <w:rPr>
                <w:rFonts w:ascii="宋体"/>
                <w:szCs w:val="21"/>
              </w:rPr>
              <w:tab/>
            </w:r>
            <w:r>
              <w:rPr>
                <w:rFonts w:ascii="宋体"/>
                <w:szCs w:val="21"/>
              </w:rPr>
              <w:t>操动机构采用与断路器一体化的弹簧储能操动机构，机构应结构紧凑、性能稳定。弹簧的储能方式为电动和手动两种方式。操动机构储能电机电源和断路器的控制电源应能采用DC220V或AC220V供电。</w:t>
            </w:r>
          </w:p>
          <w:p>
            <w:pPr>
              <w:ind w:firstLine="630" w:firstLineChars="300"/>
              <w:rPr>
                <w:rFonts w:ascii="宋体"/>
                <w:szCs w:val="21"/>
              </w:rPr>
            </w:pPr>
            <w:r>
              <w:rPr>
                <w:rFonts w:ascii="宋体"/>
                <w:szCs w:val="21"/>
              </w:rPr>
              <w:t>c)</w:t>
            </w:r>
            <w:r>
              <w:rPr>
                <w:rFonts w:ascii="宋体"/>
                <w:szCs w:val="21"/>
              </w:rPr>
              <w:tab/>
            </w:r>
            <w:r>
              <w:rPr>
                <w:rFonts w:ascii="宋体"/>
                <w:szCs w:val="21"/>
              </w:rPr>
              <w:t>真空断路器上应装设操作次数计数器。</w:t>
            </w:r>
          </w:p>
          <w:p>
            <w:pPr>
              <w:ind w:firstLine="630" w:firstLineChars="300"/>
              <w:rPr>
                <w:rFonts w:ascii="宋体"/>
                <w:szCs w:val="21"/>
              </w:rPr>
            </w:pPr>
            <w:r>
              <w:rPr>
                <w:rFonts w:ascii="宋体"/>
                <w:szCs w:val="21"/>
              </w:rPr>
              <w:t>d)</w:t>
            </w:r>
            <w:r>
              <w:rPr>
                <w:rFonts w:ascii="宋体"/>
                <w:szCs w:val="21"/>
              </w:rPr>
              <w:tab/>
            </w:r>
            <w:r>
              <w:rPr>
                <w:rFonts w:ascii="宋体"/>
                <w:szCs w:val="21"/>
              </w:rPr>
              <w:t>操动机构应具有完备的电气防跳跃回路、自保持功能、跳/合闸位置监视、电源监视。并能防止因控制回路的电磁干扰、振动等引起的误操作。</w:t>
            </w:r>
          </w:p>
          <w:p>
            <w:pPr>
              <w:ind w:firstLine="630" w:firstLineChars="300"/>
              <w:rPr>
                <w:rFonts w:ascii="宋体"/>
                <w:szCs w:val="21"/>
              </w:rPr>
            </w:pPr>
            <w:r>
              <w:rPr>
                <w:rFonts w:ascii="宋体"/>
                <w:szCs w:val="21"/>
              </w:rPr>
              <w:t>e)</w:t>
            </w:r>
            <w:r>
              <w:rPr>
                <w:rFonts w:ascii="宋体"/>
                <w:szCs w:val="21"/>
              </w:rPr>
              <w:tab/>
            </w:r>
            <w:r>
              <w:rPr>
                <w:rFonts w:ascii="宋体"/>
                <w:szCs w:val="21"/>
              </w:rPr>
              <w:t>真空断路器应装设分、合闸按钮和分、合闸指示器。</w:t>
            </w:r>
          </w:p>
          <w:p>
            <w:pPr>
              <w:ind w:firstLine="630" w:firstLineChars="300"/>
              <w:rPr>
                <w:rFonts w:ascii="宋体"/>
                <w:szCs w:val="21"/>
              </w:rPr>
            </w:pPr>
            <w:r>
              <w:rPr>
                <w:rFonts w:ascii="宋体"/>
                <w:szCs w:val="21"/>
              </w:rPr>
              <w:t>f)</w:t>
            </w:r>
            <w:r>
              <w:rPr>
                <w:rFonts w:ascii="宋体"/>
                <w:szCs w:val="21"/>
              </w:rPr>
              <w:tab/>
            </w:r>
            <w:r>
              <w:rPr>
                <w:rFonts w:ascii="宋体"/>
                <w:szCs w:val="21"/>
              </w:rPr>
              <w:t>真空断路器接地金属外壳上应装有导电性能良好、直径为不小于12mm的防锈接地螺钉。接地点附近应标有接地符号。</w:t>
            </w:r>
          </w:p>
          <w:p>
            <w:pPr>
              <w:ind w:firstLine="630" w:firstLineChars="300"/>
              <w:rPr>
                <w:rFonts w:ascii="宋体"/>
                <w:szCs w:val="21"/>
              </w:rPr>
            </w:pPr>
            <w:r>
              <w:rPr>
                <w:rFonts w:ascii="宋体"/>
                <w:szCs w:val="21"/>
              </w:rPr>
              <w:t>g)</w:t>
            </w:r>
            <w:r>
              <w:rPr>
                <w:rFonts w:ascii="宋体"/>
                <w:szCs w:val="21"/>
              </w:rPr>
              <w:tab/>
            </w:r>
            <w:r>
              <w:rPr>
                <w:rFonts w:ascii="宋体"/>
                <w:szCs w:val="21"/>
              </w:rPr>
              <w:t>操动机构的二次回路及元件应能耐受工频电压2kV/1min。</w:t>
            </w:r>
          </w:p>
          <w:p>
            <w:pPr>
              <w:ind w:firstLine="630" w:firstLineChars="300"/>
              <w:rPr>
                <w:rFonts w:ascii="宋体"/>
                <w:szCs w:val="21"/>
              </w:rPr>
            </w:pPr>
            <w:r>
              <w:rPr>
                <w:rFonts w:ascii="宋体"/>
                <w:szCs w:val="21"/>
              </w:rPr>
              <w:t>h)</w:t>
            </w:r>
            <w:r>
              <w:rPr>
                <w:rFonts w:ascii="宋体"/>
                <w:szCs w:val="21"/>
              </w:rPr>
              <w:tab/>
            </w:r>
            <w:r>
              <w:rPr>
                <w:rFonts w:ascii="宋体"/>
                <w:szCs w:val="21"/>
              </w:rPr>
              <w:t>操动机构的各种线圈（电动机绕组和接触器除外）的匝间绝缘应能耐受2.5倍额定电压（直流线圈）或3.5倍额定电压（交流线圈）1min感应耐压试验。</w:t>
            </w:r>
          </w:p>
          <w:p>
            <w:pPr>
              <w:ind w:firstLine="630" w:firstLineChars="300"/>
              <w:rPr>
                <w:rFonts w:ascii="宋体"/>
                <w:szCs w:val="21"/>
              </w:rPr>
            </w:pPr>
            <w:r>
              <w:rPr>
                <w:rFonts w:ascii="宋体"/>
                <w:szCs w:val="21"/>
              </w:rPr>
              <w:t>i)</w:t>
            </w:r>
            <w:r>
              <w:rPr>
                <w:rFonts w:ascii="宋体"/>
                <w:szCs w:val="21"/>
              </w:rPr>
              <w:tab/>
            </w:r>
            <w:r>
              <w:rPr>
                <w:rFonts w:ascii="宋体"/>
                <w:szCs w:val="21"/>
              </w:rPr>
              <w:t>断路器至少应提供8常开、8常闭无源辅助接点，以满足开关柜内和柜间的闭锁和操作、并留有4常开、4常闭无源辅助接点供计算机监控系统和外部其它系统用。</w:t>
            </w:r>
          </w:p>
          <w:p>
            <w:pPr>
              <w:ind w:firstLine="630" w:firstLineChars="300"/>
              <w:rPr>
                <w:rFonts w:ascii="宋体"/>
                <w:szCs w:val="21"/>
              </w:rPr>
            </w:pPr>
            <w:r>
              <w:rPr>
                <w:rFonts w:ascii="宋体"/>
                <w:szCs w:val="21"/>
              </w:rPr>
              <w:t>j)</w:t>
            </w:r>
            <w:r>
              <w:rPr>
                <w:rFonts w:ascii="宋体"/>
                <w:szCs w:val="21"/>
              </w:rPr>
              <w:tab/>
            </w:r>
            <w:r>
              <w:rPr>
                <w:rFonts w:ascii="宋体"/>
                <w:szCs w:val="21"/>
              </w:rPr>
              <w:t>辅助接点容量为：220VDC 5A。</w:t>
            </w:r>
          </w:p>
          <w:p>
            <w:pPr>
              <w:ind w:firstLine="630" w:firstLineChars="300"/>
              <w:rPr>
                <w:rFonts w:ascii="宋体"/>
                <w:szCs w:val="21"/>
              </w:rPr>
            </w:pPr>
            <w:r>
              <w:rPr>
                <w:rFonts w:ascii="宋体"/>
                <w:szCs w:val="21"/>
              </w:rPr>
              <w:t>k)</w:t>
            </w:r>
            <w:r>
              <w:rPr>
                <w:rFonts w:ascii="宋体"/>
                <w:szCs w:val="21"/>
              </w:rPr>
              <w:tab/>
            </w:r>
            <w:r>
              <w:rPr>
                <w:rFonts w:ascii="宋体"/>
                <w:szCs w:val="21"/>
              </w:rPr>
              <w:t>应提供储能电机储能及未储能的信号接点。</w:t>
            </w:r>
          </w:p>
          <w:p>
            <w:pPr>
              <w:ind w:firstLine="630" w:firstLineChars="300"/>
              <w:rPr>
                <w:rFonts w:ascii="宋体"/>
                <w:szCs w:val="21"/>
              </w:rPr>
            </w:pPr>
            <w:r>
              <w:rPr>
                <w:rFonts w:ascii="宋体"/>
                <w:szCs w:val="21"/>
              </w:rPr>
              <w:t>l)</w:t>
            </w:r>
            <w:r>
              <w:rPr>
                <w:rFonts w:ascii="宋体"/>
                <w:szCs w:val="21"/>
              </w:rPr>
              <w:tab/>
            </w:r>
            <w:r>
              <w:rPr>
                <w:rFonts w:ascii="宋体"/>
                <w:szCs w:val="21"/>
              </w:rPr>
              <w:t>手车的工作、试验和退出位置接点，除了应满足开关柜的闭锁及操作外、还应提供5常开、5常闭无源接点供计算机监控系统和外部其它系统用。</w:t>
            </w:r>
          </w:p>
          <w:p>
            <w:pPr>
              <w:ind w:firstLine="630" w:firstLineChars="300"/>
              <w:rPr>
                <w:rFonts w:ascii="宋体"/>
                <w:szCs w:val="21"/>
              </w:rPr>
            </w:pPr>
            <w:r>
              <w:rPr>
                <w:rFonts w:ascii="宋体"/>
                <w:szCs w:val="21"/>
              </w:rPr>
              <w:t>m)</w:t>
            </w:r>
            <w:r>
              <w:rPr>
                <w:rFonts w:ascii="宋体"/>
                <w:szCs w:val="21"/>
              </w:rPr>
              <w:tab/>
            </w:r>
            <w:r>
              <w:rPr>
                <w:rFonts w:ascii="宋体"/>
                <w:szCs w:val="21"/>
              </w:rPr>
              <w:t>辅助接点容量为：220VDC 2A。</w:t>
            </w:r>
          </w:p>
          <w:p>
            <w:pPr>
              <w:ind w:firstLine="420" w:firstLineChars="200"/>
              <w:rPr>
                <w:rFonts w:ascii="宋体"/>
                <w:szCs w:val="21"/>
              </w:rPr>
            </w:pPr>
            <w:r>
              <w:rPr>
                <w:rFonts w:ascii="宋体"/>
                <w:szCs w:val="21"/>
              </w:rPr>
              <w:t>5)</w:t>
            </w:r>
            <w:r>
              <w:rPr>
                <w:rFonts w:ascii="宋体"/>
                <w:szCs w:val="21"/>
              </w:rPr>
              <w:tab/>
            </w:r>
            <w:r>
              <w:rPr>
                <w:rFonts w:ascii="宋体"/>
                <w:szCs w:val="21"/>
              </w:rPr>
              <w:t>真空断路器手车电动操作</w:t>
            </w:r>
          </w:p>
          <w:p>
            <w:pPr>
              <w:rPr>
                <w:rFonts w:ascii="宋体"/>
                <w:szCs w:val="21"/>
              </w:rPr>
            </w:pPr>
            <w:r>
              <w:rPr>
                <w:rFonts w:hint="eastAsia" w:ascii="宋体"/>
                <w:szCs w:val="21"/>
              </w:rPr>
              <w:t>4.2</w:t>
            </w:r>
            <w:r>
              <w:rPr>
                <w:rFonts w:ascii="宋体"/>
                <w:szCs w:val="21"/>
              </w:rPr>
              <w:t>电流与电压互感器</w:t>
            </w:r>
          </w:p>
          <w:p>
            <w:pPr>
              <w:ind w:firstLine="420" w:firstLineChars="200"/>
              <w:rPr>
                <w:rFonts w:ascii="宋体"/>
                <w:szCs w:val="21"/>
              </w:rPr>
            </w:pPr>
            <w:r>
              <w:rPr>
                <w:rFonts w:hint="eastAsia" w:ascii="宋体"/>
                <w:szCs w:val="21"/>
              </w:rPr>
              <w:t>进线柜应配置电流与电压互感器；</w:t>
            </w:r>
          </w:p>
          <w:p>
            <w:pPr>
              <w:ind w:firstLine="420" w:firstLineChars="200"/>
              <w:rPr>
                <w:rFonts w:ascii="宋体"/>
                <w:szCs w:val="21"/>
              </w:rPr>
            </w:pPr>
            <w:r>
              <w:rPr>
                <w:rFonts w:hint="eastAsia" w:ascii="宋体"/>
                <w:szCs w:val="21"/>
              </w:rPr>
              <w:t>馈线柜配置电流互感器。</w:t>
            </w:r>
          </w:p>
          <w:p>
            <w:pPr>
              <w:rPr>
                <w:rFonts w:ascii="宋体"/>
                <w:szCs w:val="21"/>
              </w:rPr>
            </w:pPr>
            <w:r>
              <w:rPr>
                <w:rFonts w:hint="eastAsia" w:ascii="宋体"/>
                <w:szCs w:val="21"/>
              </w:rPr>
              <w:t>4.3</w:t>
            </w:r>
            <w:r>
              <w:rPr>
                <w:rFonts w:ascii="宋体"/>
                <w:szCs w:val="21"/>
              </w:rPr>
              <w:t>接地开关</w:t>
            </w:r>
          </w:p>
          <w:p>
            <w:pPr>
              <w:ind w:firstLine="420" w:firstLineChars="200"/>
              <w:rPr>
                <w:rFonts w:ascii="宋体"/>
                <w:szCs w:val="21"/>
              </w:rPr>
            </w:pPr>
            <w:r>
              <w:rPr>
                <w:rFonts w:ascii="宋体"/>
                <w:szCs w:val="21"/>
              </w:rPr>
              <w:t>1)</w:t>
            </w:r>
            <w:r>
              <w:rPr>
                <w:rFonts w:ascii="宋体"/>
                <w:szCs w:val="21"/>
              </w:rPr>
              <w:tab/>
            </w:r>
            <w:r>
              <w:rPr>
                <w:rFonts w:ascii="宋体"/>
                <w:szCs w:val="21"/>
              </w:rPr>
              <w:t>接地开关应带机械分合闸位置指示器。</w:t>
            </w:r>
          </w:p>
          <w:p>
            <w:pPr>
              <w:ind w:firstLine="420" w:firstLineChars="200"/>
              <w:rPr>
                <w:rFonts w:ascii="宋体"/>
                <w:szCs w:val="21"/>
              </w:rPr>
            </w:pPr>
            <w:r>
              <w:rPr>
                <w:rFonts w:ascii="宋体"/>
                <w:szCs w:val="21"/>
              </w:rPr>
              <w:t>2)</w:t>
            </w:r>
            <w:r>
              <w:rPr>
                <w:rFonts w:ascii="宋体"/>
                <w:szCs w:val="21"/>
              </w:rPr>
              <w:tab/>
            </w:r>
            <w:r>
              <w:rPr>
                <w:rFonts w:ascii="宋体"/>
                <w:szCs w:val="21"/>
              </w:rPr>
              <w:t>操动机构应配置机械联锁机构，与断路器手车进行联锁。</w:t>
            </w:r>
          </w:p>
          <w:p>
            <w:pPr>
              <w:ind w:firstLine="420" w:firstLineChars="200"/>
              <w:rPr>
                <w:rFonts w:ascii="宋体"/>
                <w:szCs w:val="21"/>
              </w:rPr>
            </w:pPr>
            <w:r>
              <w:rPr>
                <w:rFonts w:ascii="宋体"/>
                <w:szCs w:val="21"/>
              </w:rPr>
              <w:t>3)</w:t>
            </w:r>
            <w:r>
              <w:rPr>
                <w:rFonts w:ascii="宋体"/>
                <w:szCs w:val="21"/>
              </w:rPr>
              <w:tab/>
            </w:r>
            <w:r>
              <w:rPr>
                <w:rFonts w:ascii="宋体"/>
                <w:szCs w:val="21"/>
              </w:rPr>
              <w:t>接地开关可以实现电动或者手动操作。</w:t>
            </w:r>
          </w:p>
          <w:p>
            <w:pPr>
              <w:rPr>
                <w:rFonts w:ascii="宋体"/>
                <w:szCs w:val="21"/>
              </w:rPr>
            </w:pPr>
            <w:r>
              <w:rPr>
                <w:rFonts w:hint="eastAsia" w:ascii="宋体"/>
                <w:szCs w:val="21"/>
              </w:rPr>
              <w:t>4.4</w:t>
            </w:r>
            <w:r>
              <w:rPr>
                <w:rFonts w:ascii="宋体"/>
                <w:szCs w:val="21"/>
              </w:rPr>
              <w:t>开关柜主母线</w:t>
            </w:r>
          </w:p>
          <w:p>
            <w:pPr>
              <w:ind w:firstLine="420" w:firstLineChars="200"/>
              <w:rPr>
                <w:rFonts w:ascii="宋体"/>
                <w:szCs w:val="21"/>
              </w:rPr>
            </w:pPr>
            <w:r>
              <w:rPr>
                <w:rFonts w:hint="eastAsia" w:ascii="宋体"/>
                <w:szCs w:val="21"/>
              </w:rPr>
              <w:t>主母线采用矩型母线，保证长期在额定电流下安全正常运行；母线侧密封板须采用不锈钢材料。柜内分支母线采用带圆角矩型铜母线，母线截面满足开关柜额定电流的要求；母线包裹热缩套管，裸露带电体部分有相应的绝缘措施；母线搭接处须采用镀银处理工艺。</w:t>
            </w:r>
          </w:p>
          <w:p>
            <w:pPr>
              <w:rPr>
                <w:rFonts w:ascii="宋体"/>
                <w:b/>
                <w:bCs/>
                <w:szCs w:val="21"/>
              </w:rPr>
            </w:pPr>
            <w:r>
              <w:rPr>
                <w:rFonts w:hint="eastAsia" w:ascii="宋体"/>
                <w:b/>
                <w:bCs/>
                <w:szCs w:val="21"/>
              </w:rPr>
              <w:t>5、</w:t>
            </w:r>
            <w:r>
              <w:rPr>
                <w:rFonts w:ascii="宋体"/>
                <w:b/>
                <w:bCs/>
                <w:szCs w:val="21"/>
              </w:rPr>
              <w:t>智能中压开关柜设计和结构要求</w:t>
            </w:r>
          </w:p>
          <w:p>
            <w:pPr>
              <w:ind w:firstLine="420" w:firstLineChars="200"/>
              <w:rPr>
                <w:rFonts w:ascii="宋体"/>
                <w:szCs w:val="21"/>
              </w:rPr>
            </w:pPr>
            <w:r>
              <w:rPr>
                <w:rFonts w:hint="eastAsia" w:ascii="宋体"/>
                <w:szCs w:val="21"/>
              </w:rPr>
              <w:t>智能中压开关柜的设计和结构应安装简单、可靠性高、运行维护方便。智能高压开关柜组装后电气回路应满足电气接线要求。</w:t>
            </w:r>
          </w:p>
          <w:p>
            <w:pPr>
              <w:rPr>
                <w:rFonts w:ascii="宋体"/>
                <w:szCs w:val="21"/>
              </w:rPr>
            </w:pPr>
            <w:r>
              <w:rPr>
                <w:rFonts w:hint="eastAsia" w:ascii="宋体"/>
                <w:szCs w:val="21"/>
              </w:rPr>
              <w:t>5.1</w:t>
            </w:r>
            <w:r>
              <w:rPr>
                <w:rFonts w:ascii="宋体"/>
                <w:szCs w:val="21"/>
              </w:rPr>
              <w:t>基本结构</w:t>
            </w:r>
          </w:p>
          <w:p>
            <w:pPr>
              <w:ind w:firstLine="420" w:firstLineChars="200"/>
              <w:rPr>
                <w:rFonts w:ascii="宋体"/>
                <w:szCs w:val="21"/>
              </w:rPr>
            </w:pPr>
            <w:r>
              <w:rPr>
                <w:rFonts w:ascii="宋体"/>
                <w:szCs w:val="21"/>
              </w:rPr>
              <w:t>1)</w:t>
            </w:r>
            <w:r>
              <w:rPr>
                <w:rFonts w:ascii="宋体"/>
                <w:szCs w:val="21"/>
              </w:rPr>
              <w:tab/>
            </w:r>
            <w:r>
              <w:rPr>
                <w:rFonts w:ascii="宋体"/>
                <w:szCs w:val="21"/>
              </w:rPr>
              <w:t>开关柜由固定的柜体和可移开部件两大部分组成，根据柜体电气设备的功能，分成四个不同单元：母线室、断路器室、电缆室、低压室；在断路器室、母线室和电缆室的上方均设有独立的压力释放装置，当发生内部故障电弧时，伴随电弧的出现，开关柜内部气压升高，顶部装设的压力释放金属板将被自动打开，释放压力和排泄气体，以确保操作人员和开关柜安全。</w:t>
            </w:r>
          </w:p>
          <w:p>
            <w:pPr>
              <w:ind w:firstLine="420" w:firstLineChars="200"/>
              <w:rPr>
                <w:rFonts w:ascii="宋体"/>
                <w:szCs w:val="21"/>
              </w:rPr>
            </w:pPr>
            <w:r>
              <w:rPr>
                <w:rFonts w:ascii="宋体"/>
                <w:szCs w:val="21"/>
              </w:rPr>
              <w:t>2)</w:t>
            </w:r>
            <w:r>
              <w:rPr>
                <w:rFonts w:ascii="宋体"/>
                <w:szCs w:val="21"/>
              </w:rPr>
              <w:tab/>
            </w:r>
            <w:r>
              <w:rPr>
                <w:rFonts w:ascii="宋体"/>
                <w:szCs w:val="21"/>
              </w:rPr>
              <w:t>开关设备的外壳采用敷铝锌钢板，经CNC机床加工，并采用双重折弯。柜体采用组装式结构，用拉铆螺母、高强度的螺栓和不锈钢抽芯铆钉联接而成，柜与柜之间无需开避让孔。</w:t>
            </w:r>
          </w:p>
          <w:p>
            <w:pPr>
              <w:ind w:firstLine="420" w:firstLineChars="200"/>
              <w:rPr>
                <w:rFonts w:ascii="宋体"/>
                <w:szCs w:val="21"/>
              </w:rPr>
            </w:pPr>
            <w:r>
              <w:rPr>
                <w:rFonts w:ascii="宋体"/>
                <w:szCs w:val="21"/>
              </w:rPr>
              <w:t>3)</w:t>
            </w:r>
            <w:r>
              <w:rPr>
                <w:rFonts w:ascii="宋体"/>
                <w:szCs w:val="21"/>
              </w:rPr>
              <w:tab/>
            </w:r>
            <w:r>
              <w:rPr>
                <w:rFonts w:ascii="宋体"/>
                <w:szCs w:val="21"/>
              </w:rPr>
              <w:t>低压隔室是独立的单元，与开关设备的高压区完全隔开，具有防震、防火的功能，当断路器手车移开时，活门自动关闭，开关设备仍保持IP2X的防护等级。</w:t>
            </w:r>
          </w:p>
          <w:p>
            <w:pPr>
              <w:ind w:firstLine="420" w:firstLineChars="200"/>
              <w:rPr>
                <w:rFonts w:ascii="宋体"/>
                <w:szCs w:val="21"/>
              </w:rPr>
            </w:pPr>
            <w:r>
              <w:rPr>
                <w:rFonts w:ascii="宋体"/>
                <w:szCs w:val="21"/>
              </w:rPr>
              <w:t>4)</w:t>
            </w:r>
            <w:r>
              <w:rPr>
                <w:rFonts w:ascii="宋体"/>
                <w:szCs w:val="21"/>
              </w:rPr>
              <w:tab/>
            </w:r>
            <w:r>
              <w:rPr>
                <w:rFonts w:ascii="宋体"/>
                <w:szCs w:val="21"/>
              </w:rPr>
              <w:t>开关柜的安装与调试均可在柜前进行，且开关柜门关闭后仍然可以在柜前进行操作。</w:t>
            </w:r>
          </w:p>
          <w:p>
            <w:pPr>
              <w:ind w:firstLine="420" w:firstLineChars="200"/>
              <w:rPr>
                <w:rFonts w:ascii="宋体"/>
                <w:szCs w:val="21"/>
              </w:rPr>
            </w:pPr>
            <w:r>
              <w:rPr>
                <w:rFonts w:ascii="宋体"/>
                <w:szCs w:val="21"/>
              </w:rPr>
              <w:t>5)</w:t>
            </w:r>
            <w:r>
              <w:rPr>
                <w:rFonts w:ascii="宋体"/>
                <w:szCs w:val="21"/>
              </w:rPr>
              <w:tab/>
            </w:r>
            <w:r>
              <w:rPr>
                <w:rFonts w:ascii="宋体"/>
                <w:szCs w:val="21"/>
              </w:rPr>
              <w:t>开关柜的防护等级为IP4X， 断路器室门打开时为IP2X。</w:t>
            </w:r>
          </w:p>
          <w:p>
            <w:pPr>
              <w:ind w:firstLine="420" w:firstLineChars="200"/>
              <w:rPr>
                <w:rFonts w:ascii="宋体"/>
                <w:szCs w:val="21"/>
              </w:rPr>
            </w:pPr>
            <w:r>
              <w:rPr>
                <w:rFonts w:ascii="宋体"/>
                <w:szCs w:val="21"/>
              </w:rPr>
              <w:t>6)</w:t>
            </w:r>
            <w:r>
              <w:rPr>
                <w:rFonts w:ascii="宋体"/>
                <w:szCs w:val="21"/>
              </w:rPr>
              <w:tab/>
            </w:r>
            <w:r>
              <w:rPr>
                <w:rFonts w:ascii="宋体"/>
                <w:szCs w:val="21"/>
              </w:rPr>
              <w:t>开关柜内手车的推进、抽出应灵活方便， 不产生冲击力，相同规格的手车具有良好的互换性。</w:t>
            </w:r>
          </w:p>
          <w:p>
            <w:pPr>
              <w:ind w:firstLine="420" w:firstLineChars="200"/>
              <w:rPr>
                <w:rFonts w:ascii="宋体"/>
                <w:szCs w:val="21"/>
              </w:rPr>
            </w:pPr>
            <w:r>
              <w:rPr>
                <w:rFonts w:ascii="宋体"/>
                <w:szCs w:val="21"/>
              </w:rPr>
              <w:t>7)开关柜的前门关闭的情况下，仍然可以进行断路器的手动储能操作。</w:t>
            </w:r>
          </w:p>
          <w:p>
            <w:pPr>
              <w:ind w:firstLine="420" w:firstLineChars="200"/>
              <w:rPr>
                <w:rFonts w:ascii="宋体"/>
                <w:szCs w:val="21"/>
              </w:rPr>
            </w:pPr>
            <w:r>
              <w:rPr>
                <w:rFonts w:ascii="宋体"/>
                <w:szCs w:val="21"/>
              </w:rPr>
              <w:t>8)柜内静触头金属活门上应有功能标识，并能加机械锁扣。</w:t>
            </w:r>
          </w:p>
          <w:p>
            <w:pPr>
              <w:ind w:firstLine="420" w:firstLineChars="200"/>
              <w:rPr>
                <w:rFonts w:ascii="宋体"/>
                <w:szCs w:val="21"/>
              </w:rPr>
            </w:pPr>
            <w:r>
              <w:rPr>
                <w:rFonts w:ascii="宋体"/>
                <w:szCs w:val="21"/>
              </w:rPr>
              <w:t xml:space="preserve">9)开关设备采用中置式，电流互感器装在电缆室后壁上、接地开关装在下触头盒固定板上。 </w:t>
            </w:r>
          </w:p>
          <w:p>
            <w:pPr>
              <w:ind w:firstLine="420" w:firstLineChars="200"/>
              <w:rPr>
                <w:rFonts w:ascii="宋体"/>
                <w:szCs w:val="21"/>
              </w:rPr>
            </w:pPr>
            <w:r>
              <w:rPr>
                <w:rFonts w:ascii="宋体"/>
                <w:szCs w:val="21"/>
              </w:rPr>
              <w:t>10)断路器具有可靠的电气“防跳”功能，所有操作机构各辅助开关的接线，除特殊要求外，同规格均采用相同的连线以保证手车的互换性，手车上配有机械式计数器，用于分闸时计数，计数器应安装在手车面板上，并有观察孔， 断路器手车面板上设有机械式分合闸状态指示、弹簧储能状态指示和手动分合闸按钮，指示器易于观察。</w:t>
            </w:r>
          </w:p>
          <w:p>
            <w:pPr>
              <w:ind w:firstLine="420" w:firstLineChars="200"/>
              <w:rPr>
                <w:rFonts w:ascii="宋体"/>
                <w:szCs w:val="21"/>
              </w:rPr>
            </w:pPr>
            <w:r>
              <w:rPr>
                <w:rFonts w:ascii="宋体"/>
                <w:szCs w:val="21"/>
              </w:rPr>
              <w:t>11)闭门操作功能：只有在断路器室门关闭的情况下，才能够把断路器手车摇到工作位置；断路器手车只有在试验位置，断路器室的门才能够打开。</w:t>
            </w:r>
          </w:p>
          <w:p>
            <w:pPr>
              <w:ind w:firstLine="420" w:firstLineChars="200"/>
              <w:rPr>
                <w:rFonts w:ascii="宋体"/>
                <w:szCs w:val="21"/>
              </w:rPr>
            </w:pPr>
            <w:r>
              <w:rPr>
                <w:rFonts w:ascii="宋体"/>
                <w:szCs w:val="21"/>
              </w:rPr>
              <w:t>12)开关柜的各组件，符合它们各自的技术标准，同类型产品额定值和结构相同的组件可实现互换。</w:t>
            </w:r>
          </w:p>
          <w:p>
            <w:pPr>
              <w:ind w:firstLine="420" w:firstLineChars="200"/>
              <w:rPr>
                <w:rFonts w:ascii="宋体"/>
                <w:szCs w:val="21"/>
              </w:rPr>
            </w:pPr>
            <w:r>
              <w:rPr>
                <w:rFonts w:ascii="宋体"/>
                <w:szCs w:val="21"/>
              </w:rPr>
              <w:t>13)开关柜接地汇流小母线30mm× 8mm。</w:t>
            </w:r>
          </w:p>
          <w:p>
            <w:pPr>
              <w:ind w:firstLine="420" w:firstLineChars="200"/>
              <w:rPr>
                <w:rFonts w:ascii="宋体"/>
                <w:szCs w:val="21"/>
              </w:rPr>
            </w:pPr>
            <w:r>
              <w:rPr>
                <w:rFonts w:ascii="宋体"/>
                <w:szCs w:val="21"/>
              </w:rPr>
              <w:t>14)航空插联锁功能：动静二次插头的配合与断路器室门实现联锁；只有在动、静航空插头配合的情况下，才能够关闭断路器室门；否则，断路器室门无法闭合。</w:t>
            </w:r>
          </w:p>
          <w:p>
            <w:pPr>
              <w:ind w:firstLine="420" w:firstLineChars="200"/>
              <w:rPr>
                <w:rFonts w:ascii="宋体"/>
                <w:szCs w:val="21"/>
              </w:rPr>
            </w:pPr>
            <w:r>
              <w:rPr>
                <w:rFonts w:ascii="宋体"/>
                <w:szCs w:val="21"/>
              </w:rPr>
              <w:t>15)开关柜的结构保证工作人员的安全和便于运行、维护、检查、检修和试验。</w:t>
            </w:r>
          </w:p>
          <w:p>
            <w:pPr>
              <w:ind w:firstLine="420" w:firstLineChars="200"/>
              <w:rPr>
                <w:rFonts w:ascii="宋体"/>
                <w:szCs w:val="21"/>
              </w:rPr>
            </w:pPr>
            <w:r>
              <w:rPr>
                <w:rFonts w:ascii="宋体"/>
                <w:szCs w:val="21"/>
              </w:rPr>
              <w:t>16)开关柜可满足柜前安装操作的要求，电缆安装高度≥650mm。</w:t>
            </w:r>
          </w:p>
          <w:p>
            <w:pPr>
              <w:rPr>
                <w:rFonts w:ascii="宋体"/>
                <w:szCs w:val="21"/>
              </w:rPr>
            </w:pPr>
            <w:r>
              <w:rPr>
                <w:rFonts w:hint="eastAsia" w:ascii="宋体"/>
                <w:szCs w:val="21"/>
              </w:rPr>
              <w:t>5.2</w:t>
            </w:r>
            <w:r>
              <w:rPr>
                <w:rFonts w:ascii="宋体"/>
                <w:szCs w:val="21"/>
              </w:rPr>
              <w:t xml:space="preserve"> 防止误操作的联锁要求</w:t>
            </w:r>
          </w:p>
          <w:p>
            <w:pPr>
              <w:ind w:firstLine="420" w:firstLineChars="200"/>
              <w:rPr>
                <w:rFonts w:ascii="宋体"/>
                <w:szCs w:val="21"/>
              </w:rPr>
            </w:pPr>
            <w:r>
              <w:rPr>
                <w:rFonts w:ascii="宋体"/>
                <w:szCs w:val="21"/>
              </w:rPr>
              <w:t>1)</w:t>
            </w:r>
            <w:r>
              <w:rPr>
                <w:rFonts w:ascii="宋体"/>
                <w:szCs w:val="21"/>
              </w:rPr>
              <w:tab/>
            </w:r>
            <w:r>
              <w:rPr>
                <w:rFonts w:ascii="宋体"/>
                <w:szCs w:val="21"/>
              </w:rPr>
              <w:t>开关柜应设置可靠的机械联锁及电气联锁装置，达到以下“五防”要求：</w:t>
            </w:r>
          </w:p>
          <w:p>
            <w:pPr>
              <w:ind w:firstLine="420" w:firstLineChars="200"/>
              <w:rPr>
                <w:rFonts w:ascii="宋体"/>
                <w:szCs w:val="21"/>
              </w:rPr>
            </w:pPr>
            <w:r>
              <w:rPr>
                <w:rFonts w:ascii="宋体"/>
                <w:szCs w:val="21"/>
              </w:rPr>
              <w:t>2)</w:t>
            </w:r>
            <w:r>
              <w:rPr>
                <w:rFonts w:ascii="宋体"/>
                <w:szCs w:val="21"/>
              </w:rPr>
              <w:tab/>
            </w:r>
            <w:r>
              <w:rPr>
                <w:rFonts w:ascii="宋体"/>
                <w:szCs w:val="21"/>
              </w:rPr>
              <w:t>只有当断路器手车完全到达试验和工作位置时，断路器才能合闸。</w:t>
            </w:r>
          </w:p>
          <w:p>
            <w:pPr>
              <w:ind w:firstLine="420" w:firstLineChars="200"/>
              <w:rPr>
                <w:rFonts w:ascii="宋体"/>
                <w:szCs w:val="21"/>
              </w:rPr>
            </w:pPr>
            <w:r>
              <w:rPr>
                <w:rFonts w:ascii="宋体"/>
                <w:szCs w:val="21"/>
              </w:rPr>
              <w:t>3)</w:t>
            </w:r>
            <w:r>
              <w:rPr>
                <w:rFonts w:ascii="宋体"/>
                <w:szCs w:val="21"/>
              </w:rPr>
              <w:tab/>
            </w:r>
            <w:r>
              <w:rPr>
                <w:rFonts w:ascii="宋体"/>
                <w:szCs w:val="21"/>
              </w:rPr>
              <w:t>当断路器手车在试验或运行位置失去控制电源时，断路器不能合闸。</w:t>
            </w:r>
          </w:p>
          <w:p>
            <w:pPr>
              <w:ind w:firstLine="420" w:firstLineChars="200"/>
              <w:rPr>
                <w:rFonts w:ascii="宋体"/>
                <w:szCs w:val="21"/>
              </w:rPr>
            </w:pPr>
            <w:r>
              <w:rPr>
                <w:rFonts w:ascii="宋体"/>
                <w:szCs w:val="21"/>
              </w:rPr>
              <w:t>4)</w:t>
            </w:r>
            <w:r>
              <w:rPr>
                <w:rFonts w:ascii="宋体"/>
                <w:szCs w:val="21"/>
              </w:rPr>
              <w:tab/>
            </w:r>
            <w:r>
              <w:rPr>
                <w:rFonts w:ascii="宋体"/>
                <w:szCs w:val="21"/>
              </w:rPr>
              <w:t>只有当断路器手车在试验/隔离位置或移开位置，接地开关才能合闸。</w:t>
            </w:r>
          </w:p>
          <w:p>
            <w:pPr>
              <w:ind w:firstLine="420" w:firstLineChars="200"/>
              <w:rPr>
                <w:rFonts w:ascii="宋体"/>
                <w:szCs w:val="21"/>
              </w:rPr>
            </w:pPr>
            <w:r>
              <w:rPr>
                <w:rFonts w:ascii="宋体"/>
                <w:szCs w:val="21"/>
              </w:rPr>
              <w:t>5)</w:t>
            </w:r>
            <w:r>
              <w:rPr>
                <w:rFonts w:ascii="宋体"/>
                <w:szCs w:val="21"/>
              </w:rPr>
              <w:tab/>
            </w:r>
            <w:r>
              <w:rPr>
                <w:rFonts w:ascii="宋体"/>
                <w:szCs w:val="21"/>
              </w:rPr>
              <w:t>当接地开关及断路器分闸时，手车才能从试验/隔离位置移向工作位置。</w:t>
            </w:r>
          </w:p>
          <w:p>
            <w:pPr>
              <w:ind w:firstLine="420" w:firstLineChars="200"/>
              <w:rPr>
                <w:rFonts w:ascii="宋体"/>
                <w:szCs w:val="21"/>
              </w:rPr>
            </w:pPr>
            <w:r>
              <w:rPr>
                <w:rFonts w:ascii="宋体"/>
                <w:szCs w:val="21"/>
              </w:rPr>
              <w:t>6)</w:t>
            </w:r>
            <w:r>
              <w:rPr>
                <w:rFonts w:ascii="宋体"/>
                <w:szCs w:val="21"/>
              </w:rPr>
              <w:tab/>
            </w:r>
            <w:r>
              <w:rPr>
                <w:rFonts w:ascii="宋体"/>
                <w:szCs w:val="21"/>
              </w:rPr>
              <w:t>当接地开关或断路器合闸时，手车不能从试验/隔离位置移向工作位置。</w:t>
            </w:r>
          </w:p>
          <w:p>
            <w:pPr>
              <w:ind w:firstLine="420" w:firstLineChars="200"/>
              <w:rPr>
                <w:rFonts w:ascii="宋体"/>
                <w:szCs w:val="21"/>
              </w:rPr>
            </w:pPr>
            <w:r>
              <w:rPr>
                <w:rFonts w:ascii="宋体"/>
                <w:szCs w:val="21"/>
              </w:rPr>
              <w:t>7)</w:t>
            </w:r>
            <w:r>
              <w:rPr>
                <w:rFonts w:ascii="宋体"/>
                <w:szCs w:val="21"/>
              </w:rPr>
              <w:tab/>
            </w:r>
            <w:r>
              <w:rPr>
                <w:rFonts w:ascii="宋体"/>
                <w:szCs w:val="21"/>
              </w:rPr>
              <w:t>当手车处于工作位置时，二次插头被锁定，不能拔除。</w:t>
            </w:r>
          </w:p>
          <w:p>
            <w:pPr>
              <w:ind w:firstLine="420" w:firstLineChars="200"/>
              <w:rPr>
                <w:rFonts w:ascii="宋体"/>
                <w:szCs w:val="21"/>
              </w:rPr>
            </w:pPr>
            <w:r>
              <w:rPr>
                <w:rFonts w:ascii="宋体"/>
                <w:szCs w:val="21"/>
              </w:rPr>
              <w:t>8)</w:t>
            </w:r>
            <w:r>
              <w:rPr>
                <w:rFonts w:ascii="宋体"/>
                <w:szCs w:val="21"/>
              </w:rPr>
              <w:tab/>
            </w:r>
            <w:r>
              <w:rPr>
                <w:rFonts w:ascii="宋体"/>
                <w:szCs w:val="21"/>
              </w:rPr>
              <w:t>只有接地开关合闸时,电缆室门才允许打开，且只有关闭电缆室门后，接地开关才允许被分闸。</w:t>
            </w:r>
          </w:p>
          <w:p>
            <w:pPr>
              <w:rPr>
                <w:rFonts w:ascii="宋体"/>
                <w:szCs w:val="21"/>
              </w:rPr>
            </w:pPr>
            <w:r>
              <w:rPr>
                <w:rFonts w:hint="eastAsia" w:ascii="宋体"/>
                <w:szCs w:val="21"/>
              </w:rPr>
              <w:t>5.3</w:t>
            </w:r>
            <w:r>
              <w:rPr>
                <w:rFonts w:ascii="宋体"/>
                <w:szCs w:val="21"/>
              </w:rPr>
              <w:t xml:space="preserve"> 表面颜色</w:t>
            </w:r>
          </w:p>
          <w:p>
            <w:pPr>
              <w:ind w:firstLine="420" w:firstLineChars="200"/>
              <w:rPr>
                <w:rFonts w:ascii="宋体"/>
                <w:szCs w:val="21"/>
              </w:rPr>
            </w:pPr>
            <w:r>
              <w:rPr>
                <w:rFonts w:hint="eastAsia" w:ascii="宋体"/>
                <w:szCs w:val="21"/>
              </w:rPr>
              <w:t>开关柜的门板面漆采用静电喷涂后的焙烤，表面抗冲击，耐腐蚀，标号：</w:t>
            </w:r>
            <w:r>
              <w:rPr>
                <w:rFonts w:ascii="宋体"/>
                <w:szCs w:val="21"/>
              </w:rPr>
              <w:t>RAL9003。</w:t>
            </w:r>
          </w:p>
          <w:p>
            <w:pPr>
              <w:rPr>
                <w:rFonts w:ascii="宋体"/>
                <w:b/>
                <w:bCs/>
                <w:szCs w:val="21"/>
              </w:rPr>
            </w:pPr>
            <w:r>
              <w:rPr>
                <w:rFonts w:hint="eastAsia" w:ascii="宋体"/>
                <w:b/>
                <w:bCs/>
                <w:szCs w:val="21"/>
              </w:rPr>
              <w:t>6、</w:t>
            </w:r>
            <w:r>
              <w:rPr>
                <w:rFonts w:ascii="宋体"/>
                <w:b/>
                <w:bCs/>
                <w:szCs w:val="21"/>
              </w:rPr>
              <w:t>智能中压进线开关柜智能技术要求</w:t>
            </w:r>
          </w:p>
          <w:p>
            <w:pPr>
              <w:rPr>
                <w:rFonts w:ascii="宋体"/>
                <w:szCs w:val="21"/>
              </w:rPr>
            </w:pPr>
            <w:r>
              <w:rPr>
                <w:rFonts w:hint="eastAsia" w:ascii="宋体"/>
                <w:szCs w:val="21"/>
              </w:rPr>
              <w:t>6.1</w:t>
            </w:r>
            <w:r>
              <w:rPr>
                <w:rFonts w:ascii="宋体"/>
                <w:szCs w:val="21"/>
              </w:rPr>
              <w:t>温度监测技术要求</w:t>
            </w:r>
          </w:p>
          <w:p>
            <w:pPr>
              <w:ind w:firstLine="420" w:firstLineChars="200"/>
              <w:rPr>
                <w:rFonts w:ascii="宋体"/>
                <w:szCs w:val="21"/>
              </w:rPr>
            </w:pPr>
            <w:r>
              <w:rPr>
                <w:rFonts w:ascii="宋体"/>
                <w:szCs w:val="21"/>
              </w:rPr>
              <w:t>1)</w:t>
            </w:r>
            <w:r>
              <w:rPr>
                <w:rFonts w:ascii="宋体"/>
                <w:szCs w:val="21"/>
              </w:rPr>
              <w:tab/>
            </w:r>
            <w:r>
              <w:rPr>
                <w:rFonts w:ascii="宋体"/>
                <w:szCs w:val="21"/>
              </w:rPr>
              <w:t xml:space="preserve">主母线3点，电缆搭接头3点，触臂6点。 </w:t>
            </w:r>
          </w:p>
          <w:p>
            <w:pPr>
              <w:ind w:firstLine="420" w:firstLineChars="200"/>
              <w:rPr>
                <w:rFonts w:ascii="宋体"/>
                <w:szCs w:val="21"/>
              </w:rPr>
            </w:pPr>
            <w:r>
              <w:rPr>
                <w:rFonts w:ascii="宋体"/>
                <w:szCs w:val="21"/>
              </w:rPr>
              <w:t>2)</w:t>
            </w:r>
            <w:r>
              <w:rPr>
                <w:rFonts w:ascii="宋体"/>
                <w:szCs w:val="21"/>
              </w:rPr>
              <w:tab/>
            </w:r>
            <w:r>
              <w:rPr>
                <w:rFonts w:ascii="宋体"/>
                <w:szCs w:val="21"/>
              </w:rPr>
              <w:t>一次回路通电后，自动获取能源，不需要外接电源或电池。</w:t>
            </w:r>
          </w:p>
          <w:p>
            <w:pPr>
              <w:ind w:firstLine="420" w:firstLineChars="200"/>
              <w:rPr>
                <w:rFonts w:ascii="宋体"/>
                <w:szCs w:val="21"/>
              </w:rPr>
            </w:pPr>
            <w:r>
              <w:rPr>
                <w:rFonts w:ascii="宋体"/>
                <w:szCs w:val="21"/>
              </w:rPr>
              <w:t>3)</w:t>
            </w:r>
            <w:r>
              <w:rPr>
                <w:rFonts w:ascii="宋体"/>
                <w:szCs w:val="21"/>
              </w:rPr>
              <w:tab/>
            </w:r>
            <w:r>
              <w:rPr>
                <w:rFonts w:ascii="宋体"/>
                <w:szCs w:val="21"/>
              </w:rPr>
              <w:t>采用磁饱和技术，免维护，确保安全、稳定地长期工作。</w:t>
            </w:r>
          </w:p>
          <w:p>
            <w:pPr>
              <w:ind w:firstLine="420" w:firstLineChars="200"/>
              <w:rPr>
                <w:rFonts w:ascii="宋体"/>
                <w:szCs w:val="21"/>
              </w:rPr>
            </w:pPr>
            <w:r>
              <w:rPr>
                <w:rFonts w:ascii="宋体"/>
                <w:szCs w:val="21"/>
              </w:rPr>
              <w:t>4) 采用非接触式无线通讯技术，实现接收单元与高压侧，彻底的电气隔离，确保安全。</w:t>
            </w:r>
          </w:p>
          <w:p>
            <w:pPr>
              <w:ind w:firstLine="420" w:firstLineChars="200"/>
              <w:rPr>
                <w:rFonts w:ascii="宋体"/>
                <w:szCs w:val="21"/>
              </w:rPr>
            </w:pPr>
            <w:r>
              <w:rPr>
                <w:rFonts w:ascii="宋体"/>
                <w:szCs w:val="21"/>
              </w:rPr>
              <w:t>5)</w:t>
            </w:r>
            <w:r>
              <w:rPr>
                <w:rFonts w:ascii="宋体"/>
                <w:szCs w:val="21"/>
              </w:rPr>
              <w:tab/>
            </w:r>
            <w:r>
              <w:rPr>
                <w:rFonts w:ascii="宋体"/>
                <w:szCs w:val="21"/>
              </w:rPr>
              <w:t>采用节能型无线通信。</w:t>
            </w:r>
          </w:p>
          <w:p>
            <w:pPr>
              <w:ind w:firstLine="420" w:firstLineChars="200"/>
              <w:rPr>
                <w:rFonts w:ascii="宋体"/>
                <w:szCs w:val="21"/>
              </w:rPr>
            </w:pPr>
            <w:r>
              <w:rPr>
                <w:rFonts w:ascii="宋体"/>
                <w:szCs w:val="21"/>
              </w:rPr>
              <w:t>6)</w:t>
            </w:r>
            <w:r>
              <w:rPr>
                <w:rFonts w:ascii="宋体"/>
                <w:szCs w:val="21"/>
              </w:rPr>
              <w:tab/>
            </w:r>
            <w:r>
              <w:rPr>
                <w:rFonts w:ascii="宋体"/>
                <w:szCs w:val="21"/>
              </w:rPr>
              <w:t>测温传感器精度：≤±1°C。</w:t>
            </w:r>
          </w:p>
          <w:p>
            <w:pPr>
              <w:ind w:firstLine="420" w:firstLineChars="200"/>
              <w:rPr>
                <w:rFonts w:ascii="宋体"/>
                <w:szCs w:val="21"/>
              </w:rPr>
            </w:pPr>
            <w:r>
              <w:rPr>
                <w:rFonts w:ascii="宋体"/>
                <w:szCs w:val="21"/>
              </w:rPr>
              <w:t>7)</w:t>
            </w:r>
            <w:r>
              <w:rPr>
                <w:rFonts w:ascii="宋体"/>
                <w:szCs w:val="21"/>
              </w:rPr>
              <w:tab/>
            </w:r>
            <w:r>
              <w:rPr>
                <w:rFonts w:ascii="宋体"/>
                <w:szCs w:val="21"/>
              </w:rPr>
              <w:t>测温传感器测量范围：≥-25~+130°C。</w:t>
            </w:r>
          </w:p>
          <w:p>
            <w:pPr>
              <w:ind w:firstLine="420" w:firstLineChars="200"/>
              <w:rPr>
                <w:rFonts w:ascii="宋体"/>
                <w:szCs w:val="21"/>
              </w:rPr>
            </w:pPr>
            <w:r>
              <w:rPr>
                <w:rFonts w:ascii="宋体"/>
                <w:szCs w:val="21"/>
              </w:rPr>
              <w:t>8)</w:t>
            </w:r>
            <w:r>
              <w:rPr>
                <w:rFonts w:ascii="宋体"/>
                <w:szCs w:val="21"/>
              </w:rPr>
              <w:tab/>
            </w:r>
            <w:r>
              <w:rPr>
                <w:rFonts w:ascii="宋体"/>
                <w:szCs w:val="21"/>
              </w:rPr>
              <w:t>传感器最小启动电流为 5A。</w:t>
            </w:r>
          </w:p>
          <w:p>
            <w:pPr>
              <w:ind w:firstLine="420" w:firstLineChars="200"/>
              <w:rPr>
                <w:rFonts w:ascii="宋体"/>
                <w:szCs w:val="21"/>
              </w:rPr>
            </w:pPr>
            <w:r>
              <w:rPr>
                <w:rFonts w:ascii="宋体"/>
                <w:szCs w:val="21"/>
              </w:rPr>
              <w:t>9)</w:t>
            </w:r>
            <w:r>
              <w:rPr>
                <w:rFonts w:ascii="宋体"/>
                <w:szCs w:val="21"/>
              </w:rPr>
              <w:tab/>
            </w:r>
            <w:r>
              <w:rPr>
                <w:rFonts w:ascii="宋体"/>
                <w:szCs w:val="21"/>
              </w:rPr>
              <w:t>传感器高达海拔 2000M和污染水平 II级，防护等级：IP54。</w:t>
            </w:r>
          </w:p>
          <w:p>
            <w:pPr>
              <w:ind w:firstLine="420" w:firstLineChars="200"/>
              <w:rPr>
                <w:rFonts w:ascii="宋体"/>
                <w:szCs w:val="21"/>
              </w:rPr>
            </w:pPr>
            <w:r>
              <w:rPr>
                <w:rFonts w:ascii="宋体"/>
                <w:szCs w:val="21"/>
              </w:rPr>
              <w:t>10)传感装置应具备长寿命，免维护特征，采用无线、无源传感技术。</w:t>
            </w:r>
          </w:p>
          <w:p>
            <w:pPr>
              <w:ind w:firstLine="420" w:firstLineChars="200"/>
              <w:rPr>
                <w:rFonts w:ascii="宋体"/>
                <w:szCs w:val="21"/>
              </w:rPr>
            </w:pPr>
            <w:r>
              <w:rPr>
                <w:rFonts w:ascii="宋体"/>
                <w:szCs w:val="21"/>
              </w:rPr>
              <w:t>11)温度信号通过Modbus RTU通讯协议上传至后台监控系统。</w:t>
            </w:r>
          </w:p>
          <w:p>
            <w:pPr>
              <w:ind w:firstLine="420" w:firstLineChars="200"/>
              <w:rPr>
                <w:rFonts w:ascii="宋体"/>
                <w:szCs w:val="21"/>
              </w:rPr>
            </w:pPr>
            <w:r>
              <w:rPr>
                <w:rFonts w:ascii="宋体"/>
                <w:szCs w:val="21"/>
              </w:rPr>
              <w:t>12)为了保证测温系统的稳定性，测温系统需具有独立性，不应与开关柜带电显示或操控装置共用。</w:t>
            </w:r>
          </w:p>
          <w:p>
            <w:pPr>
              <w:ind w:firstLine="420" w:firstLineChars="200"/>
              <w:rPr>
                <w:rFonts w:ascii="宋体"/>
                <w:szCs w:val="21"/>
              </w:rPr>
            </w:pPr>
            <w:r>
              <w:rPr>
                <w:rFonts w:ascii="宋体"/>
                <w:szCs w:val="21"/>
              </w:rPr>
              <w:t>13)有环温温度测量设备。</w:t>
            </w:r>
          </w:p>
          <w:p>
            <w:pPr>
              <w:rPr>
                <w:rFonts w:ascii="宋体"/>
                <w:szCs w:val="21"/>
              </w:rPr>
            </w:pPr>
            <w:r>
              <w:rPr>
                <w:rFonts w:hint="eastAsia" w:ascii="宋体"/>
                <w:szCs w:val="21"/>
              </w:rPr>
              <w:t>6.2</w:t>
            </w:r>
            <w:r>
              <w:rPr>
                <w:rFonts w:ascii="宋体"/>
                <w:szCs w:val="21"/>
              </w:rPr>
              <w:t xml:space="preserve"> 断路器特性监测技术要求</w:t>
            </w:r>
          </w:p>
          <w:p>
            <w:pPr>
              <w:ind w:firstLine="420" w:firstLineChars="200"/>
              <w:rPr>
                <w:rFonts w:ascii="宋体"/>
                <w:szCs w:val="21"/>
              </w:rPr>
            </w:pPr>
            <w:r>
              <w:rPr>
                <w:rFonts w:ascii="宋体"/>
                <w:szCs w:val="21"/>
              </w:rPr>
              <w:t>1)</w:t>
            </w:r>
            <w:r>
              <w:rPr>
                <w:rFonts w:ascii="宋体"/>
                <w:szCs w:val="21"/>
              </w:rPr>
              <w:tab/>
            </w:r>
            <w:r>
              <w:rPr>
                <w:rFonts w:ascii="宋体"/>
                <w:szCs w:val="21"/>
              </w:rPr>
              <w:t>断路器特性监测可实时监测断路器控制回路状态参数，包含分、合闸线圈和储能电机。监测范围如下：</w:t>
            </w:r>
          </w:p>
          <w:p>
            <w:pPr>
              <w:ind w:firstLine="630" w:firstLineChars="300"/>
              <w:rPr>
                <w:rFonts w:ascii="宋体"/>
                <w:szCs w:val="21"/>
              </w:rPr>
            </w:pPr>
            <w:r>
              <w:rPr>
                <w:rFonts w:ascii="宋体"/>
                <w:szCs w:val="21"/>
              </w:rPr>
              <w:t>a)</w:t>
            </w:r>
            <w:r>
              <w:rPr>
                <w:rFonts w:ascii="宋体"/>
                <w:szCs w:val="21"/>
              </w:rPr>
              <w:tab/>
            </w:r>
            <w:r>
              <w:rPr>
                <w:rFonts w:ascii="宋体"/>
                <w:szCs w:val="21"/>
              </w:rPr>
              <w:t>断路器储能电机的储能时间</w:t>
            </w:r>
          </w:p>
          <w:p>
            <w:pPr>
              <w:ind w:firstLine="630" w:firstLineChars="300"/>
              <w:rPr>
                <w:rFonts w:ascii="宋体"/>
                <w:szCs w:val="21"/>
              </w:rPr>
            </w:pPr>
            <w:r>
              <w:rPr>
                <w:rFonts w:ascii="宋体"/>
                <w:szCs w:val="21"/>
              </w:rPr>
              <w:t>b)</w:t>
            </w:r>
            <w:r>
              <w:rPr>
                <w:rFonts w:ascii="宋体"/>
                <w:szCs w:val="21"/>
              </w:rPr>
              <w:tab/>
            </w:r>
            <w:r>
              <w:rPr>
                <w:rFonts w:ascii="宋体"/>
                <w:szCs w:val="21"/>
              </w:rPr>
              <w:t>断路器储能电机的储能电流（平均值）</w:t>
            </w:r>
          </w:p>
          <w:p>
            <w:pPr>
              <w:ind w:firstLine="630" w:firstLineChars="300"/>
              <w:rPr>
                <w:rFonts w:ascii="宋体"/>
                <w:szCs w:val="21"/>
              </w:rPr>
            </w:pPr>
            <w:r>
              <w:rPr>
                <w:rFonts w:ascii="宋体"/>
                <w:szCs w:val="21"/>
              </w:rPr>
              <w:t>c)</w:t>
            </w:r>
            <w:r>
              <w:rPr>
                <w:rFonts w:ascii="宋体"/>
                <w:szCs w:val="21"/>
              </w:rPr>
              <w:tab/>
            </w:r>
            <w:r>
              <w:rPr>
                <w:rFonts w:ascii="宋体"/>
                <w:szCs w:val="21"/>
              </w:rPr>
              <w:t>断路器合/分闸脱扣器动作电流</w:t>
            </w:r>
          </w:p>
          <w:p>
            <w:pPr>
              <w:ind w:firstLine="630" w:firstLineChars="300"/>
              <w:rPr>
                <w:rFonts w:ascii="宋体"/>
                <w:szCs w:val="21"/>
              </w:rPr>
            </w:pPr>
            <w:r>
              <w:rPr>
                <w:rFonts w:ascii="宋体"/>
                <w:szCs w:val="21"/>
              </w:rPr>
              <w:t>d)</w:t>
            </w:r>
            <w:r>
              <w:rPr>
                <w:rFonts w:ascii="宋体"/>
                <w:szCs w:val="21"/>
              </w:rPr>
              <w:tab/>
            </w:r>
            <w:r>
              <w:rPr>
                <w:rFonts w:ascii="宋体"/>
                <w:szCs w:val="21"/>
              </w:rPr>
              <w:t>断路器合/分闸时间（计算值）</w:t>
            </w:r>
          </w:p>
          <w:p>
            <w:pPr>
              <w:ind w:firstLine="420" w:firstLineChars="200"/>
              <w:rPr>
                <w:rFonts w:ascii="宋体"/>
                <w:szCs w:val="21"/>
              </w:rPr>
            </w:pPr>
            <w:r>
              <w:rPr>
                <w:rFonts w:ascii="宋体"/>
                <w:szCs w:val="21"/>
              </w:rPr>
              <w:t>2)</w:t>
            </w:r>
            <w:r>
              <w:rPr>
                <w:rFonts w:ascii="宋体"/>
                <w:szCs w:val="21"/>
              </w:rPr>
              <w:tab/>
            </w:r>
            <w:r>
              <w:rPr>
                <w:rFonts w:ascii="宋体"/>
                <w:szCs w:val="21"/>
              </w:rPr>
              <w:t>技术要求如下：</w:t>
            </w:r>
          </w:p>
          <w:p>
            <w:pPr>
              <w:ind w:firstLine="630" w:firstLineChars="300"/>
              <w:rPr>
                <w:rFonts w:ascii="宋体"/>
                <w:szCs w:val="21"/>
              </w:rPr>
            </w:pPr>
            <w:r>
              <w:rPr>
                <w:rFonts w:ascii="宋体"/>
                <w:szCs w:val="21"/>
              </w:rPr>
              <w:t>a)</w:t>
            </w:r>
            <w:r>
              <w:rPr>
                <w:rFonts w:ascii="宋体"/>
                <w:szCs w:val="21"/>
              </w:rPr>
              <w:tab/>
            </w:r>
            <w:r>
              <w:rPr>
                <w:rFonts w:ascii="宋体"/>
                <w:szCs w:val="21"/>
              </w:rPr>
              <w:t>电源电压： AC 220 V（80%~110%）</w:t>
            </w:r>
          </w:p>
          <w:p>
            <w:pPr>
              <w:ind w:firstLine="630" w:firstLineChars="300"/>
              <w:rPr>
                <w:rFonts w:ascii="宋体"/>
                <w:szCs w:val="21"/>
              </w:rPr>
            </w:pPr>
            <w:r>
              <w:rPr>
                <w:rFonts w:ascii="宋体"/>
                <w:szCs w:val="21"/>
              </w:rPr>
              <w:t>b)</w:t>
            </w:r>
            <w:r>
              <w:rPr>
                <w:rFonts w:ascii="宋体"/>
                <w:szCs w:val="21"/>
              </w:rPr>
              <w:tab/>
            </w:r>
            <w:r>
              <w:rPr>
                <w:rFonts w:ascii="宋体"/>
                <w:szCs w:val="21"/>
              </w:rPr>
              <w:t>功耗：&lt;18 W 耐压水平（50 Hz，1 min）：2 kV</w:t>
            </w:r>
          </w:p>
          <w:p>
            <w:pPr>
              <w:ind w:firstLine="630" w:firstLineChars="300"/>
              <w:rPr>
                <w:rFonts w:ascii="宋体"/>
                <w:szCs w:val="21"/>
              </w:rPr>
            </w:pPr>
            <w:r>
              <w:rPr>
                <w:rFonts w:ascii="宋体"/>
                <w:szCs w:val="21"/>
              </w:rPr>
              <w:t>c)</w:t>
            </w:r>
            <w:r>
              <w:rPr>
                <w:rFonts w:ascii="宋体"/>
                <w:szCs w:val="21"/>
              </w:rPr>
              <w:tab/>
            </w:r>
            <w:r>
              <w:rPr>
                <w:rFonts w:ascii="宋体"/>
                <w:szCs w:val="21"/>
              </w:rPr>
              <w:t>存储温度范围：-40~85℃ 运行温度范围：-25~55℃</w:t>
            </w:r>
          </w:p>
          <w:p>
            <w:pPr>
              <w:ind w:firstLine="630" w:firstLineChars="300"/>
              <w:rPr>
                <w:rFonts w:ascii="宋体"/>
                <w:szCs w:val="21"/>
              </w:rPr>
            </w:pPr>
            <w:r>
              <w:rPr>
                <w:rFonts w:ascii="宋体"/>
                <w:szCs w:val="21"/>
              </w:rPr>
              <w:t>d)</w:t>
            </w:r>
            <w:r>
              <w:rPr>
                <w:rFonts w:ascii="宋体"/>
                <w:szCs w:val="21"/>
              </w:rPr>
              <w:tab/>
            </w:r>
            <w:r>
              <w:rPr>
                <w:rFonts w:ascii="宋体"/>
                <w:szCs w:val="21"/>
              </w:rPr>
              <w:t>通讯协议：Modbus RTU</w:t>
            </w:r>
          </w:p>
          <w:p>
            <w:pPr>
              <w:rPr>
                <w:rFonts w:ascii="宋体"/>
                <w:szCs w:val="21"/>
              </w:rPr>
            </w:pPr>
            <w:r>
              <w:rPr>
                <w:rFonts w:hint="eastAsia" w:ascii="宋体"/>
                <w:szCs w:val="21"/>
              </w:rPr>
              <w:t>6.3</w:t>
            </w:r>
            <w:r>
              <w:rPr>
                <w:rFonts w:ascii="宋体"/>
                <w:szCs w:val="21"/>
              </w:rPr>
              <w:t xml:space="preserve"> 局放在线监测技术要求</w:t>
            </w:r>
          </w:p>
          <w:p>
            <w:pPr>
              <w:ind w:firstLine="420" w:firstLineChars="200"/>
              <w:rPr>
                <w:rFonts w:ascii="宋体"/>
                <w:szCs w:val="21"/>
              </w:rPr>
            </w:pPr>
            <w:r>
              <w:rPr>
                <w:rFonts w:ascii="宋体"/>
                <w:szCs w:val="21"/>
              </w:rPr>
              <w:t>1)</w:t>
            </w:r>
            <w:r>
              <w:rPr>
                <w:rFonts w:ascii="宋体"/>
                <w:szCs w:val="21"/>
              </w:rPr>
              <w:tab/>
            </w:r>
            <w:r>
              <w:rPr>
                <w:rFonts w:ascii="宋体"/>
                <w:szCs w:val="21"/>
              </w:rPr>
              <w:t>局部放电监测采用脉冲电流法实现局放在线检测原理，该系统能够对开关柜设备内部的局部放电状态进行实时在线监测。</w:t>
            </w:r>
          </w:p>
          <w:p>
            <w:pPr>
              <w:ind w:firstLine="420" w:firstLineChars="200"/>
              <w:rPr>
                <w:rFonts w:ascii="宋体"/>
                <w:szCs w:val="21"/>
              </w:rPr>
            </w:pPr>
            <w:r>
              <w:rPr>
                <w:rFonts w:ascii="宋体"/>
                <w:szCs w:val="21"/>
              </w:rPr>
              <w:t>2)</w:t>
            </w:r>
            <w:r>
              <w:rPr>
                <w:rFonts w:ascii="宋体"/>
                <w:szCs w:val="21"/>
              </w:rPr>
              <w:tab/>
            </w:r>
            <w:r>
              <w:rPr>
                <w:rFonts w:ascii="宋体"/>
                <w:szCs w:val="21"/>
              </w:rPr>
              <w:t>主要技术要求如下：</w:t>
            </w:r>
          </w:p>
          <w:p>
            <w:pPr>
              <w:ind w:firstLine="630" w:firstLineChars="300"/>
              <w:rPr>
                <w:rFonts w:ascii="宋体"/>
                <w:szCs w:val="21"/>
              </w:rPr>
            </w:pPr>
            <w:r>
              <w:rPr>
                <w:rFonts w:ascii="宋体"/>
                <w:szCs w:val="21"/>
              </w:rPr>
              <w:t>a)</w:t>
            </w:r>
            <w:r>
              <w:rPr>
                <w:rFonts w:ascii="宋体"/>
                <w:szCs w:val="21"/>
              </w:rPr>
              <w:tab/>
            </w:r>
            <w:r>
              <w:rPr>
                <w:rFonts w:ascii="宋体"/>
                <w:szCs w:val="21"/>
              </w:rPr>
              <w:t>依据 DIN VDE-0434 / IEC 60270-《局部放电测量》标准；</w:t>
            </w:r>
          </w:p>
          <w:p>
            <w:pPr>
              <w:ind w:firstLine="630" w:firstLineChars="300"/>
              <w:rPr>
                <w:rFonts w:ascii="宋体"/>
                <w:szCs w:val="21"/>
              </w:rPr>
            </w:pPr>
            <w:r>
              <w:rPr>
                <w:rFonts w:ascii="宋体"/>
                <w:szCs w:val="21"/>
              </w:rPr>
              <w:t>b)</w:t>
            </w:r>
            <w:r>
              <w:rPr>
                <w:rFonts w:ascii="宋体"/>
                <w:szCs w:val="21"/>
              </w:rPr>
              <w:tab/>
            </w:r>
            <w:r>
              <w:rPr>
                <w:rFonts w:ascii="宋体"/>
                <w:szCs w:val="21"/>
              </w:rPr>
              <w:t>工业级长期在线监测设计免维护；</w:t>
            </w:r>
          </w:p>
          <w:p>
            <w:pPr>
              <w:ind w:firstLine="630" w:firstLineChars="300"/>
              <w:rPr>
                <w:rFonts w:ascii="宋体"/>
                <w:szCs w:val="21"/>
              </w:rPr>
            </w:pPr>
            <w:r>
              <w:rPr>
                <w:rFonts w:ascii="宋体"/>
                <w:szCs w:val="21"/>
              </w:rPr>
              <w:t>c)</w:t>
            </w:r>
            <w:r>
              <w:rPr>
                <w:rFonts w:ascii="宋体"/>
                <w:szCs w:val="21"/>
              </w:rPr>
              <w:tab/>
            </w:r>
            <w:r>
              <w:rPr>
                <w:rFonts w:ascii="宋体"/>
                <w:szCs w:val="21"/>
              </w:rPr>
              <w:t>测量范围0-30000pC；</w:t>
            </w:r>
          </w:p>
          <w:p>
            <w:pPr>
              <w:ind w:firstLine="630" w:firstLineChars="300"/>
              <w:rPr>
                <w:rFonts w:ascii="宋体"/>
                <w:szCs w:val="21"/>
              </w:rPr>
            </w:pPr>
            <w:r>
              <w:rPr>
                <w:rFonts w:ascii="宋体"/>
                <w:szCs w:val="21"/>
              </w:rPr>
              <w:t>d)</w:t>
            </w:r>
            <w:r>
              <w:rPr>
                <w:rFonts w:ascii="宋体"/>
                <w:szCs w:val="21"/>
              </w:rPr>
              <w:tab/>
            </w:r>
            <w:r>
              <w:rPr>
                <w:rFonts w:ascii="宋体"/>
                <w:szCs w:val="21"/>
              </w:rPr>
              <w:t>与带电显示装置匹配连接设计，安装方便；</w:t>
            </w:r>
          </w:p>
          <w:p>
            <w:pPr>
              <w:ind w:firstLine="630" w:firstLineChars="300"/>
              <w:rPr>
                <w:rFonts w:ascii="宋体"/>
                <w:szCs w:val="21"/>
              </w:rPr>
            </w:pPr>
            <w:r>
              <w:rPr>
                <w:rFonts w:ascii="宋体"/>
                <w:szCs w:val="21"/>
              </w:rPr>
              <w:t>e)</w:t>
            </w:r>
            <w:r>
              <w:rPr>
                <w:rFonts w:ascii="宋体"/>
                <w:szCs w:val="21"/>
              </w:rPr>
              <w:tab/>
            </w:r>
            <w:r>
              <w:rPr>
                <w:rFonts w:ascii="宋体"/>
                <w:szCs w:val="21"/>
              </w:rPr>
              <w:t>每个局放分析主机可扩展到6个监测通道；</w:t>
            </w:r>
          </w:p>
          <w:p>
            <w:pPr>
              <w:ind w:firstLine="630" w:firstLineChars="300"/>
              <w:rPr>
                <w:rFonts w:ascii="宋体"/>
                <w:szCs w:val="21"/>
              </w:rPr>
            </w:pPr>
            <w:r>
              <w:rPr>
                <w:rFonts w:ascii="宋体"/>
                <w:szCs w:val="21"/>
              </w:rPr>
              <w:t>f)</w:t>
            </w:r>
            <w:r>
              <w:rPr>
                <w:rFonts w:ascii="宋体"/>
                <w:szCs w:val="21"/>
              </w:rPr>
              <w:tab/>
            </w:r>
            <w:r>
              <w:rPr>
                <w:rFonts w:ascii="宋体"/>
                <w:szCs w:val="21"/>
              </w:rPr>
              <w:t>自我监测和设备故障报警；</w:t>
            </w:r>
          </w:p>
          <w:p>
            <w:pPr>
              <w:ind w:firstLine="630" w:firstLineChars="300"/>
              <w:rPr>
                <w:rFonts w:ascii="宋体"/>
                <w:szCs w:val="21"/>
              </w:rPr>
            </w:pPr>
            <w:r>
              <w:rPr>
                <w:rFonts w:ascii="宋体"/>
                <w:szCs w:val="21"/>
              </w:rPr>
              <w:t>g)</w:t>
            </w:r>
            <w:r>
              <w:rPr>
                <w:rFonts w:ascii="宋体"/>
                <w:szCs w:val="21"/>
              </w:rPr>
              <w:tab/>
            </w:r>
            <w:r>
              <w:rPr>
                <w:rFonts w:ascii="宋体"/>
                <w:szCs w:val="21"/>
              </w:rPr>
              <w:t>特殊的软硬件抗干扰技术，适应于不同场所的恶劣环境；</w:t>
            </w:r>
          </w:p>
          <w:p>
            <w:pPr>
              <w:ind w:firstLine="630" w:firstLineChars="300"/>
              <w:rPr>
                <w:rFonts w:ascii="宋体"/>
                <w:szCs w:val="21"/>
              </w:rPr>
            </w:pPr>
            <w:r>
              <w:rPr>
                <w:rFonts w:ascii="宋体"/>
                <w:szCs w:val="21"/>
              </w:rPr>
              <w:t>h)</w:t>
            </w:r>
            <w:r>
              <w:rPr>
                <w:rFonts w:ascii="宋体"/>
                <w:szCs w:val="21"/>
              </w:rPr>
              <w:tab/>
            </w:r>
            <w:r>
              <w:rPr>
                <w:rFonts w:ascii="宋体"/>
                <w:szCs w:val="21"/>
              </w:rPr>
              <w:t>每个监测通道都可以由用户自行设定参数；</w:t>
            </w:r>
          </w:p>
          <w:p>
            <w:pPr>
              <w:ind w:firstLine="630" w:firstLineChars="300"/>
              <w:rPr>
                <w:rFonts w:ascii="宋体"/>
                <w:szCs w:val="21"/>
              </w:rPr>
            </w:pPr>
            <w:r>
              <w:rPr>
                <w:rFonts w:ascii="宋体"/>
                <w:szCs w:val="21"/>
              </w:rPr>
              <w:t>i)</w:t>
            </w:r>
            <w:r>
              <w:rPr>
                <w:rFonts w:ascii="宋体"/>
                <w:szCs w:val="21"/>
              </w:rPr>
              <w:tab/>
            </w:r>
            <w:r>
              <w:rPr>
                <w:rFonts w:ascii="宋体"/>
                <w:szCs w:val="21"/>
              </w:rPr>
              <w:t>RS485接口Modbus RTU通讯协议，满足智能监测通讯要求。</w:t>
            </w:r>
          </w:p>
          <w:p>
            <w:pPr>
              <w:rPr>
                <w:rFonts w:ascii="宋体"/>
                <w:szCs w:val="21"/>
              </w:rPr>
            </w:pPr>
            <w:r>
              <w:rPr>
                <w:rFonts w:hint="eastAsia" w:ascii="宋体"/>
                <w:szCs w:val="21"/>
              </w:rPr>
              <w:t>6.4</w:t>
            </w:r>
            <w:r>
              <w:rPr>
                <w:rFonts w:ascii="宋体"/>
                <w:szCs w:val="21"/>
              </w:rPr>
              <w:t xml:space="preserve"> 顺序化支持功能</w:t>
            </w:r>
          </w:p>
          <w:p>
            <w:pPr>
              <w:ind w:firstLine="420" w:firstLineChars="200"/>
              <w:rPr>
                <w:rFonts w:ascii="宋体"/>
                <w:szCs w:val="21"/>
              </w:rPr>
            </w:pPr>
            <w:r>
              <w:rPr>
                <w:rFonts w:hint="eastAsia" w:ascii="宋体"/>
                <w:szCs w:val="21"/>
              </w:rPr>
              <w:t>断路器手车、地刀能够实现电动操作，并且支持本地（开关柜）顺序化操作，也同时支持远方遥控顺序化控制操作。</w:t>
            </w:r>
          </w:p>
          <w:p>
            <w:pPr>
              <w:rPr>
                <w:rFonts w:ascii="宋体"/>
                <w:szCs w:val="21"/>
              </w:rPr>
            </w:pPr>
            <w:r>
              <w:rPr>
                <w:rFonts w:hint="eastAsia" w:ascii="宋体"/>
                <w:szCs w:val="21"/>
              </w:rPr>
              <w:t>6.5</w:t>
            </w:r>
            <w:r>
              <w:rPr>
                <w:rFonts w:ascii="宋体"/>
                <w:szCs w:val="21"/>
              </w:rPr>
              <w:t xml:space="preserve"> 微机保护技术要求</w:t>
            </w:r>
          </w:p>
          <w:p>
            <w:pPr>
              <w:ind w:firstLine="420" w:firstLineChars="200"/>
              <w:rPr>
                <w:rFonts w:ascii="宋体"/>
                <w:szCs w:val="21"/>
              </w:rPr>
            </w:pPr>
            <w:r>
              <w:rPr>
                <w:rFonts w:ascii="宋体"/>
                <w:szCs w:val="21"/>
              </w:rPr>
              <w:t>1)</w:t>
            </w:r>
            <w:r>
              <w:rPr>
                <w:rFonts w:ascii="宋体"/>
                <w:szCs w:val="21"/>
              </w:rPr>
              <w:tab/>
            </w:r>
            <w:r>
              <w:rPr>
                <w:rFonts w:ascii="宋体"/>
                <w:szCs w:val="21"/>
              </w:rPr>
              <w:t>微机保护采用全密封机箱，使之具有高度的可靠性，具有</w:t>
            </w:r>
            <w:r>
              <w:rPr>
                <w:rFonts w:hint="eastAsia" w:ascii="宋体"/>
                <w:szCs w:val="21"/>
              </w:rPr>
              <w:t>很</w:t>
            </w:r>
            <w:r>
              <w:rPr>
                <w:rFonts w:ascii="宋体"/>
                <w:szCs w:val="21"/>
              </w:rPr>
              <w:t>强的抗电磁干扰能力。</w:t>
            </w:r>
          </w:p>
          <w:p>
            <w:pPr>
              <w:ind w:firstLine="420" w:firstLineChars="200"/>
              <w:rPr>
                <w:rFonts w:ascii="宋体"/>
                <w:szCs w:val="21"/>
              </w:rPr>
            </w:pPr>
            <w:r>
              <w:rPr>
                <w:rFonts w:ascii="宋体"/>
                <w:szCs w:val="21"/>
              </w:rPr>
              <w:t>2)</w:t>
            </w:r>
            <w:r>
              <w:rPr>
                <w:rFonts w:ascii="宋体"/>
                <w:szCs w:val="21"/>
              </w:rPr>
              <w:tab/>
            </w:r>
            <w:r>
              <w:rPr>
                <w:rFonts w:ascii="宋体"/>
                <w:szCs w:val="21"/>
              </w:rPr>
              <w:t>机箱前面可抽出或后面模块化可抽出设计。</w:t>
            </w:r>
          </w:p>
          <w:p>
            <w:pPr>
              <w:ind w:firstLine="420" w:firstLineChars="200"/>
              <w:rPr>
                <w:rFonts w:ascii="宋体"/>
                <w:szCs w:val="21"/>
              </w:rPr>
            </w:pPr>
            <w:r>
              <w:rPr>
                <w:rFonts w:ascii="宋体"/>
                <w:szCs w:val="21"/>
              </w:rPr>
              <w:t>3)</w:t>
            </w:r>
            <w:r>
              <w:rPr>
                <w:rFonts w:ascii="宋体"/>
                <w:szCs w:val="21"/>
              </w:rPr>
              <w:tab/>
            </w:r>
            <w:r>
              <w:rPr>
                <w:rFonts w:ascii="宋体"/>
                <w:szCs w:val="21"/>
              </w:rPr>
              <w:t>所有可编程指示灯需用三种颜色区分不同状态。</w:t>
            </w:r>
          </w:p>
          <w:p>
            <w:pPr>
              <w:ind w:firstLine="420" w:firstLineChars="200"/>
              <w:rPr>
                <w:rFonts w:ascii="宋体"/>
                <w:szCs w:val="21"/>
              </w:rPr>
            </w:pPr>
            <w:r>
              <w:rPr>
                <w:rFonts w:ascii="宋体"/>
                <w:szCs w:val="21"/>
              </w:rPr>
              <w:t>4)</w:t>
            </w:r>
            <w:r>
              <w:rPr>
                <w:rFonts w:ascii="宋体"/>
                <w:szCs w:val="21"/>
              </w:rPr>
              <w:tab/>
            </w:r>
            <w:r>
              <w:rPr>
                <w:rFonts w:ascii="宋体"/>
                <w:szCs w:val="21"/>
              </w:rPr>
              <w:t>每回路开关柜安装的保护装置应具有全电量测量功能，能测量三相电压、三相电流等。</w:t>
            </w:r>
          </w:p>
          <w:p>
            <w:pPr>
              <w:ind w:firstLine="420" w:firstLineChars="200"/>
              <w:rPr>
                <w:rFonts w:ascii="宋体"/>
                <w:szCs w:val="21"/>
              </w:rPr>
            </w:pPr>
            <w:r>
              <w:rPr>
                <w:rFonts w:ascii="宋体"/>
                <w:szCs w:val="21"/>
              </w:rPr>
              <w:t>5)</w:t>
            </w:r>
            <w:r>
              <w:rPr>
                <w:rFonts w:ascii="宋体"/>
                <w:szCs w:val="21"/>
              </w:rPr>
              <w:tab/>
            </w:r>
            <w:r>
              <w:rPr>
                <w:rFonts w:ascii="宋体"/>
                <w:szCs w:val="21"/>
              </w:rPr>
              <w:t>开关量输入≥18个，开关量输出≥10个。</w:t>
            </w:r>
          </w:p>
          <w:p>
            <w:pPr>
              <w:ind w:firstLine="420" w:firstLineChars="200"/>
              <w:rPr>
                <w:rFonts w:ascii="宋体"/>
                <w:szCs w:val="21"/>
              </w:rPr>
            </w:pPr>
            <w:r>
              <w:rPr>
                <w:rFonts w:ascii="宋体"/>
                <w:szCs w:val="21"/>
              </w:rPr>
              <w:t>6)</w:t>
            </w:r>
            <w:r>
              <w:rPr>
                <w:rFonts w:ascii="宋体"/>
                <w:szCs w:val="21"/>
              </w:rPr>
              <w:tab/>
            </w:r>
            <w:r>
              <w:rPr>
                <w:rFonts w:ascii="宋体"/>
                <w:szCs w:val="21"/>
              </w:rPr>
              <w:t>支持IEC61850 ED2协议。</w:t>
            </w:r>
          </w:p>
          <w:p>
            <w:pPr>
              <w:ind w:firstLine="420" w:firstLineChars="200"/>
              <w:rPr>
                <w:rFonts w:ascii="宋体"/>
                <w:szCs w:val="21"/>
              </w:rPr>
            </w:pPr>
            <w:r>
              <w:rPr>
                <w:rFonts w:ascii="宋体"/>
                <w:szCs w:val="21"/>
              </w:rPr>
              <w:t>7)</w:t>
            </w:r>
            <w:r>
              <w:rPr>
                <w:rFonts w:ascii="宋体"/>
                <w:szCs w:val="21"/>
              </w:rPr>
              <w:tab/>
            </w:r>
            <w:r>
              <w:rPr>
                <w:rFonts w:ascii="宋体"/>
                <w:szCs w:val="21"/>
              </w:rPr>
              <w:t>微机保护通讯应采用模块化设计。</w:t>
            </w:r>
          </w:p>
          <w:p>
            <w:pPr>
              <w:ind w:firstLine="420" w:firstLineChars="200"/>
              <w:rPr>
                <w:rFonts w:ascii="宋体"/>
                <w:szCs w:val="21"/>
              </w:rPr>
            </w:pPr>
            <w:r>
              <w:rPr>
                <w:rFonts w:ascii="宋体"/>
                <w:szCs w:val="21"/>
              </w:rPr>
              <w:t>8)</w:t>
            </w:r>
            <w:r>
              <w:rPr>
                <w:rFonts w:ascii="宋体"/>
                <w:szCs w:val="21"/>
              </w:rPr>
              <w:tab/>
            </w:r>
            <w:r>
              <w:rPr>
                <w:rFonts w:ascii="宋体"/>
                <w:szCs w:val="21"/>
              </w:rPr>
              <w:t>支持馈线保护。</w:t>
            </w:r>
          </w:p>
          <w:p>
            <w:pPr>
              <w:ind w:firstLine="420" w:firstLineChars="200"/>
              <w:rPr>
                <w:rFonts w:ascii="宋体"/>
                <w:szCs w:val="21"/>
              </w:rPr>
            </w:pPr>
            <w:r>
              <w:rPr>
                <w:rFonts w:ascii="宋体"/>
                <w:szCs w:val="21"/>
              </w:rPr>
              <w:t>9)</w:t>
            </w:r>
            <w:r>
              <w:rPr>
                <w:rFonts w:ascii="宋体"/>
                <w:szCs w:val="21"/>
              </w:rPr>
              <w:tab/>
            </w:r>
            <w:r>
              <w:rPr>
                <w:rFonts w:ascii="宋体"/>
                <w:szCs w:val="21"/>
              </w:rPr>
              <w:t>支持顺控功能。</w:t>
            </w:r>
          </w:p>
          <w:p>
            <w:pPr>
              <w:ind w:firstLine="420" w:firstLineChars="200"/>
              <w:rPr>
                <w:rFonts w:ascii="宋体"/>
                <w:szCs w:val="21"/>
              </w:rPr>
            </w:pPr>
            <w:r>
              <w:rPr>
                <w:rFonts w:ascii="宋体"/>
                <w:szCs w:val="21"/>
              </w:rPr>
              <w:t>10)微机保护应具备弧光监测的功能，弧光探头安装在母线室。</w:t>
            </w:r>
          </w:p>
          <w:p>
            <w:pPr>
              <w:rPr>
                <w:rFonts w:ascii="宋体"/>
                <w:szCs w:val="21"/>
              </w:rPr>
            </w:pPr>
            <w:r>
              <w:rPr>
                <w:rFonts w:hint="eastAsia" w:ascii="宋体"/>
                <w:szCs w:val="21"/>
              </w:rPr>
              <w:t>6.6</w:t>
            </w:r>
            <w:r>
              <w:rPr>
                <w:rFonts w:ascii="宋体"/>
                <w:szCs w:val="21"/>
              </w:rPr>
              <w:t xml:space="preserve"> 智能中压断路器配柜在线监测装置与开关柜的配柜型式技术要求</w:t>
            </w:r>
          </w:p>
          <w:p>
            <w:pPr>
              <w:ind w:firstLine="420" w:firstLineChars="200"/>
              <w:rPr>
                <w:rFonts w:ascii="宋体"/>
                <w:szCs w:val="21"/>
              </w:rPr>
            </w:pPr>
            <w:r>
              <w:rPr>
                <w:rFonts w:ascii="宋体"/>
                <w:szCs w:val="21"/>
              </w:rPr>
              <w:t>1)</w:t>
            </w:r>
            <w:r>
              <w:rPr>
                <w:rFonts w:ascii="宋体"/>
                <w:szCs w:val="21"/>
              </w:rPr>
              <w:tab/>
            </w:r>
            <w:r>
              <w:rPr>
                <w:rFonts w:ascii="宋体"/>
                <w:szCs w:val="21"/>
              </w:rPr>
              <w:t>断路器配柜在线监测可实现监测断路器与开关柜的配合是否到位，有效预知蛮力操作导致的横梁等变形，避免断路器手车位置操作不到位而导致的温升及绝缘事故的发生。</w:t>
            </w:r>
          </w:p>
          <w:p>
            <w:pPr>
              <w:ind w:firstLine="420" w:firstLineChars="200"/>
              <w:rPr>
                <w:rFonts w:ascii="宋体"/>
                <w:szCs w:val="21"/>
              </w:rPr>
            </w:pPr>
            <w:r>
              <w:rPr>
                <w:rFonts w:ascii="宋体"/>
                <w:szCs w:val="21"/>
              </w:rPr>
              <w:t>2)</w:t>
            </w:r>
            <w:r>
              <w:rPr>
                <w:rFonts w:ascii="宋体"/>
                <w:szCs w:val="21"/>
              </w:rPr>
              <w:tab/>
            </w:r>
            <w:r>
              <w:rPr>
                <w:rFonts w:ascii="宋体"/>
                <w:szCs w:val="21"/>
              </w:rPr>
              <w:t>采用红外传感器监测断路器手车的位移距离；当手车不在工作位置时，手车到位图标会闪烁；</w:t>
            </w:r>
          </w:p>
          <w:p>
            <w:pPr>
              <w:ind w:firstLine="420" w:firstLineChars="200"/>
              <w:rPr>
                <w:rFonts w:ascii="宋体"/>
                <w:szCs w:val="21"/>
              </w:rPr>
            </w:pPr>
            <w:r>
              <w:rPr>
                <w:rFonts w:ascii="宋体"/>
                <w:szCs w:val="21"/>
              </w:rPr>
              <w:t>3)</w:t>
            </w:r>
            <w:r>
              <w:rPr>
                <w:rFonts w:ascii="宋体"/>
                <w:szCs w:val="21"/>
              </w:rPr>
              <w:tab/>
            </w:r>
            <w:r>
              <w:rPr>
                <w:rFonts w:ascii="宋体"/>
                <w:szCs w:val="21"/>
              </w:rPr>
              <w:t>具备报警日志。</w:t>
            </w:r>
          </w:p>
          <w:p>
            <w:pPr>
              <w:rPr>
                <w:rFonts w:ascii="宋体"/>
                <w:szCs w:val="21"/>
              </w:rPr>
            </w:pPr>
            <w:r>
              <w:rPr>
                <w:rFonts w:hint="eastAsia" w:ascii="宋体"/>
                <w:szCs w:val="21"/>
              </w:rPr>
              <w:t>6.7</w:t>
            </w:r>
            <w:r>
              <w:rPr>
                <w:rFonts w:ascii="宋体"/>
                <w:szCs w:val="21"/>
              </w:rPr>
              <w:t xml:space="preserve"> 视频监测技术要求</w:t>
            </w:r>
          </w:p>
          <w:p>
            <w:pPr>
              <w:ind w:firstLine="420" w:firstLineChars="200"/>
              <w:rPr>
                <w:rFonts w:ascii="宋体"/>
                <w:szCs w:val="21"/>
              </w:rPr>
            </w:pPr>
            <w:r>
              <w:rPr>
                <w:rFonts w:hint="eastAsia" w:ascii="宋体"/>
                <w:szCs w:val="21"/>
              </w:rPr>
              <w:t>★</w:t>
            </w:r>
            <w:r>
              <w:rPr>
                <w:rFonts w:ascii="宋体"/>
                <w:szCs w:val="21"/>
              </w:rPr>
              <w:t xml:space="preserve">1) 可监控进线柜的断路器室（活门，小车状态）和电缆室(地刀状态) </w:t>
            </w:r>
          </w:p>
          <w:p>
            <w:pPr>
              <w:ind w:firstLine="420" w:firstLineChars="200"/>
              <w:rPr>
                <w:rFonts w:ascii="宋体"/>
                <w:szCs w:val="21"/>
              </w:rPr>
            </w:pPr>
            <w:r>
              <w:rPr>
                <w:rFonts w:ascii="宋体"/>
                <w:szCs w:val="21"/>
              </w:rPr>
              <w:t>2)</w:t>
            </w:r>
            <w:r>
              <w:rPr>
                <w:rFonts w:ascii="宋体"/>
                <w:szCs w:val="21"/>
              </w:rPr>
              <w:tab/>
            </w:r>
            <w:r>
              <w:rPr>
                <w:rFonts w:ascii="宋体"/>
                <w:szCs w:val="21"/>
              </w:rPr>
              <w:t>摄像头参数：</w:t>
            </w:r>
          </w:p>
          <w:p>
            <w:pPr>
              <w:ind w:firstLine="420" w:firstLineChars="200"/>
              <w:rPr>
                <w:rFonts w:ascii="宋体"/>
                <w:szCs w:val="21"/>
              </w:rPr>
            </w:pPr>
            <w:r>
              <w:rPr>
                <w:rFonts w:ascii="宋体"/>
                <w:szCs w:val="21"/>
              </w:rPr>
              <w:tab/>
            </w:r>
            <w:r>
              <w:rPr>
                <w:rFonts w:ascii="宋体"/>
                <w:szCs w:val="21"/>
              </w:rPr>
              <w:t>数量：2</w:t>
            </w:r>
          </w:p>
          <w:p>
            <w:pPr>
              <w:ind w:firstLine="420" w:firstLineChars="200"/>
              <w:rPr>
                <w:rFonts w:ascii="宋体"/>
                <w:szCs w:val="21"/>
              </w:rPr>
            </w:pPr>
            <w:r>
              <w:rPr>
                <w:rFonts w:ascii="宋体"/>
                <w:szCs w:val="21"/>
              </w:rPr>
              <w:tab/>
            </w:r>
            <w:r>
              <w:rPr>
                <w:rFonts w:ascii="宋体"/>
                <w:szCs w:val="21"/>
              </w:rPr>
              <w:t>带32G以上存储卡</w:t>
            </w:r>
          </w:p>
          <w:p>
            <w:pPr>
              <w:ind w:firstLine="420" w:firstLineChars="200"/>
              <w:rPr>
                <w:rFonts w:ascii="宋体"/>
                <w:szCs w:val="21"/>
              </w:rPr>
            </w:pPr>
            <w:r>
              <w:rPr>
                <w:rFonts w:ascii="宋体"/>
                <w:szCs w:val="21"/>
              </w:rPr>
              <w:tab/>
            </w:r>
            <w:r>
              <w:rPr>
                <w:rFonts w:ascii="宋体"/>
                <w:szCs w:val="21"/>
              </w:rPr>
              <w:t>300万以上像素</w:t>
            </w:r>
          </w:p>
          <w:p>
            <w:pPr>
              <w:ind w:firstLine="420" w:firstLineChars="200"/>
              <w:rPr>
                <w:rFonts w:ascii="宋体"/>
                <w:szCs w:val="21"/>
              </w:rPr>
            </w:pPr>
            <w:r>
              <w:rPr>
                <w:rFonts w:hint="eastAsia" w:ascii="宋体"/>
                <w:szCs w:val="21"/>
              </w:rPr>
              <w:t>具备客户端软件实时监视状态</w:t>
            </w:r>
          </w:p>
          <w:p>
            <w:pPr>
              <w:rPr>
                <w:rFonts w:ascii="宋体"/>
                <w:szCs w:val="21"/>
              </w:rPr>
            </w:pPr>
            <w:r>
              <w:rPr>
                <w:rFonts w:hint="eastAsia" w:ascii="宋体"/>
                <w:szCs w:val="21"/>
              </w:rPr>
              <w:t>6.8</w:t>
            </w:r>
            <w:r>
              <w:rPr>
                <w:rFonts w:ascii="宋体"/>
                <w:szCs w:val="21"/>
              </w:rPr>
              <w:t xml:space="preserve"> 智能化通讯设备</w:t>
            </w:r>
          </w:p>
          <w:p>
            <w:pPr>
              <w:ind w:firstLine="420" w:firstLineChars="200"/>
              <w:rPr>
                <w:rFonts w:ascii="宋体"/>
                <w:szCs w:val="21"/>
              </w:rPr>
            </w:pPr>
            <w:r>
              <w:rPr>
                <w:rFonts w:hint="eastAsia" w:ascii="宋体"/>
                <w:szCs w:val="21"/>
              </w:rPr>
              <w:t>柜内应具有智能化网关、交换机等，应具备现场总线到以太网之间的型号转变的功能，以实现智能设备与相关软件及平台的通讯功能。</w:t>
            </w:r>
          </w:p>
          <w:p>
            <w:pPr>
              <w:rPr>
                <w:rFonts w:ascii="宋体"/>
                <w:b/>
                <w:bCs/>
                <w:szCs w:val="21"/>
              </w:rPr>
            </w:pPr>
            <w:r>
              <w:rPr>
                <w:rFonts w:hint="eastAsia" w:ascii="宋体"/>
                <w:b/>
                <w:bCs/>
                <w:szCs w:val="21"/>
              </w:rPr>
              <w:t>7、</w:t>
            </w:r>
            <w:r>
              <w:rPr>
                <w:rFonts w:ascii="宋体"/>
                <w:b/>
                <w:bCs/>
                <w:szCs w:val="21"/>
              </w:rPr>
              <w:t>智能中压馈线开关柜智能技术要求</w:t>
            </w:r>
          </w:p>
          <w:p>
            <w:pPr>
              <w:ind w:firstLine="420" w:firstLineChars="200"/>
              <w:rPr>
                <w:rFonts w:ascii="宋体"/>
                <w:szCs w:val="21"/>
              </w:rPr>
            </w:pPr>
            <w:r>
              <w:rPr>
                <w:rFonts w:ascii="宋体"/>
                <w:szCs w:val="21"/>
              </w:rPr>
              <w:t>1)</w:t>
            </w:r>
            <w:r>
              <w:rPr>
                <w:rFonts w:ascii="宋体"/>
                <w:szCs w:val="21"/>
              </w:rPr>
              <w:tab/>
            </w:r>
            <w:r>
              <w:rPr>
                <w:rFonts w:ascii="宋体"/>
                <w:szCs w:val="21"/>
              </w:rPr>
              <w:t>智能中压馈线柜采用自动断路器手车及地刀，通过顺控柜实现一键顺控功能；</w:t>
            </w:r>
          </w:p>
          <w:p>
            <w:pPr>
              <w:ind w:firstLine="420" w:firstLineChars="200"/>
              <w:rPr>
                <w:rFonts w:ascii="宋体"/>
                <w:szCs w:val="21"/>
              </w:rPr>
            </w:pPr>
            <w:r>
              <w:rPr>
                <w:rFonts w:ascii="宋体"/>
                <w:szCs w:val="21"/>
              </w:rPr>
              <w:t>2)</w:t>
            </w:r>
            <w:r>
              <w:rPr>
                <w:rFonts w:ascii="宋体"/>
                <w:szCs w:val="21"/>
              </w:rPr>
              <w:tab/>
            </w:r>
            <w:r>
              <w:rPr>
                <w:rFonts w:ascii="宋体"/>
                <w:szCs w:val="21"/>
              </w:rPr>
              <w:t>智能中压馈线柜微机保护装置应支持顺控功能。</w:t>
            </w:r>
          </w:p>
          <w:p>
            <w:pPr>
              <w:rPr>
                <w:rFonts w:ascii="宋体"/>
                <w:b/>
                <w:bCs/>
                <w:szCs w:val="21"/>
              </w:rPr>
            </w:pPr>
            <w:r>
              <w:rPr>
                <w:rFonts w:hint="eastAsia" w:ascii="宋体"/>
                <w:b/>
                <w:bCs/>
                <w:szCs w:val="21"/>
              </w:rPr>
              <w:t>8、</w:t>
            </w:r>
            <w:r>
              <w:rPr>
                <w:rFonts w:ascii="宋体"/>
                <w:b/>
                <w:bCs/>
                <w:szCs w:val="21"/>
              </w:rPr>
              <w:t>移动运维技术要求</w:t>
            </w:r>
          </w:p>
          <w:p>
            <w:pPr>
              <w:ind w:firstLine="420" w:firstLineChars="200"/>
              <w:rPr>
                <w:rFonts w:ascii="宋体"/>
                <w:szCs w:val="21"/>
              </w:rPr>
            </w:pPr>
            <w:r>
              <w:rPr>
                <w:rFonts w:hint="eastAsia" w:ascii="宋体"/>
                <w:szCs w:val="21"/>
              </w:rPr>
              <w:t>★</w:t>
            </w:r>
            <w:r>
              <w:rPr>
                <w:rFonts w:ascii="宋体"/>
                <w:szCs w:val="21"/>
              </w:rPr>
              <w:t>1)</w:t>
            </w:r>
            <w:r>
              <w:rPr>
                <w:rFonts w:ascii="宋体"/>
                <w:szCs w:val="21"/>
              </w:rPr>
              <w:tab/>
            </w:r>
            <w:r>
              <w:rPr>
                <w:rFonts w:ascii="宋体"/>
                <w:szCs w:val="21"/>
              </w:rPr>
              <w:t>为便于中压开关柜的运行维护及资产管理，系统应配置基于云平台的远程监管系统，智能中压柜应与该平台具有良好的兼容性，响应文件中需提供具有经中国合格评定国家认可委员会（CNAS）认可的第三方检测机构出具的相关的检测报告。</w:t>
            </w:r>
          </w:p>
          <w:p>
            <w:pPr>
              <w:ind w:firstLine="420" w:firstLineChars="200"/>
              <w:rPr>
                <w:rFonts w:ascii="宋体"/>
                <w:szCs w:val="21"/>
              </w:rPr>
            </w:pPr>
            <w:r>
              <w:rPr>
                <w:rFonts w:ascii="宋体"/>
                <w:szCs w:val="21"/>
              </w:rPr>
              <w:t>2)</w:t>
            </w:r>
            <w:r>
              <w:rPr>
                <w:rFonts w:ascii="宋体"/>
                <w:szCs w:val="21"/>
              </w:rPr>
              <w:tab/>
            </w:r>
            <w:r>
              <w:rPr>
                <w:rFonts w:ascii="宋体"/>
                <w:szCs w:val="21"/>
              </w:rPr>
              <w:t>实现本地状态量、电气量、温度信息、设备信息以及变压器温度状态等数据的定期发布，云端对数据进线存储、运算、分析，并可通过工控机在本地监管或通过移动设备（智能手机APP）远程监管，实现移动运维功能包括：工单管理、报警管理、资产管理等。</w:t>
            </w:r>
          </w:p>
          <w:p>
            <w:pPr>
              <w:rPr>
                <w:rFonts w:ascii="宋体"/>
                <w:b/>
                <w:bCs/>
                <w:szCs w:val="21"/>
              </w:rPr>
            </w:pPr>
            <w:r>
              <w:rPr>
                <w:rFonts w:ascii="宋体"/>
                <w:b/>
                <w:bCs/>
                <w:szCs w:val="21"/>
              </w:rPr>
              <w:t>9</w:t>
            </w:r>
            <w:r>
              <w:rPr>
                <w:rFonts w:hint="eastAsia" w:ascii="宋体"/>
                <w:b/>
                <w:bCs/>
                <w:szCs w:val="21"/>
              </w:rPr>
              <w:t>、配套教学资源</w:t>
            </w:r>
          </w:p>
          <w:p>
            <w:pPr>
              <w:rPr>
                <w:rFonts w:ascii="宋体"/>
                <w:szCs w:val="21"/>
              </w:rPr>
            </w:pPr>
            <w:r>
              <w:rPr>
                <w:rFonts w:ascii="宋体"/>
                <w:szCs w:val="21"/>
              </w:rPr>
              <w:t>9</w:t>
            </w:r>
            <w:r>
              <w:rPr>
                <w:rFonts w:hint="eastAsia" w:ascii="宋体"/>
                <w:szCs w:val="21"/>
              </w:rPr>
              <w:t>.1总体要求</w:t>
            </w:r>
          </w:p>
          <w:p>
            <w:pPr>
              <w:ind w:firstLine="420" w:firstLineChars="200"/>
              <w:rPr>
                <w:rFonts w:ascii="宋体"/>
                <w:szCs w:val="21"/>
              </w:rPr>
            </w:pPr>
            <w:r>
              <w:rPr>
                <w:rFonts w:hint="eastAsia" w:ascii="宋体"/>
                <w:szCs w:val="21"/>
              </w:rPr>
              <w:t>作为智能配电中压柜装置的辅助教学工具，要求具备混合现实课程帮助学生在现实世界、虚拟世界之间搭起一个交互反馈的信息回路，以增强学习的真实感。让抽象的教学变得更加具象化，能使所教内容一目了然，解决教学过程中柜体体积过大、无法清晰的查看内部结构、操作危险性、柜体拆解浪费资源和空间等等困难和问题。</w:t>
            </w:r>
          </w:p>
          <w:p>
            <w:pPr>
              <w:rPr>
                <w:rFonts w:ascii="宋体"/>
                <w:szCs w:val="21"/>
              </w:rPr>
            </w:pPr>
            <w:r>
              <w:rPr>
                <w:rFonts w:ascii="宋体"/>
                <w:szCs w:val="21"/>
              </w:rPr>
              <w:t>9</w:t>
            </w:r>
            <w:r>
              <w:rPr>
                <w:rFonts w:hint="eastAsia" w:ascii="宋体"/>
                <w:szCs w:val="21"/>
              </w:rPr>
              <w:t>.</w:t>
            </w:r>
            <w:r>
              <w:rPr>
                <w:rFonts w:ascii="宋体"/>
                <w:szCs w:val="21"/>
              </w:rPr>
              <w:t>2</w:t>
            </w:r>
            <w:r>
              <w:rPr>
                <w:rFonts w:hint="eastAsia" w:ascii="宋体"/>
                <w:szCs w:val="21"/>
              </w:rPr>
              <w:t xml:space="preserve"> 课程基本功能要求</w:t>
            </w:r>
          </w:p>
          <w:p>
            <w:pPr>
              <w:ind w:firstLine="420" w:firstLineChars="200"/>
              <w:rPr>
                <w:rFonts w:ascii="宋体"/>
                <w:szCs w:val="21"/>
              </w:rPr>
            </w:pPr>
            <w:r>
              <w:rPr>
                <w:rFonts w:hint="eastAsia" w:ascii="宋体"/>
                <w:szCs w:val="21"/>
              </w:rPr>
              <w:t>混合现实课程应能实现柜体结构操作及原理教学，需构建智能中压柜的混合现实模型，包括柜体及内部的主要元器件，实现以下功能：</w:t>
            </w:r>
          </w:p>
          <w:p>
            <w:pPr>
              <w:ind w:firstLine="420" w:firstLineChars="200"/>
              <w:rPr>
                <w:rFonts w:ascii="宋体"/>
                <w:szCs w:val="21"/>
              </w:rPr>
            </w:pPr>
            <w:r>
              <w:rPr>
                <w:rFonts w:hint="eastAsia" w:ascii="宋体"/>
                <w:szCs w:val="21"/>
              </w:rPr>
              <w:t>1)柜体及元件能够方便的放大及缩小；</w:t>
            </w:r>
          </w:p>
          <w:p>
            <w:pPr>
              <w:ind w:firstLine="420" w:firstLineChars="200"/>
              <w:rPr>
                <w:rFonts w:ascii="宋体"/>
                <w:szCs w:val="21"/>
              </w:rPr>
            </w:pPr>
            <w:r>
              <w:rPr>
                <w:rFonts w:ascii="宋体"/>
                <w:szCs w:val="21"/>
              </w:rPr>
              <w:t>2)</w:t>
            </w:r>
            <w:r>
              <w:rPr>
                <w:rFonts w:hint="eastAsia" w:ascii="宋体"/>
                <w:szCs w:val="21"/>
              </w:rPr>
              <w:t>柜体及元件能够进行拆解成独立器件，并进行旋转便于讲解；</w:t>
            </w:r>
          </w:p>
          <w:p>
            <w:pPr>
              <w:ind w:firstLine="420" w:firstLineChars="200"/>
              <w:rPr>
                <w:rFonts w:ascii="宋体"/>
                <w:szCs w:val="21"/>
              </w:rPr>
            </w:pPr>
            <w:r>
              <w:rPr>
                <w:rFonts w:ascii="宋体"/>
                <w:szCs w:val="21"/>
              </w:rPr>
              <w:t>3)</w:t>
            </w:r>
            <w:r>
              <w:rPr>
                <w:rFonts w:hint="eastAsia" w:ascii="宋体"/>
                <w:szCs w:val="21"/>
              </w:rPr>
              <w:t>拆解后的元器件需要可以摆放到制定的位置；</w:t>
            </w:r>
          </w:p>
          <w:p>
            <w:pPr>
              <w:ind w:firstLine="420" w:firstLineChars="200"/>
              <w:rPr>
                <w:rFonts w:ascii="宋体"/>
                <w:szCs w:val="21"/>
              </w:rPr>
            </w:pPr>
            <w:r>
              <w:rPr>
                <w:rFonts w:ascii="宋体"/>
                <w:szCs w:val="21"/>
              </w:rPr>
              <w:t>4)</w:t>
            </w:r>
            <w:r>
              <w:rPr>
                <w:rFonts w:hint="eastAsia" w:ascii="宋体"/>
                <w:szCs w:val="21"/>
              </w:rPr>
              <w:t>拆解后的元器件可以还原；</w:t>
            </w:r>
          </w:p>
          <w:p>
            <w:pPr>
              <w:ind w:firstLine="420" w:firstLineChars="200"/>
              <w:rPr>
                <w:rFonts w:ascii="宋体"/>
                <w:szCs w:val="21"/>
              </w:rPr>
            </w:pPr>
            <w:r>
              <w:rPr>
                <w:rFonts w:ascii="宋体"/>
                <w:szCs w:val="21"/>
              </w:rPr>
              <w:t>5)</w:t>
            </w:r>
            <w:r>
              <w:rPr>
                <w:rFonts w:hint="eastAsia" w:ascii="宋体"/>
                <w:szCs w:val="21"/>
              </w:rPr>
              <w:t>对于每一个拆解的元器件需要配有简单的语音介绍；</w:t>
            </w:r>
          </w:p>
          <w:p>
            <w:pPr>
              <w:ind w:firstLine="420" w:firstLineChars="200"/>
              <w:rPr>
                <w:rFonts w:ascii="宋体" w:hAnsi="宋体"/>
                <w:szCs w:val="21"/>
              </w:rPr>
            </w:pPr>
            <w:r>
              <w:rPr>
                <w:rFonts w:hint="eastAsia" w:ascii="宋体" w:hAnsi="宋体"/>
                <w:szCs w:val="21"/>
              </w:rPr>
              <w:t>★</w:t>
            </w:r>
            <w:r>
              <w:rPr>
                <w:rFonts w:hint="eastAsia" w:ascii="宋体"/>
                <w:szCs w:val="21"/>
              </w:rPr>
              <w:t>投标方需提供满足上述需求的虚拟仿真中压教学系统课程中，设备分解功能、拖拽功能、悬浮窗口文字说明功能的3个课程演示截图。</w:t>
            </w:r>
          </w:p>
          <w:p>
            <w:pPr>
              <w:rPr>
                <w:rFonts w:ascii="宋体"/>
                <w:szCs w:val="21"/>
              </w:rPr>
            </w:pPr>
            <w:r>
              <w:rPr>
                <w:rFonts w:ascii="宋体"/>
                <w:szCs w:val="21"/>
              </w:rPr>
              <w:t>9</w:t>
            </w:r>
            <w:r>
              <w:rPr>
                <w:rFonts w:hint="eastAsia" w:ascii="宋体"/>
                <w:szCs w:val="21"/>
              </w:rPr>
              <w:t>.3</w:t>
            </w:r>
            <w:r>
              <w:rPr>
                <w:rFonts w:ascii="宋体"/>
                <w:szCs w:val="21"/>
              </w:rPr>
              <w:t xml:space="preserve"> </w:t>
            </w:r>
            <w:r>
              <w:rPr>
                <w:rFonts w:hint="eastAsia" w:ascii="宋体"/>
                <w:szCs w:val="21"/>
              </w:rPr>
              <w:t>智能中压柜运维操作及五防原理教学功能要求</w:t>
            </w:r>
          </w:p>
          <w:p>
            <w:pPr>
              <w:ind w:firstLine="420" w:firstLineChars="200"/>
              <w:rPr>
                <w:rFonts w:ascii="宋体"/>
                <w:szCs w:val="21"/>
              </w:rPr>
            </w:pPr>
            <w:r>
              <w:rPr>
                <w:rFonts w:hint="eastAsia" w:ascii="宋体"/>
                <w:szCs w:val="21"/>
              </w:rPr>
              <w:t>依托实物柜体，完成相关的运维操作，包括断路器的分合闸操作、断路器的更换（摇进摇出）、航空插的插拔操作、接地刀闸的操作，在演示的过程中体现相关的工作原理，包括联锁原理、真空灭弧原理、断路器合分闸储能工作原理、断路器的运行原理等。</w:t>
            </w:r>
          </w:p>
        </w:tc>
        <w:tc>
          <w:tcPr>
            <w:tcW w:w="802" w:type="dxa"/>
          </w:tcPr>
          <w:p>
            <w:pPr>
              <w:jc w:val="center"/>
              <w:rPr>
                <w:rFonts w:ascii="宋体"/>
                <w:szCs w:val="21"/>
              </w:rPr>
            </w:pPr>
            <w:r>
              <w:rPr>
                <w:rFonts w:ascii="宋体"/>
                <w:szCs w:val="21"/>
              </w:rPr>
              <w:t>6</w:t>
            </w:r>
          </w:p>
        </w:tc>
        <w:tc>
          <w:tcPr>
            <w:tcW w:w="784" w:type="dxa"/>
          </w:tcPr>
          <w:p>
            <w:pPr>
              <w:jc w:val="center"/>
              <w:rPr>
                <w:rFonts w:ascii="宋体"/>
                <w:szCs w:val="21"/>
              </w:rPr>
            </w:pPr>
            <w:r>
              <w:rPr>
                <w:rFonts w:hint="eastAsia" w:ascii="宋体"/>
                <w:szCs w:val="21"/>
              </w:rPr>
              <w:t>套</w:t>
            </w:r>
          </w:p>
        </w:tc>
        <w:tc>
          <w:tcPr>
            <w:tcW w:w="784" w:type="dxa"/>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0" w:hRule="atLeast"/>
          <w:jc w:val="center"/>
        </w:trPr>
        <w:tc>
          <w:tcPr>
            <w:tcW w:w="652" w:type="dxa"/>
            <w:vAlign w:val="center"/>
          </w:tcPr>
          <w:p>
            <w:pPr>
              <w:jc w:val="center"/>
              <w:rPr>
                <w:rFonts w:ascii="宋体"/>
                <w:szCs w:val="21"/>
              </w:rPr>
            </w:pPr>
            <w:r>
              <w:rPr>
                <w:rFonts w:hint="eastAsia" w:ascii="宋体"/>
                <w:szCs w:val="21"/>
              </w:rPr>
              <w:t>4</w:t>
            </w:r>
          </w:p>
        </w:tc>
        <w:tc>
          <w:tcPr>
            <w:tcW w:w="1239" w:type="dxa"/>
            <w:vAlign w:val="center"/>
          </w:tcPr>
          <w:p>
            <w:pPr>
              <w:jc w:val="center"/>
              <w:rPr>
                <w:rFonts w:ascii="宋体"/>
                <w:szCs w:val="21"/>
              </w:rPr>
            </w:pPr>
            <w:r>
              <w:rPr>
                <w:rFonts w:hint="eastAsia" w:ascii="宋体"/>
                <w:szCs w:val="21"/>
              </w:rPr>
              <w:t>智能配电柜运行及操作实训系统</w:t>
            </w:r>
            <w:r>
              <w:rPr>
                <w:rFonts w:ascii="宋体"/>
                <w:szCs w:val="21"/>
              </w:rPr>
              <w:t>-顺控柜及顺控软件</w:t>
            </w:r>
          </w:p>
        </w:tc>
        <w:tc>
          <w:tcPr>
            <w:tcW w:w="5129" w:type="dxa"/>
            <w:vAlign w:val="center"/>
          </w:tcPr>
          <w:p>
            <w:pPr>
              <w:rPr>
                <w:rFonts w:ascii="宋体"/>
                <w:b/>
                <w:bCs/>
                <w:color w:val="FF0000"/>
                <w:szCs w:val="21"/>
              </w:rPr>
            </w:pPr>
            <w:r>
              <w:rPr>
                <w:rFonts w:hint="eastAsia" w:ascii="宋体"/>
                <w:color w:val="FF0000"/>
                <w:szCs w:val="21"/>
              </w:rPr>
              <w:t>通过安装于顺控柜上的顺控平台可实现一键顺控进线柜和馈线柜的断路器小车和地刀等功能</w:t>
            </w:r>
          </w:p>
          <w:p>
            <w:pPr>
              <w:rPr>
                <w:rFonts w:ascii="宋体"/>
                <w:b/>
                <w:bCs/>
                <w:szCs w:val="21"/>
              </w:rPr>
            </w:pPr>
            <w:r>
              <w:rPr>
                <w:rFonts w:hint="eastAsia" w:ascii="宋体"/>
                <w:b/>
                <w:bCs/>
                <w:szCs w:val="21"/>
              </w:rPr>
              <w:t>1、</w:t>
            </w:r>
            <w:r>
              <w:rPr>
                <w:rFonts w:ascii="宋体"/>
                <w:b/>
                <w:bCs/>
                <w:szCs w:val="21"/>
              </w:rPr>
              <w:t>基本要求</w:t>
            </w:r>
          </w:p>
          <w:p>
            <w:pPr>
              <w:ind w:firstLine="420" w:firstLineChars="200"/>
              <w:rPr>
                <w:rFonts w:ascii="宋体"/>
                <w:szCs w:val="21"/>
              </w:rPr>
            </w:pPr>
            <w:r>
              <w:rPr>
                <w:rFonts w:ascii="宋体"/>
                <w:szCs w:val="21"/>
              </w:rPr>
              <w:t>1)</w:t>
            </w:r>
            <w:r>
              <w:rPr>
                <w:rFonts w:ascii="宋体"/>
                <w:szCs w:val="21"/>
              </w:rPr>
              <w:tab/>
            </w:r>
            <w:r>
              <w:rPr>
                <w:rFonts w:ascii="宋体"/>
                <w:szCs w:val="21"/>
              </w:rPr>
              <w:t>顺控柜应包括中央数据采集、处理以及顺序控制处理单元、顺控软件、服务器及人机操作界面，可实现一键式顺序化控制中压进线柜和馈线柜。</w:t>
            </w:r>
          </w:p>
          <w:p>
            <w:pPr>
              <w:ind w:firstLine="420" w:firstLineChars="200"/>
              <w:rPr>
                <w:rFonts w:ascii="宋体"/>
                <w:szCs w:val="21"/>
              </w:rPr>
            </w:pPr>
            <w:r>
              <w:rPr>
                <w:rFonts w:ascii="宋体"/>
                <w:szCs w:val="21"/>
              </w:rPr>
              <w:t>2)</w:t>
            </w:r>
            <w:r>
              <w:rPr>
                <w:rFonts w:ascii="宋体"/>
                <w:szCs w:val="21"/>
              </w:rPr>
              <w:tab/>
            </w:r>
            <w:r>
              <w:rPr>
                <w:rFonts w:ascii="宋体"/>
                <w:szCs w:val="21"/>
              </w:rPr>
              <w:t>顺序化控制基于IEC61850 标准，利用GOOSE信息的交互，准确、快速的实现单柜及多开关柜的开关柜状态程序化控制。其中多开关柜的操作以母线为单位，不包含跨母线操作以及母线本身的操作。</w:t>
            </w:r>
          </w:p>
          <w:p>
            <w:pPr>
              <w:ind w:firstLine="420" w:firstLineChars="200"/>
              <w:rPr>
                <w:rFonts w:ascii="宋体"/>
                <w:szCs w:val="21"/>
              </w:rPr>
            </w:pPr>
            <w:r>
              <w:rPr>
                <w:rFonts w:ascii="宋体"/>
                <w:szCs w:val="21"/>
              </w:rPr>
              <w:t>3)</w:t>
            </w:r>
            <w:r>
              <w:rPr>
                <w:rFonts w:ascii="宋体"/>
                <w:szCs w:val="21"/>
              </w:rPr>
              <w:tab/>
            </w:r>
            <w:r>
              <w:rPr>
                <w:rFonts w:ascii="宋体"/>
                <w:szCs w:val="21"/>
              </w:rPr>
              <w:t>单柜操作： 操作人员位于单个开关柜上，进行本地开关柜运行方式的操作。操作人员也可以位于顺控屏，利用人机界面，远程的进行单个开关柜运行方式的操作。</w:t>
            </w:r>
          </w:p>
          <w:p>
            <w:pPr>
              <w:ind w:firstLine="420" w:firstLineChars="200"/>
              <w:rPr>
                <w:rFonts w:ascii="宋体"/>
                <w:szCs w:val="21"/>
              </w:rPr>
            </w:pPr>
            <w:r>
              <w:rPr>
                <w:rFonts w:ascii="宋体"/>
                <w:szCs w:val="21"/>
              </w:rPr>
              <w:t>4)</w:t>
            </w:r>
            <w:r>
              <w:rPr>
                <w:rFonts w:ascii="宋体"/>
                <w:szCs w:val="21"/>
              </w:rPr>
              <w:tab/>
            </w:r>
            <w:r>
              <w:rPr>
                <w:rFonts w:ascii="宋体"/>
                <w:szCs w:val="21"/>
              </w:rPr>
              <w:t>多柜操作：操作人员位于顺控屏，利用人机界面，远程的进行多台开关柜运行方式操作。</w:t>
            </w:r>
          </w:p>
          <w:p>
            <w:pPr>
              <w:ind w:firstLine="420" w:firstLineChars="200"/>
              <w:rPr>
                <w:rFonts w:ascii="宋体"/>
                <w:szCs w:val="21"/>
              </w:rPr>
            </w:pPr>
            <w:r>
              <w:rPr>
                <w:rFonts w:ascii="宋体"/>
                <w:szCs w:val="21"/>
              </w:rPr>
              <w:t>5)</w:t>
            </w:r>
            <w:r>
              <w:rPr>
                <w:rFonts w:ascii="宋体"/>
                <w:szCs w:val="21"/>
              </w:rPr>
              <w:tab/>
            </w:r>
            <w:r>
              <w:rPr>
                <w:rFonts w:ascii="宋体"/>
                <w:szCs w:val="21"/>
              </w:rPr>
              <w:t>采用IEC61850规约为主干网的通讯规约，同时中央处理单元和各开关柜分布式控制装置支持第三方装置的多种规约接入(Modbus，IEC103)。</w:t>
            </w:r>
          </w:p>
          <w:p>
            <w:pPr>
              <w:rPr>
                <w:rFonts w:ascii="宋体"/>
                <w:b/>
                <w:bCs/>
                <w:szCs w:val="21"/>
              </w:rPr>
            </w:pPr>
            <w:r>
              <w:rPr>
                <w:rFonts w:hint="eastAsia" w:ascii="宋体"/>
                <w:b/>
                <w:bCs/>
                <w:szCs w:val="21"/>
              </w:rPr>
              <w:t>2、</w:t>
            </w:r>
            <w:r>
              <w:rPr>
                <w:rFonts w:ascii="宋体"/>
                <w:b/>
                <w:bCs/>
                <w:szCs w:val="21"/>
              </w:rPr>
              <w:t>技术要求</w:t>
            </w:r>
          </w:p>
          <w:p>
            <w:pPr>
              <w:ind w:firstLine="420" w:firstLineChars="200"/>
              <w:rPr>
                <w:rFonts w:ascii="宋体"/>
                <w:szCs w:val="21"/>
              </w:rPr>
            </w:pPr>
            <w:r>
              <w:rPr>
                <w:rFonts w:ascii="宋体"/>
                <w:szCs w:val="21"/>
              </w:rPr>
              <w:t>1)</w:t>
            </w:r>
            <w:r>
              <w:rPr>
                <w:rFonts w:ascii="宋体"/>
                <w:szCs w:val="21"/>
              </w:rPr>
              <w:tab/>
            </w:r>
            <w:r>
              <w:rPr>
                <w:rFonts w:ascii="宋体"/>
                <w:szCs w:val="21"/>
              </w:rPr>
              <w:t>顺序控制处理单元应具备多样的接口和可扩展性，保证了对变电站设备的无缝集成，具备强大的处理能力，通讯能力：</w:t>
            </w:r>
          </w:p>
          <w:p>
            <w:pPr>
              <w:ind w:firstLine="630" w:firstLineChars="300"/>
              <w:rPr>
                <w:rFonts w:ascii="宋体"/>
                <w:szCs w:val="21"/>
              </w:rPr>
            </w:pPr>
            <w:r>
              <w:rPr>
                <w:rFonts w:ascii="宋体"/>
                <w:szCs w:val="21"/>
              </w:rPr>
              <w:t>a)</w:t>
            </w:r>
            <w:r>
              <w:rPr>
                <w:rFonts w:ascii="宋体"/>
                <w:szCs w:val="21"/>
              </w:rPr>
              <w:tab/>
            </w:r>
            <w:r>
              <w:rPr>
                <w:rFonts w:ascii="宋体"/>
                <w:szCs w:val="21"/>
              </w:rPr>
              <w:t>具备传统的输入/输出能力；</w:t>
            </w:r>
          </w:p>
          <w:p>
            <w:pPr>
              <w:ind w:firstLine="630" w:firstLineChars="300"/>
              <w:rPr>
                <w:rFonts w:ascii="宋体"/>
                <w:szCs w:val="21"/>
              </w:rPr>
            </w:pPr>
            <w:r>
              <w:rPr>
                <w:rFonts w:ascii="宋体"/>
                <w:szCs w:val="21"/>
              </w:rPr>
              <w:t>b)</w:t>
            </w:r>
            <w:r>
              <w:rPr>
                <w:rFonts w:ascii="宋体"/>
                <w:szCs w:val="21"/>
              </w:rPr>
              <w:tab/>
            </w:r>
            <w:r>
              <w:rPr>
                <w:rFonts w:ascii="宋体"/>
                <w:szCs w:val="21"/>
              </w:rPr>
              <w:t>支持IEC61850，IEC101, IEC 104，IEC103，DNP，Modbus 等各种规约；</w:t>
            </w:r>
          </w:p>
          <w:p>
            <w:pPr>
              <w:ind w:firstLine="630" w:firstLineChars="300"/>
              <w:rPr>
                <w:rFonts w:ascii="宋体"/>
                <w:szCs w:val="21"/>
              </w:rPr>
            </w:pPr>
            <w:r>
              <w:rPr>
                <w:rFonts w:ascii="宋体"/>
                <w:szCs w:val="21"/>
              </w:rPr>
              <w:t>c)</w:t>
            </w:r>
            <w:r>
              <w:rPr>
                <w:rFonts w:ascii="宋体"/>
                <w:szCs w:val="21"/>
              </w:rPr>
              <w:tab/>
            </w:r>
            <w:r>
              <w:rPr>
                <w:rFonts w:ascii="宋体"/>
                <w:szCs w:val="21"/>
              </w:rPr>
              <w:t>通过一次测量值的输入可计算多种其他数值；</w:t>
            </w:r>
          </w:p>
          <w:p>
            <w:pPr>
              <w:ind w:firstLine="630" w:firstLineChars="300"/>
              <w:rPr>
                <w:rFonts w:ascii="宋体"/>
                <w:szCs w:val="21"/>
              </w:rPr>
            </w:pPr>
            <w:r>
              <w:rPr>
                <w:rFonts w:ascii="宋体"/>
                <w:szCs w:val="21"/>
              </w:rPr>
              <w:t>d)</w:t>
            </w:r>
            <w:r>
              <w:rPr>
                <w:rFonts w:ascii="宋体"/>
                <w:szCs w:val="21"/>
              </w:rPr>
              <w:tab/>
            </w:r>
            <w:r>
              <w:rPr>
                <w:rFonts w:ascii="宋体"/>
                <w:szCs w:val="21"/>
              </w:rPr>
              <w:t>可编程逻辑，定制化的PLC 功能完全符合IEC61131-3 标准；</w:t>
            </w:r>
          </w:p>
          <w:p>
            <w:pPr>
              <w:ind w:firstLine="630" w:firstLineChars="300"/>
              <w:rPr>
                <w:rFonts w:ascii="宋体"/>
                <w:szCs w:val="21"/>
              </w:rPr>
            </w:pPr>
            <w:r>
              <w:rPr>
                <w:rFonts w:ascii="宋体"/>
                <w:szCs w:val="21"/>
              </w:rPr>
              <w:t>e)</w:t>
            </w:r>
            <w:r>
              <w:rPr>
                <w:rFonts w:ascii="宋体"/>
                <w:szCs w:val="21"/>
              </w:rPr>
              <w:tab/>
            </w:r>
            <w:r>
              <w:rPr>
                <w:rFonts w:ascii="宋体"/>
                <w:szCs w:val="21"/>
              </w:rPr>
              <w:t>事件日志记录，告警功能；</w:t>
            </w:r>
          </w:p>
          <w:p>
            <w:pPr>
              <w:ind w:firstLine="630" w:firstLineChars="300"/>
              <w:rPr>
                <w:rFonts w:ascii="宋体"/>
                <w:szCs w:val="21"/>
              </w:rPr>
            </w:pPr>
            <w:r>
              <w:rPr>
                <w:rFonts w:ascii="宋体"/>
                <w:szCs w:val="21"/>
              </w:rPr>
              <w:t>f)</w:t>
            </w:r>
            <w:r>
              <w:rPr>
                <w:rFonts w:ascii="宋体"/>
                <w:szCs w:val="21"/>
              </w:rPr>
              <w:tab/>
            </w:r>
            <w:r>
              <w:rPr>
                <w:rFonts w:ascii="宋体"/>
                <w:szCs w:val="21"/>
              </w:rPr>
              <w:t>大液晶显示，可配置一次接线图；</w:t>
            </w:r>
          </w:p>
          <w:p>
            <w:pPr>
              <w:ind w:firstLine="630" w:firstLineChars="300"/>
              <w:rPr>
                <w:rFonts w:ascii="宋体"/>
                <w:szCs w:val="21"/>
              </w:rPr>
            </w:pPr>
            <w:r>
              <w:rPr>
                <w:rFonts w:ascii="宋体"/>
                <w:szCs w:val="21"/>
              </w:rPr>
              <w:t>g)</w:t>
            </w:r>
            <w:r>
              <w:rPr>
                <w:rFonts w:ascii="宋体"/>
                <w:szCs w:val="21"/>
              </w:rPr>
              <w:tab/>
            </w:r>
            <w:r>
              <w:rPr>
                <w:rFonts w:ascii="宋体"/>
                <w:szCs w:val="21"/>
              </w:rPr>
              <w:t>网络时钟同步，IRIG-B 或者SNTP，误差低于1ms；</w:t>
            </w:r>
          </w:p>
          <w:p>
            <w:pPr>
              <w:ind w:firstLine="630" w:firstLineChars="300"/>
              <w:rPr>
                <w:rFonts w:ascii="宋体"/>
                <w:szCs w:val="21"/>
              </w:rPr>
            </w:pPr>
            <w:r>
              <w:rPr>
                <w:rFonts w:ascii="宋体"/>
                <w:szCs w:val="21"/>
              </w:rPr>
              <w:t>h)</w:t>
            </w:r>
            <w:r>
              <w:rPr>
                <w:rFonts w:ascii="宋体"/>
                <w:szCs w:val="21"/>
              </w:rPr>
              <w:tab/>
            </w:r>
            <w:r>
              <w:rPr>
                <w:rFonts w:ascii="宋体"/>
                <w:szCs w:val="21"/>
              </w:rPr>
              <w:t>装置自检；</w:t>
            </w:r>
          </w:p>
          <w:p>
            <w:pPr>
              <w:ind w:firstLine="630" w:firstLineChars="300"/>
              <w:rPr>
                <w:rFonts w:ascii="宋体"/>
                <w:szCs w:val="21"/>
              </w:rPr>
            </w:pPr>
            <w:r>
              <w:rPr>
                <w:rFonts w:ascii="宋体"/>
                <w:szCs w:val="21"/>
              </w:rPr>
              <w:t>i)</w:t>
            </w:r>
            <w:r>
              <w:rPr>
                <w:rFonts w:ascii="宋体"/>
                <w:szCs w:val="21"/>
              </w:rPr>
              <w:tab/>
            </w:r>
            <w:r>
              <w:rPr>
                <w:rFonts w:ascii="宋体"/>
                <w:szCs w:val="21"/>
              </w:rPr>
              <w:t>灵活的编辑配置功能；</w:t>
            </w:r>
          </w:p>
          <w:p>
            <w:pPr>
              <w:ind w:firstLine="630" w:firstLineChars="300"/>
              <w:rPr>
                <w:rFonts w:ascii="宋体"/>
                <w:szCs w:val="21"/>
              </w:rPr>
            </w:pPr>
            <w:r>
              <w:rPr>
                <w:rFonts w:ascii="宋体"/>
                <w:szCs w:val="21"/>
              </w:rPr>
              <w:t>j)</w:t>
            </w:r>
            <w:r>
              <w:rPr>
                <w:rFonts w:ascii="宋体"/>
                <w:szCs w:val="21"/>
              </w:rPr>
              <w:tab/>
            </w:r>
            <w:r>
              <w:rPr>
                <w:rFonts w:ascii="宋体"/>
                <w:szCs w:val="21"/>
              </w:rPr>
              <w:t>完全遵从IEC61850 协议，获得A 级Kema 国际认证，稳定且强大的GOOSE 输入输出；</w:t>
            </w:r>
          </w:p>
          <w:p>
            <w:pPr>
              <w:ind w:firstLine="630" w:firstLineChars="300"/>
              <w:rPr>
                <w:rFonts w:ascii="宋体"/>
                <w:szCs w:val="21"/>
              </w:rPr>
            </w:pPr>
            <w:r>
              <w:rPr>
                <w:rFonts w:ascii="宋体"/>
                <w:szCs w:val="21"/>
              </w:rPr>
              <w:t>k)</w:t>
            </w:r>
            <w:r>
              <w:rPr>
                <w:rFonts w:ascii="宋体"/>
                <w:szCs w:val="21"/>
              </w:rPr>
              <w:tab/>
            </w:r>
            <w:r>
              <w:rPr>
                <w:rFonts w:ascii="宋体"/>
                <w:szCs w:val="21"/>
              </w:rPr>
              <w:t>多种冗余协议支持；</w:t>
            </w:r>
          </w:p>
          <w:p>
            <w:pPr>
              <w:ind w:firstLine="420" w:firstLineChars="200"/>
              <w:rPr>
                <w:rFonts w:ascii="宋体"/>
                <w:szCs w:val="21"/>
              </w:rPr>
            </w:pPr>
            <w:r>
              <w:rPr>
                <w:rFonts w:ascii="宋体"/>
                <w:szCs w:val="21"/>
              </w:rPr>
              <w:t>l)</w:t>
            </w:r>
            <w:r>
              <w:rPr>
                <w:rFonts w:ascii="宋体"/>
                <w:szCs w:val="21"/>
              </w:rPr>
              <w:tab/>
            </w:r>
            <w:r>
              <w:rPr>
                <w:rFonts w:ascii="宋体"/>
                <w:szCs w:val="21"/>
              </w:rPr>
              <w:t xml:space="preserve"> LED 灯定制化定义。</w:t>
            </w:r>
          </w:p>
          <w:p>
            <w:pPr>
              <w:ind w:firstLine="420" w:firstLineChars="200"/>
              <w:rPr>
                <w:rFonts w:ascii="宋体"/>
                <w:szCs w:val="21"/>
              </w:rPr>
            </w:pPr>
            <w:r>
              <w:rPr>
                <w:rFonts w:ascii="宋体"/>
                <w:szCs w:val="21"/>
              </w:rPr>
              <w:t>2）顺控软件及配套技术要求</w:t>
            </w:r>
          </w:p>
          <w:p>
            <w:pPr>
              <w:ind w:firstLine="630" w:firstLineChars="300"/>
              <w:rPr>
                <w:rFonts w:ascii="宋体" w:hAnsi="宋体"/>
                <w:szCs w:val="21"/>
              </w:rPr>
            </w:pPr>
            <w:r>
              <w:rPr>
                <w:rFonts w:hint="eastAsia" w:ascii="宋体" w:hAnsi="宋体"/>
                <w:szCs w:val="21"/>
              </w:rPr>
              <w:t>★</w:t>
            </w:r>
            <w:r>
              <w:rPr>
                <w:rFonts w:ascii="宋体"/>
                <w:szCs w:val="21"/>
              </w:rPr>
              <w:t>a)</w:t>
            </w:r>
            <w:r>
              <w:rPr>
                <w:rFonts w:ascii="宋体"/>
                <w:szCs w:val="21"/>
              </w:rPr>
              <w:tab/>
            </w:r>
            <w:r>
              <w:rPr>
                <w:rFonts w:ascii="宋体"/>
                <w:szCs w:val="21"/>
              </w:rPr>
              <w:t>软件界面需为客户提供全站自动化监控的相关信息，在线监测系统相关数据，以及自动顺序控制的操作功能；</w:t>
            </w:r>
          </w:p>
          <w:p>
            <w:pPr>
              <w:ind w:firstLine="630" w:firstLineChars="300"/>
              <w:rPr>
                <w:rFonts w:ascii="宋体"/>
                <w:szCs w:val="21"/>
              </w:rPr>
            </w:pPr>
            <w:r>
              <w:rPr>
                <w:rFonts w:ascii="宋体"/>
                <w:szCs w:val="21"/>
              </w:rPr>
              <w:t>b)</w:t>
            </w:r>
            <w:r>
              <w:rPr>
                <w:rFonts w:ascii="宋体"/>
                <w:szCs w:val="21"/>
              </w:rPr>
              <w:tab/>
            </w:r>
            <w:r>
              <w:rPr>
                <w:rFonts w:ascii="宋体"/>
                <w:szCs w:val="21"/>
              </w:rPr>
              <w:t>支持触摸屏；</w:t>
            </w:r>
          </w:p>
          <w:p>
            <w:pPr>
              <w:ind w:firstLine="630" w:firstLineChars="300"/>
              <w:rPr>
                <w:rFonts w:ascii="宋体"/>
                <w:szCs w:val="21"/>
              </w:rPr>
            </w:pPr>
            <w:r>
              <w:rPr>
                <w:rFonts w:ascii="宋体"/>
                <w:szCs w:val="21"/>
              </w:rPr>
              <w:t>c)</w:t>
            </w:r>
            <w:r>
              <w:rPr>
                <w:rFonts w:ascii="宋体"/>
                <w:szCs w:val="21"/>
              </w:rPr>
              <w:tab/>
            </w:r>
            <w:r>
              <w:rPr>
                <w:rFonts w:ascii="宋体"/>
                <w:szCs w:val="21"/>
              </w:rPr>
              <w:t>应具有导航功能栏；</w:t>
            </w:r>
          </w:p>
          <w:p>
            <w:pPr>
              <w:ind w:firstLine="630" w:firstLineChars="300"/>
              <w:rPr>
                <w:rFonts w:ascii="宋体"/>
                <w:szCs w:val="21"/>
              </w:rPr>
            </w:pPr>
            <w:r>
              <w:rPr>
                <w:rFonts w:ascii="宋体"/>
                <w:szCs w:val="21"/>
              </w:rPr>
              <w:t>d)</w:t>
            </w:r>
            <w:r>
              <w:rPr>
                <w:rFonts w:ascii="宋体"/>
                <w:szCs w:val="21"/>
              </w:rPr>
              <w:tab/>
            </w:r>
            <w:r>
              <w:rPr>
                <w:rFonts w:ascii="宋体"/>
                <w:szCs w:val="21"/>
              </w:rPr>
              <w:t>应具有系统主画面；</w:t>
            </w:r>
          </w:p>
          <w:p>
            <w:pPr>
              <w:ind w:firstLine="630" w:firstLineChars="300"/>
              <w:rPr>
                <w:rFonts w:ascii="宋体"/>
                <w:szCs w:val="21"/>
              </w:rPr>
            </w:pPr>
            <w:r>
              <w:rPr>
                <w:rFonts w:ascii="宋体"/>
                <w:szCs w:val="21"/>
              </w:rPr>
              <w:t>e)</w:t>
            </w:r>
            <w:r>
              <w:rPr>
                <w:rFonts w:ascii="宋体"/>
                <w:szCs w:val="21"/>
              </w:rPr>
              <w:tab/>
            </w:r>
            <w:r>
              <w:rPr>
                <w:rFonts w:ascii="宋体"/>
                <w:szCs w:val="21"/>
              </w:rPr>
              <w:t>应可实现接地开关的单个元件的遥控操作，在执行任何单个元件遥控之前，需确认，操作员有足够的授权，并明确由遥控分合而带来的后果；</w:t>
            </w:r>
          </w:p>
          <w:p>
            <w:pPr>
              <w:ind w:firstLine="630" w:firstLineChars="300"/>
              <w:jc w:val="left"/>
              <w:rPr>
                <w:rFonts w:ascii="宋体"/>
                <w:szCs w:val="21"/>
              </w:rPr>
            </w:pPr>
            <w:r>
              <w:rPr>
                <w:rFonts w:ascii="宋体"/>
                <w:szCs w:val="21"/>
              </w:rPr>
              <w:t>f)</w:t>
            </w:r>
            <w:r>
              <w:rPr>
                <w:rFonts w:ascii="宋体"/>
                <w:szCs w:val="21"/>
              </w:rPr>
              <w:tab/>
            </w:r>
            <w:r>
              <w:rPr>
                <w:rFonts w:ascii="宋体"/>
                <w:szCs w:val="21"/>
              </w:rPr>
              <w:t>可以选择相应元件的遥控按钮。</w:t>
            </w:r>
          </w:p>
        </w:tc>
        <w:tc>
          <w:tcPr>
            <w:tcW w:w="802" w:type="dxa"/>
          </w:tcPr>
          <w:p>
            <w:pPr>
              <w:jc w:val="center"/>
              <w:rPr>
                <w:rFonts w:ascii="宋体"/>
                <w:szCs w:val="21"/>
              </w:rPr>
            </w:pPr>
            <w:r>
              <w:rPr>
                <w:rFonts w:hint="eastAsia" w:ascii="宋体"/>
                <w:szCs w:val="21"/>
              </w:rPr>
              <w:t>6</w:t>
            </w:r>
          </w:p>
        </w:tc>
        <w:tc>
          <w:tcPr>
            <w:tcW w:w="784" w:type="dxa"/>
          </w:tcPr>
          <w:p>
            <w:pPr>
              <w:jc w:val="center"/>
              <w:rPr>
                <w:rFonts w:ascii="宋体"/>
                <w:szCs w:val="21"/>
              </w:rPr>
            </w:pPr>
            <w:r>
              <w:rPr>
                <w:rFonts w:hint="eastAsia" w:ascii="宋体"/>
                <w:szCs w:val="21"/>
              </w:rPr>
              <w:t>套</w:t>
            </w:r>
          </w:p>
        </w:tc>
        <w:tc>
          <w:tcPr>
            <w:tcW w:w="784" w:type="dxa"/>
          </w:tcPr>
          <w:p>
            <w:pPr>
              <w:jc w:val="center"/>
              <w:rPr>
                <w:rFonts w:ascii="宋体"/>
                <w:szCs w:val="21"/>
              </w:rPr>
            </w:pPr>
          </w:p>
        </w:tc>
      </w:tr>
    </w:tbl>
    <w:p>
      <w:pPr>
        <w:pStyle w:val="45"/>
        <w:spacing w:line="200" w:lineRule="exact"/>
        <w:rPr>
          <w:b/>
        </w:rPr>
      </w:pPr>
      <w:r>
        <w:rPr>
          <w:rFonts w:hint="eastAsia"/>
          <w:b/>
        </w:rPr>
        <w:t>说明</w:t>
      </w:r>
      <w:r>
        <w:rPr>
          <w:b/>
        </w:rPr>
        <w:t>：</w:t>
      </w:r>
      <w:r>
        <w:rPr>
          <w:rFonts w:hint="eastAsia"/>
          <w:b/>
          <w:szCs w:val="21"/>
        </w:rPr>
        <w:t>（1）</w:t>
      </w:r>
      <w:r>
        <w:rPr>
          <w:rFonts w:hint="eastAsia"/>
          <w:b/>
        </w:rPr>
        <w:t>以上“招标技术规格要求”中相应国家标准及规范有新标准</w:t>
      </w:r>
      <w:r>
        <w:rPr>
          <w:b/>
        </w:rPr>
        <w:t>的按新标准执行</w:t>
      </w:r>
      <w:r>
        <w:rPr>
          <w:rFonts w:hint="eastAsia"/>
          <w:b/>
        </w:rPr>
        <w:t>。</w:t>
      </w:r>
    </w:p>
    <w:p>
      <w:pPr>
        <w:pStyle w:val="45"/>
        <w:spacing w:line="200" w:lineRule="exact"/>
        <w:ind w:firstLine="602" w:firstLineChars="300"/>
        <w:rPr>
          <w:b/>
        </w:rPr>
      </w:pPr>
      <w:r>
        <w:rPr>
          <w:rFonts w:hint="eastAsia"/>
          <w:b/>
        </w:rPr>
        <w:t>（2）采购文件中的推荐品牌作为性能描述，不排斥同等或优于的推荐品牌</w:t>
      </w:r>
      <w:r>
        <w:rPr>
          <w:b/>
        </w:rPr>
        <w:t>设备进行报价。</w:t>
      </w:r>
    </w:p>
    <w:p>
      <w:pPr>
        <w:pStyle w:val="45"/>
        <w:spacing w:line="200" w:lineRule="exact"/>
        <w:ind w:firstLine="602" w:firstLineChars="300"/>
        <w:rPr>
          <w:b/>
        </w:rPr>
      </w:pPr>
      <w:r>
        <w:rPr>
          <w:rFonts w:hint="eastAsia"/>
          <w:b/>
        </w:rPr>
        <w:t>（3）技术参数中的规格为最低要求，允许投标人优于招标要求进行投标。</w:t>
      </w:r>
    </w:p>
    <w:p>
      <w:pPr>
        <w:pStyle w:val="45"/>
        <w:spacing w:line="200" w:lineRule="exact"/>
        <w:ind w:firstLine="602" w:firstLineChars="300"/>
        <w:rPr>
          <w:b/>
        </w:rPr>
      </w:pPr>
      <w:r>
        <w:rPr>
          <w:rFonts w:hint="eastAsia"/>
          <w:b/>
        </w:rPr>
        <w:t>（4）技术参数中部分规格仅供</w:t>
      </w:r>
      <w:r>
        <w:rPr>
          <w:rFonts w:hint="eastAsia"/>
          <w:b/>
          <w:szCs w:val="21"/>
        </w:rPr>
        <w:t>参考，允许投标人在合理范围内进行偏差响应，合理范围由评标委员会现场进行认定。</w:t>
      </w:r>
    </w:p>
    <w:p>
      <w:pPr>
        <w:pStyle w:val="45"/>
        <w:spacing w:line="200" w:lineRule="exact"/>
        <w:ind w:firstLine="602" w:firstLineChars="300"/>
        <w:rPr>
          <w:b/>
          <w:szCs w:val="21"/>
        </w:rPr>
      </w:pPr>
      <w:r>
        <w:rPr>
          <w:rFonts w:hint="eastAsia"/>
          <w:b/>
          <w:szCs w:val="21"/>
        </w:rPr>
        <w:t>（5）涉及的设备平台，要符合国家相关安全设计要求。</w:t>
      </w:r>
    </w:p>
    <w:p>
      <w:pPr>
        <w:wordWrap w:val="0"/>
        <w:spacing w:line="360" w:lineRule="auto"/>
        <w:jc w:val="left"/>
      </w:pPr>
      <w:r>
        <w:br w:type="page"/>
      </w:r>
    </w:p>
    <w:p>
      <w:pPr>
        <w:wordWrap w:val="0"/>
        <w:spacing w:line="400" w:lineRule="exact"/>
        <w:jc w:val="center"/>
        <w:outlineLvl w:val="0"/>
        <w:rPr>
          <w:rFonts w:ascii="宋体" w:hAnsi="宋体"/>
          <w:b/>
          <w:sz w:val="32"/>
        </w:rPr>
      </w:pPr>
      <w:bookmarkStart w:id="64" w:name="_Toc19371"/>
      <w:r>
        <w:rPr>
          <w:rFonts w:hint="eastAsia" w:ascii="宋体" w:hAnsi="宋体"/>
          <w:b/>
          <w:sz w:val="32"/>
        </w:rPr>
        <w:t>第六章  商务条款</w:t>
      </w:r>
      <w:bookmarkEnd w:id="64"/>
    </w:p>
    <w:tbl>
      <w:tblPr>
        <w:tblStyle w:val="12"/>
        <w:tblW w:w="0" w:type="auto"/>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8465"/>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993" w:type="dxa"/>
            <w:vAlign w:val="center"/>
          </w:tcPr>
          <w:p>
            <w:pPr>
              <w:wordWrap w:val="0"/>
              <w:autoSpaceDE w:val="0"/>
              <w:autoSpaceDN w:val="0"/>
              <w:spacing w:line="360" w:lineRule="auto"/>
              <w:jc w:val="center"/>
              <w:rPr>
                <w:rFonts w:ascii="宋体" w:hAnsi="宋体"/>
                <w:b/>
                <w:bCs/>
                <w:szCs w:val="21"/>
              </w:rPr>
            </w:pPr>
            <w:r>
              <w:rPr>
                <w:rFonts w:hint="eastAsia" w:ascii="宋体" w:hAnsi="宋体"/>
                <w:b/>
                <w:bCs/>
                <w:szCs w:val="21"/>
              </w:rPr>
              <w:t>序号</w:t>
            </w:r>
          </w:p>
        </w:tc>
        <w:tc>
          <w:tcPr>
            <w:tcW w:w="8465" w:type="dxa"/>
            <w:vAlign w:val="center"/>
          </w:tcPr>
          <w:p>
            <w:pPr>
              <w:wordWrap w:val="0"/>
              <w:autoSpaceDE w:val="0"/>
              <w:autoSpaceDN w:val="0"/>
              <w:spacing w:line="360" w:lineRule="auto"/>
              <w:jc w:val="center"/>
              <w:rPr>
                <w:rFonts w:ascii="宋体" w:hAnsi="宋体"/>
                <w:b/>
                <w:bCs/>
                <w:szCs w:val="21"/>
              </w:rPr>
            </w:pPr>
            <w:r>
              <w:rPr>
                <w:rFonts w:hint="eastAsia" w:ascii="宋体" w:hAnsi="宋体"/>
                <w:b/>
                <w:bCs/>
                <w:szCs w:val="21"/>
              </w:rPr>
              <w:t>内</w:t>
            </w:r>
            <w:r>
              <w:rPr>
                <w:rFonts w:ascii="宋体" w:hAnsi="宋体"/>
                <w:b/>
                <w:bCs/>
                <w:szCs w:val="21"/>
              </w:rPr>
              <w:t xml:space="preserve">      </w:t>
            </w:r>
            <w:r>
              <w:rPr>
                <w:rFonts w:hint="eastAsia" w:ascii="宋体" w:hAnsi="宋体"/>
                <w:b/>
                <w:bCs/>
                <w:szCs w:val="21"/>
              </w:rPr>
              <w:t>容</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wordWrap w:val="0"/>
              <w:spacing w:line="400" w:lineRule="exact"/>
              <w:jc w:val="center"/>
              <w:rPr>
                <w:rFonts w:ascii="宋体" w:hAnsi="宋体"/>
                <w:szCs w:val="21"/>
              </w:rPr>
            </w:pPr>
            <w:r>
              <w:rPr>
                <w:rFonts w:hint="eastAsia" w:ascii="宋体" w:hAnsi="宋体"/>
                <w:szCs w:val="21"/>
              </w:rPr>
              <w:t>1</w:t>
            </w:r>
          </w:p>
        </w:tc>
        <w:tc>
          <w:tcPr>
            <w:tcW w:w="8465" w:type="dxa"/>
            <w:vAlign w:val="center"/>
          </w:tcPr>
          <w:p>
            <w:pPr>
              <w:wordWrap w:val="0"/>
              <w:spacing w:line="400" w:lineRule="exact"/>
              <w:rPr>
                <w:rFonts w:ascii="宋体" w:hAnsi="宋体"/>
                <w:szCs w:val="21"/>
              </w:rPr>
            </w:pPr>
            <w:r>
              <w:rPr>
                <w:rFonts w:hint="eastAsia" w:ascii="宋体" w:hAnsi="宋体"/>
                <w:szCs w:val="21"/>
              </w:rPr>
              <w:t>交货期及地点：合同签订</w:t>
            </w:r>
            <w:r>
              <w:rPr>
                <w:rFonts w:ascii="宋体" w:hAnsi="宋体"/>
                <w:szCs w:val="21"/>
              </w:rPr>
              <w:t>之日</w:t>
            </w:r>
            <w:r>
              <w:rPr>
                <w:rFonts w:hint="eastAsia" w:ascii="宋体" w:hAnsi="宋体"/>
                <w:szCs w:val="21"/>
              </w:rPr>
              <w:t>后</w:t>
            </w:r>
            <w:r>
              <w:rPr>
                <w:rFonts w:ascii="宋体" w:hAnsi="宋体"/>
                <w:szCs w:val="21"/>
              </w:rPr>
              <w:t>60</w:t>
            </w:r>
            <w:r>
              <w:rPr>
                <w:rFonts w:hint="eastAsia" w:ascii="宋体" w:hAnsi="宋体"/>
                <w:szCs w:val="21"/>
              </w:rPr>
              <w:t>天</w:t>
            </w:r>
            <w:r>
              <w:rPr>
                <w:rFonts w:ascii="宋体" w:hAnsi="宋体"/>
                <w:szCs w:val="21"/>
              </w:rPr>
              <w:t>内交货并安装完毕</w:t>
            </w:r>
            <w:r>
              <w:rPr>
                <w:rFonts w:hint="eastAsia" w:ascii="宋体" w:hAnsi="宋体"/>
                <w:szCs w:val="21"/>
              </w:rPr>
              <w:t>，地点：采购人指定地点。</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wordWrap w:val="0"/>
              <w:spacing w:line="400" w:lineRule="exact"/>
              <w:jc w:val="center"/>
              <w:rPr>
                <w:rFonts w:ascii="宋体" w:hAnsi="宋体"/>
                <w:szCs w:val="21"/>
              </w:rPr>
            </w:pPr>
            <w:r>
              <w:rPr>
                <w:rFonts w:hint="eastAsia" w:ascii="宋体" w:hAnsi="宋体"/>
                <w:szCs w:val="21"/>
              </w:rPr>
              <w:t>▲2</w:t>
            </w:r>
          </w:p>
        </w:tc>
        <w:tc>
          <w:tcPr>
            <w:tcW w:w="8465" w:type="dxa"/>
            <w:vAlign w:val="center"/>
          </w:tcPr>
          <w:p>
            <w:pPr>
              <w:wordWrap w:val="0"/>
              <w:spacing w:line="400" w:lineRule="exact"/>
              <w:rPr>
                <w:rFonts w:ascii="宋体" w:hAnsi="宋体"/>
                <w:szCs w:val="21"/>
              </w:rPr>
            </w:pPr>
            <w:r>
              <w:rPr>
                <w:rFonts w:hint="eastAsia" w:ascii="宋体" w:hAnsi="宋体"/>
                <w:szCs w:val="21"/>
              </w:rPr>
              <w:t>履约</w:t>
            </w:r>
            <w:r>
              <w:rPr>
                <w:rFonts w:ascii="宋体" w:hAnsi="宋体"/>
                <w:szCs w:val="21"/>
              </w:rPr>
              <w:t>保证金：</w:t>
            </w:r>
            <w:r>
              <w:rPr>
                <w:rFonts w:hint="eastAsia" w:ascii="宋体" w:hAnsi="宋体"/>
                <w:szCs w:val="21"/>
              </w:rPr>
              <w:t>无。</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wordWrap w:val="0"/>
              <w:spacing w:line="400" w:lineRule="exact"/>
              <w:jc w:val="center"/>
              <w:rPr>
                <w:rFonts w:ascii="宋体" w:hAnsi="宋体"/>
                <w:szCs w:val="21"/>
              </w:rPr>
            </w:pPr>
            <w:r>
              <w:rPr>
                <w:rFonts w:hint="eastAsia" w:ascii="宋体" w:hAnsi="宋体"/>
                <w:szCs w:val="21"/>
              </w:rPr>
              <w:t>▲</w:t>
            </w:r>
            <w:r>
              <w:rPr>
                <w:rFonts w:ascii="宋体" w:hAnsi="宋体"/>
                <w:szCs w:val="21"/>
              </w:rPr>
              <w:t>3</w:t>
            </w:r>
          </w:p>
        </w:tc>
        <w:tc>
          <w:tcPr>
            <w:tcW w:w="8465" w:type="dxa"/>
            <w:vAlign w:val="center"/>
          </w:tcPr>
          <w:p>
            <w:pPr>
              <w:wordWrap w:val="0"/>
              <w:spacing w:line="400" w:lineRule="exact"/>
              <w:rPr>
                <w:szCs w:val="21"/>
              </w:rPr>
            </w:pPr>
            <w:r>
              <w:rPr>
                <w:rFonts w:hint="eastAsia"/>
                <w:szCs w:val="21"/>
              </w:rPr>
              <w:t>付款方法和条件：</w:t>
            </w:r>
          </w:p>
          <w:p>
            <w:pPr>
              <w:wordWrap w:val="0"/>
              <w:spacing w:line="400" w:lineRule="exact"/>
              <w:rPr>
                <w:rFonts w:ascii="宋体" w:hAnsi="宋体"/>
                <w:szCs w:val="21"/>
              </w:rPr>
            </w:pPr>
            <w:r>
              <w:rPr>
                <w:rFonts w:hint="eastAsia" w:ascii="宋体" w:hAnsi="宋体"/>
                <w:szCs w:val="21"/>
              </w:rPr>
              <w:t>（1）合同签订后支付合同价款的60%，货到验收合格付至合同金额的100%；</w:t>
            </w:r>
          </w:p>
          <w:p>
            <w:pPr>
              <w:wordWrap w:val="0"/>
              <w:spacing w:line="400" w:lineRule="exact"/>
              <w:rPr>
                <w:rFonts w:ascii="宋体" w:hAnsi="宋体"/>
                <w:szCs w:val="21"/>
              </w:rPr>
            </w:pPr>
            <w:r>
              <w:rPr>
                <w:rFonts w:hint="eastAsia" w:ascii="宋体" w:hAnsi="宋体"/>
                <w:szCs w:val="21"/>
              </w:rPr>
              <w:t>（2）按照招标文件的规定、中标人的投标响应、中标通知书确定的规格、数量和金额签订合同。</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wordWrap w:val="0"/>
              <w:spacing w:line="400" w:lineRule="exact"/>
              <w:jc w:val="center"/>
              <w:rPr>
                <w:rFonts w:ascii="宋体" w:hAnsi="宋体"/>
                <w:szCs w:val="21"/>
              </w:rPr>
            </w:pPr>
            <w:r>
              <w:rPr>
                <w:rFonts w:hint="eastAsia" w:ascii="宋体" w:hAnsi="宋体"/>
                <w:szCs w:val="21"/>
              </w:rPr>
              <w:t>▲</w:t>
            </w:r>
            <w:r>
              <w:rPr>
                <w:rFonts w:ascii="宋体" w:hAnsi="宋体"/>
                <w:szCs w:val="21"/>
              </w:rPr>
              <w:t>4</w:t>
            </w:r>
          </w:p>
        </w:tc>
        <w:tc>
          <w:tcPr>
            <w:tcW w:w="8465" w:type="dxa"/>
            <w:vAlign w:val="center"/>
          </w:tcPr>
          <w:p>
            <w:pPr>
              <w:wordWrap w:val="0"/>
              <w:spacing w:line="400" w:lineRule="exact"/>
              <w:rPr>
                <w:rFonts w:ascii="宋体" w:hAnsi="宋体"/>
                <w:szCs w:val="21"/>
              </w:rPr>
            </w:pPr>
            <w:r>
              <w:rPr>
                <w:rFonts w:hint="eastAsia" w:ascii="宋体" w:hAnsi="宋体"/>
                <w:szCs w:val="21"/>
              </w:rPr>
              <w:t>1.质量标准：达到国家相关质量验收标准。</w:t>
            </w:r>
          </w:p>
          <w:p>
            <w:pPr>
              <w:wordWrap w:val="0"/>
              <w:spacing w:line="400" w:lineRule="exact"/>
              <w:rPr>
                <w:rFonts w:ascii="宋体" w:hAnsi="宋体"/>
                <w:szCs w:val="21"/>
              </w:rPr>
            </w:pPr>
            <w:r>
              <w:rPr>
                <w:rFonts w:hint="eastAsia" w:ascii="宋体" w:hAnsi="宋体"/>
                <w:szCs w:val="21"/>
              </w:rPr>
              <w:t>2.质量保证期（或保修期）：自验收合格之日起提供免费质保期，除第五章《招标内容及技术需求》中已注明质保期的设备外，其余全部投标产品质保期为3年。在质保期内，供应商应负责免费解决设备使用问题、调试、技术支持、维护、软件升级等。质保期内因产品本身缺陷造成各种故障应由供应商免费技术服务和维护。</w:t>
            </w:r>
          </w:p>
          <w:p>
            <w:pPr>
              <w:wordWrap w:val="0"/>
              <w:spacing w:line="400" w:lineRule="exact"/>
              <w:rPr>
                <w:rFonts w:ascii="宋体" w:hAnsi="宋体"/>
                <w:szCs w:val="21"/>
              </w:rPr>
            </w:pPr>
            <w:r>
              <w:rPr>
                <w:rFonts w:hint="eastAsia" w:ascii="宋体" w:hAnsi="宋体"/>
                <w:szCs w:val="21"/>
              </w:rPr>
              <w:t>3.从货物验收合格之日起3年免费定期维保，维保周期不少于每年一次，软件终身免费升级。</w:t>
            </w:r>
          </w:p>
          <w:p>
            <w:pPr>
              <w:wordWrap w:val="0"/>
              <w:spacing w:line="400" w:lineRule="exact"/>
              <w:rPr>
                <w:rFonts w:ascii="宋体" w:hAnsi="宋体"/>
                <w:szCs w:val="21"/>
              </w:rPr>
            </w:pPr>
            <w:r>
              <w:rPr>
                <w:rFonts w:hint="eastAsia" w:ascii="宋体" w:hAnsi="宋体"/>
                <w:szCs w:val="21"/>
              </w:rPr>
              <w:t>4.免费为客户开展技术培训和相关工作人员培训，提供详细产品操作规程，要求供应商提供7×24小时电话响应，提供技术咨询、故障报修等服务。</w:t>
            </w:r>
          </w:p>
          <w:p>
            <w:pPr>
              <w:wordWrap w:val="0"/>
              <w:spacing w:line="400" w:lineRule="exact"/>
              <w:rPr>
                <w:rFonts w:ascii="宋体" w:hAnsi="宋体"/>
                <w:szCs w:val="21"/>
              </w:rPr>
            </w:pPr>
            <w:r>
              <w:rPr>
                <w:rFonts w:hint="eastAsia" w:ascii="宋体" w:hAnsi="宋体"/>
                <w:szCs w:val="21"/>
              </w:rPr>
              <w:t>5.若发生突发性事故，供应商须在接到采购人维修要求电话后，12小时内作出响应，24小时内派技术人员到现场维修（通过远程诊断系统可以解决的故障除外），如果不能修复，则提供同样备品供采购人使用，直至产品修复。</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pPr>
              <w:wordWrap w:val="0"/>
              <w:spacing w:line="400" w:lineRule="exact"/>
              <w:jc w:val="center"/>
              <w:rPr>
                <w:rFonts w:ascii="宋体" w:hAnsi="宋体"/>
                <w:szCs w:val="21"/>
              </w:rPr>
            </w:pPr>
            <w:r>
              <w:rPr>
                <w:rFonts w:hint="eastAsia" w:ascii="宋体" w:hAnsi="宋体"/>
                <w:szCs w:val="21"/>
              </w:rPr>
              <w:t>▲</w:t>
            </w:r>
            <w:r>
              <w:rPr>
                <w:rFonts w:ascii="宋体" w:hAnsi="宋体"/>
                <w:szCs w:val="21"/>
              </w:rPr>
              <w:t>5</w:t>
            </w:r>
          </w:p>
        </w:tc>
        <w:tc>
          <w:tcPr>
            <w:tcW w:w="8465" w:type="dxa"/>
            <w:vAlign w:val="center"/>
          </w:tcPr>
          <w:p>
            <w:pPr>
              <w:wordWrap w:val="0"/>
              <w:autoSpaceDE w:val="0"/>
              <w:autoSpaceDN w:val="0"/>
              <w:spacing w:line="400" w:lineRule="exact"/>
              <w:rPr>
                <w:rFonts w:ascii="宋体" w:hAnsi="宋体"/>
                <w:szCs w:val="21"/>
              </w:rPr>
            </w:pPr>
            <w:r>
              <w:rPr>
                <w:rFonts w:hint="eastAsia" w:ascii="宋体" w:hAnsi="宋体"/>
                <w:szCs w:val="21"/>
              </w:rPr>
              <w:t>授予合同：按照招标文件的规定、中标供应商的投标响应及中标通知书确定的金额签订合同。</w:t>
            </w:r>
          </w:p>
        </w:tc>
      </w:tr>
    </w:tbl>
    <w:p>
      <w:pPr>
        <w:spacing w:line="400" w:lineRule="exact"/>
        <w:jc w:val="left"/>
        <w:rPr>
          <w:rFonts w:ascii="宋体" w:hAnsi="宋体"/>
          <w:bCs/>
          <w:sz w:val="24"/>
        </w:rPr>
      </w:pPr>
    </w:p>
    <w:p>
      <w:pPr>
        <w:pStyle w:val="30"/>
        <w:wordWrap w:val="0"/>
        <w:ind w:firstLine="536"/>
        <w:sectPr>
          <w:pgSz w:w="11907" w:h="16840"/>
          <w:pgMar w:top="851" w:right="1276" w:bottom="1134" w:left="1276" w:header="284" w:footer="420" w:gutter="0"/>
          <w:cols w:space="720" w:num="1"/>
          <w:docGrid w:linePitch="285" w:charSpace="0"/>
        </w:sectPr>
      </w:pPr>
    </w:p>
    <w:bookmarkEnd w:id="61"/>
    <w:p>
      <w:pPr>
        <w:wordWrap w:val="0"/>
        <w:spacing w:line="400" w:lineRule="exact"/>
        <w:jc w:val="center"/>
        <w:outlineLvl w:val="0"/>
        <w:rPr>
          <w:rFonts w:ascii="宋体" w:hAnsi="宋体"/>
          <w:b/>
          <w:sz w:val="32"/>
        </w:rPr>
      </w:pPr>
      <w:bookmarkStart w:id="65" w:name="_Toc14918"/>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65"/>
    </w:p>
    <w:p>
      <w:pPr>
        <w:wordWrap w:val="0"/>
        <w:autoSpaceDE w:val="0"/>
        <w:autoSpaceDN w:val="0"/>
        <w:spacing w:before="960" w:line="420" w:lineRule="exact"/>
        <w:jc w:val="center"/>
        <w:rPr>
          <w:rStyle w:val="128"/>
          <w:rFonts w:ascii="宋体" w:hAnsi="宋体"/>
          <w:sz w:val="32"/>
          <w:szCs w:val="32"/>
        </w:rPr>
      </w:pPr>
      <w:r>
        <w:rPr>
          <w:rStyle w:val="128"/>
          <w:rFonts w:ascii="宋体" w:hAnsi="宋体"/>
          <w:sz w:val="32"/>
          <w:szCs w:val="32"/>
        </w:rPr>
        <w:t>A.</w:t>
      </w:r>
      <w:r>
        <w:rPr>
          <w:rStyle w:val="128"/>
          <w:rFonts w:hint="eastAsia" w:ascii="宋体" w:hAnsi="宋体"/>
          <w:sz w:val="32"/>
          <w:szCs w:val="32"/>
        </w:rPr>
        <w:t>资格文件</w:t>
      </w:r>
    </w:p>
    <w:p>
      <w:pPr>
        <w:wordWrap w:val="0"/>
        <w:spacing w:line="360" w:lineRule="auto"/>
        <w:ind w:firstLine="1120" w:firstLineChars="400"/>
        <w:rPr>
          <w:rFonts w:ascii="宋体" w:hAnsi="宋体"/>
          <w:sz w:val="28"/>
        </w:rPr>
      </w:pPr>
    </w:p>
    <w:p>
      <w:pPr>
        <w:wordWrap w:val="0"/>
        <w:spacing w:line="360" w:lineRule="auto"/>
        <w:rPr>
          <w:rFonts w:ascii="宋体" w:hAnsi="宋体"/>
          <w:sz w:val="28"/>
        </w:rPr>
      </w:pPr>
      <w:r>
        <w:rPr>
          <w:rFonts w:ascii="宋体" w:hAnsi="宋体"/>
          <w:sz w:val="28"/>
        </w:rPr>
        <w:br w:type="page"/>
      </w:r>
      <w:r>
        <w:rPr>
          <w:rFonts w:hint="eastAsia" w:ascii="宋体" w:hAnsi="宋体"/>
          <w:b/>
          <w:sz w:val="32"/>
          <w:szCs w:val="32"/>
        </w:rPr>
        <w:t>封面</w:t>
      </w:r>
    </w:p>
    <w:p>
      <w:pPr>
        <w:wordWrap w:val="0"/>
        <w:spacing w:line="360" w:lineRule="auto"/>
        <w:jc w:val="right"/>
        <w:rPr>
          <w:rFonts w:ascii="宋体" w:hAnsi="宋体"/>
          <w:b/>
          <w:sz w:val="32"/>
          <w:szCs w:val="32"/>
        </w:rPr>
      </w:pPr>
      <w:r>
        <w:rPr>
          <w:rFonts w:hint="eastAsia" w:ascii="宋体" w:hAnsi="宋体"/>
          <w:b/>
          <w:sz w:val="32"/>
          <w:szCs w:val="32"/>
        </w:rPr>
        <w:t>正（副）本</w:t>
      </w:r>
    </w:p>
    <w:p>
      <w:pPr>
        <w:wordWrap w:val="0"/>
        <w:spacing w:line="360" w:lineRule="auto"/>
        <w:rPr>
          <w:rFonts w:ascii="宋体" w:hAnsi="宋体"/>
          <w:sz w:val="28"/>
          <w:szCs w:val="28"/>
        </w:rPr>
      </w:pPr>
    </w:p>
    <w:p>
      <w:pPr>
        <w:wordWrap w:val="0"/>
        <w:spacing w:line="360" w:lineRule="auto"/>
        <w:jc w:val="center"/>
        <w:rPr>
          <w:rFonts w:ascii="宋体" w:hAnsi="宋体"/>
          <w:sz w:val="36"/>
          <w:szCs w:val="36"/>
        </w:rPr>
      </w:pPr>
      <w:r>
        <w:rPr>
          <w:rFonts w:hint="eastAsia" w:ascii="宋体" w:hAnsi="宋体"/>
          <w:sz w:val="36"/>
          <w:szCs w:val="36"/>
        </w:rPr>
        <w:t>宁波职业技术学院绿色智能供配电实训基地建设项目</w:t>
      </w:r>
    </w:p>
    <w:p>
      <w:pPr>
        <w:wordWrap w:val="0"/>
        <w:spacing w:line="360" w:lineRule="auto"/>
        <w:jc w:val="center"/>
        <w:rPr>
          <w:rFonts w:ascii="宋体" w:hAnsi="宋体"/>
          <w:sz w:val="36"/>
          <w:szCs w:val="36"/>
        </w:rPr>
      </w:pPr>
      <w:r>
        <w:rPr>
          <w:rFonts w:hint="eastAsia" w:ascii="宋体" w:hAnsi="宋体"/>
          <w:sz w:val="36"/>
          <w:szCs w:val="36"/>
        </w:rPr>
        <w:t>采购编号：</w:t>
      </w:r>
      <w:r>
        <w:rPr>
          <w:rFonts w:hint="eastAsia" w:ascii="宋体" w:hAnsi="宋体"/>
          <w:sz w:val="36"/>
          <w:szCs w:val="36"/>
          <w:u w:val="single"/>
        </w:rPr>
        <w:t>ZJZC-233184</w:t>
      </w:r>
    </w:p>
    <w:p>
      <w:pPr>
        <w:wordWrap w:val="0"/>
        <w:spacing w:line="360" w:lineRule="auto"/>
        <w:jc w:val="center"/>
        <w:rPr>
          <w:rFonts w:ascii="宋体" w:hAnsi="宋体"/>
          <w:sz w:val="36"/>
          <w:szCs w:val="36"/>
        </w:rPr>
      </w:pPr>
      <w:r>
        <w:rPr>
          <w:rFonts w:hint="eastAsia" w:ascii="宋体" w:hAnsi="宋体"/>
          <w:sz w:val="36"/>
          <w:szCs w:val="36"/>
        </w:rPr>
        <w:t>标</w:t>
      </w:r>
      <w:r>
        <w:rPr>
          <w:rFonts w:ascii="宋体" w:hAnsi="宋体"/>
          <w:sz w:val="36"/>
          <w:szCs w:val="36"/>
        </w:rPr>
        <w:t xml:space="preserve">    </w:t>
      </w:r>
      <w:r>
        <w:rPr>
          <w:rFonts w:hint="eastAsia" w:ascii="宋体" w:hAnsi="宋体"/>
          <w:sz w:val="36"/>
          <w:szCs w:val="36"/>
        </w:rPr>
        <w:t>项：</w:t>
      </w:r>
      <w:r>
        <w:rPr>
          <w:rFonts w:hint="eastAsia" w:ascii="宋体" w:hAnsi="宋体"/>
          <w:sz w:val="36"/>
          <w:szCs w:val="36"/>
          <w:u w:val="single"/>
        </w:rPr>
        <w:t>（如有多个标项）</w:t>
      </w:r>
    </w:p>
    <w:p>
      <w:pPr>
        <w:wordWrap w:val="0"/>
        <w:rPr>
          <w:rFonts w:ascii="宋体" w:hAnsi="宋体"/>
          <w:sz w:val="28"/>
          <w:szCs w:val="28"/>
        </w:rPr>
      </w:pPr>
    </w:p>
    <w:p>
      <w:pPr>
        <w:wordWrap w:val="0"/>
        <w:spacing w:line="360" w:lineRule="auto"/>
        <w:jc w:val="center"/>
        <w:rPr>
          <w:rFonts w:ascii="宋体" w:hAnsi="宋体"/>
          <w:sz w:val="36"/>
          <w:szCs w:val="36"/>
        </w:rPr>
      </w:pPr>
      <w:r>
        <w:rPr>
          <w:rFonts w:hint="eastAsia" w:ascii="宋体" w:hAnsi="宋体"/>
          <w:sz w:val="36"/>
          <w:szCs w:val="36"/>
        </w:rPr>
        <w:t>（资格文件）</w:t>
      </w:r>
    </w:p>
    <w:p>
      <w:pPr>
        <w:wordWrap w:val="0"/>
        <w:jc w:val="center"/>
        <w:rPr>
          <w:rFonts w:ascii="宋体" w:hAnsi="宋体"/>
          <w:sz w:val="28"/>
          <w:szCs w:val="28"/>
        </w:rPr>
      </w:pPr>
    </w:p>
    <w:p>
      <w:pPr>
        <w:wordWrap w:val="0"/>
        <w:spacing w:line="360" w:lineRule="auto"/>
        <w:jc w:val="center"/>
        <w:rPr>
          <w:rFonts w:ascii="宋体" w:hAnsi="宋体"/>
          <w:b/>
          <w:sz w:val="72"/>
          <w:szCs w:val="72"/>
        </w:rPr>
      </w:pPr>
      <w:r>
        <w:rPr>
          <w:rFonts w:hint="eastAsia" w:ascii="宋体" w:hAnsi="宋体"/>
          <w:b/>
          <w:sz w:val="72"/>
          <w:szCs w:val="72"/>
        </w:rPr>
        <w:t>投标文件</w:t>
      </w: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r>
        <w:rPr>
          <w:rFonts w:hint="eastAsia" w:ascii="宋体" w:hAnsi="宋体"/>
          <w:sz w:val="36"/>
          <w:szCs w:val="36"/>
        </w:rPr>
        <w:t>供应商全称：</w:t>
      </w:r>
      <w:r>
        <w:rPr>
          <w:rFonts w:hint="eastAsia" w:ascii="宋体" w:hAnsi="宋体"/>
          <w:sz w:val="36"/>
          <w:szCs w:val="36"/>
          <w:u w:val="single"/>
        </w:rPr>
        <w:t>（加盖单位公章）</w:t>
      </w:r>
    </w:p>
    <w:p>
      <w:pPr>
        <w:pStyle w:val="55"/>
        <w:wordWrap w:val="0"/>
        <w:ind w:left="101" w:leftChars="48" w:firstLine="1920" w:firstLineChars="800"/>
        <w:jc w:val="left"/>
        <w:rPr>
          <w:rFonts w:hAnsi="宋体"/>
          <w:kern w:val="2"/>
          <w:szCs w:val="28"/>
          <w:u w:val="single"/>
        </w:rPr>
      </w:pPr>
    </w:p>
    <w:p>
      <w:pPr>
        <w:wordWrap w:val="0"/>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pPr>
        <w:wordWrap w:val="0"/>
        <w:spacing w:line="360" w:lineRule="auto"/>
        <w:rPr>
          <w:rStyle w:val="128"/>
          <w:rFonts w:ascii="宋体" w:hAnsi="宋体"/>
          <w:szCs w:val="21"/>
        </w:rPr>
      </w:pPr>
      <w:r>
        <w:rPr>
          <w:rStyle w:val="128"/>
          <w:rFonts w:ascii="宋体" w:hAnsi="宋体"/>
          <w:szCs w:val="21"/>
        </w:rPr>
        <w:br w:type="page"/>
      </w:r>
    </w:p>
    <w:p>
      <w:pPr>
        <w:wordWrap w:val="0"/>
        <w:spacing w:line="400" w:lineRule="exact"/>
        <w:jc w:val="center"/>
        <w:rPr>
          <w:rFonts w:ascii="宋体" w:hAnsi="宋体"/>
          <w:b/>
          <w:szCs w:val="21"/>
        </w:rPr>
      </w:pPr>
      <w:r>
        <w:rPr>
          <w:rFonts w:ascii="宋体" w:hAnsi="宋体"/>
          <w:b/>
          <w:szCs w:val="21"/>
        </w:rPr>
        <w:t>A1</w:t>
      </w:r>
      <w:r>
        <w:rPr>
          <w:rFonts w:hint="eastAsia" w:ascii="宋体" w:hAnsi="宋体"/>
          <w:b/>
          <w:szCs w:val="21"/>
        </w:rPr>
        <w:t>、营业执照副本（或事业法人登记证副本或其他登记证明材料）复印件加盖供应商公章（供应商如果有名称变更的，应提供由行政主管部门出具的变更证明文件复印件加盖供应商公章）</w:t>
      </w:r>
    </w:p>
    <w:p>
      <w:pPr>
        <w:wordWrap w:val="0"/>
      </w:pPr>
    </w:p>
    <w:p>
      <w:pPr>
        <w:wordWrap w:val="0"/>
        <w:spacing w:line="400" w:lineRule="exact"/>
        <w:jc w:val="center"/>
        <w:rPr>
          <w:rFonts w:ascii="宋体" w:hAnsi="宋体"/>
          <w:b/>
          <w:szCs w:val="21"/>
        </w:rPr>
      </w:pPr>
    </w:p>
    <w:p>
      <w:pPr>
        <w:wordWrap w:val="0"/>
        <w:spacing w:line="400" w:lineRule="exact"/>
        <w:jc w:val="center"/>
        <w:rPr>
          <w:rFonts w:ascii="宋体" w:hAnsi="宋体"/>
          <w:b/>
          <w:szCs w:val="21"/>
        </w:rPr>
      </w:pPr>
    </w:p>
    <w:p>
      <w:pPr>
        <w:wordWrap w:val="0"/>
        <w:spacing w:line="400" w:lineRule="exact"/>
        <w:rPr>
          <w:rFonts w:ascii="宋体" w:hAnsi="宋体"/>
          <w:b/>
          <w:szCs w:val="21"/>
        </w:rPr>
      </w:pPr>
      <w:r>
        <w:rPr>
          <w:rFonts w:ascii="宋体" w:hAnsi="宋体"/>
          <w:b/>
          <w:szCs w:val="21"/>
        </w:rPr>
        <w:t>A</w:t>
      </w:r>
      <w:r>
        <w:rPr>
          <w:rFonts w:hint="eastAsia" w:ascii="宋体" w:hAnsi="宋体"/>
          <w:b/>
          <w:szCs w:val="21"/>
        </w:rPr>
        <w:t>2具有履行合同所必需的设备和专业技术能力的声明函</w:t>
      </w:r>
    </w:p>
    <w:p>
      <w:pPr>
        <w:wordWrap w:val="0"/>
        <w:spacing w:line="400" w:lineRule="exact"/>
        <w:rPr>
          <w:rFonts w:ascii="宋体" w:hAnsi="宋体"/>
          <w:szCs w:val="21"/>
        </w:rPr>
      </w:pPr>
    </w:p>
    <w:p>
      <w:pPr>
        <w:wordWrap w:val="0"/>
        <w:spacing w:line="400" w:lineRule="exact"/>
        <w:rPr>
          <w:rFonts w:ascii="宋体" w:hAnsi="宋体"/>
          <w:szCs w:val="21"/>
        </w:rPr>
      </w:pPr>
      <w:r>
        <w:rPr>
          <w:rFonts w:hint="eastAsia" w:ascii="宋体" w:hAnsi="宋体"/>
          <w:szCs w:val="21"/>
        </w:rPr>
        <w:t>致：采购人</w:t>
      </w:r>
    </w:p>
    <w:p>
      <w:pPr>
        <w:wordWrap w:val="0"/>
        <w:spacing w:line="400" w:lineRule="exact"/>
        <w:ind w:firstLine="420" w:firstLineChars="200"/>
        <w:rPr>
          <w:rFonts w:ascii="宋体" w:hAnsi="宋体"/>
          <w:bCs/>
          <w:szCs w:val="21"/>
        </w:rPr>
      </w:pPr>
      <w:r>
        <w:rPr>
          <w:rFonts w:hint="eastAsia" w:ascii="宋体" w:hAnsi="宋体"/>
          <w:bCs/>
          <w:szCs w:val="21"/>
        </w:rPr>
        <w:t>我单位承诺：</w:t>
      </w:r>
    </w:p>
    <w:p>
      <w:pPr>
        <w:wordWrap w:val="0"/>
        <w:spacing w:line="400" w:lineRule="exact"/>
        <w:ind w:firstLine="420" w:firstLineChars="200"/>
        <w:rPr>
          <w:rFonts w:ascii="宋体" w:hAnsi="宋体"/>
          <w:szCs w:val="21"/>
        </w:rPr>
      </w:pPr>
      <w:r>
        <w:rPr>
          <w:rFonts w:hint="eastAsia" w:ascii="宋体" w:hAnsi="宋体"/>
          <w:szCs w:val="21"/>
        </w:rPr>
        <w:t>我单位具有履行合同所必需的设备和专业技术能力，具体情况介绍如下：</w:t>
      </w:r>
    </w:p>
    <w:p>
      <w:pPr>
        <w:wordWrap w:val="0"/>
        <w:spacing w:line="400" w:lineRule="exact"/>
        <w:ind w:firstLine="420" w:firstLineChars="200"/>
      </w:pPr>
      <w:r>
        <w:rPr>
          <w:rFonts w:hint="eastAsia"/>
        </w:rPr>
        <w:t>（内容包括：主要设备、专业技术人员等）</w:t>
      </w:r>
    </w:p>
    <w:p>
      <w:pPr>
        <w:wordWrap w:val="0"/>
        <w:spacing w:line="400" w:lineRule="exact"/>
        <w:ind w:firstLine="420" w:firstLineChars="200"/>
        <w:rPr>
          <w:rFonts w:ascii="宋体" w:hAnsi="宋体"/>
          <w:szCs w:val="21"/>
        </w:rPr>
      </w:pPr>
    </w:p>
    <w:p>
      <w:pPr>
        <w:wordWrap w:val="0"/>
        <w:spacing w:line="400" w:lineRule="exact"/>
        <w:ind w:firstLine="420" w:firstLineChars="200"/>
        <w:rPr>
          <w:rFonts w:ascii="宋体" w:hAnsi="宋体"/>
          <w:szCs w:val="21"/>
        </w:rPr>
      </w:pPr>
      <w:r>
        <w:rPr>
          <w:rFonts w:hint="eastAsia" w:ascii="宋体" w:hAnsi="宋体"/>
          <w:szCs w:val="21"/>
        </w:rPr>
        <w:t>……</w:t>
      </w:r>
    </w:p>
    <w:p>
      <w:pPr>
        <w:wordWrap w:val="0"/>
        <w:spacing w:line="400" w:lineRule="exact"/>
        <w:ind w:firstLine="420" w:firstLineChars="200"/>
        <w:rPr>
          <w:rFonts w:ascii="宋体" w:hAnsi="宋体"/>
          <w:szCs w:val="21"/>
        </w:rPr>
      </w:pPr>
    </w:p>
    <w:p>
      <w:pPr>
        <w:wordWrap w:val="0"/>
        <w:spacing w:line="400" w:lineRule="exact"/>
        <w:ind w:firstLine="420" w:firstLineChars="200"/>
        <w:rPr>
          <w:rFonts w:ascii="宋体" w:hAnsi="宋体"/>
          <w:szCs w:val="21"/>
        </w:rPr>
      </w:pPr>
      <w:r>
        <w:rPr>
          <w:rFonts w:hint="eastAsia" w:ascii="宋体" w:hAnsi="宋体"/>
          <w:szCs w:val="21"/>
        </w:rPr>
        <w:t>特此承诺。</w:t>
      </w:r>
    </w:p>
    <w:p>
      <w:pPr>
        <w:pStyle w:val="78"/>
        <w:wordWrap w:val="0"/>
        <w:spacing w:before="0" w:beforeAutospacing="0" w:after="0" w:afterAutospacing="0" w:line="400" w:lineRule="exact"/>
        <w:ind w:right="31" w:firstLine="660"/>
        <w:jc w:val="both"/>
        <w:rPr>
          <w:bCs/>
          <w:sz w:val="21"/>
          <w:szCs w:val="21"/>
        </w:rPr>
      </w:pPr>
    </w:p>
    <w:p>
      <w:pPr>
        <w:pStyle w:val="78"/>
        <w:wordWrap w:val="0"/>
        <w:spacing w:before="0" w:beforeAutospacing="0" w:after="0" w:afterAutospacing="0" w:line="400" w:lineRule="exact"/>
        <w:ind w:right="31" w:firstLine="660"/>
        <w:jc w:val="both"/>
        <w:rPr>
          <w:bCs/>
          <w:sz w:val="21"/>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pStyle w:val="78"/>
        <w:wordWrap w:val="0"/>
        <w:spacing w:before="0" w:beforeAutospacing="0" w:after="0" w:afterAutospacing="0" w:line="400" w:lineRule="exact"/>
        <w:ind w:right="31" w:firstLine="660"/>
        <w:jc w:val="both"/>
        <w:rPr>
          <w:bCs/>
          <w:sz w:val="21"/>
          <w:szCs w:val="21"/>
        </w:rPr>
      </w:pPr>
    </w:p>
    <w:p>
      <w:pPr>
        <w:pStyle w:val="78"/>
        <w:wordWrap w:val="0"/>
        <w:spacing w:before="0" w:beforeAutospacing="0" w:after="0" w:afterAutospacing="0" w:line="400" w:lineRule="exact"/>
        <w:ind w:right="31" w:firstLine="660"/>
        <w:jc w:val="both"/>
        <w:rPr>
          <w:bCs/>
          <w:sz w:val="21"/>
          <w:szCs w:val="21"/>
        </w:rPr>
      </w:pPr>
    </w:p>
    <w:p>
      <w:pPr>
        <w:wordWrap w:val="0"/>
        <w:spacing w:line="440" w:lineRule="exact"/>
        <w:jc w:val="center"/>
        <w:rPr>
          <w:rStyle w:val="128"/>
          <w:rFonts w:ascii="宋体" w:hAnsi="宋体"/>
          <w:szCs w:val="21"/>
        </w:rPr>
      </w:pPr>
    </w:p>
    <w:p>
      <w:pPr>
        <w:wordWrap w:val="0"/>
        <w:spacing w:line="360" w:lineRule="auto"/>
        <w:ind w:firstLine="422" w:firstLineChars="200"/>
        <w:jc w:val="left"/>
        <w:rPr>
          <w:rFonts w:ascii="宋体" w:hAnsi="宋体"/>
          <w:b/>
          <w:szCs w:val="21"/>
        </w:rPr>
      </w:pPr>
      <w:r>
        <w:rPr>
          <w:rFonts w:ascii="宋体" w:hAnsi="宋体"/>
          <w:b/>
          <w:szCs w:val="21"/>
        </w:rPr>
        <w:br w:type="page"/>
      </w:r>
    </w:p>
    <w:p>
      <w:pPr>
        <w:wordWrap w:val="0"/>
        <w:spacing w:line="440" w:lineRule="exact"/>
        <w:jc w:val="center"/>
      </w:pPr>
    </w:p>
    <w:p>
      <w:pPr>
        <w:pStyle w:val="30"/>
        <w:wordWrap w:val="0"/>
        <w:spacing w:line="360" w:lineRule="auto"/>
        <w:ind w:firstLine="422"/>
        <w:jc w:val="center"/>
        <w:rPr>
          <w:b/>
          <w:spacing w:val="0"/>
          <w:kern w:val="2"/>
          <w:sz w:val="21"/>
          <w:szCs w:val="21"/>
        </w:rPr>
      </w:pPr>
    </w:p>
    <w:p>
      <w:pPr>
        <w:pStyle w:val="30"/>
        <w:wordWrap w:val="0"/>
        <w:spacing w:line="360" w:lineRule="auto"/>
        <w:ind w:firstLine="422"/>
        <w:jc w:val="center"/>
        <w:rPr>
          <w:b/>
          <w:spacing w:val="0"/>
          <w:kern w:val="2"/>
          <w:sz w:val="21"/>
          <w:szCs w:val="21"/>
        </w:rPr>
      </w:pPr>
      <w:r>
        <w:rPr>
          <w:b/>
          <w:spacing w:val="0"/>
          <w:kern w:val="2"/>
          <w:sz w:val="21"/>
          <w:szCs w:val="21"/>
        </w:rPr>
        <w:t>A</w:t>
      </w:r>
      <w:r>
        <w:rPr>
          <w:rFonts w:hint="eastAsia"/>
          <w:b/>
          <w:spacing w:val="0"/>
          <w:kern w:val="2"/>
          <w:sz w:val="21"/>
          <w:szCs w:val="21"/>
        </w:rPr>
        <w:t>3无重大违法记录的声明函</w:t>
      </w:r>
    </w:p>
    <w:p>
      <w:pPr>
        <w:wordWrap w:val="0"/>
        <w:spacing w:line="400" w:lineRule="exact"/>
        <w:rPr>
          <w:rFonts w:ascii="宋体" w:hAnsi="宋体"/>
          <w:szCs w:val="21"/>
        </w:rPr>
      </w:pPr>
    </w:p>
    <w:p>
      <w:pPr>
        <w:wordWrap w:val="0"/>
        <w:spacing w:line="400" w:lineRule="exact"/>
        <w:rPr>
          <w:rFonts w:ascii="宋体" w:hAnsi="宋体"/>
          <w:szCs w:val="21"/>
        </w:rPr>
      </w:pPr>
      <w:r>
        <w:rPr>
          <w:rFonts w:hint="eastAsia" w:ascii="宋体" w:hAnsi="宋体"/>
          <w:szCs w:val="21"/>
        </w:rPr>
        <w:t>致：采购人</w:t>
      </w:r>
    </w:p>
    <w:p>
      <w:pPr>
        <w:wordWrap w:val="0"/>
        <w:spacing w:line="400" w:lineRule="exact"/>
        <w:ind w:firstLine="420" w:firstLineChars="200"/>
        <w:rPr>
          <w:rFonts w:ascii="宋体" w:hAnsi="宋体"/>
          <w:bCs/>
          <w:szCs w:val="21"/>
        </w:rPr>
      </w:pPr>
      <w:r>
        <w:rPr>
          <w:rFonts w:hint="eastAsia" w:ascii="宋体" w:hAnsi="宋体"/>
          <w:bCs/>
          <w:szCs w:val="21"/>
        </w:rPr>
        <w:t>我单位承诺：</w:t>
      </w:r>
    </w:p>
    <w:p>
      <w:pPr>
        <w:wordWrap w:val="0"/>
        <w:spacing w:line="400" w:lineRule="exact"/>
        <w:ind w:firstLine="420" w:firstLineChars="200"/>
        <w:rPr>
          <w:rFonts w:ascii="宋体" w:hAnsi="宋体"/>
          <w:szCs w:val="21"/>
        </w:rPr>
      </w:pPr>
      <w:r>
        <w:rPr>
          <w:rFonts w:hint="eastAsia" w:ascii="宋体" w:hAnsi="宋体"/>
          <w:szCs w:val="21"/>
        </w:rPr>
        <w:t>我单位参与本次采购活动前三年内，在经营活动中没有重大违法记录。</w:t>
      </w:r>
    </w:p>
    <w:p>
      <w:pPr>
        <w:wordWrap w:val="0"/>
        <w:spacing w:line="400" w:lineRule="exact"/>
        <w:ind w:firstLine="420" w:firstLineChars="200"/>
        <w:rPr>
          <w:rFonts w:ascii="宋体" w:hAnsi="宋体"/>
          <w:szCs w:val="21"/>
        </w:rPr>
      </w:pPr>
      <w:r>
        <w:rPr>
          <w:rFonts w:hint="eastAsia" w:ascii="宋体" w:hAnsi="宋体"/>
          <w:szCs w:val="21"/>
        </w:rPr>
        <w:t>我单位对上述声明的真实性负责。如有虚假，将依法承担相应法律责任。</w:t>
      </w:r>
    </w:p>
    <w:p>
      <w:pPr>
        <w:wordWrap w:val="0"/>
        <w:spacing w:line="400" w:lineRule="exact"/>
        <w:ind w:firstLine="420" w:firstLineChars="200"/>
        <w:rPr>
          <w:rFonts w:ascii="宋体" w:hAnsi="宋体"/>
          <w:szCs w:val="21"/>
        </w:rPr>
      </w:pPr>
      <w:r>
        <w:rPr>
          <w:rFonts w:hint="eastAsia" w:ascii="宋体" w:hAnsi="宋体"/>
          <w:szCs w:val="21"/>
        </w:rPr>
        <w:t>特此承诺。</w:t>
      </w:r>
    </w:p>
    <w:p>
      <w:pPr>
        <w:pStyle w:val="78"/>
        <w:wordWrap w:val="0"/>
        <w:spacing w:before="0" w:beforeAutospacing="0" w:after="0" w:afterAutospacing="0" w:line="400" w:lineRule="exact"/>
        <w:ind w:right="31" w:firstLine="660"/>
        <w:jc w:val="both"/>
        <w:rPr>
          <w:bCs/>
          <w:sz w:val="21"/>
          <w:szCs w:val="21"/>
        </w:rPr>
      </w:pPr>
    </w:p>
    <w:p>
      <w:pPr>
        <w:pStyle w:val="78"/>
        <w:wordWrap w:val="0"/>
        <w:spacing w:before="0" w:beforeAutospacing="0" w:after="0" w:afterAutospacing="0" w:line="400" w:lineRule="exact"/>
        <w:ind w:right="31" w:firstLine="660"/>
        <w:jc w:val="both"/>
        <w:rPr>
          <w:bCs/>
          <w:sz w:val="21"/>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pStyle w:val="78"/>
        <w:wordWrap w:val="0"/>
        <w:spacing w:before="0" w:beforeAutospacing="0" w:after="0" w:afterAutospacing="0" w:line="400" w:lineRule="exact"/>
        <w:ind w:right="31" w:firstLine="660"/>
        <w:jc w:val="both"/>
        <w:rPr>
          <w:bCs/>
          <w:sz w:val="21"/>
          <w:szCs w:val="21"/>
        </w:rPr>
      </w:pPr>
    </w:p>
    <w:p>
      <w:pPr>
        <w:pStyle w:val="78"/>
        <w:wordWrap w:val="0"/>
        <w:spacing w:before="0" w:beforeAutospacing="0" w:after="0" w:afterAutospacing="0" w:line="400" w:lineRule="exact"/>
        <w:ind w:right="31" w:firstLine="660"/>
        <w:jc w:val="both"/>
        <w:rPr>
          <w:bCs/>
          <w:sz w:val="21"/>
          <w:szCs w:val="21"/>
        </w:rPr>
      </w:pPr>
    </w:p>
    <w:p>
      <w:pPr>
        <w:wordWrap w:val="0"/>
        <w:spacing w:line="400" w:lineRule="exact"/>
        <w:rPr>
          <w:rFonts w:ascii="宋体" w:hAnsi="宋体"/>
          <w:bCs/>
          <w:szCs w:val="21"/>
        </w:rPr>
      </w:pPr>
      <w:r>
        <w:rPr>
          <w:rFonts w:hint="eastAsia" w:ascii="宋体" w:hAnsi="宋体"/>
          <w:bCs/>
          <w:szCs w:val="21"/>
        </w:rPr>
        <w:t>注：</w:t>
      </w:r>
      <w:r>
        <w:rPr>
          <w:rFonts w:ascii="宋体" w:hAnsi="宋体"/>
          <w:bCs/>
          <w:szCs w:val="21"/>
        </w:rPr>
        <w:t>1</w:t>
      </w:r>
      <w:r>
        <w:rPr>
          <w:rFonts w:hint="eastAsia" w:ascii="宋体" w:hAnsi="宋体"/>
          <w:bCs/>
          <w:szCs w:val="21"/>
        </w:rPr>
        <w:t>、供应商注册成立不足三年的，应就供应商单位成立至参加政府采购活动时段进行承诺。</w:t>
      </w:r>
    </w:p>
    <w:p>
      <w:pPr>
        <w:pStyle w:val="78"/>
        <w:wordWrap w:val="0"/>
        <w:spacing w:before="0" w:beforeAutospacing="0" w:after="0" w:afterAutospacing="0" w:line="400" w:lineRule="exact"/>
        <w:ind w:right="31" w:firstLine="420" w:firstLineChars="200"/>
        <w:jc w:val="both"/>
        <w:rPr>
          <w:bCs/>
          <w:sz w:val="21"/>
          <w:szCs w:val="21"/>
        </w:rPr>
      </w:pPr>
      <w:r>
        <w:rPr>
          <w:bCs/>
          <w:sz w:val="21"/>
          <w:szCs w:val="21"/>
        </w:rPr>
        <w:t>2</w:t>
      </w:r>
      <w:r>
        <w:rPr>
          <w:rFonts w:hint="eastAsia"/>
          <w:bCs/>
          <w:sz w:val="21"/>
          <w:szCs w:val="21"/>
        </w:rPr>
        <w:t>、政府采购法所称重大违法记录：是指供应商因违法经营受到刑事处罚或者责令停产停业、吊销许可证或者执照、较大数额罚款等行政处罚。</w:t>
      </w:r>
    </w:p>
    <w:p>
      <w:pPr>
        <w:wordWrap w:val="0"/>
        <w:spacing w:line="400" w:lineRule="exact"/>
        <w:rPr>
          <w:rFonts w:ascii="宋体" w:hAnsi="宋体"/>
          <w:b/>
          <w:bCs/>
          <w:szCs w:val="21"/>
        </w:rPr>
      </w:pPr>
    </w:p>
    <w:p>
      <w:pPr>
        <w:wordWrap w:val="0"/>
        <w:spacing w:line="400" w:lineRule="exact"/>
        <w:jc w:val="center"/>
        <w:rPr>
          <w:rFonts w:ascii="宋体" w:hAnsi="宋体"/>
          <w:b/>
          <w:szCs w:val="21"/>
        </w:rPr>
      </w:pPr>
      <w:r>
        <w:rPr>
          <w:rFonts w:ascii="宋体" w:hAnsi="宋体"/>
          <w:b/>
          <w:szCs w:val="21"/>
        </w:rPr>
        <w:br w:type="page"/>
      </w:r>
      <w:r>
        <w:rPr>
          <w:rFonts w:ascii="宋体" w:hAnsi="宋体"/>
          <w:b/>
          <w:szCs w:val="21"/>
        </w:rPr>
        <w:t>A</w:t>
      </w:r>
      <w:r>
        <w:rPr>
          <w:rFonts w:hint="eastAsia" w:ascii="宋体" w:hAnsi="宋体"/>
          <w:b/>
          <w:szCs w:val="21"/>
        </w:rPr>
        <w:t>4其他资格要求需提供的声明函</w:t>
      </w:r>
    </w:p>
    <w:p>
      <w:pPr>
        <w:wordWrap w:val="0"/>
        <w:spacing w:line="400" w:lineRule="exact"/>
        <w:rPr>
          <w:rFonts w:ascii="宋体" w:hAnsi="宋体"/>
          <w:szCs w:val="21"/>
        </w:rPr>
      </w:pPr>
    </w:p>
    <w:p>
      <w:pPr>
        <w:wordWrap w:val="0"/>
        <w:spacing w:line="400" w:lineRule="exact"/>
        <w:rPr>
          <w:rFonts w:ascii="宋体" w:hAnsi="宋体"/>
          <w:szCs w:val="21"/>
        </w:rPr>
      </w:pPr>
      <w:r>
        <w:rPr>
          <w:rFonts w:hint="eastAsia" w:ascii="宋体" w:hAnsi="宋体"/>
          <w:szCs w:val="21"/>
        </w:rPr>
        <w:t>致：采购人</w:t>
      </w:r>
    </w:p>
    <w:p>
      <w:pPr>
        <w:wordWrap w:val="0"/>
        <w:spacing w:line="400" w:lineRule="exact"/>
        <w:ind w:firstLine="420" w:firstLineChars="200"/>
        <w:rPr>
          <w:rFonts w:ascii="宋体" w:hAnsi="宋体"/>
          <w:bCs/>
          <w:szCs w:val="21"/>
        </w:rPr>
      </w:pPr>
      <w:r>
        <w:rPr>
          <w:rFonts w:hint="eastAsia" w:ascii="宋体" w:hAnsi="宋体"/>
          <w:bCs/>
          <w:szCs w:val="21"/>
        </w:rPr>
        <w:t>我单位承诺：</w:t>
      </w:r>
    </w:p>
    <w:p>
      <w:pPr>
        <w:wordWrap w:val="0"/>
        <w:spacing w:line="400" w:lineRule="exact"/>
        <w:ind w:firstLine="420" w:firstLineChars="200"/>
        <w:rPr>
          <w:rFonts w:ascii="宋体" w:hAnsi="宋体"/>
          <w:szCs w:val="21"/>
        </w:rPr>
      </w:pPr>
      <w:r>
        <w:rPr>
          <w:rFonts w:hint="eastAsia" w:ascii="宋体" w:hAnsi="宋体"/>
          <w:szCs w:val="21"/>
        </w:rPr>
        <w:t>1、我单位符合法律、行政法规规定的其他条件。</w:t>
      </w:r>
    </w:p>
    <w:p>
      <w:pPr>
        <w:wordWrap w:val="0"/>
        <w:spacing w:line="400" w:lineRule="exact"/>
        <w:ind w:firstLine="420" w:firstLineChars="200"/>
        <w:rPr>
          <w:rFonts w:ascii="宋体" w:hAnsi="宋体"/>
          <w:szCs w:val="21"/>
        </w:rPr>
      </w:pPr>
      <w:r>
        <w:rPr>
          <w:rFonts w:hint="eastAsia" w:ascii="宋体" w:hAnsi="宋体"/>
          <w:szCs w:val="21"/>
        </w:rPr>
        <w:t>2、我单位未被信用中国网站（</w:t>
      </w:r>
      <w:r>
        <w:fldChar w:fldCharType="begin"/>
      </w:r>
      <w:r>
        <w:instrText xml:space="preserve"> HYPERLINK "http://www.creditchina.gov.cn" </w:instrText>
      </w:r>
      <w:r>
        <w:fldChar w:fldCharType="separate"/>
      </w:r>
      <w:r>
        <w:rPr>
          <w:rFonts w:ascii="宋体" w:hAnsi="宋体"/>
          <w:szCs w:val="21"/>
        </w:rPr>
        <w:t>www.creditchina.gov.cn</w:t>
      </w:r>
      <w:r>
        <w:rPr>
          <w:rFonts w:ascii="宋体" w:hAnsi="宋体"/>
          <w:szCs w:val="21"/>
        </w:rPr>
        <w:fldChar w:fldCharType="end"/>
      </w:r>
      <w:r>
        <w:rPr>
          <w:rFonts w:hint="eastAsia" w:ascii="宋体" w:hAnsi="宋体"/>
          <w:szCs w:val="21"/>
        </w:rPr>
        <w:t>）列入失信被执行人、重大税收违法案件当事人名单，未被中国政府采购网（</w:t>
      </w:r>
      <w:r>
        <w:rPr>
          <w:rFonts w:ascii="宋体" w:hAnsi="宋体"/>
          <w:szCs w:val="21"/>
        </w:rPr>
        <w:t>www.ccgp.gov.cn</w:t>
      </w:r>
      <w:r>
        <w:rPr>
          <w:rFonts w:hint="eastAsia" w:ascii="宋体" w:hAnsi="宋体"/>
          <w:szCs w:val="21"/>
        </w:rPr>
        <w:t>）列入政府采购严重违法失信行为记录名单。</w:t>
      </w:r>
    </w:p>
    <w:p>
      <w:pPr>
        <w:wordWrap w:val="0"/>
        <w:spacing w:line="400" w:lineRule="exact"/>
        <w:ind w:firstLine="420" w:firstLineChars="200"/>
        <w:rPr>
          <w:rFonts w:ascii="宋体" w:hAnsi="宋体"/>
          <w:szCs w:val="21"/>
        </w:rPr>
      </w:pPr>
      <w:r>
        <w:rPr>
          <w:rFonts w:hint="eastAsia" w:ascii="宋体" w:hAnsi="宋体"/>
          <w:szCs w:val="21"/>
        </w:rPr>
        <w:t>3、我方具有良好的商业信誉和健全的财务会计制度。</w:t>
      </w:r>
    </w:p>
    <w:p>
      <w:pPr>
        <w:wordWrap w:val="0"/>
        <w:spacing w:line="400" w:lineRule="exact"/>
        <w:ind w:firstLine="420" w:firstLineChars="200"/>
        <w:rPr>
          <w:rFonts w:ascii="宋体" w:hAnsi="宋体"/>
          <w:szCs w:val="21"/>
        </w:rPr>
      </w:pPr>
      <w:r>
        <w:rPr>
          <w:rFonts w:hint="eastAsia" w:ascii="宋体" w:hAnsi="宋体"/>
          <w:szCs w:val="21"/>
        </w:rPr>
        <w:t>4、我方没有缴纳税收和社会保障等方面的失信记录。</w:t>
      </w:r>
    </w:p>
    <w:p>
      <w:pPr>
        <w:wordWrap w:val="0"/>
        <w:spacing w:line="400" w:lineRule="exact"/>
        <w:ind w:firstLine="420" w:firstLineChars="200"/>
        <w:rPr>
          <w:rFonts w:ascii="宋体" w:hAnsi="宋体"/>
          <w:szCs w:val="21"/>
        </w:rPr>
      </w:pPr>
      <w:r>
        <w:rPr>
          <w:rFonts w:hint="eastAsia" w:ascii="宋体" w:hAnsi="宋体"/>
          <w:szCs w:val="21"/>
        </w:rPr>
        <w:t>特此承诺。</w:t>
      </w:r>
    </w:p>
    <w:p>
      <w:pPr>
        <w:pStyle w:val="78"/>
        <w:wordWrap w:val="0"/>
        <w:spacing w:before="0" w:beforeAutospacing="0" w:after="0" w:afterAutospacing="0" w:line="400" w:lineRule="exact"/>
        <w:ind w:right="31" w:firstLine="660"/>
        <w:jc w:val="both"/>
        <w:rPr>
          <w:bCs/>
          <w:sz w:val="21"/>
          <w:szCs w:val="21"/>
        </w:rPr>
      </w:pPr>
    </w:p>
    <w:p>
      <w:pPr>
        <w:pStyle w:val="78"/>
        <w:wordWrap w:val="0"/>
        <w:spacing w:before="0" w:beforeAutospacing="0" w:after="0" w:afterAutospacing="0" w:line="400" w:lineRule="exact"/>
        <w:ind w:right="31" w:firstLine="660"/>
        <w:jc w:val="both"/>
        <w:rPr>
          <w:bCs/>
          <w:sz w:val="21"/>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400" w:lineRule="atLeast"/>
        <w:rPr>
          <w:rFonts w:ascii="宋体" w:hAnsi="宋体"/>
          <w:szCs w:val="21"/>
          <w:u w:val="single"/>
        </w:rPr>
      </w:pPr>
    </w:p>
    <w:p>
      <w:pPr>
        <w:pStyle w:val="78"/>
        <w:wordWrap w:val="0"/>
        <w:spacing w:before="0" w:beforeAutospacing="0" w:after="0" w:afterAutospacing="0" w:line="400" w:lineRule="exact"/>
        <w:ind w:right="31" w:firstLine="660"/>
        <w:jc w:val="both"/>
        <w:rPr>
          <w:bCs/>
          <w:sz w:val="21"/>
          <w:szCs w:val="21"/>
        </w:rPr>
      </w:pPr>
    </w:p>
    <w:p>
      <w:pPr>
        <w:pStyle w:val="78"/>
        <w:wordWrap w:val="0"/>
        <w:spacing w:before="0" w:beforeAutospacing="0" w:after="0" w:afterAutospacing="0" w:line="400" w:lineRule="exact"/>
        <w:ind w:right="31" w:firstLine="660"/>
        <w:jc w:val="both"/>
        <w:rPr>
          <w:bCs/>
          <w:sz w:val="21"/>
          <w:szCs w:val="21"/>
        </w:rPr>
      </w:pPr>
    </w:p>
    <w:p>
      <w:pPr>
        <w:wordWrap w:val="0"/>
        <w:spacing w:line="440" w:lineRule="exact"/>
        <w:jc w:val="center"/>
        <w:rPr>
          <w:rStyle w:val="128"/>
          <w:rFonts w:ascii="宋体" w:hAnsi="宋体"/>
          <w:szCs w:val="21"/>
        </w:rPr>
      </w:pPr>
    </w:p>
    <w:p>
      <w:pPr>
        <w:wordWrap w:val="0"/>
        <w:spacing w:line="440" w:lineRule="exact"/>
        <w:jc w:val="center"/>
        <w:rPr>
          <w:rStyle w:val="128"/>
          <w:rFonts w:ascii="宋体" w:hAnsi="宋体"/>
          <w:szCs w:val="21"/>
        </w:rPr>
      </w:pPr>
      <w:r>
        <w:rPr>
          <w:rStyle w:val="128"/>
          <w:rFonts w:ascii="宋体" w:hAnsi="宋体"/>
          <w:szCs w:val="21"/>
        </w:rPr>
        <w:br w:type="page"/>
      </w:r>
    </w:p>
    <w:p>
      <w:pPr>
        <w:wordWrap w:val="0"/>
        <w:spacing w:line="400" w:lineRule="exact"/>
        <w:jc w:val="left"/>
        <w:rPr>
          <w:rStyle w:val="128"/>
          <w:rFonts w:ascii="宋体" w:hAnsi="宋体"/>
          <w:sz w:val="28"/>
          <w:szCs w:val="28"/>
        </w:rPr>
      </w:pPr>
    </w:p>
    <w:p>
      <w:pPr>
        <w:wordWrap w:val="0"/>
        <w:spacing w:line="400" w:lineRule="exact"/>
        <w:jc w:val="center"/>
        <w:rPr>
          <w:rStyle w:val="128"/>
          <w:rFonts w:ascii="宋体" w:hAnsi="宋体"/>
          <w:sz w:val="32"/>
          <w:szCs w:val="32"/>
        </w:rPr>
      </w:pPr>
      <w:bookmarkStart w:id="66" w:name="_Toc21541026"/>
      <w:bookmarkEnd w:id="66"/>
      <w:bookmarkStart w:id="67" w:name="_Toc16913"/>
      <w:bookmarkEnd w:id="67"/>
      <w:bookmarkStart w:id="68" w:name="_Toc44162157"/>
      <w:bookmarkEnd w:id="68"/>
      <w:r>
        <w:rPr>
          <w:rStyle w:val="128"/>
          <w:rFonts w:ascii="宋体" w:hAnsi="宋体"/>
          <w:sz w:val="32"/>
          <w:szCs w:val="32"/>
        </w:rPr>
        <w:t>B.</w:t>
      </w:r>
      <w:r>
        <w:rPr>
          <w:rStyle w:val="128"/>
          <w:rFonts w:hint="eastAsia" w:ascii="宋体" w:hAnsi="宋体"/>
          <w:sz w:val="32"/>
          <w:szCs w:val="32"/>
        </w:rPr>
        <w:t>商务和技术文件</w:t>
      </w:r>
    </w:p>
    <w:p>
      <w:pPr>
        <w:wordWrap w:val="0"/>
        <w:autoSpaceDE w:val="0"/>
        <w:autoSpaceDN w:val="0"/>
        <w:spacing w:line="420" w:lineRule="exact"/>
        <w:rPr>
          <w:rStyle w:val="128"/>
          <w:rFonts w:ascii="宋体" w:hAnsi="宋体"/>
          <w:sz w:val="32"/>
          <w:szCs w:val="32"/>
        </w:rPr>
      </w:pPr>
      <w:r>
        <w:rPr>
          <w:rStyle w:val="128"/>
          <w:rFonts w:ascii="宋体" w:hAnsi="宋体"/>
          <w:sz w:val="32"/>
          <w:szCs w:val="32"/>
        </w:rPr>
        <w:br w:type="page"/>
      </w:r>
      <w:r>
        <w:rPr>
          <w:rStyle w:val="128"/>
          <w:rFonts w:hint="eastAsia" w:ascii="宋体" w:hAnsi="宋体"/>
          <w:szCs w:val="21"/>
        </w:rPr>
        <w:t>封面</w:t>
      </w:r>
    </w:p>
    <w:p>
      <w:pPr>
        <w:wordWrap w:val="0"/>
        <w:spacing w:line="360" w:lineRule="auto"/>
        <w:ind w:firstLine="1285" w:firstLineChars="400"/>
        <w:jc w:val="right"/>
        <w:rPr>
          <w:rFonts w:ascii="宋体" w:hAnsi="宋体"/>
          <w:b/>
          <w:sz w:val="32"/>
          <w:szCs w:val="32"/>
        </w:rPr>
      </w:pPr>
      <w:r>
        <w:rPr>
          <w:rFonts w:hint="eastAsia" w:ascii="宋体" w:hAnsi="宋体"/>
          <w:b/>
          <w:sz w:val="32"/>
          <w:szCs w:val="32"/>
        </w:rPr>
        <w:t>正本</w:t>
      </w:r>
    </w:p>
    <w:p>
      <w:pPr>
        <w:wordWrap w:val="0"/>
        <w:spacing w:line="360" w:lineRule="auto"/>
        <w:rPr>
          <w:rFonts w:ascii="宋体" w:hAnsi="宋体"/>
          <w:sz w:val="28"/>
          <w:szCs w:val="28"/>
        </w:rPr>
      </w:pPr>
    </w:p>
    <w:p>
      <w:pPr>
        <w:wordWrap w:val="0"/>
        <w:spacing w:after="120" w:line="900" w:lineRule="exact"/>
        <w:jc w:val="center"/>
        <w:rPr>
          <w:rFonts w:ascii="宋体" w:hAnsi="宋体"/>
          <w:sz w:val="36"/>
          <w:szCs w:val="36"/>
        </w:rPr>
      </w:pPr>
      <w:r>
        <w:rPr>
          <w:rFonts w:hint="eastAsia" w:ascii="宋体" w:hAnsi="宋体"/>
          <w:sz w:val="36"/>
          <w:szCs w:val="36"/>
        </w:rPr>
        <w:t>宁波职业技术学院绿色智能供配电实训基地建设项目</w:t>
      </w:r>
    </w:p>
    <w:p>
      <w:pPr>
        <w:wordWrap w:val="0"/>
        <w:spacing w:line="360" w:lineRule="auto"/>
        <w:jc w:val="center"/>
        <w:rPr>
          <w:rFonts w:ascii="宋体" w:hAnsi="宋体"/>
          <w:sz w:val="36"/>
          <w:szCs w:val="36"/>
          <w:u w:val="single"/>
        </w:rPr>
      </w:pPr>
      <w:r>
        <w:rPr>
          <w:rFonts w:hint="eastAsia" w:ascii="宋体" w:hAnsi="宋体"/>
          <w:sz w:val="36"/>
          <w:szCs w:val="36"/>
          <w:u w:val="single"/>
        </w:rPr>
        <w:t>采购编号：ZJZC-233184</w:t>
      </w:r>
    </w:p>
    <w:p>
      <w:pPr>
        <w:wordWrap w:val="0"/>
        <w:spacing w:line="360" w:lineRule="auto"/>
        <w:ind w:firstLine="2340" w:firstLineChars="650"/>
        <w:rPr>
          <w:rFonts w:ascii="宋体" w:hAnsi="宋体"/>
          <w:sz w:val="36"/>
          <w:szCs w:val="36"/>
          <w:u w:val="single"/>
        </w:rPr>
      </w:pPr>
      <w:r>
        <w:rPr>
          <w:rFonts w:hint="eastAsia" w:ascii="宋体" w:hAnsi="宋体"/>
          <w:sz w:val="36"/>
          <w:szCs w:val="36"/>
          <w:u w:val="single"/>
        </w:rPr>
        <w:t>标</w:t>
      </w:r>
      <w:r>
        <w:rPr>
          <w:rFonts w:ascii="宋体" w:hAnsi="宋体"/>
          <w:sz w:val="36"/>
          <w:szCs w:val="36"/>
          <w:u w:val="single"/>
        </w:rPr>
        <w:t xml:space="preserve">    </w:t>
      </w:r>
      <w:r>
        <w:rPr>
          <w:rFonts w:hint="eastAsia" w:ascii="宋体" w:hAnsi="宋体"/>
          <w:sz w:val="36"/>
          <w:szCs w:val="36"/>
          <w:u w:val="single"/>
        </w:rPr>
        <w:t>项：（如有多个标项）</w:t>
      </w:r>
    </w:p>
    <w:p>
      <w:pPr>
        <w:wordWrap w:val="0"/>
        <w:rPr>
          <w:rFonts w:ascii="宋体" w:hAnsi="宋体"/>
          <w:sz w:val="28"/>
          <w:szCs w:val="28"/>
        </w:rPr>
      </w:pPr>
    </w:p>
    <w:p>
      <w:pPr>
        <w:wordWrap w:val="0"/>
        <w:spacing w:line="360" w:lineRule="auto"/>
        <w:jc w:val="center"/>
        <w:rPr>
          <w:rFonts w:ascii="宋体" w:hAnsi="宋体"/>
          <w:sz w:val="36"/>
          <w:szCs w:val="36"/>
        </w:rPr>
      </w:pPr>
      <w:r>
        <w:rPr>
          <w:rFonts w:hint="eastAsia" w:ascii="宋体" w:hAnsi="宋体"/>
          <w:sz w:val="36"/>
          <w:szCs w:val="36"/>
        </w:rPr>
        <w:t>（商务和技术文件）</w:t>
      </w:r>
    </w:p>
    <w:p>
      <w:pPr>
        <w:wordWrap w:val="0"/>
        <w:jc w:val="center"/>
        <w:rPr>
          <w:rFonts w:ascii="宋体" w:hAnsi="宋体"/>
          <w:sz w:val="28"/>
          <w:szCs w:val="28"/>
        </w:rPr>
      </w:pPr>
    </w:p>
    <w:p>
      <w:pPr>
        <w:wordWrap w:val="0"/>
        <w:spacing w:line="360" w:lineRule="auto"/>
        <w:jc w:val="center"/>
        <w:rPr>
          <w:rFonts w:ascii="宋体" w:hAnsi="宋体"/>
          <w:b/>
          <w:sz w:val="72"/>
          <w:szCs w:val="72"/>
        </w:rPr>
      </w:pPr>
    </w:p>
    <w:p>
      <w:pPr>
        <w:wordWrap w:val="0"/>
        <w:spacing w:line="360" w:lineRule="auto"/>
        <w:jc w:val="center"/>
        <w:rPr>
          <w:rFonts w:ascii="宋体" w:hAnsi="宋体"/>
          <w:b/>
          <w:sz w:val="72"/>
          <w:szCs w:val="72"/>
        </w:rPr>
      </w:pPr>
      <w:r>
        <w:rPr>
          <w:rFonts w:hint="eastAsia" w:ascii="宋体" w:hAnsi="宋体"/>
          <w:b/>
          <w:sz w:val="72"/>
          <w:szCs w:val="72"/>
        </w:rPr>
        <w:t>投标文件</w:t>
      </w: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r>
        <w:rPr>
          <w:rFonts w:hint="eastAsia" w:ascii="宋体" w:hAnsi="宋体"/>
          <w:sz w:val="36"/>
          <w:szCs w:val="36"/>
        </w:rPr>
        <w:t>供应商全称：</w:t>
      </w:r>
      <w:r>
        <w:rPr>
          <w:rFonts w:hint="eastAsia" w:ascii="宋体" w:hAnsi="宋体"/>
          <w:sz w:val="36"/>
          <w:szCs w:val="36"/>
          <w:u w:val="single"/>
        </w:rPr>
        <w:t>（加盖单位公章）</w:t>
      </w:r>
    </w:p>
    <w:p>
      <w:pPr>
        <w:pStyle w:val="55"/>
        <w:wordWrap w:val="0"/>
        <w:ind w:left="101" w:leftChars="48" w:firstLine="1920" w:firstLineChars="800"/>
        <w:jc w:val="left"/>
        <w:rPr>
          <w:rFonts w:hAnsi="宋体"/>
          <w:kern w:val="2"/>
          <w:szCs w:val="28"/>
          <w:u w:val="single"/>
        </w:rPr>
      </w:pPr>
    </w:p>
    <w:p>
      <w:pPr>
        <w:wordWrap w:val="0"/>
        <w:spacing w:line="360" w:lineRule="auto"/>
        <w:jc w:val="center"/>
        <w:rPr>
          <w:rFonts w:ascii="宋体" w:hAnsi="宋体"/>
          <w:sz w:val="36"/>
          <w:szCs w:val="36"/>
        </w:rPr>
      </w:pPr>
      <w:bookmarkStart w:id="69" w:name="_Toc12534"/>
      <w:bookmarkEnd w:id="69"/>
      <w:bookmarkStart w:id="70" w:name="_Toc21541027"/>
      <w:bookmarkEnd w:id="70"/>
      <w:bookmarkStart w:id="71" w:name="_Toc44162158"/>
      <w:bookmarkEnd w:id="71"/>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pPr>
        <w:wordWrap w:val="0"/>
        <w:spacing w:line="360" w:lineRule="auto"/>
        <w:ind w:firstLine="4200" w:firstLineChars="2000"/>
        <w:jc w:val="left"/>
        <w:rPr>
          <w:rFonts w:ascii="宋体" w:hAnsi="宋体"/>
          <w:szCs w:val="21"/>
        </w:rPr>
      </w:pPr>
    </w:p>
    <w:p>
      <w:pPr>
        <w:wordWrap w:val="0"/>
        <w:spacing w:line="360" w:lineRule="auto"/>
        <w:jc w:val="center"/>
        <w:rPr>
          <w:rStyle w:val="128"/>
          <w:rFonts w:ascii="宋体" w:hAnsi="宋体"/>
          <w:szCs w:val="21"/>
        </w:rPr>
      </w:pPr>
      <w:r>
        <w:rPr>
          <w:rStyle w:val="128"/>
          <w:rFonts w:ascii="宋体" w:hAnsi="宋体"/>
          <w:szCs w:val="21"/>
        </w:rPr>
        <w:br w:type="page"/>
      </w:r>
      <w:r>
        <w:rPr>
          <w:rFonts w:hint="eastAsia" w:ascii="宋体" w:hAnsi="宋体"/>
          <w:b/>
          <w:szCs w:val="21"/>
        </w:rPr>
        <w:t>B1投标书</w:t>
      </w:r>
    </w:p>
    <w:p>
      <w:pPr>
        <w:wordWrap w:val="0"/>
        <w:spacing w:line="400" w:lineRule="exact"/>
        <w:rPr>
          <w:rFonts w:ascii="宋体" w:hAnsi="宋体"/>
          <w:szCs w:val="21"/>
        </w:rPr>
      </w:pPr>
      <w:r>
        <w:rPr>
          <w:rFonts w:hint="eastAsia" w:ascii="宋体" w:hAnsi="宋体"/>
          <w:szCs w:val="21"/>
        </w:rPr>
        <w:t>致：浙江中创招投标有限公司</w:t>
      </w:r>
    </w:p>
    <w:p>
      <w:pPr>
        <w:wordWrap w:val="0"/>
        <w:spacing w:line="400" w:lineRule="exact"/>
        <w:ind w:firstLine="420" w:firstLineChars="200"/>
        <w:rPr>
          <w:rFonts w:ascii="宋体" w:hAnsi="宋体"/>
          <w:szCs w:val="21"/>
          <w:u w:val="single"/>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rPr>
        <w:t>宁波职业技术学院绿色智能供配电实训基地建设项目</w:t>
      </w:r>
      <w:r>
        <w:rPr>
          <w:rFonts w:hint="eastAsia" w:ascii="宋体" w:hAnsi="宋体"/>
          <w:szCs w:val="21"/>
        </w:rPr>
        <w:t>（采购编号：</w:t>
      </w:r>
      <w:r>
        <w:rPr>
          <w:rFonts w:hint="eastAsia" w:ascii="宋体" w:hAnsi="宋体"/>
          <w:szCs w:val="21"/>
          <w:u w:val="single"/>
        </w:rPr>
        <w:t>ZJZC-233184</w:t>
      </w:r>
      <w:r>
        <w:rPr>
          <w:rFonts w:hint="eastAsia" w:ascii="宋体" w:hAnsi="宋体"/>
          <w:szCs w:val="21"/>
        </w:rPr>
        <w:t>）招标活动并投标，为便于采购人公正、择优地确定中标供应商及其服务，我方就本次投标有关事项郑重声明如下：</w:t>
      </w:r>
    </w:p>
    <w:p>
      <w:pPr>
        <w:wordWrap w:val="0"/>
        <w:snapToGrid w:val="0"/>
        <w:spacing w:line="400" w:lineRule="exact"/>
        <w:ind w:firstLine="420" w:firstLineChars="200"/>
        <w:rPr>
          <w:rFonts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pPr>
        <w:wordWrap w:val="0"/>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pPr>
        <w:wordWrap w:val="0"/>
        <w:snapToGrid w:val="0"/>
        <w:spacing w:line="400" w:lineRule="exact"/>
        <w:ind w:firstLine="420" w:firstLineChars="200"/>
        <w:rPr>
          <w:rFonts w:ascii="宋体" w:hAnsi="宋体"/>
          <w:szCs w:val="21"/>
        </w:rPr>
      </w:pPr>
      <w:r>
        <w:rPr>
          <w:rFonts w:hint="eastAsia" w:ascii="宋体" w:hAnsi="宋体"/>
          <w:szCs w:val="21"/>
        </w:rPr>
        <w:t>3、我们已详细审查全部采购文件及有关的澄清/修改文件（若有），我们完全理解并同意放弃对这方面提出任何异议的权利。</w:t>
      </w:r>
    </w:p>
    <w:p>
      <w:pPr>
        <w:wordWrap w:val="0"/>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rPr>
        <w:t>保证遵守采购文件有关条款规定。</w:t>
      </w:r>
    </w:p>
    <w:p>
      <w:pPr>
        <w:wordWrap w:val="0"/>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pPr>
        <w:wordWrap w:val="0"/>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pPr>
        <w:wordWrap w:val="0"/>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w:t>
      </w:r>
      <w:r>
        <w:rPr>
          <w:rFonts w:hint="eastAsia" w:ascii="宋体"/>
        </w:rPr>
        <w:t>保证在中标后忠实地执行与采购人所签署的合同，并承担合同规定的责任义务。</w:t>
      </w:r>
    </w:p>
    <w:p>
      <w:pPr>
        <w:wordWrap w:val="0"/>
        <w:spacing w:line="400" w:lineRule="exact"/>
        <w:ind w:firstLine="420" w:firstLineChars="200"/>
        <w:jc w:val="left"/>
        <w:rPr>
          <w:rFonts w:ascii="宋体"/>
        </w:rPr>
      </w:pPr>
      <w:r>
        <w:rPr>
          <w:rFonts w:hint="eastAsia" w:ascii="宋体"/>
        </w:rPr>
        <w:t>8、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wordWrap w:val="0"/>
        <w:spacing w:line="400" w:lineRule="exact"/>
        <w:ind w:firstLine="420" w:firstLineChars="200"/>
        <w:jc w:val="left"/>
        <w:rPr>
          <w:rFonts w:ascii="宋体" w:hAnsi="宋体"/>
          <w:szCs w:val="21"/>
        </w:rPr>
      </w:pPr>
      <w:r>
        <w:rPr>
          <w:rFonts w:ascii="宋体" w:hAnsi="宋体"/>
          <w:szCs w:val="21"/>
        </w:rPr>
        <w:t>9</w:t>
      </w:r>
      <w:r>
        <w:rPr>
          <w:rFonts w:hint="eastAsia" w:ascii="宋体" w:hAnsi="宋体"/>
          <w:szCs w:val="21"/>
        </w:rPr>
        <w:t>、与本投标有关的一切正式来往通讯请寄：</w:t>
      </w:r>
    </w:p>
    <w:p>
      <w:pPr>
        <w:wordWrap w:val="0"/>
        <w:spacing w:line="400" w:lineRule="exact"/>
        <w:ind w:firstLine="420" w:firstLineChars="200"/>
        <w:jc w:val="left"/>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pPr>
        <w:wordWrap w:val="0"/>
        <w:spacing w:line="400" w:lineRule="exact"/>
        <w:ind w:firstLine="420" w:firstLineChars="200"/>
        <w:jc w:val="left"/>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wordWrap w:val="0"/>
        <w:spacing w:line="400" w:lineRule="exact"/>
        <w:ind w:left="540" w:firstLine="30"/>
        <w:jc w:val="left"/>
        <w:rPr>
          <w:rFonts w:ascii="宋体" w:hAnsi="宋体"/>
          <w:szCs w:val="21"/>
        </w:rPr>
      </w:pPr>
    </w:p>
    <w:p>
      <w:pPr>
        <w:wordWrap w:val="0"/>
        <w:spacing w:line="400" w:lineRule="exact"/>
        <w:jc w:val="left"/>
        <w:rPr>
          <w:rFonts w:ascii="宋体" w:hAnsi="宋体"/>
          <w:szCs w:val="21"/>
        </w:rPr>
      </w:pPr>
    </w:p>
    <w:p>
      <w:pPr>
        <w:wordWrap w:val="0"/>
        <w:spacing w:line="400" w:lineRule="exact"/>
        <w:jc w:val="left"/>
        <w:rPr>
          <w:rFonts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wordWrap w:val="0"/>
        <w:spacing w:line="400" w:lineRule="exact"/>
        <w:rPr>
          <w:rFonts w:ascii="宋体" w:hAnsi="宋体"/>
          <w:szCs w:val="21"/>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wordWrap w:val="0"/>
        <w:spacing w:line="360" w:lineRule="auto"/>
        <w:jc w:val="center"/>
        <w:rPr>
          <w:rStyle w:val="128"/>
          <w:rFonts w:ascii="宋体" w:hAnsi="宋体"/>
          <w:szCs w:val="21"/>
        </w:rPr>
      </w:pPr>
      <w:r>
        <w:rPr>
          <w:rStyle w:val="128"/>
          <w:rFonts w:ascii="宋体" w:hAnsi="宋体"/>
          <w:szCs w:val="21"/>
        </w:rPr>
        <w:br w:type="page"/>
      </w:r>
      <w:r>
        <w:rPr>
          <w:rFonts w:hint="eastAsia" w:ascii="宋体" w:hAnsi="宋体"/>
          <w:b/>
          <w:bCs/>
        </w:rPr>
        <w:t>B</w:t>
      </w:r>
      <w:r>
        <w:rPr>
          <w:rFonts w:ascii="宋体" w:hAnsi="宋体"/>
          <w:b/>
          <w:bCs/>
          <w:szCs w:val="21"/>
        </w:rPr>
        <w:t>2</w:t>
      </w:r>
      <w:r>
        <w:rPr>
          <w:rFonts w:hint="eastAsia" w:ascii="宋体" w:hAnsi="宋体"/>
          <w:b/>
          <w:bCs/>
          <w:szCs w:val="21"/>
        </w:rPr>
        <w:t>法定代表人身份证明</w:t>
      </w:r>
    </w:p>
    <w:p>
      <w:pPr>
        <w:wordWrap w:val="0"/>
        <w:spacing w:after="120" w:line="400" w:lineRule="exact"/>
        <w:rPr>
          <w:rFonts w:ascii="宋体" w:hAnsi="宋体"/>
          <w:szCs w:val="21"/>
        </w:rPr>
      </w:pPr>
      <w:r>
        <w:rPr>
          <w:rFonts w:hint="eastAsia" w:ascii="宋体" w:hAnsi="宋体"/>
          <w:szCs w:val="21"/>
        </w:rPr>
        <w:t>供应商名称：</w:t>
      </w:r>
      <w:r>
        <w:rPr>
          <w:rFonts w:ascii="宋体" w:hAnsi="宋体"/>
          <w:szCs w:val="21"/>
          <w:u w:val="single"/>
        </w:rPr>
        <w:t xml:space="preserve">                   </w:t>
      </w:r>
    </w:p>
    <w:p>
      <w:pPr>
        <w:wordWrap w:val="0"/>
        <w:spacing w:after="120" w:line="400" w:lineRule="exact"/>
        <w:rPr>
          <w:rFonts w:ascii="宋体" w:hAnsi="宋体"/>
          <w:szCs w:val="21"/>
        </w:rPr>
      </w:pPr>
      <w:r>
        <w:rPr>
          <w:rFonts w:hint="eastAsia" w:ascii="宋体" w:hAnsi="宋体"/>
          <w:szCs w:val="21"/>
        </w:rPr>
        <w:t>单位性质：</w:t>
      </w:r>
      <w:r>
        <w:rPr>
          <w:rFonts w:ascii="宋体" w:hAnsi="宋体"/>
          <w:szCs w:val="21"/>
          <w:u w:val="single"/>
        </w:rPr>
        <w:t xml:space="preserve">                   </w:t>
      </w:r>
    </w:p>
    <w:p>
      <w:pPr>
        <w:wordWrap w:val="0"/>
        <w:spacing w:after="120" w:line="400" w:lineRule="exact"/>
        <w:rPr>
          <w:rFonts w:ascii="宋体" w:hAnsi="宋体"/>
          <w:szCs w:val="21"/>
        </w:rPr>
      </w:pPr>
      <w:r>
        <w:rPr>
          <w:rFonts w:hint="eastAsia" w:ascii="宋体" w:hAnsi="宋体"/>
          <w:szCs w:val="21"/>
        </w:rPr>
        <w:t>地址：</w:t>
      </w:r>
      <w:r>
        <w:rPr>
          <w:rFonts w:ascii="宋体" w:hAnsi="宋体"/>
          <w:szCs w:val="21"/>
          <w:u w:val="single"/>
        </w:rPr>
        <w:t xml:space="preserve">                   </w:t>
      </w:r>
    </w:p>
    <w:p>
      <w:pPr>
        <w:wordWrap w:val="0"/>
        <w:spacing w:after="120" w:line="400" w:lineRule="exact"/>
        <w:rPr>
          <w:rFonts w:ascii="宋体" w:hAnsi="宋体"/>
          <w:szCs w:val="21"/>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wordWrap w:val="0"/>
        <w:spacing w:after="120" w:line="400" w:lineRule="exact"/>
        <w:rPr>
          <w:rFonts w:ascii="宋体" w:hAnsi="宋体"/>
          <w:szCs w:val="21"/>
        </w:rPr>
      </w:pPr>
      <w:r>
        <w:rPr>
          <w:rFonts w:hint="eastAsia" w:ascii="宋体" w:hAnsi="宋体"/>
          <w:szCs w:val="21"/>
        </w:rPr>
        <w:t>经营期限：</w:t>
      </w:r>
    </w:p>
    <w:p>
      <w:pPr>
        <w:wordWrap w:val="0"/>
        <w:spacing w:after="120" w:line="400" w:lineRule="exact"/>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wordWrap w:val="0"/>
        <w:spacing w:after="120" w:line="400" w:lineRule="exact"/>
        <w:rPr>
          <w:rFonts w:ascii="宋体" w:hAnsi="宋体"/>
          <w:szCs w:val="21"/>
        </w:rPr>
      </w:pPr>
      <w:r>
        <w:rPr>
          <w:rFonts w:hint="eastAsia" w:ascii="宋体" w:hAnsi="宋体"/>
          <w:szCs w:val="21"/>
        </w:rPr>
        <w:t>身份证号码：</w:t>
      </w:r>
      <w:r>
        <w:rPr>
          <w:rFonts w:ascii="宋体" w:hAnsi="宋体"/>
          <w:szCs w:val="21"/>
          <w:u w:val="single"/>
        </w:rPr>
        <w:t xml:space="preserve">                   </w:t>
      </w:r>
    </w:p>
    <w:p>
      <w:pPr>
        <w:wordWrap w:val="0"/>
        <w:spacing w:line="400" w:lineRule="exact"/>
        <w:ind w:firstLine="560"/>
        <w:rPr>
          <w:rFonts w:ascii="宋体" w:hAnsi="宋体"/>
          <w:szCs w:val="21"/>
        </w:rPr>
      </w:pPr>
    </w:p>
    <w:p>
      <w:pPr>
        <w:wordWrap w:val="0"/>
        <w:spacing w:line="400" w:lineRule="exact"/>
        <w:rPr>
          <w:rFonts w:ascii="宋体" w:hAnsi="宋体"/>
          <w:szCs w:val="21"/>
        </w:rPr>
      </w:pPr>
      <w:r>
        <w:rPr>
          <w:rFonts w:ascii="宋体" w:hAnsi="宋体"/>
          <w:szCs w:val="21"/>
        </w:rPr>
        <w:t xml:space="preserve">    </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pPr>
        <w:wordWrap w:val="0"/>
        <w:spacing w:line="400" w:lineRule="exact"/>
        <w:ind w:firstLine="560"/>
        <w:rPr>
          <w:rFonts w:ascii="宋体" w:hAnsi="宋体"/>
          <w:szCs w:val="21"/>
        </w:rPr>
      </w:pPr>
    </w:p>
    <w:p>
      <w:pPr>
        <w:wordWrap w:val="0"/>
        <w:spacing w:line="400" w:lineRule="exact"/>
        <w:rPr>
          <w:rFonts w:ascii="宋体" w:hAnsi="宋体"/>
          <w:szCs w:val="21"/>
        </w:rPr>
      </w:pPr>
      <w:r>
        <w:rPr>
          <w:rFonts w:hint="eastAsia" w:ascii="宋体" w:hAnsi="宋体"/>
          <w:szCs w:val="21"/>
        </w:rPr>
        <w:t>特此证明。</w:t>
      </w:r>
    </w:p>
    <w:p>
      <w:pPr>
        <w:wordWrap w:val="0"/>
        <w:spacing w:line="400" w:lineRule="exact"/>
        <w:rPr>
          <w:rFonts w:ascii="宋体" w:hAnsi="宋体"/>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400" w:lineRule="atLeast"/>
        <w:rPr>
          <w:rFonts w:ascii="宋体" w:hAnsi="宋体"/>
          <w:szCs w:val="21"/>
          <w:u w:val="single"/>
        </w:rPr>
      </w:pPr>
    </w:p>
    <w:p>
      <w:pPr>
        <w:wordWrap w:val="0"/>
        <w:spacing w:line="400" w:lineRule="atLeast"/>
        <w:rPr>
          <w:rFonts w:ascii="宋体" w:hAnsi="宋体"/>
          <w:szCs w:val="21"/>
          <w:u w:val="single"/>
        </w:rPr>
      </w:pPr>
    </w:p>
    <w:p>
      <w:pPr>
        <w:wordWrap w:val="0"/>
        <w:spacing w:line="360" w:lineRule="auto"/>
        <w:rPr>
          <w:rFonts w:ascii="宋体" w:hAnsi="宋体"/>
          <w:szCs w:val="21"/>
        </w:rPr>
      </w:pPr>
    </w:p>
    <w:p>
      <w:pPr>
        <w:wordWrap w:val="0"/>
        <w:spacing w:line="360" w:lineRule="auto"/>
        <w:rPr>
          <w:rFonts w:ascii="宋体" w:hAnsi="宋体"/>
          <w:szCs w:val="21"/>
        </w:rPr>
      </w:pPr>
      <w:r>
        <w:rPr>
          <w:rFonts w:hint="eastAsia" w:ascii="宋体" w:hAnsi="宋体"/>
          <w:szCs w:val="21"/>
        </w:rPr>
        <w:t>后附：法定代表人身份证复印件加盖供应商公章。</w:t>
      </w:r>
    </w:p>
    <w:p>
      <w:pPr>
        <w:wordWrap w:val="0"/>
        <w:spacing w:line="400" w:lineRule="atLeast"/>
        <w:rPr>
          <w:rFonts w:ascii="宋体" w:hAnsi="宋体"/>
          <w:szCs w:val="21"/>
          <w:u w:val="single"/>
        </w:rPr>
      </w:pPr>
    </w:p>
    <w:p>
      <w:pPr>
        <w:wordWrap w:val="0"/>
        <w:spacing w:line="400" w:lineRule="exact"/>
        <w:jc w:val="center"/>
        <w:rPr>
          <w:rStyle w:val="128"/>
          <w:rFonts w:ascii="宋体" w:hAnsi="宋体"/>
          <w:szCs w:val="21"/>
        </w:rPr>
      </w:pPr>
      <w:r>
        <w:rPr>
          <w:rStyle w:val="128"/>
          <w:rFonts w:ascii="宋体" w:hAnsi="宋体"/>
          <w:szCs w:val="21"/>
        </w:rPr>
        <w:br w:type="page"/>
      </w:r>
      <w:r>
        <w:rPr>
          <w:rFonts w:hint="eastAsia" w:ascii="宋体" w:hAnsi="宋体"/>
          <w:b/>
          <w:szCs w:val="21"/>
        </w:rPr>
        <w:t>B</w:t>
      </w:r>
      <w:r>
        <w:rPr>
          <w:rFonts w:ascii="宋体" w:hAnsi="宋体"/>
          <w:b/>
          <w:szCs w:val="21"/>
        </w:rPr>
        <w:t>3</w:t>
      </w:r>
      <w:r>
        <w:rPr>
          <w:rFonts w:hint="eastAsia" w:ascii="宋体" w:hAnsi="宋体"/>
          <w:b/>
          <w:szCs w:val="21"/>
        </w:rPr>
        <w:t>法定代表人授权书</w:t>
      </w:r>
    </w:p>
    <w:p>
      <w:pPr>
        <w:wordWrap w:val="0"/>
        <w:spacing w:line="400" w:lineRule="exact"/>
        <w:jc w:val="center"/>
        <w:rPr>
          <w:rFonts w:ascii="宋体" w:hAnsi="宋体"/>
          <w:b/>
          <w:szCs w:val="21"/>
        </w:rPr>
      </w:pPr>
      <w:r>
        <w:rPr>
          <w:rFonts w:hint="eastAsia" w:ascii="宋体" w:hAnsi="宋体"/>
          <w:b/>
          <w:szCs w:val="21"/>
        </w:rPr>
        <w:t>（投标文件由授权代表签字的须提供）</w:t>
      </w:r>
    </w:p>
    <w:p>
      <w:pPr>
        <w:wordWrap w:val="0"/>
        <w:spacing w:line="360" w:lineRule="auto"/>
        <w:rPr>
          <w:rFonts w:ascii="宋体" w:hAnsi="宋体"/>
          <w:szCs w:val="21"/>
        </w:rPr>
      </w:pPr>
      <w:r>
        <w:rPr>
          <w:rFonts w:hint="eastAsia" w:ascii="宋体" w:hAnsi="宋体"/>
          <w:szCs w:val="21"/>
        </w:rPr>
        <w:t>致：采购人</w:t>
      </w:r>
    </w:p>
    <w:p>
      <w:pPr>
        <w:wordWrap w:val="0"/>
        <w:spacing w:line="360" w:lineRule="auto"/>
        <w:ind w:firstLine="420" w:firstLineChars="200"/>
        <w:rPr>
          <w:rFonts w:ascii="宋体" w:hAnsi="宋体"/>
          <w:szCs w:val="21"/>
          <w:u w:val="single"/>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rPr>
        <w:t>宁波职业技术学院绿色智能供配电实训基地建设项目</w:t>
      </w:r>
      <w:r>
        <w:rPr>
          <w:rFonts w:hint="eastAsia" w:ascii="宋体" w:hAnsi="宋体"/>
          <w:szCs w:val="21"/>
        </w:rPr>
        <w:t>，采购编号为</w:t>
      </w:r>
      <w:r>
        <w:rPr>
          <w:rFonts w:hint="eastAsia" w:ascii="宋体" w:hAnsi="宋体"/>
          <w:szCs w:val="21"/>
          <w:u w:val="single"/>
        </w:rPr>
        <w:t>ZJZC-233184</w:t>
      </w:r>
      <w:r>
        <w:rPr>
          <w:rFonts w:hint="eastAsia" w:ascii="宋体" w:hAnsi="宋体"/>
          <w:szCs w:val="21"/>
        </w:rPr>
        <w:t>，其在招投标活动中的一切活动本公司均予承认。</w:t>
      </w:r>
    </w:p>
    <w:p>
      <w:pPr>
        <w:wordWrap w:val="0"/>
        <w:spacing w:line="400" w:lineRule="atLeast"/>
        <w:jc w:val="left"/>
        <w:rPr>
          <w:rFonts w:ascii="宋体" w:hAnsi="宋体"/>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jc w:val="left"/>
        <w:rPr>
          <w:rFonts w:ascii="宋体" w:hAnsi="宋体"/>
          <w:szCs w:val="21"/>
        </w:rPr>
      </w:pPr>
      <w:r>
        <w:rPr>
          <w:rFonts w:hint="eastAsia" w:ascii="宋体" w:hAnsi="宋体"/>
          <w:szCs w:val="21"/>
        </w:rPr>
        <w:t>法定代表人（签字）：</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360" w:lineRule="auto"/>
        <w:rPr>
          <w:rFonts w:ascii="宋体" w:hAnsi="宋体"/>
          <w:szCs w:val="21"/>
        </w:rPr>
      </w:pPr>
    </w:p>
    <w:p>
      <w:pPr>
        <w:wordWrap w:val="0"/>
        <w:spacing w:line="360" w:lineRule="auto"/>
        <w:rPr>
          <w:rFonts w:ascii="宋体" w:hAnsi="宋体"/>
          <w:szCs w:val="21"/>
        </w:rPr>
      </w:pPr>
    </w:p>
    <w:p>
      <w:pPr>
        <w:wordWrap w:val="0"/>
        <w:spacing w:line="360" w:lineRule="auto"/>
        <w:rPr>
          <w:rFonts w:ascii="宋体" w:hAnsi="宋体"/>
          <w:szCs w:val="21"/>
        </w:rPr>
      </w:pPr>
      <w:r>
        <w:rPr>
          <w:rFonts w:hint="eastAsia" w:ascii="宋体" w:hAnsi="宋体"/>
          <w:szCs w:val="21"/>
        </w:rPr>
        <w:t>附：</w:t>
      </w:r>
    </w:p>
    <w:p>
      <w:pPr>
        <w:wordWrap w:val="0"/>
        <w:spacing w:line="360" w:lineRule="auto"/>
        <w:ind w:firstLine="555"/>
        <w:rPr>
          <w:rFonts w:ascii="宋体" w:hAnsi="宋体"/>
          <w:szCs w:val="21"/>
        </w:rPr>
      </w:pPr>
      <w:r>
        <w:rPr>
          <w:rFonts w:hint="eastAsia" w:ascii="宋体" w:hAnsi="宋体"/>
          <w:szCs w:val="21"/>
        </w:rPr>
        <w:t>授权代表姓名：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wordWrap w:val="0"/>
        <w:spacing w:line="360" w:lineRule="auto"/>
        <w:ind w:firstLine="555"/>
        <w:rPr>
          <w:rFonts w:ascii="宋体" w:hAnsi="宋体"/>
          <w:szCs w:val="21"/>
        </w:rPr>
      </w:pPr>
      <w:r>
        <w:rPr>
          <w:rFonts w:hint="eastAsia" w:ascii="宋体" w:hAnsi="宋体"/>
          <w:szCs w:val="21"/>
        </w:rPr>
        <w:t>授权代表身份证号码：</w:t>
      </w:r>
      <w:r>
        <w:rPr>
          <w:rFonts w:ascii="宋体" w:hAnsi="宋体"/>
          <w:szCs w:val="21"/>
          <w:u w:val="single"/>
        </w:rPr>
        <w:t xml:space="preserve">                   </w:t>
      </w:r>
    </w:p>
    <w:p>
      <w:pPr>
        <w:wordWrap w:val="0"/>
        <w:spacing w:line="360" w:lineRule="auto"/>
        <w:ind w:firstLine="555"/>
        <w:rPr>
          <w:rFonts w:ascii="宋体" w:hAnsi="宋体"/>
          <w:szCs w:val="21"/>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wordWrap w:val="0"/>
        <w:spacing w:line="360" w:lineRule="auto"/>
        <w:ind w:firstLine="555"/>
        <w:rPr>
          <w:rFonts w:ascii="宋体" w:hAnsi="宋体"/>
          <w:szCs w:val="21"/>
        </w:rPr>
      </w:pPr>
      <w:r>
        <w:rPr>
          <w:rFonts w:hint="eastAsia" w:ascii="宋体" w:hAnsi="宋体"/>
          <w:szCs w:val="21"/>
        </w:rPr>
        <w:t>详细通讯地址：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wordWrap w:val="0"/>
        <w:spacing w:line="360" w:lineRule="auto"/>
        <w:ind w:firstLine="555"/>
        <w:rPr>
          <w:rFonts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wordWrap w:val="0"/>
        <w:spacing w:line="360" w:lineRule="auto"/>
        <w:ind w:firstLine="555"/>
        <w:rPr>
          <w:rFonts w:ascii="宋体" w:hAnsi="宋体"/>
          <w:szCs w:val="21"/>
        </w:rPr>
      </w:pP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wordWrap w:val="0"/>
        <w:spacing w:line="360" w:lineRule="auto"/>
        <w:ind w:firstLine="525" w:firstLineChars="250"/>
        <w:rPr>
          <w:rFonts w:ascii="宋体" w:hAnsi="宋体"/>
          <w:szCs w:val="21"/>
          <w:u w:val="single"/>
        </w:rPr>
      </w:pPr>
    </w:p>
    <w:p>
      <w:pPr>
        <w:wordWrap w:val="0"/>
        <w:spacing w:line="360" w:lineRule="auto"/>
        <w:ind w:firstLine="525" w:firstLineChars="250"/>
        <w:rPr>
          <w:rFonts w:ascii="宋体" w:hAnsi="宋体"/>
          <w:szCs w:val="21"/>
          <w:u w:val="single"/>
        </w:rPr>
      </w:pPr>
    </w:p>
    <w:p>
      <w:pPr>
        <w:wordWrap w:val="0"/>
        <w:spacing w:line="360" w:lineRule="auto"/>
        <w:ind w:firstLine="525" w:firstLineChars="250"/>
        <w:rPr>
          <w:rFonts w:ascii="宋体" w:hAnsi="宋体"/>
          <w:szCs w:val="21"/>
          <w:u w:val="single"/>
        </w:rPr>
      </w:pPr>
    </w:p>
    <w:p>
      <w:pPr>
        <w:wordWrap w:val="0"/>
        <w:spacing w:line="360" w:lineRule="auto"/>
        <w:ind w:firstLine="525" w:firstLineChars="250"/>
        <w:rPr>
          <w:rFonts w:ascii="宋体" w:hAnsi="宋体"/>
          <w:szCs w:val="21"/>
        </w:rPr>
      </w:pPr>
      <w:r>
        <w:rPr>
          <w:rFonts w:hint="eastAsia" w:ascii="宋体" w:hAnsi="宋体"/>
          <w:szCs w:val="21"/>
        </w:rPr>
        <w:t>后附：</w:t>
      </w:r>
    </w:p>
    <w:p>
      <w:pPr>
        <w:wordWrap w:val="0"/>
        <w:spacing w:line="360" w:lineRule="auto"/>
        <w:ind w:firstLine="525" w:firstLineChars="250"/>
        <w:rPr>
          <w:rFonts w:ascii="宋体" w:hAnsi="宋体"/>
          <w:szCs w:val="21"/>
        </w:rPr>
      </w:pPr>
      <w:r>
        <w:rPr>
          <w:rFonts w:ascii="宋体" w:hAnsi="宋体"/>
          <w:szCs w:val="21"/>
        </w:rPr>
        <w:t>1</w:t>
      </w:r>
      <w:r>
        <w:rPr>
          <w:rFonts w:hint="eastAsia" w:ascii="宋体" w:hAnsi="宋体"/>
          <w:szCs w:val="21"/>
        </w:rPr>
        <w:t>、授权代表身份证复印件加盖供应商公章；</w:t>
      </w:r>
    </w:p>
    <w:p>
      <w:pPr>
        <w:wordWrap w:val="0"/>
        <w:spacing w:line="360" w:lineRule="auto"/>
        <w:ind w:firstLine="592" w:firstLineChars="250"/>
        <w:jc w:val="center"/>
        <w:rPr>
          <w:rStyle w:val="128"/>
          <w:rFonts w:ascii="宋体" w:hAnsi="宋体"/>
          <w:szCs w:val="21"/>
        </w:rPr>
      </w:pPr>
      <w:r>
        <w:rPr>
          <w:rStyle w:val="128"/>
          <w:rFonts w:ascii="宋体" w:hAnsi="宋体"/>
          <w:szCs w:val="21"/>
        </w:rPr>
        <w:br w:type="page"/>
      </w:r>
      <w:r>
        <w:rPr>
          <w:rFonts w:ascii="宋体" w:hAnsi="宋体"/>
          <w:b/>
          <w:szCs w:val="21"/>
        </w:rPr>
        <w:t xml:space="preserve"> </w:t>
      </w:r>
    </w:p>
    <w:p>
      <w:pPr>
        <w:wordWrap w:val="0"/>
        <w:spacing w:line="440" w:lineRule="exact"/>
        <w:jc w:val="center"/>
        <w:rPr>
          <w:rFonts w:ascii="宋体" w:hAnsi="宋体"/>
          <w:b/>
          <w:szCs w:val="21"/>
        </w:rPr>
      </w:pPr>
      <w:r>
        <w:rPr>
          <w:rFonts w:hint="eastAsia" w:ascii="宋体" w:hAnsi="宋体"/>
          <w:b/>
          <w:szCs w:val="21"/>
        </w:rPr>
        <w:t>B</w:t>
      </w:r>
      <w:r>
        <w:rPr>
          <w:rFonts w:ascii="宋体" w:hAnsi="宋体"/>
          <w:b/>
          <w:szCs w:val="21"/>
        </w:rPr>
        <w:t>4</w:t>
      </w:r>
      <w:r>
        <w:rPr>
          <w:rFonts w:hint="eastAsia" w:ascii="宋体" w:hAnsi="宋体"/>
          <w:b/>
          <w:szCs w:val="21"/>
        </w:rPr>
        <w:t>供应商一般情况表</w:t>
      </w:r>
    </w:p>
    <w:tbl>
      <w:tblPr>
        <w:tblStyle w:val="12"/>
        <w:tblW w:w="0" w:type="auto"/>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305"/>
        <w:gridCol w:w="9"/>
        <w:gridCol w:w="383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szCs w:val="21"/>
              </w:rPr>
            </w:pPr>
            <w:r>
              <w:rPr>
                <w:rFonts w:ascii="宋体" w:hAnsi="宋体"/>
                <w:szCs w:val="21"/>
              </w:rPr>
              <w:t>1</w:t>
            </w:r>
          </w:p>
        </w:tc>
        <w:tc>
          <w:tcPr>
            <w:tcW w:w="8147" w:type="dxa"/>
            <w:gridSpan w:val="3"/>
            <w:vAlign w:val="center"/>
          </w:tcPr>
          <w:p>
            <w:pPr>
              <w:wordWrap w:val="0"/>
              <w:spacing w:line="400" w:lineRule="exact"/>
              <w:rPr>
                <w:rFonts w:ascii="宋体" w:hAnsi="宋体"/>
                <w:szCs w:val="21"/>
              </w:rPr>
            </w:pPr>
            <w:r>
              <w:rPr>
                <w:rFonts w:hint="eastAsia" w:ascii="宋体" w:hAnsi="宋体"/>
                <w:szCs w:val="21"/>
              </w:rPr>
              <w:t>单位名称：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szCs w:val="21"/>
              </w:rPr>
            </w:pPr>
            <w:r>
              <w:rPr>
                <w:rFonts w:ascii="宋体" w:hAnsi="宋体"/>
                <w:szCs w:val="21"/>
              </w:rPr>
              <w:t>2</w:t>
            </w:r>
          </w:p>
        </w:tc>
        <w:tc>
          <w:tcPr>
            <w:tcW w:w="8147" w:type="dxa"/>
            <w:gridSpan w:val="3"/>
            <w:vAlign w:val="center"/>
          </w:tcPr>
          <w:p>
            <w:pPr>
              <w:wordWrap w:val="0"/>
              <w:spacing w:line="400" w:lineRule="exact"/>
              <w:rPr>
                <w:rFonts w:ascii="宋体" w:hAnsi="宋体"/>
                <w:szCs w:val="21"/>
              </w:rPr>
            </w:pPr>
            <w:r>
              <w:rPr>
                <w:rFonts w:hint="eastAsia" w:ascii="宋体" w:hAnsi="宋体"/>
                <w:szCs w:val="21"/>
              </w:rPr>
              <w:t>总部地址：</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szCs w:val="21"/>
              </w:rPr>
            </w:pPr>
            <w:r>
              <w:rPr>
                <w:rFonts w:ascii="宋体" w:hAnsi="宋体"/>
                <w:szCs w:val="21"/>
              </w:rPr>
              <w:t>3</w:t>
            </w:r>
          </w:p>
        </w:tc>
        <w:tc>
          <w:tcPr>
            <w:tcW w:w="8147" w:type="dxa"/>
            <w:gridSpan w:val="3"/>
            <w:vAlign w:val="center"/>
          </w:tcPr>
          <w:p>
            <w:pPr>
              <w:wordWrap w:val="0"/>
              <w:spacing w:line="400" w:lineRule="exact"/>
              <w:rPr>
                <w:rFonts w:ascii="宋体" w:hAnsi="宋体"/>
                <w:szCs w:val="21"/>
              </w:rPr>
            </w:pPr>
            <w:r>
              <w:rPr>
                <w:rFonts w:hint="eastAsia" w:ascii="宋体" w:hAnsi="宋体"/>
                <w:szCs w:val="21"/>
              </w:rPr>
              <w:t>当地代表处地址：</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szCs w:val="21"/>
              </w:rPr>
            </w:pPr>
            <w:r>
              <w:rPr>
                <w:rFonts w:ascii="宋体" w:hAnsi="宋体"/>
                <w:szCs w:val="21"/>
              </w:rPr>
              <w:t>4</w:t>
            </w:r>
          </w:p>
        </w:tc>
        <w:tc>
          <w:tcPr>
            <w:tcW w:w="4305" w:type="dxa"/>
            <w:vAlign w:val="center"/>
          </w:tcPr>
          <w:p>
            <w:pPr>
              <w:wordWrap w:val="0"/>
              <w:spacing w:line="40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842" w:type="dxa"/>
            <w:gridSpan w:val="2"/>
            <w:vAlign w:val="center"/>
          </w:tcPr>
          <w:p>
            <w:pPr>
              <w:wordWrap w:val="0"/>
              <w:spacing w:line="400" w:lineRule="exact"/>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szCs w:val="21"/>
              </w:rPr>
            </w:pPr>
            <w:r>
              <w:rPr>
                <w:rFonts w:ascii="宋体" w:hAnsi="宋体"/>
                <w:szCs w:val="21"/>
              </w:rPr>
              <w:t>5</w:t>
            </w:r>
          </w:p>
        </w:tc>
        <w:tc>
          <w:tcPr>
            <w:tcW w:w="4305" w:type="dxa"/>
            <w:vAlign w:val="center"/>
          </w:tcPr>
          <w:p>
            <w:pPr>
              <w:wordWrap w:val="0"/>
              <w:spacing w:line="400" w:lineRule="exact"/>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3842" w:type="dxa"/>
            <w:gridSpan w:val="2"/>
            <w:vAlign w:val="center"/>
          </w:tcPr>
          <w:p>
            <w:pPr>
              <w:wordWrap w:val="0"/>
              <w:spacing w:line="400" w:lineRule="exact"/>
              <w:rPr>
                <w:rFonts w:ascii="宋体" w:hAnsi="宋体"/>
                <w:szCs w:val="21"/>
              </w:rPr>
            </w:pPr>
            <w:r>
              <w:rPr>
                <w:rFonts w:hint="eastAsia" w:ascii="宋体" w:hAnsi="宋体"/>
                <w:szCs w:val="21"/>
              </w:rPr>
              <w:t>电子信箱：</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szCs w:val="21"/>
              </w:rPr>
            </w:pPr>
            <w:r>
              <w:rPr>
                <w:rFonts w:ascii="宋体" w:hAnsi="宋体"/>
                <w:szCs w:val="21"/>
              </w:rPr>
              <w:t>6</w:t>
            </w:r>
          </w:p>
        </w:tc>
        <w:tc>
          <w:tcPr>
            <w:tcW w:w="4305" w:type="dxa"/>
            <w:vAlign w:val="center"/>
          </w:tcPr>
          <w:p>
            <w:pPr>
              <w:wordWrap w:val="0"/>
              <w:spacing w:line="400" w:lineRule="exact"/>
              <w:rPr>
                <w:rFonts w:ascii="宋体" w:hAnsi="宋体"/>
                <w:szCs w:val="21"/>
              </w:rPr>
            </w:pPr>
            <w:r>
              <w:rPr>
                <w:rFonts w:hint="eastAsia" w:ascii="宋体" w:hAnsi="宋体"/>
                <w:szCs w:val="21"/>
              </w:rPr>
              <w:t>注册地：</w:t>
            </w:r>
          </w:p>
        </w:tc>
        <w:tc>
          <w:tcPr>
            <w:tcW w:w="3842" w:type="dxa"/>
            <w:gridSpan w:val="2"/>
            <w:vAlign w:val="center"/>
          </w:tcPr>
          <w:p>
            <w:pPr>
              <w:wordWrap w:val="0"/>
              <w:spacing w:line="400" w:lineRule="exact"/>
              <w:rPr>
                <w:rFonts w:ascii="宋体" w:hAnsi="宋体"/>
                <w:szCs w:val="21"/>
              </w:rPr>
            </w:pPr>
            <w:r>
              <w:rPr>
                <w:rFonts w:hint="eastAsia" w:ascii="宋体" w:hAnsi="宋体"/>
                <w:szCs w:val="21"/>
              </w:rPr>
              <w:t>注册年份：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szCs w:val="21"/>
              </w:rPr>
            </w:pPr>
            <w:r>
              <w:rPr>
                <w:rFonts w:ascii="宋体" w:hAnsi="宋体"/>
                <w:szCs w:val="21"/>
              </w:rPr>
              <w:t>7</w:t>
            </w:r>
          </w:p>
        </w:tc>
        <w:tc>
          <w:tcPr>
            <w:tcW w:w="8147" w:type="dxa"/>
            <w:gridSpan w:val="3"/>
            <w:vAlign w:val="center"/>
          </w:tcPr>
          <w:p>
            <w:pPr>
              <w:wordWrap w:val="0"/>
              <w:spacing w:line="400" w:lineRule="exact"/>
              <w:rPr>
                <w:rFonts w:ascii="宋体" w:hAnsi="宋体"/>
                <w:szCs w:val="21"/>
              </w:rPr>
            </w:pPr>
            <w:r>
              <w:rPr>
                <w:rFonts w:hint="eastAsia" w:ascii="宋体" w:hAnsi="宋体"/>
                <w:szCs w:val="21"/>
              </w:rPr>
              <w:t>公司的资质等级（请附上有关证书的复印件）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szCs w:val="21"/>
              </w:rPr>
            </w:pPr>
            <w:r>
              <w:rPr>
                <w:rFonts w:ascii="宋体" w:hAnsi="宋体"/>
                <w:szCs w:val="21"/>
              </w:rPr>
              <w:t>8</w:t>
            </w:r>
          </w:p>
        </w:tc>
        <w:tc>
          <w:tcPr>
            <w:tcW w:w="8147" w:type="dxa"/>
            <w:gridSpan w:val="3"/>
            <w:vAlign w:val="center"/>
          </w:tcPr>
          <w:p>
            <w:pPr>
              <w:wordWrap w:val="0"/>
              <w:spacing w:line="400" w:lineRule="exact"/>
              <w:rPr>
                <w:rFonts w:ascii="宋体" w:hAnsi="宋体"/>
                <w:szCs w:val="21"/>
              </w:rPr>
            </w:pPr>
            <w:r>
              <w:rPr>
                <w:rFonts w:hint="eastAsia" w:ascii="宋体" w:hAnsi="宋体"/>
                <w:szCs w:val="21"/>
              </w:rPr>
              <w:t>公司（是否通过，何种）质量保证体系认证（如通过请附相关证书复印件，提供认证机构年审监督报告）</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szCs w:val="21"/>
              </w:rPr>
            </w:pPr>
            <w:r>
              <w:rPr>
                <w:rFonts w:ascii="宋体" w:hAnsi="宋体"/>
                <w:szCs w:val="21"/>
              </w:rPr>
              <w:t>9</w:t>
            </w:r>
          </w:p>
        </w:tc>
        <w:tc>
          <w:tcPr>
            <w:tcW w:w="4314" w:type="dxa"/>
            <w:gridSpan w:val="2"/>
            <w:vAlign w:val="center"/>
          </w:tcPr>
          <w:p>
            <w:pPr>
              <w:wordWrap w:val="0"/>
              <w:spacing w:line="400" w:lineRule="exact"/>
              <w:rPr>
                <w:rFonts w:ascii="宋体" w:hAnsi="宋体"/>
                <w:szCs w:val="21"/>
              </w:rPr>
            </w:pPr>
            <w:r>
              <w:rPr>
                <w:rFonts w:hint="eastAsia" w:ascii="宋体" w:hAnsi="宋体"/>
                <w:szCs w:val="21"/>
              </w:rPr>
              <w:t>从业人员数量</w:t>
            </w:r>
          </w:p>
        </w:tc>
        <w:tc>
          <w:tcPr>
            <w:tcW w:w="3833"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szCs w:val="21"/>
              </w:rPr>
            </w:pPr>
            <w:r>
              <w:rPr>
                <w:rFonts w:ascii="宋体" w:hAnsi="宋体"/>
                <w:szCs w:val="21"/>
              </w:rPr>
              <w:t>10</w:t>
            </w:r>
          </w:p>
        </w:tc>
        <w:tc>
          <w:tcPr>
            <w:tcW w:w="4314" w:type="dxa"/>
            <w:gridSpan w:val="2"/>
            <w:vAlign w:val="center"/>
          </w:tcPr>
          <w:p>
            <w:pPr>
              <w:wordWrap w:val="0"/>
              <w:spacing w:line="400" w:lineRule="exact"/>
              <w:rPr>
                <w:rFonts w:ascii="宋体" w:hAnsi="宋体"/>
                <w:szCs w:val="21"/>
              </w:rPr>
            </w:pPr>
            <w:r>
              <w:rPr>
                <w:rFonts w:hint="eastAsia" w:ascii="宋体" w:hAnsi="宋体"/>
                <w:szCs w:val="21"/>
              </w:rPr>
              <w:t>营业收入</w:t>
            </w:r>
          </w:p>
        </w:tc>
        <w:tc>
          <w:tcPr>
            <w:tcW w:w="3833"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szCs w:val="21"/>
              </w:rPr>
            </w:pPr>
            <w:r>
              <w:rPr>
                <w:rFonts w:ascii="宋体" w:hAnsi="宋体"/>
                <w:szCs w:val="21"/>
              </w:rPr>
              <w:t>11</w:t>
            </w:r>
          </w:p>
        </w:tc>
        <w:tc>
          <w:tcPr>
            <w:tcW w:w="4314" w:type="dxa"/>
            <w:gridSpan w:val="2"/>
            <w:vAlign w:val="center"/>
          </w:tcPr>
          <w:p>
            <w:pPr>
              <w:wordWrap w:val="0"/>
              <w:spacing w:line="400" w:lineRule="exact"/>
              <w:rPr>
                <w:rFonts w:ascii="宋体" w:hAnsi="宋体"/>
                <w:szCs w:val="21"/>
              </w:rPr>
            </w:pPr>
            <w:r>
              <w:rPr>
                <w:rFonts w:hint="eastAsia" w:ascii="宋体" w:hAnsi="宋体"/>
                <w:szCs w:val="21"/>
              </w:rPr>
              <w:t>其他需要说明的情况</w:t>
            </w:r>
          </w:p>
        </w:tc>
        <w:tc>
          <w:tcPr>
            <w:tcW w:w="3833" w:type="dxa"/>
            <w:vAlign w:val="center"/>
          </w:tcPr>
          <w:p>
            <w:pPr>
              <w:wordWrap w:val="0"/>
              <w:spacing w:line="400" w:lineRule="exact"/>
              <w:rPr>
                <w:rFonts w:ascii="宋体" w:hAnsi="宋体"/>
                <w:szCs w:val="21"/>
              </w:rPr>
            </w:pPr>
          </w:p>
        </w:tc>
      </w:tr>
    </w:tbl>
    <w:p>
      <w:pPr>
        <w:wordWrap w:val="0"/>
        <w:spacing w:line="400" w:lineRule="atLeast"/>
        <w:jc w:val="left"/>
        <w:rPr>
          <w:rFonts w:ascii="宋体" w:hAnsi="宋体"/>
          <w:szCs w:val="21"/>
        </w:rPr>
      </w:pPr>
    </w:p>
    <w:p>
      <w:pPr>
        <w:wordWrap w:val="0"/>
        <w:spacing w:line="400" w:lineRule="atLeast"/>
        <w:jc w:val="left"/>
        <w:rPr>
          <w:rFonts w:ascii="宋体" w:hAnsi="宋体"/>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360" w:lineRule="auto"/>
        <w:rPr>
          <w:rFonts w:ascii="宋体" w:hAnsi="宋体"/>
          <w:szCs w:val="21"/>
        </w:rPr>
      </w:pPr>
      <w:r>
        <w:rPr>
          <w:rFonts w:ascii="宋体" w:hAnsi="宋体"/>
          <w:szCs w:val="21"/>
        </w:rPr>
        <w:br w:type="page"/>
      </w:r>
    </w:p>
    <w:p>
      <w:pPr>
        <w:wordWrap w:val="0"/>
        <w:spacing w:line="400" w:lineRule="exact"/>
        <w:jc w:val="center"/>
        <w:rPr>
          <w:rFonts w:ascii="宋体" w:hAnsi="宋体"/>
          <w:b/>
          <w:szCs w:val="21"/>
        </w:rPr>
      </w:pPr>
      <w:r>
        <w:rPr>
          <w:rFonts w:ascii="宋体" w:hAnsi="宋体"/>
          <w:b/>
          <w:szCs w:val="21"/>
        </w:rPr>
        <w:t>B</w:t>
      </w:r>
      <w:r>
        <w:rPr>
          <w:rFonts w:hint="eastAsia" w:ascii="宋体" w:hAnsi="宋体"/>
          <w:b/>
          <w:szCs w:val="21"/>
        </w:rPr>
        <w:t>5商务条款响应表</w:t>
      </w:r>
    </w:p>
    <w:p>
      <w:pPr>
        <w:wordWrap w:val="0"/>
        <w:spacing w:line="360" w:lineRule="auto"/>
        <w:ind w:left="540"/>
        <w:jc w:val="center"/>
        <w:rPr>
          <w:rFonts w:ascii="宋体" w:hAnsi="宋体"/>
          <w:b/>
          <w:szCs w:val="21"/>
        </w:rPr>
      </w:pPr>
    </w:p>
    <w:p>
      <w:pPr>
        <w:wordWrap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宁波职业技术学院绿色智能供配电实训基地建设项目</w:t>
      </w:r>
    </w:p>
    <w:p>
      <w:pPr>
        <w:wordWrap w:val="0"/>
        <w:snapToGrid w:val="0"/>
        <w:spacing w:line="360" w:lineRule="auto"/>
        <w:rPr>
          <w:rFonts w:ascii="宋体" w:hAnsi="宋体"/>
          <w:szCs w:val="21"/>
        </w:rPr>
      </w:pPr>
      <w:r>
        <w:rPr>
          <w:rFonts w:hint="eastAsia" w:ascii="宋体" w:hAnsi="宋体"/>
          <w:szCs w:val="21"/>
        </w:rPr>
        <w:t>采购编号：</w:t>
      </w:r>
      <w:r>
        <w:rPr>
          <w:rFonts w:hint="eastAsia" w:ascii="宋体" w:hAnsi="宋体"/>
          <w:szCs w:val="21"/>
          <w:u w:val="single"/>
        </w:rPr>
        <w:t>ZJZC-233184</w:t>
      </w:r>
    </w:p>
    <w:tbl>
      <w:tblPr>
        <w:tblStyle w:val="12"/>
        <w:tblW w:w="0" w:type="auto"/>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6040"/>
        <w:gridCol w:w="1544"/>
        <w:gridCol w:w="108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984" w:type="dxa"/>
            <w:vAlign w:val="center"/>
          </w:tcPr>
          <w:p>
            <w:pPr>
              <w:wordWrap w:val="0"/>
              <w:snapToGrid w:val="0"/>
              <w:spacing w:line="400" w:lineRule="exact"/>
              <w:jc w:val="center"/>
              <w:rPr>
                <w:rFonts w:ascii="宋体" w:hAnsi="宋体"/>
                <w:szCs w:val="21"/>
              </w:rPr>
            </w:pPr>
            <w:r>
              <w:rPr>
                <w:rFonts w:hint="eastAsia" w:ascii="宋体" w:hAnsi="宋体"/>
                <w:szCs w:val="21"/>
              </w:rPr>
              <w:t>序号</w:t>
            </w:r>
          </w:p>
        </w:tc>
        <w:tc>
          <w:tcPr>
            <w:tcW w:w="6040" w:type="dxa"/>
            <w:vAlign w:val="center"/>
          </w:tcPr>
          <w:p>
            <w:pPr>
              <w:wordWrap w:val="0"/>
              <w:snapToGrid w:val="0"/>
              <w:spacing w:line="400" w:lineRule="exact"/>
              <w:jc w:val="center"/>
              <w:rPr>
                <w:rFonts w:ascii="宋体" w:hAnsi="宋体"/>
                <w:szCs w:val="21"/>
              </w:rPr>
            </w:pPr>
            <w:r>
              <w:rPr>
                <w:rFonts w:hint="eastAsia" w:ascii="宋体" w:hAnsi="宋体"/>
                <w:szCs w:val="21"/>
              </w:rPr>
              <w:t>招标要求</w:t>
            </w:r>
          </w:p>
        </w:tc>
        <w:tc>
          <w:tcPr>
            <w:tcW w:w="1544" w:type="dxa"/>
            <w:vAlign w:val="center"/>
          </w:tcPr>
          <w:p>
            <w:pPr>
              <w:wordWrap w:val="0"/>
              <w:snapToGrid w:val="0"/>
              <w:spacing w:line="400" w:lineRule="exact"/>
              <w:jc w:val="center"/>
              <w:rPr>
                <w:rFonts w:ascii="宋体" w:hAnsi="宋体"/>
                <w:szCs w:val="21"/>
              </w:rPr>
            </w:pPr>
            <w:r>
              <w:rPr>
                <w:rFonts w:hint="eastAsia" w:ascii="宋体" w:hAnsi="宋体"/>
                <w:szCs w:val="21"/>
              </w:rPr>
              <w:t>投标响应</w:t>
            </w:r>
          </w:p>
        </w:tc>
        <w:tc>
          <w:tcPr>
            <w:tcW w:w="1083" w:type="dxa"/>
            <w:vAlign w:val="center"/>
          </w:tcPr>
          <w:p>
            <w:pPr>
              <w:wordWrap w:val="0"/>
              <w:snapToGrid w:val="0"/>
              <w:spacing w:line="400" w:lineRule="exact"/>
              <w:jc w:val="center"/>
              <w:rPr>
                <w:rFonts w:ascii="宋体" w:hAnsi="宋体"/>
                <w:szCs w:val="21"/>
              </w:rPr>
            </w:pPr>
            <w:r>
              <w:rPr>
                <w:rFonts w:hint="eastAsia" w:ascii="宋体" w:hAnsi="宋体"/>
                <w:szCs w:val="21"/>
              </w:rPr>
              <w:t>偏离说明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984" w:type="dxa"/>
            <w:vAlign w:val="center"/>
          </w:tcPr>
          <w:p>
            <w:pPr>
              <w:wordWrap w:val="0"/>
              <w:spacing w:line="400" w:lineRule="exact"/>
              <w:jc w:val="center"/>
              <w:rPr>
                <w:rFonts w:ascii="宋体" w:hAnsi="宋体"/>
                <w:szCs w:val="21"/>
              </w:rPr>
            </w:pPr>
          </w:p>
        </w:tc>
        <w:tc>
          <w:tcPr>
            <w:tcW w:w="6040" w:type="dxa"/>
            <w:vAlign w:val="center"/>
          </w:tcPr>
          <w:p>
            <w:pPr>
              <w:wordWrap w:val="0"/>
              <w:spacing w:line="400" w:lineRule="exact"/>
              <w:rPr>
                <w:rFonts w:ascii="宋体" w:hAnsi="宋体"/>
                <w:szCs w:val="21"/>
              </w:rPr>
            </w:pPr>
          </w:p>
        </w:tc>
        <w:tc>
          <w:tcPr>
            <w:tcW w:w="1544" w:type="dxa"/>
            <w:vAlign w:val="center"/>
          </w:tcPr>
          <w:p>
            <w:pPr>
              <w:wordWrap w:val="0"/>
              <w:snapToGrid w:val="0"/>
              <w:spacing w:line="400" w:lineRule="exact"/>
              <w:jc w:val="center"/>
              <w:rPr>
                <w:rFonts w:ascii="宋体" w:hAnsi="宋体"/>
                <w:szCs w:val="21"/>
              </w:rPr>
            </w:pPr>
          </w:p>
        </w:tc>
        <w:tc>
          <w:tcPr>
            <w:tcW w:w="1083" w:type="dxa"/>
            <w:vAlign w:val="center"/>
          </w:tcPr>
          <w:p>
            <w:pPr>
              <w:wordWrap w:val="0"/>
              <w:snapToGrid w:val="0"/>
              <w:spacing w:line="400" w:lineRule="exact"/>
              <w:jc w:val="center"/>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984" w:type="dxa"/>
            <w:vAlign w:val="center"/>
          </w:tcPr>
          <w:p>
            <w:pPr>
              <w:wordWrap w:val="0"/>
              <w:spacing w:line="400" w:lineRule="exact"/>
              <w:jc w:val="center"/>
              <w:rPr>
                <w:rFonts w:ascii="宋体" w:hAnsi="宋体"/>
                <w:szCs w:val="21"/>
              </w:rPr>
            </w:pPr>
          </w:p>
        </w:tc>
        <w:tc>
          <w:tcPr>
            <w:tcW w:w="6040" w:type="dxa"/>
            <w:vAlign w:val="center"/>
          </w:tcPr>
          <w:p>
            <w:pPr>
              <w:wordWrap w:val="0"/>
              <w:spacing w:line="400" w:lineRule="exact"/>
              <w:rPr>
                <w:rFonts w:ascii="宋体" w:hAnsi="宋体"/>
                <w:szCs w:val="22"/>
              </w:rPr>
            </w:pPr>
          </w:p>
        </w:tc>
        <w:tc>
          <w:tcPr>
            <w:tcW w:w="1544" w:type="dxa"/>
            <w:vAlign w:val="center"/>
          </w:tcPr>
          <w:p>
            <w:pPr>
              <w:wordWrap w:val="0"/>
              <w:snapToGrid w:val="0"/>
              <w:spacing w:line="400" w:lineRule="exact"/>
              <w:jc w:val="center"/>
              <w:rPr>
                <w:rFonts w:ascii="宋体" w:hAnsi="宋体"/>
                <w:szCs w:val="21"/>
              </w:rPr>
            </w:pPr>
          </w:p>
        </w:tc>
        <w:tc>
          <w:tcPr>
            <w:tcW w:w="1083" w:type="dxa"/>
            <w:vAlign w:val="center"/>
          </w:tcPr>
          <w:p>
            <w:pPr>
              <w:wordWrap w:val="0"/>
              <w:snapToGrid w:val="0"/>
              <w:spacing w:line="400" w:lineRule="exact"/>
              <w:jc w:val="center"/>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984" w:type="dxa"/>
            <w:vAlign w:val="center"/>
          </w:tcPr>
          <w:p>
            <w:pPr>
              <w:wordWrap w:val="0"/>
              <w:spacing w:line="400" w:lineRule="exact"/>
              <w:jc w:val="center"/>
              <w:rPr>
                <w:rFonts w:ascii="宋体" w:hAnsi="宋体"/>
                <w:szCs w:val="21"/>
              </w:rPr>
            </w:pPr>
          </w:p>
        </w:tc>
        <w:tc>
          <w:tcPr>
            <w:tcW w:w="6040" w:type="dxa"/>
            <w:vAlign w:val="center"/>
          </w:tcPr>
          <w:p>
            <w:pPr>
              <w:autoSpaceDE w:val="0"/>
              <w:autoSpaceDN w:val="0"/>
              <w:snapToGrid w:val="0"/>
              <w:spacing w:line="360" w:lineRule="auto"/>
              <w:rPr>
                <w:rFonts w:ascii="宋体" w:hAnsi="宋体"/>
                <w:szCs w:val="21"/>
              </w:rPr>
            </w:pPr>
          </w:p>
        </w:tc>
        <w:tc>
          <w:tcPr>
            <w:tcW w:w="1544" w:type="dxa"/>
            <w:vAlign w:val="center"/>
          </w:tcPr>
          <w:p>
            <w:pPr>
              <w:wordWrap w:val="0"/>
              <w:snapToGrid w:val="0"/>
              <w:spacing w:line="400" w:lineRule="exact"/>
              <w:jc w:val="center"/>
              <w:rPr>
                <w:rFonts w:ascii="宋体" w:hAnsi="宋体"/>
                <w:szCs w:val="21"/>
              </w:rPr>
            </w:pPr>
          </w:p>
        </w:tc>
        <w:tc>
          <w:tcPr>
            <w:tcW w:w="1083" w:type="dxa"/>
            <w:vAlign w:val="center"/>
          </w:tcPr>
          <w:p>
            <w:pPr>
              <w:wordWrap w:val="0"/>
              <w:snapToGrid w:val="0"/>
              <w:spacing w:line="400" w:lineRule="exact"/>
              <w:jc w:val="center"/>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984" w:type="dxa"/>
            <w:vAlign w:val="center"/>
          </w:tcPr>
          <w:p>
            <w:pPr>
              <w:wordWrap w:val="0"/>
              <w:spacing w:line="400" w:lineRule="exact"/>
              <w:jc w:val="center"/>
              <w:rPr>
                <w:rFonts w:ascii="宋体" w:hAnsi="宋体"/>
                <w:szCs w:val="21"/>
              </w:rPr>
            </w:pPr>
          </w:p>
        </w:tc>
        <w:tc>
          <w:tcPr>
            <w:tcW w:w="6040" w:type="dxa"/>
            <w:vAlign w:val="center"/>
          </w:tcPr>
          <w:p>
            <w:pPr>
              <w:wordWrap w:val="0"/>
              <w:autoSpaceDE w:val="0"/>
              <w:autoSpaceDN w:val="0"/>
              <w:spacing w:line="400" w:lineRule="exact"/>
              <w:rPr>
                <w:rFonts w:ascii="宋体" w:hAnsi="宋体"/>
                <w:szCs w:val="21"/>
              </w:rPr>
            </w:pPr>
          </w:p>
        </w:tc>
        <w:tc>
          <w:tcPr>
            <w:tcW w:w="1544" w:type="dxa"/>
            <w:vAlign w:val="center"/>
          </w:tcPr>
          <w:p>
            <w:pPr>
              <w:wordWrap w:val="0"/>
              <w:snapToGrid w:val="0"/>
              <w:spacing w:line="400" w:lineRule="exact"/>
              <w:jc w:val="center"/>
              <w:rPr>
                <w:rFonts w:ascii="宋体" w:hAnsi="宋体"/>
                <w:szCs w:val="21"/>
              </w:rPr>
            </w:pPr>
          </w:p>
        </w:tc>
        <w:tc>
          <w:tcPr>
            <w:tcW w:w="1083" w:type="dxa"/>
            <w:vAlign w:val="center"/>
          </w:tcPr>
          <w:p>
            <w:pPr>
              <w:wordWrap w:val="0"/>
              <w:snapToGrid w:val="0"/>
              <w:spacing w:line="400" w:lineRule="exact"/>
              <w:jc w:val="center"/>
              <w:rPr>
                <w:rFonts w:ascii="宋体" w:hAnsi="宋体"/>
                <w:szCs w:val="21"/>
              </w:rPr>
            </w:pPr>
          </w:p>
        </w:tc>
      </w:tr>
    </w:tbl>
    <w:p>
      <w:pPr>
        <w:wordWrap w:val="0"/>
        <w:snapToGrid w:val="0"/>
        <w:spacing w:line="360" w:lineRule="auto"/>
        <w:ind w:left="210" w:hanging="210" w:hangingChars="100"/>
        <w:rPr>
          <w:rFonts w:ascii="宋体" w:hAnsi="宋体"/>
          <w:szCs w:val="21"/>
        </w:rPr>
      </w:pPr>
      <w:r>
        <w:rPr>
          <w:rFonts w:hint="eastAsia" w:ascii="宋体" w:hAnsi="宋体"/>
          <w:szCs w:val="21"/>
        </w:rPr>
        <w:t>注：须与“第六章  商务条款”逐项比较填写。</w:t>
      </w:r>
    </w:p>
    <w:p>
      <w:pPr>
        <w:wordWrap w:val="0"/>
        <w:snapToGrid w:val="0"/>
        <w:spacing w:line="360" w:lineRule="auto"/>
        <w:rPr>
          <w:rFonts w:ascii="宋体" w:hAnsi="宋体"/>
          <w:szCs w:val="21"/>
        </w:rPr>
      </w:pPr>
    </w:p>
    <w:p>
      <w:pPr>
        <w:wordWrap w:val="0"/>
        <w:spacing w:line="400" w:lineRule="atLeast"/>
        <w:jc w:val="left"/>
        <w:rPr>
          <w:rFonts w:ascii="宋体" w:hAnsi="宋体"/>
          <w:szCs w:val="21"/>
        </w:rPr>
      </w:pPr>
      <w:bookmarkStart w:id="72" w:name="_Toc436408720"/>
      <w:bookmarkStart w:id="73" w:name="_Toc441316563"/>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bookmarkEnd w:id="72"/>
    <w:p>
      <w:pPr>
        <w:wordWrap w:val="0"/>
        <w:spacing w:line="400" w:lineRule="exact"/>
        <w:jc w:val="center"/>
        <w:rPr>
          <w:rFonts w:ascii="宋体" w:hAnsi="宋体"/>
          <w:szCs w:val="21"/>
        </w:rPr>
      </w:pPr>
      <w:bookmarkStart w:id="74" w:name="_Toc441316564"/>
      <w:r>
        <w:rPr>
          <w:rFonts w:ascii="宋体" w:hAnsi="宋体"/>
          <w:szCs w:val="21"/>
        </w:rPr>
        <w:br w:type="page"/>
      </w:r>
      <w:r>
        <w:rPr>
          <w:rFonts w:ascii="宋体" w:hAnsi="宋体"/>
          <w:b/>
          <w:szCs w:val="21"/>
        </w:rPr>
        <w:t>B</w:t>
      </w:r>
      <w:r>
        <w:rPr>
          <w:rFonts w:hint="eastAsia" w:ascii="宋体" w:hAnsi="宋体"/>
          <w:b/>
          <w:szCs w:val="21"/>
        </w:rPr>
        <w:t>6技术条款响应表</w:t>
      </w:r>
    </w:p>
    <w:p>
      <w:pPr>
        <w:wordWrap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宁波职业技术学院绿色智能供配电实训基地建设项目</w:t>
      </w:r>
    </w:p>
    <w:p>
      <w:pPr>
        <w:wordWrap w:val="0"/>
        <w:snapToGrid w:val="0"/>
        <w:spacing w:line="360" w:lineRule="auto"/>
        <w:rPr>
          <w:rFonts w:ascii="宋体" w:hAnsi="宋体"/>
          <w:szCs w:val="21"/>
        </w:rPr>
      </w:pPr>
      <w:r>
        <w:rPr>
          <w:rFonts w:hint="eastAsia" w:ascii="宋体" w:hAnsi="宋体"/>
          <w:szCs w:val="21"/>
        </w:rPr>
        <w:t>采购编号：</w:t>
      </w:r>
      <w:r>
        <w:rPr>
          <w:rFonts w:hint="eastAsia" w:ascii="宋体" w:hAnsi="宋体"/>
          <w:szCs w:val="21"/>
          <w:u w:val="single"/>
        </w:rPr>
        <w:t>ZJZC-233184</w:t>
      </w:r>
    </w:p>
    <w:tbl>
      <w:tblPr>
        <w:tblStyle w:val="12"/>
        <w:tblW w:w="0" w:type="auto"/>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690"/>
        <w:gridCol w:w="3150"/>
        <w:gridCol w:w="162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28" w:type="dxa"/>
            <w:vAlign w:val="center"/>
          </w:tcPr>
          <w:p>
            <w:pPr>
              <w:wordWrap w:val="0"/>
              <w:spacing w:line="400" w:lineRule="exact"/>
              <w:jc w:val="center"/>
              <w:rPr>
                <w:rFonts w:ascii="宋体" w:hAnsi="宋体"/>
                <w:szCs w:val="21"/>
              </w:rPr>
            </w:pPr>
            <w:r>
              <w:rPr>
                <w:rFonts w:hint="eastAsia" w:ascii="宋体" w:hAnsi="宋体"/>
                <w:szCs w:val="21"/>
              </w:rPr>
              <w:t>序号</w:t>
            </w:r>
          </w:p>
        </w:tc>
        <w:tc>
          <w:tcPr>
            <w:tcW w:w="3690" w:type="dxa"/>
            <w:vAlign w:val="center"/>
          </w:tcPr>
          <w:p>
            <w:pPr>
              <w:wordWrap w:val="0"/>
              <w:spacing w:line="400" w:lineRule="exact"/>
              <w:jc w:val="center"/>
              <w:rPr>
                <w:rFonts w:ascii="宋体" w:hAnsi="宋体"/>
                <w:szCs w:val="21"/>
              </w:rPr>
            </w:pPr>
            <w:r>
              <w:rPr>
                <w:rFonts w:hint="eastAsia" w:ascii="宋体" w:hAnsi="宋体"/>
                <w:szCs w:val="21"/>
              </w:rPr>
              <w:t>采购文件要求</w:t>
            </w:r>
          </w:p>
        </w:tc>
        <w:tc>
          <w:tcPr>
            <w:tcW w:w="3150" w:type="dxa"/>
            <w:vAlign w:val="center"/>
          </w:tcPr>
          <w:p>
            <w:pPr>
              <w:wordWrap w:val="0"/>
              <w:spacing w:line="400" w:lineRule="exact"/>
              <w:jc w:val="center"/>
              <w:rPr>
                <w:rFonts w:ascii="宋体" w:hAnsi="宋体"/>
                <w:szCs w:val="21"/>
              </w:rPr>
            </w:pPr>
            <w:r>
              <w:rPr>
                <w:rFonts w:hint="eastAsia" w:ascii="宋体" w:hAnsi="宋体"/>
                <w:szCs w:val="21"/>
              </w:rPr>
              <w:t>投标文件响应</w:t>
            </w:r>
          </w:p>
        </w:tc>
        <w:tc>
          <w:tcPr>
            <w:tcW w:w="1620" w:type="dxa"/>
            <w:vAlign w:val="center"/>
          </w:tcPr>
          <w:p>
            <w:pPr>
              <w:wordWrap w:val="0"/>
              <w:spacing w:line="400" w:lineRule="exact"/>
              <w:jc w:val="center"/>
              <w:rPr>
                <w:rFonts w:ascii="宋体" w:hAnsi="宋体"/>
                <w:szCs w:val="21"/>
              </w:rPr>
            </w:pPr>
            <w:r>
              <w:rPr>
                <w:rFonts w:hint="eastAsia" w:ascii="宋体" w:hAnsi="宋体"/>
                <w:szCs w:val="21"/>
              </w:rPr>
              <w:t>偏离说明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szCs w:val="21"/>
              </w:rPr>
            </w:pPr>
          </w:p>
        </w:tc>
        <w:tc>
          <w:tcPr>
            <w:tcW w:w="3690" w:type="dxa"/>
            <w:vAlign w:val="center"/>
          </w:tcPr>
          <w:p>
            <w:pPr>
              <w:wordWrap w:val="0"/>
              <w:spacing w:line="400" w:lineRule="exact"/>
              <w:rPr>
                <w:rFonts w:ascii="宋体" w:hAnsi="宋体"/>
                <w:szCs w:val="21"/>
              </w:rPr>
            </w:pPr>
          </w:p>
        </w:tc>
        <w:tc>
          <w:tcPr>
            <w:tcW w:w="3150" w:type="dxa"/>
            <w:vAlign w:val="center"/>
          </w:tcPr>
          <w:p>
            <w:pPr>
              <w:wordWrap w:val="0"/>
              <w:spacing w:line="400" w:lineRule="exact"/>
              <w:rPr>
                <w:rFonts w:ascii="宋体" w:hAnsi="宋体"/>
                <w:szCs w:val="21"/>
              </w:rPr>
            </w:pPr>
          </w:p>
        </w:tc>
        <w:tc>
          <w:tcPr>
            <w:tcW w:w="1620"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szCs w:val="21"/>
              </w:rPr>
            </w:pPr>
          </w:p>
        </w:tc>
        <w:tc>
          <w:tcPr>
            <w:tcW w:w="3690" w:type="dxa"/>
            <w:vAlign w:val="center"/>
          </w:tcPr>
          <w:p>
            <w:pPr>
              <w:wordWrap w:val="0"/>
              <w:spacing w:line="400" w:lineRule="exact"/>
              <w:rPr>
                <w:rFonts w:ascii="宋体" w:hAnsi="宋体"/>
                <w:szCs w:val="21"/>
              </w:rPr>
            </w:pPr>
          </w:p>
        </w:tc>
        <w:tc>
          <w:tcPr>
            <w:tcW w:w="3150" w:type="dxa"/>
            <w:vAlign w:val="center"/>
          </w:tcPr>
          <w:p>
            <w:pPr>
              <w:wordWrap w:val="0"/>
              <w:spacing w:line="400" w:lineRule="exact"/>
              <w:rPr>
                <w:rFonts w:ascii="宋体" w:hAnsi="宋体"/>
                <w:szCs w:val="21"/>
              </w:rPr>
            </w:pPr>
          </w:p>
        </w:tc>
        <w:tc>
          <w:tcPr>
            <w:tcW w:w="1620"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szCs w:val="21"/>
              </w:rPr>
            </w:pPr>
          </w:p>
        </w:tc>
        <w:tc>
          <w:tcPr>
            <w:tcW w:w="3690" w:type="dxa"/>
            <w:vAlign w:val="center"/>
          </w:tcPr>
          <w:p>
            <w:pPr>
              <w:wordWrap w:val="0"/>
              <w:spacing w:line="400" w:lineRule="exact"/>
              <w:rPr>
                <w:rFonts w:ascii="宋体" w:hAnsi="宋体"/>
                <w:szCs w:val="21"/>
              </w:rPr>
            </w:pPr>
          </w:p>
        </w:tc>
        <w:tc>
          <w:tcPr>
            <w:tcW w:w="3150" w:type="dxa"/>
            <w:vAlign w:val="center"/>
          </w:tcPr>
          <w:p>
            <w:pPr>
              <w:wordWrap w:val="0"/>
              <w:spacing w:line="400" w:lineRule="exact"/>
              <w:rPr>
                <w:rFonts w:ascii="宋体" w:hAnsi="宋体"/>
                <w:szCs w:val="21"/>
              </w:rPr>
            </w:pPr>
          </w:p>
        </w:tc>
        <w:tc>
          <w:tcPr>
            <w:tcW w:w="1620"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szCs w:val="21"/>
              </w:rPr>
            </w:pPr>
          </w:p>
        </w:tc>
        <w:tc>
          <w:tcPr>
            <w:tcW w:w="3690" w:type="dxa"/>
            <w:vAlign w:val="center"/>
          </w:tcPr>
          <w:p>
            <w:pPr>
              <w:wordWrap w:val="0"/>
              <w:spacing w:line="400" w:lineRule="exact"/>
              <w:rPr>
                <w:rFonts w:ascii="宋体" w:hAnsi="宋体"/>
                <w:szCs w:val="21"/>
              </w:rPr>
            </w:pPr>
          </w:p>
        </w:tc>
        <w:tc>
          <w:tcPr>
            <w:tcW w:w="3150" w:type="dxa"/>
            <w:vAlign w:val="center"/>
          </w:tcPr>
          <w:p>
            <w:pPr>
              <w:wordWrap w:val="0"/>
              <w:spacing w:line="400" w:lineRule="exact"/>
              <w:rPr>
                <w:rFonts w:ascii="宋体" w:hAnsi="宋体"/>
                <w:szCs w:val="21"/>
              </w:rPr>
            </w:pPr>
          </w:p>
        </w:tc>
        <w:tc>
          <w:tcPr>
            <w:tcW w:w="1620"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szCs w:val="21"/>
              </w:rPr>
            </w:pPr>
          </w:p>
        </w:tc>
        <w:tc>
          <w:tcPr>
            <w:tcW w:w="3690" w:type="dxa"/>
            <w:vAlign w:val="center"/>
          </w:tcPr>
          <w:p>
            <w:pPr>
              <w:wordWrap w:val="0"/>
              <w:spacing w:line="400" w:lineRule="exact"/>
              <w:rPr>
                <w:rFonts w:ascii="宋体" w:hAnsi="宋体"/>
                <w:szCs w:val="21"/>
              </w:rPr>
            </w:pPr>
          </w:p>
        </w:tc>
        <w:tc>
          <w:tcPr>
            <w:tcW w:w="3150" w:type="dxa"/>
            <w:vAlign w:val="center"/>
          </w:tcPr>
          <w:p>
            <w:pPr>
              <w:wordWrap w:val="0"/>
              <w:spacing w:line="400" w:lineRule="exact"/>
              <w:rPr>
                <w:rFonts w:ascii="宋体" w:hAnsi="宋体"/>
                <w:szCs w:val="21"/>
              </w:rPr>
            </w:pPr>
          </w:p>
        </w:tc>
        <w:tc>
          <w:tcPr>
            <w:tcW w:w="1620"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szCs w:val="21"/>
              </w:rPr>
            </w:pPr>
          </w:p>
        </w:tc>
        <w:tc>
          <w:tcPr>
            <w:tcW w:w="3690" w:type="dxa"/>
            <w:vAlign w:val="center"/>
          </w:tcPr>
          <w:p>
            <w:pPr>
              <w:wordWrap w:val="0"/>
              <w:spacing w:line="400" w:lineRule="exact"/>
              <w:rPr>
                <w:rFonts w:ascii="宋体" w:hAnsi="宋体"/>
                <w:szCs w:val="21"/>
              </w:rPr>
            </w:pPr>
          </w:p>
        </w:tc>
        <w:tc>
          <w:tcPr>
            <w:tcW w:w="3150" w:type="dxa"/>
            <w:vAlign w:val="center"/>
          </w:tcPr>
          <w:p>
            <w:pPr>
              <w:wordWrap w:val="0"/>
              <w:spacing w:line="400" w:lineRule="exact"/>
              <w:rPr>
                <w:rFonts w:ascii="宋体" w:hAnsi="宋体"/>
                <w:szCs w:val="21"/>
              </w:rPr>
            </w:pPr>
          </w:p>
        </w:tc>
        <w:tc>
          <w:tcPr>
            <w:tcW w:w="1620"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szCs w:val="21"/>
              </w:rPr>
            </w:pPr>
          </w:p>
        </w:tc>
        <w:tc>
          <w:tcPr>
            <w:tcW w:w="3690" w:type="dxa"/>
            <w:vAlign w:val="center"/>
          </w:tcPr>
          <w:p>
            <w:pPr>
              <w:wordWrap w:val="0"/>
              <w:spacing w:line="400" w:lineRule="exact"/>
              <w:rPr>
                <w:rFonts w:ascii="宋体" w:hAnsi="宋体"/>
                <w:szCs w:val="21"/>
              </w:rPr>
            </w:pPr>
          </w:p>
        </w:tc>
        <w:tc>
          <w:tcPr>
            <w:tcW w:w="3150" w:type="dxa"/>
            <w:vAlign w:val="center"/>
          </w:tcPr>
          <w:p>
            <w:pPr>
              <w:wordWrap w:val="0"/>
              <w:spacing w:line="400" w:lineRule="exact"/>
              <w:rPr>
                <w:rFonts w:ascii="宋体" w:hAnsi="宋体"/>
                <w:szCs w:val="21"/>
              </w:rPr>
            </w:pPr>
          </w:p>
        </w:tc>
        <w:tc>
          <w:tcPr>
            <w:tcW w:w="1620"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szCs w:val="21"/>
              </w:rPr>
            </w:pPr>
          </w:p>
        </w:tc>
        <w:tc>
          <w:tcPr>
            <w:tcW w:w="3690" w:type="dxa"/>
            <w:vAlign w:val="center"/>
          </w:tcPr>
          <w:p>
            <w:pPr>
              <w:wordWrap w:val="0"/>
              <w:spacing w:line="400" w:lineRule="exact"/>
              <w:rPr>
                <w:rFonts w:ascii="宋体" w:hAnsi="宋体"/>
                <w:szCs w:val="21"/>
              </w:rPr>
            </w:pPr>
          </w:p>
        </w:tc>
        <w:tc>
          <w:tcPr>
            <w:tcW w:w="3150" w:type="dxa"/>
            <w:vAlign w:val="center"/>
          </w:tcPr>
          <w:p>
            <w:pPr>
              <w:wordWrap w:val="0"/>
              <w:spacing w:line="400" w:lineRule="exact"/>
              <w:rPr>
                <w:rFonts w:ascii="宋体" w:hAnsi="宋体"/>
                <w:szCs w:val="21"/>
              </w:rPr>
            </w:pPr>
          </w:p>
        </w:tc>
        <w:tc>
          <w:tcPr>
            <w:tcW w:w="1620"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szCs w:val="21"/>
              </w:rPr>
            </w:pPr>
          </w:p>
        </w:tc>
        <w:tc>
          <w:tcPr>
            <w:tcW w:w="3690" w:type="dxa"/>
            <w:vAlign w:val="center"/>
          </w:tcPr>
          <w:p>
            <w:pPr>
              <w:wordWrap w:val="0"/>
              <w:spacing w:line="400" w:lineRule="exact"/>
              <w:rPr>
                <w:rFonts w:ascii="宋体" w:hAnsi="宋体"/>
                <w:szCs w:val="21"/>
              </w:rPr>
            </w:pPr>
          </w:p>
        </w:tc>
        <w:tc>
          <w:tcPr>
            <w:tcW w:w="3150" w:type="dxa"/>
            <w:vAlign w:val="center"/>
          </w:tcPr>
          <w:p>
            <w:pPr>
              <w:wordWrap w:val="0"/>
              <w:spacing w:line="400" w:lineRule="exact"/>
              <w:rPr>
                <w:rFonts w:ascii="宋体" w:hAnsi="宋体"/>
                <w:szCs w:val="21"/>
              </w:rPr>
            </w:pPr>
          </w:p>
        </w:tc>
        <w:tc>
          <w:tcPr>
            <w:tcW w:w="1620"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szCs w:val="21"/>
              </w:rPr>
            </w:pPr>
          </w:p>
        </w:tc>
        <w:tc>
          <w:tcPr>
            <w:tcW w:w="3690" w:type="dxa"/>
            <w:vAlign w:val="center"/>
          </w:tcPr>
          <w:p>
            <w:pPr>
              <w:wordWrap w:val="0"/>
              <w:spacing w:line="400" w:lineRule="exact"/>
              <w:rPr>
                <w:rFonts w:ascii="宋体" w:hAnsi="宋体"/>
                <w:szCs w:val="21"/>
              </w:rPr>
            </w:pPr>
          </w:p>
        </w:tc>
        <w:tc>
          <w:tcPr>
            <w:tcW w:w="3150" w:type="dxa"/>
            <w:vAlign w:val="center"/>
          </w:tcPr>
          <w:p>
            <w:pPr>
              <w:wordWrap w:val="0"/>
              <w:spacing w:line="400" w:lineRule="exact"/>
              <w:rPr>
                <w:rFonts w:ascii="宋体" w:hAnsi="宋体"/>
                <w:szCs w:val="21"/>
              </w:rPr>
            </w:pPr>
          </w:p>
        </w:tc>
        <w:tc>
          <w:tcPr>
            <w:tcW w:w="1620" w:type="dxa"/>
            <w:vAlign w:val="center"/>
          </w:tcPr>
          <w:p>
            <w:pPr>
              <w:wordWrap w:val="0"/>
              <w:spacing w:line="400" w:lineRule="exact"/>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szCs w:val="21"/>
              </w:rPr>
            </w:pPr>
          </w:p>
        </w:tc>
        <w:tc>
          <w:tcPr>
            <w:tcW w:w="3690" w:type="dxa"/>
            <w:vAlign w:val="center"/>
          </w:tcPr>
          <w:p>
            <w:pPr>
              <w:wordWrap w:val="0"/>
              <w:spacing w:line="400" w:lineRule="exact"/>
              <w:rPr>
                <w:rFonts w:ascii="宋体" w:hAnsi="宋体"/>
                <w:szCs w:val="21"/>
              </w:rPr>
            </w:pPr>
          </w:p>
        </w:tc>
        <w:tc>
          <w:tcPr>
            <w:tcW w:w="3150" w:type="dxa"/>
            <w:vAlign w:val="center"/>
          </w:tcPr>
          <w:p>
            <w:pPr>
              <w:wordWrap w:val="0"/>
              <w:spacing w:line="400" w:lineRule="exact"/>
              <w:rPr>
                <w:rFonts w:ascii="宋体" w:hAnsi="宋体"/>
                <w:szCs w:val="21"/>
              </w:rPr>
            </w:pPr>
          </w:p>
        </w:tc>
        <w:tc>
          <w:tcPr>
            <w:tcW w:w="1620" w:type="dxa"/>
            <w:vAlign w:val="center"/>
          </w:tcPr>
          <w:p>
            <w:pPr>
              <w:wordWrap w:val="0"/>
              <w:spacing w:line="400" w:lineRule="exact"/>
              <w:rPr>
                <w:rFonts w:ascii="宋体" w:hAnsi="宋体"/>
                <w:szCs w:val="21"/>
              </w:rPr>
            </w:pPr>
          </w:p>
        </w:tc>
      </w:tr>
    </w:tbl>
    <w:p>
      <w:pPr>
        <w:wordWrap w:val="0"/>
        <w:rPr>
          <w:b/>
          <w:szCs w:val="21"/>
        </w:rPr>
      </w:pPr>
      <w:r>
        <w:rPr>
          <w:rFonts w:hint="eastAsia"/>
          <w:b/>
          <w:szCs w:val="21"/>
        </w:rPr>
        <w:t>注：1、须与采购文件第五章</w:t>
      </w:r>
      <w:r>
        <w:rPr>
          <w:b/>
          <w:szCs w:val="21"/>
        </w:rPr>
        <w:t xml:space="preserve">  </w:t>
      </w:r>
      <w:r>
        <w:rPr>
          <w:rFonts w:hint="eastAsia"/>
          <w:b/>
          <w:szCs w:val="21"/>
        </w:rPr>
        <w:t>招标内容与技术需求中“</w:t>
      </w:r>
      <w:r>
        <w:rPr>
          <w:rFonts w:hint="eastAsia"/>
          <w:b/>
        </w:rPr>
        <w:t>一、采购清单</w:t>
      </w:r>
      <w:r>
        <w:rPr>
          <w:b/>
        </w:rPr>
        <w:t>及技术要求</w:t>
      </w:r>
      <w:r>
        <w:rPr>
          <w:rFonts w:hint="eastAsia"/>
          <w:b/>
          <w:szCs w:val="21"/>
        </w:rPr>
        <w:t>”逐项比较填写。</w:t>
      </w:r>
    </w:p>
    <w:p>
      <w:pPr>
        <w:wordWrap w:val="0"/>
        <w:spacing w:line="400" w:lineRule="exact"/>
        <w:ind w:firstLine="420" w:firstLineChars="200"/>
        <w:rPr>
          <w:rFonts w:ascii="宋体" w:hAnsi="宋体"/>
          <w:szCs w:val="21"/>
        </w:rPr>
      </w:pPr>
      <w:r>
        <w:rPr>
          <w:rFonts w:hint="eastAsia" w:ascii="宋体" w:hAnsi="宋体"/>
          <w:szCs w:val="21"/>
        </w:rPr>
        <w:t>2、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pPr>
        <w:wordWrap w:val="0"/>
        <w:spacing w:line="400" w:lineRule="exact"/>
        <w:ind w:firstLine="420"/>
        <w:rPr>
          <w:rFonts w:ascii="宋体" w:hAnsi="宋体"/>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400" w:lineRule="exact"/>
        <w:jc w:val="left"/>
        <w:rPr>
          <w:rFonts w:ascii="宋体" w:hAnsi="宋体"/>
          <w:szCs w:val="21"/>
        </w:rPr>
      </w:pPr>
      <w:r>
        <w:rPr>
          <w:rFonts w:ascii="宋体" w:hAnsi="宋体"/>
          <w:szCs w:val="21"/>
        </w:rPr>
        <w:br w:type="page"/>
      </w:r>
      <w:r>
        <w:rPr>
          <w:rFonts w:hint="eastAsia" w:ascii="宋体" w:hAnsi="宋体"/>
          <w:b/>
        </w:rPr>
        <w:t>B7、</w:t>
      </w:r>
      <w:r>
        <w:rPr>
          <w:rFonts w:hint="eastAsia" w:ascii="宋体" w:hAnsi="宋体"/>
          <w:b/>
          <w:szCs w:val="21"/>
        </w:rPr>
        <w:t>第三章“评标办法及标准”中商务和技</w:t>
      </w:r>
      <w:r>
        <w:rPr>
          <w:rFonts w:hint="eastAsia" w:ascii="宋体" w:hAnsi="宋体"/>
          <w:b/>
        </w:rPr>
        <w:t>术评分表要求提供的资料（如有需提供）；</w:t>
      </w:r>
    </w:p>
    <w:p>
      <w:pPr>
        <w:wordWrap w:val="0"/>
        <w:spacing w:line="400" w:lineRule="exact"/>
        <w:jc w:val="left"/>
        <w:rPr>
          <w:rFonts w:ascii="宋体" w:hAnsi="宋体"/>
          <w:b/>
        </w:rPr>
      </w:pPr>
      <w:r>
        <w:rPr>
          <w:rFonts w:hint="eastAsia" w:ascii="宋体" w:hAnsi="宋体"/>
          <w:b/>
        </w:rPr>
        <w:t>B8、供应商认为需要的其他资料（如有需提供）。</w:t>
      </w:r>
    </w:p>
    <w:p>
      <w:pPr>
        <w:wordWrap w:val="0"/>
        <w:spacing w:line="400" w:lineRule="exact"/>
        <w:jc w:val="left"/>
        <w:rPr>
          <w:rFonts w:ascii="宋体" w:hAnsi="宋体"/>
          <w:b/>
          <w:szCs w:val="21"/>
        </w:rPr>
      </w:pPr>
      <w:r>
        <w:rPr>
          <w:rFonts w:ascii="宋体" w:hAnsi="宋体"/>
          <w:b/>
          <w:szCs w:val="21"/>
        </w:rPr>
        <w:br w:type="page"/>
      </w:r>
    </w:p>
    <w:p>
      <w:pPr>
        <w:wordWrap w:val="0"/>
        <w:spacing w:line="400" w:lineRule="exact"/>
        <w:ind w:firstLine="474" w:firstLineChars="200"/>
        <w:jc w:val="left"/>
        <w:rPr>
          <w:rStyle w:val="128"/>
          <w:rFonts w:ascii="宋体" w:hAnsi="宋体"/>
          <w:szCs w:val="21"/>
        </w:rPr>
      </w:pPr>
    </w:p>
    <w:p>
      <w:pPr>
        <w:wordWrap w:val="0"/>
        <w:spacing w:line="400" w:lineRule="exact"/>
        <w:jc w:val="left"/>
        <w:rPr>
          <w:rStyle w:val="128"/>
          <w:rFonts w:ascii="宋体" w:hAnsi="宋体"/>
          <w:sz w:val="28"/>
          <w:szCs w:val="28"/>
        </w:rPr>
      </w:pPr>
    </w:p>
    <w:p>
      <w:pPr>
        <w:wordWrap w:val="0"/>
        <w:spacing w:line="400" w:lineRule="exact"/>
        <w:jc w:val="center"/>
        <w:rPr>
          <w:rStyle w:val="128"/>
          <w:rFonts w:ascii="宋体" w:hAnsi="宋体"/>
          <w:sz w:val="32"/>
          <w:szCs w:val="32"/>
        </w:rPr>
      </w:pPr>
      <w:bookmarkStart w:id="75" w:name="_Toc8677"/>
      <w:bookmarkEnd w:id="75"/>
      <w:bookmarkStart w:id="76" w:name="_Toc44162159"/>
      <w:bookmarkEnd w:id="76"/>
      <w:bookmarkStart w:id="77" w:name="_Toc21541028"/>
      <w:bookmarkEnd w:id="77"/>
      <w:bookmarkStart w:id="78" w:name="_Toc443468293"/>
      <w:bookmarkEnd w:id="78"/>
      <w:r>
        <w:rPr>
          <w:rStyle w:val="128"/>
          <w:rFonts w:ascii="宋体" w:hAnsi="宋体"/>
          <w:sz w:val="32"/>
          <w:szCs w:val="32"/>
        </w:rPr>
        <w:t>C.</w:t>
      </w:r>
      <w:r>
        <w:rPr>
          <w:rStyle w:val="128"/>
          <w:rFonts w:hint="eastAsia" w:ascii="宋体" w:hAnsi="宋体"/>
          <w:sz w:val="32"/>
          <w:szCs w:val="32"/>
        </w:rPr>
        <w:t>报价文件</w:t>
      </w:r>
    </w:p>
    <w:p>
      <w:pPr>
        <w:wordWrap w:val="0"/>
        <w:autoSpaceDE w:val="0"/>
        <w:autoSpaceDN w:val="0"/>
        <w:spacing w:line="420" w:lineRule="exact"/>
        <w:rPr>
          <w:rStyle w:val="128"/>
          <w:rFonts w:ascii="宋体" w:hAnsi="宋体"/>
          <w:sz w:val="32"/>
          <w:szCs w:val="32"/>
        </w:rPr>
      </w:pPr>
      <w:r>
        <w:rPr>
          <w:rStyle w:val="128"/>
          <w:rFonts w:ascii="宋体" w:hAnsi="宋体"/>
          <w:sz w:val="32"/>
          <w:szCs w:val="32"/>
        </w:rPr>
        <w:br w:type="page"/>
      </w:r>
      <w:r>
        <w:rPr>
          <w:rStyle w:val="128"/>
          <w:rFonts w:hint="eastAsia" w:ascii="宋体" w:hAnsi="宋体"/>
          <w:szCs w:val="21"/>
        </w:rPr>
        <w:t>封面</w:t>
      </w:r>
    </w:p>
    <w:p>
      <w:pPr>
        <w:wordWrap w:val="0"/>
        <w:spacing w:line="360" w:lineRule="auto"/>
        <w:ind w:firstLine="1285" w:firstLineChars="400"/>
        <w:jc w:val="right"/>
        <w:rPr>
          <w:rFonts w:ascii="宋体" w:hAnsi="宋体"/>
          <w:b/>
          <w:sz w:val="32"/>
          <w:szCs w:val="32"/>
        </w:rPr>
      </w:pPr>
      <w:r>
        <w:rPr>
          <w:rFonts w:hint="eastAsia" w:ascii="宋体" w:hAnsi="宋体"/>
          <w:b/>
          <w:sz w:val="32"/>
          <w:szCs w:val="32"/>
        </w:rPr>
        <w:t>正（副）本</w:t>
      </w:r>
    </w:p>
    <w:p>
      <w:pPr>
        <w:wordWrap w:val="0"/>
        <w:spacing w:line="360" w:lineRule="auto"/>
        <w:rPr>
          <w:rFonts w:ascii="宋体" w:hAnsi="宋体"/>
          <w:sz w:val="28"/>
          <w:szCs w:val="28"/>
        </w:rPr>
      </w:pPr>
    </w:p>
    <w:p>
      <w:pPr>
        <w:wordWrap w:val="0"/>
        <w:spacing w:after="120" w:line="900" w:lineRule="exact"/>
        <w:jc w:val="center"/>
        <w:rPr>
          <w:rFonts w:ascii="宋体" w:hAnsi="宋体"/>
          <w:sz w:val="36"/>
          <w:szCs w:val="36"/>
        </w:rPr>
      </w:pPr>
      <w:r>
        <w:rPr>
          <w:rFonts w:hint="eastAsia" w:ascii="宋体" w:hAnsi="宋体"/>
          <w:sz w:val="36"/>
          <w:szCs w:val="36"/>
        </w:rPr>
        <w:t>宁波职业技术学院绿色智能供配电实训基地建设项目</w:t>
      </w:r>
    </w:p>
    <w:p>
      <w:pPr>
        <w:wordWrap w:val="0"/>
        <w:spacing w:line="360" w:lineRule="auto"/>
        <w:jc w:val="center"/>
        <w:rPr>
          <w:rFonts w:ascii="宋体" w:hAnsi="宋体"/>
          <w:sz w:val="36"/>
          <w:szCs w:val="36"/>
          <w:u w:val="single"/>
        </w:rPr>
      </w:pPr>
      <w:r>
        <w:rPr>
          <w:rFonts w:hint="eastAsia" w:ascii="宋体" w:hAnsi="宋体"/>
          <w:sz w:val="36"/>
          <w:szCs w:val="36"/>
          <w:u w:val="single"/>
        </w:rPr>
        <w:t>采购编号：ZJZC-233184</w:t>
      </w:r>
    </w:p>
    <w:p>
      <w:pPr>
        <w:wordWrap w:val="0"/>
        <w:spacing w:line="360" w:lineRule="auto"/>
        <w:ind w:firstLine="2340" w:firstLineChars="650"/>
        <w:rPr>
          <w:rFonts w:ascii="宋体" w:hAnsi="宋体"/>
          <w:sz w:val="36"/>
          <w:szCs w:val="36"/>
          <w:u w:val="single"/>
        </w:rPr>
      </w:pPr>
      <w:r>
        <w:rPr>
          <w:rFonts w:hint="eastAsia" w:ascii="宋体" w:hAnsi="宋体"/>
          <w:sz w:val="36"/>
          <w:szCs w:val="36"/>
          <w:u w:val="single"/>
        </w:rPr>
        <w:t>标</w:t>
      </w:r>
      <w:r>
        <w:rPr>
          <w:rFonts w:ascii="宋体" w:hAnsi="宋体"/>
          <w:sz w:val="36"/>
          <w:szCs w:val="36"/>
          <w:u w:val="single"/>
        </w:rPr>
        <w:t xml:space="preserve">    </w:t>
      </w:r>
      <w:r>
        <w:rPr>
          <w:rFonts w:hint="eastAsia" w:ascii="宋体" w:hAnsi="宋体"/>
          <w:sz w:val="36"/>
          <w:szCs w:val="36"/>
          <w:u w:val="single"/>
        </w:rPr>
        <w:t>项：（如有多个标项）</w:t>
      </w:r>
    </w:p>
    <w:p>
      <w:pPr>
        <w:wordWrap w:val="0"/>
        <w:rPr>
          <w:rFonts w:ascii="宋体" w:hAnsi="宋体"/>
          <w:sz w:val="28"/>
          <w:szCs w:val="28"/>
        </w:rPr>
      </w:pPr>
    </w:p>
    <w:p>
      <w:pPr>
        <w:wordWrap w:val="0"/>
        <w:spacing w:line="360" w:lineRule="auto"/>
        <w:jc w:val="center"/>
        <w:rPr>
          <w:rFonts w:ascii="宋体" w:hAnsi="宋体"/>
          <w:sz w:val="36"/>
          <w:szCs w:val="36"/>
        </w:rPr>
      </w:pPr>
      <w:r>
        <w:rPr>
          <w:rFonts w:hint="eastAsia" w:ascii="宋体" w:hAnsi="宋体"/>
          <w:sz w:val="36"/>
          <w:szCs w:val="36"/>
        </w:rPr>
        <w:t>（报价文件）</w:t>
      </w:r>
    </w:p>
    <w:p>
      <w:pPr>
        <w:wordWrap w:val="0"/>
        <w:jc w:val="center"/>
        <w:rPr>
          <w:rFonts w:ascii="宋体" w:hAnsi="宋体"/>
          <w:sz w:val="28"/>
          <w:szCs w:val="28"/>
        </w:rPr>
      </w:pPr>
    </w:p>
    <w:p>
      <w:pPr>
        <w:wordWrap w:val="0"/>
        <w:spacing w:line="360" w:lineRule="auto"/>
        <w:jc w:val="center"/>
        <w:rPr>
          <w:rFonts w:ascii="宋体" w:hAnsi="宋体"/>
          <w:b/>
          <w:sz w:val="72"/>
          <w:szCs w:val="72"/>
        </w:rPr>
      </w:pPr>
    </w:p>
    <w:p>
      <w:pPr>
        <w:wordWrap w:val="0"/>
        <w:spacing w:line="360" w:lineRule="auto"/>
        <w:jc w:val="center"/>
        <w:rPr>
          <w:rFonts w:ascii="宋体" w:hAnsi="宋体"/>
          <w:b/>
          <w:sz w:val="72"/>
          <w:szCs w:val="72"/>
        </w:rPr>
      </w:pPr>
      <w:r>
        <w:rPr>
          <w:rFonts w:hint="eastAsia" w:ascii="宋体" w:hAnsi="宋体"/>
          <w:b/>
          <w:sz w:val="72"/>
          <w:szCs w:val="72"/>
        </w:rPr>
        <w:t>投标文件</w:t>
      </w: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r>
        <w:rPr>
          <w:rFonts w:hint="eastAsia" w:ascii="宋体" w:hAnsi="宋体"/>
          <w:sz w:val="36"/>
          <w:szCs w:val="36"/>
        </w:rPr>
        <w:t>供应商全称：</w:t>
      </w:r>
      <w:r>
        <w:rPr>
          <w:rFonts w:hint="eastAsia" w:ascii="宋体" w:hAnsi="宋体"/>
          <w:sz w:val="36"/>
          <w:szCs w:val="36"/>
          <w:u w:val="single"/>
        </w:rPr>
        <w:t>（加盖单位公章）</w:t>
      </w:r>
    </w:p>
    <w:p>
      <w:pPr>
        <w:pStyle w:val="55"/>
        <w:wordWrap w:val="0"/>
        <w:ind w:left="101" w:leftChars="48" w:firstLine="1920" w:firstLineChars="800"/>
        <w:jc w:val="left"/>
        <w:rPr>
          <w:rFonts w:hAnsi="宋体"/>
          <w:kern w:val="2"/>
          <w:szCs w:val="28"/>
          <w:u w:val="single"/>
        </w:rPr>
      </w:pPr>
    </w:p>
    <w:p>
      <w:pPr>
        <w:wordWrap w:val="0"/>
        <w:spacing w:line="360" w:lineRule="auto"/>
        <w:jc w:val="center"/>
        <w:rPr>
          <w:rFonts w:ascii="宋体" w:hAnsi="宋体"/>
          <w:sz w:val="36"/>
          <w:szCs w:val="36"/>
        </w:rPr>
      </w:pPr>
      <w:bookmarkStart w:id="79" w:name="_Toc4975"/>
      <w:bookmarkEnd w:id="79"/>
      <w:bookmarkStart w:id="80" w:name="_Toc443468294"/>
      <w:bookmarkEnd w:id="80"/>
      <w:bookmarkStart w:id="81" w:name="_Toc44162160"/>
      <w:bookmarkEnd w:id="81"/>
      <w:bookmarkStart w:id="82" w:name="_Toc21541029"/>
      <w:bookmarkEnd w:id="82"/>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pPr>
        <w:wordWrap w:val="0"/>
        <w:autoSpaceDE w:val="0"/>
        <w:autoSpaceDN w:val="0"/>
        <w:spacing w:line="400" w:lineRule="exact"/>
        <w:jc w:val="center"/>
        <w:outlineLvl w:val="0"/>
        <w:rPr>
          <w:rStyle w:val="128"/>
          <w:rFonts w:ascii="宋体" w:hAnsi="宋体"/>
          <w:sz w:val="28"/>
          <w:szCs w:val="28"/>
        </w:rPr>
      </w:pPr>
    </w:p>
    <w:p>
      <w:pPr>
        <w:wordWrap w:val="0"/>
        <w:autoSpaceDE w:val="0"/>
        <w:autoSpaceDN w:val="0"/>
        <w:spacing w:line="400" w:lineRule="exact"/>
        <w:jc w:val="center"/>
        <w:outlineLvl w:val="0"/>
        <w:rPr>
          <w:rStyle w:val="128"/>
          <w:rFonts w:ascii="宋体" w:hAnsi="宋体"/>
          <w:sz w:val="28"/>
          <w:szCs w:val="28"/>
        </w:rPr>
      </w:pPr>
    </w:p>
    <w:bookmarkEnd w:id="73"/>
    <w:bookmarkEnd w:id="74"/>
    <w:p>
      <w:pPr>
        <w:wordWrap w:val="0"/>
        <w:autoSpaceDE w:val="0"/>
        <w:autoSpaceDN w:val="0"/>
        <w:spacing w:line="400" w:lineRule="exact"/>
        <w:jc w:val="center"/>
        <w:outlineLvl w:val="0"/>
        <w:rPr>
          <w:rStyle w:val="128"/>
          <w:rFonts w:ascii="宋体" w:hAnsi="宋体"/>
          <w:sz w:val="28"/>
          <w:szCs w:val="28"/>
        </w:rPr>
      </w:pPr>
      <w:bookmarkStart w:id="83" w:name="_Toc69399600"/>
      <w:bookmarkEnd w:id="83"/>
      <w:bookmarkStart w:id="84" w:name="_Toc21541030"/>
      <w:bookmarkEnd w:id="84"/>
      <w:bookmarkStart w:id="85" w:name="_Toc44162161"/>
      <w:bookmarkEnd w:id="85"/>
      <w:bookmarkStart w:id="86" w:name="_Toc14907"/>
      <w:bookmarkEnd w:id="86"/>
      <w:r>
        <w:rPr>
          <w:rStyle w:val="128"/>
          <w:rFonts w:ascii="宋体" w:hAnsi="宋体"/>
          <w:sz w:val="28"/>
          <w:szCs w:val="28"/>
        </w:rPr>
        <w:br w:type="page"/>
      </w:r>
      <w:bookmarkStart w:id="87" w:name="_Toc28368"/>
      <w:r>
        <w:rPr>
          <w:rFonts w:ascii="宋体" w:hAnsi="宋体"/>
          <w:b/>
          <w:szCs w:val="21"/>
        </w:rPr>
        <w:t>C1</w:t>
      </w:r>
      <w:r>
        <w:rPr>
          <w:rFonts w:hint="eastAsia" w:ascii="宋体" w:hAnsi="宋体"/>
          <w:b/>
          <w:szCs w:val="21"/>
        </w:rPr>
        <w:t>开标一览表</w:t>
      </w:r>
      <w:bookmarkEnd w:id="87"/>
    </w:p>
    <w:p>
      <w:pPr>
        <w:pStyle w:val="47"/>
        <w:wordWrap w:val="0"/>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宁波职业技术学院绿色智能供配电实训基地建设项目</w:t>
      </w:r>
    </w:p>
    <w:p>
      <w:pPr>
        <w:pStyle w:val="47"/>
        <w:wordWrap w:val="0"/>
        <w:spacing w:after="240" w:line="400" w:lineRule="exact"/>
        <w:ind w:firstLine="0"/>
        <w:rPr>
          <w:rFonts w:ascii="宋体" w:hAnsi="宋体" w:eastAsia="宋体"/>
          <w:sz w:val="21"/>
          <w:szCs w:val="21"/>
        </w:rPr>
      </w:pPr>
      <w:r>
        <w:rPr>
          <w:rFonts w:hint="eastAsia" w:ascii="宋体" w:hAnsi="宋体" w:eastAsia="宋体"/>
          <w:sz w:val="21"/>
          <w:szCs w:val="21"/>
        </w:rPr>
        <w:t>采购编号：</w:t>
      </w:r>
      <w:r>
        <w:rPr>
          <w:rFonts w:hint="eastAsia" w:ascii="宋体" w:hAnsi="宋体" w:eastAsia="宋体"/>
          <w:sz w:val="21"/>
          <w:szCs w:val="21"/>
          <w:u w:val="single"/>
        </w:rPr>
        <w:t>ZJZC-233184</w:t>
      </w:r>
    </w:p>
    <w:tbl>
      <w:tblPr>
        <w:tblStyle w:val="12"/>
        <w:tblW w:w="9527"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4188"/>
        <w:gridCol w:w="1843"/>
        <w:gridCol w:w="1134"/>
        <w:gridCol w:w="140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56" w:type="dxa"/>
            <w:vAlign w:val="center"/>
          </w:tcPr>
          <w:p>
            <w:pPr>
              <w:wordWrap w:val="0"/>
              <w:snapToGrid w:val="0"/>
              <w:spacing w:line="400" w:lineRule="exact"/>
              <w:jc w:val="center"/>
              <w:rPr>
                <w:rFonts w:ascii="宋体" w:hAnsi="宋体"/>
                <w:szCs w:val="21"/>
              </w:rPr>
            </w:pPr>
            <w:r>
              <w:rPr>
                <w:rFonts w:hint="eastAsia" w:ascii="宋体" w:hAnsi="宋体"/>
                <w:szCs w:val="21"/>
              </w:rPr>
              <w:t>标项</w:t>
            </w:r>
          </w:p>
        </w:tc>
        <w:tc>
          <w:tcPr>
            <w:tcW w:w="4188" w:type="dxa"/>
            <w:vAlign w:val="center"/>
          </w:tcPr>
          <w:p>
            <w:pPr>
              <w:wordWrap w:val="0"/>
              <w:snapToGrid w:val="0"/>
              <w:spacing w:line="400" w:lineRule="exact"/>
              <w:jc w:val="center"/>
              <w:rPr>
                <w:rFonts w:ascii="宋体" w:hAnsi="宋体"/>
                <w:szCs w:val="21"/>
              </w:rPr>
            </w:pPr>
            <w:r>
              <w:rPr>
                <w:rFonts w:hint="eastAsia" w:ascii="宋体" w:hAnsi="宋体"/>
                <w:szCs w:val="21"/>
              </w:rPr>
              <w:t>标项名称</w:t>
            </w:r>
          </w:p>
        </w:tc>
        <w:tc>
          <w:tcPr>
            <w:tcW w:w="1843" w:type="dxa"/>
            <w:vAlign w:val="center"/>
          </w:tcPr>
          <w:p>
            <w:pPr>
              <w:wordWrap w:val="0"/>
              <w:snapToGrid w:val="0"/>
              <w:spacing w:line="400" w:lineRule="exact"/>
              <w:jc w:val="center"/>
              <w:rPr>
                <w:rFonts w:ascii="宋体" w:hAnsi="宋体"/>
                <w:szCs w:val="21"/>
              </w:rPr>
            </w:pPr>
            <w:r>
              <w:rPr>
                <w:rFonts w:hint="eastAsia" w:ascii="宋体" w:hAnsi="宋体"/>
                <w:szCs w:val="21"/>
              </w:rPr>
              <w:t>投标报价</w:t>
            </w:r>
          </w:p>
        </w:tc>
        <w:tc>
          <w:tcPr>
            <w:tcW w:w="1134" w:type="dxa"/>
            <w:vAlign w:val="center"/>
          </w:tcPr>
          <w:p>
            <w:pPr>
              <w:wordWrap w:val="0"/>
              <w:snapToGrid w:val="0"/>
              <w:spacing w:line="400" w:lineRule="exact"/>
              <w:jc w:val="center"/>
              <w:rPr>
                <w:rFonts w:ascii="宋体" w:hAnsi="宋体"/>
                <w:szCs w:val="21"/>
              </w:rPr>
            </w:pPr>
            <w:r>
              <w:rPr>
                <w:rFonts w:hint="eastAsia" w:ascii="宋体" w:hAnsi="宋体"/>
                <w:szCs w:val="21"/>
              </w:rPr>
              <w:t>交货期</w:t>
            </w:r>
          </w:p>
        </w:tc>
        <w:tc>
          <w:tcPr>
            <w:tcW w:w="1406" w:type="dxa"/>
            <w:vAlign w:val="center"/>
          </w:tcPr>
          <w:p>
            <w:pPr>
              <w:wordWrap w:val="0"/>
              <w:snapToGrid w:val="0"/>
              <w:spacing w:line="400" w:lineRule="exact"/>
              <w:jc w:val="center"/>
              <w:rPr>
                <w:rFonts w:ascii="宋体" w:hAnsi="宋体"/>
                <w:szCs w:val="21"/>
              </w:rPr>
            </w:pPr>
            <w:r>
              <w:rPr>
                <w:rFonts w:hint="eastAsia" w:ascii="宋体" w:hAnsi="宋体"/>
                <w:szCs w:val="21"/>
              </w:rPr>
              <w:t>品牌</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56" w:type="dxa"/>
            <w:vAlign w:val="center"/>
          </w:tcPr>
          <w:p>
            <w:pPr>
              <w:wordWrap w:val="0"/>
              <w:snapToGrid w:val="0"/>
              <w:spacing w:line="400" w:lineRule="exact"/>
              <w:jc w:val="center"/>
              <w:rPr>
                <w:rFonts w:ascii="宋体" w:hAnsi="宋体"/>
                <w:szCs w:val="21"/>
              </w:rPr>
            </w:pPr>
            <w:r>
              <w:rPr>
                <w:rFonts w:hint="eastAsia" w:ascii="宋体" w:hAnsi="宋体"/>
                <w:szCs w:val="21"/>
              </w:rPr>
              <w:t>1</w:t>
            </w:r>
          </w:p>
        </w:tc>
        <w:tc>
          <w:tcPr>
            <w:tcW w:w="4188" w:type="dxa"/>
            <w:vAlign w:val="center"/>
          </w:tcPr>
          <w:p>
            <w:pPr>
              <w:wordWrap w:val="0"/>
              <w:snapToGrid w:val="0"/>
              <w:spacing w:line="400" w:lineRule="exact"/>
              <w:jc w:val="center"/>
              <w:rPr>
                <w:rFonts w:ascii="宋体" w:hAnsi="宋体"/>
                <w:szCs w:val="21"/>
              </w:rPr>
            </w:pPr>
          </w:p>
        </w:tc>
        <w:tc>
          <w:tcPr>
            <w:tcW w:w="1843" w:type="dxa"/>
            <w:vAlign w:val="center"/>
          </w:tcPr>
          <w:p>
            <w:pPr>
              <w:wordWrap w:val="0"/>
              <w:snapToGrid w:val="0"/>
              <w:spacing w:line="400" w:lineRule="exact"/>
              <w:jc w:val="center"/>
              <w:rPr>
                <w:rFonts w:ascii="宋体" w:hAnsi="宋体"/>
                <w:szCs w:val="21"/>
              </w:rPr>
            </w:pPr>
          </w:p>
        </w:tc>
        <w:tc>
          <w:tcPr>
            <w:tcW w:w="1134" w:type="dxa"/>
            <w:vAlign w:val="center"/>
          </w:tcPr>
          <w:p>
            <w:pPr>
              <w:wordWrap w:val="0"/>
              <w:snapToGrid w:val="0"/>
              <w:spacing w:line="400" w:lineRule="exact"/>
              <w:jc w:val="center"/>
              <w:rPr>
                <w:rFonts w:ascii="宋体" w:hAnsi="宋体"/>
                <w:szCs w:val="21"/>
              </w:rPr>
            </w:pPr>
          </w:p>
        </w:tc>
        <w:tc>
          <w:tcPr>
            <w:tcW w:w="1406" w:type="dxa"/>
            <w:vAlign w:val="center"/>
          </w:tcPr>
          <w:p>
            <w:pPr>
              <w:wordWrap w:val="0"/>
              <w:snapToGrid w:val="0"/>
              <w:spacing w:line="400" w:lineRule="exact"/>
              <w:jc w:val="center"/>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56" w:type="dxa"/>
            <w:vAlign w:val="center"/>
          </w:tcPr>
          <w:p>
            <w:pPr>
              <w:wordWrap w:val="0"/>
              <w:snapToGrid w:val="0"/>
              <w:spacing w:line="400" w:lineRule="exact"/>
              <w:jc w:val="center"/>
              <w:rPr>
                <w:rFonts w:ascii="宋体" w:hAnsi="宋体"/>
                <w:szCs w:val="21"/>
              </w:rPr>
            </w:pPr>
            <w:r>
              <w:rPr>
                <w:rFonts w:hint="eastAsia" w:ascii="宋体" w:hAnsi="宋体"/>
                <w:szCs w:val="21"/>
              </w:rPr>
              <w:t>2</w:t>
            </w:r>
          </w:p>
        </w:tc>
        <w:tc>
          <w:tcPr>
            <w:tcW w:w="4188" w:type="dxa"/>
            <w:vAlign w:val="center"/>
          </w:tcPr>
          <w:p>
            <w:pPr>
              <w:wordWrap w:val="0"/>
              <w:snapToGrid w:val="0"/>
              <w:spacing w:line="400" w:lineRule="exact"/>
              <w:jc w:val="center"/>
              <w:rPr>
                <w:rFonts w:ascii="宋体" w:hAnsi="宋体"/>
                <w:szCs w:val="21"/>
              </w:rPr>
            </w:pPr>
          </w:p>
        </w:tc>
        <w:tc>
          <w:tcPr>
            <w:tcW w:w="1843" w:type="dxa"/>
            <w:vAlign w:val="center"/>
          </w:tcPr>
          <w:p>
            <w:pPr>
              <w:wordWrap w:val="0"/>
              <w:snapToGrid w:val="0"/>
              <w:spacing w:line="400" w:lineRule="exact"/>
              <w:jc w:val="center"/>
              <w:rPr>
                <w:rFonts w:ascii="宋体" w:hAnsi="宋体"/>
                <w:szCs w:val="21"/>
              </w:rPr>
            </w:pPr>
          </w:p>
        </w:tc>
        <w:tc>
          <w:tcPr>
            <w:tcW w:w="1134" w:type="dxa"/>
            <w:vAlign w:val="center"/>
          </w:tcPr>
          <w:p>
            <w:pPr>
              <w:wordWrap w:val="0"/>
              <w:snapToGrid w:val="0"/>
              <w:spacing w:line="400" w:lineRule="exact"/>
              <w:jc w:val="center"/>
              <w:rPr>
                <w:rFonts w:ascii="宋体" w:hAnsi="宋体"/>
                <w:szCs w:val="21"/>
              </w:rPr>
            </w:pPr>
          </w:p>
        </w:tc>
        <w:tc>
          <w:tcPr>
            <w:tcW w:w="1406" w:type="dxa"/>
            <w:vAlign w:val="center"/>
          </w:tcPr>
          <w:p>
            <w:pPr>
              <w:wordWrap w:val="0"/>
              <w:snapToGrid w:val="0"/>
              <w:spacing w:line="400" w:lineRule="exact"/>
              <w:jc w:val="center"/>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56" w:type="dxa"/>
            <w:vAlign w:val="center"/>
          </w:tcPr>
          <w:p>
            <w:pPr>
              <w:wordWrap w:val="0"/>
              <w:snapToGrid w:val="0"/>
              <w:spacing w:line="400" w:lineRule="exact"/>
              <w:jc w:val="center"/>
              <w:rPr>
                <w:rFonts w:ascii="宋体" w:hAnsi="宋体"/>
                <w:szCs w:val="21"/>
              </w:rPr>
            </w:pPr>
            <w:r>
              <w:rPr>
                <w:rFonts w:hint="eastAsia" w:ascii="宋体" w:hAnsi="宋体"/>
                <w:szCs w:val="21"/>
              </w:rPr>
              <w:t>3</w:t>
            </w:r>
          </w:p>
        </w:tc>
        <w:tc>
          <w:tcPr>
            <w:tcW w:w="4188" w:type="dxa"/>
            <w:vAlign w:val="center"/>
          </w:tcPr>
          <w:p>
            <w:pPr>
              <w:wordWrap w:val="0"/>
              <w:snapToGrid w:val="0"/>
              <w:spacing w:line="400" w:lineRule="exact"/>
              <w:jc w:val="center"/>
              <w:rPr>
                <w:rFonts w:ascii="宋体" w:hAnsi="宋体"/>
                <w:szCs w:val="21"/>
              </w:rPr>
            </w:pPr>
          </w:p>
        </w:tc>
        <w:tc>
          <w:tcPr>
            <w:tcW w:w="1843" w:type="dxa"/>
            <w:vAlign w:val="center"/>
          </w:tcPr>
          <w:p>
            <w:pPr>
              <w:wordWrap w:val="0"/>
              <w:snapToGrid w:val="0"/>
              <w:spacing w:line="400" w:lineRule="exact"/>
              <w:jc w:val="center"/>
              <w:rPr>
                <w:rFonts w:ascii="宋体" w:hAnsi="宋体"/>
                <w:szCs w:val="21"/>
              </w:rPr>
            </w:pPr>
          </w:p>
        </w:tc>
        <w:tc>
          <w:tcPr>
            <w:tcW w:w="1134" w:type="dxa"/>
            <w:vAlign w:val="center"/>
          </w:tcPr>
          <w:p>
            <w:pPr>
              <w:wordWrap w:val="0"/>
              <w:snapToGrid w:val="0"/>
              <w:spacing w:line="400" w:lineRule="exact"/>
              <w:jc w:val="center"/>
              <w:rPr>
                <w:rFonts w:ascii="宋体" w:hAnsi="宋体"/>
                <w:szCs w:val="21"/>
              </w:rPr>
            </w:pPr>
          </w:p>
        </w:tc>
        <w:tc>
          <w:tcPr>
            <w:tcW w:w="1406" w:type="dxa"/>
            <w:vAlign w:val="center"/>
          </w:tcPr>
          <w:p>
            <w:pPr>
              <w:wordWrap w:val="0"/>
              <w:snapToGrid w:val="0"/>
              <w:spacing w:line="400" w:lineRule="exact"/>
              <w:jc w:val="center"/>
              <w:rPr>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56" w:type="dxa"/>
            <w:vAlign w:val="center"/>
          </w:tcPr>
          <w:p>
            <w:pPr>
              <w:wordWrap w:val="0"/>
              <w:snapToGrid w:val="0"/>
              <w:spacing w:line="400" w:lineRule="exact"/>
              <w:jc w:val="center"/>
              <w:rPr>
                <w:rFonts w:ascii="宋体" w:hAnsi="宋体"/>
                <w:szCs w:val="21"/>
              </w:rPr>
            </w:pPr>
            <w:r>
              <w:rPr>
                <w:rFonts w:hint="eastAsia" w:ascii="宋体" w:hAnsi="宋体"/>
                <w:szCs w:val="21"/>
              </w:rPr>
              <w:t>……</w:t>
            </w:r>
          </w:p>
        </w:tc>
        <w:tc>
          <w:tcPr>
            <w:tcW w:w="4188" w:type="dxa"/>
            <w:vAlign w:val="center"/>
          </w:tcPr>
          <w:p>
            <w:pPr>
              <w:wordWrap w:val="0"/>
              <w:snapToGrid w:val="0"/>
              <w:spacing w:line="400" w:lineRule="exact"/>
              <w:jc w:val="center"/>
              <w:rPr>
                <w:rFonts w:ascii="宋体" w:hAnsi="宋体"/>
                <w:szCs w:val="21"/>
              </w:rPr>
            </w:pPr>
          </w:p>
        </w:tc>
        <w:tc>
          <w:tcPr>
            <w:tcW w:w="1843" w:type="dxa"/>
            <w:vAlign w:val="center"/>
          </w:tcPr>
          <w:p>
            <w:pPr>
              <w:wordWrap w:val="0"/>
              <w:snapToGrid w:val="0"/>
              <w:spacing w:line="400" w:lineRule="exact"/>
              <w:jc w:val="center"/>
              <w:rPr>
                <w:rFonts w:ascii="宋体" w:hAnsi="宋体"/>
                <w:szCs w:val="21"/>
              </w:rPr>
            </w:pPr>
          </w:p>
        </w:tc>
        <w:tc>
          <w:tcPr>
            <w:tcW w:w="1134" w:type="dxa"/>
            <w:vAlign w:val="center"/>
          </w:tcPr>
          <w:p>
            <w:pPr>
              <w:wordWrap w:val="0"/>
              <w:snapToGrid w:val="0"/>
              <w:spacing w:line="400" w:lineRule="exact"/>
              <w:jc w:val="center"/>
              <w:rPr>
                <w:rFonts w:ascii="宋体" w:hAnsi="宋体"/>
                <w:szCs w:val="21"/>
              </w:rPr>
            </w:pPr>
          </w:p>
        </w:tc>
        <w:tc>
          <w:tcPr>
            <w:tcW w:w="1406" w:type="dxa"/>
            <w:vAlign w:val="center"/>
          </w:tcPr>
          <w:p>
            <w:pPr>
              <w:wordWrap w:val="0"/>
              <w:snapToGrid w:val="0"/>
              <w:spacing w:line="400" w:lineRule="exact"/>
              <w:jc w:val="center"/>
              <w:rPr>
                <w:rFonts w:ascii="宋体" w:hAnsi="宋体"/>
                <w:szCs w:val="21"/>
              </w:rPr>
            </w:pPr>
          </w:p>
        </w:tc>
      </w:tr>
    </w:tbl>
    <w:p>
      <w:pPr>
        <w:wordWrap w:val="0"/>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autoSpaceDE w:val="0"/>
        <w:autoSpaceDN w:val="0"/>
        <w:spacing w:line="400" w:lineRule="exact"/>
        <w:jc w:val="center"/>
        <w:outlineLvl w:val="0"/>
        <w:rPr>
          <w:rFonts w:ascii="宋体" w:hAnsi="宋体"/>
          <w:szCs w:val="21"/>
        </w:rPr>
      </w:pPr>
      <w:bookmarkStart w:id="88" w:name="_Toc21541032"/>
      <w:bookmarkStart w:id="89" w:name="_Toc44162162"/>
      <w:bookmarkStart w:id="90" w:name="_Toc14922"/>
    </w:p>
    <w:p>
      <w:pPr>
        <w:pStyle w:val="47"/>
        <w:wordWrap w:val="0"/>
        <w:spacing w:line="400" w:lineRule="exact"/>
        <w:ind w:firstLine="0"/>
        <w:rPr>
          <w:rFonts w:ascii="宋体" w:hAnsi="宋体" w:eastAsia="宋体"/>
          <w:sz w:val="21"/>
          <w:szCs w:val="21"/>
          <w:u w:val="single"/>
        </w:rPr>
        <w:sectPr>
          <w:headerReference r:id="rId15" w:type="default"/>
          <w:footerReference r:id="rId16" w:type="default"/>
          <w:pgSz w:w="11907" w:h="16840"/>
          <w:pgMar w:top="1138" w:right="1588" w:bottom="1423" w:left="1339" w:header="285" w:footer="990" w:gutter="0"/>
          <w:cols w:space="720" w:num="1"/>
          <w:docGrid w:linePitch="286" w:charSpace="0"/>
        </w:sectPr>
      </w:pPr>
    </w:p>
    <w:p>
      <w:pPr>
        <w:wordWrap w:val="0"/>
        <w:spacing w:line="360" w:lineRule="auto"/>
        <w:ind w:firstLine="422" w:firstLineChars="200"/>
        <w:jc w:val="center"/>
        <w:rPr>
          <w:rFonts w:ascii="宋体" w:hAnsi="宋体"/>
          <w:b/>
          <w:szCs w:val="21"/>
        </w:rPr>
      </w:pPr>
      <w:r>
        <w:rPr>
          <w:rFonts w:ascii="宋体" w:hAnsi="宋体"/>
          <w:b/>
          <w:szCs w:val="21"/>
        </w:rPr>
        <w:t>C</w:t>
      </w:r>
      <w:r>
        <w:rPr>
          <w:rFonts w:hint="eastAsia" w:ascii="宋体" w:hAnsi="宋体"/>
          <w:b/>
          <w:szCs w:val="21"/>
        </w:rPr>
        <w:t>2分项报价表</w:t>
      </w:r>
    </w:p>
    <w:p>
      <w:pPr>
        <w:pStyle w:val="47"/>
        <w:wordWrap w:val="0"/>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宁波职业技术学院绿色智能供配电实训基地建设项目</w:t>
      </w:r>
    </w:p>
    <w:p>
      <w:pPr>
        <w:pStyle w:val="47"/>
        <w:wordWrap w:val="0"/>
        <w:spacing w:after="240" w:line="400" w:lineRule="exact"/>
        <w:ind w:firstLine="0"/>
        <w:rPr>
          <w:rFonts w:ascii="宋体" w:hAnsi="宋体" w:eastAsia="宋体"/>
          <w:sz w:val="21"/>
          <w:szCs w:val="21"/>
        </w:rPr>
      </w:pPr>
      <w:r>
        <w:rPr>
          <w:rFonts w:hint="eastAsia" w:ascii="宋体" w:hAnsi="宋体" w:eastAsia="宋体"/>
          <w:sz w:val="21"/>
          <w:szCs w:val="21"/>
        </w:rPr>
        <w:t>采购编号：</w:t>
      </w:r>
      <w:r>
        <w:rPr>
          <w:rFonts w:hint="eastAsia" w:ascii="宋体" w:hAnsi="宋体" w:eastAsia="宋体"/>
          <w:sz w:val="21"/>
          <w:szCs w:val="21"/>
          <w:u w:val="single"/>
        </w:rPr>
        <w:t>ZJZC-233184</w:t>
      </w:r>
    </w:p>
    <w:tbl>
      <w:tblPr>
        <w:tblStyle w:val="12"/>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1701"/>
        <w:gridCol w:w="709"/>
        <w:gridCol w:w="851"/>
        <w:gridCol w:w="1417"/>
        <w:gridCol w:w="1417"/>
        <w:gridCol w:w="992"/>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b/>
              </w:rPr>
            </w:pPr>
            <w:r>
              <w:rPr>
                <w:rFonts w:hint="eastAsia"/>
                <w:b/>
              </w:rPr>
              <w:t>序号</w:t>
            </w:r>
          </w:p>
        </w:tc>
        <w:tc>
          <w:tcPr>
            <w:tcW w:w="1701" w:type="dxa"/>
            <w:vAlign w:val="center"/>
          </w:tcPr>
          <w:p>
            <w:pPr>
              <w:wordWrap w:val="0"/>
              <w:jc w:val="center"/>
              <w:rPr>
                <w:b/>
              </w:rPr>
            </w:pPr>
            <w:r>
              <w:rPr>
                <w:rFonts w:hint="eastAsia"/>
                <w:b/>
              </w:rPr>
              <w:t>产品名称</w:t>
            </w:r>
          </w:p>
        </w:tc>
        <w:tc>
          <w:tcPr>
            <w:tcW w:w="1701" w:type="dxa"/>
            <w:vAlign w:val="center"/>
          </w:tcPr>
          <w:p>
            <w:pPr>
              <w:wordWrap w:val="0"/>
              <w:jc w:val="center"/>
              <w:rPr>
                <w:b/>
              </w:rPr>
            </w:pPr>
            <w:r>
              <w:rPr>
                <w:rFonts w:hint="eastAsia"/>
                <w:b/>
              </w:rPr>
              <w:t>规格、型号</w:t>
            </w:r>
          </w:p>
        </w:tc>
        <w:tc>
          <w:tcPr>
            <w:tcW w:w="709" w:type="dxa"/>
            <w:vAlign w:val="center"/>
          </w:tcPr>
          <w:p>
            <w:pPr>
              <w:wordWrap w:val="0"/>
              <w:jc w:val="center"/>
              <w:rPr>
                <w:b/>
              </w:rPr>
            </w:pPr>
            <w:r>
              <w:rPr>
                <w:rFonts w:hint="eastAsia"/>
                <w:b/>
              </w:rPr>
              <w:t>数量</w:t>
            </w:r>
          </w:p>
        </w:tc>
        <w:tc>
          <w:tcPr>
            <w:tcW w:w="851" w:type="dxa"/>
            <w:vAlign w:val="center"/>
          </w:tcPr>
          <w:p>
            <w:pPr>
              <w:wordWrap w:val="0"/>
              <w:jc w:val="center"/>
              <w:rPr>
                <w:b/>
              </w:rPr>
            </w:pPr>
            <w:r>
              <w:rPr>
                <w:rFonts w:hint="eastAsia"/>
                <w:b/>
              </w:rPr>
              <w:t>单位</w:t>
            </w:r>
          </w:p>
        </w:tc>
        <w:tc>
          <w:tcPr>
            <w:tcW w:w="1417" w:type="dxa"/>
            <w:vAlign w:val="center"/>
          </w:tcPr>
          <w:p>
            <w:pPr>
              <w:wordWrap w:val="0"/>
              <w:jc w:val="center"/>
              <w:rPr>
                <w:b/>
              </w:rPr>
            </w:pPr>
            <w:r>
              <w:rPr>
                <w:rFonts w:hint="eastAsia"/>
                <w:b/>
              </w:rPr>
              <w:t>产地品牌</w:t>
            </w:r>
          </w:p>
        </w:tc>
        <w:tc>
          <w:tcPr>
            <w:tcW w:w="1417" w:type="dxa"/>
            <w:vAlign w:val="center"/>
          </w:tcPr>
          <w:p>
            <w:pPr>
              <w:wordWrap w:val="0"/>
              <w:jc w:val="center"/>
              <w:rPr>
                <w:b/>
              </w:rPr>
            </w:pPr>
            <w:r>
              <w:rPr>
                <w:rFonts w:hint="eastAsia"/>
                <w:b/>
              </w:rPr>
              <w:t>综合单价</w:t>
            </w:r>
          </w:p>
        </w:tc>
        <w:tc>
          <w:tcPr>
            <w:tcW w:w="992" w:type="dxa"/>
            <w:vAlign w:val="center"/>
          </w:tcPr>
          <w:p>
            <w:pPr>
              <w:wordWrap w:val="0"/>
              <w:jc w:val="center"/>
              <w:rPr>
                <w:b/>
              </w:rPr>
            </w:pPr>
            <w:r>
              <w:rPr>
                <w:rFonts w:hint="eastAsia"/>
                <w:b/>
              </w:rPr>
              <w:t>合价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b/>
              </w:rPr>
            </w:pPr>
            <w:r>
              <w:rPr>
                <w:rFonts w:hint="eastAsia"/>
                <w:b/>
              </w:rPr>
              <w:t>一</w:t>
            </w:r>
          </w:p>
        </w:tc>
        <w:tc>
          <w:tcPr>
            <w:tcW w:w="1701" w:type="dxa"/>
            <w:vAlign w:val="center"/>
          </w:tcPr>
          <w:p>
            <w:pPr>
              <w:wordWrap w:val="0"/>
              <w:jc w:val="center"/>
              <w:rPr>
                <w:b/>
              </w:rPr>
            </w:pPr>
          </w:p>
        </w:tc>
        <w:tc>
          <w:tcPr>
            <w:tcW w:w="1701" w:type="dxa"/>
            <w:vAlign w:val="center"/>
          </w:tcPr>
          <w:p>
            <w:pPr>
              <w:wordWrap w:val="0"/>
              <w:jc w:val="center"/>
              <w:rPr>
                <w:b/>
              </w:rPr>
            </w:pPr>
          </w:p>
        </w:tc>
        <w:tc>
          <w:tcPr>
            <w:tcW w:w="709" w:type="dxa"/>
            <w:vAlign w:val="center"/>
          </w:tcPr>
          <w:p>
            <w:pPr>
              <w:wordWrap w:val="0"/>
              <w:jc w:val="center"/>
              <w:rPr>
                <w:b/>
              </w:rPr>
            </w:pPr>
          </w:p>
        </w:tc>
        <w:tc>
          <w:tcPr>
            <w:tcW w:w="851" w:type="dxa"/>
            <w:vAlign w:val="center"/>
          </w:tcPr>
          <w:p>
            <w:pPr>
              <w:wordWrap w:val="0"/>
              <w:jc w:val="center"/>
              <w:rPr>
                <w:b/>
              </w:rPr>
            </w:pPr>
          </w:p>
        </w:tc>
        <w:tc>
          <w:tcPr>
            <w:tcW w:w="1417" w:type="dxa"/>
            <w:vAlign w:val="center"/>
          </w:tcPr>
          <w:p>
            <w:pPr>
              <w:wordWrap w:val="0"/>
              <w:jc w:val="center"/>
              <w:rPr>
                <w:b/>
              </w:rPr>
            </w:pPr>
          </w:p>
        </w:tc>
        <w:tc>
          <w:tcPr>
            <w:tcW w:w="1417" w:type="dxa"/>
            <w:vAlign w:val="center"/>
          </w:tcPr>
          <w:p>
            <w:pPr>
              <w:wordWrap w:val="0"/>
              <w:jc w:val="center"/>
              <w:rPr>
                <w:b/>
              </w:rPr>
            </w:pPr>
          </w:p>
        </w:tc>
        <w:tc>
          <w:tcPr>
            <w:tcW w:w="992" w:type="dxa"/>
            <w:vAlign w:val="center"/>
          </w:tcPr>
          <w:p>
            <w:pPr>
              <w:wordWrap w:val="0"/>
              <w:jc w:val="center"/>
              <w:rPr>
                <w:b/>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60" w:lineRule="auto"/>
              <w:jc w:val="center"/>
              <w:rPr>
                <w:rFonts w:ascii="宋体" w:hAnsi="宋体"/>
                <w:bCs/>
                <w:spacing w:val="-6"/>
                <w:kern w:val="0"/>
                <w:szCs w:val="21"/>
                <w:lang w:val="zh-CN"/>
              </w:rPr>
            </w:pPr>
            <w:r>
              <w:rPr>
                <w:rFonts w:hint="eastAsia" w:ascii="宋体" w:hAnsi="宋体"/>
                <w:bCs/>
                <w:spacing w:val="-6"/>
                <w:kern w:val="0"/>
                <w:szCs w:val="21"/>
                <w:lang w:val="zh-CN"/>
              </w:rPr>
              <w:t>1</w:t>
            </w: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709" w:type="dxa"/>
            <w:vAlign w:val="center"/>
          </w:tcPr>
          <w:p>
            <w:pPr>
              <w:widowControl/>
              <w:wordWrap w:val="0"/>
              <w:spacing w:line="360" w:lineRule="auto"/>
              <w:jc w:val="center"/>
              <w:rPr>
                <w:rFonts w:ascii="宋体" w:hAnsi="宋体"/>
                <w:bCs/>
                <w:spacing w:val="-6"/>
                <w:kern w:val="0"/>
                <w:szCs w:val="21"/>
                <w:lang w:val="zh-CN"/>
              </w:rPr>
            </w:pPr>
          </w:p>
        </w:tc>
        <w:tc>
          <w:tcPr>
            <w:tcW w:w="851"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992" w:type="dxa"/>
            <w:vAlign w:val="center"/>
          </w:tcPr>
          <w:p>
            <w:pPr>
              <w:widowControl/>
              <w:wordWrap w:val="0"/>
              <w:spacing w:line="360" w:lineRule="auto"/>
              <w:jc w:val="center"/>
              <w:rPr>
                <w:rFonts w:ascii="宋体" w:hAnsi="宋体"/>
                <w:bCs/>
                <w:spacing w:val="-6"/>
                <w:kern w:val="0"/>
                <w:szCs w:val="21"/>
                <w:lang w:val="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60" w:lineRule="auto"/>
              <w:jc w:val="center"/>
              <w:rPr>
                <w:rFonts w:ascii="宋体" w:hAnsi="宋体"/>
                <w:bCs/>
                <w:spacing w:val="-6"/>
                <w:kern w:val="0"/>
                <w:szCs w:val="21"/>
                <w:lang w:val="zh-CN"/>
              </w:rPr>
            </w:pPr>
            <w:r>
              <w:rPr>
                <w:rFonts w:hint="eastAsia" w:ascii="宋体" w:hAnsi="宋体"/>
                <w:bCs/>
                <w:spacing w:val="-6"/>
                <w:kern w:val="0"/>
                <w:szCs w:val="21"/>
                <w:lang w:val="zh-CN"/>
              </w:rPr>
              <w:t>2</w:t>
            </w: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709" w:type="dxa"/>
            <w:vAlign w:val="center"/>
          </w:tcPr>
          <w:p>
            <w:pPr>
              <w:widowControl/>
              <w:wordWrap w:val="0"/>
              <w:spacing w:line="360" w:lineRule="auto"/>
              <w:jc w:val="center"/>
              <w:rPr>
                <w:rFonts w:ascii="宋体" w:hAnsi="宋体"/>
                <w:bCs/>
                <w:spacing w:val="-6"/>
                <w:kern w:val="0"/>
                <w:szCs w:val="21"/>
                <w:lang w:val="zh-CN"/>
              </w:rPr>
            </w:pPr>
          </w:p>
        </w:tc>
        <w:tc>
          <w:tcPr>
            <w:tcW w:w="851"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992" w:type="dxa"/>
            <w:vAlign w:val="center"/>
          </w:tcPr>
          <w:p>
            <w:pPr>
              <w:widowControl/>
              <w:wordWrap w:val="0"/>
              <w:spacing w:line="360" w:lineRule="auto"/>
              <w:jc w:val="center"/>
              <w:rPr>
                <w:rFonts w:ascii="宋体" w:hAnsi="宋体"/>
                <w:bCs/>
                <w:spacing w:val="-6"/>
                <w:kern w:val="0"/>
                <w:szCs w:val="21"/>
                <w:lang w:val="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rPr>
                <w:rFonts w:ascii="宋体" w:hAnsi="宋体"/>
                <w:bCs/>
                <w:spacing w:val="-6"/>
                <w:kern w:val="0"/>
                <w:szCs w:val="21"/>
                <w:lang w:val="zh-CN"/>
              </w:rPr>
            </w:pPr>
            <w:r>
              <w:rPr>
                <w:rFonts w:hint="eastAsia" w:ascii="宋体" w:hAnsi="宋体"/>
                <w:bCs/>
                <w:spacing w:val="-6"/>
                <w:kern w:val="0"/>
                <w:szCs w:val="21"/>
                <w:lang w:val="zh-CN"/>
              </w:rPr>
              <w:t>3</w:t>
            </w: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709" w:type="dxa"/>
            <w:vAlign w:val="center"/>
          </w:tcPr>
          <w:p>
            <w:pPr>
              <w:widowControl/>
              <w:wordWrap w:val="0"/>
              <w:spacing w:line="360" w:lineRule="auto"/>
              <w:jc w:val="center"/>
              <w:rPr>
                <w:rFonts w:ascii="宋体" w:hAnsi="宋体"/>
                <w:bCs/>
                <w:spacing w:val="-6"/>
                <w:kern w:val="0"/>
                <w:szCs w:val="21"/>
                <w:lang w:val="zh-CN"/>
              </w:rPr>
            </w:pPr>
          </w:p>
        </w:tc>
        <w:tc>
          <w:tcPr>
            <w:tcW w:w="851"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992" w:type="dxa"/>
            <w:vAlign w:val="center"/>
          </w:tcPr>
          <w:p>
            <w:pPr>
              <w:widowControl/>
              <w:wordWrap w:val="0"/>
              <w:spacing w:line="360" w:lineRule="auto"/>
              <w:jc w:val="center"/>
              <w:rPr>
                <w:rFonts w:ascii="宋体" w:hAnsi="宋体"/>
                <w:bCs/>
                <w:spacing w:val="-6"/>
                <w:kern w:val="0"/>
                <w:szCs w:val="21"/>
                <w:lang w:val="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rPr>
                <w:rFonts w:ascii="宋体" w:hAnsi="宋体"/>
                <w:bCs/>
                <w:spacing w:val="-6"/>
                <w:kern w:val="0"/>
                <w:szCs w:val="21"/>
                <w:lang w:val="zh-CN"/>
              </w:rPr>
            </w:pPr>
            <w:r>
              <w:rPr>
                <w:rFonts w:ascii="宋体" w:hAnsi="宋体"/>
                <w:bCs/>
                <w:spacing w:val="-6"/>
                <w:kern w:val="0"/>
                <w:szCs w:val="21"/>
                <w:lang w:val="zh-CN"/>
              </w:rPr>
              <w:t>…</w:t>
            </w: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709" w:type="dxa"/>
            <w:vAlign w:val="center"/>
          </w:tcPr>
          <w:p>
            <w:pPr>
              <w:widowControl/>
              <w:wordWrap w:val="0"/>
              <w:spacing w:line="360" w:lineRule="auto"/>
              <w:jc w:val="center"/>
              <w:rPr>
                <w:rFonts w:ascii="宋体" w:hAnsi="宋体"/>
                <w:bCs/>
                <w:spacing w:val="-6"/>
                <w:kern w:val="0"/>
                <w:szCs w:val="21"/>
                <w:lang w:val="zh-CN"/>
              </w:rPr>
            </w:pPr>
          </w:p>
        </w:tc>
        <w:tc>
          <w:tcPr>
            <w:tcW w:w="851"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992" w:type="dxa"/>
            <w:vAlign w:val="center"/>
          </w:tcPr>
          <w:p>
            <w:pPr>
              <w:widowControl/>
              <w:wordWrap w:val="0"/>
              <w:spacing w:line="360" w:lineRule="auto"/>
              <w:jc w:val="center"/>
              <w:rPr>
                <w:rFonts w:ascii="宋体" w:hAnsi="宋体"/>
                <w:bCs/>
                <w:spacing w:val="-6"/>
                <w:kern w:val="0"/>
                <w:szCs w:val="21"/>
                <w:lang w:val="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rPr>
                <w:rFonts w:ascii="宋体" w:hAnsi="宋体"/>
                <w:bCs/>
                <w:spacing w:val="-6"/>
                <w:kern w:val="0"/>
                <w:szCs w:val="21"/>
                <w:lang w:val="zh-CN"/>
              </w:rPr>
            </w:pPr>
            <w:r>
              <w:rPr>
                <w:rFonts w:hint="eastAsia" w:ascii="宋体" w:hAnsi="宋体"/>
                <w:bCs/>
                <w:spacing w:val="-6"/>
                <w:kern w:val="0"/>
                <w:szCs w:val="21"/>
                <w:lang w:val="zh-CN"/>
              </w:rPr>
              <w:t>二</w:t>
            </w: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709" w:type="dxa"/>
            <w:vAlign w:val="center"/>
          </w:tcPr>
          <w:p>
            <w:pPr>
              <w:widowControl/>
              <w:wordWrap w:val="0"/>
              <w:spacing w:line="360" w:lineRule="auto"/>
              <w:jc w:val="center"/>
              <w:rPr>
                <w:rFonts w:ascii="宋体" w:hAnsi="宋体"/>
                <w:bCs/>
                <w:spacing w:val="-6"/>
                <w:kern w:val="0"/>
                <w:szCs w:val="21"/>
                <w:lang w:val="zh-CN"/>
              </w:rPr>
            </w:pPr>
          </w:p>
        </w:tc>
        <w:tc>
          <w:tcPr>
            <w:tcW w:w="851"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992" w:type="dxa"/>
            <w:vAlign w:val="center"/>
          </w:tcPr>
          <w:p>
            <w:pPr>
              <w:widowControl/>
              <w:wordWrap w:val="0"/>
              <w:spacing w:line="360" w:lineRule="auto"/>
              <w:jc w:val="center"/>
              <w:rPr>
                <w:rFonts w:ascii="宋体" w:hAnsi="宋体"/>
                <w:bCs/>
                <w:spacing w:val="-6"/>
                <w:kern w:val="0"/>
                <w:szCs w:val="21"/>
                <w:lang w:val="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rPr>
                <w:rFonts w:ascii="宋体" w:hAnsi="宋体"/>
                <w:bCs/>
                <w:spacing w:val="-6"/>
                <w:kern w:val="0"/>
                <w:szCs w:val="21"/>
                <w:lang w:val="zh-CN"/>
              </w:rPr>
            </w:pPr>
            <w:r>
              <w:rPr>
                <w:rFonts w:hint="eastAsia" w:ascii="宋体" w:hAnsi="宋体"/>
                <w:bCs/>
                <w:spacing w:val="-6"/>
                <w:kern w:val="0"/>
                <w:szCs w:val="21"/>
                <w:lang w:val="zh-CN"/>
              </w:rPr>
              <w:t>1</w:t>
            </w: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709" w:type="dxa"/>
            <w:vAlign w:val="center"/>
          </w:tcPr>
          <w:p>
            <w:pPr>
              <w:widowControl/>
              <w:wordWrap w:val="0"/>
              <w:spacing w:line="360" w:lineRule="auto"/>
              <w:jc w:val="center"/>
              <w:rPr>
                <w:rFonts w:ascii="宋体" w:hAnsi="宋体"/>
                <w:bCs/>
                <w:spacing w:val="-6"/>
                <w:kern w:val="0"/>
                <w:szCs w:val="21"/>
                <w:lang w:val="zh-CN"/>
              </w:rPr>
            </w:pPr>
          </w:p>
        </w:tc>
        <w:tc>
          <w:tcPr>
            <w:tcW w:w="851"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992" w:type="dxa"/>
            <w:vAlign w:val="center"/>
          </w:tcPr>
          <w:p>
            <w:pPr>
              <w:widowControl/>
              <w:wordWrap w:val="0"/>
              <w:spacing w:line="360" w:lineRule="auto"/>
              <w:jc w:val="center"/>
              <w:rPr>
                <w:rFonts w:ascii="宋体" w:hAnsi="宋体"/>
                <w:bCs/>
                <w:spacing w:val="-6"/>
                <w:kern w:val="0"/>
                <w:szCs w:val="21"/>
                <w:lang w:val="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rPr>
                <w:rFonts w:ascii="宋体" w:hAnsi="宋体"/>
                <w:bCs/>
                <w:spacing w:val="-6"/>
                <w:kern w:val="0"/>
                <w:szCs w:val="21"/>
                <w:lang w:val="zh-CN"/>
              </w:rPr>
            </w:pPr>
            <w:r>
              <w:rPr>
                <w:rFonts w:hint="eastAsia" w:ascii="宋体" w:hAnsi="宋体"/>
                <w:bCs/>
                <w:spacing w:val="-6"/>
                <w:kern w:val="0"/>
                <w:szCs w:val="21"/>
                <w:lang w:val="zh-CN"/>
              </w:rPr>
              <w:t>2</w:t>
            </w: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709" w:type="dxa"/>
            <w:vAlign w:val="center"/>
          </w:tcPr>
          <w:p>
            <w:pPr>
              <w:widowControl/>
              <w:wordWrap w:val="0"/>
              <w:spacing w:line="360" w:lineRule="auto"/>
              <w:jc w:val="center"/>
              <w:rPr>
                <w:rFonts w:ascii="宋体" w:hAnsi="宋体"/>
                <w:bCs/>
                <w:spacing w:val="-6"/>
                <w:kern w:val="0"/>
                <w:szCs w:val="21"/>
                <w:lang w:val="zh-CN"/>
              </w:rPr>
            </w:pPr>
          </w:p>
        </w:tc>
        <w:tc>
          <w:tcPr>
            <w:tcW w:w="851"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992" w:type="dxa"/>
            <w:vAlign w:val="center"/>
          </w:tcPr>
          <w:p>
            <w:pPr>
              <w:widowControl/>
              <w:wordWrap w:val="0"/>
              <w:spacing w:line="360" w:lineRule="auto"/>
              <w:jc w:val="center"/>
              <w:rPr>
                <w:rFonts w:ascii="宋体" w:hAnsi="宋体"/>
                <w:bCs/>
                <w:spacing w:val="-6"/>
                <w:kern w:val="0"/>
                <w:szCs w:val="21"/>
                <w:lang w:val="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rPr>
                <w:rFonts w:ascii="宋体" w:hAnsi="宋体"/>
                <w:bCs/>
                <w:spacing w:val="-6"/>
                <w:kern w:val="0"/>
                <w:szCs w:val="21"/>
                <w:lang w:val="zh-CN"/>
              </w:rPr>
            </w:pPr>
            <w:r>
              <w:rPr>
                <w:rFonts w:hint="eastAsia" w:ascii="宋体" w:hAnsi="宋体"/>
                <w:bCs/>
                <w:spacing w:val="-6"/>
                <w:kern w:val="0"/>
                <w:szCs w:val="21"/>
                <w:lang w:val="zh-CN"/>
              </w:rPr>
              <w:t>3</w:t>
            </w: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709" w:type="dxa"/>
            <w:vAlign w:val="center"/>
          </w:tcPr>
          <w:p>
            <w:pPr>
              <w:widowControl/>
              <w:wordWrap w:val="0"/>
              <w:spacing w:line="360" w:lineRule="auto"/>
              <w:jc w:val="center"/>
              <w:rPr>
                <w:rFonts w:ascii="宋体" w:hAnsi="宋体"/>
                <w:bCs/>
                <w:spacing w:val="-6"/>
                <w:kern w:val="0"/>
                <w:szCs w:val="21"/>
                <w:lang w:val="zh-CN"/>
              </w:rPr>
            </w:pPr>
          </w:p>
        </w:tc>
        <w:tc>
          <w:tcPr>
            <w:tcW w:w="851"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992" w:type="dxa"/>
            <w:vAlign w:val="center"/>
          </w:tcPr>
          <w:p>
            <w:pPr>
              <w:widowControl/>
              <w:wordWrap w:val="0"/>
              <w:spacing w:line="360" w:lineRule="auto"/>
              <w:jc w:val="center"/>
              <w:rPr>
                <w:rFonts w:ascii="宋体" w:hAnsi="宋体"/>
                <w:bCs/>
                <w:spacing w:val="-6"/>
                <w:kern w:val="0"/>
                <w:szCs w:val="21"/>
                <w:lang w:val="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rPr>
                <w:rFonts w:ascii="宋体" w:hAnsi="宋体"/>
                <w:bCs/>
                <w:spacing w:val="-6"/>
                <w:kern w:val="0"/>
                <w:szCs w:val="21"/>
                <w:lang w:val="zh-CN"/>
              </w:rPr>
            </w:pPr>
            <w:r>
              <w:rPr>
                <w:rFonts w:ascii="宋体" w:hAnsi="宋体"/>
                <w:bCs/>
                <w:spacing w:val="-6"/>
                <w:kern w:val="0"/>
                <w:szCs w:val="21"/>
                <w:lang w:val="zh-CN"/>
              </w:rPr>
              <w:t>…</w:t>
            </w: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1701" w:type="dxa"/>
            <w:vAlign w:val="center"/>
          </w:tcPr>
          <w:p>
            <w:pPr>
              <w:widowControl/>
              <w:wordWrap w:val="0"/>
              <w:spacing w:line="360" w:lineRule="auto"/>
              <w:jc w:val="center"/>
              <w:rPr>
                <w:rFonts w:ascii="宋体" w:hAnsi="宋体"/>
                <w:bCs/>
                <w:spacing w:val="-6"/>
                <w:kern w:val="0"/>
                <w:szCs w:val="21"/>
                <w:lang w:val="zh-CN"/>
              </w:rPr>
            </w:pPr>
          </w:p>
        </w:tc>
        <w:tc>
          <w:tcPr>
            <w:tcW w:w="709" w:type="dxa"/>
            <w:vAlign w:val="center"/>
          </w:tcPr>
          <w:p>
            <w:pPr>
              <w:widowControl/>
              <w:wordWrap w:val="0"/>
              <w:spacing w:line="360" w:lineRule="auto"/>
              <w:jc w:val="center"/>
              <w:rPr>
                <w:rFonts w:ascii="宋体" w:hAnsi="宋体"/>
                <w:bCs/>
                <w:spacing w:val="-6"/>
                <w:kern w:val="0"/>
                <w:szCs w:val="21"/>
                <w:lang w:val="zh-CN"/>
              </w:rPr>
            </w:pPr>
          </w:p>
        </w:tc>
        <w:tc>
          <w:tcPr>
            <w:tcW w:w="851"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1417" w:type="dxa"/>
            <w:vAlign w:val="center"/>
          </w:tcPr>
          <w:p>
            <w:pPr>
              <w:widowControl/>
              <w:wordWrap w:val="0"/>
              <w:spacing w:line="360" w:lineRule="auto"/>
              <w:jc w:val="center"/>
              <w:rPr>
                <w:rFonts w:ascii="宋体" w:hAnsi="宋体"/>
                <w:bCs/>
                <w:spacing w:val="-6"/>
                <w:kern w:val="0"/>
                <w:szCs w:val="21"/>
                <w:lang w:val="zh-CN"/>
              </w:rPr>
            </w:pPr>
          </w:p>
        </w:tc>
        <w:tc>
          <w:tcPr>
            <w:tcW w:w="992" w:type="dxa"/>
            <w:vAlign w:val="center"/>
          </w:tcPr>
          <w:p>
            <w:pPr>
              <w:widowControl/>
              <w:wordWrap w:val="0"/>
              <w:spacing w:line="360" w:lineRule="auto"/>
              <w:jc w:val="center"/>
              <w:rPr>
                <w:rFonts w:ascii="宋体" w:hAnsi="宋体"/>
                <w:bCs/>
                <w:spacing w:val="-6"/>
                <w:kern w:val="0"/>
                <w:szCs w:val="21"/>
                <w:lang w:val="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9639" w:type="dxa"/>
            <w:gridSpan w:val="8"/>
            <w:vAlign w:val="center"/>
          </w:tcPr>
          <w:p>
            <w:pPr>
              <w:widowControl/>
              <w:wordWrap w:val="0"/>
              <w:spacing w:line="360" w:lineRule="auto"/>
              <w:jc w:val="left"/>
              <w:rPr>
                <w:rFonts w:ascii="宋体" w:hAnsi="宋体"/>
                <w:szCs w:val="21"/>
              </w:rPr>
            </w:pPr>
            <w:r>
              <w:rPr>
                <w:rFonts w:hint="eastAsia" w:ascii="宋体" w:hAnsi="宋体"/>
                <w:szCs w:val="21"/>
              </w:rPr>
              <w:t>合计（大写 人民币          元</w:t>
            </w:r>
            <w:r>
              <w:rPr>
                <w:rFonts w:ascii="宋体" w:hAnsi="宋体"/>
                <w:szCs w:val="21"/>
              </w:rPr>
              <w:t>，</w:t>
            </w:r>
            <w:r>
              <w:rPr>
                <w:rFonts w:hint="eastAsia" w:ascii="宋体" w:hAnsi="宋体"/>
                <w:szCs w:val="21"/>
              </w:rPr>
              <w:t>小写：人民币        元）：</w:t>
            </w:r>
          </w:p>
        </w:tc>
      </w:tr>
    </w:tbl>
    <w:p>
      <w:pPr>
        <w:wordWrap w:val="0"/>
        <w:spacing w:line="400" w:lineRule="atLeast"/>
        <w:jc w:val="left"/>
        <w:rPr>
          <w:rFonts w:ascii="宋体" w:hAnsi="宋体"/>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pStyle w:val="47"/>
        <w:wordWrap w:val="0"/>
        <w:spacing w:line="400" w:lineRule="exact"/>
        <w:ind w:firstLine="0"/>
        <w:rPr>
          <w:rFonts w:ascii="宋体" w:hAnsi="宋体" w:eastAsia="宋体"/>
          <w:sz w:val="21"/>
          <w:szCs w:val="21"/>
          <w:u w:val="single"/>
        </w:rPr>
      </w:pPr>
    </w:p>
    <w:bookmarkEnd w:id="88"/>
    <w:bookmarkEnd w:id="89"/>
    <w:bookmarkEnd w:id="90"/>
    <w:p>
      <w:pPr>
        <w:wordWrap w:val="0"/>
        <w:autoSpaceDE w:val="0"/>
        <w:autoSpaceDN w:val="0"/>
        <w:spacing w:line="400" w:lineRule="exact"/>
        <w:jc w:val="center"/>
        <w:outlineLvl w:val="0"/>
        <w:rPr>
          <w:rFonts w:ascii="宋体" w:hAnsi="宋体"/>
          <w:b/>
          <w:szCs w:val="21"/>
        </w:rPr>
      </w:pPr>
      <w:bookmarkStart w:id="91" w:name="_Toc69399601"/>
      <w:bookmarkEnd w:id="91"/>
      <w:r>
        <w:rPr>
          <w:rFonts w:ascii="宋体" w:hAnsi="宋体"/>
          <w:b/>
          <w:szCs w:val="21"/>
        </w:rPr>
        <w:br w:type="page"/>
      </w:r>
      <w:bookmarkStart w:id="92" w:name="_Toc8340"/>
      <w:r>
        <w:rPr>
          <w:rFonts w:ascii="宋体" w:hAnsi="宋体"/>
          <w:b/>
          <w:szCs w:val="21"/>
        </w:rPr>
        <w:t>C</w:t>
      </w:r>
      <w:r>
        <w:rPr>
          <w:rFonts w:hint="eastAsia" w:ascii="宋体" w:hAnsi="宋体"/>
          <w:b/>
          <w:szCs w:val="21"/>
        </w:rPr>
        <w:t>3中小企业声明函</w:t>
      </w:r>
      <w:bookmarkEnd w:id="92"/>
    </w:p>
    <w:p>
      <w:pPr>
        <w:wordWrap w:val="0"/>
        <w:spacing w:line="400" w:lineRule="exact"/>
        <w:rPr>
          <w:rFonts w:ascii="宋体" w:hAnsi="宋体"/>
          <w:b/>
          <w:szCs w:val="21"/>
        </w:rPr>
      </w:pPr>
    </w:p>
    <w:p>
      <w:pPr>
        <w:pStyle w:val="78"/>
        <w:wordWrap w:val="0"/>
        <w:spacing w:line="360" w:lineRule="auto"/>
        <w:ind w:firstLine="420" w:firstLineChars="200"/>
        <w:rPr>
          <w:sz w:val="21"/>
          <w:szCs w:val="21"/>
        </w:rPr>
      </w:pPr>
      <w:r>
        <w:rPr>
          <w:sz w:val="21"/>
          <w:szCs w:val="21"/>
        </w:rPr>
        <w:t>本公司（联合体）郑重声明，根据《政府采购促进中小企业发展管理办法》（财库﹝2020﹞46号）</w:t>
      </w:r>
      <w:r>
        <w:rPr>
          <w:rFonts w:hint="eastAsia"/>
          <w:sz w:val="21"/>
          <w:szCs w:val="21"/>
        </w:rPr>
        <w:t>、《浙江省财政厅关于进一步发挥政府采购政策功能全力推动经济稳进提质的通知》（浙财采监（2022）3号）</w:t>
      </w:r>
      <w:r>
        <w:rPr>
          <w:sz w:val="21"/>
          <w:szCs w:val="21"/>
        </w:rPr>
        <w:t>的规定，本公司（联合体）参加</w:t>
      </w:r>
      <w:r>
        <w:rPr>
          <w:rStyle w:val="89"/>
          <w:rFonts w:hint="eastAsia"/>
          <w:i w:val="0"/>
          <w:sz w:val="21"/>
          <w:szCs w:val="21"/>
          <w:u w:val="single"/>
        </w:rPr>
        <w:t>宁波职业技术学院</w:t>
      </w:r>
      <w:r>
        <w:rPr>
          <w:rFonts w:hint="eastAsia"/>
          <w:iCs/>
          <w:sz w:val="21"/>
          <w:szCs w:val="21"/>
        </w:rPr>
        <w:t>的</w:t>
      </w:r>
      <w:r>
        <w:rPr>
          <w:rStyle w:val="89"/>
          <w:rFonts w:hint="eastAsia"/>
          <w:i w:val="0"/>
          <w:sz w:val="21"/>
          <w:szCs w:val="21"/>
          <w:u w:val="single"/>
        </w:rPr>
        <w:t>宁波职业技术学院绿色智能供配电实训基地建设项目的</w:t>
      </w:r>
      <w:r>
        <w:rPr>
          <w:sz w:val="21"/>
          <w:szCs w:val="21"/>
        </w:rPr>
        <w:t>采购活动，提供的货物全部由符合政策要求的中小企业制造。相关企业（含联合体中的中小企业、签订分包意向协议的中小企业）的具体情况如下：</w:t>
      </w:r>
    </w:p>
    <w:p>
      <w:pPr>
        <w:pStyle w:val="78"/>
        <w:wordWrap w:val="0"/>
        <w:spacing w:line="240" w:lineRule="auto"/>
        <w:ind w:firstLine="420" w:firstLineChars="200"/>
        <w:rPr>
          <w:sz w:val="21"/>
          <w:szCs w:val="21"/>
          <w:u w:val="single"/>
        </w:rPr>
      </w:pPr>
      <w:r>
        <w:rPr>
          <w:rFonts w:hint="eastAsia"/>
          <w:sz w:val="21"/>
          <w:szCs w:val="21"/>
          <w:u w:val="single"/>
        </w:rPr>
        <w:t>1.绿色能源核心架构系统</w:t>
      </w:r>
      <w:r>
        <w:rPr>
          <w:sz w:val="21"/>
          <w:szCs w:val="21"/>
        </w:rPr>
        <w:t>，属于</w:t>
      </w:r>
      <w:r>
        <w:rPr>
          <w:rFonts w:hint="eastAsia"/>
          <w:sz w:val="21"/>
          <w:szCs w:val="21"/>
          <w:u w:val="single"/>
        </w:rPr>
        <w:t>工业</w:t>
      </w:r>
      <w:r>
        <w:rPr>
          <w:sz w:val="21"/>
          <w:szCs w:val="21"/>
        </w:rPr>
        <w:t>行业；制造商为</w:t>
      </w:r>
      <w:r>
        <w:rPr>
          <w:rStyle w:val="89"/>
          <w:sz w:val="21"/>
          <w:szCs w:val="21"/>
          <w:u w:val="single"/>
        </w:rPr>
        <w:t>（企业名称）</w:t>
      </w:r>
      <w:r>
        <w:rPr>
          <w:sz w:val="21"/>
          <w:szCs w:val="21"/>
        </w:rPr>
        <w:t>，从业人员</w:t>
      </w:r>
      <w:r>
        <w:rPr>
          <w:rFonts w:hint="eastAsia"/>
          <w:sz w:val="21"/>
          <w:szCs w:val="21"/>
          <w:u w:val="single"/>
        </w:rPr>
        <w:t xml:space="preserve">   </w:t>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rStyle w:val="89"/>
          <w:sz w:val="21"/>
          <w:szCs w:val="21"/>
          <w:u w:val="single"/>
        </w:rPr>
        <w:t>（中型企业、小型企业、微型企业）</w:t>
      </w:r>
      <w:r>
        <w:rPr>
          <w:sz w:val="21"/>
          <w:szCs w:val="21"/>
        </w:rPr>
        <w:t>；</w:t>
      </w:r>
    </w:p>
    <w:p>
      <w:pPr>
        <w:pStyle w:val="78"/>
        <w:wordWrap w:val="0"/>
        <w:spacing w:line="240" w:lineRule="auto"/>
        <w:ind w:firstLine="420" w:firstLineChars="200"/>
        <w:rPr>
          <w:sz w:val="21"/>
          <w:szCs w:val="21"/>
          <w:u w:val="single"/>
        </w:rPr>
      </w:pPr>
      <w:r>
        <w:rPr>
          <w:rFonts w:hint="eastAsia"/>
          <w:sz w:val="21"/>
          <w:szCs w:val="21"/>
          <w:u w:val="single"/>
        </w:rPr>
        <w:t>2.智能微电网</w:t>
      </w:r>
      <w:r>
        <w:rPr>
          <w:sz w:val="21"/>
          <w:szCs w:val="21"/>
        </w:rPr>
        <w:t>，属于</w:t>
      </w:r>
      <w:r>
        <w:rPr>
          <w:rFonts w:hint="eastAsia"/>
          <w:sz w:val="21"/>
          <w:szCs w:val="21"/>
          <w:u w:val="single"/>
        </w:rPr>
        <w:t>工业</w:t>
      </w:r>
      <w:r>
        <w:rPr>
          <w:sz w:val="21"/>
          <w:szCs w:val="21"/>
        </w:rPr>
        <w:t>行业；制造商为</w:t>
      </w:r>
      <w:r>
        <w:rPr>
          <w:rStyle w:val="89"/>
          <w:sz w:val="21"/>
          <w:szCs w:val="21"/>
          <w:u w:val="single"/>
        </w:rPr>
        <w:t>（企业名称）</w:t>
      </w:r>
      <w:r>
        <w:rPr>
          <w:sz w:val="21"/>
          <w:szCs w:val="21"/>
        </w:rPr>
        <w:t>，从业人员</w:t>
      </w:r>
      <w:r>
        <w:rPr>
          <w:rFonts w:hint="eastAsia"/>
          <w:sz w:val="21"/>
          <w:szCs w:val="21"/>
          <w:u w:val="single"/>
        </w:rPr>
        <w:t xml:space="preserve">  </w:t>
      </w:r>
      <w:bookmarkStart w:id="102" w:name="_GoBack"/>
      <w:bookmarkEnd w:id="102"/>
      <w:r>
        <w:rPr>
          <w:rFonts w:hint="eastAsia"/>
          <w:sz w:val="21"/>
          <w:szCs w:val="21"/>
          <w:u w:val="single"/>
        </w:rPr>
        <w:t xml:space="preserve"> </w:t>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rStyle w:val="89"/>
          <w:sz w:val="21"/>
          <w:szCs w:val="21"/>
          <w:u w:val="single"/>
        </w:rPr>
        <w:t>（中型企业、小型企业、微型企业）</w:t>
      </w:r>
      <w:r>
        <w:rPr>
          <w:sz w:val="21"/>
          <w:szCs w:val="21"/>
        </w:rPr>
        <w:t>；</w:t>
      </w:r>
    </w:p>
    <w:p>
      <w:pPr>
        <w:pStyle w:val="78"/>
        <w:wordWrap w:val="0"/>
        <w:spacing w:line="240" w:lineRule="auto"/>
        <w:ind w:firstLine="420" w:firstLineChars="200"/>
        <w:rPr>
          <w:sz w:val="21"/>
          <w:szCs w:val="21"/>
          <w:u w:val="single"/>
        </w:rPr>
      </w:pPr>
      <w:r>
        <w:rPr>
          <w:rFonts w:hint="eastAsia"/>
          <w:sz w:val="21"/>
          <w:szCs w:val="21"/>
          <w:u w:val="single"/>
        </w:rPr>
        <w:t>3.智能配电柜运行及操作实训系统-智能中压柜</w:t>
      </w:r>
      <w:r>
        <w:rPr>
          <w:sz w:val="21"/>
          <w:szCs w:val="21"/>
        </w:rPr>
        <w:t>，属于</w:t>
      </w:r>
      <w:r>
        <w:rPr>
          <w:rFonts w:hint="eastAsia"/>
          <w:sz w:val="21"/>
          <w:szCs w:val="21"/>
          <w:u w:val="single"/>
        </w:rPr>
        <w:t>工业</w:t>
      </w:r>
      <w:r>
        <w:rPr>
          <w:sz w:val="21"/>
          <w:szCs w:val="21"/>
        </w:rPr>
        <w:t>行业；制造商为</w:t>
      </w:r>
      <w:r>
        <w:rPr>
          <w:rStyle w:val="89"/>
          <w:sz w:val="21"/>
          <w:szCs w:val="21"/>
          <w:u w:val="single"/>
        </w:rPr>
        <w:t>（企业名称）</w:t>
      </w:r>
      <w:r>
        <w:rPr>
          <w:sz w:val="21"/>
          <w:szCs w:val="21"/>
        </w:rPr>
        <w:t>，从业人员</w:t>
      </w:r>
      <w:r>
        <w:rPr>
          <w:rFonts w:hint="eastAsia"/>
          <w:sz w:val="21"/>
          <w:szCs w:val="21"/>
          <w:u w:val="single"/>
        </w:rPr>
        <w:t xml:space="preserve">   </w:t>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rStyle w:val="89"/>
          <w:sz w:val="21"/>
          <w:szCs w:val="21"/>
          <w:u w:val="single"/>
        </w:rPr>
        <w:t>（中型企业、小型企业、微型企业）</w:t>
      </w:r>
      <w:r>
        <w:rPr>
          <w:sz w:val="21"/>
          <w:szCs w:val="21"/>
        </w:rPr>
        <w:t>；</w:t>
      </w:r>
    </w:p>
    <w:p>
      <w:pPr>
        <w:pStyle w:val="78"/>
        <w:wordWrap w:val="0"/>
        <w:spacing w:line="240" w:lineRule="auto"/>
        <w:ind w:firstLine="420" w:firstLineChars="200"/>
        <w:rPr>
          <w:color w:val="FF0000"/>
          <w:sz w:val="21"/>
          <w:szCs w:val="21"/>
          <w:u w:val="single"/>
        </w:rPr>
      </w:pPr>
      <w:r>
        <w:rPr>
          <w:rFonts w:hint="eastAsia"/>
          <w:sz w:val="21"/>
          <w:szCs w:val="21"/>
          <w:u w:val="single"/>
        </w:rPr>
        <w:t>4.智能配电柜运行及操作实训系统-顺控柜及顺控软件</w:t>
      </w:r>
      <w:r>
        <w:rPr>
          <w:sz w:val="21"/>
          <w:szCs w:val="21"/>
        </w:rPr>
        <w:t>，属于</w:t>
      </w:r>
      <w:r>
        <w:rPr>
          <w:rFonts w:hint="eastAsia"/>
          <w:color w:val="auto"/>
          <w:sz w:val="21"/>
          <w:szCs w:val="21"/>
          <w:u w:val="single"/>
        </w:rPr>
        <w:t>工业</w:t>
      </w:r>
      <w:r>
        <w:rPr>
          <w:sz w:val="21"/>
          <w:szCs w:val="21"/>
        </w:rPr>
        <w:t>行业；制造商为</w:t>
      </w:r>
      <w:r>
        <w:rPr>
          <w:rStyle w:val="89"/>
          <w:sz w:val="21"/>
          <w:szCs w:val="21"/>
          <w:u w:val="single"/>
        </w:rPr>
        <w:t>（企业名称）</w:t>
      </w:r>
      <w:r>
        <w:rPr>
          <w:sz w:val="21"/>
          <w:szCs w:val="21"/>
        </w:rPr>
        <w:t>，从业人员</w:t>
      </w:r>
      <w:r>
        <w:rPr>
          <w:rFonts w:hint="eastAsia"/>
          <w:sz w:val="21"/>
          <w:szCs w:val="21"/>
          <w:u w:val="single"/>
        </w:rPr>
        <w:t xml:space="preserve">   </w:t>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rStyle w:val="89"/>
          <w:sz w:val="21"/>
          <w:szCs w:val="21"/>
          <w:u w:val="single"/>
        </w:rPr>
        <w:t>（中型企业、小型企业、微型企业）</w:t>
      </w:r>
      <w:r>
        <w:rPr>
          <w:sz w:val="21"/>
          <w:szCs w:val="21"/>
        </w:rPr>
        <w:t>；</w:t>
      </w:r>
    </w:p>
    <w:p>
      <w:pPr>
        <w:pStyle w:val="78"/>
        <w:wordWrap w:val="0"/>
        <w:spacing w:line="240" w:lineRule="auto"/>
        <w:ind w:firstLine="420" w:firstLineChars="200"/>
        <w:rPr>
          <w:sz w:val="21"/>
          <w:szCs w:val="21"/>
        </w:rPr>
      </w:pPr>
    </w:p>
    <w:p>
      <w:pPr>
        <w:pStyle w:val="45"/>
        <w:wordWrap w:val="0"/>
        <w:spacing w:line="360" w:lineRule="auto"/>
        <w:ind w:firstLine="420" w:firstLineChars="200"/>
        <w:jc w:val="left"/>
        <w:rPr>
          <w:sz w:val="21"/>
          <w:szCs w:val="21"/>
        </w:rPr>
      </w:pPr>
      <w:r>
        <w:rPr>
          <w:rFonts w:hint="eastAsia"/>
          <w:sz w:val="21"/>
          <w:szCs w:val="21"/>
        </w:rPr>
        <w:t>以上企业，不属于大企业的分支机构，不存在控股股东为大企业的情形，也不存在与大企业的负责人为同一人的情形。</w:t>
      </w:r>
    </w:p>
    <w:p>
      <w:pPr>
        <w:pStyle w:val="45"/>
        <w:wordWrap w:val="0"/>
        <w:spacing w:line="360" w:lineRule="auto"/>
        <w:ind w:firstLine="420" w:firstLineChars="200"/>
        <w:jc w:val="left"/>
        <w:rPr>
          <w:sz w:val="21"/>
          <w:szCs w:val="21"/>
        </w:rPr>
      </w:pPr>
      <w:r>
        <w:rPr>
          <w:rFonts w:hint="eastAsia"/>
          <w:sz w:val="21"/>
          <w:szCs w:val="21"/>
        </w:rPr>
        <w:t>本企业对上述声明内容的真实性负责。如有虚假，将依法承担相应责任。</w:t>
      </w:r>
    </w:p>
    <w:p>
      <w:pPr>
        <w:pStyle w:val="45"/>
        <w:wordWrap w:val="0"/>
        <w:spacing w:line="360" w:lineRule="auto"/>
        <w:ind w:firstLine="2784" w:firstLineChars="1600"/>
        <w:jc w:val="left"/>
        <w:rPr>
          <w:spacing w:val="-18"/>
          <w:sz w:val="21"/>
          <w:szCs w:val="21"/>
        </w:rPr>
      </w:pPr>
      <w:r>
        <w:rPr>
          <w:rFonts w:hint="eastAsia"/>
          <w:spacing w:val="-18"/>
          <w:sz w:val="21"/>
          <w:szCs w:val="21"/>
        </w:rPr>
        <w:t>企业名称（盖章）：</w:t>
      </w:r>
    </w:p>
    <w:p>
      <w:pPr>
        <w:pStyle w:val="45"/>
        <w:wordWrap w:val="0"/>
        <w:spacing w:line="360" w:lineRule="auto"/>
        <w:ind w:firstLine="3013" w:firstLineChars="1435"/>
        <w:jc w:val="left"/>
        <w:rPr>
          <w:sz w:val="21"/>
          <w:szCs w:val="21"/>
        </w:rPr>
      </w:pPr>
      <w:r>
        <w:rPr>
          <w:rFonts w:hint="eastAsia"/>
          <w:sz w:val="21"/>
          <w:szCs w:val="21"/>
        </w:rPr>
        <w:t>日</w:t>
      </w:r>
      <w:r>
        <w:rPr>
          <w:rFonts w:hint="eastAsia"/>
          <w:spacing w:val="-91"/>
          <w:sz w:val="21"/>
          <w:szCs w:val="21"/>
        </w:rPr>
        <w:t xml:space="preserve"> </w:t>
      </w:r>
      <w:r>
        <w:rPr>
          <w:rFonts w:hint="eastAsia"/>
          <w:sz w:val="21"/>
          <w:szCs w:val="21"/>
        </w:rPr>
        <w:t>期：</w:t>
      </w:r>
    </w:p>
    <w:p>
      <w:pPr>
        <w:pStyle w:val="47"/>
        <w:wordWrap w:val="0"/>
        <w:spacing w:line="400" w:lineRule="exact"/>
        <w:ind w:firstLine="481" w:firstLineChars="228"/>
        <w:rPr>
          <w:rFonts w:ascii="宋体" w:hAnsi="宋体" w:eastAsia="宋体"/>
          <w:b/>
          <w:sz w:val="21"/>
          <w:szCs w:val="21"/>
        </w:rPr>
      </w:pPr>
      <w:r>
        <w:rPr>
          <w:rFonts w:hint="eastAsia" w:ascii="宋体" w:hAnsi="宋体" w:eastAsia="宋体"/>
          <w:b/>
          <w:sz w:val="21"/>
          <w:szCs w:val="21"/>
        </w:rPr>
        <w:t>注：从业人员、营业收入、资产总额填报上一年度数据，无上一年度数据的新成立企业可不填报。</w:t>
      </w:r>
    </w:p>
    <w:p>
      <w:pPr>
        <w:pStyle w:val="45"/>
        <w:wordWrap w:val="0"/>
        <w:spacing w:line="360" w:lineRule="auto"/>
        <w:ind w:firstLine="2784" w:firstLineChars="1600"/>
        <w:jc w:val="left"/>
        <w:rPr>
          <w:spacing w:val="-18"/>
          <w:sz w:val="21"/>
          <w:szCs w:val="21"/>
        </w:rPr>
      </w:pPr>
    </w:p>
    <w:p>
      <w:pPr>
        <w:pStyle w:val="45"/>
        <w:wordWrap w:val="0"/>
        <w:spacing w:line="360" w:lineRule="auto"/>
        <w:ind w:firstLine="2784" w:firstLineChars="1600"/>
        <w:jc w:val="left"/>
        <w:rPr>
          <w:spacing w:val="-18"/>
          <w:sz w:val="21"/>
          <w:szCs w:val="21"/>
        </w:rPr>
      </w:pPr>
      <w:r>
        <w:rPr>
          <w:rFonts w:hint="eastAsia"/>
          <w:spacing w:val="-18"/>
          <w:sz w:val="21"/>
          <w:szCs w:val="21"/>
        </w:rPr>
        <w:t>企业名称（盖章）：</w:t>
      </w:r>
    </w:p>
    <w:p>
      <w:pPr>
        <w:pStyle w:val="45"/>
        <w:wordWrap w:val="0"/>
        <w:spacing w:line="360" w:lineRule="auto"/>
        <w:ind w:firstLine="3013" w:firstLineChars="1435"/>
        <w:jc w:val="left"/>
        <w:rPr>
          <w:sz w:val="21"/>
          <w:szCs w:val="21"/>
        </w:rPr>
      </w:pPr>
      <w:r>
        <w:rPr>
          <w:rFonts w:hint="eastAsia"/>
          <w:sz w:val="21"/>
          <w:szCs w:val="21"/>
        </w:rPr>
        <w:t>日</w:t>
      </w:r>
      <w:r>
        <w:rPr>
          <w:rFonts w:hint="eastAsia"/>
          <w:spacing w:val="-91"/>
          <w:sz w:val="21"/>
          <w:szCs w:val="21"/>
        </w:rPr>
        <w:t xml:space="preserve"> </w:t>
      </w:r>
      <w:r>
        <w:rPr>
          <w:rFonts w:hint="eastAsia"/>
          <w:sz w:val="21"/>
          <w:szCs w:val="21"/>
        </w:rPr>
        <w:t>期：</w:t>
      </w:r>
    </w:p>
    <w:p>
      <w:pPr>
        <w:wordWrap w:val="0"/>
        <w:spacing w:line="400" w:lineRule="exact"/>
        <w:jc w:val="center"/>
        <w:rPr>
          <w:rFonts w:ascii="宋体" w:hAnsi="宋体"/>
          <w:b/>
          <w:szCs w:val="21"/>
        </w:rPr>
      </w:pPr>
    </w:p>
    <w:p>
      <w:pPr>
        <w:pStyle w:val="30"/>
        <w:wordWrap w:val="0"/>
        <w:ind w:firstLine="536"/>
      </w:pPr>
      <w:r>
        <w:rPr>
          <w:rFonts w:hint="eastAsia"/>
        </w:rPr>
        <w:br w:type="page"/>
      </w:r>
    </w:p>
    <w:p>
      <w:pPr>
        <w:wordWrap w:val="0"/>
      </w:pPr>
    </w:p>
    <w:p>
      <w:pPr>
        <w:wordWrap w:val="0"/>
        <w:spacing w:line="588" w:lineRule="exact"/>
        <w:jc w:val="center"/>
        <w:rPr>
          <w:rFonts w:ascii="宋体" w:hAnsi="宋体"/>
          <w:b/>
          <w:szCs w:val="21"/>
        </w:rPr>
      </w:pPr>
      <w:r>
        <w:rPr>
          <w:rFonts w:ascii="宋体" w:hAnsi="宋体"/>
          <w:b/>
          <w:szCs w:val="21"/>
        </w:rPr>
        <w:t>C</w:t>
      </w:r>
      <w:r>
        <w:rPr>
          <w:rFonts w:hint="eastAsia" w:ascii="宋体" w:hAnsi="宋体"/>
          <w:b/>
          <w:szCs w:val="21"/>
        </w:rPr>
        <w:t>4残疾人福利性单位声明函（如有需提供）</w:t>
      </w:r>
    </w:p>
    <w:p>
      <w:pPr>
        <w:wordWrap w:val="0"/>
        <w:spacing w:line="588"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wordWrap w:val="0"/>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wordWrap w:val="0"/>
        <w:spacing w:line="588" w:lineRule="exact"/>
        <w:ind w:firstLine="420" w:firstLineChars="200"/>
        <w:rPr>
          <w:rFonts w:ascii="宋体" w:hAnsi="宋体"/>
          <w:szCs w:val="21"/>
        </w:rPr>
      </w:pPr>
    </w:p>
    <w:p>
      <w:pPr>
        <w:wordWrap w:val="0"/>
        <w:spacing w:line="588" w:lineRule="exact"/>
        <w:ind w:firstLine="420" w:firstLineChars="200"/>
        <w:rPr>
          <w:rFonts w:ascii="宋体" w:hAnsi="宋体"/>
          <w:szCs w:val="21"/>
        </w:rPr>
      </w:pPr>
    </w:p>
    <w:p>
      <w:pPr>
        <w:tabs>
          <w:tab w:val="left" w:pos="4860"/>
        </w:tabs>
        <w:wordWrap w:val="0"/>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单位名称（盖章）：</w:t>
      </w:r>
    </w:p>
    <w:p>
      <w:pPr>
        <w:tabs>
          <w:tab w:val="left" w:pos="4860"/>
        </w:tabs>
        <w:wordWrap w:val="0"/>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400" w:lineRule="exact"/>
        <w:ind w:firstLine="422" w:firstLineChars="200"/>
        <w:rPr>
          <w:rFonts w:ascii="宋体" w:hAnsi="宋体"/>
          <w:b/>
          <w:szCs w:val="21"/>
        </w:rPr>
      </w:pPr>
    </w:p>
    <w:p>
      <w:pPr>
        <w:wordWrap w:val="0"/>
        <w:autoSpaceDE w:val="0"/>
        <w:autoSpaceDN w:val="0"/>
        <w:spacing w:line="400" w:lineRule="exact"/>
        <w:jc w:val="center"/>
        <w:outlineLvl w:val="0"/>
        <w:rPr>
          <w:rStyle w:val="128"/>
          <w:rFonts w:ascii="宋体" w:hAnsi="宋体"/>
          <w:szCs w:val="21"/>
        </w:rPr>
      </w:pPr>
      <w:bookmarkStart w:id="93" w:name="_Toc21541033"/>
      <w:bookmarkEnd w:id="93"/>
      <w:bookmarkStart w:id="94" w:name="_Toc26806"/>
      <w:bookmarkEnd w:id="94"/>
      <w:bookmarkStart w:id="95" w:name="_Toc69399602"/>
      <w:bookmarkEnd w:id="95"/>
      <w:bookmarkStart w:id="96" w:name="_Toc44162163"/>
      <w:bookmarkEnd w:id="96"/>
      <w:r>
        <w:rPr>
          <w:rStyle w:val="128"/>
          <w:rFonts w:ascii="宋体" w:hAnsi="宋体"/>
          <w:szCs w:val="21"/>
        </w:rPr>
        <w:br w:type="page"/>
      </w:r>
      <w:bookmarkStart w:id="97" w:name="_Toc27598"/>
      <w:r>
        <w:rPr>
          <w:rFonts w:ascii="宋体" w:hAnsi="宋体"/>
          <w:b/>
          <w:szCs w:val="21"/>
        </w:rPr>
        <w:t>C</w:t>
      </w:r>
      <w:r>
        <w:rPr>
          <w:rFonts w:hint="eastAsia" w:ascii="宋体" w:hAnsi="宋体"/>
          <w:b/>
          <w:szCs w:val="21"/>
        </w:rPr>
        <w:t>5供应商认为需要的其他资料（如有需提供）</w:t>
      </w:r>
      <w:bookmarkEnd w:id="97"/>
    </w:p>
    <w:p>
      <w:pPr>
        <w:wordWrap w:val="0"/>
        <w:autoSpaceDE w:val="0"/>
        <w:autoSpaceDN w:val="0"/>
        <w:spacing w:line="400" w:lineRule="exact"/>
        <w:outlineLvl w:val="0"/>
        <w:rPr>
          <w:rFonts w:ascii="宋体" w:hAnsi="宋体"/>
          <w:b/>
          <w:szCs w:val="21"/>
        </w:rPr>
      </w:pPr>
    </w:p>
    <w:p>
      <w:pPr>
        <w:wordWrap w:val="0"/>
        <w:autoSpaceDE w:val="0"/>
        <w:autoSpaceDN w:val="0"/>
        <w:spacing w:line="400" w:lineRule="exact"/>
        <w:jc w:val="center"/>
        <w:outlineLvl w:val="0"/>
        <w:rPr>
          <w:rStyle w:val="128"/>
          <w:rFonts w:ascii="宋体" w:hAnsi="宋体"/>
          <w:szCs w:val="21"/>
        </w:rPr>
      </w:pPr>
      <w:bookmarkStart w:id="98" w:name="_Toc44162164"/>
      <w:bookmarkEnd w:id="98"/>
      <w:bookmarkStart w:id="99" w:name="_Toc28120"/>
      <w:bookmarkEnd w:id="99"/>
      <w:bookmarkStart w:id="100" w:name="_Toc69399603"/>
      <w:bookmarkEnd w:id="100"/>
      <w:r>
        <w:rPr>
          <w:rStyle w:val="128"/>
          <w:rFonts w:ascii="宋体" w:hAnsi="宋体"/>
          <w:szCs w:val="21"/>
        </w:rPr>
        <w:br w:type="page"/>
      </w:r>
      <w:bookmarkStart w:id="101" w:name="_Toc15492"/>
      <w:r>
        <w:rPr>
          <w:rFonts w:hint="eastAsia"/>
          <w:b/>
        </w:rPr>
        <w:t>政府采购活动现场确认声明书</w:t>
      </w:r>
      <w:bookmarkEnd w:id="101"/>
    </w:p>
    <w:p>
      <w:pPr>
        <w:pStyle w:val="197"/>
        <w:wordWrap w:val="0"/>
        <w:snapToGrid w:val="0"/>
        <w:spacing w:line="400" w:lineRule="exact"/>
        <w:rPr>
          <w:rFonts w:hAnsi="宋体"/>
          <w:szCs w:val="21"/>
        </w:rPr>
      </w:pPr>
      <w:r>
        <w:rPr>
          <w:rFonts w:hint="eastAsia" w:hAnsi="宋体"/>
          <w:szCs w:val="21"/>
        </w:rPr>
        <w:t>致：采购人</w:t>
      </w:r>
    </w:p>
    <w:p>
      <w:pPr>
        <w:pStyle w:val="197"/>
        <w:wordWrap w:val="0"/>
        <w:snapToGrid w:val="0"/>
        <w:spacing w:line="400" w:lineRule="exact"/>
        <w:ind w:firstLine="420" w:firstLineChars="200"/>
        <w:rPr>
          <w:rFonts w:hAnsi="宋体"/>
          <w:szCs w:val="21"/>
        </w:rPr>
      </w:pPr>
      <w:r>
        <w:rPr>
          <w:rFonts w:hint="eastAsia" w:hAnsi="宋体"/>
          <w:szCs w:val="21"/>
        </w:rPr>
        <w:t>本人经由</w:t>
      </w:r>
      <w:r>
        <w:rPr>
          <w:rFonts w:hint="eastAsia" w:hAnsi="宋体"/>
          <w:szCs w:val="21"/>
          <w:u w:val="single"/>
        </w:rPr>
        <w:t>（供应商名称）</w:t>
      </w:r>
      <w:r>
        <w:rPr>
          <w:rFonts w:hint="eastAsia" w:hAnsi="宋体"/>
          <w:szCs w:val="21"/>
        </w:rPr>
        <w:t>法人代表（负责人）</w:t>
      </w:r>
      <w:r>
        <w:rPr>
          <w:rFonts w:hAnsi="宋体"/>
          <w:szCs w:val="21"/>
          <w:u w:val="single"/>
        </w:rPr>
        <w:t xml:space="preserve">    </w:t>
      </w:r>
      <w:r>
        <w:rPr>
          <w:rFonts w:hint="eastAsia" w:hAnsi="宋体"/>
          <w:szCs w:val="21"/>
          <w:u w:val="single"/>
        </w:rPr>
        <w:t>（姓名）</w:t>
      </w:r>
      <w:r>
        <w:rPr>
          <w:rFonts w:hint="eastAsia" w:hAnsi="宋体"/>
          <w:szCs w:val="21"/>
        </w:rPr>
        <w:t>合法授权参加</w:t>
      </w:r>
      <w:r>
        <w:rPr>
          <w:rFonts w:hint="eastAsia" w:hAnsi="宋体"/>
          <w:szCs w:val="21"/>
          <w:u w:val="single"/>
        </w:rPr>
        <w:t>宁波职业技术学院绿色智能供配电实训基地建设项目</w:t>
      </w:r>
      <w:r>
        <w:rPr>
          <w:rFonts w:hint="eastAsia" w:hAnsi="宋体"/>
          <w:szCs w:val="21"/>
        </w:rPr>
        <w:t>（采购编号：</w:t>
      </w:r>
      <w:r>
        <w:rPr>
          <w:rFonts w:hint="eastAsia" w:hAnsi="宋体"/>
          <w:szCs w:val="21"/>
          <w:u w:val="single"/>
        </w:rPr>
        <w:t>ZJZC-233184</w:t>
      </w:r>
      <w:r>
        <w:rPr>
          <w:rFonts w:hint="eastAsia" w:hAnsi="宋体"/>
          <w:szCs w:val="21"/>
        </w:rPr>
        <w:t>）政府采购活动，经与本单位法人代表（负责人）联系确认，现就有关公平竞争事项郑重声明如下：</w:t>
      </w:r>
    </w:p>
    <w:p>
      <w:pPr>
        <w:pStyle w:val="255"/>
        <w:widowControl/>
        <w:numPr>
          <w:ilvl w:val="0"/>
          <w:numId w:val="15"/>
        </w:numPr>
        <w:wordWrap w:val="0"/>
        <w:snapToGrid w:val="0"/>
        <w:spacing w:line="400" w:lineRule="exact"/>
        <w:ind w:firstLine="396" w:firstLineChars="189"/>
        <w:rPr>
          <w:rFonts w:ascii="宋体" w:hAnsi="宋体"/>
          <w:szCs w:val="21"/>
        </w:rPr>
      </w:pPr>
      <w:r>
        <w:rPr>
          <w:rFonts w:hint="eastAsia" w:ascii="宋体" w:hAnsi="宋体"/>
          <w:szCs w:val="21"/>
        </w:rPr>
        <w:t>本单位与采购人之间</w:t>
      </w:r>
    </w:p>
    <w:p>
      <w:pPr>
        <w:pStyle w:val="255"/>
        <w:widowControl/>
        <w:wordWrap w:val="0"/>
        <w:snapToGrid w:val="0"/>
        <w:spacing w:line="400" w:lineRule="exact"/>
        <w:ind w:firstLine="425"/>
        <w:rPr>
          <w:rFonts w:ascii="宋体" w:hAnsi="宋体"/>
          <w:szCs w:val="21"/>
        </w:rPr>
      </w:pPr>
      <w:r>
        <w:rPr>
          <w:rFonts w:hint="eastAsia" w:ascii="宋体" w:hAnsi="宋体"/>
          <w:szCs w:val="21"/>
        </w:rPr>
        <w:t>□不存在利害关系</w:t>
      </w:r>
    </w:p>
    <w:p>
      <w:pPr>
        <w:pStyle w:val="255"/>
        <w:widowControl/>
        <w:wordWrap w:val="0"/>
        <w:snapToGrid w:val="0"/>
        <w:spacing w:line="400" w:lineRule="exact"/>
        <w:ind w:firstLine="425"/>
        <w:rPr>
          <w:rFonts w:ascii="宋体" w:hAnsi="宋体"/>
          <w:szCs w:val="21"/>
        </w:rPr>
      </w:pPr>
      <w:r>
        <w:rPr>
          <w:rFonts w:hint="eastAsia" w:ascii="宋体" w:hAnsi="宋体"/>
          <w:szCs w:val="21"/>
        </w:rPr>
        <w:t>□存在下列利害关系：</w:t>
      </w:r>
    </w:p>
    <w:p>
      <w:pPr>
        <w:pStyle w:val="255"/>
        <w:widowControl/>
        <w:wordWrap w:val="0"/>
        <w:snapToGrid w:val="0"/>
        <w:spacing w:line="400" w:lineRule="exact"/>
        <w:ind w:left="397" w:firstLine="28"/>
        <w:rPr>
          <w:rFonts w:ascii="宋体" w:hAnsi="宋体"/>
          <w:szCs w:val="21"/>
        </w:rPr>
      </w:pPr>
      <w:r>
        <w:rPr>
          <w:rFonts w:ascii="宋体" w:hAnsi="宋体"/>
          <w:szCs w:val="21"/>
        </w:rPr>
        <w:t>A.</w:t>
      </w:r>
      <w:r>
        <w:rPr>
          <w:rFonts w:hint="eastAsia" w:ascii="宋体" w:hAnsi="宋体"/>
          <w:szCs w:val="21"/>
        </w:rPr>
        <w:t>投资关系</w:t>
      </w:r>
      <w:r>
        <w:rPr>
          <w:rFonts w:ascii="宋体" w:hAnsi="宋体"/>
          <w:szCs w:val="21"/>
        </w:rPr>
        <w:t xml:space="preserve">    B.</w:t>
      </w:r>
      <w:r>
        <w:rPr>
          <w:rFonts w:hint="eastAsia" w:ascii="宋体" w:hAnsi="宋体"/>
          <w:szCs w:val="21"/>
        </w:rPr>
        <w:t>行政隶属关系</w:t>
      </w:r>
      <w:r>
        <w:rPr>
          <w:rFonts w:ascii="宋体" w:hAnsi="宋体"/>
          <w:szCs w:val="21"/>
        </w:rPr>
        <w:t xml:space="preserve">    C.</w:t>
      </w:r>
      <w:r>
        <w:rPr>
          <w:rFonts w:hint="eastAsia" w:ascii="宋体" w:hAnsi="宋体"/>
          <w:szCs w:val="21"/>
        </w:rPr>
        <w:t>业务指导关系</w:t>
      </w:r>
    </w:p>
    <w:p>
      <w:pPr>
        <w:pStyle w:val="255"/>
        <w:widowControl/>
        <w:wordWrap w:val="0"/>
        <w:snapToGrid w:val="0"/>
        <w:spacing w:line="400" w:lineRule="exact"/>
        <w:ind w:left="397" w:firstLine="23"/>
        <w:rPr>
          <w:rFonts w:ascii="宋体" w:hAnsi="宋体"/>
          <w:szCs w:val="21"/>
        </w:rPr>
      </w:pPr>
      <w:r>
        <w:rPr>
          <w:rFonts w:ascii="宋体" w:hAnsi="宋体"/>
          <w:szCs w:val="21"/>
        </w:rPr>
        <w:t>D.</w:t>
      </w:r>
      <w:r>
        <w:rPr>
          <w:rFonts w:hint="eastAsia" w:ascii="宋体" w:hAnsi="宋体"/>
          <w:szCs w:val="21"/>
        </w:rPr>
        <w:t>其他可能影响采购公正的利害关系</w:t>
      </w:r>
      <w:r>
        <w:rPr>
          <w:rFonts w:hint="eastAsia" w:ascii="宋体" w:hAnsi="宋体"/>
          <w:szCs w:val="21"/>
          <w:u w:val="single"/>
        </w:rPr>
        <w:t>（如有，请如实说明）</w:t>
      </w:r>
      <w:r>
        <w:rPr>
          <w:rFonts w:ascii="宋体" w:hAnsi="宋体"/>
          <w:szCs w:val="21"/>
          <w:u w:val="single"/>
        </w:rPr>
        <w:t xml:space="preserve">                 </w:t>
      </w:r>
      <w:r>
        <w:rPr>
          <w:rFonts w:hint="eastAsia" w:ascii="宋体" w:hAnsi="宋体"/>
          <w:szCs w:val="21"/>
        </w:rPr>
        <w:t>。</w:t>
      </w:r>
    </w:p>
    <w:p>
      <w:pPr>
        <w:pStyle w:val="255"/>
        <w:widowControl/>
        <w:wordWrap w:val="0"/>
        <w:snapToGrid w:val="0"/>
        <w:spacing w:line="400" w:lineRule="exact"/>
        <w:ind w:firstLine="420" w:firstLineChars="200"/>
        <w:rPr>
          <w:rFonts w:ascii="宋体" w:hAnsi="宋体"/>
          <w:szCs w:val="21"/>
        </w:rPr>
      </w:pPr>
      <w:r>
        <w:rPr>
          <w:rFonts w:hint="eastAsia" w:ascii="宋体" w:hAnsi="宋体"/>
          <w:szCs w:val="21"/>
        </w:rPr>
        <w:t>二、现已清楚知道参加本项目采购活动的其他所有供应商名称，本单位</w:t>
      </w:r>
    </w:p>
    <w:p>
      <w:pPr>
        <w:pStyle w:val="255"/>
        <w:widowControl/>
        <w:wordWrap w:val="0"/>
        <w:snapToGrid w:val="0"/>
        <w:spacing w:line="400" w:lineRule="exact"/>
        <w:ind w:firstLine="420" w:firstLineChars="200"/>
        <w:rPr>
          <w:rFonts w:ascii="宋体" w:hAnsi="宋体"/>
          <w:szCs w:val="21"/>
        </w:rPr>
      </w:pPr>
      <w:r>
        <w:rPr>
          <w:rFonts w:hint="eastAsia" w:ascii="宋体" w:hAnsi="宋体"/>
          <w:szCs w:val="21"/>
        </w:rPr>
        <w:t>□与其他所有供应商之间均不存在利害关系</w:t>
      </w:r>
    </w:p>
    <w:p>
      <w:pPr>
        <w:pStyle w:val="255"/>
        <w:widowControl/>
        <w:wordWrap w:val="0"/>
        <w:snapToGrid w:val="0"/>
        <w:spacing w:line="400" w:lineRule="exact"/>
        <w:ind w:firstLine="420" w:firstLineChars="200"/>
        <w:rPr>
          <w:rFonts w:ascii="宋体" w:hAnsi="宋体"/>
          <w:szCs w:val="21"/>
        </w:rPr>
      </w:pPr>
      <w:r>
        <w:rPr>
          <w:rFonts w:hint="eastAsia" w:ascii="宋体" w:hAnsi="宋体"/>
          <w:szCs w:val="21"/>
        </w:rPr>
        <w:t>□与</w:t>
      </w:r>
      <w:r>
        <w:rPr>
          <w:rFonts w:ascii="宋体" w:hAnsi="宋体"/>
          <w:szCs w:val="21"/>
          <w:u w:val="single"/>
        </w:rPr>
        <w:t xml:space="preserve">           </w:t>
      </w:r>
      <w:r>
        <w:rPr>
          <w:rFonts w:hint="eastAsia" w:ascii="宋体" w:hAnsi="宋体"/>
          <w:szCs w:val="21"/>
          <w:u w:val="single"/>
        </w:rPr>
        <w:t>（供应商名称）</w:t>
      </w:r>
      <w:r>
        <w:rPr>
          <w:rFonts w:hint="eastAsia" w:ascii="宋体" w:hAnsi="宋体"/>
          <w:szCs w:val="21"/>
        </w:rPr>
        <w:t>之间存在下列利害关系：</w:t>
      </w:r>
    </w:p>
    <w:p>
      <w:pPr>
        <w:pStyle w:val="255"/>
        <w:widowControl/>
        <w:wordWrap w:val="0"/>
        <w:snapToGrid w:val="0"/>
        <w:spacing w:line="400" w:lineRule="exact"/>
        <w:ind w:firstLine="420" w:firstLineChars="200"/>
        <w:rPr>
          <w:rFonts w:ascii="宋体" w:hAnsi="宋体"/>
          <w:szCs w:val="21"/>
        </w:rPr>
      </w:pPr>
      <w:r>
        <w:rPr>
          <w:rFonts w:ascii="宋体" w:hAnsi="宋体"/>
          <w:szCs w:val="21"/>
        </w:rPr>
        <w:t>A.</w:t>
      </w:r>
      <w:r>
        <w:rPr>
          <w:rFonts w:hint="eastAsia" w:ascii="宋体" w:hAnsi="宋体"/>
          <w:szCs w:val="21"/>
        </w:rPr>
        <w:t>法定代表人或负责人或实际控制人是同一人</w:t>
      </w:r>
    </w:p>
    <w:p>
      <w:pPr>
        <w:pStyle w:val="255"/>
        <w:widowControl/>
        <w:wordWrap w:val="0"/>
        <w:snapToGrid w:val="0"/>
        <w:spacing w:line="400" w:lineRule="exact"/>
        <w:ind w:firstLine="420" w:firstLineChars="200"/>
        <w:rPr>
          <w:rFonts w:ascii="宋体" w:hAnsi="宋体"/>
          <w:szCs w:val="21"/>
        </w:rPr>
      </w:pPr>
      <w:r>
        <w:rPr>
          <w:rFonts w:ascii="宋体" w:hAnsi="宋体"/>
          <w:szCs w:val="21"/>
        </w:rPr>
        <w:t>B.</w:t>
      </w:r>
      <w:r>
        <w:rPr>
          <w:rFonts w:hint="eastAsia" w:ascii="宋体" w:hAnsi="宋体"/>
          <w:szCs w:val="21"/>
        </w:rPr>
        <w:t>法定代表人或负责人或实际控制人是夫妻关系</w:t>
      </w:r>
    </w:p>
    <w:p>
      <w:pPr>
        <w:pStyle w:val="255"/>
        <w:widowControl/>
        <w:wordWrap w:val="0"/>
        <w:snapToGrid w:val="0"/>
        <w:spacing w:line="400" w:lineRule="exact"/>
        <w:ind w:firstLine="420" w:firstLineChars="200"/>
        <w:rPr>
          <w:rFonts w:ascii="宋体" w:hAnsi="宋体"/>
          <w:szCs w:val="21"/>
        </w:rPr>
      </w:pPr>
      <w:r>
        <w:rPr>
          <w:rFonts w:ascii="宋体" w:hAnsi="宋体"/>
          <w:szCs w:val="21"/>
        </w:rPr>
        <w:t>C.</w:t>
      </w:r>
      <w:r>
        <w:rPr>
          <w:rFonts w:hint="eastAsia" w:ascii="宋体" w:hAnsi="宋体"/>
          <w:szCs w:val="21"/>
        </w:rPr>
        <w:t>法定代表人或负责人或实际控制人是直系血亲关系</w:t>
      </w:r>
    </w:p>
    <w:p>
      <w:pPr>
        <w:pStyle w:val="255"/>
        <w:widowControl/>
        <w:wordWrap w:val="0"/>
        <w:snapToGrid w:val="0"/>
        <w:spacing w:line="400" w:lineRule="exact"/>
        <w:ind w:firstLine="420" w:firstLineChars="200"/>
        <w:rPr>
          <w:rFonts w:ascii="宋体" w:hAnsi="宋体"/>
          <w:szCs w:val="21"/>
        </w:rPr>
      </w:pPr>
      <w:r>
        <w:rPr>
          <w:rFonts w:ascii="宋体" w:hAnsi="宋体"/>
          <w:szCs w:val="21"/>
        </w:rPr>
        <w:t>D.</w:t>
      </w:r>
      <w:r>
        <w:rPr>
          <w:rFonts w:hint="eastAsia" w:ascii="宋体" w:hAnsi="宋体"/>
          <w:szCs w:val="21"/>
        </w:rPr>
        <w:t>法定代表人或负责人或实际控制人存在三代以内旁系血亲关系</w:t>
      </w:r>
    </w:p>
    <w:p>
      <w:pPr>
        <w:pStyle w:val="255"/>
        <w:widowControl/>
        <w:wordWrap w:val="0"/>
        <w:snapToGrid w:val="0"/>
        <w:spacing w:line="400" w:lineRule="exact"/>
        <w:ind w:firstLine="420" w:firstLineChars="200"/>
        <w:rPr>
          <w:rFonts w:ascii="宋体" w:hAnsi="宋体"/>
          <w:szCs w:val="21"/>
        </w:rPr>
      </w:pPr>
      <w:r>
        <w:rPr>
          <w:rFonts w:ascii="宋体" w:hAnsi="宋体"/>
          <w:szCs w:val="21"/>
        </w:rPr>
        <w:t>E.</w:t>
      </w:r>
      <w:r>
        <w:rPr>
          <w:rFonts w:hint="eastAsia" w:ascii="宋体" w:hAnsi="宋体"/>
          <w:szCs w:val="21"/>
        </w:rPr>
        <w:t>法定代表人或负责人或实际控制人存在近姻亲关系</w:t>
      </w:r>
    </w:p>
    <w:p>
      <w:pPr>
        <w:pStyle w:val="255"/>
        <w:widowControl/>
        <w:wordWrap w:val="0"/>
        <w:snapToGrid w:val="0"/>
        <w:spacing w:line="400" w:lineRule="exact"/>
        <w:ind w:firstLine="420" w:firstLineChars="200"/>
        <w:rPr>
          <w:rFonts w:ascii="宋体" w:hAnsi="宋体"/>
          <w:szCs w:val="21"/>
        </w:rPr>
      </w:pPr>
      <w:r>
        <w:rPr>
          <w:rFonts w:ascii="宋体" w:hAnsi="宋体"/>
          <w:szCs w:val="21"/>
        </w:rPr>
        <w:t>F.</w:t>
      </w:r>
      <w:r>
        <w:rPr>
          <w:rFonts w:hint="eastAsia" w:ascii="宋体" w:hAnsi="宋体"/>
          <w:szCs w:val="21"/>
        </w:rPr>
        <w:t>法定代表人或负责人或实际控制人存在股份控制或实际控制关系</w:t>
      </w:r>
    </w:p>
    <w:p>
      <w:pPr>
        <w:pStyle w:val="255"/>
        <w:widowControl/>
        <w:wordWrap w:val="0"/>
        <w:snapToGrid w:val="0"/>
        <w:spacing w:line="400" w:lineRule="exact"/>
        <w:ind w:firstLine="420" w:firstLineChars="200"/>
        <w:rPr>
          <w:rFonts w:ascii="宋体" w:hAnsi="宋体"/>
          <w:szCs w:val="21"/>
        </w:rPr>
      </w:pPr>
      <w:r>
        <w:rPr>
          <w:rFonts w:ascii="宋体" w:hAnsi="宋体"/>
          <w:szCs w:val="21"/>
        </w:rPr>
        <w:t>G.</w:t>
      </w:r>
      <w:r>
        <w:rPr>
          <w:rFonts w:hint="eastAsia" w:ascii="宋体" w:hAnsi="宋体"/>
          <w:szCs w:val="21"/>
        </w:rPr>
        <w:t>存在共同直接或间接投资设立子公司、联营企业和合营企业情况</w:t>
      </w:r>
    </w:p>
    <w:p>
      <w:pPr>
        <w:pStyle w:val="255"/>
        <w:widowControl/>
        <w:wordWrap w:val="0"/>
        <w:snapToGrid w:val="0"/>
        <w:spacing w:line="400" w:lineRule="exact"/>
        <w:ind w:firstLine="420" w:firstLineChars="200"/>
        <w:rPr>
          <w:rFonts w:ascii="宋体" w:hAnsi="宋体"/>
          <w:szCs w:val="21"/>
        </w:rPr>
      </w:pPr>
      <w:r>
        <w:rPr>
          <w:rFonts w:ascii="宋体" w:hAnsi="宋体"/>
          <w:szCs w:val="21"/>
        </w:rPr>
        <w:t>H.</w:t>
      </w:r>
      <w:r>
        <w:rPr>
          <w:rFonts w:hint="eastAsia" w:ascii="宋体" w:hAnsi="宋体"/>
          <w:szCs w:val="21"/>
        </w:rPr>
        <w:t>存在分级代理或代销关系、同一生产制造商关系、管理关系、重要业务（占主营业务收入</w:t>
      </w:r>
      <w:r>
        <w:rPr>
          <w:rFonts w:ascii="宋体" w:hAnsi="宋体"/>
          <w:szCs w:val="21"/>
        </w:rPr>
        <w:t>50%</w:t>
      </w:r>
      <w:r>
        <w:rPr>
          <w:rFonts w:hint="eastAsia" w:ascii="宋体" w:hAnsi="宋体"/>
          <w:szCs w:val="21"/>
        </w:rPr>
        <w:t>以上）或重要财务往来关系（如融资）等其他实质性控制关系</w:t>
      </w:r>
    </w:p>
    <w:p>
      <w:pPr>
        <w:pStyle w:val="255"/>
        <w:widowControl/>
        <w:wordWrap w:val="0"/>
        <w:snapToGrid w:val="0"/>
        <w:spacing w:line="400" w:lineRule="exact"/>
        <w:ind w:firstLine="420" w:firstLineChars="200"/>
        <w:rPr>
          <w:rFonts w:ascii="宋体" w:hAnsi="宋体"/>
          <w:szCs w:val="21"/>
        </w:rPr>
      </w:pPr>
      <w:r>
        <w:rPr>
          <w:rFonts w:ascii="宋体" w:hAnsi="宋体"/>
          <w:szCs w:val="21"/>
        </w:rPr>
        <w:t>I.</w:t>
      </w:r>
      <w:r>
        <w:rPr>
          <w:rFonts w:hint="eastAsia" w:ascii="宋体" w:hAnsi="宋体"/>
          <w:szCs w:val="21"/>
        </w:rPr>
        <w:t>其他利害关系情况。</w:t>
      </w:r>
    </w:p>
    <w:p>
      <w:pPr>
        <w:pStyle w:val="255"/>
        <w:widowControl/>
        <w:numPr>
          <w:ilvl w:val="0"/>
          <w:numId w:val="16"/>
        </w:numPr>
        <w:wordWrap w:val="0"/>
        <w:snapToGrid w:val="0"/>
        <w:spacing w:line="400" w:lineRule="exact"/>
        <w:ind w:firstLine="396" w:firstLineChars="189"/>
        <w:rPr>
          <w:rFonts w:ascii="宋体" w:hAnsi="宋体"/>
          <w:szCs w:val="21"/>
        </w:rPr>
      </w:pPr>
      <w:r>
        <w:rPr>
          <w:rFonts w:hint="eastAsia" w:ascii="宋体" w:hAnsi="宋体"/>
          <w:szCs w:val="21"/>
        </w:rPr>
        <w:t>现已清楚知道并严格遵守政府采购法律法规和现场纪律。</w:t>
      </w:r>
    </w:p>
    <w:p>
      <w:pPr>
        <w:pStyle w:val="255"/>
        <w:widowControl/>
        <w:numPr>
          <w:ilvl w:val="0"/>
          <w:numId w:val="16"/>
        </w:numPr>
        <w:wordWrap w:val="0"/>
        <w:snapToGrid w:val="0"/>
        <w:spacing w:line="400" w:lineRule="exact"/>
        <w:ind w:firstLine="396" w:firstLineChars="189"/>
        <w:rPr>
          <w:rFonts w:ascii="宋体" w:hAnsi="宋体"/>
          <w:szCs w:val="21"/>
        </w:rPr>
      </w:pPr>
      <w:r>
        <w:rPr>
          <w:rFonts w:hint="eastAsia" w:ascii="宋体" w:hAnsi="宋体"/>
          <w:szCs w:val="21"/>
        </w:rPr>
        <w:t>我发现</w:t>
      </w:r>
      <w:r>
        <w:rPr>
          <w:rFonts w:ascii="宋体" w:hAnsi="宋体"/>
          <w:szCs w:val="21"/>
          <w:u w:val="single"/>
        </w:rPr>
        <w:t xml:space="preserve">      </w:t>
      </w:r>
      <w:r>
        <w:rPr>
          <w:rFonts w:hint="eastAsia" w:ascii="宋体" w:hAnsi="宋体"/>
          <w:szCs w:val="21"/>
          <w:u w:val="single"/>
        </w:rPr>
        <w:t>供应商</w:t>
      </w:r>
      <w:r>
        <w:rPr>
          <w:rFonts w:ascii="宋体" w:hAnsi="宋体"/>
          <w:szCs w:val="21"/>
          <w:u w:val="single"/>
        </w:rPr>
        <w:t xml:space="preserve">     </w:t>
      </w:r>
      <w:r>
        <w:rPr>
          <w:rFonts w:hint="eastAsia" w:ascii="宋体" w:hAnsi="宋体"/>
          <w:szCs w:val="21"/>
        </w:rPr>
        <w:t>之间存在或可能存在上述第二条第</w:t>
      </w:r>
      <w:r>
        <w:rPr>
          <w:rFonts w:ascii="宋体" w:hAnsi="宋体"/>
          <w:szCs w:val="21"/>
          <w:u w:val="single"/>
        </w:rPr>
        <w:t xml:space="preserve">        </w:t>
      </w:r>
      <w:r>
        <w:rPr>
          <w:rFonts w:hint="eastAsia" w:ascii="宋体" w:hAnsi="宋体"/>
          <w:szCs w:val="21"/>
        </w:rPr>
        <w:t>项利害关系。</w:t>
      </w:r>
    </w:p>
    <w:p>
      <w:pPr>
        <w:pStyle w:val="197"/>
        <w:wordWrap w:val="0"/>
        <w:snapToGrid w:val="0"/>
        <w:spacing w:line="400" w:lineRule="exact"/>
        <w:ind w:firstLine="420" w:firstLineChars="200"/>
        <w:rPr>
          <w:rFonts w:hAnsi="宋体"/>
          <w:szCs w:val="21"/>
        </w:rPr>
      </w:pPr>
    </w:p>
    <w:p>
      <w:pPr>
        <w:pStyle w:val="197"/>
        <w:wordWrap w:val="0"/>
        <w:snapToGrid w:val="0"/>
        <w:spacing w:line="400" w:lineRule="exact"/>
        <w:ind w:firstLine="1365" w:firstLineChars="650"/>
        <w:rPr>
          <w:rFonts w:hAnsi="宋体"/>
          <w:szCs w:val="21"/>
        </w:rPr>
      </w:pPr>
      <w:r>
        <w:rPr>
          <w:rFonts w:hAnsi="宋体"/>
          <w:szCs w:val="21"/>
        </w:rPr>
        <w:t xml:space="preserve">                                </w:t>
      </w:r>
      <w:r>
        <w:rPr>
          <w:rFonts w:hint="eastAsia" w:hAnsi="宋体"/>
          <w:szCs w:val="21"/>
        </w:rPr>
        <w:t>（供应商代表签名）</w:t>
      </w:r>
    </w:p>
    <w:p>
      <w:pPr>
        <w:wordWrap w:val="0"/>
        <w:spacing w:line="400" w:lineRule="exact"/>
        <w:ind w:firstLine="1318" w:firstLineChars="628"/>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ordWrap w:val="0"/>
        <w:spacing w:line="400" w:lineRule="exact"/>
        <w:rPr>
          <w:rFonts w:ascii="宋体" w:hAnsi="宋体"/>
          <w:szCs w:val="21"/>
        </w:rPr>
      </w:pPr>
    </w:p>
    <w:p>
      <w:pPr>
        <w:wordWrap w:val="0"/>
        <w:spacing w:line="400" w:lineRule="exact"/>
        <w:rPr>
          <w:rFonts w:ascii="宋体" w:hAnsi="宋体"/>
          <w:szCs w:val="21"/>
        </w:rPr>
      </w:pPr>
    </w:p>
    <w:p>
      <w:pPr>
        <w:wordWrap w:val="0"/>
        <w:spacing w:line="500" w:lineRule="exact"/>
        <w:rPr>
          <w:rFonts w:ascii="宋体" w:hAnsi="宋体"/>
          <w:b/>
          <w:sz w:val="28"/>
          <w:szCs w:val="28"/>
        </w:rPr>
      </w:pPr>
      <w:r>
        <w:rPr>
          <w:rFonts w:hint="eastAsia" w:ascii="宋体" w:hAnsi="宋体"/>
          <w:b/>
          <w:sz w:val="28"/>
          <w:szCs w:val="28"/>
        </w:rPr>
        <w:t>注：</w:t>
      </w:r>
      <w:r>
        <w:rPr>
          <w:rFonts w:ascii="宋体" w:hAnsi="宋体"/>
          <w:b/>
          <w:sz w:val="28"/>
          <w:szCs w:val="28"/>
        </w:rPr>
        <w:t>1</w:t>
      </w:r>
      <w:r>
        <w:rPr>
          <w:rFonts w:hint="eastAsia" w:ascii="宋体" w:hAnsi="宋体"/>
          <w:b/>
          <w:sz w:val="28"/>
          <w:szCs w:val="28"/>
        </w:rPr>
        <w:t>、本表非投标文件的组成内容，不须在投标文件中提供。</w:t>
      </w:r>
    </w:p>
    <w:p>
      <w:pPr>
        <w:wordWrap w:val="0"/>
        <w:spacing w:line="500" w:lineRule="exact"/>
        <w:ind w:firstLine="548" w:firstLineChars="195"/>
        <w:rPr>
          <w:rFonts w:ascii="宋体" w:hAnsi="宋体"/>
          <w:b/>
          <w:sz w:val="28"/>
          <w:szCs w:val="28"/>
        </w:rPr>
      </w:pPr>
      <w:r>
        <w:rPr>
          <w:rFonts w:ascii="宋体" w:hAnsi="宋体"/>
          <w:b/>
          <w:sz w:val="28"/>
          <w:szCs w:val="28"/>
        </w:rPr>
        <w:t>2</w:t>
      </w:r>
      <w:r>
        <w:rPr>
          <w:rFonts w:hint="eastAsia" w:ascii="宋体" w:hAnsi="宋体"/>
          <w:b/>
          <w:sz w:val="28"/>
          <w:szCs w:val="28"/>
        </w:rPr>
        <w:t>、本表在开标现场由代理机构提供给各供应商，由各供应商签署。</w:t>
      </w:r>
    </w:p>
    <w:p>
      <w:pPr>
        <w:wordWrap w:val="0"/>
        <w:spacing w:line="500" w:lineRule="exact"/>
        <w:ind w:firstLine="548" w:firstLineChars="195"/>
        <w:rPr>
          <w:rFonts w:ascii="宋体" w:hAnsi="宋体"/>
          <w:b/>
          <w:sz w:val="28"/>
          <w:szCs w:val="28"/>
        </w:rPr>
      </w:pPr>
    </w:p>
    <w:p>
      <w:pPr>
        <w:pStyle w:val="55"/>
        <w:wordWrap w:val="0"/>
        <w:spacing w:line="360" w:lineRule="auto"/>
        <w:ind w:left="101" w:leftChars="48" w:firstLine="2880" w:firstLineChars="800"/>
        <w:jc w:val="left"/>
        <w:rPr>
          <w:rFonts w:hAnsi="宋体"/>
          <w:sz w:val="36"/>
          <w:szCs w:val="36"/>
        </w:rPr>
        <w:sectPr>
          <w:pgSz w:w="11907" w:h="16840"/>
          <w:pgMar w:top="1138" w:right="1588" w:bottom="1423" w:left="1339" w:header="285" w:footer="990" w:gutter="0"/>
          <w:cols w:space="720" w:num="1"/>
          <w:docGrid w:linePitch="285" w:charSpace="0"/>
        </w:sectPr>
      </w:pPr>
    </w:p>
    <w:tbl>
      <w:tblPr>
        <w:tblStyle w:val="12"/>
        <w:tblW w:w="0" w:type="auto"/>
        <w:tblInd w:w="-284"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pPr>
              <w:widowControl/>
              <w:wordWrap w:val="0"/>
              <w:jc w:val="center"/>
              <w:rPr>
                <w:rFonts w:ascii="宋体" w:hAnsi="宋体"/>
                <w:b/>
                <w:bCs/>
                <w:kern w:val="0"/>
                <w:sz w:val="24"/>
              </w:rPr>
            </w:pPr>
            <w:r>
              <w:rPr>
                <w:rFonts w:hint="eastAsia" w:ascii="宋体" w:hAnsi="宋体"/>
                <w:b/>
                <w:bCs/>
                <w:kern w:val="0"/>
                <w:sz w:val="24"/>
              </w:rPr>
              <w:t>中小微行业划型标准规定（根据工信部联企业〔</w:t>
            </w:r>
            <w:r>
              <w:rPr>
                <w:rFonts w:ascii="宋体" w:hAnsi="宋体"/>
                <w:b/>
                <w:bCs/>
                <w:kern w:val="0"/>
                <w:sz w:val="24"/>
              </w:rPr>
              <w:t>2011</w:t>
            </w:r>
            <w:r>
              <w:rPr>
                <w:rFonts w:hint="eastAsia" w:ascii="宋体" w:hAnsi="宋体"/>
                <w:b/>
                <w:bCs/>
                <w:kern w:val="0"/>
                <w:sz w:val="24"/>
              </w:rPr>
              <w:t>〕</w:t>
            </w:r>
            <w:r>
              <w:rPr>
                <w:rFonts w:ascii="宋体" w:hAnsi="宋体"/>
                <w:b/>
                <w:bCs/>
                <w:kern w:val="0"/>
                <w:sz w:val="24"/>
              </w:rPr>
              <w:t>300</w:t>
            </w:r>
            <w:r>
              <w:rPr>
                <w:rFonts w:hint="eastAsia" w:ascii="宋体" w:hAnsi="宋体"/>
                <w:b/>
                <w:bCs/>
                <w:kern w:val="0"/>
                <w:sz w:val="24"/>
              </w:rPr>
              <w:t>号制定）</w:t>
            </w:r>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000000" w:sz="8" w:space="0"/>
              <w:left w:val="single" w:color="000000" w:sz="8" w:space="0"/>
              <w:bottom w:val="single" w:color="000000" w:sz="4" w:space="0"/>
              <w:right w:val="single" w:color="000000" w:sz="8" w:space="0"/>
            </w:tcBorders>
            <w:vAlign w:val="center"/>
          </w:tcPr>
          <w:p>
            <w:pPr>
              <w:widowControl/>
              <w:wordWrap w:val="0"/>
              <w:jc w:val="center"/>
              <w:rPr>
                <w:rFonts w:ascii="宋体" w:hAnsi="宋体"/>
                <w:b/>
                <w:bCs/>
                <w:kern w:val="0"/>
                <w:sz w:val="24"/>
              </w:rPr>
            </w:pPr>
            <w:r>
              <w:rPr>
                <w:rFonts w:hint="eastAsia" w:ascii="宋体" w:hAnsi="宋体"/>
                <w:b/>
                <w:bCs/>
                <w:kern w:val="0"/>
                <w:sz w:val="24"/>
              </w:rPr>
              <w:t>行业</w:t>
            </w:r>
          </w:p>
        </w:tc>
        <w:tc>
          <w:tcPr>
            <w:tcW w:w="4968" w:type="dxa"/>
            <w:gridSpan w:val="3"/>
            <w:tcBorders>
              <w:top w:val="single" w:color="000000" w:sz="8" w:space="0"/>
              <w:left w:val="nil"/>
              <w:bottom w:val="single" w:color="000000" w:sz="4" w:space="0"/>
              <w:right w:val="single" w:color="000000" w:sz="8" w:space="0"/>
            </w:tcBorders>
            <w:vAlign w:val="bottom"/>
          </w:tcPr>
          <w:p>
            <w:pPr>
              <w:widowControl/>
              <w:wordWrap w:val="0"/>
              <w:jc w:val="center"/>
              <w:rPr>
                <w:rFonts w:ascii="宋体" w:hAnsi="宋体"/>
                <w:b/>
                <w:bCs/>
                <w:kern w:val="0"/>
                <w:sz w:val="24"/>
              </w:rPr>
            </w:pPr>
            <w:r>
              <w:rPr>
                <w:rFonts w:hint="eastAsia" w:ascii="宋体" w:hAnsi="宋体"/>
                <w:b/>
                <w:bCs/>
                <w:kern w:val="0"/>
                <w:sz w:val="24"/>
              </w:rPr>
              <w:t>中型企业</w:t>
            </w:r>
          </w:p>
        </w:tc>
        <w:tc>
          <w:tcPr>
            <w:tcW w:w="4282" w:type="dxa"/>
            <w:gridSpan w:val="3"/>
            <w:tcBorders>
              <w:top w:val="single" w:color="000000" w:sz="8" w:space="0"/>
              <w:left w:val="nil"/>
              <w:bottom w:val="single" w:color="000000" w:sz="4" w:space="0"/>
              <w:right w:val="single" w:color="000000" w:sz="8" w:space="0"/>
            </w:tcBorders>
            <w:vAlign w:val="bottom"/>
          </w:tcPr>
          <w:p>
            <w:pPr>
              <w:widowControl/>
              <w:wordWrap w:val="0"/>
              <w:jc w:val="center"/>
              <w:rPr>
                <w:rFonts w:ascii="宋体" w:hAnsi="宋体"/>
                <w:b/>
                <w:bCs/>
                <w:kern w:val="0"/>
                <w:sz w:val="24"/>
              </w:rPr>
            </w:pPr>
            <w:r>
              <w:rPr>
                <w:rFonts w:hint="eastAsia" w:ascii="宋体" w:hAnsi="宋体"/>
                <w:b/>
                <w:bCs/>
                <w:kern w:val="0"/>
                <w:sz w:val="24"/>
              </w:rPr>
              <w:t>小型企业</w:t>
            </w:r>
          </w:p>
        </w:tc>
        <w:tc>
          <w:tcPr>
            <w:tcW w:w="3818" w:type="dxa"/>
            <w:gridSpan w:val="3"/>
            <w:tcBorders>
              <w:top w:val="single" w:color="000000" w:sz="8" w:space="0"/>
              <w:left w:val="nil"/>
              <w:bottom w:val="single" w:color="000000" w:sz="4" w:space="0"/>
              <w:right w:val="single" w:color="000000" w:sz="8" w:space="0"/>
            </w:tcBorders>
            <w:vAlign w:val="bottom"/>
          </w:tcPr>
          <w:p>
            <w:pPr>
              <w:widowControl/>
              <w:wordWrap w:val="0"/>
              <w:jc w:val="center"/>
              <w:rPr>
                <w:rFonts w:ascii="宋体" w:hAnsi="宋体"/>
                <w:b/>
                <w:bCs/>
                <w:kern w:val="0"/>
                <w:sz w:val="24"/>
              </w:rPr>
            </w:pPr>
            <w:r>
              <w:rPr>
                <w:rFonts w:hint="eastAsia" w:ascii="宋体" w:hAnsi="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000000" w:sz="8" w:space="0"/>
              <w:left w:val="single" w:color="000000" w:sz="8" w:space="0"/>
              <w:bottom w:val="single" w:color="000000" w:sz="4" w:space="0"/>
              <w:right w:val="single" w:color="000000" w:sz="8" w:space="0"/>
            </w:tcBorders>
            <w:vAlign w:val="center"/>
          </w:tcPr>
          <w:p>
            <w:pPr>
              <w:widowControl/>
              <w:wordWrap w:val="0"/>
              <w:jc w:val="left"/>
              <w:rPr>
                <w:rFonts w:ascii="宋体" w:hAnsi="宋体"/>
                <w:b/>
                <w:bCs/>
                <w:kern w:val="0"/>
                <w:sz w:val="24"/>
              </w:rPr>
            </w:pPr>
          </w:p>
        </w:tc>
        <w:tc>
          <w:tcPr>
            <w:tcW w:w="1512" w:type="dxa"/>
            <w:tcBorders>
              <w:top w:val="nil"/>
              <w:left w:val="nil"/>
              <w:bottom w:val="single" w:color="000000" w:sz="4" w:space="0"/>
              <w:right w:val="single" w:color="000000" w:sz="4" w:space="0"/>
            </w:tcBorders>
            <w:vAlign w:val="bottom"/>
          </w:tcPr>
          <w:p>
            <w:pPr>
              <w:widowControl/>
              <w:wordWrap w:val="0"/>
              <w:jc w:val="center"/>
              <w:rPr>
                <w:rFonts w:ascii="宋体" w:hAnsi="宋体"/>
                <w:kern w:val="0"/>
                <w:sz w:val="20"/>
              </w:rPr>
            </w:pPr>
            <w:r>
              <w:rPr>
                <w:rFonts w:hint="eastAsia" w:ascii="宋体" w:hAnsi="宋体"/>
                <w:kern w:val="0"/>
                <w:sz w:val="20"/>
              </w:rPr>
              <w:t>从业人员</w:t>
            </w:r>
            <w:r>
              <w:rPr>
                <w:rFonts w:ascii="宋体" w:hAnsi="宋体"/>
                <w:kern w:val="0"/>
                <w:sz w:val="20"/>
              </w:rPr>
              <w:t>X</w:t>
            </w:r>
            <w:r>
              <w:rPr>
                <w:rFonts w:hint="eastAsia" w:ascii="宋体" w:hAnsi="宋体"/>
                <w:kern w:val="0"/>
                <w:sz w:val="20"/>
              </w:rPr>
              <w:t>（人）</w:t>
            </w:r>
          </w:p>
        </w:tc>
        <w:tc>
          <w:tcPr>
            <w:tcW w:w="1779" w:type="dxa"/>
            <w:tcBorders>
              <w:top w:val="nil"/>
              <w:left w:val="nil"/>
              <w:bottom w:val="single" w:color="000000" w:sz="4" w:space="0"/>
              <w:right w:val="single" w:color="000000" w:sz="4" w:space="0"/>
            </w:tcBorders>
            <w:vAlign w:val="bottom"/>
          </w:tcPr>
          <w:p>
            <w:pPr>
              <w:widowControl/>
              <w:wordWrap w:val="0"/>
              <w:jc w:val="center"/>
              <w:rPr>
                <w:rFonts w:ascii="宋体" w:hAnsi="宋体"/>
                <w:kern w:val="0"/>
                <w:sz w:val="20"/>
              </w:rPr>
            </w:pPr>
            <w:r>
              <w:rPr>
                <w:rFonts w:hint="eastAsia" w:ascii="宋体" w:hAnsi="宋体"/>
                <w:kern w:val="0"/>
                <w:sz w:val="20"/>
              </w:rPr>
              <w:t>营业收入</w:t>
            </w:r>
            <w:r>
              <w:rPr>
                <w:rFonts w:ascii="宋体" w:hAnsi="宋体"/>
                <w:kern w:val="0"/>
                <w:sz w:val="20"/>
              </w:rPr>
              <w:t>Y</w:t>
            </w:r>
          </w:p>
          <w:p>
            <w:pPr>
              <w:widowControl/>
              <w:wordWrap w:val="0"/>
              <w:jc w:val="center"/>
              <w:rPr>
                <w:rFonts w:ascii="宋体" w:hAnsi="宋体"/>
                <w:kern w:val="0"/>
                <w:sz w:val="20"/>
              </w:rPr>
            </w:pPr>
            <w:r>
              <w:rPr>
                <w:rFonts w:hint="eastAsia" w:ascii="宋体" w:hAnsi="宋体"/>
                <w:kern w:val="0"/>
                <w:sz w:val="20"/>
              </w:rPr>
              <w:t>（万元）</w:t>
            </w:r>
          </w:p>
        </w:tc>
        <w:tc>
          <w:tcPr>
            <w:tcW w:w="1677" w:type="dxa"/>
            <w:tcBorders>
              <w:top w:val="nil"/>
              <w:left w:val="nil"/>
              <w:bottom w:val="single" w:color="000000" w:sz="4" w:space="0"/>
              <w:right w:val="single" w:color="000000" w:sz="8" w:space="0"/>
            </w:tcBorders>
            <w:vAlign w:val="bottom"/>
          </w:tcPr>
          <w:p>
            <w:pPr>
              <w:widowControl/>
              <w:wordWrap w:val="0"/>
              <w:jc w:val="center"/>
              <w:rPr>
                <w:rFonts w:ascii="宋体" w:hAnsi="宋体"/>
                <w:kern w:val="0"/>
                <w:sz w:val="20"/>
              </w:rPr>
            </w:pPr>
            <w:r>
              <w:rPr>
                <w:rFonts w:hint="eastAsia" w:ascii="宋体" w:hAnsi="宋体"/>
                <w:kern w:val="0"/>
                <w:sz w:val="20"/>
              </w:rPr>
              <w:t>资产总额</w:t>
            </w:r>
            <w:r>
              <w:rPr>
                <w:rFonts w:ascii="宋体" w:hAnsi="宋体"/>
                <w:kern w:val="0"/>
                <w:sz w:val="20"/>
              </w:rPr>
              <w:t>Z</w:t>
            </w:r>
          </w:p>
          <w:p>
            <w:pPr>
              <w:widowControl/>
              <w:wordWrap w:val="0"/>
              <w:jc w:val="center"/>
              <w:rPr>
                <w:rFonts w:ascii="宋体" w:hAnsi="宋体"/>
                <w:kern w:val="0"/>
                <w:sz w:val="20"/>
              </w:rPr>
            </w:pPr>
            <w:r>
              <w:rPr>
                <w:rFonts w:hint="eastAsia" w:ascii="宋体" w:hAnsi="宋体"/>
                <w:kern w:val="0"/>
                <w:sz w:val="20"/>
              </w:rPr>
              <w:t>（万元）</w:t>
            </w:r>
          </w:p>
        </w:tc>
        <w:tc>
          <w:tcPr>
            <w:tcW w:w="1252" w:type="dxa"/>
            <w:tcBorders>
              <w:top w:val="nil"/>
              <w:left w:val="nil"/>
              <w:bottom w:val="single" w:color="000000" w:sz="4" w:space="0"/>
              <w:right w:val="single" w:color="000000" w:sz="4" w:space="0"/>
            </w:tcBorders>
            <w:vAlign w:val="bottom"/>
          </w:tcPr>
          <w:p>
            <w:pPr>
              <w:widowControl/>
              <w:wordWrap w:val="0"/>
              <w:jc w:val="center"/>
              <w:rPr>
                <w:rFonts w:ascii="宋体" w:hAnsi="宋体"/>
                <w:kern w:val="0"/>
                <w:sz w:val="20"/>
              </w:rPr>
            </w:pPr>
            <w:r>
              <w:rPr>
                <w:rFonts w:hint="eastAsia" w:ascii="宋体" w:hAnsi="宋体"/>
                <w:kern w:val="0"/>
                <w:sz w:val="20"/>
              </w:rPr>
              <w:t>从业人员</w:t>
            </w:r>
            <w:r>
              <w:rPr>
                <w:rFonts w:ascii="宋体" w:hAnsi="宋体"/>
                <w:kern w:val="0"/>
                <w:sz w:val="20"/>
              </w:rPr>
              <w:t>X</w:t>
            </w:r>
            <w:r>
              <w:rPr>
                <w:rFonts w:hint="eastAsia" w:ascii="宋体" w:hAnsi="宋体"/>
                <w:kern w:val="0"/>
                <w:sz w:val="20"/>
              </w:rPr>
              <w:t>（人）</w:t>
            </w:r>
          </w:p>
        </w:tc>
        <w:tc>
          <w:tcPr>
            <w:tcW w:w="1494" w:type="dxa"/>
            <w:tcBorders>
              <w:top w:val="nil"/>
              <w:left w:val="nil"/>
              <w:bottom w:val="single" w:color="000000" w:sz="4" w:space="0"/>
              <w:right w:val="single" w:color="000000" w:sz="4" w:space="0"/>
            </w:tcBorders>
            <w:vAlign w:val="bottom"/>
          </w:tcPr>
          <w:p>
            <w:pPr>
              <w:widowControl/>
              <w:wordWrap w:val="0"/>
              <w:jc w:val="center"/>
              <w:rPr>
                <w:rFonts w:ascii="宋体" w:hAnsi="宋体"/>
                <w:kern w:val="0"/>
                <w:sz w:val="20"/>
              </w:rPr>
            </w:pPr>
            <w:r>
              <w:rPr>
                <w:rFonts w:hint="eastAsia" w:ascii="宋体" w:hAnsi="宋体"/>
                <w:kern w:val="0"/>
                <w:sz w:val="20"/>
              </w:rPr>
              <w:t>营业收入</w:t>
            </w:r>
            <w:r>
              <w:rPr>
                <w:rFonts w:ascii="宋体" w:hAnsi="宋体"/>
                <w:kern w:val="0"/>
                <w:sz w:val="20"/>
              </w:rPr>
              <w:t>Y</w:t>
            </w:r>
          </w:p>
          <w:p>
            <w:pPr>
              <w:widowControl/>
              <w:wordWrap w:val="0"/>
              <w:jc w:val="center"/>
              <w:rPr>
                <w:rFonts w:ascii="宋体" w:hAnsi="宋体"/>
                <w:kern w:val="0"/>
                <w:sz w:val="20"/>
              </w:rPr>
            </w:pPr>
            <w:r>
              <w:rPr>
                <w:rFonts w:hint="eastAsia" w:ascii="宋体" w:hAnsi="宋体"/>
                <w:kern w:val="0"/>
                <w:sz w:val="20"/>
              </w:rPr>
              <w:t>（万元）</w:t>
            </w:r>
          </w:p>
        </w:tc>
        <w:tc>
          <w:tcPr>
            <w:tcW w:w="1536" w:type="dxa"/>
            <w:tcBorders>
              <w:top w:val="nil"/>
              <w:left w:val="nil"/>
              <w:bottom w:val="single" w:color="000000" w:sz="4" w:space="0"/>
              <w:right w:val="single" w:color="000000" w:sz="8" w:space="0"/>
            </w:tcBorders>
            <w:vAlign w:val="bottom"/>
          </w:tcPr>
          <w:p>
            <w:pPr>
              <w:widowControl/>
              <w:wordWrap w:val="0"/>
              <w:jc w:val="center"/>
              <w:rPr>
                <w:rFonts w:ascii="宋体" w:hAnsi="宋体"/>
                <w:kern w:val="0"/>
                <w:sz w:val="20"/>
              </w:rPr>
            </w:pPr>
            <w:r>
              <w:rPr>
                <w:rFonts w:hint="eastAsia" w:ascii="宋体" w:hAnsi="宋体"/>
                <w:kern w:val="0"/>
                <w:sz w:val="20"/>
              </w:rPr>
              <w:t>资产总额</w:t>
            </w:r>
            <w:r>
              <w:rPr>
                <w:rFonts w:ascii="宋体" w:hAnsi="宋体"/>
                <w:kern w:val="0"/>
                <w:sz w:val="20"/>
              </w:rPr>
              <w:t>Z</w:t>
            </w:r>
          </w:p>
          <w:p>
            <w:pPr>
              <w:widowControl/>
              <w:wordWrap w:val="0"/>
              <w:jc w:val="center"/>
              <w:rPr>
                <w:rFonts w:ascii="宋体" w:hAnsi="宋体"/>
                <w:kern w:val="0"/>
                <w:sz w:val="20"/>
              </w:rPr>
            </w:pPr>
            <w:r>
              <w:rPr>
                <w:rFonts w:hint="eastAsia" w:ascii="宋体" w:hAnsi="宋体"/>
                <w:kern w:val="0"/>
                <w:sz w:val="20"/>
              </w:rPr>
              <w:t>（万元）</w:t>
            </w:r>
          </w:p>
        </w:tc>
        <w:tc>
          <w:tcPr>
            <w:tcW w:w="1297" w:type="dxa"/>
            <w:tcBorders>
              <w:top w:val="nil"/>
              <w:left w:val="nil"/>
              <w:bottom w:val="single" w:color="000000" w:sz="4" w:space="0"/>
              <w:right w:val="single" w:color="000000" w:sz="4" w:space="0"/>
            </w:tcBorders>
            <w:vAlign w:val="bottom"/>
          </w:tcPr>
          <w:p>
            <w:pPr>
              <w:widowControl/>
              <w:wordWrap w:val="0"/>
              <w:jc w:val="center"/>
              <w:rPr>
                <w:rFonts w:ascii="宋体" w:hAnsi="宋体"/>
                <w:kern w:val="0"/>
                <w:sz w:val="20"/>
              </w:rPr>
            </w:pPr>
            <w:r>
              <w:rPr>
                <w:rFonts w:hint="eastAsia" w:ascii="宋体" w:hAnsi="宋体"/>
                <w:kern w:val="0"/>
                <w:sz w:val="20"/>
              </w:rPr>
              <w:t>从业人员</w:t>
            </w:r>
            <w:r>
              <w:rPr>
                <w:rFonts w:ascii="宋体" w:hAnsi="宋体"/>
                <w:kern w:val="0"/>
                <w:sz w:val="20"/>
              </w:rPr>
              <w:t>X</w:t>
            </w:r>
            <w:r>
              <w:rPr>
                <w:rFonts w:hint="eastAsia" w:ascii="宋体" w:hAnsi="宋体"/>
                <w:kern w:val="0"/>
                <w:sz w:val="20"/>
              </w:rPr>
              <w:t>（人）</w:t>
            </w:r>
          </w:p>
        </w:tc>
        <w:tc>
          <w:tcPr>
            <w:tcW w:w="1287" w:type="dxa"/>
            <w:tcBorders>
              <w:top w:val="nil"/>
              <w:left w:val="nil"/>
              <w:bottom w:val="single" w:color="000000" w:sz="4" w:space="0"/>
              <w:right w:val="single" w:color="000000" w:sz="4" w:space="0"/>
            </w:tcBorders>
            <w:vAlign w:val="bottom"/>
          </w:tcPr>
          <w:p>
            <w:pPr>
              <w:widowControl/>
              <w:wordWrap w:val="0"/>
              <w:jc w:val="center"/>
              <w:rPr>
                <w:rFonts w:ascii="宋体" w:hAnsi="宋体"/>
                <w:kern w:val="0"/>
                <w:sz w:val="20"/>
              </w:rPr>
            </w:pPr>
            <w:r>
              <w:rPr>
                <w:rFonts w:hint="eastAsia" w:ascii="宋体" w:hAnsi="宋体"/>
                <w:kern w:val="0"/>
                <w:sz w:val="20"/>
              </w:rPr>
              <w:t>营业收入</w:t>
            </w:r>
            <w:r>
              <w:rPr>
                <w:rFonts w:ascii="宋体" w:hAnsi="宋体"/>
                <w:kern w:val="0"/>
                <w:sz w:val="20"/>
              </w:rPr>
              <w:t>Y</w:t>
            </w:r>
            <w:r>
              <w:rPr>
                <w:rFonts w:hint="eastAsia" w:ascii="宋体" w:hAnsi="宋体"/>
                <w:kern w:val="0"/>
                <w:sz w:val="20"/>
              </w:rPr>
              <w:t>（万元）</w:t>
            </w:r>
          </w:p>
        </w:tc>
        <w:tc>
          <w:tcPr>
            <w:tcW w:w="1234" w:type="dxa"/>
            <w:tcBorders>
              <w:top w:val="nil"/>
              <w:left w:val="nil"/>
              <w:bottom w:val="single" w:color="000000" w:sz="4" w:space="0"/>
              <w:right w:val="single" w:color="000000" w:sz="8" w:space="0"/>
            </w:tcBorders>
            <w:vAlign w:val="bottom"/>
          </w:tcPr>
          <w:p>
            <w:pPr>
              <w:widowControl/>
              <w:wordWrap w:val="0"/>
              <w:jc w:val="center"/>
              <w:rPr>
                <w:rFonts w:ascii="宋体" w:hAnsi="宋体"/>
                <w:kern w:val="0"/>
                <w:sz w:val="20"/>
              </w:rPr>
            </w:pPr>
            <w:r>
              <w:rPr>
                <w:rFonts w:hint="eastAsia" w:ascii="宋体" w:hAnsi="宋体"/>
                <w:kern w:val="0"/>
                <w:sz w:val="20"/>
              </w:rPr>
              <w:t>资产总额</w:t>
            </w:r>
            <w:r>
              <w:rPr>
                <w:rFonts w:ascii="宋体" w:hAnsi="宋体"/>
                <w:kern w:val="0"/>
                <w:sz w:val="20"/>
              </w:rPr>
              <w:t>Z</w:t>
            </w:r>
            <w:r>
              <w:rPr>
                <w:rFonts w:hint="eastAsia" w:ascii="宋体" w:hAnsi="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 xml:space="preserve"> 1</w:t>
            </w:r>
            <w:r>
              <w:rPr>
                <w:rFonts w:hint="eastAsia" w:ascii="宋体" w:hAnsi="宋体"/>
                <w:kern w:val="0"/>
                <w:sz w:val="20"/>
              </w:rPr>
              <w:t>、农林牧渔业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 xml:space="preserve"> 500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20000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 xml:space="preserve"> 50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500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50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 xml:space="preserve"> 2</w:t>
            </w:r>
            <w:r>
              <w:rPr>
                <w:rFonts w:hint="eastAsia" w:ascii="宋体" w:hAnsi="宋体"/>
                <w:kern w:val="0"/>
                <w:sz w:val="20"/>
              </w:rPr>
              <w:t>、工业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300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1000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2000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40000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20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300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300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2000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20</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300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 xml:space="preserve"> 3</w:t>
            </w:r>
            <w:r>
              <w:rPr>
                <w:rFonts w:hint="eastAsia" w:ascii="宋体" w:hAnsi="宋体"/>
                <w:kern w:val="0"/>
                <w:sz w:val="20"/>
              </w:rPr>
              <w:t>、建筑业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6000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80000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ascii="宋体" w:hAnsi="宋体"/>
                <w:kern w:val="0"/>
                <w:sz w:val="20"/>
              </w:rPr>
              <w:t>5000</w:t>
            </w:r>
            <w:r>
              <w:rPr>
                <w:rFonts w:hint="eastAsia" w:ascii="宋体" w:hAnsi="宋体"/>
                <w:kern w:val="0"/>
                <w:sz w:val="20"/>
              </w:rPr>
              <w:t>≤</w:t>
            </w:r>
            <w:r>
              <w:rPr>
                <w:rFonts w:ascii="宋体" w:hAnsi="宋体"/>
                <w:kern w:val="0"/>
                <w:sz w:val="20"/>
              </w:rPr>
              <w:t>Z</w:t>
            </w:r>
            <w:r>
              <w:rPr>
                <w:rFonts w:hint="eastAsia" w:ascii="宋体" w:hAnsi="宋体"/>
                <w:kern w:val="0"/>
                <w:sz w:val="20"/>
              </w:rPr>
              <w:t>＜</w:t>
            </w:r>
            <w:r>
              <w:rPr>
                <w:rFonts w:ascii="宋体" w:hAnsi="宋体"/>
                <w:kern w:val="0"/>
                <w:sz w:val="20"/>
              </w:rPr>
              <w:t>80000</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300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6000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ascii="宋体" w:hAnsi="宋体"/>
                <w:kern w:val="0"/>
                <w:sz w:val="20"/>
              </w:rPr>
              <w:t xml:space="preserve"> 300</w:t>
            </w:r>
            <w:r>
              <w:rPr>
                <w:rFonts w:hint="eastAsia" w:ascii="宋体" w:hAnsi="宋体"/>
                <w:kern w:val="0"/>
                <w:sz w:val="20"/>
              </w:rPr>
              <w:t>≤</w:t>
            </w:r>
            <w:r>
              <w:rPr>
                <w:rFonts w:ascii="宋体" w:hAnsi="宋体"/>
                <w:kern w:val="0"/>
                <w:sz w:val="20"/>
              </w:rPr>
              <w:t>Z</w:t>
            </w:r>
            <w:r>
              <w:rPr>
                <w:rFonts w:hint="eastAsia" w:ascii="宋体" w:hAnsi="宋体"/>
                <w:kern w:val="0"/>
                <w:sz w:val="20"/>
              </w:rPr>
              <w:t>＜</w:t>
            </w:r>
            <w:r>
              <w:rPr>
                <w:rFonts w:ascii="宋体" w:hAnsi="宋体"/>
                <w:kern w:val="0"/>
                <w:sz w:val="20"/>
              </w:rPr>
              <w:t>5000</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300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ascii="宋体" w:hAnsi="宋体"/>
                <w:kern w:val="0"/>
                <w:sz w:val="20"/>
              </w:rPr>
              <w:t>Z</w:t>
            </w:r>
            <w:r>
              <w:rPr>
                <w:rFonts w:hint="eastAsia" w:ascii="宋体" w:hAnsi="宋体"/>
                <w:kern w:val="0"/>
                <w:sz w:val="20"/>
              </w:rPr>
              <w:t>＜</w:t>
            </w:r>
            <w:r>
              <w:rPr>
                <w:rFonts w:ascii="宋体" w:hAnsi="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 xml:space="preserve"> 4</w:t>
            </w:r>
            <w:r>
              <w:rPr>
                <w:rFonts w:hint="eastAsia" w:ascii="宋体" w:hAnsi="宋体"/>
                <w:kern w:val="0"/>
                <w:sz w:val="20"/>
              </w:rPr>
              <w:t>、批发业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 xml:space="preserve"> 20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200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5000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40000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 xml:space="preserve"> 5</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20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5000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5</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1000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 xml:space="preserve"> 5</w:t>
            </w:r>
            <w:r>
              <w:rPr>
                <w:rFonts w:hint="eastAsia" w:ascii="宋体" w:hAnsi="宋体"/>
                <w:kern w:val="0"/>
                <w:sz w:val="20"/>
              </w:rPr>
              <w:t>、零售业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 xml:space="preserve"> 50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300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 xml:space="preserve"> 500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20000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50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500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10</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100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 xml:space="preserve"> 6</w:t>
            </w:r>
            <w:r>
              <w:rPr>
                <w:rFonts w:hint="eastAsia" w:ascii="宋体" w:hAnsi="宋体"/>
                <w:kern w:val="0"/>
                <w:sz w:val="20"/>
              </w:rPr>
              <w:t>、交通运输业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300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1000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3000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30000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20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300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200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3000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20</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V</w:t>
            </w:r>
            <w:r>
              <w:rPr>
                <w:rFonts w:hint="eastAsia" w:ascii="宋体" w:hAnsi="宋体"/>
                <w:kern w:val="0"/>
                <w:sz w:val="20"/>
              </w:rPr>
              <w:t>＜</w:t>
            </w:r>
            <w:r>
              <w:rPr>
                <w:rFonts w:ascii="宋体" w:hAnsi="宋体"/>
                <w:kern w:val="0"/>
                <w:sz w:val="20"/>
              </w:rPr>
              <w:t>200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 xml:space="preserve"> 7</w:t>
            </w:r>
            <w:r>
              <w:rPr>
                <w:rFonts w:hint="eastAsia" w:ascii="宋体" w:hAnsi="宋体"/>
                <w:kern w:val="0"/>
                <w:sz w:val="20"/>
              </w:rPr>
              <w:t>、仓储业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200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30000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20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100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1000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20</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100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 xml:space="preserve"> 8</w:t>
            </w:r>
            <w:r>
              <w:rPr>
                <w:rFonts w:hint="eastAsia" w:ascii="宋体" w:hAnsi="宋体"/>
                <w:kern w:val="0"/>
                <w:sz w:val="20"/>
              </w:rPr>
              <w:t>、邮政业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300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1000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2000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30000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20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300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2000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20</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100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 xml:space="preserve"> 9</w:t>
            </w:r>
            <w:r>
              <w:rPr>
                <w:rFonts w:hint="eastAsia" w:ascii="宋体" w:hAnsi="宋体"/>
                <w:kern w:val="0"/>
                <w:sz w:val="20"/>
              </w:rPr>
              <w:t>、住宿业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300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2000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10000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100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2000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10</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100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10</w:t>
            </w:r>
            <w:r>
              <w:rPr>
                <w:rFonts w:hint="eastAsia" w:ascii="宋体" w:hAnsi="宋体"/>
                <w:kern w:val="0"/>
                <w:sz w:val="20"/>
              </w:rPr>
              <w:t>、餐饮业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300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2000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10000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100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2000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10</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V</w:t>
            </w:r>
            <w:r>
              <w:rPr>
                <w:rFonts w:hint="eastAsia" w:ascii="宋体" w:hAnsi="宋体"/>
                <w:kern w:val="0"/>
                <w:sz w:val="20"/>
              </w:rPr>
              <w:t>＜</w:t>
            </w:r>
            <w:r>
              <w:rPr>
                <w:rFonts w:ascii="宋体" w:hAnsi="宋体"/>
                <w:kern w:val="0"/>
                <w:sz w:val="20"/>
              </w:rPr>
              <w:t>100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11</w:t>
            </w:r>
            <w:r>
              <w:rPr>
                <w:rFonts w:hint="eastAsia" w:ascii="宋体" w:hAnsi="宋体"/>
                <w:kern w:val="0"/>
                <w:sz w:val="20"/>
              </w:rPr>
              <w:t>、信息传输业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2000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100000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100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1000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10</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100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12</w:t>
            </w:r>
            <w:r>
              <w:rPr>
                <w:rFonts w:hint="eastAsia" w:ascii="宋体" w:hAnsi="宋体"/>
                <w:kern w:val="0"/>
                <w:sz w:val="20"/>
              </w:rPr>
              <w:t>、软件和信息技术服务业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300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10000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100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 xml:space="preserve"> 50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1000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10</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50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13</w:t>
            </w:r>
            <w:r>
              <w:rPr>
                <w:rFonts w:hint="eastAsia" w:ascii="宋体" w:hAnsi="宋体"/>
                <w:kern w:val="0"/>
                <w:sz w:val="20"/>
              </w:rPr>
              <w:t>、房地产开发经营</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200000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ascii="宋体" w:hAnsi="宋体"/>
                <w:kern w:val="0"/>
                <w:sz w:val="20"/>
              </w:rPr>
              <w:t>5000</w:t>
            </w:r>
            <w:r>
              <w:rPr>
                <w:rFonts w:hint="eastAsia" w:ascii="宋体" w:hAnsi="宋体"/>
                <w:kern w:val="0"/>
                <w:sz w:val="20"/>
              </w:rPr>
              <w:t>≤</w:t>
            </w:r>
            <w:r>
              <w:rPr>
                <w:rFonts w:ascii="宋体" w:hAnsi="宋体"/>
                <w:kern w:val="0"/>
                <w:sz w:val="20"/>
              </w:rPr>
              <w:t>Z</w:t>
            </w:r>
            <w:r>
              <w:rPr>
                <w:rFonts w:hint="eastAsia" w:ascii="宋体" w:hAnsi="宋体"/>
                <w:kern w:val="0"/>
                <w:sz w:val="20"/>
              </w:rPr>
              <w:t>＜</w:t>
            </w:r>
            <w:r>
              <w:rPr>
                <w:rFonts w:ascii="宋体" w:hAnsi="宋体"/>
                <w:kern w:val="0"/>
                <w:sz w:val="20"/>
              </w:rPr>
              <w:t>10000</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1000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ascii="宋体" w:hAnsi="宋体"/>
                <w:kern w:val="0"/>
                <w:sz w:val="20"/>
              </w:rPr>
              <w:t>2000</w:t>
            </w:r>
            <w:r>
              <w:rPr>
                <w:rFonts w:hint="eastAsia" w:ascii="宋体" w:hAnsi="宋体"/>
                <w:kern w:val="0"/>
                <w:sz w:val="20"/>
              </w:rPr>
              <w:t>≤</w:t>
            </w:r>
            <w:r>
              <w:rPr>
                <w:rFonts w:ascii="宋体" w:hAnsi="宋体"/>
                <w:kern w:val="0"/>
                <w:sz w:val="20"/>
              </w:rPr>
              <w:t>Z</w:t>
            </w:r>
            <w:r>
              <w:rPr>
                <w:rFonts w:hint="eastAsia" w:ascii="宋体" w:hAnsi="宋体"/>
                <w:kern w:val="0"/>
                <w:sz w:val="20"/>
              </w:rPr>
              <w:t>＜</w:t>
            </w:r>
            <w:r>
              <w:rPr>
                <w:rFonts w:ascii="宋体" w:hAnsi="宋体"/>
                <w:kern w:val="0"/>
                <w:sz w:val="20"/>
              </w:rPr>
              <w:t>5000</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100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ascii="宋体" w:hAnsi="宋体"/>
                <w:kern w:val="0"/>
                <w:sz w:val="20"/>
              </w:rPr>
              <w:t>Z</w:t>
            </w:r>
            <w:r>
              <w:rPr>
                <w:rFonts w:hint="eastAsia" w:ascii="宋体" w:hAnsi="宋体"/>
                <w:kern w:val="0"/>
                <w:sz w:val="20"/>
              </w:rPr>
              <w:t>＜</w:t>
            </w:r>
            <w:r>
              <w:rPr>
                <w:rFonts w:ascii="宋体" w:hAnsi="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14</w:t>
            </w:r>
            <w:r>
              <w:rPr>
                <w:rFonts w:hint="eastAsia" w:ascii="宋体" w:hAnsi="宋体"/>
                <w:kern w:val="0"/>
                <w:sz w:val="20"/>
              </w:rPr>
              <w:t>、物业管理</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300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1000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5000</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300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500</w:t>
            </w:r>
            <w:r>
              <w:rPr>
                <w:rFonts w:hint="eastAsia" w:ascii="宋体" w:hAnsi="宋体"/>
                <w:kern w:val="0"/>
                <w:sz w:val="20"/>
              </w:rPr>
              <w:t>≤</w:t>
            </w:r>
            <w:r>
              <w:rPr>
                <w:rFonts w:ascii="宋体" w:hAnsi="宋体"/>
                <w:kern w:val="0"/>
                <w:sz w:val="20"/>
              </w:rPr>
              <w:t>Y</w:t>
            </w:r>
            <w:r>
              <w:rPr>
                <w:rFonts w:hint="eastAsia" w:ascii="宋体" w:hAnsi="宋体"/>
                <w:kern w:val="0"/>
                <w:sz w:val="20"/>
              </w:rPr>
              <w:t>＜</w:t>
            </w:r>
            <w:r>
              <w:rPr>
                <w:rFonts w:ascii="宋体" w:hAnsi="宋体"/>
                <w:kern w:val="0"/>
                <w:sz w:val="20"/>
              </w:rPr>
              <w:t>1000</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100</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Y</w:t>
            </w:r>
            <w:r>
              <w:rPr>
                <w:rFonts w:hint="eastAsia" w:ascii="宋体" w:hAnsi="宋体"/>
                <w:kern w:val="0"/>
                <w:sz w:val="20"/>
              </w:rPr>
              <w:t>＜</w:t>
            </w:r>
            <w:r>
              <w:rPr>
                <w:rFonts w:ascii="宋体" w:hAnsi="宋体"/>
                <w:kern w:val="0"/>
                <w:sz w:val="20"/>
              </w:rPr>
              <w:t>500</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15</w:t>
            </w:r>
            <w:r>
              <w:rPr>
                <w:rFonts w:hint="eastAsia" w:ascii="宋体" w:hAnsi="宋体"/>
                <w:kern w:val="0"/>
                <w:sz w:val="20"/>
              </w:rPr>
              <w:t>、租赁和商务服务业</w:t>
            </w:r>
          </w:p>
        </w:tc>
        <w:tc>
          <w:tcPr>
            <w:tcW w:w="151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300</w:t>
            </w:r>
          </w:p>
        </w:tc>
        <w:tc>
          <w:tcPr>
            <w:tcW w:w="1779"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677"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ascii="宋体" w:hAnsi="宋体"/>
                <w:kern w:val="0"/>
                <w:sz w:val="20"/>
              </w:rPr>
              <w:t>8000</w:t>
            </w:r>
            <w:r>
              <w:rPr>
                <w:rFonts w:hint="eastAsia" w:ascii="宋体" w:hAnsi="宋体"/>
                <w:kern w:val="0"/>
                <w:sz w:val="20"/>
              </w:rPr>
              <w:t>≤</w:t>
            </w:r>
            <w:r>
              <w:rPr>
                <w:rFonts w:ascii="宋体" w:hAnsi="宋体"/>
                <w:kern w:val="0"/>
                <w:sz w:val="20"/>
              </w:rPr>
              <w:t>Z</w:t>
            </w:r>
            <w:r>
              <w:rPr>
                <w:rFonts w:hint="eastAsia" w:ascii="宋体" w:hAnsi="宋体"/>
                <w:kern w:val="0"/>
                <w:sz w:val="20"/>
              </w:rPr>
              <w:t>＜</w:t>
            </w:r>
            <w:r>
              <w:rPr>
                <w:rFonts w:ascii="宋体" w:hAnsi="宋体"/>
                <w:kern w:val="0"/>
                <w:sz w:val="20"/>
              </w:rPr>
              <w:t>120000</w:t>
            </w:r>
          </w:p>
        </w:tc>
        <w:tc>
          <w:tcPr>
            <w:tcW w:w="1252"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10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100</w:t>
            </w:r>
          </w:p>
        </w:tc>
        <w:tc>
          <w:tcPr>
            <w:tcW w:w="1494"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536"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ascii="宋体" w:hAnsi="宋体"/>
                <w:kern w:val="0"/>
                <w:sz w:val="20"/>
              </w:rPr>
              <w:t xml:space="preserve"> 100</w:t>
            </w:r>
            <w:r>
              <w:rPr>
                <w:rFonts w:hint="eastAsia" w:ascii="宋体" w:hAnsi="宋体"/>
                <w:kern w:val="0"/>
                <w:sz w:val="20"/>
              </w:rPr>
              <w:t>≤</w:t>
            </w:r>
            <w:r>
              <w:rPr>
                <w:rFonts w:ascii="宋体" w:hAnsi="宋体"/>
                <w:kern w:val="0"/>
                <w:sz w:val="20"/>
              </w:rPr>
              <w:t>Z</w:t>
            </w:r>
            <w:r>
              <w:rPr>
                <w:rFonts w:hint="eastAsia" w:ascii="宋体" w:hAnsi="宋体"/>
                <w:kern w:val="0"/>
                <w:sz w:val="20"/>
              </w:rPr>
              <w:t>＜</w:t>
            </w:r>
            <w:r>
              <w:rPr>
                <w:rFonts w:ascii="宋体" w:hAnsi="宋体"/>
                <w:kern w:val="0"/>
                <w:sz w:val="20"/>
              </w:rPr>
              <w:t>8000</w:t>
            </w:r>
          </w:p>
        </w:tc>
        <w:tc>
          <w:tcPr>
            <w:tcW w:w="129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10</w:t>
            </w:r>
          </w:p>
        </w:tc>
        <w:tc>
          <w:tcPr>
            <w:tcW w:w="1287" w:type="dxa"/>
            <w:tcBorders>
              <w:top w:val="nil"/>
              <w:left w:val="nil"/>
              <w:bottom w:val="single" w:color="000000" w:sz="4"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234" w:type="dxa"/>
            <w:tcBorders>
              <w:top w:val="nil"/>
              <w:left w:val="nil"/>
              <w:bottom w:val="single" w:color="000000" w:sz="4" w:space="0"/>
              <w:right w:val="single" w:color="000000" w:sz="8" w:space="0"/>
            </w:tcBorders>
            <w:vAlign w:val="center"/>
          </w:tcPr>
          <w:p>
            <w:pPr>
              <w:widowControl/>
              <w:wordWrap w:val="0"/>
              <w:rPr>
                <w:rFonts w:ascii="宋体" w:hAnsi="宋体"/>
                <w:kern w:val="0"/>
                <w:sz w:val="20"/>
              </w:rPr>
            </w:pPr>
            <w:r>
              <w:rPr>
                <w:rFonts w:ascii="宋体" w:hAnsi="宋体"/>
                <w:kern w:val="0"/>
                <w:sz w:val="20"/>
              </w:rPr>
              <w:t>Z</w:t>
            </w:r>
            <w:r>
              <w:rPr>
                <w:rFonts w:hint="eastAsia" w:ascii="宋体" w:hAnsi="宋体"/>
                <w:kern w:val="0"/>
                <w:sz w:val="20"/>
              </w:rPr>
              <w:t>＜</w:t>
            </w:r>
            <w:r>
              <w:rPr>
                <w:rFonts w:ascii="宋体" w:hAnsi="宋体"/>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000000" w:sz="8" w:space="0"/>
              <w:bottom w:val="single" w:color="000000" w:sz="8" w:space="0"/>
              <w:right w:val="single" w:color="000000" w:sz="8" w:space="0"/>
            </w:tcBorders>
            <w:vAlign w:val="bottom"/>
          </w:tcPr>
          <w:p>
            <w:pPr>
              <w:widowControl/>
              <w:wordWrap w:val="0"/>
              <w:jc w:val="left"/>
              <w:rPr>
                <w:rFonts w:ascii="宋体" w:hAnsi="宋体"/>
                <w:kern w:val="0"/>
                <w:sz w:val="20"/>
              </w:rPr>
            </w:pPr>
            <w:r>
              <w:rPr>
                <w:rFonts w:ascii="宋体" w:hAnsi="宋体"/>
                <w:kern w:val="0"/>
                <w:sz w:val="20"/>
              </w:rPr>
              <w:t>16</w:t>
            </w:r>
            <w:r>
              <w:rPr>
                <w:rFonts w:hint="eastAsia" w:ascii="宋体" w:hAnsi="宋体"/>
                <w:kern w:val="0"/>
                <w:sz w:val="20"/>
              </w:rPr>
              <w:t>、其他未列明行业</w:t>
            </w:r>
          </w:p>
        </w:tc>
        <w:tc>
          <w:tcPr>
            <w:tcW w:w="1512" w:type="dxa"/>
            <w:tcBorders>
              <w:top w:val="nil"/>
              <w:left w:val="nil"/>
              <w:bottom w:val="single" w:color="000000" w:sz="8" w:space="0"/>
              <w:right w:val="single" w:color="000000" w:sz="4" w:space="0"/>
            </w:tcBorders>
            <w:vAlign w:val="center"/>
          </w:tcPr>
          <w:p>
            <w:pPr>
              <w:widowControl/>
              <w:wordWrap w:val="0"/>
              <w:rPr>
                <w:rFonts w:ascii="宋体" w:hAnsi="宋体"/>
                <w:kern w:val="0"/>
                <w:sz w:val="20"/>
              </w:rPr>
            </w:pPr>
            <w:r>
              <w:rPr>
                <w:rFonts w:ascii="宋体" w:hAnsi="宋体"/>
                <w:kern w:val="0"/>
                <w:sz w:val="20"/>
              </w:rPr>
              <w:t>100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300</w:t>
            </w:r>
          </w:p>
        </w:tc>
        <w:tc>
          <w:tcPr>
            <w:tcW w:w="1779" w:type="dxa"/>
            <w:tcBorders>
              <w:top w:val="nil"/>
              <w:left w:val="nil"/>
              <w:bottom w:val="single" w:color="000000" w:sz="8"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677" w:type="dxa"/>
            <w:tcBorders>
              <w:top w:val="nil"/>
              <w:left w:val="nil"/>
              <w:bottom w:val="single" w:color="000000" w:sz="8"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52" w:type="dxa"/>
            <w:tcBorders>
              <w:top w:val="nil"/>
              <w:left w:val="nil"/>
              <w:bottom w:val="single" w:color="000000" w:sz="8" w:space="0"/>
              <w:right w:val="single" w:color="000000" w:sz="4" w:space="0"/>
            </w:tcBorders>
            <w:vAlign w:val="center"/>
          </w:tcPr>
          <w:p>
            <w:pPr>
              <w:widowControl/>
              <w:wordWrap w:val="0"/>
              <w:rPr>
                <w:rFonts w:ascii="宋体" w:hAnsi="宋体"/>
                <w:kern w:val="0"/>
                <w:sz w:val="20"/>
              </w:rPr>
            </w:pPr>
            <w:r>
              <w:rPr>
                <w:rFonts w:ascii="宋体" w:hAnsi="宋体"/>
                <w:kern w:val="0"/>
                <w:sz w:val="20"/>
              </w:rPr>
              <w:t>10</w:t>
            </w:r>
            <w:r>
              <w:rPr>
                <w:rFonts w:hint="eastAsia" w:ascii="宋体" w:hAnsi="宋体"/>
                <w:kern w:val="0"/>
                <w:sz w:val="20"/>
              </w:rPr>
              <w:t>≤</w:t>
            </w:r>
            <w:r>
              <w:rPr>
                <w:rFonts w:ascii="宋体" w:hAnsi="宋体"/>
                <w:kern w:val="0"/>
                <w:sz w:val="20"/>
              </w:rPr>
              <w:t>X</w:t>
            </w:r>
            <w:r>
              <w:rPr>
                <w:rFonts w:hint="eastAsia" w:ascii="宋体" w:hAnsi="宋体"/>
                <w:kern w:val="0"/>
                <w:sz w:val="20"/>
              </w:rPr>
              <w:t>＜</w:t>
            </w:r>
            <w:r>
              <w:rPr>
                <w:rFonts w:ascii="宋体" w:hAnsi="宋体"/>
                <w:kern w:val="0"/>
                <w:sz w:val="20"/>
              </w:rPr>
              <w:t>100</w:t>
            </w:r>
          </w:p>
        </w:tc>
        <w:tc>
          <w:tcPr>
            <w:tcW w:w="1494" w:type="dxa"/>
            <w:tcBorders>
              <w:top w:val="nil"/>
              <w:left w:val="nil"/>
              <w:bottom w:val="single" w:color="000000" w:sz="8"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536" w:type="dxa"/>
            <w:tcBorders>
              <w:top w:val="nil"/>
              <w:left w:val="nil"/>
              <w:bottom w:val="single" w:color="000000" w:sz="8"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c>
          <w:tcPr>
            <w:tcW w:w="1297" w:type="dxa"/>
            <w:tcBorders>
              <w:top w:val="nil"/>
              <w:left w:val="nil"/>
              <w:bottom w:val="single" w:color="000000" w:sz="8" w:space="0"/>
              <w:right w:val="single" w:color="000000" w:sz="4" w:space="0"/>
            </w:tcBorders>
            <w:vAlign w:val="center"/>
          </w:tcPr>
          <w:p>
            <w:pPr>
              <w:widowControl/>
              <w:wordWrap w:val="0"/>
              <w:rPr>
                <w:rFonts w:ascii="宋体" w:hAnsi="宋体"/>
                <w:kern w:val="0"/>
                <w:sz w:val="20"/>
              </w:rPr>
            </w:pPr>
            <w:r>
              <w:rPr>
                <w:rFonts w:ascii="宋体" w:hAnsi="宋体"/>
                <w:kern w:val="0"/>
                <w:sz w:val="20"/>
              </w:rPr>
              <w:t>X</w:t>
            </w:r>
            <w:r>
              <w:rPr>
                <w:rFonts w:hint="eastAsia" w:ascii="宋体" w:hAnsi="宋体"/>
                <w:kern w:val="0"/>
                <w:sz w:val="20"/>
              </w:rPr>
              <w:t>＜</w:t>
            </w:r>
            <w:r>
              <w:rPr>
                <w:rFonts w:ascii="宋体" w:hAnsi="宋体"/>
                <w:kern w:val="0"/>
                <w:sz w:val="20"/>
              </w:rPr>
              <w:t>10</w:t>
            </w:r>
          </w:p>
        </w:tc>
        <w:tc>
          <w:tcPr>
            <w:tcW w:w="1287" w:type="dxa"/>
            <w:tcBorders>
              <w:top w:val="nil"/>
              <w:left w:val="nil"/>
              <w:bottom w:val="single" w:color="000000" w:sz="8" w:space="0"/>
              <w:right w:val="single" w:color="000000" w:sz="4" w:space="0"/>
            </w:tcBorders>
            <w:vAlign w:val="center"/>
          </w:tcPr>
          <w:p>
            <w:pPr>
              <w:widowControl/>
              <w:wordWrap w:val="0"/>
              <w:rPr>
                <w:rFonts w:ascii="宋体" w:hAnsi="宋体"/>
                <w:kern w:val="0"/>
                <w:sz w:val="20"/>
              </w:rPr>
            </w:pPr>
            <w:r>
              <w:rPr>
                <w:rFonts w:hint="eastAsia" w:ascii="宋体" w:hAnsi="宋体"/>
                <w:kern w:val="0"/>
                <w:sz w:val="20"/>
              </w:rPr>
              <w:t>　</w:t>
            </w:r>
          </w:p>
        </w:tc>
        <w:tc>
          <w:tcPr>
            <w:tcW w:w="1234" w:type="dxa"/>
            <w:tcBorders>
              <w:top w:val="nil"/>
              <w:left w:val="nil"/>
              <w:bottom w:val="single" w:color="000000" w:sz="8" w:space="0"/>
              <w:right w:val="single" w:color="000000" w:sz="8" w:space="0"/>
            </w:tcBorders>
            <w:vAlign w:val="center"/>
          </w:tcPr>
          <w:p>
            <w:pPr>
              <w:widowControl/>
              <w:wordWrap w:val="0"/>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vAlign w:val="bottom"/>
          </w:tcPr>
          <w:p>
            <w:pPr>
              <w:widowControl/>
              <w:wordWrap w:val="0"/>
              <w:jc w:val="left"/>
              <w:rPr>
                <w:rFonts w:ascii="宋体" w:hAnsi="宋体"/>
                <w:kern w:val="0"/>
                <w:sz w:val="20"/>
              </w:rPr>
            </w:pPr>
            <w:r>
              <w:rPr>
                <w:rFonts w:hint="eastAsia" w:ascii="宋体" w:hAnsi="宋体"/>
                <w:kern w:val="0"/>
                <w:sz w:val="20"/>
              </w:rPr>
              <w:t>说明　</w:t>
            </w:r>
            <w:r>
              <w:rPr>
                <w:rFonts w:ascii="宋体" w:hAnsi="宋体"/>
                <w:kern w:val="0"/>
                <w:sz w:val="20"/>
              </w:rPr>
              <w:t>1</w:t>
            </w:r>
            <w:r>
              <w:rPr>
                <w:rFonts w:hint="eastAsia" w:ascii="宋体" w:hAnsi="宋体"/>
                <w:kern w:val="0"/>
                <w:sz w:val="20"/>
              </w:rPr>
              <w:t>、企业类型的划分以统计部门的统计数据为依据。</w:t>
            </w:r>
          </w:p>
          <w:p>
            <w:pPr>
              <w:widowControl/>
              <w:wordWrap w:val="0"/>
              <w:ind w:firstLine="600" w:firstLineChars="300"/>
              <w:jc w:val="left"/>
              <w:rPr>
                <w:rFonts w:ascii="宋体" w:hAnsi="宋体"/>
                <w:kern w:val="0"/>
                <w:sz w:val="20"/>
              </w:rPr>
            </w:pPr>
            <w:r>
              <w:rPr>
                <w:rFonts w:ascii="宋体" w:hAnsi="宋体"/>
                <w:kern w:val="0"/>
                <w:sz w:val="20"/>
              </w:rPr>
              <w:t>2</w:t>
            </w:r>
            <w:r>
              <w:rPr>
                <w:rFonts w:hint="eastAsia" w:ascii="宋体" w:hAnsi="宋体"/>
                <w:kern w:val="0"/>
                <w:sz w:val="20"/>
              </w:rPr>
              <w:t>、个体工商户和本规定以外的行业，参照本规定进行划型。</w:t>
            </w:r>
          </w:p>
          <w:p>
            <w:pPr>
              <w:widowControl/>
              <w:wordWrap w:val="0"/>
              <w:ind w:firstLine="600" w:firstLineChars="300"/>
              <w:jc w:val="left"/>
              <w:rPr>
                <w:rFonts w:ascii="宋体" w:hAnsi="宋体"/>
                <w:kern w:val="0"/>
                <w:sz w:val="20"/>
              </w:rPr>
            </w:pPr>
            <w:r>
              <w:rPr>
                <w:rFonts w:ascii="宋体" w:hAnsi="宋体"/>
                <w:kern w:val="0"/>
                <w:sz w:val="20"/>
              </w:rPr>
              <w:t>3</w:t>
            </w:r>
            <w:r>
              <w:rPr>
                <w:rFonts w:hint="eastAsia" w:ascii="宋体" w:hAnsi="宋体"/>
                <w:kern w:val="0"/>
                <w:sz w:val="20"/>
              </w:rPr>
              <w:t>、本规定的中型企业标准上限即为大型企业标准的下限。</w:t>
            </w:r>
          </w:p>
        </w:tc>
      </w:tr>
    </w:tbl>
    <w:p/>
    <w:sectPr>
      <w:pgSz w:w="16838" w:h="11906" w:orient="landscape"/>
      <w:pgMar w:top="526" w:right="1440" w:bottom="568"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Univers">
    <w:altName w:val="Arial"/>
    <w:panose1 w:val="00000000000000000000"/>
    <w:charset w:val="00"/>
    <w:family w:val="swiss"/>
    <w:pitch w:val="default"/>
    <w:sig w:usb0="00000000" w:usb1="00000000" w:usb2="00000000" w:usb3="00000000" w:csb0="0000000F"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3"/>
        <w:tab w:val="clear" w:pos="8306"/>
      </w:tabs>
      <w:jc w:val="center"/>
    </w:pPr>
    <w:r>
      <mc:AlternateContent>
        <mc:Choice Requires="wps">
          <w:drawing>
            <wp:anchor distT="0" distB="0" distL="114300" distR="114300" simplePos="0" relativeHeight="251663360" behindDoc="0" locked="0" layoutInCell="0" allowOverlap="1">
              <wp:simplePos x="0" y="0"/>
              <wp:positionH relativeFrom="page">
                <wp:align>center</wp:align>
              </wp:positionH>
              <wp:positionV relativeFrom="page">
                <wp:align>bottom</wp:align>
              </wp:positionV>
              <wp:extent cx="7772400" cy="442595"/>
              <wp:effectExtent l="0" t="0" r="0" b="14605"/>
              <wp:wrapNone/>
              <wp:docPr id="2" name="MSIPCM23a5456084d72bd2f7b4e862" descr="{&quot;HashCode&quot;:12353886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wps:spPr>
                    <wps:txbx>
                      <w:txbxContent>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 id="MSIPCM23a5456084d72bd2f7b4e862" o:spid="_x0000_s1026" o:spt="202" alt="{&quot;HashCode&quot;:1235388660,&quot;Height&quot;:9999999.0,&quot;Width&quot;:9999999.0,&quot;Placement&quot;:&quot;Footer&quot;,&quot;Index&quot;:&quot;Primary&quot;,&quot;Section&quot;:1,&quot;Top&quot;:0.0,&quot;Left&quot;:0.0}" type="#_x0000_t202" style="position:absolute;left:0pt;height:34.85pt;width:612pt;mso-position-horizontal:center;mso-position-horizontal-relative:page;mso-position-vertical:bottom;mso-position-vertical-relative:page;z-index:251663360;v-text-anchor:middle;mso-width-relative:page;mso-height-relative:page;" filled="f" stroked="f" coordsize="21600,21600" o:allowincell="f" o:gfxdata="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XVHJi1AAAAAUBAAAPAAAAAAAAAAEAIAAAACIAAABkcnMvZG93bnJldi54&#10;bWxQSwECFAAUAAAACACHTuJAP2xHhKkCAABkBQAADgAAAAAAAAABACAAAAAjAQAAZHJzL2Uyb0Rv&#10;Yy54bWxQSwUGAAAAAAYABgBZAQAAPgYAAAAA&#10;">
              <v:fill on="f" focussize="0,0"/>
              <v:stroke on="f" weight="0.5pt"/>
              <v:imagedata o:title=""/>
              <o:lock v:ext="edit" aspectratio="f"/>
              <v:textbox inset="2.54mm,0mm,2.54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center" w:y="1"/>
      <w:tabs>
        <w:tab w:val="clear" w:pos="4153"/>
        <w:tab w:val="clear" w:pos="8306"/>
      </w:tabs>
    </w:pPr>
    <w:r>
      <w:fldChar w:fldCharType="begin"/>
    </w:r>
    <w:r>
      <w:rPr>
        <w:rStyle w:val="87"/>
      </w:rPr>
      <w:instrText xml:space="preserve">PAGE  </w:instrText>
    </w:r>
    <w:r>
      <w:fldChar w:fldCharType="end"/>
    </w:r>
  </w:p>
  <w:p>
    <w:pPr>
      <w:pStyle w:val="61"/>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3"/>
        <w:tab w:val="clear" w:pos="8306"/>
      </w:tabs>
      <w:jc w:val="center"/>
    </w:pPr>
    <w:r>
      <mc:AlternateContent>
        <mc:Choice Requires="wps">
          <w:drawing>
            <wp:anchor distT="0" distB="0" distL="114300" distR="114300" simplePos="0" relativeHeight="251663360" behindDoc="0" locked="0" layoutInCell="0" allowOverlap="1">
              <wp:simplePos x="0" y="0"/>
              <wp:positionH relativeFrom="page">
                <wp:align>center</wp:align>
              </wp:positionH>
              <wp:positionV relativeFrom="page">
                <wp:align>bottom</wp:align>
              </wp:positionV>
              <wp:extent cx="7772400" cy="442595"/>
              <wp:effectExtent l="0" t="0" r="0" b="14605"/>
              <wp:wrapNone/>
              <wp:docPr id="3" name="MSIPCM3d5e4e9d82cf68a1ac3f3b5b" descr="{&quot;HashCode&quot;:123538866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wps:spPr>
                    <wps:txbx>
                      <w:txbxContent>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 id="MSIPCM3d5e4e9d82cf68a1ac3f3b5b" o:spid="_x0000_s1026" o:spt="202" alt="{&quot;HashCode&quot;:1235388660,&quot;Height&quot;:9999999.0,&quot;Width&quot;:9999999.0,&quot;Placement&quot;:&quot;Footer&quot;,&quot;Index&quot;:&quot;Primary&quot;,&quot;Section&quot;:2,&quot;Top&quot;:0.0,&quot;Left&quot;:0.0}" type="#_x0000_t202" style="position:absolute;left:0pt;height:34.85pt;width:612pt;mso-position-horizontal:center;mso-position-horizontal-relative:page;mso-position-vertical:bottom;mso-position-vertical-relative:page;z-index:251663360;v-text-anchor:middle;mso-width-relative:page;mso-height-relative:page;" filled="f" stroked="f" coordsize="21600,21600" o:allowincell="f" o:gfxdata="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JdUcmLUAAAABQEAAA8AAAAAAAAAAQAgAAAAIgAAAGRycy9kb3ducmV2Lnht&#10;bFBLAQIUABQAAAAIAIdO4kBVDJE5qAIAAGQFAAAOAAAAAAAAAAEAIAAAACMBAABkcnMvZTJvRG9j&#10;LnhtbFBLBQYAAAAABgAGAFkBAAA9BgAAAAA=&#10;">
              <v:fill on="f" focussize="0,0"/>
              <v:stroke on="f" weight="0.5pt"/>
              <v:imagedata o:title=""/>
              <o:lock v:ext="edit" aspectratio="f"/>
              <v:textbox inset="2.54mm,0mm,2.54mm,0mm">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p2FkHgAQAAuwMAAA4AAAAA&#10;AAAAAQAgAAAAHgEAAGRycy9lMm9Eb2MueG1sUEsFBgAAAAAGAAYAWQEAAHA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3"/>
        <w:tab w:val="clear" w:pos="8306"/>
      </w:tabs>
      <w:jc w:val="center"/>
    </w:pPr>
    <w: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page">
                <wp:align>bottom</wp:align>
              </wp:positionV>
              <wp:extent cx="7772400" cy="442595"/>
              <wp:effectExtent l="0" t="0" r="0" b="14605"/>
              <wp:wrapNone/>
              <wp:docPr id="4" name="MSIPCM86a64906b6400d70deb33648" descr="{&quot;HashCode&quot;:1235388660,&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wps:spPr>
                    <wps:txbx>
                      <w:txbxContent>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 id="MSIPCM86a64906b6400d70deb33648" o:spid="_x0000_s1026" o:spt="202" alt="{&quot;HashCode&quot;:1235388660,&quot;Height&quot;:9999999.0,&quot;Width&quot;:9999999.0,&quot;Placement&quot;:&quot;Footer&quot;,&quot;Index&quot;:&quot;Primary&quot;,&quot;Section&quot;:3,&quot;Top&quot;:0.0,&quot;Left&quot;:0.0}" type="#_x0000_t202" style="position:absolute;left:0pt;height:34.85pt;width:612pt;mso-position-horizontal:center;mso-position-horizontal-relative:page;mso-position-vertical:bottom;mso-position-vertical-relative:page;z-index:251664384;v-text-anchor:middle;mso-width-relative:page;mso-height-relative:page;" filled="f" stroked="f" coordsize="21600,21600" o:allowincell="f" o:gfxdata="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l1RyYtQAAAAFAQAADwAAAAAAAAABACAAAAAiAAAAZHJzL2Rvd25yZXYu&#10;eG1sUEsBAhQAFAAAAAgAh07iQGDbQgKqAgAAZAUAAA4AAAAAAAAAAQAgAAAAIwEAAGRycy9lMm9E&#10;b2MueG1sUEsFBgAAAAAGAAYAWQEAAD8GAAAAAA==&#10;">
              <v:fill on="f" focussize="0,0"/>
              <v:stroke on="f" weight="0.5pt"/>
              <v:imagedata o:title=""/>
              <o:lock v:ext="edit" aspectratio="f"/>
              <v:textbox inset="2.54mm,0mm,2.54mm,0mm">
                <w:txbxContent>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1"/>
                            <w:tabs>
                              <w:tab w:val="clear" w:pos="4153"/>
                              <w:tab w:val="clear" w:pos="8306"/>
                            </w:tabs>
                          </w:pPr>
                          <w:r>
                            <w:fldChar w:fldCharType="begin"/>
                          </w:r>
                          <w:r>
                            <w:rPr>
                              <w:rStyle w:val="87"/>
                            </w:rPr>
                            <w:instrText xml:space="preserve">PAGE  </w:instrText>
                          </w:r>
                          <w:r>
                            <w:fldChar w:fldCharType="separate"/>
                          </w:r>
                          <w:r>
                            <w:rPr>
                              <w:rStyle w:val="87"/>
                            </w:rPr>
                            <w:t>4</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sTXpLgAQAAuwMAAA4AAAAA&#10;AAAAAQAgAAAAHgEAAGRycy9lMm9Eb2MueG1sUEsFBgAAAAAGAAYAWQEAAHAFAAAAAA==&#10;">
              <v:fill on="f" focussize="0,0"/>
              <v:stroke on="f"/>
              <v:imagedata o:title=""/>
              <o:lock v:ext="edit" aspectratio="f"/>
              <v:textbox inset="0mm,0mm,0mm,0mm" style="mso-fit-shape-to-text:t;">
                <w:txbxContent>
                  <w:p>
                    <w:pPr>
                      <w:pStyle w:val="61"/>
                      <w:tabs>
                        <w:tab w:val="clear" w:pos="4153"/>
                        <w:tab w:val="clear" w:pos="8306"/>
                      </w:tabs>
                    </w:pPr>
                    <w:r>
                      <w:fldChar w:fldCharType="begin"/>
                    </w:r>
                    <w:r>
                      <w:rPr>
                        <w:rStyle w:val="87"/>
                      </w:rPr>
                      <w:instrText xml:space="preserve">PAGE  </w:instrText>
                    </w:r>
                    <w:r>
                      <w:fldChar w:fldCharType="separate"/>
                    </w:r>
                    <w:r>
                      <w:rPr>
                        <w:rStyle w:val="87"/>
                      </w:rP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3"/>
        <w:tab w:val="clear" w:pos="8306"/>
      </w:tabs>
    </w:pPr>
    <w:r>
      <mc:AlternateContent>
        <mc:Choice Requires="wps">
          <w:drawing>
            <wp:anchor distT="0" distB="0" distL="114300" distR="114300" simplePos="0" relativeHeight="251665408" behindDoc="0" locked="0" layoutInCell="0" allowOverlap="1">
              <wp:simplePos x="0" y="0"/>
              <wp:positionH relativeFrom="page">
                <wp:align>center</wp:align>
              </wp:positionH>
              <wp:positionV relativeFrom="page">
                <wp:align>bottom</wp:align>
              </wp:positionV>
              <wp:extent cx="7772400" cy="442595"/>
              <wp:effectExtent l="0" t="0" r="0" b="14605"/>
              <wp:wrapNone/>
              <wp:docPr id="5" name="MSIPCM145e410dba3e84b76b52ebf1" descr="{&quot;HashCode&quot;:123538866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wps:spPr>
                    <wps:txbx>
                      <w:txbxContent>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 id="MSIPCM145e410dba3e84b76b52ebf1" o:spid="_x0000_s1026" o:spt="202" alt="{&quot;HashCode&quot;:1235388660,&quot;Height&quot;:9999999.0,&quot;Width&quot;:9999999.0,&quot;Placement&quot;:&quot;Footer&quot;,&quot;Index&quot;:&quot;Primary&quot;,&quot;Section&quot;:4,&quot;Top&quot;:0.0,&quot;Left&quot;:0.0}" type="#_x0000_t202" style="position:absolute;left:0pt;height:34.85pt;width:612pt;mso-position-horizontal:center;mso-position-horizontal-relative:page;mso-position-vertical:bottom;mso-position-vertical-relative:page;z-index:251665408;v-text-anchor:middle;mso-width-relative:page;mso-height-relative:page;" filled="f" stroked="f" coordsize="21600,21600" o:allowincell="f" o:gfxdata="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XVHJi1AAAAAUBAAAPAAAAAAAAAAEAIAAAACIAAABkcnMvZG93bnJldi54&#10;bWxQSwECFAAUAAAACACHTuJAcl4po6kCAABkBQAADgAAAAAAAAABACAAAAAjAQAAZHJzL2Uyb0Rv&#10;Yy54bWxQSwUGAAAAAAYABgBZAQAAPgYAAAAA&#10;">
              <v:fill on="f" focussize="0,0"/>
              <v:stroke on="f" weight="0.5pt"/>
              <v:imagedata o:title=""/>
              <o:lock v:ext="edit" aspectratio="f"/>
              <v:textbox inset="2.54mm,0mm,2.54mm,0mm">
                <w:txbxContent>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1"/>
                            <w:tabs>
                              <w:tab w:val="clear" w:pos="4153"/>
                              <w:tab w:val="clear" w:pos="8306"/>
                            </w:tabs>
                          </w:pPr>
                          <w:r>
                            <w:fldChar w:fldCharType="begin"/>
                          </w:r>
                          <w:r>
                            <w:rPr>
                              <w:rStyle w:val="87"/>
                            </w:rPr>
                            <w:instrText xml:space="preserve">PAGE  </w:instrText>
                          </w:r>
                          <w:r>
                            <w:fldChar w:fldCharType="separate"/>
                          </w:r>
                          <w:r>
                            <w:rPr>
                              <w:rStyle w:val="87"/>
                            </w:rPr>
                            <w:t>42</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oO7Kbt8BAAC7AwAADgAAAAAA&#10;AAABACAAAAAeAQAAZHJzL2Uyb0RvYy54bWxQSwUGAAAAAAYABgBZAQAAbwUAAAAA&#10;">
              <v:fill on="f" focussize="0,0"/>
              <v:stroke on="f"/>
              <v:imagedata o:title=""/>
              <o:lock v:ext="edit" aspectratio="f"/>
              <v:textbox inset="0mm,0mm,0mm,0mm" style="mso-fit-shape-to-text:t;">
                <w:txbxContent>
                  <w:p>
                    <w:pPr>
                      <w:pStyle w:val="61"/>
                      <w:tabs>
                        <w:tab w:val="clear" w:pos="4153"/>
                        <w:tab w:val="clear" w:pos="8306"/>
                      </w:tabs>
                    </w:pPr>
                    <w:r>
                      <w:fldChar w:fldCharType="begin"/>
                    </w:r>
                    <w:r>
                      <w:rPr>
                        <w:rStyle w:val="87"/>
                      </w:rPr>
                      <w:instrText xml:space="preserve">PAGE  </w:instrText>
                    </w:r>
                    <w:r>
                      <w:fldChar w:fldCharType="separate"/>
                    </w:r>
                    <w:r>
                      <w:rPr>
                        <w:rStyle w:val="87"/>
                      </w:rP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3"/>
        <w:tab w:val="clear" w:pos="8306"/>
      </w:tabs>
    </w:pPr>
    <w:r>
      <mc:AlternateContent>
        <mc:Choice Requires="wps">
          <w:drawing>
            <wp:anchor distT="0" distB="0" distL="114300" distR="114300" simplePos="0" relativeHeight="251666432" behindDoc="0" locked="0" layoutInCell="0" allowOverlap="1">
              <wp:simplePos x="0" y="0"/>
              <wp:positionH relativeFrom="page">
                <wp:align>center</wp:align>
              </wp:positionH>
              <wp:positionV relativeFrom="page">
                <wp:align>bottom</wp:align>
              </wp:positionV>
              <wp:extent cx="7772400" cy="442595"/>
              <wp:effectExtent l="0" t="0" r="0" b="14605"/>
              <wp:wrapNone/>
              <wp:docPr id="10" name="MSIPCM1dd84737b9cb9440df517a6c" descr="{&quot;HashCode&quot;:1235388660,&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wps:spPr>
                    <wps:txbx>
                      <w:txbxContent>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 id="MSIPCM1dd84737b9cb9440df517a6c" o:spid="_x0000_s1026" o:spt="202" alt="{&quot;HashCode&quot;:1235388660,&quot;Height&quot;:9999999.0,&quot;Width&quot;:9999999.0,&quot;Placement&quot;:&quot;Footer&quot;,&quot;Index&quot;:&quot;Primary&quot;,&quot;Section&quot;:7,&quot;Top&quot;:0.0,&quot;Left&quot;:0.0}" type="#_x0000_t202" style="position:absolute;left:0pt;height:34.85pt;width:612pt;mso-position-horizontal:center;mso-position-horizontal-relative:page;mso-position-vertical:bottom;mso-position-vertical-relative:page;z-index:251666432;v-text-anchor:middle;mso-width-relative:page;mso-height-relative:page;" filled="f" stroked="f" coordsize="21600,21600" o:allowincell="f" o:gfxdata="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JdUcmLUAAAABQEAAA8AAAAAAAAAAQAgAAAAIgAAAGRycy9kb3ducmV2Lnht&#10;bFBLAQIUABQAAAAIAIdO4kDfi5hNqAIAAGUFAAAOAAAAAAAAAAEAIAAAACMBAABkcnMvZTJvRG9j&#10;LnhtbFBLBQYAAAAABgAGAFkBAAA9BgAAAAA=&#10;">
              <v:fill on="f" focussize="0,0"/>
              <v:stroke on="f" weight="0.5pt"/>
              <v:imagedata o:title=""/>
              <o:lock v:ext="edit" aspectratio="f"/>
              <v:textbox inset="2.54mm,0mm,2.54mm,0mm">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1"/>
                            <w:tabs>
                              <w:tab w:val="clear" w:pos="4153"/>
                              <w:tab w:val="clear" w:pos="8306"/>
                            </w:tabs>
                            <w:jc w:val="center"/>
                          </w:pPr>
                          <w:r>
                            <w:fldChar w:fldCharType="begin"/>
                          </w:r>
                          <w:r>
                            <w:rPr>
                              <w:rStyle w:val="87"/>
                            </w:rPr>
                            <w:instrText xml:space="preserve">PAGE  </w:instrText>
                          </w:r>
                          <w:r>
                            <w:fldChar w:fldCharType="separate"/>
                          </w:r>
                          <w:r>
                            <w:rPr>
                              <w:rStyle w:val="87"/>
                            </w:rPr>
                            <w:t>61</w:t>
                          </w:r>
                          <w: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Z4cd8BAAC7AwAADgAAAGRycy9lMm9Eb2MueG1srVPBjtMwEL0j8Q+W&#10;7zTZi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LxgqUX0rw6R2szdp9JjvakjmmnmP+1f&#10;Wpq/zznq/s1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qTZ4cd8BAAC7AwAADgAAAAAA&#10;AAABACAAAAAeAQAAZHJzL2Uyb0RvYy54bWxQSwUGAAAAAAYABgBZAQAAbwUAAAAA&#10;">
              <v:fill on="f" focussize="0,0"/>
              <v:stroke on="f"/>
              <v:imagedata o:title=""/>
              <o:lock v:ext="edit" aspectratio="f"/>
              <v:textbox inset="0mm,0mm,0mm,0mm" style="mso-fit-shape-to-text:t;">
                <w:txbxContent>
                  <w:p>
                    <w:pPr>
                      <w:pStyle w:val="61"/>
                      <w:tabs>
                        <w:tab w:val="clear" w:pos="4153"/>
                        <w:tab w:val="clear" w:pos="8306"/>
                      </w:tabs>
                      <w:jc w:val="center"/>
                    </w:pPr>
                    <w:r>
                      <w:fldChar w:fldCharType="begin"/>
                    </w:r>
                    <w:r>
                      <w:rPr>
                        <w:rStyle w:val="87"/>
                      </w:rPr>
                      <w:instrText xml:space="preserve">PAGE  </w:instrText>
                    </w:r>
                    <w:r>
                      <w:fldChar w:fldCharType="separate"/>
                    </w:r>
                    <w:r>
                      <w:rPr>
                        <w:rStyle w:val="87"/>
                      </w:rP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Bdr>
        <w:bottom w:val="none" w:color="000000" w:sz="0" w:space="0"/>
      </w:pBd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Bdr>
        <w:bottom w:val="none" w:color="000000" w:sz="0" w:space="0"/>
      </w:pBdr>
      <w:tabs>
        <w:tab w:val="clear" w:pos="4153"/>
        <w:tab w:val="clear" w:pos="8306"/>
      </w:tabs>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Bdr>
        <w:bottom w:val="none" w:color="000000" w:sz="0" w:space="1"/>
      </w:pBdr>
      <w:tabs>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Bdr>
        <w:bottom w:val="none" w:color="000000"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singleLevel"/>
    <w:tmpl w:val="00000013"/>
    <w:lvl w:ilvl="0" w:tentative="0">
      <w:start w:val="1"/>
      <w:numFmt w:val="decimal"/>
      <w:suff w:val="nothing"/>
      <w:lvlText w:val="（%1）"/>
      <w:lvlJc w:val="left"/>
      <w:pPr>
        <w:ind w:left="0" w:firstLine="400"/>
      </w:pPr>
    </w:lvl>
  </w:abstractNum>
  <w:abstractNum w:abstractNumId="1">
    <w:nsid w:val="07FA3D9A"/>
    <w:multiLevelType w:val="multilevel"/>
    <w:tmpl w:val="07FA3D9A"/>
    <w:lvl w:ilvl="0" w:tentative="0">
      <w:start w:val="1"/>
      <w:numFmt w:val="decimal"/>
      <w:lvlText w:val="%1."/>
      <w:lvlJc w:val="left"/>
      <w:pPr>
        <w:ind w:left="425" w:hanging="425"/>
      </w:pPr>
      <w:rPr>
        <w:rFonts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80964CE"/>
    <w:multiLevelType w:val="multilevel"/>
    <w:tmpl w:val="080964CE"/>
    <w:lvl w:ilvl="0" w:tentative="0">
      <w:start w:val="1"/>
      <w:numFmt w:val="decimal"/>
      <w:lvlText w:val="%1."/>
      <w:lvlJc w:val="left"/>
      <w:pPr>
        <w:ind w:left="425" w:hanging="425"/>
      </w:pPr>
      <w:rPr>
        <w:rFonts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8C90041"/>
    <w:multiLevelType w:val="multilevel"/>
    <w:tmpl w:val="18C90041"/>
    <w:lvl w:ilvl="0" w:tentative="0">
      <w:start w:val="1"/>
      <w:numFmt w:val="lowerLetter"/>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4">
    <w:nsid w:val="19C42E82"/>
    <w:multiLevelType w:val="multilevel"/>
    <w:tmpl w:val="19C42E82"/>
    <w:lvl w:ilvl="0" w:tentative="0">
      <w:start w:val="1"/>
      <w:numFmt w:val="decimal"/>
      <w:lvlText w:val="%1."/>
      <w:lvlJc w:val="left"/>
      <w:pPr>
        <w:ind w:left="425" w:hanging="425"/>
      </w:pPr>
      <w:rPr>
        <w:rFonts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E081A02"/>
    <w:multiLevelType w:val="multilevel"/>
    <w:tmpl w:val="2E081A02"/>
    <w:lvl w:ilvl="0" w:tentative="0">
      <w:start w:val="1"/>
      <w:numFmt w:val="decimal"/>
      <w:lvlText w:val="%1."/>
      <w:lvlJc w:val="left"/>
      <w:pPr>
        <w:ind w:left="425" w:hanging="425"/>
      </w:pPr>
      <w:rPr>
        <w:rFonts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3956805"/>
    <w:multiLevelType w:val="multilevel"/>
    <w:tmpl w:val="43956805"/>
    <w:lvl w:ilvl="0" w:tentative="0">
      <w:start w:val="1"/>
      <w:numFmt w:val="decimal"/>
      <w:lvlText w:val="%1."/>
      <w:lvlJc w:val="left"/>
      <w:pPr>
        <w:ind w:left="425" w:hanging="425"/>
      </w:pPr>
      <w:rPr>
        <w:rFonts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A666034"/>
    <w:multiLevelType w:val="multilevel"/>
    <w:tmpl w:val="4A666034"/>
    <w:lvl w:ilvl="0" w:tentative="0">
      <w:start w:val="1"/>
      <w:numFmt w:val="decimal"/>
      <w:lvlText w:val="(%1)"/>
      <w:lvlJc w:val="left"/>
      <w:pPr>
        <w:ind w:left="425" w:hanging="425"/>
      </w:pPr>
      <w:rPr>
        <w:rFonts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D9752C3"/>
    <w:multiLevelType w:val="multilevel"/>
    <w:tmpl w:val="4D9752C3"/>
    <w:lvl w:ilvl="0" w:tentative="0">
      <w:start w:val="1"/>
      <w:numFmt w:val="decimal"/>
      <w:lvlText w:val="%1."/>
      <w:lvlJc w:val="left"/>
      <w:pPr>
        <w:ind w:left="425" w:hanging="425"/>
      </w:pPr>
      <w:rPr>
        <w:rFonts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7A74C8F"/>
    <w:multiLevelType w:val="singleLevel"/>
    <w:tmpl w:val="57A74C8F"/>
    <w:lvl w:ilvl="0" w:tentative="0">
      <w:start w:val="1"/>
      <w:numFmt w:val="chineseCounting"/>
      <w:pStyle w:val="222"/>
      <w:suff w:val="nothing"/>
      <w:lvlText w:val="%1、"/>
      <w:lvlJc w:val="left"/>
      <w:rPr>
        <w:rFonts w:hint="eastAsia"/>
      </w:rPr>
    </w:lvl>
  </w:abstractNum>
  <w:abstractNum w:abstractNumId="12">
    <w:nsid w:val="67284814"/>
    <w:multiLevelType w:val="multilevel"/>
    <w:tmpl w:val="67284814"/>
    <w:lvl w:ilvl="0" w:tentative="0">
      <w:start w:val="1"/>
      <w:numFmt w:val="decimal"/>
      <w:lvlText w:val="%1."/>
      <w:lvlJc w:val="left"/>
      <w:pPr>
        <w:ind w:left="425" w:hanging="425"/>
      </w:pPr>
      <w:rPr>
        <w:rFonts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A382816"/>
    <w:multiLevelType w:val="multilevel"/>
    <w:tmpl w:val="6A382816"/>
    <w:lvl w:ilvl="0" w:tentative="0">
      <w:start w:val="1"/>
      <w:numFmt w:val="decimal"/>
      <w:lvlText w:val="%1."/>
      <w:lvlJc w:val="left"/>
      <w:pPr>
        <w:ind w:left="425" w:hanging="425"/>
      </w:pPr>
      <w:rPr>
        <w:rFonts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41E60CF"/>
    <w:multiLevelType w:val="multilevel"/>
    <w:tmpl w:val="741E60CF"/>
    <w:lvl w:ilvl="0" w:tentative="0">
      <w:start w:val="1"/>
      <w:numFmt w:val="decimal"/>
      <w:lvlText w:val="%1."/>
      <w:lvlJc w:val="left"/>
      <w:pPr>
        <w:ind w:left="425" w:hanging="425"/>
      </w:pPr>
      <w:rPr>
        <w:rFonts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FF371BC"/>
    <w:multiLevelType w:val="multilevel"/>
    <w:tmpl w:val="7FF371BC"/>
    <w:lvl w:ilvl="0" w:tentative="0">
      <w:start w:val="1"/>
      <w:numFmt w:val="decimal"/>
      <w:pStyle w:val="9"/>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5"/>
  </w:num>
  <w:num w:numId="2">
    <w:abstractNumId w:val="11"/>
  </w:num>
  <w:num w:numId="3">
    <w:abstractNumId w:val="0"/>
  </w:num>
  <w:num w:numId="4">
    <w:abstractNumId w:val="13"/>
  </w:num>
  <w:num w:numId="5">
    <w:abstractNumId w:val="4"/>
  </w:num>
  <w:num w:numId="6">
    <w:abstractNumId w:val="8"/>
  </w:num>
  <w:num w:numId="7">
    <w:abstractNumId w:val="14"/>
  </w:num>
  <w:num w:numId="8">
    <w:abstractNumId w:val="5"/>
  </w:num>
  <w:num w:numId="9">
    <w:abstractNumId w:val="7"/>
  </w:num>
  <w:num w:numId="10">
    <w:abstractNumId w:val="1"/>
  </w:num>
  <w:num w:numId="11">
    <w:abstractNumId w:val="6"/>
  </w:num>
  <w:num w:numId="12">
    <w:abstractNumId w:val="12"/>
  </w:num>
  <w:num w:numId="13">
    <w:abstractNumId w:val="2"/>
  </w:num>
  <w:num w:numId="14">
    <w:abstractNumId w:val="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WNhNmY0M2ZmZDVlYzhhZjFkNDU2YzI1MjA5ZjcifQ=="/>
  </w:docVars>
  <w:rsids>
    <w:rsidRoot w:val="00D95E56"/>
    <w:rsid w:val="0009690D"/>
    <w:rsid w:val="002F6F89"/>
    <w:rsid w:val="00376632"/>
    <w:rsid w:val="004417F5"/>
    <w:rsid w:val="00501A5D"/>
    <w:rsid w:val="006A1C46"/>
    <w:rsid w:val="006B7D47"/>
    <w:rsid w:val="009C48DC"/>
    <w:rsid w:val="00A12994"/>
    <w:rsid w:val="00A75714"/>
    <w:rsid w:val="00C7362F"/>
    <w:rsid w:val="00D77B03"/>
    <w:rsid w:val="00D95E56"/>
    <w:rsid w:val="00DD180E"/>
    <w:rsid w:val="00F25148"/>
    <w:rsid w:val="123319D4"/>
    <w:rsid w:val="18BE37FE"/>
    <w:rsid w:val="1BFC31EF"/>
    <w:rsid w:val="605B3830"/>
    <w:rsid w:val="63247039"/>
    <w:rsid w:val="76B9723F"/>
    <w:rsid w:val="784A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spacing w:line="380" w:lineRule="exact"/>
      <w:jc w:val="center"/>
      <w:outlineLvl w:val="0"/>
    </w:pPr>
    <w:rPr>
      <w:rFonts w:ascii="宋体" w:hAnsi="宋体"/>
      <w:b/>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rPr>
      <w:rFonts w:ascii="宋体" w:hAnsi="宋体"/>
      <w:spacing w:val="14"/>
      <w:kern w:val="24"/>
      <w:sz w:val="24"/>
      <w:szCs w:val="24"/>
    </w:rPr>
  </w:style>
  <w:style w:type="paragraph" w:styleId="4">
    <w:name w:val="annotation text"/>
    <w:basedOn w:val="1"/>
    <w:link w:val="263"/>
    <w:qFormat/>
    <w:uiPriority w:val="0"/>
    <w:pPr>
      <w:jc w:val="left"/>
    </w:pPr>
  </w:style>
  <w:style w:type="paragraph" w:styleId="5">
    <w:name w:val="Plain Text"/>
    <w:basedOn w:val="1"/>
    <w:qFormat/>
    <w:uiPriority w:val="0"/>
    <w:pPr>
      <w:spacing w:before="156" w:after="156" w:line="400" w:lineRule="exact"/>
    </w:pPr>
    <w:rPr>
      <w:rFonts w:ascii="宋体" w:hAnsi="Courier New"/>
      <w:sz w:val="24"/>
      <w:szCs w:val="24"/>
    </w:rPr>
  </w:style>
  <w:style w:type="paragraph" w:styleId="6">
    <w:name w:val="Balloon Text"/>
    <w:basedOn w:val="1"/>
    <w:link w:val="26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List"/>
    <w:basedOn w:val="1"/>
    <w:link w:val="119"/>
    <w:qFormat/>
    <w:uiPriority w:val="0"/>
    <w:pPr>
      <w:numPr>
        <w:ilvl w:val="0"/>
        <w:numId w:val="1"/>
      </w:numPr>
      <w:tabs>
        <w:tab w:val="left" w:pos="1134"/>
      </w:tabs>
      <w:spacing w:line="360" w:lineRule="auto"/>
      <w:ind w:left="0" w:firstLine="420" w:firstLineChars="200"/>
      <w:jc w:val="left"/>
    </w:pPr>
    <w:rPr>
      <w:szCs w:val="22"/>
    </w:rPr>
  </w:style>
  <w:style w:type="paragraph" w:styleId="10">
    <w:name w:val="toc 2"/>
    <w:basedOn w:val="1"/>
    <w:next w:val="1"/>
    <w:qFormat/>
    <w:uiPriority w:val="0"/>
    <w:pPr>
      <w:ind w:left="420" w:leftChars="200"/>
    </w:pPr>
  </w:style>
  <w:style w:type="paragraph" w:styleId="11">
    <w:name w:val="annotation subject"/>
    <w:basedOn w:val="4"/>
    <w:next w:val="4"/>
    <w:link w:val="264"/>
    <w:qFormat/>
    <w:uiPriority w:val="0"/>
    <w:rPr>
      <w:b/>
      <w:bCs/>
    </w:rPr>
  </w:style>
  <w:style w:type="character" w:styleId="14">
    <w:name w:val="annotation reference"/>
    <w:basedOn w:val="13"/>
    <w:qFormat/>
    <w:uiPriority w:val="0"/>
    <w:rPr>
      <w:sz w:val="21"/>
      <w:szCs w:val="21"/>
    </w:rPr>
  </w:style>
  <w:style w:type="paragraph" w:customStyle="1" w:styleId="15">
    <w:name w:val="标题 11"/>
    <w:basedOn w:val="1"/>
    <w:link w:val="26"/>
    <w:qFormat/>
    <w:uiPriority w:val="0"/>
    <w:pPr>
      <w:keepNext/>
      <w:spacing w:line="380" w:lineRule="exact"/>
      <w:jc w:val="center"/>
      <w:outlineLvl w:val="0"/>
    </w:pPr>
    <w:rPr>
      <w:rFonts w:ascii="宋体" w:hAnsi="宋体"/>
      <w:b/>
      <w:kern w:val="44"/>
      <w:sz w:val="44"/>
      <w:szCs w:val="44"/>
    </w:rPr>
  </w:style>
  <w:style w:type="paragraph" w:customStyle="1" w:styleId="16">
    <w:name w:val="标题 21"/>
    <w:basedOn w:val="1"/>
    <w:link w:val="27"/>
    <w:qFormat/>
    <w:uiPriority w:val="0"/>
    <w:pPr>
      <w:keepNext/>
      <w:keepLines/>
      <w:tabs>
        <w:tab w:val="left" w:pos="578"/>
      </w:tabs>
      <w:spacing w:line="360" w:lineRule="auto"/>
      <w:ind w:left="578" w:hanging="578"/>
      <w:outlineLvl w:val="1"/>
    </w:pPr>
    <w:rPr>
      <w:rFonts w:ascii="Cambria" w:hAnsi="Cambria"/>
      <w:szCs w:val="21"/>
    </w:rPr>
  </w:style>
  <w:style w:type="paragraph" w:customStyle="1" w:styleId="17">
    <w:name w:val="标题 31"/>
    <w:basedOn w:val="1"/>
    <w:link w:val="28"/>
    <w:qFormat/>
    <w:uiPriority w:val="0"/>
    <w:pPr>
      <w:keepNext/>
      <w:keepLines/>
      <w:tabs>
        <w:tab w:val="left" w:pos="1620"/>
      </w:tabs>
      <w:spacing w:line="360" w:lineRule="auto"/>
      <w:ind w:left="1620" w:hanging="720"/>
      <w:outlineLvl w:val="2"/>
    </w:pPr>
    <w:rPr>
      <w:rFonts w:ascii="宋体" w:hAnsi="宋体"/>
      <w:b/>
      <w:sz w:val="32"/>
      <w:szCs w:val="32"/>
    </w:rPr>
  </w:style>
  <w:style w:type="paragraph" w:customStyle="1" w:styleId="18">
    <w:name w:val="标题 41"/>
    <w:basedOn w:val="1"/>
    <w:link w:val="29"/>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customStyle="1" w:styleId="19">
    <w:name w:val="标题 51"/>
    <w:basedOn w:val="1"/>
    <w:link w:val="32"/>
    <w:qFormat/>
    <w:uiPriority w:val="0"/>
    <w:pPr>
      <w:keepNext/>
      <w:keepLines/>
      <w:tabs>
        <w:tab w:val="left" w:pos="1548"/>
      </w:tabs>
      <w:spacing w:before="280" w:after="290" w:line="376" w:lineRule="auto"/>
      <w:ind w:left="1548" w:hanging="1548"/>
      <w:outlineLvl w:val="4"/>
    </w:pPr>
    <w:rPr>
      <w:b/>
      <w:sz w:val="28"/>
    </w:rPr>
  </w:style>
  <w:style w:type="paragraph" w:customStyle="1" w:styleId="20">
    <w:name w:val="标题 61"/>
    <w:basedOn w:val="1"/>
    <w:link w:val="33"/>
    <w:qFormat/>
    <w:uiPriority w:val="0"/>
    <w:pPr>
      <w:keepNext/>
      <w:keepLines/>
      <w:spacing w:before="240" w:after="64" w:line="320" w:lineRule="auto"/>
      <w:outlineLvl w:val="5"/>
    </w:pPr>
    <w:rPr>
      <w:rFonts w:ascii="Cambria" w:hAnsi="Cambria"/>
      <w:b/>
      <w:sz w:val="24"/>
    </w:rPr>
  </w:style>
  <w:style w:type="paragraph" w:customStyle="1" w:styleId="21">
    <w:name w:val="标题 71"/>
    <w:basedOn w:val="1"/>
    <w:link w:val="34"/>
    <w:qFormat/>
    <w:uiPriority w:val="0"/>
    <w:pPr>
      <w:keepNext/>
      <w:keepLines/>
      <w:tabs>
        <w:tab w:val="left" w:pos="1296"/>
      </w:tabs>
      <w:spacing w:before="240" w:after="64" w:line="317" w:lineRule="auto"/>
      <w:ind w:left="2940" w:hanging="420"/>
      <w:outlineLvl w:val="6"/>
    </w:pPr>
    <w:rPr>
      <w:b/>
      <w:sz w:val="24"/>
    </w:rPr>
  </w:style>
  <w:style w:type="paragraph" w:customStyle="1" w:styleId="22">
    <w:name w:val="标题 81"/>
    <w:basedOn w:val="1"/>
    <w:link w:val="35"/>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customStyle="1" w:styleId="23">
    <w:name w:val="标题 91"/>
    <w:basedOn w:val="1"/>
    <w:link w:val="36"/>
    <w:qFormat/>
    <w:uiPriority w:val="0"/>
    <w:pPr>
      <w:keepNext/>
      <w:keepLines/>
      <w:tabs>
        <w:tab w:val="left" w:pos="1584"/>
      </w:tabs>
      <w:spacing w:before="240" w:after="64" w:line="317" w:lineRule="auto"/>
      <w:ind w:left="3780" w:hanging="420"/>
      <w:outlineLvl w:val="8"/>
    </w:pPr>
    <w:rPr>
      <w:rFonts w:ascii="Arial" w:hAnsi="Arial" w:eastAsia="黑体"/>
    </w:rPr>
  </w:style>
  <w:style w:type="character" w:customStyle="1" w:styleId="24">
    <w:name w:val="默认段落字体1"/>
    <w:qFormat/>
    <w:uiPriority w:val="0"/>
  </w:style>
  <w:style w:type="table" w:customStyle="1" w:styleId="25">
    <w:name w:val="普通表格1"/>
    <w:qFormat/>
    <w:uiPriority w:val="0"/>
    <w:tblPr>
      <w:tblCellMar>
        <w:top w:w="0" w:type="dxa"/>
        <w:left w:w="0" w:type="dxa"/>
        <w:bottom w:w="0" w:type="dxa"/>
        <w:right w:w="0" w:type="dxa"/>
      </w:tblCellMar>
    </w:tblPr>
  </w:style>
  <w:style w:type="character" w:customStyle="1" w:styleId="26">
    <w:name w:val="标题 1 字符1"/>
    <w:link w:val="15"/>
    <w:qFormat/>
    <w:uiPriority w:val="0"/>
    <w:rPr>
      <w:rFonts w:ascii="宋体" w:hAnsi="宋体" w:eastAsia="宋体"/>
      <w:b/>
      <w:kern w:val="44"/>
      <w:sz w:val="44"/>
      <w:szCs w:val="44"/>
      <w:lang w:val="en-US" w:eastAsia="zh-CN"/>
    </w:rPr>
  </w:style>
  <w:style w:type="character" w:customStyle="1" w:styleId="27">
    <w:name w:val="标题 2 字符1"/>
    <w:link w:val="16"/>
    <w:qFormat/>
    <w:uiPriority w:val="0"/>
    <w:rPr>
      <w:rFonts w:ascii="Cambria" w:hAnsi="Cambria" w:eastAsia="宋体"/>
      <w:kern w:val="2"/>
      <w:sz w:val="21"/>
      <w:szCs w:val="21"/>
      <w:lang w:val="en-US" w:eastAsia="zh-CN"/>
    </w:rPr>
  </w:style>
  <w:style w:type="character" w:customStyle="1" w:styleId="28">
    <w:name w:val="标题 3 字符1"/>
    <w:link w:val="17"/>
    <w:qFormat/>
    <w:uiPriority w:val="0"/>
    <w:rPr>
      <w:rFonts w:ascii="宋体" w:hAnsi="宋体" w:eastAsia="宋体"/>
      <w:b/>
      <w:kern w:val="2"/>
      <w:sz w:val="32"/>
      <w:szCs w:val="32"/>
      <w:lang w:val="en-US" w:eastAsia="zh-CN"/>
    </w:rPr>
  </w:style>
  <w:style w:type="character" w:customStyle="1" w:styleId="29">
    <w:name w:val="标题 4 字符1"/>
    <w:link w:val="18"/>
    <w:qFormat/>
    <w:uiPriority w:val="0"/>
    <w:rPr>
      <w:rFonts w:ascii="Arial" w:hAnsi="Arial" w:eastAsia="黑体"/>
      <w:b/>
      <w:kern w:val="2"/>
      <w:sz w:val="28"/>
      <w:lang w:val="en-US" w:eastAsia="zh-CN"/>
    </w:rPr>
  </w:style>
  <w:style w:type="paragraph" w:customStyle="1" w:styleId="30">
    <w:name w:val="正文缩进1"/>
    <w:basedOn w:val="1"/>
    <w:link w:val="31"/>
    <w:qFormat/>
    <w:uiPriority w:val="0"/>
    <w:pPr>
      <w:ind w:firstLine="420" w:firstLineChars="200"/>
    </w:pPr>
    <w:rPr>
      <w:rFonts w:ascii="宋体" w:hAnsi="宋体"/>
      <w:spacing w:val="14"/>
      <w:kern w:val="24"/>
      <w:sz w:val="24"/>
      <w:szCs w:val="24"/>
    </w:rPr>
  </w:style>
  <w:style w:type="character" w:customStyle="1" w:styleId="31">
    <w:name w:val="正文缩进 字符1"/>
    <w:link w:val="30"/>
    <w:qFormat/>
    <w:uiPriority w:val="0"/>
    <w:rPr>
      <w:rFonts w:ascii="宋体" w:hAnsi="宋体" w:eastAsia="宋体"/>
      <w:spacing w:val="14"/>
      <w:kern w:val="24"/>
      <w:sz w:val="24"/>
      <w:szCs w:val="24"/>
      <w:lang w:val="en-US" w:eastAsia="zh-CN"/>
    </w:rPr>
  </w:style>
  <w:style w:type="character" w:customStyle="1" w:styleId="32">
    <w:name w:val="标题 5 字符1"/>
    <w:link w:val="19"/>
    <w:qFormat/>
    <w:uiPriority w:val="0"/>
    <w:rPr>
      <w:rFonts w:eastAsia="宋体"/>
      <w:b/>
      <w:kern w:val="2"/>
      <w:sz w:val="28"/>
      <w:lang w:val="en-US" w:eastAsia="zh-CN"/>
    </w:rPr>
  </w:style>
  <w:style w:type="character" w:customStyle="1" w:styleId="33">
    <w:name w:val="标题 6 字符1"/>
    <w:link w:val="20"/>
    <w:qFormat/>
    <w:uiPriority w:val="0"/>
    <w:rPr>
      <w:rFonts w:ascii="Cambria" w:hAnsi="Cambria" w:eastAsia="宋体"/>
      <w:b/>
      <w:kern w:val="2"/>
      <w:sz w:val="24"/>
      <w:lang w:val="en-US" w:eastAsia="zh-CN"/>
    </w:rPr>
  </w:style>
  <w:style w:type="character" w:customStyle="1" w:styleId="34">
    <w:name w:val="标题 7 字符1"/>
    <w:link w:val="21"/>
    <w:qFormat/>
    <w:uiPriority w:val="0"/>
    <w:rPr>
      <w:b/>
      <w:kern w:val="2"/>
      <w:sz w:val="24"/>
    </w:rPr>
  </w:style>
  <w:style w:type="character" w:customStyle="1" w:styleId="35">
    <w:name w:val="标题 8 字符1"/>
    <w:link w:val="22"/>
    <w:qFormat/>
    <w:uiPriority w:val="0"/>
    <w:rPr>
      <w:rFonts w:ascii="Arial" w:hAnsi="Arial" w:eastAsia="黑体"/>
      <w:kern w:val="2"/>
      <w:sz w:val="24"/>
    </w:rPr>
  </w:style>
  <w:style w:type="character" w:customStyle="1" w:styleId="36">
    <w:name w:val="标题 9 字符1"/>
    <w:link w:val="23"/>
    <w:qFormat/>
    <w:uiPriority w:val="0"/>
    <w:rPr>
      <w:rFonts w:ascii="Arial" w:hAnsi="Arial" w:eastAsia="黑体"/>
      <w:kern w:val="2"/>
      <w:sz w:val="21"/>
    </w:rPr>
  </w:style>
  <w:style w:type="paragraph" w:customStyle="1" w:styleId="37">
    <w:name w:val="目录 71"/>
    <w:basedOn w:val="1"/>
    <w:qFormat/>
    <w:uiPriority w:val="0"/>
    <w:pPr>
      <w:ind w:left="1260"/>
      <w:jc w:val="left"/>
    </w:pPr>
    <w:rPr>
      <w:sz w:val="18"/>
      <w:szCs w:val="18"/>
    </w:rPr>
  </w:style>
  <w:style w:type="paragraph" w:customStyle="1" w:styleId="38">
    <w:name w:val="题注1"/>
    <w:basedOn w:val="1"/>
    <w:qFormat/>
    <w:uiPriority w:val="0"/>
    <w:rPr>
      <w:rFonts w:ascii="Arial" w:hAnsi="Arial" w:eastAsia="黑体"/>
      <w:sz w:val="20"/>
    </w:rPr>
  </w:style>
  <w:style w:type="paragraph" w:customStyle="1" w:styleId="39">
    <w:name w:val="文档结构图1"/>
    <w:basedOn w:val="1"/>
    <w:link w:val="40"/>
    <w:qFormat/>
    <w:uiPriority w:val="0"/>
    <w:pPr>
      <w:shd w:val="clear" w:color="auto" w:fill="000080"/>
    </w:pPr>
  </w:style>
  <w:style w:type="character" w:customStyle="1" w:styleId="40">
    <w:name w:val="文档结构图 字符2"/>
    <w:link w:val="39"/>
    <w:qFormat/>
    <w:uiPriority w:val="0"/>
    <w:rPr>
      <w:rFonts w:eastAsia="宋体"/>
      <w:kern w:val="2"/>
      <w:sz w:val="21"/>
      <w:lang w:val="en-US" w:eastAsia="zh-CN"/>
    </w:rPr>
  </w:style>
  <w:style w:type="paragraph" w:customStyle="1" w:styleId="41">
    <w:name w:val="批注文字1"/>
    <w:basedOn w:val="1"/>
    <w:link w:val="42"/>
    <w:qFormat/>
    <w:uiPriority w:val="0"/>
    <w:pPr>
      <w:jc w:val="left"/>
    </w:pPr>
    <w:rPr>
      <w:rFonts w:ascii="宋体" w:hAnsi="宋体"/>
      <w:szCs w:val="21"/>
    </w:rPr>
  </w:style>
  <w:style w:type="character" w:customStyle="1" w:styleId="42">
    <w:name w:val="批注文字 字符2"/>
    <w:link w:val="41"/>
    <w:qFormat/>
    <w:uiPriority w:val="0"/>
    <w:rPr>
      <w:rFonts w:ascii="宋体" w:hAnsi="宋体" w:eastAsia="宋体"/>
      <w:kern w:val="2"/>
      <w:sz w:val="21"/>
      <w:szCs w:val="21"/>
      <w:lang w:val="en-US" w:eastAsia="zh-CN"/>
    </w:rPr>
  </w:style>
  <w:style w:type="paragraph" w:customStyle="1" w:styleId="43">
    <w:name w:val="正文文本 31"/>
    <w:basedOn w:val="1"/>
    <w:link w:val="44"/>
    <w:qFormat/>
    <w:uiPriority w:val="0"/>
    <w:pPr>
      <w:spacing w:after="120" w:line="360" w:lineRule="auto"/>
    </w:pPr>
    <w:rPr>
      <w:kern w:val="0"/>
      <w:sz w:val="16"/>
    </w:rPr>
  </w:style>
  <w:style w:type="character" w:customStyle="1" w:styleId="44">
    <w:name w:val="正文文本 3 字符2"/>
    <w:link w:val="43"/>
    <w:qFormat/>
    <w:uiPriority w:val="0"/>
    <w:rPr>
      <w:rFonts w:eastAsia="宋体"/>
      <w:sz w:val="16"/>
    </w:rPr>
  </w:style>
  <w:style w:type="paragraph" w:customStyle="1" w:styleId="45">
    <w:name w:val="正文文本1"/>
    <w:basedOn w:val="1"/>
    <w:link w:val="46"/>
    <w:qFormat/>
    <w:uiPriority w:val="0"/>
    <w:rPr>
      <w:rFonts w:ascii="宋体" w:hAnsi="宋体"/>
      <w:kern w:val="0"/>
      <w:sz w:val="20"/>
    </w:rPr>
  </w:style>
  <w:style w:type="character" w:customStyle="1" w:styleId="46">
    <w:name w:val="正文文本 字符2"/>
    <w:link w:val="45"/>
    <w:qFormat/>
    <w:uiPriority w:val="0"/>
    <w:rPr>
      <w:rFonts w:ascii="宋体" w:hAnsi="宋体" w:eastAsia="宋体"/>
      <w:lang w:val="en-US" w:eastAsia="zh-CN"/>
    </w:rPr>
  </w:style>
  <w:style w:type="paragraph" w:customStyle="1" w:styleId="47">
    <w:name w:val="正文文本缩进1"/>
    <w:basedOn w:val="1"/>
    <w:link w:val="48"/>
    <w:qFormat/>
    <w:uiPriority w:val="0"/>
    <w:pPr>
      <w:spacing w:line="380" w:lineRule="exact"/>
      <w:ind w:firstLine="480"/>
    </w:pPr>
    <w:rPr>
      <w:rFonts w:eastAsia="方正书宋简体"/>
      <w:sz w:val="24"/>
    </w:rPr>
  </w:style>
  <w:style w:type="character" w:customStyle="1" w:styleId="48">
    <w:name w:val="正文文本缩进 字符4"/>
    <w:link w:val="47"/>
    <w:qFormat/>
    <w:uiPriority w:val="0"/>
    <w:rPr>
      <w:rFonts w:eastAsia="方正书宋简体"/>
      <w:kern w:val="2"/>
      <w:sz w:val="24"/>
      <w:lang w:val="en-US" w:eastAsia="zh-CN"/>
    </w:rPr>
  </w:style>
  <w:style w:type="paragraph" w:customStyle="1" w:styleId="49">
    <w:name w:val="列表编号 31"/>
    <w:basedOn w:val="1"/>
    <w:qFormat/>
    <w:uiPriority w:val="0"/>
    <w:pPr>
      <w:widowControl/>
      <w:tabs>
        <w:tab w:val="left" w:pos="482"/>
      </w:tabs>
      <w:ind w:left="482" w:hanging="340"/>
      <w:jc w:val="left"/>
    </w:pPr>
    <w:rPr>
      <w:kern w:val="0"/>
      <w:sz w:val="24"/>
    </w:rPr>
  </w:style>
  <w:style w:type="paragraph" w:customStyle="1" w:styleId="50">
    <w:name w:val="目录 51"/>
    <w:basedOn w:val="1"/>
    <w:qFormat/>
    <w:uiPriority w:val="0"/>
    <w:pPr>
      <w:ind w:left="840"/>
      <w:jc w:val="left"/>
    </w:pPr>
    <w:rPr>
      <w:sz w:val="18"/>
      <w:szCs w:val="18"/>
    </w:rPr>
  </w:style>
  <w:style w:type="paragraph" w:customStyle="1" w:styleId="51">
    <w:name w:val="目录 31"/>
    <w:basedOn w:val="1"/>
    <w:qFormat/>
    <w:uiPriority w:val="0"/>
    <w:pPr>
      <w:ind w:left="420"/>
      <w:jc w:val="left"/>
    </w:pPr>
    <w:rPr>
      <w:i/>
      <w:iCs/>
      <w:sz w:val="20"/>
    </w:rPr>
  </w:style>
  <w:style w:type="paragraph" w:customStyle="1" w:styleId="52">
    <w:name w:val="纯文本11"/>
    <w:basedOn w:val="1"/>
    <w:link w:val="53"/>
    <w:qFormat/>
    <w:uiPriority w:val="0"/>
    <w:pPr>
      <w:widowControl/>
      <w:spacing w:before="100" w:beforeAutospacing="1" w:after="100" w:afterAutospacing="1"/>
      <w:jc w:val="left"/>
    </w:pPr>
    <w:rPr>
      <w:rFonts w:ascii="宋体" w:hAnsi="Courier New"/>
      <w:kern w:val="0"/>
      <w:sz w:val="20"/>
    </w:rPr>
  </w:style>
  <w:style w:type="character" w:customStyle="1" w:styleId="53">
    <w:name w:val="纯文本 字符3"/>
    <w:link w:val="52"/>
    <w:qFormat/>
    <w:uiPriority w:val="0"/>
    <w:rPr>
      <w:rFonts w:ascii="宋体" w:hAnsi="Courier New" w:eastAsia="宋体"/>
      <w:lang w:val="en-US" w:eastAsia="zh-CN"/>
    </w:rPr>
  </w:style>
  <w:style w:type="paragraph" w:customStyle="1" w:styleId="54">
    <w:name w:val="目录 81"/>
    <w:basedOn w:val="1"/>
    <w:qFormat/>
    <w:uiPriority w:val="0"/>
    <w:pPr>
      <w:ind w:left="1470"/>
      <w:jc w:val="left"/>
    </w:pPr>
    <w:rPr>
      <w:sz w:val="18"/>
      <w:szCs w:val="18"/>
    </w:rPr>
  </w:style>
  <w:style w:type="paragraph" w:customStyle="1" w:styleId="55">
    <w:name w:val="日期1"/>
    <w:basedOn w:val="1"/>
    <w:link w:val="56"/>
    <w:qFormat/>
    <w:uiPriority w:val="0"/>
    <w:pPr>
      <w:spacing w:line="312" w:lineRule="atLeast"/>
      <w:jc w:val="right"/>
    </w:pPr>
    <w:rPr>
      <w:rFonts w:ascii="宋体"/>
      <w:kern w:val="0"/>
      <w:sz w:val="24"/>
    </w:rPr>
  </w:style>
  <w:style w:type="character" w:customStyle="1" w:styleId="56">
    <w:name w:val="日期 字符3"/>
    <w:link w:val="55"/>
    <w:qFormat/>
    <w:uiPriority w:val="0"/>
    <w:rPr>
      <w:rFonts w:ascii="宋体"/>
      <w:sz w:val="24"/>
    </w:rPr>
  </w:style>
  <w:style w:type="paragraph" w:customStyle="1" w:styleId="57">
    <w:name w:val="正文文本缩进 21"/>
    <w:basedOn w:val="1"/>
    <w:link w:val="58"/>
    <w:qFormat/>
    <w:uiPriority w:val="0"/>
    <w:pPr>
      <w:spacing w:line="380" w:lineRule="exact"/>
      <w:ind w:left="840" w:hanging="45"/>
    </w:pPr>
    <w:rPr>
      <w:rFonts w:ascii="宋体"/>
      <w:sz w:val="24"/>
    </w:rPr>
  </w:style>
  <w:style w:type="character" w:customStyle="1" w:styleId="58">
    <w:name w:val="正文文本缩进 2 字符2"/>
    <w:link w:val="57"/>
    <w:qFormat/>
    <w:uiPriority w:val="0"/>
    <w:rPr>
      <w:rFonts w:ascii="宋体" w:eastAsia="宋体"/>
      <w:kern w:val="2"/>
      <w:sz w:val="24"/>
      <w:lang w:val="en-US" w:eastAsia="zh-CN"/>
    </w:rPr>
  </w:style>
  <w:style w:type="paragraph" w:customStyle="1" w:styleId="59">
    <w:name w:val="批注框文本1"/>
    <w:basedOn w:val="1"/>
    <w:link w:val="60"/>
    <w:qFormat/>
    <w:uiPriority w:val="0"/>
    <w:rPr>
      <w:rFonts w:ascii="宋体" w:hAnsi="宋体"/>
      <w:sz w:val="18"/>
      <w:szCs w:val="18"/>
    </w:rPr>
  </w:style>
  <w:style w:type="character" w:customStyle="1" w:styleId="60">
    <w:name w:val="批注框文本 字符2"/>
    <w:link w:val="59"/>
    <w:qFormat/>
    <w:uiPriority w:val="0"/>
    <w:rPr>
      <w:rFonts w:ascii="宋体" w:hAnsi="宋体" w:eastAsia="宋体"/>
      <w:kern w:val="2"/>
      <w:sz w:val="18"/>
      <w:szCs w:val="18"/>
      <w:lang w:val="en-US" w:eastAsia="zh-CN"/>
    </w:rPr>
  </w:style>
  <w:style w:type="paragraph" w:customStyle="1" w:styleId="61">
    <w:name w:val="页脚1"/>
    <w:basedOn w:val="1"/>
    <w:link w:val="62"/>
    <w:qFormat/>
    <w:uiPriority w:val="0"/>
    <w:pPr>
      <w:tabs>
        <w:tab w:val="center" w:pos="4153"/>
        <w:tab w:val="right" w:pos="8306"/>
      </w:tabs>
      <w:snapToGrid w:val="0"/>
      <w:jc w:val="left"/>
    </w:pPr>
    <w:rPr>
      <w:rFonts w:ascii="宋体" w:hAnsi="宋体"/>
      <w:sz w:val="18"/>
      <w:szCs w:val="18"/>
    </w:rPr>
  </w:style>
  <w:style w:type="character" w:customStyle="1" w:styleId="62">
    <w:name w:val="页脚 字符2"/>
    <w:link w:val="61"/>
    <w:qFormat/>
    <w:uiPriority w:val="0"/>
    <w:rPr>
      <w:rFonts w:ascii="宋体" w:hAnsi="宋体" w:eastAsia="宋体"/>
      <w:kern w:val="2"/>
      <w:sz w:val="18"/>
      <w:szCs w:val="18"/>
      <w:lang w:val="en-US" w:eastAsia="zh-CN"/>
    </w:rPr>
  </w:style>
  <w:style w:type="paragraph" w:customStyle="1" w:styleId="63">
    <w:name w:val="页眉1"/>
    <w:basedOn w:val="1"/>
    <w:link w:val="64"/>
    <w:qFormat/>
    <w:uiPriority w:val="0"/>
    <w:pPr>
      <w:pBdr>
        <w:bottom w:val="single" w:color="000000" w:sz="6" w:space="1"/>
      </w:pBdr>
      <w:tabs>
        <w:tab w:val="center" w:pos="4153"/>
        <w:tab w:val="right" w:pos="8306"/>
      </w:tabs>
      <w:snapToGrid w:val="0"/>
      <w:jc w:val="center"/>
    </w:pPr>
    <w:rPr>
      <w:rFonts w:ascii="宋体" w:hAnsi="宋体"/>
      <w:sz w:val="18"/>
      <w:szCs w:val="18"/>
    </w:rPr>
  </w:style>
  <w:style w:type="character" w:customStyle="1" w:styleId="64">
    <w:name w:val="页眉 字符2"/>
    <w:link w:val="63"/>
    <w:qFormat/>
    <w:uiPriority w:val="0"/>
    <w:rPr>
      <w:rFonts w:ascii="宋体" w:hAnsi="宋体" w:eastAsia="宋体"/>
      <w:kern w:val="2"/>
      <w:sz w:val="18"/>
      <w:szCs w:val="18"/>
      <w:lang w:val="en-US" w:eastAsia="zh-CN"/>
    </w:rPr>
  </w:style>
  <w:style w:type="paragraph" w:customStyle="1" w:styleId="65">
    <w:name w:val="目录 11"/>
    <w:basedOn w:val="1"/>
    <w:qFormat/>
    <w:uiPriority w:val="0"/>
    <w:pPr>
      <w:tabs>
        <w:tab w:val="right" w:leader="dot" w:pos="8721"/>
      </w:tabs>
      <w:spacing w:line="480" w:lineRule="auto"/>
    </w:pPr>
    <w:rPr>
      <w:rFonts w:ascii="宋体" w:hAnsi="宋体"/>
      <w:color w:val="000000"/>
      <w:sz w:val="32"/>
      <w:szCs w:val="32"/>
    </w:rPr>
  </w:style>
  <w:style w:type="paragraph" w:customStyle="1" w:styleId="66">
    <w:name w:val="目录 41"/>
    <w:basedOn w:val="1"/>
    <w:qFormat/>
    <w:uiPriority w:val="0"/>
    <w:pPr>
      <w:ind w:left="630"/>
      <w:jc w:val="left"/>
    </w:pPr>
    <w:rPr>
      <w:sz w:val="18"/>
      <w:szCs w:val="18"/>
    </w:rPr>
  </w:style>
  <w:style w:type="paragraph" w:customStyle="1" w:styleId="67">
    <w:name w:val="列表编号 51"/>
    <w:basedOn w:val="1"/>
    <w:qFormat/>
    <w:uiPriority w:val="0"/>
    <w:pPr>
      <w:tabs>
        <w:tab w:val="left" w:pos="2608"/>
      </w:tabs>
      <w:spacing w:line="360" w:lineRule="auto"/>
      <w:ind w:left="840" w:hanging="360"/>
    </w:pPr>
    <w:rPr>
      <w:sz w:val="24"/>
      <w:szCs w:val="24"/>
    </w:rPr>
  </w:style>
  <w:style w:type="paragraph" w:customStyle="1" w:styleId="68">
    <w:name w:val="目录 61"/>
    <w:basedOn w:val="1"/>
    <w:qFormat/>
    <w:uiPriority w:val="0"/>
    <w:pPr>
      <w:ind w:left="1050"/>
      <w:jc w:val="left"/>
    </w:pPr>
    <w:rPr>
      <w:sz w:val="18"/>
      <w:szCs w:val="18"/>
    </w:rPr>
  </w:style>
  <w:style w:type="paragraph" w:customStyle="1" w:styleId="69">
    <w:name w:val="正文文本缩进 31"/>
    <w:basedOn w:val="1"/>
    <w:link w:val="70"/>
    <w:qFormat/>
    <w:uiPriority w:val="0"/>
    <w:pPr>
      <w:spacing w:line="380" w:lineRule="exact"/>
      <w:ind w:left="525"/>
    </w:pPr>
    <w:rPr>
      <w:rFonts w:ascii="宋体" w:hAnsi="宋体"/>
      <w:b/>
      <w:sz w:val="24"/>
      <w:szCs w:val="24"/>
    </w:rPr>
  </w:style>
  <w:style w:type="character" w:customStyle="1" w:styleId="70">
    <w:name w:val="正文文本缩进 3 字符2"/>
    <w:link w:val="69"/>
    <w:qFormat/>
    <w:uiPriority w:val="0"/>
    <w:rPr>
      <w:rFonts w:ascii="宋体" w:hAnsi="宋体" w:eastAsia="宋体"/>
      <w:b/>
      <w:kern w:val="2"/>
      <w:sz w:val="24"/>
      <w:szCs w:val="24"/>
      <w:lang w:val="en-US" w:eastAsia="zh-CN"/>
    </w:rPr>
  </w:style>
  <w:style w:type="paragraph" w:customStyle="1" w:styleId="71">
    <w:name w:val="图表目录1"/>
    <w:basedOn w:val="1"/>
    <w:qFormat/>
    <w:uiPriority w:val="0"/>
    <w:pPr>
      <w:ind w:left="420" w:hanging="420"/>
      <w:jc w:val="left"/>
    </w:pPr>
    <w:rPr>
      <w:sz w:val="20"/>
    </w:rPr>
  </w:style>
  <w:style w:type="paragraph" w:customStyle="1" w:styleId="72">
    <w:name w:val="目录 21"/>
    <w:basedOn w:val="1"/>
    <w:qFormat/>
    <w:uiPriority w:val="0"/>
    <w:pPr>
      <w:ind w:left="210"/>
      <w:jc w:val="left"/>
    </w:pPr>
    <w:rPr>
      <w:sz w:val="20"/>
    </w:rPr>
  </w:style>
  <w:style w:type="paragraph" w:customStyle="1" w:styleId="73">
    <w:name w:val="目录 91"/>
    <w:basedOn w:val="1"/>
    <w:qFormat/>
    <w:uiPriority w:val="0"/>
    <w:pPr>
      <w:ind w:left="1680"/>
      <w:jc w:val="left"/>
    </w:pPr>
    <w:rPr>
      <w:sz w:val="18"/>
      <w:szCs w:val="18"/>
    </w:rPr>
  </w:style>
  <w:style w:type="paragraph" w:customStyle="1" w:styleId="74">
    <w:name w:val="正文文本 21"/>
    <w:basedOn w:val="1"/>
    <w:link w:val="75"/>
    <w:qFormat/>
    <w:uiPriority w:val="0"/>
    <w:pPr>
      <w:spacing w:after="120" w:line="480" w:lineRule="auto"/>
    </w:pPr>
    <w:rPr>
      <w:kern w:val="0"/>
      <w:sz w:val="24"/>
    </w:rPr>
  </w:style>
  <w:style w:type="character" w:customStyle="1" w:styleId="75">
    <w:name w:val="正文文本 2 字符2"/>
    <w:link w:val="74"/>
    <w:qFormat/>
    <w:uiPriority w:val="0"/>
    <w:rPr>
      <w:rFonts w:eastAsia="宋体"/>
      <w:sz w:val="24"/>
    </w:rPr>
  </w:style>
  <w:style w:type="paragraph" w:customStyle="1" w:styleId="76">
    <w:name w:val="HTML 预设格式1"/>
    <w:basedOn w:val="1"/>
    <w:link w:val="77"/>
    <w:qFormat/>
    <w:uiPriority w:val="0"/>
    <w:rPr>
      <w:rFonts w:ascii="Courier New" w:hAnsi="Courier New"/>
      <w:sz w:val="20"/>
    </w:rPr>
  </w:style>
  <w:style w:type="character" w:customStyle="1" w:styleId="77">
    <w:name w:val="HTML 预设格式 字符2"/>
    <w:link w:val="76"/>
    <w:qFormat/>
    <w:uiPriority w:val="0"/>
    <w:rPr>
      <w:rFonts w:ascii="Courier New" w:hAnsi="Courier New"/>
      <w:kern w:val="2"/>
    </w:rPr>
  </w:style>
  <w:style w:type="paragraph" w:customStyle="1" w:styleId="78">
    <w:name w:val="普通(网站)1"/>
    <w:basedOn w:val="1"/>
    <w:qFormat/>
    <w:uiPriority w:val="0"/>
    <w:pPr>
      <w:widowControl/>
      <w:spacing w:before="100" w:beforeAutospacing="1" w:after="100" w:afterAutospacing="1" w:line="300" w:lineRule="atLeast"/>
      <w:jc w:val="left"/>
    </w:pPr>
    <w:rPr>
      <w:rFonts w:ascii="宋体" w:hAnsi="宋体"/>
      <w:kern w:val="0"/>
      <w:sz w:val="24"/>
      <w:szCs w:val="24"/>
    </w:rPr>
  </w:style>
  <w:style w:type="paragraph" w:customStyle="1" w:styleId="79">
    <w:name w:val="索引 11"/>
    <w:basedOn w:val="1"/>
    <w:semiHidden/>
    <w:qFormat/>
    <w:uiPriority w:val="0"/>
  </w:style>
  <w:style w:type="paragraph" w:customStyle="1" w:styleId="80">
    <w:name w:val="批注主题1"/>
    <w:basedOn w:val="41"/>
    <w:link w:val="81"/>
    <w:semiHidden/>
    <w:qFormat/>
    <w:uiPriority w:val="0"/>
    <w:rPr>
      <w:b/>
    </w:rPr>
  </w:style>
  <w:style w:type="character" w:customStyle="1" w:styleId="81">
    <w:name w:val="批注主题 字符2"/>
    <w:link w:val="80"/>
    <w:qFormat/>
    <w:uiPriority w:val="0"/>
    <w:rPr>
      <w:rFonts w:ascii="宋体" w:hAnsi="宋体" w:eastAsia="宋体"/>
      <w:b/>
      <w:kern w:val="2"/>
      <w:sz w:val="21"/>
      <w:szCs w:val="21"/>
      <w:lang w:val="en-US" w:eastAsia="zh-CN"/>
    </w:rPr>
  </w:style>
  <w:style w:type="paragraph" w:customStyle="1" w:styleId="82">
    <w:name w:val="正文首行缩进1"/>
    <w:basedOn w:val="45"/>
    <w:link w:val="83"/>
    <w:qFormat/>
    <w:uiPriority w:val="0"/>
    <w:pPr>
      <w:spacing w:after="120"/>
      <w:ind w:firstLine="420" w:firstLineChars="100"/>
    </w:pPr>
    <w:rPr>
      <w:i/>
      <w:kern w:val="2"/>
      <w:sz w:val="24"/>
    </w:rPr>
  </w:style>
  <w:style w:type="character" w:customStyle="1" w:styleId="83">
    <w:name w:val="正文文本首行缩进 字符1"/>
    <w:link w:val="82"/>
    <w:qFormat/>
    <w:uiPriority w:val="0"/>
    <w:rPr>
      <w:rFonts w:ascii="宋体" w:hAnsi="宋体" w:eastAsia="宋体"/>
      <w:i/>
      <w:kern w:val="2"/>
      <w:sz w:val="24"/>
      <w:lang w:val="en-US" w:eastAsia="zh-CN"/>
    </w:rPr>
  </w:style>
  <w:style w:type="paragraph" w:customStyle="1" w:styleId="84">
    <w:name w:val="正文首行缩进 21"/>
    <w:basedOn w:val="47"/>
    <w:qFormat/>
    <w:uiPriority w:val="0"/>
    <w:pPr>
      <w:spacing w:after="120" w:line="240" w:lineRule="auto"/>
      <w:ind w:left="420" w:leftChars="200" w:firstLine="420" w:firstLineChars="200"/>
    </w:pPr>
    <w:rPr>
      <w:sz w:val="21"/>
      <w:szCs w:val="24"/>
    </w:rPr>
  </w:style>
  <w:style w:type="table" w:customStyle="1" w:styleId="85">
    <w:name w:val="网格型1"/>
    <w:basedOn w:val="25"/>
    <w:qFormat/>
    <w:uiPriority w:val="0"/>
    <w:pPr>
      <w:widowControl w:val="0"/>
      <w:jc w:val="both"/>
    </w:pPr>
  </w:style>
  <w:style w:type="character" w:customStyle="1" w:styleId="86">
    <w:name w:val="要点1"/>
    <w:qFormat/>
    <w:uiPriority w:val="0"/>
    <w:rPr>
      <w:b/>
    </w:rPr>
  </w:style>
  <w:style w:type="character" w:customStyle="1" w:styleId="87">
    <w:name w:val="页码1"/>
    <w:qFormat/>
    <w:uiPriority w:val="0"/>
  </w:style>
  <w:style w:type="character" w:customStyle="1" w:styleId="88">
    <w:name w:val="已访问的超链接1"/>
    <w:qFormat/>
    <w:uiPriority w:val="0"/>
    <w:rPr>
      <w:color w:val="800080"/>
      <w:u w:val="single"/>
    </w:rPr>
  </w:style>
  <w:style w:type="character" w:customStyle="1" w:styleId="89">
    <w:name w:val="强调1"/>
    <w:qFormat/>
    <w:uiPriority w:val="0"/>
    <w:rPr>
      <w:i/>
    </w:rPr>
  </w:style>
  <w:style w:type="character" w:customStyle="1" w:styleId="90">
    <w:name w:val="HTML 打字机1"/>
    <w:qFormat/>
    <w:uiPriority w:val="0"/>
    <w:rPr>
      <w:rFonts w:ascii="Courier New" w:hAnsi="Courier New"/>
      <w:sz w:val="20"/>
    </w:rPr>
  </w:style>
  <w:style w:type="character" w:customStyle="1" w:styleId="91">
    <w:name w:val="超链接1"/>
    <w:qFormat/>
    <w:uiPriority w:val="0"/>
    <w:rPr>
      <w:color w:val="0000FF"/>
      <w:u w:val="single"/>
    </w:rPr>
  </w:style>
  <w:style w:type="character" w:customStyle="1" w:styleId="92">
    <w:name w:val="批注引用1"/>
    <w:semiHidden/>
    <w:qFormat/>
    <w:uiPriority w:val="0"/>
    <w:rPr>
      <w:sz w:val="21"/>
    </w:rPr>
  </w:style>
  <w:style w:type="paragraph" w:customStyle="1" w:styleId="93">
    <w:name w:val="样式1"/>
    <w:basedOn w:val="16"/>
    <w:link w:val="94"/>
    <w:qFormat/>
    <w:uiPriority w:val="0"/>
    <w:pPr>
      <w:tabs>
        <w:tab w:val="clear" w:pos="578"/>
      </w:tabs>
      <w:ind w:left="0" w:firstLine="0"/>
    </w:pPr>
    <w:rPr>
      <w:rFonts w:ascii="黑体" w:hAnsi="黑体" w:eastAsia="黑体"/>
      <w:b/>
      <w:sz w:val="32"/>
      <w:szCs w:val="20"/>
    </w:rPr>
  </w:style>
  <w:style w:type="character" w:customStyle="1" w:styleId="94">
    <w:name w:val="样式1 Char"/>
    <w:link w:val="93"/>
    <w:qFormat/>
    <w:uiPriority w:val="0"/>
    <w:rPr>
      <w:rFonts w:ascii="黑体" w:hAnsi="黑体" w:eastAsia="黑体"/>
      <w:b/>
      <w:kern w:val="2"/>
      <w:sz w:val="32"/>
    </w:rPr>
  </w:style>
  <w:style w:type="paragraph" w:customStyle="1" w:styleId="95">
    <w:name w:val="样式2"/>
    <w:basedOn w:val="17"/>
    <w:link w:val="96"/>
    <w:qFormat/>
    <w:uiPriority w:val="0"/>
    <w:pPr>
      <w:tabs>
        <w:tab w:val="clear" w:pos="1620"/>
      </w:tabs>
      <w:ind w:left="0" w:firstLine="0"/>
    </w:pPr>
    <w:rPr>
      <w:rFonts w:ascii="黑体" w:hAnsi="黑体" w:eastAsia="黑体"/>
      <w:b w:val="0"/>
      <w:color w:val="FF0000"/>
      <w:szCs w:val="20"/>
    </w:rPr>
  </w:style>
  <w:style w:type="character" w:customStyle="1" w:styleId="96">
    <w:name w:val="样式2 Char"/>
    <w:link w:val="95"/>
    <w:qFormat/>
    <w:uiPriority w:val="0"/>
    <w:rPr>
      <w:rFonts w:ascii="黑体" w:hAnsi="黑体" w:eastAsia="黑体"/>
      <w:color w:val="FF0000"/>
      <w:kern w:val="2"/>
      <w:sz w:val="32"/>
      <w:lang w:val="en-US" w:eastAsia="zh-CN"/>
    </w:rPr>
  </w:style>
  <w:style w:type="paragraph" w:customStyle="1" w:styleId="97">
    <w:name w:val="Default"/>
    <w:qFormat/>
    <w:uiPriority w:val="0"/>
    <w:pPr>
      <w:widowControl w:val="0"/>
      <w:autoSpaceDE w:val="0"/>
      <w:autoSpaceDN w:val="0"/>
      <w:ind w:left="425"/>
    </w:pPr>
    <w:rPr>
      <w:rFonts w:ascii="黑体" w:hAnsi="Times New Roman" w:eastAsia="黑体" w:cs="Times New Roman"/>
      <w:color w:val="000000"/>
      <w:sz w:val="24"/>
      <w:szCs w:val="24"/>
      <w:lang w:val="en-US" w:eastAsia="zh-CN" w:bidi="ar-SA"/>
    </w:rPr>
  </w:style>
  <w:style w:type="character" w:customStyle="1" w:styleId="98">
    <w:name w:val="正文文本 Char"/>
    <w:qFormat/>
    <w:uiPriority w:val="0"/>
    <w:rPr>
      <w:rFonts w:eastAsia="宋体"/>
      <w:i/>
      <w:kern w:val="2"/>
      <w:sz w:val="18"/>
      <w:lang w:val="en-US" w:eastAsia="zh-CN"/>
    </w:rPr>
  </w:style>
  <w:style w:type="character" w:customStyle="1" w:styleId="99">
    <w:name w:val="正文文本缩进 2 字符"/>
    <w:qFormat/>
    <w:uiPriority w:val="0"/>
    <w:rPr>
      <w:rFonts w:ascii="宋体" w:eastAsia="宋体"/>
      <w:kern w:val="2"/>
      <w:sz w:val="24"/>
      <w:lang w:val="en-US" w:eastAsia="zh-CN"/>
    </w:rPr>
  </w:style>
  <w:style w:type="character" w:customStyle="1" w:styleId="100">
    <w:name w:val="标题 8 字符"/>
    <w:qFormat/>
    <w:uiPriority w:val="0"/>
    <w:rPr>
      <w:rFonts w:ascii="Arial" w:hAnsi="Arial" w:eastAsia="黑体"/>
      <w:kern w:val="2"/>
      <w:sz w:val="24"/>
    </w:rPr>
  </w:style>
  <w:style w:type="character" w:customStyle="1" w:styleId="101">
    <w:name w:val="标题 5 字符"/>
    <w:qFormat/>
    <w:uiPriority w:val="0"/>
    <w:rPr>
      <w:rFonts w:eastAsia="宋体"/>
      <w:b/>
      <w:kern w:val="2"/>
      <w:sz w:val="28"/>
      <w:lang w:val="en-US" w:eastAsia="zh-CN"/>
    </w:rPr>
  </w:style>
  <w:style w:type="character" w:customStyle="1" w:styleId="102">
    <w:name w:val="纯文本 字符"/>
    <w:qFormat/>
    <w:uiPriority w:val="0"/>
    <w:rPr>
      <w:rFonts w:ascii="宋体" w:hAnsi="Courier New" w:eastAsia="宋体"/>
      <w:lang w:val="en-US" w:eastAsia="zh-CN"/>
    </w:rPr>
  </w:style>
  <w:style w:type="character" w:customStyle="1" w:styleId="103">
    <w:name w:val="HTML 预设格式 字符"/>
    <w:qFormat/>
    <w:uiPriority w:val="0"/>
    <w:rPr>
      <w:rFonts w:ascii="Courier New" w:hAnsi="Courier New"/>
      <w:kern w:val="2"/>
    </w:rPr>
  </w:style>
  <w:style w:type="character" w:customStyle="1" w:styleId="104">
    <w:name w:val="标题 7 字符"/>
    <w:qFormat/>
    <w:uiPriority w:val="0"/>
    <w:rPr>
      <w:b/>
      <w:kern w:val="2"/>
      <w:sz w:val="24"/>
    </w:rPr>
  </w:style>
  <w:style w:type="character" w:customStyle="1" w:styleId="105">
    <w:name w:val="方案－正文 Char"/>
    <w:link w:val="106"/>
    <w:qFormat/>
    <w:uiPriority w:val="0"/>
    <w:rPr>
      <w:rFonts w:ascii="仿宋_GB2312" w:hAnsi="宋体"/>
      <w:sz w:val="24"/>
    </w:rPr>
  </w:style>
  <w:style w:type="paragraph" w:customStyle="1" w:styleId="106">
    <w:name w:val="方案－正文"/>
    <w:basedOn w:val="1"/>
    <w:link w:val="105"/>
    <w:qFormat/>
    <w:uiPriority w:val="0"/>
    <w:pPr>
      <w:spacing w:line="360" w:lineRule="auto"/>
      <w:ind w:firstLine="480" w:firstLineChars="200"/>
    </w:pPr>
    <w:rPr>
      <w:rFonts w:ascii="仿宋_GB2312" w:hAnsi="宋体"/>
      <w:kern w:val="0"/>
      <w:sz w:val="24"/>
    </w:rPr>
  </w:style>
  <w:style w:type="character" w:customStyle="1" w:styleId="107">
    <w:name w:val="样式4 Char"/>
    <w:link w:val="108"/>
    <w:qFormat/>
    <w:uiPriority w:val="0"/>
    <w:rPr>
      <w:rFonts w:ascii="黑体" w:hAnsi="黑体" w:eastAsia="黑体"/>
      <w:kern w:val="44"/>
      <w:sz w:val="44"/>
      <w:lang w:val="en-US" w:eastAsia="zh-CN"/>
    </w:rPr>
  </w:style>
  <w:style w:type="paragraph" w:customStyle="1" w:styleId="108">
    <w:name w:val="样式4"/>
    <w:basedOn w:val="15"/>
    <w:link w:val="107"/>
    <w:qFormat/>
    <w:uiPriority w:val="0"/>
    <w:pPr>
      <w:keepLines/>
      <w:spacing w:line="360" w:lineRule="auto"/>
    </w:pPr>
    <w:rPr>
      <w:rFonts w:ascii="黑体" w:hAnsi="黑体" w:eastAsia="黑体"/>
      <w:b w:val="0"/>
      <w:szCs w:val="20"/>
    </w:rPr>
  </w:style>
  <w:style w:type="character" w:customStyle="1" w:styleId="109">
    <w:name w:val="HTML 预设格式 字符1"/>
    <w:semiHidden/>
    <w:qFormat/>
    <w:uiPriority w:val="0"/>
    <w:rPr>
      <w:rFonts w:ascii="Courier New" w:hAnsi="Courier New"/>
      <w:kern w:val="2"/>
    </w:rPr>
  </w:style>
  <w:style w:type="character" w:customStyle="1" w:styleId="110">
    <w:name w:val="正文文本缩进 字符"/>
    <w:qFormat/>
    <w:uiPriority w:val="0"/>
    <w:rPr>
      <w:rFonts w:ascii="Calibri" w:hAnsi="Calibri"/>
    </w:rPr>
  </w:style>
  <w:style w:type="character" w:customStyle="1" w:styleId="111">
    <w:name w:val="标题 3 Char"/>
    <w:qFormat/>
    <w:uiPriority w:val="0"/>
    <w:rPr>
      <w:rFonts w:ascii="Arial" w:hAnsi="Arial" w:eastAsia="黑体"/>
      <w:b/>
      <w:kern w:val="2"/>
      <w:sz w:val="32"/>
      <w:lang w:val="en-US" w:eastAsia="zh-CN"/>
    </w:rPr>
  </w:style>
  <w:style w:type="character" w:customStyle="1" w:styleId="112">
    <w:name w:val="无间距字符"/>
    <w:link w:val="113"/>
    <w:qFormat/>
    <w:uiPriority w:val="0"/>
    <w:rPr>
      <w:sz w:val="22"/>
      <w:lang w:val="en-US" w:eastAsia="zh-CN" w:bidi="ar-SA"/>
    </w:rPr>
  </w:style>
  <w:style w:type="paragraph" w:customStyle="1" w:styleId="113">
    <w:name w:val="无间距"/>
    <w:link w:val="112"/>
    <w:qFormat/>
    <w:uiPriority w:val="0"/>
    <w:rPr>
      <w:rFonts w:ascii="Times New Roman" w:hAnsi="Times New Roman" w:eastAsia="宋体" w:cs="Times New Roman"/>
      <w:sz w:val="22"/>
      <w:lang w:val="en-US" w:eastAsia="zh-CN" w:bidi="ar-SA"/>
    </w:rPr>
  </w:style>
  <w:style w:type="character" w:customStyle="1" w:styleId="114">
    <w:name w:val="列表段落 字符1"/>
    <w:link w:val="115"/>
    <w:qFormat/>
    <w:uiPriority w:val="0"/>
    <w:rPr>
      <w:rFonts w:eastAsia="宋体"/>
      <w:kern w:val="2"/>
      <w:sz w:val="24"/>
      <w:lang w:val="en-US" w:eastAsia="zh-CN"/>
    </w:rPr>
  </w:style>
  <w:style w:type="paragraph" w:customStyle="1" w:styleId="115">
    <w:name w:val="列表段落1"/>
    <w:basedOn w:val="1"/>
    <w:link w:val="114"/>
    <w:qFormat/>
    <w:uiPriority w:val="0"/>
    <w:pPr>
      <w:spacing w:line="360" w:lineRule="auto"/>
      <w:ind w:firstLine="420" w:firstLineChars="200"/>
    </w:pPr>
    <w:rPr>
      <w:sz w:val="24"/>
    </w:rPr>
  </w:style>
  <w:style w:type="character" w:customStyle="1" w:styleId="116">
    <w:name w:val="标题 6 字符"/>
    <w:qFormat/>
    <w:uiPriority w:val="0"/>
    <w:rPr>
      <w:rFonts w:ascii="Cambria" w:hAnsi="Cambria" w:eastAsia="宋体"/>
      <w:b/>
      <w:kern w:val="2"/>
      <w:sz w:val="24"/>
      <w:lang w:val="en-US" w:eastAsia="zh-CN"/>
    </w:rPr>
  </w:style>
  <w:style w:type="character" w:customStyle="1" w:styleId="117">
    <w:name w:val="正文文本缩进 2 字符1"/>
    <w:semiHidden/>
    <w:qFormat/>
    <w:uiPriority w:val="0"/>
    <w:rPr>
      <w:kern w:val="2"/>
      <w:sz w:val="21"/>
    </w:rPr>
  </w:style>
  <w:style w:type="character" w:customStyle="1" w:styleId="118">
    <w:name w:val="正文文本缩进 3 字符1"/>
    <w:semiHidden/>
    <w:qFormat/>
    <w:uiPriority w:val="0"/>
    <w:rPr>
      <w:kern w:val="2"/>
      <w:sz w:val="16"/>
      <w:szCs w:val="16"/>
    </w:rPr>
  </w:style>
  <w:style w:type="character" w:customStyle="1" w:styleId="119">
    <w:name w:val="列表 Char"/>
    <w:link w:val="9"/>
    <w:qFormat/>
    <w:uiPriority w:val="0"/>
    <w:rPr>
      <w:kern w:val="2"/>
      <w:sz w:val="21"/>
      <w:szCs w:val="22"/>
    </w:rPr>
  </w:style>
  <w:style w:type="character" w:customStyle="1" w:styleId="120">
    <w:name w:val="批注文字 字符"/>
    <w:qFormat/>
    <w:uiPriority w:val="0"/>
    <w:rPr>
      <w:rFonts w:ascii="宋体" w:hAnsi="宋体" w:eastAsia="宋体"/>
      <w:kern w:val="2"/>
      <w:sz w:val="21"/>
      <w:szCs w:val="21"/>
      <w:lang w:val="en-US" w:eastAsia="zh-CN"/>
    </w:rPr>
  </w:style>
  <w:style w:type="character" w:customStyle="1" w:styleId="121">
    <w:name w:val="纯文本 字符2"/>
    <w:qFormat/>
    <w:uiPriority w:val="0"/>
    <w:rPr>
      <w:rFonts w:ascii="宋体" w:hAnsi="Courier New" w:eastAsia="宋体"/>
      <w:lang w:val="en-US" w:eastAsia="zh-CN"/>
    </w:rPr>
  </w:style>
  <w:style w:type="character" w:customStyle="1" w:styleId="122">
    <w:name w:val="正文文本 Char1"/>
    <w:qFormat/>
    <w:uiPriority w:val="0"/>
    <w:rPr>
      <w:rFonts w:ascii="Times New Roman" w:hAnsi="Times New Roman" w:eastAsia="宋体"/>
      <w:sz w:val="24"/>
      <w:szCs w:val="24"/>
    </w:rPr>
  </w:style>
  <w:style w:type="character" w:customStyle="1" w:styleId="123">
    <w:name w:val="批注框文本 字符"/>
    <w:qFormat/>
    <w:uiPriority w:val="0"/>
    <w:rPr>
      <w:rFonts w:ascii="宋体" w:hAnsi="宋体" w:eastAsia="宋体"/>
      <w:kern w:val="2"/>
      <w:sz w:val="18"/>
      <w:szCs w:val="18"/>
      <w:lang w:val="en-US" w:eastAsia="zh-CN"/>
    </w:rPr>
  </w:style>
  <w:style w:type="character" w:customStyle="1" w:styleId="124">
    <w:name w:val="h6 Char"/>
    <w:qFormat/>
    <w:uiPriority w:val="0"/>
    <w:rPr>
      <w:rFonts w:ascii="Arial" w:hAnsi="Arial" w:eastAsia="宋体"/>
      <w:b/>
      <w:kern w:val="2"/>
      <w:sz w:val="24"/>
      <w:lang w:val="en-US" w:eastAsia="zh-CN"/>
    </w:rPr>
  </w:style>
  <w:style w:type="character" w:customStyle="1" w:styleId="125">
    <w:name w:val="标题 3 字符"/>
    <w:qFormat/>
    <w:uiPriority w:val="0"/>
    <w:rPr>
      <w:rFonts w:ascii="宋体" w:hAnsi="宋体" w:eastAsia="宋体"/>
      <w:b/>
      <w:kern w:val="2"/>
      <w:sz w:val="32"/>
      <w:szCs w:val="32"/>
      <w:lang w:val="en-US" w:eastAsia="zh-CN"/>
    </w:rPr>
  </w:style>
  <w:style w:type="character" w:customStyle="1" w:styleId="126">
    <w:name w:val="正文文本 2 字符1"/>
    <w:semiHidden/>
    <w:qFormat/>
    <w:uiPriority w:val="0"/>
    <w:rPr>
      <w:kern w:val="2"/>
      <w:sz w:val="21"/>
    </w:rPr>
  </w:style>
  <w:style w:type="character" w:customStyle="1" w:styleId="127">
    <w:name w:val="正文文本缩进 3 Char"/>
    <w:qFormat/>
    <w:uiPriority w:val="0"/>
    <w:rPr>
      <w:rFonts w:ascii="宋体" w:eastAsia="宋体"/>
      <w:kern w:val="2"/>
      <w:sz w:val="24"/>
      <w:lang w:val="en-US" w:eastAsia="zh-CN"/>
    </w:rPr>
  </w:style>
  <w:style w:type="character" w:customStyle="1" w:styleId="128">
    <w:name w:val="标题 1 Char Char"/>
    <w:qFormat/>
    <w:uiPriority w:val="0"/>
    <w:rPr>
      <w:rFonts w:eastAsia="宋体"/>
      <w:b/>
      <w:spacing w:val="-2"/>
      <w:sz w:val="24"/>
      <w:lang w:val="en-US" w:eastAsia="zh-CN"/>
    </w:rPr>
  </w:style>
  <w:style w:type="character" w:customStyle="1" w:styleId="129">
    <w:name w:val="正文文本缩进 Char1"/>
    <w:qFormat/>
    <w:uiPriority w:val="0"/>
    <w:rPr>
      <w:rFonts w:eastAsia="方正书宋简体"/>
      <w:kern w:val="2"/>
      <w:sz w:val="24"/>
      <w:lang w:val="en-US" w:eastAsia="zh-CN"/>
    </w:rPr>
  </w:style>
  <w:style w:type="character" w:customStyle="1" w:styleId="130">
    <w:name w:val="标题 2 字符"/>
    <w:qFormat/>
    <w:uiPriority w:val="0"/>
    <w:rPr>
      <w:rFonts w:ascii="Cambria" w:hAnsi="Cambria" w:eastAsia="宋体"/>
      <w:kern w:val="2"/>
      <w:sz w:val="21"/>
      <w:szCs w:val="21"/>
      <w:lang w:val="en-US" w:eastAsia="zh-CN"/>
    </w:rPr>
  </w:style>
  <w:style w:type="character" w:customStyle="1" w:styleId="131">
    <w:name w:val="正文首行缩进 字符"/>
    <w:qFormat/>
    <w:uiPriority w:val="0"/>
    <w:rPr>
      <w:rFonts w:ascii="宋体" w:hAnsi="宋体" w:eastAsia="宋体"/>
      <w:i/>
      <w:kern w:val="2"/>
      <w:sz w:val="24"/>
      <w:lang w:val="en-US" w:eastAsia="zh-CN"/>
    </w:rPr>
  </w:style>
  <w:style w:type="character" w:customStyle="1" w:styleId="132">
    <w:name w:val="页脚 Char"/>
    <w:qFormat/>
    <w:uiPriority w:val="0"/>
    <w:rPr>
      <w:rFonts w:eastAsia="宋体"/>
      <w:kern w:val="2"/>
      <w:sz w:val="18"/>
      <w:lang w:val="en-US" w:eastAsia="zh-CN"/>
    </w:rPr>
  </w:style>
  <w:style w:type="character" w:customStyle="1" w:styleId="133">
    <w:name w:val="正文文本缩进 字符3"/>
    <w:qFormat/>
    <w:uiPriority w:val="0"/>
    <w:rPr>
      <w:rFonts w:eastAsia="方正书宋简体"/>
      <w:kern w:val="2"/>
      <w:sz w:val="24"/>
      <w:lang w:val="en-US" w:eastAsia="zh-CN"/>
    </w:rPr>
  </w:style>
  <w:style w:type="character" w:customStyle="1" w:styleId="134">
    <w:name w:val="font101"/>
    <w:qFormat/>
    <w:uiPriority w:val="0"/>
    <w:rPr>
      <w:rFonts w:ascii="Times New Roman" w:hAnsi="Times New Roman"/>
      <w:b/>
      <w:color w:val="000000"/>
      <w:sz w:val="22"/>
      <w:szCs w:val="22"/>
      <w:u w:val="none"/>
    </w:rPr>
  </w:style>
  <w:style w:type="character" w:customStyle="1" w:styleId="135">
    <w:name w:val="font61"/>
    <w:qFormat/>
    <w:uiPriority w:val="0"/>
    <w:rPr>
      <w:rFonts w:ascii="Times New Roman" w:hAnsi="Times New Roman"/>
      <w:color w:val="000000"/>
      <w:sz w:val="20"/>
      <w:u w:val="none"/>
    </w:rPr>
  </w:style>
  <w:style w:type="character" w:customStyle="1" w:styleId="136">
    <w:name w:val="正文文本缩进 3 字符"/>
    <w:qFormat/>
    <w:uiPriority w:val="0"/>
    <w:rPr>
      <w:rFonts w:ascii="宋体" w:hAnsi="宋体" w:eastAsia="宋体"/>
      <w:b/>
      <w:kern w:val="2"/>
      <w:sz w:val="24"/>
      <w:szCs w:val="24"/>
      <w:lang w:val="en-US" w:eastAsia="zh-CN"/>
    </w:rPr>
  </w:style>
  <w:style w:type="character" w:customStyle="1" w:styleId="137">
    <w:name w:val="正文文本 字符"/>
    <w:qFormat/>
    <w:uiPriority w:val="0"/>
    <w:rPr>
      <w:rFonts w:ascii="宋体" w:hAnsi="宋体" w:eastAsia="宋体"/>
      <w:lang w:val="en-US" w:eastAsia="zh-CN"/>
    </w:rPr>
  </w:style>
  <w:style w:type="character" w:customStyle="1" w:styleId="138">
    <w:name w:val="正文文本 字符1"/>
    <w:semiHidden/>
    <w:qFormat/>
    <w:uiPriority w:val="0"/>
    <w:rPr>
      <w:kern w:val="2"/>
      <w:sz w:val="21"/>
    </w:rPr>
  </w:style>
  <w:style w:type="character" w:customStyle="1" w:styleId="139">
    <w:name w:val="纯文本 Char"/>
    <w:qFormat/>
    <w:uiPriority w:val="0"/>
    <w:rPr>
      <w:rFonts w:ascii="宋体" w:hAnsi="宋体" w:eastAsia="宋体"/>
      <w:color w:val="000000"/>
      <w:sz w:val="24"/>
      <w:lang w:val="en-US" w:eastAsia="zh-CN"/>
    </w:rPr>
  </w:style>
  <w:style w:type="character" w:customStyle="1" w:styleId="140">
    <w:name w:val="批注文字 字符1"/>
    <w:semiHidden/>
    <w:qFormat/>
    <w:uiPriority w:val="0"/>
    <w:rPr>
      <w:kern w:val="2"/>
      <w:sz w:val="21"/>
    </w:rPr>
  </w:style>
  <w:style w:type="character" w:customStyle="1" w:styleId="141">
    <w:name w:val="标题 1 字符"/>
    <w:qFormat/>
    <w:uiPriority w:val="0"/>
    <w:rPr>
      <w:rFonts w:ascii="宋体" w:hAnsi="宋体" w:eastAsia="宋体"/>
      <w:b/>
      <w:kern w:val="44"/>
      <w:sz w:val="44"/>
      <w:szCs w:val="44"/>
      <w:lang w:val="en-US" w:eastAsia="zh-CN"/>
    </w:rPr>
  </w:style>
  <w:style w:type="character" w:customStyle="1" w:styleId="142">
    <w:name w:val="表格 字符"/>
    <w:link w:val="143"/>
    <w:qFormat/>
    <w:uiPriority w:val="0"/>
    <w:rPr>
      <w:rFonts w:ascii="宋体" w:hAnsi="宋体"/>
      <w:kern w:val="2"/>
      <w:sz w:val="21"/>
      <w:szCs w:val="22"/>
    </w:rPr>
  </w:style>
  <w:style w:type="paragraph" w:customStyle="1" w:styleId="143">
    <w:name w:val="表格"/>
    <w:basedOn w:val="1"/>
    <w:link w:val="142"/>
    <w:qFormat/>
    <w:uiPriority w:val="0"/>
    <w:pPr>
      <w:spacing w:line="276" w:lineRule="auto"/>
      <w:jc w:val="center"/>
    </w:pPr>
    <w:rPr>
      <w:rFonts w:ascii="宋体" w:hAnsi="宋体"/>
      <w:szCs w:val="22"/>
    </w:rPr>
  </w:style>
  <w:style w:type="character" w:customStyle="1" w:styleId="144">
    <w:name w:val="正文文本缩进 字符1"/>
    <w:qFormat/>
    <w:uiPriority w:val="0"/>
    <w:rPr>
      <w:rFonts w:eastAsia="方正书宋简体"/>
      <w:kern w:val="2"/>
      <w:sz w:val="24"/>
      <w:lang w:val="en-US" w:eastAsia="zh-CN"/>
    </w:rPr>
  </w:style>
  <w:style w:type="character" w:customStyle="1" w:styleId="145">
    <w:name w:val="页眉 字符"/>
    <w:qFormat/>
    <w:uiPriority w:val="0"/>
    <w:rPr>
      <w:rFonts w:ascii="宋体" w:hAnsi="宋体" w:eastAsia="宋体"/>
      <w:kern w:val="2"/>
      <w:sz w:val="18"/>
      <w:szCs w:val="18"/>
      <w:lang w:val="en-US" w:eastAsia="zh-CN"/>
    </w:rPr>
  </w:style>
  <w:style w:type="character" w:customStyle="1" w:styleId="146">
    <w:name w:val="正文文本 3 字符1"/>
    <w:semiHidden/>
    <w:qFormat/>
    <w:uiPriority w:val="0"/>
    <w:rPr>
      <w:kern w:val="2"/>
      <w:sz w:val="16"/>
      <w:szCs w:val="16"/>
    </w:rPr>
  </w:style>
  <w:style w:type="character" w:customStyle="1" w:styleId="147">
    <w:name w:val="批注主题 Char"/>
    <w:semiHidden/>
    <w:qFormat/>
    <w:uiPriority w:val="0"/>
    <w:rPr>
      <w:b/>
      <w:bCs/>
      <w:kern w:val="2"/>
      <w:sz w:val="21"/>
    </w:rPr>
  </w:style>
  <w:style w:type="character" w:customStyle="1" w:styleId="148">
    <w:name w:val="标题 9 字符"/>
    <w:qFormat/>
    <w:uiPriority w:val="0"/>
    <w:rPr>
      <w:rFonts w:ascii="Arial" w:hAnsi="Arial" w:eastAsia="黑体"/>
      <w:kern w:val="2"/>
      <w:sz w:val="21"/>
    </w:rPr>
  </w:style>
  <w:style w:type="character" w:customStyle="1" w:styleId="149">
    <w:name w:val="纯文本 Char2"/>
    <w:qFormat/>
    <w:uiPriority w:val="0"/>
    <w:rPr>
      <w:rFonts w:ascii="宋体" w:hAnsi="宋体" w:eastAsia="宋体"/>
      <w:color w:val="000000"/>
      <w:sz w:val="24"/>
      <w:lang w:val="en-US" w:eastAsia="zh-CN"/>
    </w:rPr>
  </w:style>
  <w:style w:type="character" w:customStyle="1" w:styleId="150">
    <w:name w:val="哈哈正文 Char"/>
    <w:link w:val="151"/>
    <w:qFormat/>
    <w:uiPriority w:val="0"/>
    <w:rPr>
      <w:rFonts w:ascii="宋体" w:hAnsi="宋体" w:eastAsia="宋体"/>
      <w:kern w:val="2"/>
      <w:sz w:val="24"/>
      <w:lang w:val="en-US" w:eastAsia="zh-CN"/>
    </w:rPr>
  </w:style>
  <w:style w:type="paragraph" w:customStyle="1" w:styleId="151">
    <w:name w:val="哈哈正文"/>
    <w:basedOn w:val="1"/>
    <w:link w:val="150"/>
    <w:qFormat/>
    <w:uiPriority w:val="0"/>
    <w:pPr>
      <w:spacing w:line="360" w:lineRule="auto"/>
      <w:ind w:firstLine="200" w:firstLineChars="200"/>
    </w:pPr>
    <w:rPr>
      <w:rFonts w:ascii="宋体" w:hAnsi="宋体"/>
      <w:sz w:val="24"/>
    </w:rPr>
  </w:style>
  <w:style w:type="character" w:customStyle="1" w:styleId="152">
    <w:name w:val="标题2正文 Char Char"/>
    <w:link w:val="153"/>
    <w:qFormat/>
    <w:uiPriority w:val="0"/>
    <w:rPr>
      <w:rFonts w:eastAsia="宋体"/>
      <w:sz w:val="24"/>
    </w:rPr>
  </w:style>
  <w:style w:type="paragraph" w:customStyle="1" w:styleId="153">
    <w:name w:val="标题2正文 Char"/>
    <w:basedOn w:val="1"/>
    <w:link w:val="152"/>
    <w:qFormat/>
    <w:uiPriority w:val="0"/>
    <w:pPr>
      <w:ind w:right="38" w:rightChars="18" w:firstLine="420"/>
    </w:pPr>
    <w:rPr>
      <w:kern w:val="0"/>
      <w:sz w:val="24"/>
    </w:rPr>
  </w:style>
  <w:style w:type="character" w:customStyle="1" w:styleId="154">
    <w:name w:val="正文文本 2 字符"/>
    <w:qFormat/>
    <w:uiPriority w:val="0"/>
    <w:rPr>
      <w:rFonts w:eastAsia="宋体"/>
      <w:sz w:val="24"/>
    </w:rPr>
  </w:style>
  <w:style w:type="character" w:customStyle="1" w:styleId="155">
    <w:name w:val="页眉 Char"/>
    <w:uiPriority w:val="0"/>
    <w:rPr>
      <w:rFonts w:eastAsia="宋体"/>
      <w:kern w:val="2"/>
      <w:sz w:val="18"/>
      <w:lang w:val="en-US" w:eastAsia="zh-CN"/>
    </w:rPr>
  </w:style>
  <w:style w:type="character" w:customStyle="1" w:styleId="156">
    <w:name w:val="标准正文格式 Char"/>
    <w:link w:val="157"/>
    <w:qFormat/>
    <w:uiPriority w:val="0"/>
    <w:rPr>
      <w:rFonts w:ascii="宋体" w:eastAsia="仿宋_GB2312"/>
      <w:color w:val="000000"/>
      <w:sz w:val="24"/>
    </w:rPr>
  </w:style>
  <w:style w:type="paragraph" w:customStyle="1" w:styleId="157">
    <w:name w:val="标准正文格式"/>
    <w:basedOn w:val="1"/>
    <w:link w:val="156"/>
    <w:qFormat/>
    <w:uiPriority w:val="0"/>
    <w:pPr>
      <w:widowControl/>
      <w:spacing w:before="60" w:after="120" w:line="360" w:lineRule="auto"/>
      <w:ind w:firstLine="200" w:firstLineChars="200"/>
    </w:pPr>
    <w:rPr>
      <w:rFonts w:ascii="宋体" w:eastAsia="仿宋_GB2312"/>
      <w:color w:val="000000"/>
      <w:kern w:val="0"/>
      <w:sz w:val="24"/>
    </w:rPr>
  </w:style>
  <w:style w:type="character" w:customStyle="1" w:styleId="158">
    <w:name w:val="正文文本 3 字符"/>
    <w:qFormat/>
    <w:uiPriority w:val="0"/>
    <w:rPr>
      <w:rFonts w:eastAsia="宋体"/>
      <w:sz w:val="16"/>
    </w:rPr>
  </w:style>
  <w:style w:type="character" w:customStyle="1" w:styleId="159">
    <w:name w:val="批注主题 字符1"/>
    <w:semiHidden/>
    <w:qFormat/>
    <w:uiPriority w:val="0"/>
    <w:rPr>
      <w:b/>
      <w:bCs/>
      <w:kern w:val="2"/>
      <w:sz w:val="21"/>
    </w:rPr>
  </w:style>
  <w:style w:type="character" w:customStyle="1" w:styleId="160">
    <w:name w:val="批注框文本 Char"/>
    <w:semiHidden/>
    <w:qFormat/>
    <w:uiPriority w:val="0"/>
    <w:rPr>
      <w:kern w:val="2"/>
      <w:sz w:val="18"/>
      <w:szCs w:val="18"/>
    </w:rPr>
  </w:style>
  <w:style w:type="character" w:customStyle="1" w:styleId="161">
    <w:name w:val="中等深浅网格 1 - 强调文字颜色 2 Char"/>
    <w:link w:val="162"/>
    <w:qFormat/>
    <w:uiPriority w:val="0"/>
    <w:rPr>
      <w:rFonts w:ascii="Calibri" w:hAnsi="Calibri"/>
      <w:kern w:val="2"/>
      <w:sz w:val="22"/>
    </w:rPr>
  </w:style>
  <w:style w:type="paragraph" w:customStyle="1" w:styleId="162">
    <w:name w:val="中等深浅网格 1 - 强调文字颜色 21"/>
    <w:basedOn w:val="1"/>
    <w:link w:val="161"/>
    <w:qFormat/>
    <w:uiPriority w:val="0"/>
    <w:pPr>
      <w:ind w:firstLine="420" w:firstLineChars="200"/>
    </w:pPr>
    <w:rPr>
      <w:rFonts w:ascii="Calibri" w:hAnsi="Calibri"/>
      <w:sz w:val="22"/>
    </w:rPr>
  </w:style>
  <w:style w:type="character" w:customStyle="1" w:styleId="163">
    <w:name w:val="文档结构图 字符"/>
    <w:qFormat/>
    <w:uiPriority w:val="0"/>
    <w:rPr>
      <w:rFonts w:eastAsia="宋体"/>
      <w:kern w:val="2"/>
      <w:sz w:val="21"/>
      <w:lang w:val="en-US" w:eastAsia="zh-CN"/>
    </w:rPr>
  </w:style>
  <w:style w:type="character" w:customStyle="1" w:styleId="164">
    <w:name w:val="apple-style-span"/>
    <w:qFormat/>
    <w:uiPriority w:val="0"/>
  </w:style>
  <w:style w:type="character" w:customStyle="1" w:styleId="165">
    <w:name w:val="列出段落 字符"/>
    <w:uiPriority w:val="0"/>
    <w:rPr>
      <w:rFonts w:eastAsia="宋体"/>
      <w:kern w:val="2"/>
      <w:sz w:val="24"/>
      <w:lang w:val="en-US" w:eastAsia="zh-CN"/>
    </w:rPr>
  </w:style>
  <w:style w:type="character" w:customStyle="1" w:styleId="166">
    <w:name w:val="正文文本缩进 字符2"/>
    <w:semiHidden/>
    <w:qFormat/>
    <w:uiPriority w:val="0"/>
    <w:rPr>
      <w:kern w:val="2"/>
      <w:sz w:val="21"/>
    </w:rPr>
  </w:style>
  <w:style w:type="character" w:customStyle="1" w:styleId="167">
    <w:name w:val="font11"/>
    <w:qFormat/>
    <w:uiPriority w:val="0"/>
    <w:rPr>
      <w:rFonts w:ascii="Times New Roman" w:hAnsi="Times New Roman"/>
      <w:color w:val="000000"/>
      <w:sz w:val="24"/>
      <w:u w:val="none"/>
    </w:rPr>
  </w:style>
  <w:style w:type="character" w:customStyle="1" w:styleId="168">
    <w:name w:val="样式5 Char"/>
    <w:link w:val="169"/>
    <w:qFormat/>
    <w:uiPriority w:val="0"/>
    <w:rPr>
      <w:rFonts w:eastAsia="宋体"/>
      <w:b/>
      <w:kern w:val="2"/>
      <w:sz w:val="28"/>
      <w:lang w:val="en-US" w:eastAsia="zh-CN"/>
    </w:rPr>
  </w:style>
  <w:style w:type="paragraph" w:customStyle="1" w:styleId="169">
    <w:name w:val="样式5"/>
    <w:basedOn w:val="1"/>
    <w:link w:val="168"/>
    <w:qFormat/>
    <w:uiPriority w:val="0"/>
    <w:pPr>
      <w:keepNext/>
      <w:keepLines/>
      <w:spacing w:before="280" w:after="290" w:line="376" w:lineRule="auto"/>
      <w:ind w:left="210" w:leftChars="100" w:right="210" w:rightChars="100"/>
      <w:outlineLvl w:val="4"/>
    </w:pPr>
    <w:rPr>
      <w:b/>
      <w:sz w:val="28"/>
    </w:rPr>
  </w:style>
  <w:style w:type="character" w:customStyle="1" w:styleId="170">
    <w:name w:val="表格用 Char Char"/>
    <w:link w:val="171"/>
    <w:qFormat/>
    <w:uiPriority w:val="0"/>
    <w:rPr>
      <w:rFonts w:ascii="宋体" w:hAnsi="宋体"/>
      <w:sz w:val="24"/>
      <w:szCs w:val="24"/>
    </w:rPr>
  </w:style>
  <w:style w:type="paragraph" w:customStyle="1" w:styleId="171">
    <w:name w:val="表格用"/>
    <w:basedOn w:val="1"/>
    <w:link w:val="170"/>
    <w:qFormat/>
    <w:uiPriority w:val="0"/>
    <w:pPr>
      <w:widowControl/>
      <w:spacing w:line="360" w:lineRule="auto"/>
      <w:jc w:val="left"/>
    </w:pPr>
    <w:rPr>
      <w:rFonts w:ascii="宋体" w:hAnsi="宋体"/>
      <w:kern w:val="0"/>
      <w:sz w:val="24"/>
      <w:szCs w:val="24"/>
    </w:rPr>
  </w:style>
  <w:style w:type="character" w:customStyle="1" w:styleId="172">
    <w:name w:val="bookmark-item"/>
    <w:qFormat/>
    <w:uiPriority w:val="0"/>
  </w:style>
  <w:style w:type="character" w:customStyle="1" w:styleId="173">
    <w:name w:val="正文文本首行缩进 字符"/>
    <w:semiHidden/>
    <w:qFormat/>
    <w:uiPriority w:val="0"/>
  </w:style>
  <w:style w:type="character" w:customStyle="1" w:styleId="174">
    <w:name w:val="批注主题 字符"/>
    <w:qFormat/>
    <w:uiPriority w:val="0"/>
    <w:rPr>
      <w:rFonts w:ascii="宋体" w:hAnsi="宋体" w:eastAsia="宋体"/>
      <w:b/>
      <w:kern w:val="2"/>
      <w:sz w:val="21"/>
      <w:szCs w:val="21"/>
      <w:lang w:val="en-US" w:eastAsia="zh-CN"/>
    </w:rPr>
  </w:style>
  <w:style w:type="character" w:customStyle="1" w:styleId="175">
    <w:name w:val="正文缩进 Char2"/>
    <w:qFormat/>
    <w:uiPriority w:val="0"/>
    <w:rPr>
      <w:rFonts w:ascii="宋体"/>
      <w:color w:val="000000"/>
      <w:kern w:val="28"/>
      <w:sz w:val="28"/>
    </w:rPr>
  </w:style>
  <w:style w:type="character" w:customStyle="1" w:styleId="176">
    <w:name w:val="批注框文本 字符1"/>
    <w:semiHidden/>
    <w:qFormat/>
    <w:uiPriority w:val="0"/>
    <w:rPr>
      <w:kern w:val="2"/>
      <w:sz w:val="18"/>
      <w:szCs w:val="18"/>
    </w:rPr>
  </w:style>
  <w:style w:type="character" w:customStyle="1" w:styleId="177">
    <w:name w:val="金保标题3 Char"/>
    <w:link w:val="178"/>
    <w:qFormat/>
    <w:uiPriority w:val="0"/>
    <w:rPr>
      <w:rFonts w:ascii="楷体" w:hAnsi="楷体" w:eastAsia="楷体"/>
      <w:b/>
      <w:sz w:val="28"/>
    </w:rPr>
  </w:style>
  <w:style w:type="paragraph" w:customStyle="1" w:styleId="178">
    <w:name w:val="金保标题3"/>
    <w:basedOn w:val="17"/>
    <w:link w:val="177"/>
    <w:qFormat/>
    <w:uiPriority w:val="0"/>
    <w:pPr>
      <w:tabs>
        <w:tab w:val="clear" w:pos="1620"/>
      </w:tabs>
      <w:spacing w:line="240" w:lineRule="auto"/>
      <w:ind w:left="0" w:firstLine="0"/>
      <w:jc w:val="left"/>
    </w:pPr>
    <w:rPr>
      <w:rFonts w:ascii="楷体" w:hAnsi="楷体" w:eastAsia="楷体"/>
      <w:kern w:val="0"/>
      <w:sz w:val="28"/>
      <w:szCs w:val="20"/>
    </w:rPr>
  </w:style>
  <w:style w:type="character" w:customStyle="1" w:styleId="179">
    <w:name w:val="标题 1 Char"/>
    <w:qFormat/>
    <w:uiPriority w:val="0"/>
    <w:rPr>
      <w:rFonts w:ascii="宋体" w:eastAsia="宋体"/>
      <w:b/>
      <w:kern w:val="2"/>
      <w:sz w:val="28"/>
      <w:lang w:val="en-US" w:eastAsia="zh-CN"/>
    </w:rPr>
  </w:style>
  <w:style w:type="character" w:customStyle="1" w:styleId="180">
    <w:name w:val="apple-converted-space"/>
    <w:qFormat/>
    <w:uiPriority w:val="0"/>
  </w:style>
  <w:style w:type="character" w:customStyle="1" w:styleId="181">
    <w:name w:val="正文缩进 Char"/>
    <w:uiPriority w:val="0"/>
    <w:rPr>
      <w:rFonts w:eastAsia="宋体"/>
      <w:kern w:val="2"/>
      <w:sz w:val="24"/>
      <w:lang w:val="en-US" w:eastAsia="zh-CN"/>
    </w:rPr>
  </w:style>
  <w:style w:type="character" w:customStyle="1" w:styleId="182">
    <w:name w:val="页脚 字符1"/>
    <w:semiHidden/>
    <w:qFormat/>
    <w:uiPriority w:val="0"/>
    <w:rPr>
      <w:kern w:val="2"/>
      <w:sz w:val="18"/>
      <w:szCs w:val="18"/>
    </w:rPr>
  </w:style>
  <w:style w:type="character" w:customStyle="1" w:styleId="183">
    <w:name w:val="批注文字 Char"/>
    <w:qFormat/>
    <w:uiPriority w:val="0"/>
    <w:rPr>
      <w:kern w:val="2"/>
      <w:sz w:val="21"/>
    </w:rPr>
  </w:style>
  <w:style w:type="character" w:customStyle="1" w:styleId="184">
    <w:name w:val="标题 4 字符"/>
    <w:qFormat/>
    <w:uiPriority w:val="0"/>
    <w:rPr>
      <w:rFonts w:ascii="Arial" w:hAnsi="Arial" w:eastAsia="黑体"/>
      <w:b/>
      <w:kern w:val="2"/>
      <w:sz w:val="28"/>
      <w:lang w:val="en-US" w:eastAsia="zh-CN"/>
    </w:rPr>
  </w:style>
  <w:style w:type="character" w:customStyle="1" w:styleId="185">
    <w:name w:val="日期 字符"/>
    <w:qFormat/>
    <w:uiPriority w:val="0"/>
    <w:rPr>
      <w:rFonts w:ascii="宋体"/>
      <w:sz w:val="24"/>
    </w:rPr>
  </w:style>
  <w:style w:type="character" w:customStyle="1" w:styleId="186">
    <w:name w:val="font01"/>
    <w:qFormat/>
    <w:uiPriority w:val="0"/>
    <w:rPr>
      <w:rFonts w:ascii="宋体" w:hAnsi="宋体" w:eastAsia="宋体"/>
      <w:color w:val="000000"/>
      <w:sz w:val="24"/>
      <w:u w:val="none"/>
    </w:rPr>
  </w:style>
  <w:style w:type="character" w:customStyle="1" w:styleId="187">
    <w:name w:val="页脚 字符"/>
    <w:qFormat/>
    <w:uiPriority w:val="0"/>
    <w:rPr>
      <w:rFonts w:ascii="宋体" w:hAnsi="宋体" w:eastAsia="宋体"/>
      <w:kern w:val="2"/>
      <w:sz w:val="18"/>
      <w:szCs w:val="18"/>
      <w:lang w:val="en-US" w:eastAsia="zh-CN"/>
    </w:rPr>
  </w:style>
  <w:style w:type="character" w:customStyle="1" w:styleId="188">
    <w:name w:val="日期 字符2"/>
    <w:qFormat/>
    <w:uiPriority w:val="0"/>
    <w:rPr>
      <w:rFonts w:ascii="宋体"/>
      <w:sz w:val="24"/>
    </w:rPr>
  </w:style>
  <w:style w:type="character" w:customStyle="1" w:styleId="189">
    <w:name w:val="纯文本 字符1"/>
    <w:semiHidden/>
    <w:qFormat/>
    <w:uiPriority w:val="0"/>
    <w:rPr>
      <w:rFonts w:ascii="等线" w:hAnsi="Courier New" w:eastAsia="等线"/>
      <w:kern w:val="2"/>
      <w:sz w:val="21"/>
    </w:rPr>
  </w:style>
  <w:style w:type="character" w:customStyle="1" w:styleId="190">
    <w:name w:val="正文缩进 字符"/>
    <w:qFormat/>
    <w:uiPriority w:val="0"/>
    <w:rPr>
      <w:rFonts w:ascii="宋体" w:hAnsi="宋体" w:eastAsia="宋体"/>
      <w:spacing w:val="14"/>
      <w:kern w:val="24"/>
      <w:sz w:val="24"/>
      <w:szCs w:val="24"/>
      <w:lang w:val="en-US" w:eastAsia="zh-CN"/>
    </w:rPr>
  </w:style>
  <w:style w:type="character" w:customStyle="1" w:styleId="191">
    <w:name w:val="页眉 字符1"/>
    <w:semiHidden/>
    <w:qFormat/>
    <w:uiPriority w:val="0"/>
    <w:rPr>
      <w:kern w:val="2"/>
      <w:sz w:val="18"/>
      <w:szCs w:val="18"/>
    </w:rPr>
  </w:style>
  <w:style w:type="character" w:customStyle="1" w:styleId="192">
    <w:name w:val="标题 2 Char"/>
    <w:qFormat/>
    <w:uiPriority w:val="0"/>
    <w:rPr>
      <w:rFonts w:ascii="Arial" w:hAnsi="Arial" w:eastAsia="黑体"/>
      <w:b/>
      <w:kern w:val="2"/>
      <w:sz w:val="32"/>
      <w:lang w:val="en-US" w:eastAsia="zh-CN"/>
    </w:rPr>
  </w:style>
  <w:style w:type="character" w:customStyle="1" w:styleId="193">
    <w:name w:val="List Paragraph Char"/>
    <w:link w:val="194"/>
    <w:qFormat/>
    <w:uiPriority w:val="0"/>
    <w:rPr>
      <w:rFonts w:ascii="Calibri" w:hAnsi="Calibri" w:eastAsia="宋体"/>
      <w:kern w:val="2"/>
      <w:sz w:val="22"/>
      <w:lang w:val="en-US" w:eastAsia="zh-CN"/>
    </w:rPr>
  </w:style>
  <w:style w:type="paragraph" w:customStyle="1" w:styleId="194">
    <w:name w:val="列出段落1"/>
    <w:basedOn w:val="1"/>
    <w:link w:val="193"/>
    <w:qFormat/>
    <w:uiPriority w:val="0"/>
    <w:pPr>
      <w:ind w:firstLine="420" w:firstLineChars="200"/>
    </w:pPr>
    <w:rPr>
      <w:rFonts w:ascii="Calibri" w:hAnsi="Calibri"/>
      <w:sz w:val="22"/>
    </w:rPr>
  </w:style>
  <w:style w:type="character" w:customStyle="1" w:styleId="195">
    <w:name w:val="文档结构图 字符1"/>
    <w:semiHidden/>
    <w:qFormat/>
    <w:uiPriority w:val="0"/>
    <w:rPr>
      <w:rFonts w:ascii="Microsoft YaHei UI" w:eastAsia="Microsoft YaHei UI"/>
      <w:kern w:val="2"/>
      <w:sz w:val="18"/>
      <w:szCs w:val="18"/>
    </w:rPr>
  </w:style>
  <w:style w:type="character" w:customStyle="1" w:styleId="196">
    <w:name w:val="纯文本 Char Char"/>
    <w:link w:val="197"/>
    <w:qFormat/>
    <w:uiPriority w:val="0"/>
    <w:rPr>
      <w:rFonts w:ascii="宋体" w:hAnsi="Courier New"/>
      <w:kern w:val="2"/>
      <w:sz w:val="21"/>
    </w:rPr>
  </w:style>
  <w:style w:type="paragraph" w:customStyle="1" w:styleId="197">
    <w:name w:val="纯文本1"/>
    <w:basedOn w:val="1"/>
    <w:link w:val="196"/>
    <w:uiPriority w:val="0"/>
    <w:rPr>
      <w:rFonts w:ascii="宋体" w:hAnsi="Courier New"/>
    </w:rPr>
  </w:style>
  <w:style w:type="character" w:customStyle="1" w:styleId="198">
    <w:name w:val="hui3"/>
    <w:qFormat/>
    <w:uiPriority w:val="0"/>
    <w:rPr>
      <w:color w:val="333333"/>
    </w:rPr>
  </w:style>
  <w:style w:type="character" w:customStyle="1" w:styleId="199">
    <w:name w:val="日期 字符1"/>
    <w:semiHidden/>
    <w:qFormat/>
    <w:uiPriority w:val="0"/>
    <w:rPr>
      <w:kern w:val="2"/>
      <w:sz w:val="21"/>
    </w:rPr>
  </w:style>
  <w:style w:type="paragraph" w:customStyle="1" w:styleId="200">
    <w:name w:val="Char"/>
    <w:basedOn w:val="1"/>
    <w:qFormat/>
    <w:uiPriority w:val="0"/>
    <w:rPr>
      <w:rFonts w:ascii="仿宋_GB2312" w:eastAsia="仿宋_GB2312"/>
      <w:b/>
      <w:sz w:val="32"/>
      <w:szCs w:val="32"/>
    </w:rPr>
  </w:style>
  <w:style w:type="paragraph" w:customStyle="1" w:styleId="201">
    <w:name w:val="无间隔1"/>
    <w:qFormat/>
    <w:uiPriority w:val="0"/>
    <w:rPr>
      <w:rFonts w:ascii="Calibri" w:hAnsi="Calibri" w:eastAsia="宋体" w:cs="Times New Roman"/>
      <w:sz w:val="22"/>
      <w:szCs w:val="22"/>
      <w:lang w:val="en-US" w:eastAsia="zh-CN" w:bidi="ar-SA"/>
    </w:rPr>
  </w:style>
  <w:style w:type="paragraph" w:customStyle="1" w:styleId="202">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203">
    <w:name w:val="大标题"/>
    <w:basedOn w:val="1"/>
    <w:qFormat/>
    <w:uiPriority w:val="0"/>
    <w:pPr>
      <w:autoSpaceDE w:val="0"/>
      <w:autoSpaceDN w:val="0"/>
      <w:spacing w:after="560"/>
      <w:jc w:val="center"/>
    </w:pPr>
    <w:rPr>
      <w:rFonts w:ascii="Arial Black" w:hAnsi="Arial Black"/>
      <w:b/>
      <w:kern w:val="0"/>
      <w:sz w:val="56"/>
    </w:rPr>
  </w:style>
  <w:style w:type="paragraph" w:customStyle="1" w:styleId="204">
    <w:name w:val="表格正文"/>
    <w:basedOn w:val="1"/>
    <w:qFormat/>
    <w:uiPriority w:val="0"/>
    <w:rPr>
      <w:rFonts w:eastAsia="黑体"/>
    </w:rPr>
  </w:style>
  <w:style w:type="paragraph" w:customStyle="1" w:styleId="205">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6">
    <w:name w:val="Char Char Char"/>
    <w:basedOn w:val="1"/>
    <w:qFormat/>
    <w:uiPriority w:val="0"/>
    <w:pPr>
      <w:spacing w:before="120" w:after="120" w:line="360" w:lineRule="auto"/>
      <w:ind w:firstLine="200" w:firstLineChars="200"/>
    </w:pPr>
    <w:rPr>
      <w:rFonts w:ascii="Tahoma" w:hAnsi="Tahoma"/>
      <w:sz w:val="24"/>
    </w:rPr>
  </w:style>
  <w:style w:type="paragraph" w:customStyle="1" w:styleId="207">
    <w:name w:val="标准正文"/>
    <w:basedOn w:val="1"/>
    <w:qFormat/>
    <w:uiPriority w:val="0"/>
    <w:pPr>
      <w:spacing w:line="360" w:lineRule="auto"/>
      <w:ind w:firstLine="480" w:firstLineChars="200"/>
    </w:pPr>
    <w:rPr>
      <w:kern w:val="0"/>
      <w:sz w:val="24"/>
    </w:rPr>
  </w:style>
  <w:style w:type="paragraph" w:customStyle="1" w:styleId="208">
    <w:name w:val="BodyTextIndent"/>
    <w:basedOn w:val="1"/>
    <w:qFormat/>
    <w:uiPriority w:val="0"/>
    <w:pPr>
      <w:spacing w:after="120"/>
      <w:ind w:left="420" w:leftChars="200"/>
    </w:pPr>
  </w:style>
  <w:style w:type="paragraph" w:customStyle="1" w:styleId="209">
    <w:name w:val="BodyText1I2"/>
    <w:basedOn w:val="208"/>
    <w:qFormat/>
    <w:uiPriority w:val="0"/>
    <w:pPr>
      <w:ind w:firstLine="420"/>
    </w:pPr>
  </w:style>
  <w:style w:type="paragraph" w:customStyle="1" w:styleId="210">
    <w:name w:val="正文段"/>
    <w:basedOn w:val="1"/>
    <w:qFormat/>
    <w:uiPriority w:val="0"/>
    <w:pPr>
      <w:widowControl/>
      <w:snapToGrid w:val="0"/>
      <w:ind w:firstLine="200" w:firstLineChars="200"/>
    </w:pPr>
    <w:rPr>
      <w:kern w:val="0"/>
      <w:sz w:val="24"/>
    </w:rPr>
  </w:style>
  <w:style w:type="paragraph" w:customStyle="1" w:styleId="211">
    <w:name w:val="标题1"/>
    <w:basedOn w:val="15"/>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12">
    <w:name w:val="cjk"/>
    <w:basedOn w:val="1"/>
    <w:qFormat/>
    <w:uiPriority w:val="0"/>
    <w:pPr>
      <w:widowControl/>
      <w:spacing w:beforeAutospacing="1" w:after="142" w:line="288" w:lineRule="auto"/>
    </w:pPr>
    <w:rPr>
      <w:rFonts w:ascii="宋体" w:hAnsi="宋体"/>
      <w:color w:val="00000A"/>
      <w:kern w:val="0"/>
      <w:sz w:val="20"/>
    </w:rPr>
  </w:style>
  <w:style w:type="paragraph" w:customStyle="1" w:styleId="213">
    <w:name w:val="符号 1"/>
    <w:basedOn w:val="47"/>
    <w:qFormat/>
    <w:uiPriority w:val="0"/>
    <w:pPr>
      <w:tabs>
        <w:tab w:val="left" w:pos="900"/>
      </w:tabs>
      <w:spacing w:line="360" w:lineRule="auto"/>
      <w:ind w:left="1200" w:hanging="720"/>
    </w:pPr>
    <w:rPr>
      <w:rFonts w:eastAsia="宋体"/>
      <w:kern w:val="28"/>
      <w:szCs w:val="24"/>
    </w:rPr>
  </w:style>
  <w:style w:type="paragraph" w:customStyle="1" w:styleId="214">
    <w:name w:val="itemlistintabl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15">
    <w:name w:val="xl28"/>
    <w:basedOn w:val="1"/>
    <w:qFormat/>
    <w:uiPriority w:val="0"/>
    <w:pPr>
      <w:widowControl/>
      <w:pBdr>
        <w:left w:val="single" w:color="000000" w:sz="8" w:space="0"/>
        <w:bottom w:val="single" w:color="000000" w:sz="4" w:space="0"/>
        <w:right w:val="single" w:color="000000" w:sz="4" w:space="0"/>
      </w:pBdr>
      <w:spacing w:beforeAutospacing="1" w:afterAutospacing="1"/>
      <w:jc w:val="center"/>
    </w:pPr>
    <w:rPr>
      <w:rFonts w:ascii="Arial Unicode MS" w:hAnsi="Arial Unicode MS" w:eastAsia="Arial Unicode MS"/>
      <w:kern w:val="0"/>
      <w:sz w:val="24"/>
    </w:rPr>
  </w:style>
  <w:style w:type="paragraph" w:customStyle="1" w:styleId="216">
    <w:name w:val="Char Char Char Char Char Char Char"/>
    <w:basedOn w:val="1"/>
    <w:qFormat/>
    <w:uiPriority w:val="0"/>
    <w:pPr>
      <w:tabs>
        <w:tab w:val="left" w:pos="432"/>
      </w:tabs>
      <w:ind w:left="432" w:hanging="432"/>
    </w:pPr>
    <w:rPr>
      <w:rFonts w:ascii="Tahoma" w:hAnsi="Tahoma"/>
      <w:sz w:val="24"/>
    </w:rPr>
  </w:style>
  <w:style w:type="paragraph" w:customStyle="1" w:styleId="21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8">
    <w:name w:val="参数正文"/>
    <w:basedOn w:val="1"/>
    <w:qFormat/>
    <w:uiPriority w:val="0"/>
    <w:pPr>
      <w:spacing w:line="360" w:lineRule="auto"/>
      <w:ind w:firstLine="480" w:firstLineChars="200"/>
      <w:jc w:val="left"/>
    </w:pPr>
    <w:rPr>
      <w:rFonts w:ascii="宋体" w:hAnsi="宋体"/>
      <w:kern w:val="0"/>
      <w:sz w:val="24"/>
      <w:szCs w:val="24"/>
    </w:rPr>
  </w:style>
  <w:style w:type="paragraph" w:customStyle="1" w:styleId="219">
    <w:name w:val="p19"/>
    <w:basedOn w:val="1"/>
    <w:qFormat/>
    <w:uiPriority w:val="0"/>
    <w:pPr>
      <w:widowControl/>
      <w:snapToGrid w:val="0"/>
      <w:spacing w:before="60" w:after="120" w:line="360" w:lineRule="auto"/>
      <w:ind w:firstLine="420"/>
    </w:pPr>
    <w:rPr>
      <w:rFonts w:ascii="宋体" w:hAnsi="宋体"/>
      <w:color w:val="000000"/>
      <w:kern w:val="0"/>
      <w:sz w:val="24"/>
      <w:szCs w:val="24"/>
    </w:rPr>
  </w:style>
  <w:style w:type="paragraph" w:customStyle="1" w:styleId="220">
    <w:name w:val="正文无缩进"/>
    <w:basedOn w:val="1"/>
    <w:qFormat/>
    <w:uiPriority w:val="0"/>
    <w:pPr>
      <w:widowControl/>
      <w:autoSpaceDE w:val="0"/>
      <w:autoSpaceDN w:val="0"/>
      <w:spacing w:line="300" w:lineRule="auto"/>
    </w:pPr>
    <w:rPr>
      <w:rFonts w:eastAsia="楷体_GB2312"/>
    </w:rPr>
  </w:style>
  <w:style w:type="paragraph" w:customStyle="1" w:styleId="221">
    <w:name w:val="tabletextcharchar"/>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22">
    <w:name w:val="Item List in Table"/>
    <w:basedOn w:val="1"/>
    <w:qFormat/>
    <w:uiPriority w:val="0"/>
    <w:pPr>
      <w:widowControl/>
      <w:numPr>
        <w:ilvl w:val="0"/>
        <w:numId w:val="2"/>
      </w:numPr>
      <w:tabs>
        <w:tab w:val="left" w:pos="284"/>
      </w:tabs>
      <w:topLinePunct/>
      <w:snapToGrid w:val="0"/>
      <w:spacing w:before="80" w:after="80" w:line="240" w:lineRule="atLeast"/>
      <w:jc w:val="left"/>
    </w:pPr>
    <w:rPr>
      <w:kern w:val="0"/>
      <w:szCs w:val="21"/>
    </w:rPr>
  </w:style>
  <w:style w:type="paragraph" w:customStyle="1" w:styleId="223">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2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25">
    <w:name w:val="普通正文"/>
    <w:basedOn w:val="1"/>
    <w:qFormat/>
    <w:uiPriority w:val="0"/>
    <w:pPr>
      <w:spacing w:before="120" w:after="120" w:line="360" w:lineRule="auto"/>
      <w:ind w:firstLine="480"/>
      <w:jc w:val="left"/>
    </w:pPr>
    <w:rPr>
      <w:rFonts w:ascii="Arial" w:hAnsi="Arial"/>
      <w:kern w:val="0"/>
      <w:sz w:val="24"/>
      <w:szCs w:val="24"/>
    </w:rPr>
  </w:style>
  <w:style w:type="paragraph" w:customStyle="1" w:styleId="226">
    <w:name w:val="标准小四"/>
    <w:basedOn w:val="1"/>
    <w:qFormat/>
    <w:uiPriority w:val="0"/>
    <w:pPr>
      <w:spacing w:line="360" w:lineRule="auto"/>
      <w:ind w:firstLine="480" w:firstLineChars="200"/>
    </w:pPr>
    <w:rPr>
      <w:rFonts w:ascii="Arial" w:hAnsi="Arial"/>
      <w:sz w:val="24"/>
      <w:szCs w:val="21"/>
    </w:rPr>
  </w:style>
  <w:style w:type="paragraph" w:customStyle="1" w:styleId="227">
    <w:name w:val="xl25"/>
    <w:basedOn w:val="1"/>
    <w:qFormat/>
    <w:uiPriority w:val="0"/>
    <w:pPr>
      <w:widowControl/>
      <w:spacing w:before="100" w:beforeAutospacing="1" w:after="100" w:afterAutospacing="1"/>
      <w:jc w:val="center"/>
    </w:pPr>
    <w:rPr>
      <w:rFonts w:ascii="宋体" w:hAnsi="宋体"/>
      <w:kern w:val="0"/>
      <w:sz w:val="20"/>
    </w:rPr>
  </w:style>
  <w:style w:type="paragraph" w:styleId="228">
    <w:name w:val="List Paragraph"/>
    <w:basedOn w:val="1"/>
    <w:qFormat/>
    <w:uiPriority w:val="0"/>
    <w:pPr>
      <w:widowControl/>
      <w:spacing w:before="15" w:after="15" w:line="460" w:lineRule="exact"/>
      <w:ind w:firstLine="420" w:firstLineChars="200"/>
      <w:jc w:val="left"/>
    </w:pPr>
    <w:rPr>
      <w:rFonts w:ascii="Calibri" w:hAnsi="Calibri"/>
      <w:sz w:val="24"/>
      <w:szCs w:val="22"/>
    </w:rPr>
  </w:style>
  <w:style w:type="paragraph" w:customStyle="1" w:styleId="229">
    <w:name w:val="默认段落字体 Para Char Char Char Char Char Char Char Char Char1 Char Char Char Char"/>
    <w:basedOn w:val="1"/>
    <w:qFormat/>
    <w:uiPriority w:val="0"/>
    <w:rPr>
      <w:rFonts w:ascii="Tahoma" w:hAnsi="Tahoma"/>
      <w:sz w:val="24"/>
    </w:rPr>
  </w:style>
  <w:style w:type="paragraph" w:customStyle="1" w:styleId="230">
    <w:name w:val="tabletextchar"/>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31">
    <w:name w:val="无间隔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样式3"/>
    <w:basedOn w:val="52"/>
    <w:qFormat/>
    <w:uiPriority w:val="0"/>
    <w:pPr>
      <w:tabs>
        <w:tab w:val="left" w:pos="709"/>
      </w:tabs>
      <w:spacing w:before="0" w:after="0"/>
      <w:ind w:left="709" w:hanging="709"/>
    </w:pPr>
    <w:rPr>
      <w:rFonts w:ascii="Tahoma" w:hAnsi="Tahoma"/>
      <w:sz w:val="28"/>
    </w:rPr>
  </w:style>
  <w:style w:type="paragraph" w:customStyle="1" w:styleId="2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4">
    <w:name w:val="TOC 标题1"/>
    <w:basedOn w:val="15"/>
    <w:qFormat/>
    <w:uiPriority w:val="0"/>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235">
    <w:name w:val="默认段落字体 Para Char Char Char Char Char Char Char Char Char Char"/>
    <w:basedOn w:val="1"/>
    <w:qFormat/>
    <w:uiPriority w:val="0"/>
    <w:rPr>
      <w:rFonts w:ascii="Tahoma" w:hAnsi="Tahoma"/>
      <w:sz w:val="24"/>
    </w:rPr>
  </w:style>
  <w:style w:type="paragraph" w:customStyle="1" w:styleId="236">
    <w:name w:val="List Paragraph1"/>
    <w:basedOn w:val="1"/>
    <w:qFormat/>
    <w:uiPriority w:val="0"/>
    <w:pPr>
      <w:ind w:firstLine="420" w:firstLineChars="200"/>
    </w:pPr>
    <w:rPr>
      <w:rFonts w:ascii="Calibri" w:hAnsi="Calibri"/>
      <w:szCs w:val="21"/>
    </w:rPr>
  </w:style>
  <w:style w:type="paragraph" w:customStyle="1" w:styleId="237">
    <w:name w:val="正文2"/>
    <w:basedOn w:val="1"/>
    <w:qFormat/>
    <w:uiPriority w:val="0"/>
    <w:pPr>
      <w:spacing w:line="360" w:lineRule="auto"/>
      <w:ind w:firstLine="480" w:firstLineChars="200"/>
    </w:pPr>
    <w:rPr>
      <w:rFonts w:ascii="宋体" w:hAnsi="宋体"/>
      <w:sz w:val="24"/>
      <w:szCs w:val="24"/>
    </w:rPr>
  </w:style>
  <w:style w:type="paragraph" w:customStyle="1" w:styleId="238">
    <w:name w:val="正文文本缩进 + 四号"/>
    <w:basedOn w:val="47"/>
    <w:qFormat/>
    <w:uiPriority w:val="0"/>
    <w:pPr>
      <w:spacing w:line="360" w:lineRule="auto"/>
      <w:ind w:firstLine="560" w:firstLineChars="200"/>
    </w:pPr>
    <w:rPr>
      <w:rFonts w:ascii="仿宋_GB2312" w:eastAsia="仿宋_GB2312"/>
      <w:color w:val="000000"/>
      <w:sz w:val="28"/>
      <w:szCs w:val="28"/>
    </w:rPr>
  </w:style>
  <w:style w:type="paragraph" w:customStyle="1" w:styleId="239">
    <w:name w:val="Table Text"/>
    <w:basedOn w:val="1"/>
    <w:uiPriority w:val="0"/>
    <w:pPr>
      <w:widowControl/>
      <w:jc w:val="left"/>
    </w:pPr>
    <w:rPr>
      <w:rFonts w:ascii="Arial" w:hAnsi="Arial"/>
      <w:kern w:val="0"/>
      <w:szCs w:val="21"/>
    </w:rPr>
  </w:style>
  <w:style w:type="paragraph" w:customStyle="1" w:styleId="240">
    <w:name w:val="Char1"/>
    <w:basedOn w:val="1"/>
    <w:qFormat/>
    <w:uiPriority w:val="0"/>
    <w:rPr>
      <w:rFonts w:ascii="仿宋_GB2312" w:eastAsia="仿宋_GB2312"/>
      <w:b/>
      <w:sz w:val="32"/>
      <w:szCs w:val="32"/>
    </w:rPr>
  </w:style>
  <w:style w:type="paragraph" w:customStyle="1" w:styleId="241">
    <w:name w:val="p0"/>
    <w:basedOn w:val="1"/>
    <w:qFormat/>
    <w:uiPriority w:val="0"/>
    <w:pPr>
      <w:widowControl/>
    </w:pPr>
    <w:rPr>
      <w:kern w:val="0"/>
      <w:szCs w:val="21"/>
    </w:rPr>
  </w:style>
  <w:style w:type="paragraph" w:customStyle="1" w:styleId="242">
    <w:name w:val="正文编码"/>
    <w:basedOn w:val="82"/>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43">
    <w:name w:val="Char11"/>
    <w:basedOn w:val="1"/>
    <w:qFormat/>
    <w:uiPriority w:val="0"/>
    <w:rPr>
      <w:szCs w:val="24"/>
    </w:rPr>
  </w:style>
  <w:style w:type="paragraph" w:customStyle="1" w:styleId="244">
    <w:name w:val="内容序号（N）"/>
    <w:basedOn w:val="115"/>
    <w:qFormat/>
    <w:uiPriority w:val="0"/>
    <w:pPr>
      <w:tabs>
        <w:tab w:val="left" w:pos="1134"/>
      </w:tabs>
      <w:ind w:firstLine="0" w:firstLineChars="0"/>
    </w:pPr>
    <w:rPr>
      <w:rFonts w:ascii="宋体" w:hAnsi="宋体"/>
      <w:szCs w:val="28"/>
    </w:rPr>
  </w:style>
  <w:style w:type="paragraph" w:customStyle="1" w:styleId="245">
    <w:name w:val="正文 居中"/>
    <w:basedOn w:val="1"/>
    <w:qFormat/>
    <w:uiPriority w:val="0"/>
    <w:pPr>
      <w:spacing w:line="360" w:lineRule="auto"/>
      <w:jc w:val="center"/>
    </w:pPr>
    <w:rPr>
      <w:sz w:val="24"/>
    </w:rPr>
  </w:style>
  <w:style w:type="paragraph" w:customStyle="1" w:styleId="246">
    <w:name w:val="Char Char Char1 Char"/>
    <w:basedOn w:val="1"/>
    <w:qFormat/>
    <w:uiPriority w:val="0"/>
    <w:pPr>
      <w:spacing w:line="360" w:lineRule="auto"/>
      <w:ind w:firstLine="200" w:firstLineChars="200"/>
    </w:pPr>
  </w:style>
  <w:style w:type="paragraph" w:customStyle="1" w:styleId="247">
    <w:name w:val="table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48">
    <w:name w:val="列出段落11"/>
    <w:basedOn w:val="1"/>
    <w:qFormat/>
    <w:uiPriority w:val="0"/>
    <w:pPr>
      <w:ind w:firstLine="420" w:firstLineChars="200"/>
    </w:pPr>
    <w:rPr>
      <w:szCs w:val="24"/>
    </w:rPr>
  </w:style>
  <w:style w:type="paragraph" w:customStyle="1" w:styleId="249">
    <w:name w:val="符号 2"/>
    <w:basedOn w:val="213"/>
    <w:qFormat/>
    <w:uiPriority w:val="0"/>
    <w:pPr>
      <w:tabs>
        <w:tab w:val="clear" w:pos="900"/>
      </w:tabs>
      <w:ind w:left="1320" w:hanging="420"/>
    </w:pPr>
  </w:style>
  <w:style w:type="paragraph" w:customStyle="1" w:styleId="250">
    <w:name w:val="标题3"/>
    <w:basedOn w:val="17"/>
    <w:qFormat/>
    <w:uiPriority w:val="0"/>
    <w:pPr>
      <w:tabs>
        <w:tab w:val="clear" w:pos="1620"/>
      </w:tabs>
      <w:spacing w:beforeAutospacing="1" w:line="300" w:lineRule="auto"/>
      <w:ind w:left="1180" w:hanging="340"/>
    </w:pPr>
    <w:rPr>
      <w:rFonts w:ascii="Times New Roman" w:hAnsi="Times New Roman"/>
      <w:b w:val="0"/>
      <w:bCs/>
      <w:spacing w:val="6"/>
      <w:kern w:val="44"/>
      <w:sz w:val="28"/>
      <w:szCs w:val="20"/>
      <w:lang w:val="ru-RU"/>
    </w:rPr>
  </w:style>
  <w:style w:type="paragraph" w:customStyle="1" w:styleId="251">
    <w:name w:val="Char Char1 Char Char Char Char"/>
    <w:basedOn w:val="1"/>
    <w:qFormat/>
    <w:uiPriority w:val="0"/>
    <w:rPr>
      <w:rFonts w:ascii="Tahoma" w:hAnsi="Tahoma"/>
      <w:sz w:val="24"/>
    </w:rPr>
  </w:style>
  <w:style w:type="paragraph" w:customStyle="1" w:styleId="252">
    <w:name w:val="正文 New New New New"/>
    <w:uiPriority w:val="0"/>
    <w:pPr>
      <w:widowControl w:val="0"/>
      <w:jc w:val="both"/>
    </w:pPr>
    <w:rPr>
      <w:rFonts w:ascii="Times New Roman" w:hAnsi="Times New Roman" w:eastAsia="宋体" w:cs="Times New Roman"/>
      <w:kern w:val="2"/>
      <w:sz w:val="24"/>
      <w:lang w:val="en-US" w:eastAsia="zh-CN" w:bidi="ar-SA"/>
    </w:rPr>
  </w:style>
  <w:style w:type="paragraph" w:customStyle="1" w:styleId="253">
    <w:name w:val="Char21"/>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54">
    <w:name w:val="彩色列表 - 强调文字颜色 11"/>
    <w:basedOn w:val="1"/>
    <w:qFormat/>
    <w:uiPriority w:val="0"/>
    <w:pPr>
      <w:ind w:firstLine="420" w:firstLineChars="200"/>
    </w:pPr>
    <w:rPr>
      <w:rFonts w:ascii="Calibri" w:hAnsi="Calibri"/>
      <w:szCs w:val="22"/>
    </w:rPr>
  </w:style>
  <w:style w:type="paragraph" w:customStyle="1" w:styleId="255">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6">
    <w:name w:val="Table Paragraph"/>
    <w:basedOn w:val="1"/>
    <w:qFormat/>
    <w:uiPriority w:val="0"/>
    <w:pPr>
      <w:spacing w:before="100" w:beforeAutospacing="1" w:after="100" w:afterAutospacing="1" w:line="360" w:lineRule="auto"/>
    </w:pPr>
    <w:rPr>
      <w:sz w:val="24"/>
      <w:szCs w:val="24"/>
    </w:rPr>
  </w:style>
  <w:style w:type="paragraph" w:customStyle="1" w:styleId="257">
    <w:name w:val="0正文"/>
    <w:basedOn w:val="1"/>
    <w:qFormat/>
    <w:uiPriority w:val="0"/>
    <w:pPr>
      <w:spacing w:line="360" w:lineRule="auto"/>
      <w:ind w:left="50" w:leftChars="50" w:right="50" w:rightChars="50" w:firstLine="200" w:firstLineChars="200"/>
    </w:pPr>
    <w:rPr>
      <w:rFonts w:ascii="Verdana" w:hAnsi="Verdana"/>
      <w:color w:val="000080"/>
      <w:szCs w:val="21"/>
    </w:rPr>
  </w:style>
  <w:style w:type="paragraph" w:customStyle="1" w:styleId="258">
    <w:name w:val="Char2"/>
    <w:basedOn w:val="1"/>
    <w:qFormat/>
    <w:uiPriority w:val="0"/>
    <w:pPr>
      <w:tabs>
        <w:tab w:val="left" w:pos="1200"/>
      </w:tabs>
      <w:ind w:left="1200" w:hanging="720"/>
    </w:pPr>
    <w:rPr>
      <w:sz w:val="24"/>
      <w:szCs w:val="24"/>
    </w:rPr>
  </w:style>
  <w:style w:type="paragraph" w:customStyle="1" w:styleId="259">
    <w:name w:val="Proposals body"/>
    <w:basedOn w:val="1"/>
    <w:qFormat/>
    <w:uiPriority w:val="0"/>
    <w:pPr>
      <w:widowControl/>
      <w:spacing w:line="360" w:lineRule="auto"/>
      <w:jc w:val="left"/>
    </w:pPr>
    <w:rPr>
      <w:rFonts w:ascii="宋体"/>
      <w:color w:val="000000"/>
      <w:kern w:val="0"/>
      <w:sz w:val="24"/>
    </w:rPr>
  </w:style>
  <w:style w:type="paragraph" w:customStyle="1" w:styleId="260">
    <w:name w:val="Normal 2"/>
    <w:basedOn w:val="1"/>
    <w:qFormat/>
    <w:uiPriority w:val="0"/>
    <w:pPr>
      <w:keepLines/>
      <w:widowControl/>
      <w:autoSpaceDE w:val="0"/>
      <w:autoSpaceDN w:val="0"/>
      <w:spacing w:before="240"/>
      <w:ind w:left="360" w:right="900"/>
      <w:jc w:val="left"/>
    </w:pPr>
    <w:rPr>
      <w:rFonts w:ascii="Arial" w:hAnsi="Arial"/>
      <w:kern w:val="0"/>
      <w:sz w:val="22"/>
      <w:lang w:eastAsia="en-US"/>
    </w:rPr>
  </w:style>
  <w:style w:type="paragraph" w:customStyle="1" w:styleId="261">
    <w:name w:val="Char Char Char Char"/>
    <w:basedOn w:val="1"/>
    <w:qFormat/>
    <w:uiPriority w:val="0"/>
    <w:pPr>
      <w:widowControl/>
      <w:spacing w:line="400" w:lineRule="exact"/>
      <w:jc w:val="center"/>
    </w:pPr>
    <w:rPr>
      <w:rFonts w:ascii="Verdana" w:hAnsi="Verdana"/>
      <w:kern w:val="0"/>
      <w:lang w:eastAsia="en-US"/>
    </w:rPr>
  </w:style>
  <w:style w:type="paragraph" w:customStyle="1" w:styleId="262">
    <w:name w:val="正文 A"/>
    <w:qFormat/>
    <w:uiPriority w:val="0"/>
    <w:pPr>
      <w:widowControl w:val="0"/>
      <w:jc w:val="both"/>
    </w:pPr>
    <w:rPr>
      <w:rFonts w:ascii="Times New Roman" w:hAnsi="Times New Roman" w:eastAsia="Arial Unicode MS" w:cs="Times New Roman"/>
      <w:color w:val="000000"/>
      <w:kern w:val="2"/>
      <w:sz w:val="21"/>
      <w:szCs w:val="21"/>
      <w:lang w:val="en-US" w:eastAsia="zh-CN" w:bidi="ar-SA"/>
    </w:rPr>
  </w:style>
  <w:style w:type="character" w:customStyle="1" w:styleId="263">
    <w:name w:val="批注文字 Char1"/>
    <w:basedOn w:val="13"/>
    <w:link w:val="4"/>
    <w:uiPriority w:val="0"/>
    <w:rPr>
      <w:kern w:val="2"/>
      <w:sz w:val="21"/>
    </w:rPr>
  </w:style>
  <w:style w:type="character" w:customStyle="1" w:styleId="264">
    <w:name w:val="批注主题 Char1"/>
    <w:basedOn w:val="263"/>
    <w:link w:val="11"/>
    <w:qFormat/>
    <w:uiPriority w:val="0"/>
    <w:rPr>
      <w:b/>
      <w:bCs/>
      <w:kern w:val="2"/>
      <w:sz w:val="21"/>
    </w:rPr>
  </w:style>
  <w:style w:type="character" w:customStyle="1" w:styleId="265">
    <w:name w:val="批注框文本 Char1"/>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34892</Words>
  <Characters>37533</Characters>
  <Lines>296</Lines>
  <Paragraphs>83</Paragraphs>
  <TotalTime>11</TotalTime>
  <ScaleCrop>false</ScaleCrop>
  <LinksUpToDate>false</LinksUpToDate>
  <CharactersWithSpaces>39306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2023-07-11T03:14:00Z</dcterms:created>
  <dc:creator>中创-ZBJ </dc:creator>
  <cp:lastModifiedBy>三部3</cp:lastModifiedBy>
  <dcterms:modified xsi:type="dcterms:W3CDTF">2023-07-18T08:55:15Z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6859873516E4418A956B75C737B776E6_13</vt:lpwstr>
  </property>
  <property fmtid="{D5CDD505-2E9C-101B-9397-08002B2CF9AE}" pid="4" name="MSIP_Label_23f93e5f-d3c2-49a7-ba94-15405423c204_Enabled">
    <vt:lpwstr>true</vt:lpwstr>
  </property>
  <property fmtid="{D5CDD505-2E9C-101B-9397-08002B2CF9AE}" pid="5" name="MSIP_Label_23f93e5f-d3c2-49a7-ba94-15405423c204_SetDate">
    <vt:lpwstr>2023-07-12T05:22:51Z</vt:lpwstr>
  </property>
  <property fmtid="{D5CDD505-2E9C-101B-9397-08002B2CF9AE}" pid="6" name="MSIP_Label_23f93e5f-d3c2-49a7-ba94-15405423c204_Method">
    <vt:lpwstr>Standard</vt:lpwstr>
  </property>
  <property fmtid="{D5CDD505-2E9C-101B-9397-08002B2CF9AE}" pid="7" name="MSIP_Label_23f93e5f-d3c2-49a7-ba94-15405423c204_Name">
    <vt:lpwstr>SE Internal</vt:lpwstr>
  </property>
  <property fmtid="{D5CDD505-2E9C-101B-9397-08002B2CF9AE}" pid="8" name="MSIP_Label_23f93e5f-d3c2-49a7-ba94-15405423c204_SiteId">
    <vt:lpwstr>6e51e1ad-c54b-4b39-b598-0ffe9ae68fef</vt:lpwstr>
  </property>
  <property fmtid="{D5CDD505-2E9C-101B-9397-08002B2CF9AE}" pid="9" name="MSIP_Label_23f93e5f-d3c2-49a7-ba94-15405423c204_ActionId">
    <vt:lpwstr>cc2d9a7b-01c2-49c8-9067-21bad7a0673c</vt:lpwstr>
  </property>
  <property fmtid="{D5CDD505-2E9C-101B-9397-08002B2CF9AE}" pid="10" name="MSIP_Label_23f93e5f-d3c2-49a7-ba94-15405423c204_ContentBits">
    <vt:lpwstr>2</vt:lpwstr>
  </property>
</Properties>
</file>