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120" w:after="120" w:line="360" w:lineRule="auto"/>
        <w:jc w:val="center"/>
        <w:rPr>
          <w:rFonts w:hint="eastAsia"/>
          <w:color w:val="auto"/>
          <w:highlight w:val="none"/>
        </w:rPr>
      </w:pPr>
      <w:bookmarkStart w:id="16" w:name="_GoBack"/>
      <w:bookmarkEnd w:id="16"/>
      <w:r>
        <w:rPr>
          <w:rFonts w:hint="eastAsia"/>
          <w:color w:val="auto"/>
          <w:highlight w:val="none"/>
        </w:rPr>
        <w:drawing>
          <wp:anchor distT="0" distB="0" distL="114300" distR="114300" simplePos="0" relativeHeight="251659264" behindDoc="0" locked="0" layoutInCell="1" allowOverlap="1">
            <wp:simplePos x="0" y="0"/>
            <wp:positionH relativeFrom="column">
              <wp:posOffset>-1054100</wp:posOffset>
            </wp:positionH>
            <wp:positionV relativeFrom="paragraph">
              <wp:posOffset>7262495</wp:posOffset>
            </wp:positionV>
            <wp:extent cx="7559675" cy="10692130"/>
            <wp:effectExtent l="0" t="0" r="3175" b="13970"/>
            <wp:wrapSquare wrapText="bothSides"/>
            <wp:docPr id="1" name="图片 2" descr="招标文件盖章页"/>
            <wp:cNvGraphicFramePr/>
            <a:graphic xmlns:a="http://schemas.openxmlformats.org/drawingml/2006/main">
              <a:graphicData uri="http://schemas.openxmlformats.org/drawingml/2006/picture">
                <pic:pic xmlns:pic="http://schemas.openxmlformats.org/drawingml/2006/picture">
                  <pic:nvPicPr>
                    <pic:cNvPr id="1" name="图片 2" descr="招标文件盖章页"/>
                    <pic:cNvPicPr preferRelativeResize="0"/>
                  </pic:nvPicPr>
                  <pic:blipFill>
                    <a:blip r:embed="rId6"/>
                    <a:stretch>
                      <a:fillRect/>
                    </a:stretch>
                  </pic:blipFill>
                  <pic:spPr>
                    <a:xfrm rot="10800000">
                      <a:off x="0" y="0"/>
                      <a:ext cx="7559675" cy="10692130"/>
                    </a:xfrm>
                    <a:prstGeom prst="rect">
                      <a:avLst/>
                    </a:prstGeom>
                    <a:noFill/>
                    <a:ln>
                      <a:noFill/>
                    </a:ln>
                  </pic:spPr>
                </pic:pic>
              </a:graphicData>
            </a:graphic>
          </wp:anchor>
        </w:drawing>
      </w:r>
      <w:r>
        <w:rPr>
          <w:rFonts w:hint="eastAsia"/>
          <w:color w:val="auto"/>
          <w:highlight w:val="none"/>
        </w:rPr>
        <w:t xml:space="preserve"> </w:t>
      </w:r>
    </w:p>
    <w:p>
      <w:pPr>
        <w:pStyle w:val="13"/>
        <w:spacing w:before="120" w:after="120" w:line="360" w:lineRule="auto"/>
        <w:jc w:val="center"/>
        <w:rPr>
          <w:rFonts w:hint="eastAsia"/>
          <w:color w:val="auto"/>
          <w:sz w:val="28"/>
          <w:szCs w:val="28"/>
          <w:highlight w:val="none"/>
        </w:rPr>
      </w:pPr>
      <w:r>
        <w:rPr>
          <w:rFonts w:hint="eastAsia"/>
          <w:color w:val="auto"/>
          <w:highlight w:val="none"/>
        </w:rPr>
        <w:t xml:space="preserve">   </w:t>
      </w:r>
    </w:p>
    <w:p>
      <w:pPr>
        <w:pStyle w:val="13"/>
        <w:spacing w:before="120" w:after="120" w:line="360" w:lineRule="auto"/>
        <w:ind w:firstLine="2160" w:firstLineChars="900"/>
        <w:rPr>
          <w:rFonts w:hint="eastAsia" w:hAnsi="宋体"/>
          <w:color w:val="auto"/>
          <w:sz w:val="44"/>
          <w:szCs w:val="44"/>
          <w:highlight w:val="none"/>
        </w:rPr>
      </w:pPr>
      <w:r>
        <w:rPr>
          <w:rFonts w:hint="eastAsia"/>
          <w:color w:val="auto"/>
          <w:highlight w:val="none"/>
        </w:rPr>
        <w:t xml:space="preserve">                    </w:t>
      </w:r>
      <w:r>
        <w:rPr>
          <w:rFonts w:hint="eastAsia" w:hAnsi="宋体"/>
          <w:color w:val="auto"/>
          <w:sz w:val="44"/>
          <w:szCs w:val="44"/>
          <w:highlight w:val="none"/>
        </w:rPr>
        <w:t>目    录</w:t>
      </w:r>
    </w:p>
    <w:p>
      <w:pPr>
        <w:pStyle w:val="13"/>
        <w:spacing w:before="120" w:after="120" w:line="360" w:lineRule="auto"/>
        <w:ind w:firstLine="3960" w:firstLineChars="900"/>
        <w:rPr>
          <w:rFonts w:hint="eastAsia" w:hAnsi="宋体"/>
          <w:color w:val="auto"/>
          <w:sz w:val="44"/>
          <w:szCs w:val="44"/>
          <w:highlight w:val="none"/>
        </w:rPr>
      </w:pPr>
    </w:p>
    <w:p>
      <w:pPr>
        <w:numPr>
          <w:ilvl w:val="0"/>
          <w:numId w:val="2"/>
        </w:numPr>
        <w:spacing w:before="120" w:beforeLines="50" w:line="480" w:lineRule="exact"/>
        <w:rPr>
          <w:rFonts w:hint="eastAsia" w:ascii="宋体" w:hAnsi="宋体" w:cs="宋体"/>
          <w:color w:val="auto"/>
          <w:sz w:val="30"/>
          <w:highlight w:val="none"/>
        </w:rPr>
      </w:pPr>
      <w:r>
        <w:rPr>
          <w:rFonts w:hint="eastAsia" w:ascii="宋体" w:hAnsi="宋体" w:cs="宋体"/>
          <w:color w:val="auto"/>
          <w:sz w:val="30"/>
          <w:highlight w:val="none"/>
        </w:rPr>
        <w:t>招标公告</w:t>
      </w:r>
    </w:p>
    <w:p>
      <w:pPr>
        <w:numPr>
          <w:ilvl w:val="0"/>
          <w:numId w:val="2"/>
        </w:numPr>
        <w:spacing w:before="120" w:beforeLines="50" w:line="480" w:lineRule="exact"/>
        <w:rPr>
          <w:rFonts w:hint="eastAsia" w:ascii="宋体" w:hAnsi="宋体" w:cs="宋体"/>
          <w:color w:val="auto"/>
          <w:sz w:val="30"/>
          <w:szCs w:val="20"/>
          <w:highlight w:val="none"/>
        </w:rPr>
      </w:pPr>
      <w:r>
        <w:rPr>
          <w:rFonts w:hint="eastAsia" w:ascii="宋体" w:hAnsi="宋体" w:cs="宋体"/>
          <w:color w:val="auto"/>
          <w:sz w:val="30"/>
          <w:highlight w:val="none"/>
        </w:rPr>
        <w:t>招标需求</w:t>
      </w:r>
    </w:p>
    <w:p>
      <w:pPr>
        <w:numPr>
          <w:ilvl w:val="0"/>
          <w:numId w:val="2"/>
        </w:numPr>
        <w:spacing w:before="120" w:beforeLines="50" w:line="480" w:lineRule="exact"/>
        <w:rPr>
          <w:rFonts w:hint="eastAsia" w:ascii="宋体" w:hAnsi="宋体" w:cs="宋体"/>
          <w:color w:val="auto"/>
          <w:sz w:val="30"/>
          <w:szCs w:val="20"/>
          <w:highlight w:val="none"/>
        </w:rPr>
      </w:pPr>
      <w:r>
        <w:rPr>
          <w:rFonts w:hint="eastAsia" w:ascii="宋体" w:hAnsi="宋体" w:cs="宋体"/>
          <w:color w:val="auto"/>
          <w:sz w:val="30"/>
          <w:highlight w:val="none"/>
        </w:rPr>
        <w:t>投标人须知</w:t>
      </w:r>
    </w:p>
    <w:p>
      <w:pPr>
        <w:numPr>
          <w:ilvl w:val="0"/>
          <w:numId w:val="2"/>
        </w:numPr>
        <w:spacing w:before="120" w:beforeLines="50" w:line="480" w:lineRule="exact"/>
        <w:rPr>
          <w:rFonts w:hint="eastAsia" w:ascii="宋体" w:hAnsi="宋体" w:cs="宋体"/>
          <w:color w:val="auto"/>
          <w:sz w:val="30"/>
          <w:szCs w:val="20"/>
          <w:highlight w:val="none"/>
        </w:rPr>
      </w:pPr>
      <w:r>
        <w:rPr>
          <w:rFonts w:hint="eastAsia" w:ascii="宋体" w:hAnsi="宋体" w:cs="宋体"/>
          <w:color w:val="auto"/>
          <w:sz w:val="30"/>
          <w:highlight w:val="none"/>
        </w:rPr>
        <w:t>评标办法及评分标准</w:t>
      </w:r>
    </w:p>
    <w:p>
      <w:pPr>
        <w:numPr>
          <w:ilvl w:val="0"/>
          <w:numId w:val="2"/>
        </w:numPr>
        <w:spacing w:before="120" w:beforeLines="50" w:line="480" w:lineRule="exact"/>
        <w:rPr>
          <w:rFonts w:hint="eastAsia" w:ascii="宋体" w:hAnsi="宋体" w:cs="宋体"/>
          <w:color w:val="auto"/>
          <w:sz w:val="30"/>
          <w:szCs w:val="20"/>
          <w:highlight w:val="none"/>
        </w:rPr>
      </w:pPr>
      <w:r>
        <w:rPr>
          <w:rFonts w:hint="eastAsia" w:ascii="宋体" w:hAnsi="宋体" w:cs="宋体"/>
          <w:color w:val="auto"/>
          <w:sz w:val="30"/>
          <w:highlight w:val="none"/>
        </w:rPr>
        <w:t>合同主要条款</w:t>
      </w:r>
    </w:p>
    <w:p>
      <w:pPr>
        <w:numPr>
          <w:ilvl w:val="0"/>
          <w:numId w:val="2"/>
        </w:numPr>
        <w:spacing w:before="120" w:beforeLines="50" w:line="480" w:lineRule="exact"/>
        <w:rPr>
          <w:rFonts w:hint="eastAsia" w:ascii="宋体" w:hAnsi="宋体" w:cs="宋体"/>
          <w:color w:val="auto"/>
          <w:sz w:val="30"/>
          <w:szCs w:val="20"/>
          <w:highlight w:val="none"/>
        </w:rPr>
      </w:pPr>
      <w:r>
        <w:rPr>
          <w:rFonts w:hint="eastAsia" w:ascii="宋体" w:hAnsi="宋体" w:cs="宋体"/>
          <w:color w:val="auto"/>
          <w:sz w:val="30"/>
          <w:highlight w:val="none"/>
        </w:rPr>
        <w:t>投标文件格式</w:t>
      </w:r>
    </w:p>
    <w:p>
      <w:pPr>
        <w:spacing w:line="440" w:lineRule="exact"/>
        <w:jc w:val="center"/>
        <w:rPr>
          <w:rFonts w:hint="eastAsia" w:ascii="Arial" w:hAnsi="Arial" w:eastAsia="黑体"/>
          <w:bCs/>
          <w:color w:val="auto"/>
          <w:sz w:val="32"/>
          <w:szCs w:val="20"/>
          <w:highlight w:val="none"/>
        </w:rPr>
      </w:pPr>
      <w:bookmarkStart w:id="0" w:name="_Toc35393789"/>
      <w:bookmarkStart w:id="1" w:name="_Toc28359001"/>
      <w:r>
        <w:rPr>
          <w:rFonts w:hint="eastAsia" w:ascii="Arial" w:hAnsi="Arial" w:eastAsia="黑体"/>
          <w:bCs/>
          <w:color w:val="auto"/>
          <w:sz w:val="32"/>
          <w:szCs w:val="20"/>
          <w:highlight w:val="none"/>
        </w:rPr>
        <w:br w:type="page"/>
      </w:r>
      <w:r>
        <w:rPr>
          <w:rFonts w:hint="eastAsia" w:ascii="Arial" w:hAnsi="Arial" w:eastAsia="黑体"/>
          <w:bCs/>
          <w:color w:val="auto"/>
          <w:sz w:val="32"/>
          <w:szCs w:val="20"/>
          <w:highlight w:val="none"/>
        </w:rPr>
        <w:t>第一章 招标公告</w:t>
      </w:r>
      <w:bookmarkEnd w:id="0"/>
      <w:bookmarkEnd w:id="1"/>
    </w:p>
    <w:p>
      <w:pPr>
        <w:pStyle w:val="13"/>
        <w:snapToGrid w:val="0"/>
        <w:spacing w:beforeLines="0" w:afterLines="0" w:line="360" w:lineRule="auto"/>
        <w:rPr>
          <w:rFonts w:hint="eastAsia" w:hAnsi="宋体" w:cs="Arial"/>
          <w:color w:val="auto"/>
          <w:sz w:val="21"/>
          <w:szCs w:val="21"/>
          <w:highlight w:val="none"/>
        </w:rPr>
      </w:pPr>
      <w:bookmarkStart w:id="2" w:name="_Toc35393790"/>
      <w:bookmarkStart w:id="3" w:name="_Hlk24379207"/>
      <w:bookmarkStart w:id="4" w:name="_Toc35393621"/>
      <w:bookmarkStart w:id="5" w:name="_Toc28359002"/>
      <w:bookmarkStart w:id="6" w:name="_Toc28359079"/>
      <w:r>
        <w:rPr>
          <w:rFonts w:hint="eastAsia" w:hAnsi="宋体" w:cs="Arial"/>
          <w:color w:val="auto"/>
          <w:sz w:val="21"/>
          <w:szCs w:val="21"/>
          <w:highlight w:val="none"/>
        </w:rPr>
        <w:t xml:space="preserve">项目概况                                                    </w:t>
      </w:r>
    </w:p>
    <w:bookmarkEnd w:id="2"/>
    <w:bookmarkEnd w:id="3"/>
    <w:bookmarkEnd w:id="4"/>
    <w:bookmarkEnd w:id="5"/>
    <w:bookmarkEnd w:id="6"/>
    <w:p>
      <w:pPr>
        <w:pStyle w:val="13"/>
        <w:snapToGrid w:val="0"/>
        <w:spacing w:beforeLines="0" w:afterLines="0" w:line="360" w:lineRule="auto"/>
        <w:ind w:firstLine="440"/>
        <w:rPr>
          <w:rFonts w:hint="eastAsia" w:hAnsi="宋体" w:cs="Arial"/>
          <w:color w:val="auto"/>
          <w:sz w:val="21"/>
          <w:szCs w:val="21"/>
          <w:highlight w:val="none"/>
        </w:rPr>
      </w:pPr>
      <w:r>
        <w:rPr>
          <w:rFonts w:hint="eastAsia" w:hAnsi="宋体" w:cs="Arial"/>
          <w:color w:val="auto"/>
          <w:sz w:val="21"/>
          <w:szCs w:val="21"/>
          <w:highlight w:val="none"/>
        </w:rPr>
        <w:t xml:space="preserve">2022年庄桥街道五位一体综合服务外包项目的潜在投标人应在浙江政府采购云平台（http://zfcg.czt.zj.gov.cn/）获取（下载）招标文件，并于 </w:t>
      </w:r>
      <w:r>
        <w:rPr>
          <w:rFonts w:hint="eastAsia" w:hAnsi="宋体" w:cs="Arial"/>
          <w:b/>
          <w:color w:val="auto"/>
          <w:sz w:val="21"/>
          <w:szCs w:val="21"/>
          <w:highlight w:val="none"/>
          <w:u w:val="single"/>
        </w:rPr>
        <w:t>2022年  月  日13:30</w:t>
      </w:r>
      <w:r>
        <w:rPr>
          <w:rFonts w:hint="eastAsia" w:hAnsi="宋体" w:cs="Arial"/>
          <w:color w:val="auto"/>
          <w:sz w:val="21"/>
          <w:szCs w:val="21"/>
          <w:highlight w:val="none"/>
        </w:rPr>
        <w:t>（北京时间）前递交（上传）投标文件。</w:t>
      </w:r>
    </w:p>
    <w:p>
      <w:pPr>
        <w:pStyle w:val="13"/>
        <w:numPr>
          <w:ilvl w:val="0"/>
          <w:numId w:val="3"/>
        </w:numPr>
        <w:snapToGrid w:val="0"/>
        <w:spacing w:beforeLines="0" w:afterLines="0" w:line="360" w:lineRule="auto"/>
        <w:ind w:firstLine="440"/>
        <w:rPr>
          <w:rFonts w:hint="eastAsia" w:hAnsi="宋体" w:cs="Arial"/>
          <w:b/>
          <w:bCs/>
          <w:color w:val="auto"/>
          <w:sz w:val="21"/>
          <w:szCs w:val="21"/>
          <w:highlight w:val="none"/>
        </w:rPr>
      </w:pPr>
      <w:r>
        <w:rPr>
          <w:rFonts w:hint="eastAsia" w:hAnsi="宋体" w:cs="Arial"/>
          <w:b/>
          <w:bCs/>
          <w:color w:val="auto"/>
          <w:sz w:val="21"/>
          <w:szCs w:val="21"/>
          <w:highlight w:val="none"/>
        </w:rPr>
        <w:t>项目基本情况</w:t>
      </w:r>
    </w:p>
    <w:p>
      <w:pPr>
        <w:spacing w:line="360" w:lineRule="auto"/>
        <w:ind w:firstLine="420" w:firstLineChars="200"/>
        <w:rPr>
          <w:rFonts w:hint="eastAsia" w:ascii="宋体" w:hAnsi="宋体" w:cs="宋体"/>
          <w:color w:val="auto"/>
          <w:highlight w:val="none"/>
        </w:rPr>
      </w:pPr>
      <w:r>
        <w:rPr>
          <w:rFonts w:hint="eastAsia" w:ascii="宋体" w:hAnsi="宋体" w:cs="Arial"/>
          <w:color w:val="auto"/>
          <w:highlight w:val="none"/>
        </w:rPr>
        <w:t>项目编号：</w:t>
      </w:r>
      <w:r>
        <w:rPr>
          <w:rFonts w:hint="eastAsia" w:ascii="宋体" w:hAnsi="宋体" w:cs="宋体"/>
          <w:color w:val="auto"/>
          <w:highlight w:val="none"/>
        </w:rPr>
        <w:t>YZ</w:t>
      </w:r>
      <w:r>
        <w:rPr>
          <w:rFonts w:ascii="宋体" w:hAnsi="宋体" w:cs="宋体"/>
          <w:color w:val="auto"/>
          <w:highlight w:val="none"/>
        </w:rPr>
        <w:t>GL-</w:t>
      </w:r>
      <w:r>
        <w:rPr>
          <w:rFonts w:hint="eastAsia" w:ascii="宋体" w:hAnsi="宋体" w:cs="宋体"/>
          <w:color w:val="auto"/>
          <w:highlight w:val="none"/>
        </w:rPr>
        <w:t>2022001</w:t>
      </w:r>
    </w:p>
    <w:p>
      <w:pPr>
        <w:spacing w:line="360" w:lineRule="auto"/>
        <w:ind w:firstLine="420" w:firstLineChars="200"/>
        <w:rPr>
          <w:rFonts w:hint="eastAsia" w:ascii="宋体" w:hAnsi="宋体" w:cs="Arial"/>
          <w:color w:val="auto"/>
          <w:highlight w:val="none"/>
        </w:rPr>
      </w:pPr>
      <w:r>
        <w:rPr>
          <w:rFonts w:hint="eastAsia" w:ascii="宋体" w:hAnsi="宋体" w:cs="Arial"/>
          <w:color w:val="auto"/>
          <w:highlight w:val="none"/>
        </w:rPr>
        <w:t>项目名称：</w:t>
      </w:r>
      <w:r>
        <w:rPr>
          <w:rFonts w:hint="eastAsia" w:hAnsi="宋体" w:cs="Arial"/>
          <w:color w:val="auto"/>
          <w:highlight w:val="none"/>
        </w:rPr>
        <w:t>2022年庄桥街道五位一体综合服务外包项目</w:t>
      </w:r>
    </w:p>
    <w:p>
      <w:pPr>
        <w:pStyle w:val="13"/>
        <w:snapToGrid w:val="0"/>
        <w:spacing w:beforeLines="0" w:afterLines="0" w:line="360" w:lineRule="auto"/>
        <w:ind w:firstLine="420" w:firstLineChars="200"/>
        <w:rPr>
          <w:rFonts w:hint="default" w:hAnsi="宋体" w:eastAsia="宋体" w:cs="Arial"/>
          <w:color w:val="auto"/>
          <w:sz w:val="21"/>
          <w:szCs w:val="21"/>
          <w:highlight w:val="none"/>
          <w:lang w:val="en-US" w:eastAsia="zh-CN"/>
        </w:rPr>
      </w:pPr>
      <w:r>
        <w:rPr>
          <w:rFonts w:hint="eastAsia" w:hAnsi="宋体" w:cs="Arial"/>
          <w:color w:val="auto"/>
          <w:sz w:val="21"/>
          <w:szCs w:val="21"/>
          <w:highlight w:val="none"/>
        </w:rPr>
        <w:t>预算金额（元）：</w:t>
      </w:r>
      <w:r>
        <w:rPr>
          <w:rFonts w:hint="eastAsia" w:hAnsi="宋体" w:cs="Arial"/>
          <w:color w:val="auto"/>
          <w:sz w:val="21"/>
          <w:szCs w:val="21"/>
          <w:highlight w:val="none"/>
          <w:lang w:val="en-US" w:eastAsia="zh-CN"/>
        </w:rPr>
        <w:t>25000000/年</w:t>
      </w:r>
    </w:p>
    <w:p>
      <w:pPr>
        <w:pStyle w:val="13"/>
        <w:snapToGrid w:val="0"/>
        <w:spacing w:beforeLines="0" w:afterLines="0" w:line="360" w:lineRule="auto"/>
        <w:ind w:right="-149" w:rightChars="-71" w:firstLine="420" w:firstLineChars="200"/>
        <w:rPr>
          <w:rFonts w:hint="eastAsia" w:hAnsi="宋体" w:cs="Arial"/>
          <w:b w:val="0"/>
          <w:bCs w:val="0"/>
          <w:color w:val="auto"/>
          <w:sz w:val="21"/>
          <w:szCs w:val="21"/>
          <w:highlight w:val="none"/>
        </w:rPr>
      </w:pPr>
      <w:r>
        <w:rPr>
          <w:rFonts w:hint="eastAsia" w:hAnsi="宋体" w:cs="Arial"/>
          <w:color w:val="auto"/>
          <w:sz w:val="21"/>
          <w:szCs w:val="21"/>
          <w:highlight w:val="none"/>
        </w:rPr>
        <w:t>最高限价（元）：</w:t>
      </w:r>
      <w:r>
        <w:rPr>
          <w:rFonts w:hint="eastAsia" w:hAnsi="宋体" w:cs="Arial"/>
          <w:b w:val="0"/>
          <w:bCs w:val="0"/>
          <w:color w:val="auto"/>
          <w:sz w:val="21"/>
          <w:szCs w:val="21"/>
          <w:highlight w:val="none"/>
        </w:rPr>
        <w:t>标项一6020252元</w:t>
      </w:r>
      <w:r>
        <w:rPr>
          <w:rFonts w:hint="eastAsia" w:hAnsi="宋体" w:cs="Arial"/>
          <w:color w:val="auto"/>
          <w:sz w:val="21"/>
          <w:szCs w:val="21"/>
          <w:highlight w:val="none"/>
          <w:lang w:val="en-US" w:eastAsia="zh-CN"/>
        </w:rPr>
        <w:t>/年</w:t>
      </w:r>
      <w:r>
        <w:rPr>
          <w:rFonts w:hint="eastAsia" w:hAnsi="宋体" w:cs="Arial"/>
          <w:b w:val="0"/>
          <w:bCs w:val="0"/>
          <w:color w:val="auto"/>
          <w:sz w:val="21"/>
          <w:szCs w:val="21"/>
          <w:highlight w:val="none"/>
        </w:rPr>
        <w:t>，标项二7249574元</w:t>
      </w:r>
      <w:r>
        <w:rPr>
          <w:rFonts w:hint="eastAsia" w:hAnsi="宋体" w:cs="Arial"/>
          <w:color w:val="auto"/>
          <w:sz w:val="21"/>
          <w:szCs w:val="21"/>
          <w:highlight w:val="none"/>
          <w:lang w:val="en-US" w:eastAsia="zh-CN"/>
        </w:rPr>
        <w:t>/年</w:t>
      </w:r>
      <w:r>
        <w:rPr>
          <w:rFonts w:hint="eastAsia" w:hAnsi="宋体" w:cs="Arial"/>
          <w:b w:val="0"/>
          <w:bCs w:val="0"/>
          <w:color w:val="auto"/>
          <w:sz w:val="21"/>
          <w:szCs w:val="21"/>
          <w:highlight w:val="none"/>
        </w:rPr>
        <w:t>，标项三6689973元</w:t>
      </w:r>
      <w:r>
        <w:rPr>
          <w:rFonts w:hint="eastAsia" w:hAnsi="宋体" w:cs="Arial"/>
          <w:color w:val="auto"/>
          <w:sz w:val="21"/>
          <w:szCs w:val="21"/>
          <w:highlight w:val="none"/>
          <w:lang w:val="en-US" w:eastAsia="zh-CN"/>
        </w:rPr>
        <w:t>/年</w:t>
      </w:r>
      <w:r>
        <w:rPr>
          <w:rFonts w:hint="eastAsia" w:hAnsi="宋体" w:cs="Arial"/>
          <w:b w:val="0"/>
          <w:bCs w:val="0"/>
          <w:color w:val="auto"/>
          <w:sz w:val="21"/>
          <w:szCs w:val="21"/>
          <w:highlight w:val="none"/>
        </w:rPr>
        <w:t xml:space="preserve">，标项四4777624元 </w:t>
      </w:r>
      <w:r>
        <w:rPr>
          <w:rFonts w:hint="eastAsia" w:hAnsi="宋体" w:cs="Arial"/>
          <w:color w:val="auto"/>
          <w:sz w:val="21"/>
          <w:szCs w:val="21"/>
          <w:highlight w:val="none"/>
          <w:lang w:val="en-US" w:eastAsia="zh-CN"/>
        </w:rPr>
        <w:t>/年</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采购需求：</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标项1</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标项名称:2022年庄桥街道五位一体综合服务外包项目（南片区）</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数量:1批</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 xml:space="preserve">预算金额（元）: </w:t>
      </w:r>
      <w:r>
        <w:rPr>
          <w:rFonts w:hint="eastAsia" w:hAnsi="宋体" w:cs="Arial"/>
          <w:color w:val="auto"/>
          <w:sz w:val="21"/>
          <w:szCs w:val="21"/>
          <w:highlight w:val="none"/>
        </w:rPr>
        <w:t>6020252</w:t>
      </w:r>
    </w:p>
    <w:p>
      <w:pPr>
        <w:pStyle w:val="13"/>
        <w:snapToGrid w:val="0"/>
        <w:spacing w:beforeLines="0" w:afterLines="0" w:line="360" w:lineRule="auto"/>
        <w:ind w:firstLine="420" w:firstLineChars="200"/>
        <w:rPr>
          <w:rFonts w:hint="eastAsia" w:hAnsi="宋体" w:cs="Arial"/>
          <w:b/>
          <w:color w:val="auto"/>
          <w:sz w:val="21"/>
          <w:szCs w:val="21"/>
          <w:highlight w:val="none"/>
          <w:u w:val="single"/>
        </w:rPr>
      </w:pPr>
      <w:r>
        <w:rPr>
          <w:rFonts w:hint="eastAsia" w:hAnsi="宋体" w:cs="Arial"/>
          <w:color w:val="auto"/>
          <w:sz w:val="21"/>
          <w:szCs w:val="21"/>
          <w:highlight w:val="none"/>
        </w:rPr>
        <w:t>简要规格描述或项目基本概况介绍、用途：</w:t>
      </w:r>
      <w:r>
        <w:rPr>
          <w:rFonts w:hint="eastAsia" w:hAnsi="宋体" w:cs="Arial"/>
          <w:b/>
          <w:color w:val="auto"/>
          <w:sz w:val="21"/>
          <w:szCs w:val="21"/>
          <w:highlight w:val="none"/>
          <w:u w:val="single"/>
        </w:rPr>
        <w:t xml:space="preserve">庄桥街道南片道路路面、绿化养护、厕所保洁、铁路沿线保洁及市容秩序辅助管理服务。   </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标项2</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标项名称:2022年庄桥街道五位一体综合服务外包项目（西片区）</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数量:1批</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 xml:space="preserve">预算金额（元）: </w:t>
      </w:r>
      <w:r>
        <w:rPr>
          <w:rFonts w:hint="eastAsia" w:hAnsi="宋体" w:cs="Arial"/>
          <w:b/>
          <w:color w:val="auto"/>
          <w:sz w:val="21"/>
          <w:szCs w:val="21"/>
          <w:highlight w:val="none"/>
        </w:rPr>
        <w:t>7249574</w:t>
      </w:r>
    </w:p>
    <w:p>
      <w:pPr>
        <w:pStyle w:val="13"/>
        <w:snapToGrid w:val="0"/>
        <w:spacing w:beforeLines="0" w:afterLines="0" w:line="360" w:lineRule="auto"/>
        <w:ind w:firstLine="420" w:firstLineChars="200"/>
        <w:rPr>
          <w:rFonts w:hint="eastAsia" w:hAnsi="宋体" w:cs="Arial"/>
          <w:b/>
          <w:color w:val="auto"/>
          <w:sz w:val="21"/>
          <w:szCs w:val="21"/>
          <w:highlight w:val="none"/>
          <w:u w:val="single"/>
        </w:rPr>
      </w:pPr>
      <w:r>
        <w:rPr>
          <w:rFonts w:hint="eastAsia" w:hAnsi="宋体" w:cs="Arial"/>
          <w:color w:val="auto"/>
          <w:sz w:val="21"/>
          <w:szCs w:val="21"/>
          <w:highlight w:val="none"/>
        </w:rPr>
        <w:t>简要规格描述或项目基本概况介绍、用途：</w:t>
      </w:r>
      <w:r>
        <w:rPr>
          <w:rFonts w:hint="eastAsia" w:hAnsi="宋体" w:cs="Arial"/>
          <w:b/>
          <w:color w:val="auto"/>
          <w:sz w:val="21"/>
          <w:szCs w:val="21"/>
          <w:highlight w:val="none"/>
          <w:u w:val="single"/>
        </w:rPr>
        <w:t>庄桥街道西片区道路路面、背街小巷，绿化养护、厕所保洁、河道保洁及市容秩序辅助管理服务。</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标项3</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标项名称:2022年庄桥街道五位一体综合服务外包项目（工业B区+机扫片）</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数量:1批</w:t>
      </w:r>
    </w:p>
    <w:p>
      <w:pPr>
        <w:pStyle w:val="13"/>
        <w:snapToGrid w:val="0"/>
        <w:spacing w:beforeLines="0" w:afterLines="0" w:line="360" w:lineRule="auto"/>
        <w:ind w:firstLine="420" w:firstLineChars="200"/>
        <w:rPr>
          <w:rFonts w:hint="eastAsia" w:hAnsi="宋体" w:cs="Arial"/>
          <w:b/>
          <w:color w:val="auto"/>
          <w:sz w:val="21"/>
          <w:szCs w:val="21"/>
          <w:highlight w:val="none"/>
        </w:rPr>
      </w:pPr>
      <w:r>
        <w:rPr>
          <w:rFonts w:hint="eastAsia" w:hAnsi="宋体" w:cs="Arial"/>
          <w:color w:val="auto"/>
          <w:sz w:val="21"/>
          <w:szCs w:val="21"/>
          <w:highlight w:val="none"/>
        </w:rPr>
        <w:t>预算金额（元）:</w:t>
      </w:r>
      <w:r>
        <w:rPr>
          <w:rFonts w:hint="eastAsia" w:hAnsi="宋体" w:cs="Arial"/>
          <w:b/>
          <w:color w:val="auto"/>
          <w:sz w:val="21"/>
          <w:szCs w:val="21"/>
          <w:highlight w:val="none"/>
        </w:rPr>
        <w:t xml:space="preserve">  </w:t>
      </w:r>
      <w:r>
        <w:rPr>
          <w:rFonts w:hint="eastAsia" w:hAnsi="宋体" w:cs="Arial"/>
          <w:b/>
          <w:color w:val="auto"/>
          <w:sz w:val="21"/>
          <w:szCs w:val="21"/>
          <w:highlight w:val="none"/>
        </w:rPr>
        <w:t>6689973</w:t>
      </w:r>
    </w:p>
    <w:p>
      <w:pPr>
        <w:pStyle w:val="13"/>
        <w:snapToGrid w:val="0"/>
        <w:spacing w:beforeLines="0" w:afterLines="0" w:line="360" w:lineRule="auto"/>
        <w:ind w:firstLine="420" w:firstLineChars="200"/>
        <w:rPr>
          <w:rFonts w:hint="eastAsia" w:hAnsi="宋体" w:cs="Arial"/>
          <w:b/>
          <w:color w:val="auto"/>
          <w:sz w:val="21"/>
          <w:szCs w:val="21"/>
          <w:highlight w:val="none"/>
          <w:u w:val="single"/>
        </w:rPr>
      </w:pPr>
      <w:r>
        <w:rPr>
          <w:rFonts w:hint="eastAsia" w:hAnsi="宋体" w:cs="Arial"/>
          <w:color w:val="auto"/>
          <w:sz w:val="21"/>
          <w:szCs w:val="21"/>
          <w:highlight w:val="none"/>
        </w:rPr>
        <w:t>简要规格描述或项目基本概况介绍、用途：</w:t>
      </w:r>
      <w:r>
        <w:rPr>
          <w:rFonts w:hint="eastAsia" w:hAnsi="宋体" w:cs="Arial"/>
          <w:b/>
          <w:color w:val="auto"/>
          <w:sz w:val="21"/>
          <w:szCs w:val="21"/>
          <w:highlight w:val="none"/>
          <w:u w:val="single"/>
        </w:rPr>
        <w:t>庄桥街道（工业B区+机扫片）道路路面、绿化养护、厕所保洁及市容秩序辅助管理服务。</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标项4</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标项名称:2022年庄桥街道五位一体综合服务外包项目（东片区）</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数量:1批</w:t>
      </w:r>
    </w:p>
    <w:p>
      <w:pPr>
        <w:pStyle w:val="13"/>
        <w:snapToGrid w:val="0"/>
        <w:spacing w:beforeLines="0" w:afterLines="0" w:line="360" w:lineRule="auto"/>
        <w:ind w:firstLine="420" w:firstLineChars="200"/>
        <w:rPr>
          <w:rFonts w:hint="eastAsia" w:hAnsi="宋体" w:cs="Arial"/>
          <w:b/>
          <w:color w:val="auto"/>
          <w:sz w:val="21"/>
          <w:szCs w:val="21"/>
          <w:highlight w:val="none"/>
        </w:rPr>
      </w:pPr>
      <w:r>
        <w:rPr>
          <w:rFonts w:hint="eastAsia" w:hAnsi="宋体" w:cs="Arial"/>
          <w:color w:val="auto"/>
          <w:sz w:val="21"/>
          <w:szCs w:val="21"/>
          <w:highlight w:val="none"/>
        </w:rPr>
        <w:t xml:space="preserve">预算金额（元）: </w:t>
      </w:r>
      <w:r>
        <w:rPr>
          <w:rFonts w:hint="eastAsia" w:hAnsi="宋体" w:cs="Arial"/>
          <w:b/>
          <w:color w:val="auto"/>
          <w:sz w:val="21"/>
          <w:szCs w:val="21"/>
          <w:highlight w:val="none"/>
        </w:rPr>
        <w:t>4777624</w:t>
      </w:r>
    </w:p>
    <w:p>
      <w:pPr>
        <w:pStyle w:val="13"/>
        <w:snapToGrid w:val="0"/>
        <w:spacing w:beforeLines="0" w:afterLines="0" w:line="360" w:lineRule="auto"/>
        <w:ind w:firstLine="420" w:firstLineChars="200"/>
        <w:rPr>
          <w:rFonts w:hint="eastAsia" w:hAnsi="宋体" w:cs="Arial"/>
          <w:b/>
          <w:color w:val="auto"/>
          <w:sz w:val="21"/>
          <w:szCs w:val="21"/>
          <w:highlight w:val="none"/>
          <w:u w:val="single"/>
        </w:rPr>
      </w:pPr>
      <w:r>
        <w:rPr>
          <w:rFonts w:hint="eastAsia" w:hAnsi="宋体" w:cs="Arial"/>
          <w:color w:val="auto"/>
          <w:sz w:val="21"/>
          <w:szCs w:val="21"/>
          <w:highlight w:val="none"/>
        </w:rPr>
        <w:t>简要规格描述或项目基本概况介绍、用途：</w:t>
      </w:r>
      <w:r>
        <w:rPr>
          <w:rFonts w:hint="eastAsia" w:hAnsi="宋体" w:cs="Arial"/>
          <w:b/>
          <w:color w:val="auto"/>
          <w:sz w:val="21"/>
          <w:szCs w:val="21"/>
          <w:highlight w:val="none"/>
          <w:u w:val="single"/>
        </w:rPr>
        <w:t>庄桥街道东片区道路路面、背街小巷，绿化养护、厕所保洁及市容秩序辅助管理服务。</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备注：</w:t>
      </w:r>
    </w:p>
    <w:p>
      <w:pPr>
        <w:pStyle w:val="13"/>
        <w:snapToGrid w:val="0"/>
        <w:spacing w:beforeLines="0" w:afterLines="0" w:line="360" w:lineRule="auto"/>
        <w:ind w:firstLine="630" w:firstLineChars="300"/>
        <w:rPr>
          <w:rFonts w:hint="eastAsia" w:hAnsi="宋体" w:cs="Arial"/>
          <w:color w:val="auto"/>
          <w:sz w:val="21"/>
          <w:szCs w:val="21"/>
          <w:highlight w:val="none"/>
        </w:rPr>
      </w:pPr>
      <w:r>
        <w:rPr>
          <w:rFonts w:hint="eastAsia" w:hAnsi="宋体" w:cs="Arial"/>
          <w:color w:val="auto"/>
          <w:sz w:val="21"/>
          <w:szCs w:val="21"/>
          <w:highlight w:val="none"/>
        </w:rPr>
        <w:t>合同履约期限：标项 1、2、3、4，服务期限为三年，期间若因政策调整、养管模式调整、绿化提升改造等原因需要重新进行招标的，采购人有权终止合同。</w:t>
      </w:r>
    </w:p>
    <w:p>
      <w:pPr>
        <w:pStyle w:val="13"/>
        <w:snapToGrid w:val="0"/>
        <w:spacing w:beforeLines="0" w:afterLines="0" w:line="360" w:lineRule="auto"/>
        <w:ind w:firstLine="632" w:firstLineChars="300"/>
        <w:rPr>
          <w:rFonts w:hint="eastAsia" w:hAnsi="宋体" w:cs="Arial"/>
          <w:b/>
          <w:color w:val="auto"/>
          <w:sz w:val="21"/>
          <w:szCs w:val="21"/>
          <w:highlight w:val="none"/>
        </w:rPr>
      </w:pPr>
      <w:r>
        <w:rPr>
          <w:rFonts w:hint="eastAsia" w:hAnsi="宋体" w:cs="Arial"/>
          <w:b/>
          <w:color w:val="auto"/>
          <w:sz w:val="21"/>
          <w:szCs w:val="21"/>
          <w:highlight w:val="none"/>
        </w:rPr>
        <w:t>投标人可就其中1个标项参加投标或同时参加几个标项的投标，但1个投标人仅能中标1个标项。</w:t>
      </w:r>
    </w:p>
    <w:p>
      <w:pPr>
        <w:pStyle w:val="13"/>
        <w:snapToGrid w:val="0"/>
        <w:spacing w:beforeLines="0" w:afterLines="0" w:line="360" w:lineRule="auto"/>
        <w:ind w:firstLine="630" w:firstLineChars="300"/>
        <w:rPr>
          <w:rFonts w:hint="eastAsia" w:hAnsi="宋体" w:cs="Arial"/>
          <w:color w:val="auto"/>
          <w:sz w:val="21"/>
          <w:szCs w:val="21"/>
          <w:highlight w:val="none"/>
        </w:rPr>
      </w:pPr>
      <w:r>
        <w:rPr>
          <w:rFonts w:hint="eastAsia" w:hAnsi="宋体" w:cs="Arial"/>
          <w:color w:val="auto"/>
          <w:sz w:val="21"/>
          <w:szCs w:val="21"/>
          <w:highlight w:val="none"/>
        </w:rPr>
        <w:t>本项目接受联合体投标。</w:t>
      </w:r>
    </w:p>
    <w:p>
      <w:pPr>
        <w:pStyle w:val="13"/>
        <w:numPr>
          <w:ilvl w:val="0"/>
          <w:numId w:val="3"/>
        </w:numPr>
        <w:snapToGrid w:val="0"/>
        <w:spacing w:beforeLines="0" w:afterLines="0" w:line="360" w:lineRule="auto"/>
        <w:ind w:firstLine="440"/>
        <w:rPr>
          <w:rFonts w:hint="eastAsia" w:hAnsi="宋体" w:cs="Arial"/>
          <w:color w:val="auto"/>
          <w:sz w:val="21"/>
          <w:szCs w:val="21"/>
          <w:highlight w:val="none"/>
        </w:rPr>
      </w:pPr>
      <w:r>
        <w:rPr>
          <w:rFonts w:hint="eastAsia" w:hAnsi="宋体" w:cs="Arial"/>
          <w:b/>
          <w:bCs/>
          <w:color w:val="auto"/>
          <w:sz w:val="21"/>
          <w:szCs w:val="21"/>
          <w:highlight w:val="none"/>
        </w:rPr>
        <w:t>申请人的资格要求：</w:t>
      </w:r>
    </w:p>
    <w:p>
      <w:pPr>
        <w:pStyle w:val="13"/>
        <w:numPr>
          <w:ilvl w:val="0"/>
          <w:numId w:val="4"/>
        </w:numPr>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13"/>
        <w:numPr>
          <w:ilvl w:val="0"/>
          <w:numId w:val="4"/>
        </w:numPr>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落实政府采购政策需满足的资格要求：无 </w:t>
      </w:r>
    </w:p>
    <w:p>
      <w:pPr>
        <w:pStyle w:val="13"/>
        <w:numPr>
          <w:ilvl w:val="0"/>
          <w:numId w:val="4"/>
        </w:numPr>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本项目的特定资格要求：无 </w:t>
      </w:r>
    </w:p>
    <w:p>
      <w:pPr>
        <w:pStyle w:val="13"/>
        <w:numPr>
          <w:ilvl w:val="0"/>
          <w:numId w:val="3"/>
        </w:numPr>
        <w:snapToGrid w:val="0"/>
        <w:spacing w:beforeLines="0" w:afterLines="0" w:line="360" w:lineRule="auto"/>
        <w:ind w:firstLine="440"/>
        <w:rPr>
          <w:rFonts w:hint="eastAsia" w:hAnsi="宋体" w:cs="Arial"/>
          <w:color w:val="auto"/>
          <w:sz w:val="21"/>
          <w:szCs w:val="21"/>
          <w:highlight w:val="none"/>
        </w:rPr>
      </w:pPr>
      <w:r>
        <w:rPr>
          <w:rFonts w:hint="eastAsia" w:hAnsi="宋体" w:cs="Arial"/>
          <w:b/>
          <w:bCs/>
          <w:color w:val="auto"/>
          <w:sz w:val="21"/>
          <w:szCs w:val="21"/>
          <w:highlight w:val="none"/>
        </w:rPr>
        <w:t>获取招标文件 </w:t>
      </w:r>
    </w:p>
    <w:p>
      <w:pPr>
        <w:pStyle w:val="13"/>
        <w:snapToGrid w:val="0"/>
        <w:spacing w:beforeLines="0" w:afterLines="0" w:line="360" w:lineRule="auto"/>
        <w:ind w:firstLine="420" w:firstLineChars="200"/>
        <w:rPr>
          <w:rFonts w:hint="eastAsia" w:hAnsi="宋体" w:cs="Arial"/>
          <w:color w:val="auto"/>
          <w:sz w:val="21"/>
          <w:szCs w:val="21"/>
          <w:highlight w:val="none"/>
        </w:rPr>
      </w:pPr>
      <w:r>
        <w:rPr>
          <w:rFonts w:hint="eastAsia" w:hAnsi="宋体" w:cs="Arial"/>
          <w:color w:val="auto"/>
          <w:sz w:val="21"/>
          <w:szCs w:val="21"/>
          <w:highlight w:val="none"/>
        </w:rPr>
        <w:t>时间：/至2022年</w:t>
      </w:r>
      <w:r>
        <w:rPr>
          <w:rFonts w:hint="eastAsia" w:hAnsi="宋体" w:cs="Arial"/>
          <w:color w:val="auto"/>
          <w:sz w:val="21"/>
          <w:szCs w:val="21"/>
          <w:highlight w:val="none"/>
          <w:lang w:val="en-US" w:eastAsia="zh-CN"/>
        </w:rPr>
        <w:t>05</w:t>
      </w:r>
      <w:r>
        <w:rPr>
          <w:rFonts w:hint="eastAsia" w:hAnsi="宋体" w:cs="Arial"/>
          <w:color w:val="auto"/>
          <w:sz w:val="21"/>
          <w:szCs w:val="21"/>
          <w:highlight w:val="none"/>
        </w:rPr>
        <w:t>月</w:t>
      </w:r>
      <w:r>
        <w:rPr>
          <w:rFonts w:hint="eastAsia" w:hAnsi="宋体" w:cs="Arial"/>
          <w:color w:val="auto"/>
          <w:sz w:val="21"/>
          <w:szCs w:val="21"/>
          <w:highlight w:val="none"/>
          <w:lang w:val="en-US" w:eastAsia="zh-CN"/>
        </w:rPr>
        <w:t>07</w:t>
      </w:r>
      <w:r>
        <w:rPr>
          <w:rFonts w:hint="eastAsia" w:hAnsi="宋体" w:cs="Arial"/>
          <w:color w:val="auto"/>
          <w:sz w:val="21"/>
          <w:szCs w:val="21"/>
          <w:highlight w:val="none"/>
        </w:rPr>
        <w:t>日，每天上午00:00至12:00，下午12:00至23:59（北京时间，线上获取法定节假日均可，线下获取文件法定节假日除外）</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地点（网址）：浙江政府采购云平台（http://zfcg.czt.zj.gov.cn/）</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 xml:space="preserve">方式：1.本项目招标文件实行“政府采购云平台”在线获取，不提供招标文件纸质版。供应商获取招标文件前应先完成“政府采购云平台”的账号注册；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 xml:space="preserve">注：请投标人按上述要求获取招标文件，如未在“政采云”系统内完成相关流程，引起的投标无效责任自负。 </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 xml:space="preserve">售价（元）：0 </w:t>
      </w:r>
    </w:p>
    <w:p>
      <w:pPr>
        <w:spacing w:line="360" w:lineRule="auto"/>
        <w:rPr>
          <w:rFonts w:hint="eastAsia" w:ascii="宋体" w:hAnsi="宋体" w:cs="宋体"/>
          <w:b/>
          <w:bCs/>
          <w:color w:val="auto"/>
          <w:szCs w:val="24"/>
          <w:highlight w:val="none"/>
        </w:rPr>
      </w:pPr>
      <w:r>
        <w:rPr>
          <w:rFonts w:hint="eastAsia" w:ascii="宋体" w:hAnsi="宋体" w:cs="宋体"/>
          <w:b/>
          <w:bCs/>
          <w:color w:val="auto"/>
          <w:szCs w:val="24"/>
          <w:highlight w:val="none"/>
        </w:rPr>
        <w:t>四、提交投标文件截止时间、开标时间和地点</w:t>
      </w:r>
    </w:p>
    <w:p>
      <w:pPr>
        <w:spacing w:line="360" w:lineRule="auto"/>
        <w:ind w:firstLine="422" w:firstLineChars="200"/>
        <w:rPr>
          <w:rFonts w:hint="eastAsia" w:ascii="宋体" w:hAnsi="宋体" w:cs="宋体"/>
          <w:b/>
          <w:color w:val="auto"/>
          <w:szCs w:val="24"/>
          <w:highlight w:val="none"/>
          <w:u w:val="single"/>
        </w:rPr>
      </w:pPr>
      <w:r>
        <w:rPr>
          <w:rFonts w:hint="eastAsia" w:ascii="宋体" w:hAnsi="宋体" w:cs="宋体"/>
          <w:b/>
          <w:color w:val="auto"/>
          <w:szCs w:val="24"/>
          <w:highlight w:val="none"/>
          <w:u w:val="single"/>
        </w:rPr>
        <w:t>提交投标文件截止时间：2022年</w:t>
      </w:r>
      <w:r>
        <w:rPr>
          <w:rFonts w:hint="eastAsia" w:ascii="宋体" w:hAnsi="宋体" w:cs="宋体"/>
          <w:b/>
          <w:color w:val="auto"/>
          <w:szCs w:val="24"/>
          <w:highlight w:val="none"/>
          <w:u w:val="single"/>
          <w:lang w:val="en-US" w:eastAsia="zh-CN"/>
        </w:rPr>
        <w:t>0</w:t>
      </w:r>
      <w:r>
        <w:rPr>
          <w:rFonts w:hint="eastAsia" w:ascii="宋体" w:hAnsi="宋体" w:cs="宋体"/>
          <w:b/>
          <w:color w:val="auto"/>
          <w:szCs w:val="24"/>
          <w:highlight w:val="none"/>
          <w:u w:val="single"/>
          <w:lang w:val="en-US" w:eastAsia="zh-CN"/>
        </w:rPr>
        <w:t>5</w:t>
      </w:r>
      <w:r>
        <w:rPr>
          <w:rFonts w:hint="eastAsia" w:ascii="宋体" w:hAnsi="宋体" w:cs="宋体"/>
          <w:b/>
          <w:color w:val="auto"/>
          <w:szCs w:val="24"/>
          <w:highlight w:val="none"/>
          <w:u w:val="single"/>
        </w:rPr>
        <w:t>月</w:t>
      </w:r>
      <w:r>
        <w:rPr>
          <w:rFonts w:hint="eastAsia" w:ascii="宋体" w:hAnsi="宋体" w:cs="宋体"/>
          <w:b/>
          <w:color w:val="auto"/>
          <w:szCs w:val="24"/>
          <w:highlight w:val="none"/>
          <w:u w:val="single"/>
          <w:lang w:val="en-US" w:eastAsia="zh-CN"/>
        </w:rPr>
        <w:t>0</w:t>
      </w:r>
      <w:r>
        <w:rPr>
          <w:rFonts w:hint="eastAsia" w:ascii="宋体" w:hAnsi="宋体" w:cs="宋体"/>
          <w:b/>
          <w:color w:val="auto"/>
          <w:szCs w:val="24"/>
          <w:highlight w:val="none"/>
          <w:u w:val="single"/>
          <w:lang w:val="en-US" w:eastAsia="zh-CN"/>
        </w:rPr>
        <w:t>7</w:t>
      </w:r>
      <w:r>
        <w:rPr>
          <w:rFonts w:hint="eastAsia" w:ascii="宋体" w:hAnsi="宋体" w:cs="宋体"/>
          <w:b/>
          <w:color w:val="auto"/>
          <w:szCs w:val="24"/>
          <w:highlight w:val="none"/>
          <w:u w:val="single"/>
        </w:rPr>
        <w:t>日</w:t>
      </w:r>
      <w:r>
        <w:rPr>
          <w:rFonts w:hint="eastAsia" w:ascii="宋体" w:hAnsi="宋体" w:cs="宋体"/>
          <w:b/>
          <w:color w:val="auto"/>
          <w:szCs w:val="24"/>
          <w:highlight w:val="none"/>
          <w:u w:val="single"/>
          <w:lang w:val="en-US" w:eastAsia="zh-CN"/>
        </w:rPr>
        <w:t>0</w:t>
      </w:r>
      <w:r>
        <w:rPr>
          <w:rFonts w:hint="eastAsia" w:ascii="宋体" w:hAnsi="宋体" w:cs="宋体"/>
          <w:b/>
          <w:color w:val="auto"/>
          <w:szCs w:val="24"/>
          <w:highlight w:val="none"/>
          <w:u w:val="single"/>
          <w:lang w:val="en-US" w:eastAsia="zh-CN"/>
        </w:rPr>
        <w:t>9</w:t>
      </w:r>
      <w:r>
        <w:rPr>
          <w:rFonts w:hint="eastAsia" w:ascii="宋体" w:hAnsi="宋体" w:cs="宋体"/>
          <w:b/>
          <w:color w:val="auto"/>
          <w:szCs w:val="24"/>
          <w:highlight w:val="none"/>
          <w:u w:val="single"/>
        </w:rPr>
        <w:t>：</w:t>
      </w:r>
      <w:r>
        <w:rPr>
          <w:rFonts w:hint="eastAsia" w:ascii="宋体" w:hAnsi="宋体" w:cs="宋体"/>
          <w:b/>
          <w:color w:val="auto"/>
          <w:szCs w:val="24"/>
          <w:highlight w:val="none"/>
          <w:u w:val="single"/>
          <w:lang w:val="en-US" w:eastAsia="zh-CN"/>
        </w:rPr>
        <w:t>00</w:t>
      </w:r>
      <w:r>
        <w:rPr>
          <w:rFonts w:hint="eastAsia" w:ascii="宋体" w:hAnsi="宋体" w:cs="宋体"/>
          <w:b/>
          <w:color w:val="auto"/>
          <w:szCs w:val="24"/>
          <w:highlight w:val="none"/>
          <w:u w:val="single"/>
        </w:rPr>
        <w:t>（北京时间）</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投标地点（网址）：投标人通过“政府采购云平台（www.zcygov.cn）”在线制作、传输递交电子投标文件。</w:t>
      </w:r>
    </w:p>
    <w:p>
      <w:pPr>
        <w:spacing w:line="360" w:lineRule="auto"/>
        <w:ind w:firstLine="422" w:firstLineChars="200"/>
        <w:rPr>
          <w:rFonts w:hint="eastAsia" w:ascii="宋体" w:hAnsi="宋体" w:cs="宋体"/>
          <w:b/>
          <w:color w:val="auto"/>
          <w:szCs w:val="24"/>
          <w:highlight w:val="none"/>
          <w:u w:val="single"/>
        </w:rPr>
      </w:pPr>
      <w:r>
        <w:rPr>
          <w:rFonts w:hint="eastAsia" w:ascii="宋体" w:hAnsi="宋体" w:cs="宋体"/>
          <w:b/>
          <w:color w:val="auto"/>
          <w:szCs w:val="24"/>
          <w:highlight w:val="none"/>
          <w:u w:val="single"/>
        </w:rPr>
        <w:t>开标时间：</w:t>
      </w:r>
      <w:r>
        <w:rPr>
          <w:rFonts w:hint="eastAsia" w:ascii="宋体" w:hAnsi="宋体" w:cs="宋体"/>
          <w:b/>
          <w:color w:val="auto"/>
          <w:szCs w:val="24"/>
          <w:highlight w:val="none"/>
          <w:u w:val="single"/>
        </w:rPr>
        <w:t>2022年</w:t>
      </w:r>
      <w:r>
        <w:rPr>
          <w:rFonts w:hint="eastAsia" w:ascii="宋体" w:hAnsi="宋体" w:cs="宋体"/>
          <w:b/>
          <w:color w:val="auto"/>
          <w:szCs w:val="24"/>
          <w:highlight w:val="none"/>
          <w:u w:val="single"/>
          <w:lang w:val="en-US" w:eastAsia="zh-CN"/>
        </w:rPr>
        <w:t>05</w:t>
      </w:r>
      <w:r>
        <w:rPr>
          <w:rFonts w:hint="eastAsia" w:ascii="宋体" w:hAnsi="宋体" w:cs="宋体"/>
          <w:b/>
          <w:color w:val="auto"/>
          <w:szCs w:val="24"/>
          <w:highlight w:val="none"/>
          <w:u w:val="single"/>
        </w:rPr>
        <w:t>月</w:t>
      </w:r>
      <w:r>
        <w:rPr>
          <w:rFonts w:hint="eastAsia" w:ascii="宋体" w:hAnsi="宋体" w:cs="宋体"/>
          <w:b/>
          <w:color w:val="auto"/>
          <w:szCs w:val="24"/>
          <w:highlight w:val="none"/>
          <w:u w:val="single"/>
          <w:lang w:val="en-US" w:eastAsia="zh-CN"/>
        </w:rPr>
        <w:t>07</w:t>
      </w:r>
      <w:r>
        <w:rPr>
          <w:rFonts w:hint="eastAsia" w:ascii="宋体" w:hAnsi="宋体" w:cs="宋体"/>
          <w:b/>
          <w:color w:val="auto"/>
          <w:szCs w:val="24"/>
          <w:highlight w:val="none"/>
          <w:u w:val="single"/>
        </w:rPr>
        <w:t>日</w:t>
      </w:r>
      <w:r>
        <w:rPr>
          <w:rFonts w:hint="eastAsia" w:ascii="宋体" w:hAnsi="宋体" w:cs="宋体"/>
          <w:b/>
          <w:color w:val="auto"/>
          <w:szCs w:val="24"/>
          <w:highlight w:val="none"/>
          <w:u w:val="single"/>
          <w:lang w:val="en-US" w:eastAsia="zh-CN"/>
        </w:rPr>
        <w:t>09</w:t>
      </w:r>
      <w:r>
        <w:rPr>
          <w:rFonts w:hint="eastAsia" w:ascii="宋体" w:hAnsi="宋体" w:cs="宋体"/>
          <w:b/>
          <w:color w:val="auto"/>
          <w:szCs w:val="24"/>
          <w:highlight w:val="none"/>
          <w:u w:val="single"/>
        </w:rPr>
        <w:t>：</w:t>
      </w:r>
      <w:r>
        <w:rPr>
          <w:rFonts w:hint="eastAsia" w:ascii="宋体" w:hAnsi="宋体" w:cs="宋体"/>
          <w:b/>
          <w:color w:val="auto"/>
          <w:szCs w:val="24"/>
          <w:highlight w:val="none"/>
          <w:u w:val="single"/>
          <w:lang w:val="en-US" w:eastAsia="zh-CN"/>
        </w:rPr>
        <w:t>00</w:t>
      </w:r>
      <w:r>
        <w:rPr>
          <w:rFonts w:hint="eastAsia" w:ascii="宋体" w:hAnsi="宋体" w:cs="宋体"/>
          <w:b/>
          <w:color w:val="auto"/>
          <w:szCs w:val="24"/>
          <w:highlight w:val="none"/>
          <w:u w:val="single"/>
        </w:rPr>
        <w:t>（北京时间</w:t>
      </w:r>
      <w:r>
        <w:rPr>
          <w:rFonts w:hint="eastAsia" w:ascii="宋体" w:hAnsi="宋体" w:eastAsia="宋体" w:cs="宋体"/>
          <w:b/>
          <w:color w:val="auto"/>
          <w:szCs w:val="24"/>
          <w:highlight w:val="none"/>
          <w:u w:val="single"/>
          <w:lang w:val="en-US" w:eastAsia="zh-CN"/>
        </w:rPr>
        <w:t>） </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highlight w:val="none"/>
        </w:rPr>
        <w:t>开标地点（网址）：宁波市江北区公共资源交易中心开标室（江北区育才路138号北投大厦南楼7楼）。本项目通过“政府采购云平台”实行在线电子投标，投标人应在线参加开标。</w:t>
      </w:r>
      <w:r>
        <w:rPr>
          <w:rFonts w:hint="eastAsia" w:ascii="宋体" w:hAnsi="宋体" w:cs="宋体"/>
          <w:color w:val="auto"/>
          <w:szCs w:val="24"/>
          <w:highlight w:val="none"/>
        </w:rPr>
        <w:t> </w:t>
      </w:r>
    </w:p>
    <w:p>
      <w:pPr>
        <w:spacing w:line="360" w:lineRule="auto"/>
        <w:rPr>
          <w:rFonts w:hint="eastAsia" w:ascii="宋体" w:hAnsi="宋体" w:cs="宋体"/>
          <w:b/>
          <w:bCs/>
          <w:color w:val="auto"/>
          <w:szCs w:val="24"/>
          <w:highlight w:val="none"/>
        </w:rPr>
      </w:pPr>
      <w:r>
        <w:rPr>
          <w:rFonts w:hint="eastAsia" w:ascii="宋体" w:hAnsi="宋体" w:cs="宋体"/>
          <w:b/>
          <w:bCs/>
          <w:color w:val="auto"/>
          <w:szCs w:val="24"/>
          <w:highlight w:val="none"/>
        </w:rPr>
        <w:t>五、公告期限</w:t>
      </w:r>
    </w:p>
    <w:p>
      <w:pPr>
        <w:spacing w:line="360" w:lineRule="auto"/>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自本公告发布之日起5个工作日。</w:t>
      </w:r>
    </w:p>
    <w:p>
      <w:pPr>
        <w:spacing w:line="440" w:lineRule="exact"/>
        <w:rPr>
          <w:rFonts w:hint="eastAsia" w:ascii="宋体" w:hAnsi="宋体" w:cs="宋体"/>
          <w:b/>
          <w:bCs/>
          <w:color w:val="auto"/>
          <w:szCs w:val="24"/>
          <w:highlight w:val="none"/>
        </w:rPr>
      </w:pPr>
      <w:r>
        <w:rPr>
          <w:rFonts w:hint="eastAsia" w:ascii="宋体" w:hAnsi="宋体" w:cs="宋体"/>
          <w:b/>
          <w:bCs/>
          <w:color w:val="auto"/>
          <w:szCs w:val="24"/>
          <w:highlight w:val="none"/>
        </w:rPr>
        <w:t>六、其他补充事宜</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highlight w:val="none"/>
        </w:rPr>
        <w:t>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2.其他事项：</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2.1供应商须在浙江政府采购网进行注册登记。注册具体要求及申请流程详见《浙江省政府采购供应商注册及诚信管理暂行办法》(浙财采监字{2009}28号)和浙江政府采购网“网上办事指南”的“供应商注册申请”，未注册供应商应当注意注册登记所需时间，以免影响投标。</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2.2本次政府采购活动有关信息在“浙江政府采购网(http：//www.zjzfcg.gov.cn/)”及“宁波市公共资源交易网江北分网（http：//jiangbei.bidding.gov.cn/）”上公布，参加投标的供应商有义务在采购活动期间浏览上述两个网站。</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2.3关于在线投标与开标注意事项：</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本项目通过“政府采购云平台（www.zcygov.cn）”实行网上投标，采用电子投标文件。若投标人参与投标，自行承担投标一切费用。</w:t>
      </w:r>
    </w:p>
    <w:p>
      <w:pPr>
        <w:spacing w:line="38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标前准备：各投标人应在开标前确保成为浙江政府采购网正式注册入库供应商，并完成CA数字证书办理，具体请自行前往“浙江政府采购网-下载专区-电子交易客户端-</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"http://zfcg.czt.zj.gov.cn/bidClientTemplate/2019-05-27/12945.html" \o "CA驱动和申领流程" </w:instrText>
      </w:r>
      <w:r>
        <w:rPr>
          <w:rFonts w:hint="eastAsia" w:ascii="宋体" w:hAnsi="宋体" w:cs="宋体"/>
          <w:color w:val="auto"/>
          <w:highlight w:val="none"/>
        </w:rPr>
        <w:fldChar w:fldCharType="separate"/>
      </w:r>
      <w:r>
        <w:rPr>
          <w:rFonts w:hint="eastAsia" w:ascii="宋体" w:hAnsi="宋体" w:cs="宋体"/>
          <w:color w:val="auto"/>
          <w:highlight w:val="none"/>
        </w:rPr>
        <w:t>CA驱动和申领流程</w:t>
      </w:r>
      <w:r>
        <w:rPr>
          <w:rFonts w:hint="eastAsia" w:ascii="宋体" w:hAnsi="宋体" w:cs="宋体"/>
          <w:color w:val="auto"/>
          <w:highlight w:val="none"/>
        </w:rPr>
        <w:fldChar w:fldCharType="end"/>
      </w:r>
      <w:r>
        <w:rPr>
          <w:rFonts w:hint="eastAsia" w:ascii="宋体" w:hAnsi="宋体" w:cs="宋体"/>
          <w:color w:val="auto"/>
          <w:highlight w:val="none"/>
        </w:rPr>
        <w:t>”进行查阅，因未注册入库供应商、未办理CA数字证书等原因造成无法投标或投标失败等后果由投标人自行承担。（操作指南链接：</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"https://service.zcygov.cn/#/knowledges/cm2eqWwBFdiHxlNd_otq/lwV6GXABiyELHE-oVMj3?keyword=CA）。" </w:instrText>
      </w:r>
      <w:r>
        <w:rPr>
          <w:rFonts w:hint="eastAsia" w:ascii="宋体" w:hAnsi="宋体" w:cs="宋体"/>
          <w:color w:val="auto"/>
          <w:highlight w:val="none"/>
        </w:rPr>
        <w:fldChar w:fldCharType="separate"/>
      </w:r>
      <w:r>
        <w:rPr>
          <w:rFonts w:hint="eastAsia" w:ascii="宋体" w:hAnsi="宋体" w:cs="宋体"/>
          <w:color w:val="auto"/>
          <w:highlight w:val="none"/>
        </w:rPr>
        <w:t>https://service.zcygov.cn/#/knowledges/cm2eqWwBFdiHxlNd_otq/lwV6GXABiyELHE-oVMj3?keyword=CA）。</w:t>
      </w:r>
      <w:r>
        <w:rPr>
          <w:rFonts w:hint="eastAsia" w:ascii="宋体" w:hAnsi="宋体" w:cs="宋体"/>
          <w:color w:val="auto"/>
          <w:highlight w:val="none"/>
        </w:rPr>
        <w:fldChar w:fldCharType="end"/>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投标文件制作：3.1投标人应先安装“政采云电子交易客户端”，并按照本项目采购文件和“政府采购云平台”的要求，通过“政采云电子交易客户端”编制并加密投标文件，“政采云电子交易客户端”请自行前往“浙江政府采购网-下载专区-电子交易客户端”进行下载并安装。电子投标文件制作具体流程详见政府采购云平台。投标人在使用系统进行投标的过程中遇到涉及平台使用的任何问题，可致电政府采购云平台技术支持热线咨询。</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3.2为确保采购项目顺利实施，避免因解密失败导致投标人投标无效，投标人可自行选择是否在投标截止时间前将在“政采云电子投标客户端”上最后生成的具备电子签章的备份电子投标文件（以U盘为载体，投标人应当确保U盘能够打开运行并正常使用）密封，安排“甬行码”为绿色</w:t>
      </w:r>
      <w:r>
        <w:rPr>
          <w:rFonts w:hint="eastAsia" w:ascii="宋体" w:hAnsi="宋体" w:cs="宋体"/>
          <w:color w:val="auto"/>
          <w:highlight w:val="none"/>
          <w:lang w:val="en-US" w:eastAsia="zh-CN"/>
        </w:rPr>
        <w:t>及提供48小时核酸检测阴性证明</w:t>
      </w:r>
      <w:r>
        <w:rPr>
          <w:rFonts w:hint="eastAsia" w:ascii="宋体" w:hAnsi="宋体" w:cs="宋体"/>
          <w:color w:val="auto"/>
          <w:highlight w:val="none"/>
        </w:rPr>
        <w:t>的相关人员（原则上不超过一名，须全程佩戴口罩）递交至</w:t>
      </w:r>
      <w:r>
        <w:rPr>
          <w:rFonts w:hint="eastAsia" w:ascii="宋体" w:hAnsi="宋体" w:cs="宋体"/>
          <w:b/>
          <w:color w:val="auto"/>
          <w:highlight w:val="none"/>
          <w:u w:val="single"/>
        </w:rPr>
        <w:t>宁波市江北区公共资源交易中心开标室（江北区育才路138号北投大厦南楼7楼）</w:t>
      </w:r>
      <w:r>
        <w:rPr>
          <w:rFonts w:hint="eastAsia" w:ascii="宋体" w:hAnsi="宋体" w:cs="宋体"/>
          <w:color w:val="auto"/>
          <w:highlight w:val="none"/>
        </w:rPr>
        <w:t>。</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3.3采购代理机构将在投标文件规定的时间通过政府采购云平台组织开标、开启投标文件，所有投标人均应准时在线参加。开标时间后30分钟内，投标人可以登录政府采购云平台（www.zcygov.cn），用“项目采购-开标评标”功能进行解密投标文件。</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3.4投标人成功上传电子投标文件，若无法读取或在规定时间内无法解密或解密失败，采购代理机构方可调用以U盘介质存储的数据电文形式的备份电子投标文件（备份电子投标文件损坏、格式不符等致使异常情况处理失败的责任由投标人自行承担），并对“备份电子投标文件”进行解密；若出现投标人上传的电子投标文件和备份电子投标文件均无法读取的情况，则该投标人作无效投标处理。</w:t>
      </w:r>
    </w:p>
    <w:p>
      <w:pPr>
        <w:spacing w:line="380" w:lineRule="exact"/>
        <w:ind w:firstLine="420" w:firstLineChars="200"/>
        <w:rPr>
          <w:rFonts w:hint="eastAsia" w:ascii="宋体" w:hAnsi="宋体" w:cs="宋体"/>
          <w:color w:val="auto"/>
          <w:highlight w:val="none"/>
        </w:rPr>
      </w:pPr>
      <w:r>
        <w:rPr>
          <w:rFonts w:hint="eastAsia" w:ascii="宋体" w:hAnsi="宋体" w:cs="宋体"/>
          <w:color w:val="auto"/>
          <w:highlight w:val="none"/>
        </w:rPr>
        <w:t>3.5本项目投标人的备份电子投标文件不予退还。</w:t>
      </w:r>
    </w:p>
    <w:p>
      <w:pPr>
        <w:spacing w:line="440" w:lineRule="exact"/>
        <w:rPr>
          <w:rFonts w:hint="eastAsia" w:ascii="宋体" w:hAnsi="宋体" w:cs="宋体"/>
          <w:b/>
          <w:bCs/>
          <w:color w:val="auto"/>
          <w:szCs w:val="24"/>
          <w:highlight w:val="none"/>
        </w:rPr>
      </w:pPr>
      <w:r>
        <w:rPr>
          <w:rFonts w:hint="eastAsia" w:ascii="宋体" w:hAnsi="宋体" w:cs="宋体"/>
          <w:b/>
          <w:bCs/>
          <w:color w:val="auto"/>
          <w:szCs w:val="24"/>
          <w:highlight w:val="none"/>
        </w:rPr>
        <w:t>七、对本次招标提出询问，请按以下方式联系</w:t>
      </w:r>
    </w:p>
    <w:p>
      <w:pPr>
        <w:spacing w:line="440" w:lineRule="exact"/>
        <w:ind w:firstLine="315" w:firstLineChars="150"/>
        <w:jc w:val="left"/>
        <w:rPr>
          <w:rFonts w:hint="eastAsia" w:ascii="宋体" w:hAnsi="宋体" w:cs="宋体"/>
          <w:color w:val="auto"/>
          <w:szCs w:val="24"/>
          <w:highlight w:val="none"/>
        </w:rPr>
      </w:pPr>
      <w:r>
        <w:rPr>
          <w:rFonts w:hint="eastAsia" w:ascii="宋体" w:hAnsi="宋体" w:cs="宋体"/>
          <w:color w:val="auto"/>
          <w:szCs w:val="24"/>
          <w:highlight w:val="none"/>
        </w:rPr>
        <w:t>1.采购人信息</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名称：</w:t>
      </w:r>
      <w:r>
        <w:rPr>
          <w:rFonts w:hint="eastAsia" w:ascii="宋体" w:hAnsi="宋体" w:cs="Arial"/>
          <w:color w:val="auto"/>
          <w:sz w:val="22"/>
          <w:szCs w:val="22"/>
          <w:highlight w:val="none"/>
        </w:rPr>
        <w:t>宁波市江北区人民政府庄桥街道办事处 </w:t>
      </w:r>
    </w:p>
    <w:p>
      <w:pPr>
        <w:spacing w:line="440" w:lineRule="exact"/>
        <w:ind w:firstLine="420" w:firstLineChars="200"/>
        <w:rPr>
          <w:rFonts w:hint="eastAsia" w:ascii="宋体" w:hAnsi="宋体" w:cs="Arial"/>
          <w:color w:val="auto"/>
          <w:sz w:val="22"/>
          <w:szCs w:val="22"/>
          <w:highlight w:val="none"/>
        </w:rPr>
      </w:pPr>
      <w:r>
        <w:rPr>
          <w:rFonts w:hint="eastAsia" w:ascii="宋体" w:hAnsi="宋体" w:cs="宋体"/>
          <w:color w:val="auto"/>
          <w:szCs w:val="24"/>
          <w:highlight w:val="none"/>
        </w:rPr>
        <w:t>地址：</w:t>
      </w:r>
      <w:r>
        <w:rPr>
          <w:rFonts w:hint="eastAsia" w:ascii="宋体" w:hAnsi="宋体" w:cs="Arial"/>
          <w:color w:val="auto"/>
          <w:sz w:val="22"/>
          <w:szCs w:val="22"/>
          <w:highlight w:val="none"/>
        </w:rPr>
        <w:t>浙江省宁波市江北区北环西路500号</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传真：/</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项目联系人（询问）：吴照辉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项目联系方式（询问）：(0574) 83021897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质疑联系人：吴照辉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质疑联系方式：0574-83021191 </w:t>
      </w:r>
    </w:p>
    <w:p>
      <w:pPr>
        <w:spacing w:line="440" w:lineRule="exact"/>
        <w:ind w:firstLine="315" w:firstLineChars="150"/>
        <w:jc w:val="left"/>
        <w:rPr>
          <w:rFonts w:hint="eastAsia" w:ascii="宋体" w:hAnsi="宋体" w:cs="宋体"/>
          <w:color w:val="auto"/>
          <w:szCs w:val="24"/>
          <w:highlight w:val="none"/>
        </w:rPr>
      </w:pPr>
      <w:r>
        <w:rPr>
          <w:rFonts w:hint="eastAsia" w:ascii="宋体" w:hAnsi="宋体" w:cs="宋体"/>
          <w:color w:val="auto"/>
          <w:szCs w:val="24"/>
          <w:highlight w:val="none"/>
        </w:rPr>
        <w:t>2.采购代理机构信息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名称：宁波甬振工程管理有限公司</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地址：宁波市江北区环城北路西段405号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传真：/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项目联系人（询问）：</w:t>
      </w:r>
      <w:r>
        <w:rPr>
          <w:rFonts w:hint="eastAsia" w:ascii="宋体" w:hAnsi="宋体" w:cs="宋体"/>
          <w:color w:val="auto"/>
          <w:szCs w:val="24"/>
          <w:highlight w:val="none"/>
          <w:lang w:val="en-US" w:eastAsia="zh-CN"/>
        </w:rPr>
        <w:t>陈康伟</w:t>
      </w:r>
      <w:r>
        <w:rPr>
          <w:rFonts w:hint="eastAsia" w:ascii="宋体" w:hAnsi="宋体" w:cs="宋体"/>
          <w:color w:val="auto"/>
          <w:szCs w:val="24"/>
          <w:highlight w:val="none"/>
        </w:rPr>
        <w:t>            </w:t>
      </w:r>
    </w:p>
    <w:p>
      <w:pPr>
        <w:spacing w:line="440" w:lineRule="exact"/>
        <w:ind w:firstLine="420" w:firstLineChars="200"/>
        <w:rPr>
          <w:rFonts w:hint="eastAsia" w:ascii="宋体" w:hAnsi="宋体" w:eastAsia="宋体" w:cs="宋体"/>
          <w:color w:val="auto"/>
          <w:szCs w:val="24"/>
          <w:highlight w:val="none"/>
          <w:lang w:eastAsia="zh-CN"/>
        </w:rPr>
      </w:pPr>
      <w:r>
        <w:rPr>
          <w:rFonts w:hint="eastAsia" w:ascii="宋体" w:hAnsi="宋体" w:cs="宋体"/>
          <w:color w:val="auto"/>
          <w:szCs w:val="24"/>
          <w:highlight w:val="none"/>
        </w:rPr>
        <w:t>项目联系方式（询问）：</w:t>
      </w:r>
      <w:r>
        <w:rPr>
          <w:rFonts w:hint="eastAsia" w:ascii="宋体" w:hAnsi="宋体" w:cs="宋体"/>
          <w:color w:val="auto"/>
          <w:szCs w:val="24"/>
          <w:highlight w:val="none"/>
          <w:lang w:eastAsia="zh-CN"/>
        </w:rPr>
        <w:t>0574-87129066</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质疑联系人：</w:t>
      </w:r>
      <w:r>
        <w:rPr>
          <w:rFonts w:hint="eastAsia" w:ascii="宋体" w:hAnsi="宋体" w:cs="宋体"/>
          <w:color w:val="auto"/>
          <w:szCs w:val="24"/>
          <w:highlight w:val="none"/>
          <w:lang w:val="en-US" w:eastAsia="zh-CN"/>
        </w:rPr>
        <w:t>周姚耀</w:t>
      </w:r>
      <w:r>
        <w:rPr>
          <w:rFonts w:hint="eastAsia" w:ascii="宋体" w:hAnsi="宋体" w:cs="宋体"/>
          <w:color w:val="auto"/>
          <w:szCs w:val="24"/>
          <w:highlight w:val="none"/>
        </w:rPr>
        <w:t>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质疑联系方式：0574-87129066</w:t>
      </w:r>
    </w:p>
    <w:p>
      <w:pPr>
        <w:spacing w:line="440" w:lineRule="exact"/>
        <w:ind w:firstLine="315" w:firstLineChars="150"/>
        <w:jc w:val="left"/>
        <w:rPr>
          <w:rFonts w:hint="eastAsia" w:ascii="宋体" w:hAnsi="宋体" w:cs="宋体"/>
          <w:color w:val="auto"/>
          <w:szCs w:val="24"/>
          <w:highlight w:val="none"/>
        </w:rPr>
      </w:pPr>
      <w:r>
        <w:rPr>
          <w:rFonts w:hint="eastAsia" w:ascii="宋体" w:hAnsi="宋体" w:cs="宋体"/>
          <w:color w:val="auto"/>
          <w:szCs w:val="24"/>
          <w:highlight w:val="none"/>
        </w:rPr>
        <w:t>3.同级政府采购监督管理部门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名称：宁波市江北区财政局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地址：宁波市江北区财政局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传真：/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联系人 ：张老师             </w:t>
      </w:r>
    </w:p>
    <w:p>
      <w:pPr>
        <w:spacing w:line="440" w:lineRule="exact"/>
        <w:ind w:firstLine="420" w:firstLineChars="200"/>
        <w:jc w:val="left"/>
        <w:rPr>
          <w:rFonts w:hint="eastAsia" w:ascii="宋体" w:hAnsi="宋体" w:cs="宋体"/>
          <w:color w:val="auto"/>
          <w:szCs w:val="24"/>
          <w:highlight w:val="none"/>
        </w:rPr>
      </w:pPr>
      <w:r>
        <w:rPr>
          <w:rFonts w:hint="eastAsia" w:ascii="宋体" w:hAnsi="宋体" w:cs="宋体"/>
          <w:color w:val="auto"/>
          <w:szCs w:val="24"/>
          <w:highlight w:val="none"/>
        </w:rPr>
        <w:t>监督投诉电话：0574-87388098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440" w:lineRule="exact"/>
        <w:ind w:firstLine="420" w:firstLineChars="200"/>
        <w:rPr>
          <w:rFonts w:hint="eastAsia" w:ascii="宋体" w:hAnsi="宋体" w:cs="宋体"/>
          <w:color w:val="auto"/>
          <w:szCs w:val="24"/>
          <w:highlight w:val="none"/>
        </w:rPr>
      </w:pPr>
      <w:r>
        <w:rPr>
          <w:rFonts w:hint="eastAsia" w:ascii="宋体" w:hAnsi="宋体" w:cs="宋体"/>
          <w:color w:val="auto"/>
          <w:szCs w:val="24"/>
          <w:highlight w:val="none"/>
        </w:rPr>
        <w:t>CA问题联系电话（人工）：汇信CA 400-888-4636；天谷CA 400-087-8198。</w:t>
      </w:r>
    </w:p>
    <w:p>
      <w:pPr>
        <w:numPr>
          <w:ilvl w:val="0"/>
          <w:numId w:val="5"/>
        </w:numPr>
        <w:spacing w:line="360" w:lineRule="auto"/>
        <w:ind w:firstLine="575" w:firstLineChars="274"/>
        <w:jc w:val="center"/>
        <w:rPr>
          <w:rFonts w:hint="eastAsia" w:ascii="Arial" w:hAnsi="Arial" w:eastAsia="黑体"/>
          <w:bCs/>
          <w:color w:val="auto"/>
          <w:sz w:val="32"/>
          <w:szCs w:val="20"/>
          <w:highlight w:val="none"/>
        </w:rPr>
      </w:pPr>
      <w:r>
        <w:rPr>
          <w:rFonts w:hAnsi="宋体"/>
          <w:color w:val="auto"/>
          <w:szCs w:val="24"/>
          <w:highlight w:val="none"/>
        </w:rPr>
        <w:br w:type="page"/>
      </w:r>
      <w:r>
        <w:rPr>
          <w:rFonts w:hint="eastAsia" w:ascii="Arial" w:hAnsi="Arial" w:eastAsia="黑体"/>
          <w:bCs/>
          <w:color w:val="auto"/>
          <w:sz w:val="32"/>
          <w:szCs w:val="20"/>
          <w:highlight w:val="none"/>
        </w:rPr>
        <w:t>招标需求</w:t>
      </w:r>
    </w:p>
    <w:p>
      <w:pPr>
        <w:pStyle w:val="12"/>
        <w:ind w:left="1470" w:right="1470"/>
        <w:rPr>
          <w:rFonts w:eastAsia="黑体"/>
          <w:color w:val="auto"/>
          <w:highlight w:val="none"/>
        </w:rPr>
      </w:pPr>
    </w:p>
    <w:p>
      <w:pPr>
        <w:pStyle w:val="12"/>
        <w:ind w:left="0" w:leftChars="0" w:right="1470"/>
        <w:jc w:val="left"/>
        <w:rPr>
          <w:rFonts w:hint="eastAsia" w:hAnsi="宋体" w:cs="Arial"/>
          <w:color w:val="auto"/>
          <w:sz w:val="22"/>
          <w:szCs w:val="22"/>
          <w:highlight w:val="none"/>
        </w:rPr>
      </w:pPr>
      <w:r>
        <w:rPr>
          <w:rFonts w:hint="eastAsia" w:eastAsia="黑体"/>
          <w:color w:val="auto"/>
          <w:sz w:val="22"/>
          <w:szCs w:val="22"/>
          <w:highlight w:val="none"/>
        </w:rPr>
        <w:t>标项1：</w:t>
      </w:r>
      <w:r>
        <w:rPr>
          <w:rFonts w:hint="eastAsia" w:hAnsi="宋体" w:cs="Arial"/>
          <w:color w:val="auto"/>
          <w:sz w:val="22"/>
          <w:szCs w:val="22"/>
          <w:highlight w:val="none"/>
        </w:rPr>
        <w:t>2022年庄桥街道五位一体综合服务外包项目（南片区）</w:t>
      </w:r>
    </w:p>
    <w:p>
      <w:pPr>
        <w:pStyle w:val="10"/>
        <w:spacing w:line="440" w:lineRule="exact"/>
        <w:ind w:firstLine="442" w:firstLineChars="200"/>
        <w:rPr>
          <w:rFonts w:hint="eastAsia" w:hAnsi="宋体" w:cs="Times New Roman"/>
          <w:b/>
          <w:color w:val="auto"/>
          <w:spacing w:val="0"/>
          <w:sz w:val="22"/>
          <w:szCs w:val="22"/>
          <w:highlight w:val="none"/>
        </w:rPr>
      </w:pPr>
      <w:r>
        <w:rPr>
          <w:rFonts w:hint="eastAsia" w:hAnsi="宋体" w:cs="Times New Roman"/>
          <w:b/>
          <w:color w:val="auto"/>
          <w:spacing w:val="0"/>
          <w:sz w:val="22"/>
          <w:szCs w:val="22"/>
          <w:highlight w:val="none"/>
        </w:rPr>
        <w:t>1.1、采购需求</w:t>
      </w:r>
    </w:p>
    <w:p>
      <w:pPr>
        <w:pStyle w:val="13"/>
        <w:spacing w:beforeLines="0" w:afterLines="0" w:line="360" w:lineRule="auto"/>
        <w:ind w:firstLine="440" w:firstLineChars="200"/>
        <w:rPr>
          <w:rFonts w:hint="eastAsia" w:hAnsi="宋体" w:cs="Arial"/>
          <w:color w:val="auto"/>
          <w:sz w:val="22"/>
          <w:szCs w:val="22"/>
          <w:highlight w:val="none"/>
        </w:rPr>
      </w:pPr>
      <w:r>
        <w:rPr>
          <w:rFonts w:hint="eastAsia" w:hAnsi="宋体"/>
          <w:color w:val="auto"/>
          <w:sz w:val="22"/>
          <w:szCs w:val="22"/>
          <w:highlight w:val="none"/>
        </w:rPr>
        <w:t>1、服务范围：</w:t>
      </w:r>
      <w:r>
        <w:rPr>
          <w:rFonts w:hint="eastAsia" w:hAnsi="宋体" w:cs="Arial"/>
          <w:color w:val="auto"/>
          <w:sz w:val="22"/>
          <w:szCs w:val="22"/>
          <w:highlight w:val="none"/>
        </w:rPr>
        <w:t>2022年庄桥街道五位一体综合服务外包项目（南片区）</w:t>
      </w:r>
    </w:p>
    <w:p>
      <w:pPr>
        <w:pStyle w:val="13"/>
        <w:spacing w:beforeLines="0" w:afterLines="0" w:line="360" w:lineRule="auto"/>
        <w:ind w:firstLine="440" w:firstLineChars="200"/>
        <w:rPr>
          <w:rFonts w:hint="eastAsia" w:hAnsi="宋体"/>
          <w:color w:val="auto"/>
          <w:sz w:val="22"/>
          <w:szCs w:val="22"/>
          <w:highlight w:val="none"/>
        </w:rPr>
      </w:pPr>
      <w:r>
        <w:rPr>
          <w:rFonts w:hint="eastAsia" w:hAnsi="宋体" w:cs="Arial"/>
          <w:color w:val="auto"/>
          <w:sz w:val="22"/>
          <w:szCs w:val="22"/>
          <w:highlight w:val="none"/>
        </w:rPr>
        <w:t>道路保洁</w:t>
      </w:r>
      <w:r>
        <w:rPr>
          <w:rFonts w:hint="eastAsia" w:hAnsi="宋体"/>
          <w:color w:val="auto"/>
          <w:sz w:val="22"/>
          <w:szCs w:val="22"/>
          <w:highlight w:val="none"/>
        </w:rPr>
        <w:t>约</w:t>
      </w:r>
      <w:r>
        <w:rPr>
          <w:rFonts w:hint="eastAsia" w:hAnsi="宋体"/>
          <w:color w:val="auto"/>
          <w:sz w:val="22"/>
          <w:szCs w:val="22"/>
          <w:highlight w:val="none"/>
          <w:lang w:val="en-US" w:eastAsia="zh-CN"/>
        </w:rPr>
        <w:t>28.9</w:t>
      </w:r>
      <w:r>
        <w:rPr>
          <w:rFonts w:hint="eastAsia" w:hAnsi="宋体"/>
          <w:color w:val="auto"/>
          <w:sz w:val="22"/>
          <w:szCs w:val="22"/>
          <w:highlight w:val="none"/>
        </w:rPr>
        <w:t>万平方米、高铁线约7500 米沿线保洁、公共厕所保洁3座；绿化养护（含补种）面积约15.9万平方米；区域范围内的市容秩序辅助管理。</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2、服务内容：招标区域范围内的道路路面、公共厕所保洁服务、高铁线，含垃圾桶、牛皮癣、墙体广告，乱堆放、田间废弃物、乱吊挂、垃圾收集和清运、雨污水管道、井座等清淤等；绿化养护（含补种）修剪及清理，灾害应急、偷倒垃圾盯防及处理；市容秩序辅助管理服务。</w:t>
      </w:r>
    </w:p>
    <w:p>
      <w:pPr>
        <w:pStyle w:val="13"/>
        <w:snapToGrid w:val="0"/>
        <w:spacing w:before="120" w:after="12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3、服务期限：三 年。合同一年一签，一年服务期满后经采购人考核合格，并经双方同意后</w:t>
      </w:r>
    </w:p>
    <w:p>
      <w:pPr>
        <w:pStyle w:val="13"/>
        <w:snapToGrid w:val="0"/>
        <w:spacing w:beforeLines="0" w:afterLines="0" w:line="360" w:lineRule="auto"/>
        <w:ind w:firstLine="440" w:firstLineChars="200"/>
        <w:rPr>
          <w:rFonts w:hAnsi="宋体" w:cs="Times New Roman"/>
          <w:b/>
          <w:color w:val="auto"/>
          <w:sz w:val="22"/>
          <w:szCs w:val="22"/>
          <w:highlight w:val="none"/>
        </w:rPr>
      </w:pPr>
      <w:r>
        <w:rPr>
          <w:rFonts w:hint="eastAsia" w:hAnsi="宋体"/>
          <w:color w:val="auto"/>
          <w:sz w:val="22"/>
          <w:szCs w:val="22"/>
          <w:highlight w:val="none"/>
        </w:rPr>
        <w:t>可续订合同。合同期内（包含续签合同期内）服务费用不作调整。</w:t>
      </w:r>
    </w:p>
    <w:p>
      <w:pPr>
        <w:pStyle w:val="10"/>
        <w:ind w:firstLine="0"/>
        <w:rPr>
          <w:rFonts w:hint="eastAsia"/>
          <w:color w:val="auto"/>
          <w:highlight w:val="none"/>
        </w:rPr>
      </w:pPr>
    </w:p>
    <w:p>
      <w:pPr>
        <w:spacing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1.2、服务区域</w:t>
      </w:r>
    </w:p>
    <w:tbl>
      <w:tblPr>
        <w:tblStyle w:val="26"/>
        <w:tblpPr w:leftFromText="180" w:rightFromText="180" w:vertAnchor="text" w:horzAnchor="page" w:tblpX="1873" w:tblpY="412"/>
        <w:tblOverlap w:val="never"/>
        <w:tblW w:w="8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843"/>
        <w:gridCol w:w="1276"/>
        <w:gridCol w:w="850"/>
        <w:gridCol w:w="1418"/>
        <w:gridCol w:w="170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92" w:type="dxa"/>
            <w:gridSpan w:val="7"/>
            <w:noWrap w:val="0"/>
            <w:vAlign w:val="center"/>
          </w:tcPr>
          <w:p>
            <w:pPr>
              <w:spacing w:line="440" w:lineRule="exact"/>
              <w:jc w:val="center"/>
              <w:rPr>
                <w:rFonts w:ascii="宋体" w:hAnsi="宋体" w:cs="宋体"/>
                <w:color w:val="auto"/>
                <w:kern w:val="0"/>
                <w:sz w:val="22"/>
                <w:szCs w:val="22"/>
                <w:highlight w:val="none"/>
              </w:rPr>
            </w:pPr>
            <w:r>
              <w:rPr>
                <w:rFonts w:hint="eastAsia"/>
                <w:b/>
                <w:bCs/>
                <w:color w:val="auto"/>
                <w:sz w:val="28"/>
                <w:szCs w:val="28"/>
                <w:highlight w:val="none"/>
              </w:rPr>
              <w:t>1-1道路保洁面积明细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 号</w:t>
            </w:r>
          </w:p>
        </w:tc>
        <w:tc>
          <w:tcPr>
            <w:tcW w:w="1843"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道路名称</w:t>
            </w:r>
          </w:p>
        </w:tc>
        <w:tc>
          <w:tcPr>
            <w:tcW w:w="1276"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长度（m）</w:t>
            </w:r>
          </w:p>
        </w:tc>
        <w:tc>
          <w:tcPr>
            <w:tcW w:w="850"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宽度（m）</w:t>
            </w:r>
          </w:p>
        </w:tc>
        <w:tc>
          <w:tcPr>
            <w:tcW w:w="1418"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面积（㎡）</w:t>
            </w:r>
          </w:p>
        </w:tc>
        <w:tc>
          <w:tcPr>
            <w:tcW w:w="1701"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范围、内容</w:t>
            </w:r>
          </w:p>
        </w:tc>
        <w:tc>
          <w:tcPr>
            <w:tcW w:w="112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李冯路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400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14</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5600</w:t>
            </w:r>
          </w:p>
        </w:tc>
        <w:tc>
          <w:tcPr>
            <w:tcW w:w="1701" w:type="dxa"/>
            <w:noWrap w:val="0"/>
            <w:vAlign w:val="center"/>
          </w:tcPr>
          <w:p>
            <w:pPr>
              <w:widowControl/>
              <w:jc w:val="center"/>
              <w:textAlignment w:val="top"/>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东至李家西路，西至冯家村委会</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restart"/>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843" w:type="dxa"/>
            <w:vMerge w:val="restart"/>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冯徐路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400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15</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6000</w:t>
            </w:r>
          </w:p>
        </w:tc>
        <w:tc>
          <w:tcPr>
            <w:tcW w:w="1701" w:type="dxa"/>
            <w:vMerge w:val="restart"/>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东至李家西路，西至北外环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continue"/>
            <w:noWrap w:val="0"/>
            <w:vAlign w:val="center"/>
          </w:tcPr>
          <w:p>
            <w:pPr>
              <w:widowControl/>
              <w:jc w:val="center"/>
              <w:rPr>
                <w:rFonts w:ascii="宋体" w:hAnsi="宋体" w:cs="宋体"/>
                <w:color w:val="auto"/>
                <w:kern w:val="0"/>
                <w:sz w:val="22"/>
                <w:szCs w:val="22"/>
                <w:highlight w:val="none"/>
              </w:rPr>
            </w:pPr>
          </w:p>
        </w:tc>
        <w:tc>
          <w:tcPr>
            <w:tcW w:w="1843" w:type="dxa"/>
            <w:vMerge w:val="continue"/>
            <w:noWrap w:val="0"/>
            <w:vAlign w:val="center"/>
          </w:tcPr>
          <w:p>
            <w:pPr>
              <w:widowControl/>
              <w:jc w:val="center"/>
              <w:rPr>
                <w:rFonts w:ascii="Arial" w:hAnsi="Arial" w:cs="Arial"/>
                <w:color w:val="auto"/>
                <w:kern w:val="0"/>
                <w:sz w:val="20"/>
                <w:szCs w:val="20"/>
                <w:highlight w:val="none"/>
              </w:rPr>
            </w:pP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70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12</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840</w:t>
            </w:r>
          </w:p>
        </w:tc>
        <w:tc>
          <w:tcPr>
            <w:tcW w:w="1701" w:type="dxa"/>
            <w:vMerge w:val="continue"/>
            <w:noWrap w:val="0"/>
            <w:vAlign w:val="center"/>
          </w:tcPr>
          <w:p>
            <w:pPr>
              <w:widowControl/>
              <w:jc w:val="center"/>
              <w:textAlignment w:val="top"/>
              <w:rPr>
                <w:color w:val="auto"/>
                <w:kern w:val="0"/>
                <w:sz w:val="18"/>
                <w:szCs w:val="18"/>
                <w:highlight w:val="none"/>
                <w:lang w:bidi="ar"/>
              </w:rPr>
            </w:pP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continue"/>
            <w:noWrap w:val="0"/>
            <w:vAlign w:val="center"/>
          </w:tcPr>
          <w:p>
            <w:pPr>
              <w:widowControl/>
              <w:jc w:val="center"/>
              <w:rPr>
                <w:rFonts w:ascii="宋体" w:hAnsi="宋体" w:cs="宋体"/>
                <w:color w:val="auto"/>
                <w:kern w:val="0"/>
                <w:sz w:val="22"/>
                <w:szCs w:val="22"/>
                <w:highlight w:val="none"/>
              </w:rPr>
            </w:pPr>
          </w:p>
        </w:tc>
        <w:tc>
          <w:tcPr>
            <w:tcW w:w="1843" w:type="dxa"/>
            <w:vMerge w:val="continue"/>
            <w:noWrap w:val="0"/>
            <w:vAlign w:val="center"/>
          </w:tcPr>
          <w:p>
            <w:pPr>
              <w:widowControl/>
              <w:jc w:val="center"/>
              <w:rPr>
                <w:rFonts w:ascii="Arial" w:hAnsi="Arial" w:cs="Arial"/>
                <w:color w:val="auto"/>
                <w:kern w:val="0"/>
                <w:sz w:val="20"/>
                <w:szCs w:val="20"/>
                <w:highlight w:val="none"/>
              </w:rPr>
            </w:pP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120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13</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1560</w:t>
            </w:r>
          </w:p>
        </w:tc>
        <w:tc>
          <w:tcPr>
            <w:tcW w:w="1701" w:type="dxa"/>
            <w:vMerge w:val="continue"/>
            <w:noWrap w:val="0"/>
            <w:vAlign w:val="center"/>
          </w:tcPr>
          <w:p>
            <w:pPr>
              <w:widowControl/>
              <w:jc w:val="center"/>
              <w:textAlignment w:val="top"/>
              <w:rPr>
                <w:rFonts w:ascii="宋体" w:hAnsi="宋体" w:cs="宋体"/>
                <w:color w:val="auto"/>
                <w:kern w:val="0"/>
                <w:sz w:val="22"/>
                <w:szCs w:val="22"/>
                <w:highlight w:val="none"/>
              </w:rPr>
            </w:pP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冯徐路（民工子弟学校）、李家村路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425</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12</w:t>
            </w:r>
          </w:p>
        </w:tc>
        <w:tc>
          <w:tcPr>
            <w:tcW w:w="1418"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5100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东至李家河，西至李家西路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李家西路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513</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20</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10260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南至北外环，北至宁慈公路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汇头陈主路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246</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16</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3936</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东至康庄南路，西至拥军路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新桥五路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623</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16</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9968</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北至宁慈公路，西至康庄南路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新桥六路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170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9</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1530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东至李冯河，西至康庄南路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新桥七路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170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9</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1530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东至李冯河，西至康庄南路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1843" w:type="dxa"/>
            <w:noWrap w:val="0"/>
            <w:vAlign w:val="center"/>
          </w:tcPr>
          <w:p>
            <w:pPr>
              <w:widowControl/>
              <w:jc w:val="center"/>
              <w:textAlignment w:val="top"/>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新桥八路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180</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9</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1620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东至李冯河，西至康庄南路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restart"/>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843" w:type="dxa"/>
            <w:vMerge w:val="restart"/>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18"/>
                <w:szCs w:val="18"/>
                <w:highlight w:val="none"/>
                <w:lang w:bidi="ar"/>
              </w:rPr>
              <w:t>庄浦路</w:t>
            </w:r>
          </w:p>
        </w:tc>
        <w:tc>
          <w:tcPr>
            <w:tcW w:w="1276"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2189</w:t>
            </w:r>
          </w:p>
        </w:tc>
        <w:tc>
          <w:tcPr>
            <w:tcW w:w="850"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10</w:t>
            </w:r>
          </w:p>
        </w:tc>
        <w:tc>
          <w:tcPr>
            <w:tcW w:w="1418" w:type="dxa"/>
            <w:noWrap w:val="0"/>
            <w:vAlign w:val="center"/>
          </w:tcPr>
          <w:p>
            <w:pPr>
              <w:widowControl/>
              <w:jc w:val="center"/>
              <w:textAlignment w:val="top"/>
              <w:rPr>
                <w:rFonts w:ascii="Arial" w:hAnsi="Arial" w:cs="Arial"/>
                <w:color w:val="auto"/>
                <w:kern w:val="0"/>
                <w:sz w:val="20"/>
                <w:szCs w:val="20"/>
                <w:highlight w:val="none"/>
              </w:rPr>
            </w:pPr>
            <w:r>
              <w:rPr>
                <w:color w:val="auto"/>
                <w:kern w:val="0"/>
                <w:sz w:val="18"/>
                <w:szCs w:val="18"/>
                <w:highlight w:val="none"/>
                <w:lang w:bidi="ar"/>
              </w:rPr>
              <w:t>21890</w:t>
            </w:r>
          </w:p>
        </w:tc>
        <w:tc>
          <w:tcPr>
            <w:tcW w:w="1701" w:type="dxa"/>
            <w:vMerge w:val="restart"/>
            <w:noWrap w:val="0"/>
            <w:vAlign w:val="center"/>
          </w:tcPr>
          <w:p>
            <w:pPr>
              <w:widowControl/>
              <w:jc w:val="center"/>
              <w:textAlignment w:val="top"/>
              <w:rPr>
                <w:rFonts w:ascii="宋体" w:hAnsi="宋体" w:cs="宋体"/>
                <w:color w:val="auto"/>
                <w:kern w:val="0"/>
                <w:sz w:val="22"/>
                <w:szCs w:val="22"/>
                <w:highlight w:val="none"/>
              </w:rPr>
            </w:pPr>
            <w:r>
              <w:rPr>
                <w:rFonts w:hint="eastAsia"/>
                <w:color w:val="auto"/>
                <w:kern w:val="0"/>
                <w:sz w:val="18"/>
                <w:szCs w:val="18"/>
                <w:highlight w:val="none"/>
                <w:lang w:bidi="ar"/>
              </w:rPr>
              <w:t>南至江北大道，北至宁慈</w:t>
            </w:r>
            <w:r>
              <w:rPr>
                <w:rFonts w:hint="eastAsia" w:ascii="宋体" w:hAnsi="宋体" w:cs="宋体"/>
                <w:color w:val="auto"/>
                <w:kern w:val="0"/>
                <w:sz w:val="22"/>
                <w:szCs w:val="22"/>
                <w:highlight w:val="none"/>
              </w:rPr>
              <w:t>公路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continue"/>
            <w:noWrap w:val="0"/>
            <w:vAlign w:val="center"/>
          </w:tcPr>
          <w:p>
            <w:pPr>
              <w:widowControl/>
              <w:jc w:val="center"/>
              <w:rPr>
                <w:rFonts w:ascii="宋体" w:hAnsi="宋体" w:cs="宋体"/>
                <w:color w:val="auto"/>
                <w:kern w:val="0"/>
                <w:sz w:val="22"/>
                <w:szCs w:val="22"/>
                <w:highlight w:val="none"/>
              </w:rPr>
            </w:pPr>
          </w:p>
        </w:tc>
        <w:tc>
          <w:tcPr>
            <w:tcW w:w="1843" w:type="dxa"/>
            <w:vMerge w:val="continue"/>
            <w:noWrap w:val="0"/>
            <w:vAlign w:val="center"/>
          </w:tcPr>
          <w:p>
            <w:pPr>
              <w:widowControl/>
              <w:jc w:val="center"/>
              <w:rPr>
                <w:rFonts w:ascii="Arial" w:hAnsi="Arial" w:cs="Arial"/>
                <w:color w:val="auto"/>
                <w:kern w:val="0"/>
                <w:sz w:val="20"/>
                <w:szCs w:val="20"/>
                <w:highlight w:val="none"/>
              </w:rPr>
            </w:pPr>
          </w:p>
        </w:tc>
        <w:tc>
          <w:tcPr>
            <w:tcW w:w="1276"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450</w:t>
            </w:r>
          </w:p>
        </w:tc>
        <w:tc>
          <w:tcPr>
            <w:tcW w:w="850"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10</w:t>
            </w:r>
          </w:p>
        </w:tc>
        <w:tc>
          <w:tcPr>
            <w:tcW w:w="1418"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5600</w:t>
            </w:r>
          </w:p>
        </w:tc>
        <w:tc>
          <w:tcPr>
            <w:tcW w:w="1701" w:type="dxa"/>
            <w:vMerge w:val="continue"/>
            <w:noWrap w:val="0"/>
            <w:vAlign w:val="center"/>
          </w:tcPr>
          <w:p>
            <w:pPr>
              <w:widowControl/>
              <w:jc w:val="center"/>
              <w:textAlignment w:val="top"/>
              <w:rPr>
                <w:rFonts w:ascii="宋体" w:hAnsi="宋体" w:cs="宋体"/>
                <w:color w:val="auto"/>
                <w:kern w:val="0"/>
                <w:sz w:val="22"/>
                <w:szCs w:val="22"/>
                <w:highlight w:val="none"/>
              </w:rPr>
            </w:pP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vMerge w:val="continue"/>
            <w:noWrap w:val="0"/>
            <w:vAlign w:val="center"/>
          </w:tcPr>
          <w:p>
            <w:pPr>
              <w:widowControl/>
              <w:jc w:val="center"/>
              <w:rPr>
                <w:rFonts w:ascii="宋体" w:hAnsi="宋体" w:cs="宋体"/>
                <w:color w:val="auto"/>
                <w:kern w:val="0"/>
                <w:sz w:val="22"/>
                <w:szCs w:val="22"/>
                <w:highlight w:val="none"/>
              </w:rPr>
            </w:pPr>
          </w:p>
        </w:tc>
        <w:tc>
          <w:tcPr>
            <w:tcW w:w="1843" w:type="dxa"/>
            <w:vMerge w:val="continue"/>
            <w:noWrap w:val="0"/>
            <w:vAlign w:val="center"/>
          </w:tcPr>
          <w:p>
            <w:pPr>
              <w:widowControl/>
              <w:jc w:val="center"/>
              <w:textAlignment w:val="center"/>
              <w:rPr>
                <w:rFonts w:ascii="Arial" w:hAnsi="Arial" w:cs="Arial"/>
                <w:color w:val="auto"/>
                <w:kern w:val="0"/>
                <w:sz w:val="20"/>
                <w:szCs w:val="20"/>
                <w:highlight w:val="none"/>
              </w:rPr>
            </w:pPr>
          </w:p>
        </w:tc>
        <w:tc>
          <w:tcPr>
            <w:tcW w:w="1276"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326</w:t>
            </w:r>
          </w:p>
        </w:tc>
        <w:tc>
          <w:tcPr>
            <w:tcW w:w="850"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10</w:t>
            </w:r>
          </w:p>
        </w:tc>
        <w:tc>
          <w:tcPr>
            <w:tcW w:w="1418" w:type="dxa"/>
            <w:noWrap w:val="0"/>
            <w:vAlign w:val="center"/>
          </w:tcPr>
          <w:p>
            <w:pPr>
              <w:widowControl/>
              <w:jc w:val="center"/>
              <w:textAlignment w:val="top"/>
              <w:rPr>
                <w:rFonts w:hint="eastAsia"/>
                <w:color w:val="auto"/>
                <w:kern w:val="0"/>
                <w:sz w:val="18"/>
                <w:szCs w:val="18"/>
                <w:highlight w:val="none"/>
                <w:lang w:bidi="ar"/>
              </w:rPr>
            </w:pPr>
            <w:r>
              <w:rPr>
                <w:color w:val="auto"/>
                <w:kern w:val="0"/>
                <w:sz w:val="18"/>
                <w:szCs w:val="18"/>
                <w:highlight w:val="none"/>
                <w:lang w:bidi="ar"/>
              </w:rPr>
              <w:t>3260</w:t>
            </w:r>
          </w:p>
        </w:tc>
        <w:tc>
          <w:tcPr>
            <w:tcW w:w="1701" w:type="dxa"/>
            <w:vMerge w:val="continue"/>
            <w:noWrap w:val="0"/>
            <w:vAlign w:val="center"/>
          </w:tcPr>
          <w:p>
            <w:pPr>
              <w:widowControl/>
              <w:jc w:val="center"/>
              <w:textAlignment w:val="top"/>
              <w:rPr>
                <w:rFonts w:ascii="宋体" w:hAnsi="宋体" w:cs="宋体"/>
                <w:color w:val="auto"/>
                <w:kern w:val="0"/>
                <w:sz w:val="22"/>
                <w:szCs w:val="22"/>
                <w:highlight w:val="none"/>
              </w:rPr>
            </w:pP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11</w:t>
            </w:r>
          </w:p>
        </w:tc>
        <w:tc>
          <w:tcPr>
            <w:tcW w:w="1843"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北海路</w:t>
            </w:r>
          </w:p>
        </w:tc>
        <w:tc>
          <w:tcPr>
            <w:tcW w:w="1276"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671</w:t>
            </w:r>
          </w:p>
        </w:tc>
        <w:tc>
          <w:tcPr>
            <w:tcW w:w="850"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15</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10065</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南至北外环，北至江北大道</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12</w:t>
            </w:r>
          </w:p>
        </w:tc>
        <w:tc>
          <w:tcPr>
            <w:tcW w:w="1843"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拥军路</w:t>
            </w:r>
          </w:p>
        </w:tc>
        <w:tc>
          <w:tcPr>
            <w:tcW w:w="1276"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1830</w:t>
            </w:r>
          </w:p>
        </w:tc>
        <w:tc>
          <w:tcPr>
            <w:tcW w:w="850"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15</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27450</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南至北外环，北至宁慈公路</w:t>
            </w:r>
          </w:p>
        </w:tc>
        <w:tc>
          <w:tcPr>
            <w:tcW w:w="1122" w:type="dxa"/>
            <w:noWrap w:val="0"/>
            <w:vAlign w:val="center"/>
          </w:tcPr>
          <w:p>
            <w:pPr>
              <w:widowControl/>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13</w:t>
            </w:r>
          </w:p>
        </w:tc>
        <w:tc>
          <w:tcPr>
            <w:tcW w:w="1843"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老火车站</w:t>
            </w:r>
          </w:p>
        </w:tc>
        <w:tc>
          <w:tcPr>
            <w:tcW w:w="1276"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598</w:t>
            </w:r>
          </w:p>
        </w:tc>
        <w:tc>
          <w:tcPr>
            <w:tcW w:w="850"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12</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7176</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西至庄浦路，东至铁路沿线</w:t>
            </w:r>
          </w:p>
        </w:tc>
        <w:tc>
          <w:tcPr>
            <w:tcW w:w="1122" w:type="dxa"/>
            <w:noWrap w:val="0"/>
            <w:vAlign w:val="center"/>
          </w:tcPr>
          <w:p>
            <w:pPr>
              <w:widowControl/>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14</w:t>
            </w:r>
          </w:p>
        </w:tc>
        <w:tc>
          <w:tcPr>
            <w:tcW w:w="1843"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冯家垃圾中转站路</w:t>
            </w:r>
          </w:p>
        </w:tc>
        <w:tc>
          <w:tcPr>
            <w:tcW w:w="1276"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246</w:t>
            </w:r>
          </w:p>
        </w:tc>
        <w:tc>
          <w:tcPr>
            <w:tcW w:w="850"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12</w:t>
            </w:r>
          </w:p>
        </w:tc>
        <w:tc>
          <w:tcPr>
            <w:tcW w:w="1418" w:type="dxa"/>
            <w:noWrap w:val="0"/>
            <w:vAlign w:val="center"/>
          </w:tcPr>
          <w:p>
            <w:pPr>
              <w:widowControl/>
              <w:jc w:val="center"/>
              <w:textAlignment w:val="top"/>
              <w:rPr>
                <w:color w:val="auto"/>
                <w:kern w:val="0"/>
                <w:sz w:val="18"/>
                <w:szCs w:val="18"/>
                <w:highlight w:val="none"/>
                <w:lang w:bidi="ar"/>
              </w:rPr>
            </w:pPr>
            <w:r>
              <w:rPr>
                <w:color w:val="auto"/>
                <w:kern w:val="0"/>
                <w:sz w:val="18"/>
                <w:szCs w:val="18"/>
                <w:highlight w:val="none"/>
                <w:lang w:bidi="ar"/>
              </w:rPr>
              <w:t>2952</w:t>
            </w:r>
          </w:p>
        </w:tc>
        <w:tc>
          <w:tcPr>
            <w:tcW w:w="1701"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东至康庄南路，西至拥军路</w:t>
            </w:r>
          </w:p>
        </w:tc>
        <w:tc>
          <w:tcPr>
            <w:tcW w:w="1122" w:type="dxa"/>
            <w:noWrap w:val="0"/>
            <w:vAlign w:val="center"/>
          </w:tcPr>
          <w:p>
            <w:pPr>
              <w:widowControl/>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15</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南银杏公园</w:t>
            </w:r>
          </w:p>
        </w:tc>
        <w:tc>
          <w:tcPr>
            <w:tcW w:w="1276" w:type="dxa"/>
            <w:noWrap w:val="0"/>
            <w:vAlign w:val="center"/>
          </w:tcPr>
          <w:p>
            <w:pPr>
              <w:widowControl/>
              <w:jc w:val="center"/>
              <w:textAlignment w:val="top"/>
              <w:rPr>
                <w:color w:val="auto"/>
                <w:kern w:val="0"/>
                <w:sz w:val="18"/>
                <w:szCs w:val="18"/>
                <w:highlight w:val="none"/>
                <w:lang w:val="en-US" w:eastAsia="zh-CN" w:bidi="ar"/>
              </w:rPr>
            </w:pPr>
          </w:p>
        </w:tc>
        <w:tc>
          <w:tcPr>
            <w:tcW w:w="850" w:type="dxa"/>
            <w:noWrap w:val="0"/>
            <w:vAlign w:val="center"/>
          </w:tcPr>
          <w:p>
            <w:pPr>
              <w:widowControl/>
              <w:jc w:val="center"/>
              <w:textAlignment w:val="top"/>
              <w:rPr>
                <w:color w:val="auto"/>
                <w:kern w:val="0"/>
                <w:sz w:val="18"/>
                <w:szCs w:val="18"/>
                <w:highlight w:val="none"/>
                <w:lang w:val="en-US" w:eastAsia="zh-CN" w:bidi="ar"/>
              </w:rPr>
            </w:pP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1506</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宁慈路与北外环交界处</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16</w:t>
            </w:r>
          </w:p>
        </w:tc>
        <w:tc>
          <w:tcPr>
            <w:tcW w:w="1843"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奇异国1956 内部道路</w:t>
            </w:r>
          </w:p>
        </w:tc>
        <w:tc>
          <w:tcPr>
            <w:tcW w:w="1276"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149</w:t>
            </w:r>
          </w:p>
        </w:tc>
        <w:tc>
          <w:tcPr>
            <w:tcW w:w="850"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8</w:t>
            </w: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1192</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 xml:space="preserve">北至宁慈公路，南至 </w:t>
            </w:r>
            <w:r>
              <w:rPr>
                <w:color w:val="auto"/>
                <w:kern w:val="0"/>
                <w:sz w:val="18"/>
                <w:szCs w:val="18"/>
                <w:highlight w:val="none"/>
                <w:lang w:bidi="ar"/>
              </w:rPr>
              <w:t xml:space="preserve">1956 </w:t>
            </w:r>
            <w:r>
              <w:rPr>
                <w:rFonts w:hint="eastAsia"/>
                <w:color w:val="auto"/>
                <w:kern w:val="0"/>
                <w:sz w:val="18"/>
                <w:szCs w:val="18"/>
                <w:highlight w:val="none"/>
                <w:lang w:bidi="ar"/>
              </w:rPr>
              <w:t>大门处</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17</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远洲大酒店南侧</w:t>
            </w:r>
          </w:p>
        </w:tc>
        <w:tc>
          <w:tcPr>
            <w:tcW w:w="1276"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250</w:t>
            </w:r>
          </w:p>
        </w:tc>
        <w:tc>
          <w:tcPr>
            <w:tcW w:w="850"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12</w:t>
            </w: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3000</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南至北外环，北至远洲大酒店</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18</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宁慈公路（穿镇段南侧）</w:t>
            </w:r>
          </w:p>
        </w:tc>
        <w:tc>
          <w:tcPr>
            <w:tcW w:w="1276" w:type="dxa"/>
            <w:noWrap w:val="0"/>
            <w:vAlign w:val="center"/>
          </w:tcPr>
          <w:p>
            <w:pPr>
              <w:widowControl/>
              <w:jc w:val="center"/>
              <w:textAlignment w:val="top"/>
              <w:rPr>
                <w:color w:val="auto"/>
                <w:kern w:val="0"/>
                <w:sz w:val="18"/>
                <w:szCs w:val="18"/>
                <w:highlight w:val="none"/>
                <w:lang w:val="en-US" w:eastAsia="zh-CN" w:bidi="ar"/>
              </w:rPr>
            </w:pPr>
          </w:p>
        </w:tc>
        <w:tc>
          <w:tcPr>
            <w:tcW w:w="850" w:type="dxa"/>
            <w:noWrap w:val="0"/>
            <w:vAlign w:val="center"/>
          </w:tcPr>
          <w:p>
            <w:pPr>
              <w:widowControl/>
              <w:jc w:val="center"/>
              <w:textAlignment w:val="top"/>
              <w:rPr>
                <w:color w:val="auto"/>
                <w:kern w:val="0"/>
                <w:sz w:val="18"/>
                <w:szCs w:val="18"/>
                <w:highlight w:val="none"/>
                <w:lang w:val="en-US" w:eastAsia="zh-CN" w:bidi="ar"/>
              </w:rPr>
            </w:pP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15705</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东至北环西路，西至康庄路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19</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宁慈公路（西段南侧</w:t>
            </w:r>
          </w:p>
        </w:tc>
        <w:tc>
          <w:tcPr>
            <w:tcW w:w="1276" w:type="dxa"/>
            <w:noWrap w:val="0"/>
            <w:vAlign w:val="center"/>
          </w:tcPr>
          <w:p>
            <w:pPr>
              <w:widowControl/>
              <w:jc w:val="center"/>
              <w:textAlignment w:val="top"/>
              <w:rPr>
                <w:color w:val="auto"/>
                <w:kern w:val="0"/>
                <w:sz w:val="18"/>
                <w:szCs w:val="18"/>
                <w:highlight w:val="none"/>
                <w:lang w:val="en-US" w:eastAsia="zh-CN" w:bidi="ar"/>
              </w:rPr>
            </w:pPr>
          </w:p>
        </w:tc>
        <w:tc>
          <w:tcPr>
            <w:tcW w:w="850" w:type="dxa"/>
            <w:noWrap w:val="0"/>
            <w:vAlign w:val="center"/>
          </w:tcPr>
          <w:p>
            <w:pPr>
              <w:widowControl/>
              <w:jc w:val="center"/>
              <w:textAlignment w:val="top"/>
              <w:rPr>
                <w:color w:val="auto"/>
                <w:kern w:val="0"/>
                <w:sz w:val="18"/>
                <w:szCs w:val="18"/>
                <w:highlight w:val="none"/>
                <w:lang w:val="en-US" w:eastAsia="zh-CN" w:bidi="ar"/>
              </w:rPr>
            </w:pP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15705</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）东至康庄路，西至洪塘交界处</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20</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康庄路</w:t>
            </w:r>
          </w:p>
        </w:tc>
        <w:tc>
          <w:tcPr>
            <w:tcW w:w="1276" w:type="dxa"/>
            <w:noWrap w:val="0"/>
            <w:vAlign w:val="center"/>
          </w:tcPr>
          <w:p>
            <w:pPr>
              <w:widowControl/>
              <w:jc w:val="center"/>
              <w:textAlignment w:val="top"/>
              <w:rPr>
                <w:color w:val="auto"/>
                <w:kern w:val="0"/>
                <w:sz w:val="18"/>
                <w:szCs w:val="18"/>
                <w:highlight w:val="none"/>
                <w:lang w:val="en-US" w:eastAsia="zh-CN" w:bidi="ar"/>
              </w:rPr>
            </w:pPr>
          </w:p>
        </w:tc>
        <w:tc>
          <w:tcPr>
            <w:tcW w:w="850" w:type="dxa"/>
            <w:noWrap w:val="0"/>
            <w:vAlign w:val="center"/>
          </w:tcPr>
          <w:p>
            <w:pPr>
              <w:widowControl/>
              <w:jc w:val="center"/>
              <w:textAlignment w:val="top"/>
              <w:rPr>
                <w:color w:val="auto"/>
                <w:kern w:val="0"/>
                <w:sz w:val="18"/>
                <w:szCs w:val="18"/>
                <w:highlight w:val="none"/>
                <w:lang w:val="en-US" w:eastAsia="zh-CN" w:bidi="ar"/>
              </w:rPr>
            </w:pPr>
          </w:p>
        </w:tc>
        <w:tc>
          <w:tcPr>
            <w:tcW w:w="1418" w:type="dxa"/>
            <w:noWrap w:val="0"/>
            <w:vAlign w:val="center"/>
          </w:tcPr>
          <w:p>
            <w:pPr>
              <w:widowControl/>
              <w:jc w:val="center"/>
              <w:textAlignment w:val="top"/>
              <w:rPr>
                <w:color w:val="auto"/>
                <w:kern w:val="0"/>
                <w:sz w:val="18"/>
                <w:szCs w:val="18"/>
                <w:highlight w:val="none"/>
                <w:lang w:val="en-US" w:eastAsia="zh-CN" w:bidi="ar"/>
              </w:rPr>
            </w:pPr>
            <w:r>
              <w:rPr>
                <w:color w:val="auto"/>
                <w:kern w:val="0"/>
                <w:sz w:val="18"/>
                <w:szCs w:val="18"/>
                <w:highlight w:val="none"/>
                <w:lang w:bidi="ar"/>
              </w:rPr>
              <w:t>75700</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南至北环西路，北至宁慈公路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21</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康桥路</w:t>
            </w:r>
          </w:p>
        </w:tc>
        <w:tc>
          <w:tcPr>
            <w:tcW w:w="1276"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368</w:t>
            </w:r>
          </w:p>
        </w:tc>
        <w:tc>
          <w:tcPr>
            <w:tcW w:w="850"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20</w:t>
            </w:r>
          </w:p>
        </w:tc>
        <w:tc>
          <w:tcPr>
            <w:tcW w:w="1418"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7360</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南至送变电，东至宁慈公路</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22</w:t>
            </w:r>
          </w:p>
        </w:tc>
        <w:tc>
          <w:tcPr>
            <w:tcW w:w="1843"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庄浦线（远洲段）</w:t>
            </w:r>
          </w:p>
        </w:tc>
        <w:tc>
          <w:tcPr>
            <w:tcW w:w="1276"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850</w:t>
            </w:r>
          </w:p>
        </w:tc>
        <w:tc>
          <w:tcPr>
            <w:tcW w:w="850"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10</w:t>
            </w:r>
          </w:p>
        </w:tc>
        <w:tc>
          <w:tcPr>
            <w:tcW w:w="1418"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8500</w:t>
            </w:r>
          </w:p>
        </w:tc>
        <w:tc>
          <w:tcPr>
            <w:tcW w:w="1701" w:type="dxa"/>
            <w:noWrap w:val="0"/>
            <w:vAlign w:val="center"/>
          </w:tcPr>
          <w:p>
            <w:pPr>
              <w:widowControl/>
              <w:jc w:val="center"/>
              <w:textAlignment w:val="top"/>
              <w:rPr>
                <w:color w:val="auto"/>
                <w:kern w:val="0"/>
                <w:sz w:val="18"/>
                <w:szCs w:val="18"/>
                <w:highlight w:val="none"/>
                <w:lang w:val="en-US" w:eastAsia="zh-CN" w:bidi="ar"/>
              </w:rPr>
            </w:pPr>
            <w:r>
              <w:rPr>
                <w:rFonts w:hint="eastAsia"/>
                <w:color w:val="auto"/>
                <w:kern w:val="0"/>
                <w:sz w:val="18"/>
                <w:szCs w:val="18"/>
                <w:highlight w:val="none"/>
                <w:lang w:bidi="ar"/>
              </w:rPr>
              <w:t>东至江北大道、西至洋市河</w:t>
            </w:r>
          </w:p>
        </w:tc>
        <w:tc>
          <w:tcPr>
            <w:tcW w:w="112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23</w:t>
            </w:r>
          </w:p>
        </w:tc>
        <w:tc>
          <w:tcPr>
            <w:tcW w:w="1843"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康庄路辅道</w:t>
            </w:r>
          </w:p>
        </w:tc>
        <w:tc>
          <w:tcPr>
            <w:tcW w:w="1276"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1620</w:t>
            </w:r>
          </w:p>
        </w:tc>
        <w:tc>
          <w:tcPr>
            <w:tcW w:w="850"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10</w:t>
            </w:r>
          </w:p>
        </w:tc>
        <w:tc>
          <w:tcPr>
            <w:tcW w:w="1418"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16200</w:t>
            </w:r>
          </w:p>
        </w:tc>
        <w:tc>
          <w:tcPr>
            <w:tcW w:w="1701"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南至北环西路，北至宁慈公路</w:t>
            </w:r>
          </w:p>
        </w:tc>
        <w:tc>
          <w:tcPr>
            <w:tcW w:w="11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82" w:type="dxa"/>
            <w:noWrap w:val="0"/>
            <w:vAlign w:val="center"/>
          </w:tcPr>
          <w:p>
            <w:pPr>
              <w:widowControl/>
              <w:jc w:val="center"/>
              <w:textAlignment w:val="top"/>
              <w:rPr>
                <w:color w:val="auto"/>
                <w:kern w:val="0"/>
                <w:sz w:val="18"/>
                <w:szCs w:val="18"/>
                <w:highlight w:val="none"/>
                <w:lang w:bidi="ar"/>
              </w:rPr>
            </w:pPr>
            <w:r>
              <w:rPr>
                <w:rFonts w:hint="eastAsia"/>
                <w:color w:val="auto"/>
                <w:kern w:val="0"/>
                <w:sz w:val="18"/>
                <w:szCs w:val="18"/>
                <w:highlight w:val="none"/>
                <w:lang w:bidi="ar"/>
              </w:rPr>
              <w:t>24</w:t>
            </w:r>
          </w:p>
        </w:tc>
        <w:tc>
          <w:tcPr>
            <w:tcW w:w="1843"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九万里小区</w:t>
            </w:r>
          </w:p>
        </w:tc>
        <w:tc>
          <w:tcPr>
            <w:tcW w:w="1276" w:type="dxa"/>
            <w:noWrap w:val="0"/>
            <w:vAlign w:val="center"/>
          </w:tcPr>
          <w:p>
            <w:pPr>
              <w:widowControl/>
              <w:jc w:val="center"/>
              <w:textAlignment w:val="top"/>
              <w:rPr>
                <w:rFonts w:hint="eastAsia"/>
                <w:color w:val="auto"/>
                <w:kern w:val="0"/>
                <w:sz w:val="18"/>
                <w:szCs w:val="18"/>
                <w:highlight w:val="none"/>
                <w:lang w:val="en-US" w:eastAsia="zh-CN" w:bidi="ar"/>
              </w:rPr>
            </w:pPr>
          </w:p>
        </w:tc>
        <w:tc>
          <w:tcPr>
            <w:tcW w:w="850" w:type="dxa"/>
            <w:noWrap w:val="0"/>
            <w:vAlign w:val="center"/>
          </w:tcPr>
          <w:p>
            <w:pPr>
              <w:widowControl/>
              <w:jc w:val="center"/>
              <w:textAlignment w:val="top"/>
              <w:rPr>
                <w:rFonts w:hint="eastAsia"/>
                <w:color w:val="auto"/>
                <w:kern w:val="0"/>
                <w:sz w:val="18"/>
                <w:szCs w:val="18"/>
                <w:highlight w:val="none"/>
                <w:lang w:val="en-US" w:eastAsia="zh-CN" w:bidi="ar"/>
              </w:rPr>
            </w:pPr>
          </w:p>
        </w:tc>
        <w:tc>
          <w:tcPr>
            <w:tcW w:w="1418" w:type="dxa"/>
            <w:noWrap w:val="0"/>
            <w:vAlign w:val="center"/>
          </w:tcPr>
          <w:p>
            <w:pPr>
              <w:widowControl/>
              <w:jc w:val="center"/>
              <w:textAlignment w:val="top"/>
              <w:rPr>
                <w:rFonts w:hint="default" w:eastAsia="宋体"/>
                <w:color w:val="auto"/>
                <w:kern w:val="0"/>
                <w:sz w:val="18"/>
                <w:szCs w:val="18"/>
                <w:highlight w:val="none"/>
                <w:lang w:val="en-US" w:eastAsia="zh-CN" w:bidi="ar"/>
              </w:rPr>
            </w:pPr>
            <w:r>
              <w:rPr>
                <w:rFonts w:hint="eastAsia"/>
                <w:color w:val="auto"/>
                <w:kern w:val="0"/>
                <w:sz w:val="18"/>
                <w:szCs w:val="18"/>
                <w:highlight w:val="none"/>
                <w:lang w:val="en-US" w:eastAsia="zh-CN" w:bidi="ar"/>
              </w:rPr>
              <w:t>2000</w:t>
            </w:r>
          </w:p>
        </w:tc>
        <w:tc>
          <w:tcPr>
            <w:tcW w:w="1701" w:type="dxa"/>
            <w:noWrap w:val="0"/>
            <w:vAlign w:val="center"/>
          </w:tcPr>
          <w:p>
            <w:pPr>
              <w:widowControl/>
              <w:jc w:val="center"/>
              <w:textAlignment w:val="top"/>
              <w:rPr>
                <w:rFonts w:hint="eastAsia" w:ascii="宋体" w:hAnsi="宋体" w:cs="宋体"/>
                <w:color w:val="auto"/>
                <w:kern w:val="0"/>
                <w:sz w:val="21"/>
                <w:szCs w:val="21"/>
                <w:highlight w:val="none"/>
                <w:lang w:val="en-US" w:eastAsia="zh-CN" w:bidi="ar-SA"/>
              </w:rPr>
            </w:pPr>
          </w:p>
        </w:tc>
        <w:tc>
          <w:tcPr>
            <w:tcW w:w="1122" w:type="dxa"/>
            <w:noWrap w:val="0"/>
            <w:vAlign w:val="center"/>
          </w:tcPr>
          <w:p>
            <w:pPr>
              <w:widowControl/>
              <w:jc w:val="center"/>
              <w:rPr>
                <w:rFonts w:hint="eastAsia"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82" w:type="dxa"/>
            <w:noWrap w:val="0"/>
            <w:vAlign w:val="center"/>
          </w:tcPr>
          <w:p>
            <w:pPr>
              <w:widowControl/>
              <w:jc w:val="center"/>
              <w:textAlignment w:val="top"/>
              <w:rPr>
                <w:rFonts w:hint="eastAsia"/>
                <w:color w:val="auto"/>
                <w:kern w:val="0"/>
                <w:sz w:val="18"/>
                <w:szCs w:val="18"/>
                <w:highlight w:val="none"/>
                <w:lang w:bidi="ar"/>
              </w:rPr>
            </w:pPr>
            <w:r>
              <w:rPr>
                <w:rFonts w:hint="eastAsia"/>
                <w:color w:val="auto"/>
                <w:kern w:val="0"/>
                <w:sz w:val="18"/>
                <w:szCs w:val="18"/>
                <w:highlight w:val="none"/>
                <w:lang w:bidi="ar"/>
              </w:rPr>
              <w:t>25</w:t>
            </w:r>
          </w:p>
        </w:tc>
        <w:tc>
          <w:tcPr>
            <w:tcW w:w="1843"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老火车站生活区</w:t>
            </w:r>
          </w:p>
        </w:tc>
        <w:tc>
          <w:tcPr>
            <w:tcW w:w="1276" w:type="dxa"/>
            <w:noWrap w:val="0"/>
            <w:vAlign w:val="center"/>
          </w:tcPr>
          <w:p>
            <w:pPr>
              <w:widowControl/>
              <w:jc w:val="center"/>
              <w:textAlignment w:val="top"/>
              <w:rPr>
                <w:rFonts w:hint="eastAsia"/>
                <w:color w:val="auto"/>
                <w:kern w:val="0"/>
                <w:sz w:val="18"/>
                <w:szCs w:val="18"/>
                <w:highlight w:val="none"/>
                <w:lang w:val="en-US" w:eastAsia="zh-CN" w:bidi="ar"/>
              </w:rPr>
            </w:pPr>
          </w:p>
        </w:tc>
        <w:tc>
          <w:tcPr>
            <w:tcW w:w="850" w:type="dxa"/>
            <w:noWrap w:val="0"/>
            <w:vAlign w:val="center"/>
          </w:tcPr>
          <w:p>
            <w:pPr>
              <w:widowControl/>
              <w:jc w:val="center"/>
              <w:textAlignment w:val="top"/>
              <w:rPr>
                <w:rFonts w:hint="eastAsia"/>
                <w:color w:val="auto"/>
                <w:kern w:val="0"/>
                <w:sz w:val="18"/>
                <w:szCs w:val="18"/>
                <w:highlight w:val="none"/>
                <w:lang w:val="en-US" w:eastAsia="zh-CN" w:bidi="ar"/>
              </w:rPr>
            </w:pPr>
          </w:p>
        </w:tc>
        <w:tc>
          <w:tcPr>
            <w:tcW w:w="1418" w:type="dxa"/>
            <w:noWrap w:val="0"/>
            <w:vAlign w:val="center"/>
          </w:tcPr>
          <w:p>
            <w:pPr>
              <w:widowControl/>
              <w:jc w:val="center"/>
              <w:textAlignment w:val="top"/>
              <w:rPr>
                <w:rFonts w:hint="eastAsia"/>
                <w:color w:val="auto"/>
                <w:kern w:val="0"/>
                <w:sz w:val="18"/>
                <w:szCs w:val="18"/>
                <w:highlight w:val="none"/>
                <w:lang w:val="en-US" w:eastAsia="zh-CN" w:bidi="ar"/>
              </w:rPr>
            </w:pPr>
            <w:r>
              <w:rPr>
                <w:rFonts w:hint="eastAsia"/>
                <w:color w:val="auto"/>
                <w:kern w:val="0"/>
                <w:sz w:val="18"/>
                <w:szCs w:val="18"/>
                <w:highlight w:val="none"/>
                <w:lang w:bidi="ar"/>
              </w:rPr>
              <w:t>16174</w:t>
            </w:r>
          </w:p>
        </w:tc>
        <w:tc>
          <w:tcPr>
            <w:tcW w:w="1701" w:type="dxa"/>
            <w:noWrap w:val="0"/>
            <w:vAlign w:val="center"/>
          </w:tcPr>
          <w:p>
            <w:pPr>
              <w:widowControl/>
              <w:jc w:val="center"/>
              <w:textAlignment w:val="center"/>
              <w:rPr>
                <w:rFonts w:hint="eastAsia" w:ascii="宋体" w:hAnsi="宋体" w:cs="宋体"/>
                <w:color w:val="auto"/>
                <w:kern w:val="0"/>
                <w:sz w:val="21"/>
                <w:szCs w:val="21"/>
                <w:highlight w:val="none"/>
                <w:lang w:val="en-US" w:eastAsia="zh-CN" w:bidi="ar-SA"/>
              </w:rPr>
            </w:pPr>
          </w:p>
        </w:tc>
        <w:tc>
          <w:tcPr>
            <w:tcW w:w="1122" w:type="dxa"/>
            <w:noWrap w:val="0"/>
            <w:vAlign w:val="center"/>
          </w:tcPr>
          <w:p>
            <w:pPr>
              <w:widowControl/>
              <w:jc w:val="center"/>
              <w:rPr>
                <w:rFonts w:hint="eastAsia" w:ascii="宋体" w:hAnsi="宋体" w:cs="宋体"/>
                <w:color w:val="auto"/>
                <w:kern w:val="0"/>
                <w:sz w:val="18"/>
                <w:szCs w:val="18"/>
                <w:highlight w:val="none"/>
              </w:rPr>
            </w:pPr>
          </w:p>
        </w:tc>
      </w:tr>
    </w:tbl>
    <w:tbl>
      <w:tblPr>
        <w:tblStyle w:val="26"/>
        <w:tblW w:w="901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
        <w:gridCol w:w="518"/>
        <w:gridCol w:w="219"/>
        <w:gridCol w:w="1396"/>
        <w:gridCol w:w="1694"/>
        <w:gridCol w:w="911"/>
        <w:gridCol w:w="1253"/>
        <w:gridCol w:w="909"/>
        <w:gridCol w:w="869"/>
        <w:gridCol w:w="855"/>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19" w:hRule="atLeast"/>
        </w:trPr>
        <w:tc>
          <w:tcPr>
            <w:tcW w:w="8804" w:type="dxa"/>
            <w:gridSpan w:val="10"/>
            <w:noWrap w:val="0"/>
            <w:vAlign w:val="center"/>
          </w:tcPr>
          <w:p>
            <w:pPr>
              <w:widowControl/>
              <w:jc w:val="center"/>
              <w:rPr>
                <w:rFonts w:ascii="宋体" w:hAnsi="宋体" w:cs="宋体"/>
                <w:color w:val="auto"/>
                <w:kern w:val="0"/>
                <w:highlight w:val="none"/>
              </w:rPr>
            </w:pPr>
            <w:r>
              <w:rPr>
                <w:rFonts w:hint="eastAsia" w:eastAsia="黑体"/>
                <w:b/>
                <w:bCs/>
                <w:color w:val="auto"/>
                <w:sz w:val="28"/>
                <w:szCs w:val="28"/>
                <w:highlight w:val="none"/>
              </w:rPr>
              <w:t>1</w:t>
            </w:r>
            <w:r>
              <w:rPr>
                <w:rFonts w:hint="eastAsia"/>
                <w:b/>
                <w:bCs/>
                <w:color w:val="auto"/>
                <w:sz w:val="28"/>
                <w:szCs w:val="28"/>
                <w:highlight w:val="none"/>
              </w:rPr>
              <w:t>-2绿化养护范围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序 号</w:t>
            </w:r>
          </w:p>
        </w:tc>
        <w:tc>
          <w:tcPr>
            <w:tcW w:w="4001" w:type="dxa"/>
            <w:gridSpan w:val="3"/>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绿化区域</w:t>
            </w:r>
          </w:p>
        </w:tc>
        <w:tc>
          <w:tcPr>
            <w:tcW w:w="1253" w:type="dxa"/>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面积（㎡）</w:t>
            </w:r>
          </w:p>
        </w:tc>
        <w:tc>
          <w:tcPr>
            <w:tcW w:w="909" w:type="dxa"/>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养护等级</w:t>
            </w:r>
          </w:p>
        </w:tc>
        <w:tc>
          <w:tcPr>
            <w:tcW w:w="1904" w:type="dxa"/>
            <w:gridSpan w:val="3"/>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拥军路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7191</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宁慈路三联加油站辅路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957</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3</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老火车站</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1558</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4</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新桥六路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2040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5</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新桥七路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2160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庄桥街道办事处</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27299</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7</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李冯路与冯徐路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3950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远洲大酒店南侧</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4600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9</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庄桥法庭</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1200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10</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三联加油站－西宁塑机厂</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957</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11</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庄浦公路－冯家新区</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6163</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庄浦公路两侧</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4200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13</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李家西路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500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14</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新桥五路（北至宁慈公路，西至康庄南路）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5356</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15</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康桥路（宁慈路以南）（北至宁慈公路，西至新桥五路）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9300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16</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康庄南路（宁慈路以南）（南至北外环，北至宁慈公路）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18937</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17</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北海路（南至北外环，北至江北大道）</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3185</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18</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宁慈公路（穿镇段东至北环西路，西至康桥路）</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9840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19</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宁慈公路南侧（东至康桥路，西至洪塘交界处）</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9840</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20</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宁慈公路银杏公园（宁慈路与北外环交界处）</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3465</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21</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宁慈公路湿地公园（宁慈路1956前绿地）</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325</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22</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庄桥棉纺厂地块（宁慈公路上邵段）（宁慈公路上邵公交车站对面）</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10316</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20"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23</w:t>
            </w:r>
          </w:p>
        </w:tc>
        <w:tc>
          <w:tcPr>
            <w:tcW w:w="4001" w:type="dxa"/>
            <w:gridSpan w:val="3"/>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老火车站生活区</w:t>
            </w:r>
          </w:p>
        </w:tc>
        <w:tc>
          <w:tcPr>
            <w:tcW w:w="1253"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16174</w:t>
            </w:r>
          </w:p>
        </w:tc>
        <w:tc>
          <w:tcPr>
            <w:tcW w:w="909" w:type="dxa"/>
            <w:noWrap w:val="0"/>
            <w:vAlign w:val="center"/>
          </w:tcPr>
          <w:p>
            <w:pPr>
              <w:widowControl/>
              <w:jc w:val="center"/>
              <w:rPr>
                <w:rFonts w:ascii="宋体" w:hAnsi="宋体" w:cs="宋体"/>
                <w:color w:val="auto"/>
                <w:kern w:val="0"/>
                <w:highlight w:val="none"/>
              </w:rPr>
            </w:pPr>
          </w:p>
        </w:tc>
        <w:tc>
          <w:tcPr>
            <w:tcW w:w="1904" w:type="dxa"/>
            <w:gridSpan w:val="3"/>
            <w:noWrap w:val="0"/>
            <w:vAlign w:val="center"/>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24</w:t>
            </w:r>
          </w:p>
        </w:tc>
        <w:tc>
          <w:tcPr>
            <w:tcW w:w="4001" w:type="dxa"/>
            <w:gridSpan w:val="3"/>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康桥路</w:t>
            </w:r>
          </w:p>
        </w:tc>
        <w:tc>
          <w:tcPr>
            <w:tcW w:w="1253" w:type="dxa"/>
            <w:noWrap w:val="0"/>
            <w:vAlign w:val="center"/>
          </w:tcPr>
          <w:p>
            <w:pPr>
              <w:widowControl/>
              <w:jc w:val="center"/>
              <w:textAlignment w:val="center"/>
              <w:rPr>
                <w:rFonts w:hint="eastAsia" w:ascii="宋体" w:hAnsi="宋体" w:cs="宋体"/>
                <w:color w:val="auto"/>
                <w:kern w:val="0"/>
                <w:highlight w:val="none"/>
              </w:rPr>
            </w:pPr>
            <w:r>
              <w:rPr>
                <w:rFonts w:hint="eastAsia" w:ascii="宋体" w:hAnsi="宋体" w:cs="宋体"/>
                <w:color w:val="auto"/>
                <w:kern w:val="0"/>
                <w:sz w:val="22"/>
                <w:szCs w:val="22"/>
                <w:highlight w:val="none"/>
                <w:lang w:bidi="ar"/>
              </w:rPr>
              <w:t>6350</w:t>
            </w:r>
          </w:p>
        </w:tc>
        <w:tc>
          <w:tcPr>
            <w:tcW w:w="909" w:type="dxa"/>
            <w:noWrap w:val="0"/>
            <w:vAlign w:val="center"/>
          </w:tcPr>
          <w:p>
            <w:pPr>
              <w:widowControl/>
              <w:jc w:val="center"/>
              <w:rPr>
                <w:rFonts w:hint="eastAsia" w:ascii="宋体" w:hAnsi="宋体" w:cs="宋体"/>
                <w:color w:val="auto"/>
                <w:kern w:val="0"/>
                <w:highlight w:val="none"/>
              </w:rPr>
            </w:pPr>
          </w:p>
        </w:tc>
        <w:tc>
          <w:tcPr>
            <w:tcW w:w="1904" w:type="dxa"/>
            <w:gridSpan w:val="3"/>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25</w:t>
            </w:r>
          </w:p>
        </w:tc>
        <w:tc>
          <w:tcPr>
            <w:tcW w:w="4001" w:type="dxa"/>
            <w:gridSpan w:val="3"/>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北海路（带路创业园段）</w:t>
            </w:r>
          </w:p>
        </w:tc>
        <w:tc>
          <w:tcPr>
            <w:tcW w:w="1253" w:type="dxa"/>
            <w:noWrap w:val="0"/>
            <w:vAlign w:val="center"/>
          </w:tcPr>
          <w:p>
            <w:pPr>
              <w:widowControl/>
              <w:jc w:val="center"/>
              <w:textAlignment w:val="center"/>
              <w:rPr>
                <w:rFonts w:hint="eastAsia" w:ascii="宋体" w:hAnsi="宋体" w:cs="宋体"/>
                <w:color w:val="auto"/>
                <w:kern w:val="0"/>
                <w:highlight w:val="none"/>
              </w:rPr>
            </w:pPr>
            <w:r>
              <w:rPr>
                <w:rFonts w:hint="eastAsia" w:ascii="宋体" w:hAnsi="宋体" w:cs="宋体"/>
                <w:color w:val="auto"/>
                <w:kern w:val="0"/>
                <w:sz w:val="22"/>
                <w:szCs w:val="22"/>
                <w:highlight w:val="none"/>
                <w:lang w:bidi="ar"/>
              </w:rPr>
              <w:t>2550</w:t>
            </w:r>
          </w:p>
        </w:tc>
        <w:tc>
          <w:tcPr>
            <w:tcW w:w="909" w:type="dxa"/>
            <w:noWrap w:val="0"/>
            <w:vAlign w:val="center"/>
          </w:tcPr>
          <w:p>
            <w:pPr>
              <w:widowControl/>
              <w:jc w:val="center"/>
              <w:rPr>
                <w:rFonts w:hint="eastAsia" w:ascii="宋体" w:hAnsi="宋体" w:cs="宋体"/>
                <w:color w:val="auto"/>
                <w:kern w:val="0"/>
                <w:highlight w:val="none"/>
              </w:rPr>
            </w:pPr>
          </w:p>
        </w:tc>
        <w:tc>
          <w:tcPr>
            <w:tcW w:w="1904" w:type="dxa"/>
            <w:gridSpan w:val="3"/>
            <w:noWrap w:val="0"/>
            <w:vAlign w:val="center"/>
          </w:tcPr>
          <w:p>
            <w:pPr>
              <w:widowControl/>
              <w:jc w:val="left"/>
              <w:rPr>
                <w:rFonts w:hint="eastAsia"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1" w:type="dxa"/>
          <w:trHeight w:val="608" w:hRule="atLeast"/>
        </w:trPr>
        <w:tc>
          <w:tcPr>
            <w:tcW w:w="737" w:type="dxa"/>
            <w:gridSpan w:val="2"/>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26</w:t>
            </w:r>
          </w:p>
        </w:tc>
        <w:tc>
          <w:tcPr>
            <w:tcW w:w="4001" w:type="dxa"/>
            <w:gridSpan w:val="3"/>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江北文化中心铁路桥东侧绿化</w:t>
            </w:r>
          </w:p>
        </w:tc>
        <w:tc>
          <w:tcPr>
            <w:tcW w:w="1253" w:type="dxa"/>
            <w:noWrap w:val="0"/>
            <w:vAlign w:val="center"/>
          </w:tcPr>
          <w:p>
            <w:pPr>
              <w:widowControl/>
              <w:jc w:val="center"/>
              <w:textAlignment w:val="center"/>
              <w:rPr>
                <w:rFonts w:hint="eastAsia" w:ascii="宋体" w:hAnsi="宋体" w:cs="宋体"/>
                <w:color w:val="auto"/>
                <w:kern w:val="0"/>
                <w:highlight w:val="none"/>
              </w:rPr>
            </w:pPr>
            <w:r>
              <w:rPr>
                <w:rFonts w:hint="eastAsia" w:ascii="宋体" w:hAnsi="宋体" w:cs="宋体"/>
                <w:color w:val="auto"/>
                <w:kern w:val="0"/>
                <w:highlight w:val="none"/>
              </w:rPr>
              <w:t>500</w:t>
            </w:r>
          </w:p>
        </w:tc>
        <w:tc>
          <w:tcPr>
            <w:tcW w:w="909" w:type="dxa"/>
            <w:noWrap w:val="0"/>
            <w:vAlign w:val="center"/>
          </w:tcPr>
          <w:p>
            <w:pPr>
              <w:widowControl/>
              <w:jc w:val="center"/>
              <w:rPr>
                <w:rFonts w:hint="eastAsia" w:ascii="宋体" w:hAnsi="宋体" w:cs="宋体"/>
                <w:color w:val="auto"/>
                <w:kern w:val="0"/>
                <w:highlight w:val="none"/>
              </w:rPr>
            </w:pPr>
          </w:p>
        </w:tc>
        <w:tc>
          <w:tcPr>
            <w:tcW w:w="1904" w:type="dxa"/>
            <w:gridSpan w:val="3"/>
            <w:noWrap w:val="0"/>
            <w:vAlign w:val="center"/>
          </w:tcPr>
          <w:p>
            <w:pPr>
              <w:widowControl/>
              <w:jc w:val="left"/>
              <w:rPr>
                <w:rFonts w:hint="eastAsia" w:ascii="宋体" w:hAnsi="宋体" w:cs="宋体"/>
                <w:color w:val="auto"/>
                <w:kern w:val="0"/>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80" w:type="dxa"/>
          <w:trHeight w:val="703" w:hRule="atLeast"/>
        </w:trPr>
        <w:tc>
          <w:tcPr>
            <w:tcW w:w="8835" w:type="dxa"/>
            <w:gridSpan w:val="10"/>
            <w:tcBorders>
              <w:top w:val="nil"/>
              <w:left w:val="nil"/>
              <w:bottom w:val="single" w:color="auto" w:sz="4" w:space="0"/>
              <w:right w:val="nil"/>
            </w:tcBorders>
            <w:noWrap/>
            <w:tcMar>
              <w:top w:w="15" w:type="dxa"/>
              <w:left w:w="15" w:type="dxa"/>
              <w:bottom w:w="0" w:type="dxa"/>
              <w:right w:w="15" w:type="dxa"/>
            </w:tcMar>
            <w:vAlign w:val="center"/>
          </w:tcPr>
          <w:p>
            <w:pPr>
              <w:jc w:val="center"/>
              <w:rPr>
                <w:rFonts w:ascii="宋体" w:hAnsi="宋体" w:cs="宋体"/>
                <w:b/>
                <w:bCs/>
                <w:color w:val="auto"/>
                <w:sz w:val="28"/>
                <w:szCs w:val="28"/>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690" w:hRule="atLeast"/>
        </w:trPr>
        <w:tc>
          <w:tcPr>
            <w:tcW w:w="9015"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bCs/>
                <w:color w:val="auto"/>
                <w:sz w:val="22"/>
                <w:szCs w:val="22"/>
                <w:highlight w:val="none"/>
              </w:rPr>
            </w:pPr>
            <w:r>
              <w:rPr>
                <w:rFonts w:hint="eastAsia"/>
                <w:color w:val="auto"/>
                <w:sz w:val="28"/>
                <w:szCs w:val="28"/>
                <w:highlight w:val="none"/>
              </w:rPr>
              <w:t>1</w:t>
            </w:r>
            <w:r>
              <w:rPr>
                <w:rFonts w:hint="eastAsia"/>
                <w:b/>
                <w:bCs/>
                <w:color w:val="auto"/>
                <w:sz w:val="28"/>
                <w:szCs w:val="28"/>
                <w:highlight w:val="none"/>
              </w:rPr>
              <w:t>-3其他管养内容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690" w:hRule="atLeast"/>
        </w:trPr>
        <w:tc>
          <w:tcPr>
            <w:tcW w:w="72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序 号</w:t>
            </w:r>
          </w:p>
        </w:tc>
        <w:tc>
          <w:tcPr>
            <w:tcW w:w="161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管养内容</w:t>
            </w:r>
          </w:p>
        </w:tc>
        <w:tc>
          <w:tcPr>
            <w:tcW w:w="169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位置</w:t>
            </w:r>
          </w:p>
        </w:tc>
        <w:tc>
          <w:tcPr>
            <w:tcW w:w="394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规模、服务内容</w:t>
            </w:r>
          </w:p>
        </w:tc>
        <w:tc>
          <w:tcPr>
            <w:tcW w:w="103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950" w:hRule="atLeast"/>
        </w:trPr>
        <w:tc>
          <w:tcPr>
            <w:tcW w:w="72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color w:val="auto"/>
                <w:sz w:val="20"/>
                <w:szCs w:val="20"/>
                <w:highlight w:val="none"/>
              </w:rPr>
            </w:pPr>
            <w:r>
              <w:rPr>
                <w:color w:val="auto"/>
                <w:sz w:val="20"/>
                <w:szCs w:val="20"/>
                <w:highlight w:val="none"/>
              </w:rPr>
              <w:t>1</w:t>
            </w:r>
          </w:p>
        </w:tc>
        <w:tc>
          <w:tcPr>
            <w:tcW w:w="1615"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宁慈路农业银行对面车站</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721" w:hRule="atLeast"/>
        </w:trPr>
        <w:tc>
          <w:tcPr>
            <w:tcW w:w="729" w:type="dxa"/>
            <w:gridSpan w:val="2"/>
            <w:tcBorders>
              <w:top w:val="nil"/>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color w:val="auto"/>
                <w:sz w:val="20"/>
                <w:szCs w:val="20"/>
                <w:highlight w:val="none"/>
              </w:rPr>
            </w:pPr>
            <w:r>
              <w:rPr>
                <w:color w:val="auto"/>
                <w:sz w:val="20"/>
                <w:szCs w:val="20"/>
                <w:highlight w:val="none"/>
              </w:rPr>
              <w:t>2</w:t>
            </w:r>
          </w:p>
        </w:tc>
        <w:tc>
          <w:tcPr>
            <w:tcW w:w="1615"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老火车站</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905" w:hRule="atLeast"/>
        </w:trPr>
        <w:tc>
          <w:tcPr>
            <w:tcW w:w="729" w:type="dxa"/>
            <w:gridSpan w:val="2"/>
            <w:tcBorders>
              <w:top w:val="nil"/>
              <w:left w:val="single" w:color="auto" w:sz="4" w:space="0"/>
              <w:bottom w:val="nil"/>
              <w:right w:val="nil"/>
            </w:tcBorders>
            <w:shd w:val="clear" w:color="000000" w:fill="FFFFFF"/>
            <w:noWrap w:val="0"/>
            <w:tcMar>
              <w:top w:w="15" w:type="dxa"/>
              <w:left w:w="15" w:type="dxa"/>
              <w:bottom w:w="0" w:type="dxa"/>
              <w:right w:w="15" w:type="dxa"/>
            </w:tcMar>
            <w:vAlign w:val="center"/>
          </w:tcPr>
          <w:p>
            <w:pPr>
              <w:jc w:val="center"/>
              <w:rPr>
                <w:color w:val="auto"/>
                <w:sz w:val="20"/>
                <w:szCs w:val="20"/>
                <w:highlight w:val="none"/>
              </w:rPr>
            </w:pPr>
            <w:r>
              <w:rPr>
                <w:color w:val="auto"/>
                <w:sz w:val="20"/>
                <w:szCs w:val="20"/>
                <w:highlight w:val="none"/>
              </w:rPr>
              <w:t>3</w:t>
            </w:r>
          </w:p>
        </w:tc>
        <w:tc>
          <w:tcPr>
            <w:tcW w:w="1615"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老火车站新建厕所</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728" w:hRule="atLeast"/>
        </w:trPr>
        <w:tc>
          <w:tcPr>
            <w:tcW w:w="72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2"/>
                <w:szCs w:val="22"/>
                <w:highlight w:val="none"/>
              </w:rPr>
            </w:pPr>
            <w:r>
              <w:rPr>
                <w:rFonts w:hint="eastAsia"/>
                <w:color w:val="auto"/>
                <w:sz w:val="22"/>
                <w:szCs w:val="22"/>
                <w:highlight w:val="none"/>
              </w:rPr>
              <w:t>4</w:t>
            </w:r>
          </w:p>
        </w:tc>
        <w:tc>
          <w:tcPr>
            <w:tcW w:w="161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rPr>
              <w:t>特保人员</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管辖区域</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rPr>
              <w:t>秩序维保8人</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869" w:hRule="atLeast"/>
        </w:trPr>
        <w:tc>
          <w:tcPr>
            <w:tcW w:w="729"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2"/>
                <w:szCs w:val="22"/>
                <w:highlight w:val="none"/>
              </w:rPr>
            </w:pPr>
            <w:r>
              <w:rPr>
                <w:rFonts w:hint="eastAsia"/>
                <w:color w:val="auto"/>
                <w:sz w:val="22"/>
                <w:szCs w:val="22"/>
                <w:highlight w:val="none"/>
              </w:rPr>
              <w:t>5</w:t>
            </w:r>
          </w:p>
        </w:tc>
        <w:tc>
          <w:tcPr>
            <w:tcW w:w="161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拆违突击人员</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庄桥辖区</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拆违突击人员10人</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869" w:hRule="atLeast"/>
        </w:trPr>
        <w:tc>
          <w:tcPr>
            <w:tcW w:w="729"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6</w:t>
            </w:r>
          </w:p>
        </w:tc>
        <w:tc>
          <w:tcPr>
            <w:tcW w:w="161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高铁线</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姚江北岸-上邵洪塘交界</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杭甬客专线4500米，保洁范围两侧50米，绿化、保洁及秩序管理，保洁养护面积45万平方</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979" w:hRule="atLeast"/>
        </w:trPr>
        <w:tc>
          <w:tcPr>
            <w:tcW w:w="729"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color w:val="auto"/>
                <w:sz w:val="22"/>
                <w:szCs w:val="22"/>
                <w:highlight w:val="none"/>
              </w:rPr>
              <w:t>7</w:t>
            </w:r>
          </w:p>
        </w:tc>
        <w:tc>
          <w:tcPr>
            <w:tcW w:w="161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白沙线</w:t>
            </w:r>
          </w:p>
        </w:tc>
        <w:tc>
          <w:tcPr>
            <w:tcW w:w="169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压赛堰-庄桥高铁站</w:t>
            </w:r>
          </w:p>
        </w:tc>
        <w:tc>
          <w:tcPr>
            <w:tcW w:w="3942"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白沙线长3000米，保洁范围两侧20米，绿化、保洁及秩序管理，保洁面积12万平方</w:t>
            </w:r>
          </w:p>
        </w:tc>
        <w:tc>
          <w:tcPr>
            <w:tcW w:w="103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bl>
    <w:p>
      <w:pPr>
        <w:spacing w:line="360" w:lineRule="auto"/>
        <w:ind w:firstLine="440" w:firstLineChars="200"/>
        <w:rPr>
          <w:b w:val="0"/>
          <w:bCs w:val="0"/>
          <w:color w:val="auto"/>
          <w:sz w:val="22"/>
          <w:szCs w:val="22"/>
          <w:highlight w:val="none"/>
        </w:rPr>
      </w:pPr>
      <w:r>
        <w:rPr>
          <w:rFonts w:hint="eastAsia"/>
          <w:b w:val="0"/>
          <w:bCs w:val="0"/>
          <w:color w:val="auto"/>
          <w:sz w:val="22"/>
          <w:szCs w:val="22"/>
          <w:highlight w:val="none"/>
          <w:lang w:val="en-US" w:eastAsia="zh-CN"/>
        </w:rPr>
        <w:t>2.3特保人员</w:t>
      </w:r>
      <w:r>
        <w:rPr>
          <w:rFonts w:hint="eastAsia"/>
          <w:b w:val="0"/>
          <w:bCs w:val="0"/>
          <w:color w:val="auto"/>
          <w:sz w:val="22"/>
          <w:szCs w:val="22"/>
          <w:highlight w:val="none"/>
        </w:rPr>
        <w:t>数量：</w:t>
      </w:r>
      <w:r>
        <w:rPr>
          <w:rFonts w:hint="eastAsia"/>
          <w:b w:val="0"/>
          <w:bCs w:val="0"/>
          <w:color w:val="auto"/>
          <w:sz w:val="22"/>
          <w:szCs w:val="22"/>
          <w:highlight w:val="none"/>
          <w:lang w:val="en-US" w:eastAsia="zh-CN"/>
        </w:rPr>
        <w:t>8</w:t>
      </w:r>
      <w:r>
        <w:rPr>
          <w:rFonts w:hint="eastAsia"/>
          <w:b w:val="0"/>
          <w:bCs w:val="0"/>
          <w:color w:val="auto"/>
          <w:sz w:val="22"/>
          <w:szCs w:val="22"/>
          <w:highlight w:val="none"/>
        </w:rPr>
        <w:t>名及以上</w:t>
      </w:r>
      <w:r>
        <w:rPr>
          <w:b w:val="0"/>
          <w:bCs w:val="0"/>
          <w:color w:val="auto"/>
          <w:sz w:val="22"/>
          <w:szCs w:val="22"/>
          <w:highlight w:val="none"/>
        </w:rPr>
        <w:t>。</w:t>
      </w:r>
    </w:p>
    <w:p>
      <w:pPr>
        <w:spacing w:line="360" w:lineRule="auto"/>
        <w:ind w:firstLine="440" w:firstLineChars="200"/>
        <w:rPr>
          <w:color w:val="auto"/>
          <w:sz w:val="22"/>
          <w:szCs w:val="22"/>
          <w:highlight w:val="none"/>
        </w:rPr>
      </w:pPr>
      <w:r>
        <w:rPr>
          <w:rFonts w:hint="eastAsia"/>
          <w:color w:val="auto"/>
          <w:sz w:val="22"/>
          <w:szCs w:val="22"/>
          <w:highlight w:val="none"/>
        </w:rPr>
        <w:t>服务内容</w:t>
      </w:r>
      <w:r>
        <w:rPr>
          <w:color w:val="auto"/>
          <w:sz w:val="22"/>
          <w:szCs w:val="22"/>
          <w:highlight w:val="none"/>
        </w:rPr>
        <w:t>：</w:t>
      </w:r>
      <w:r>
        <w:rPr>
          <w:rFonts w:hint="eastAsia"/>
          <w:color w:val="auto"/>
          <w:sz w:val="22"/>
          <w:szCs w:val="22"/>
          <w:highlight w:val="none"/>
        </w:rPr>
        <w:t>区域市容秩序辅助管理服务、灾害应急、违章建筑拆除等保护性施工工作、偷倒垃圾盯防及处理等各项内容服务，具体工作安排由业主单位按需调配。</w:t>
      </w:r>
    </w:p>
    <w:p>
      <w:pPr>
        <w:spacing w:line="360" w:lineRule="auto"/>
        <w:rPr>
          <w:b/>
          <w:color w:val="auto"/>
          <w:sz w:val="22"/>
          <w:szCs w:val="22"/>
          <w:highlight w:val="none"/>
        </w:rPr>
      </w:pPr>
      <w:r>
        <w:rPr>
          <w:rFonts w:hint="eastAsia"/>
          <w:b/>
          <w:color w:val="auto"/>
          <w:sz w:val="22"/>
          <w:szCs w:val="22"/>
          <w:highlight w:val="none"/>
        </w:rPr>
        <w:t>备注：</w:t>
      </w:r>
    </w:p>
    <w:p>
      <w:pPr>
        <w:spacing w:line="360" w:lineRule="auto"/>
        <w:ind w:firstLine="433" w:firstLineChars="196"/>
        <w:rPr>
          <w:b/>
          <w:color w:val="auto"/>
          <w:sz w:val="22"/>
          <w:szCs w:val="22"/>
          <w:highlight w:val="none"/>
        </w:rPr>
      </w:pPr>
      <w:r>
        <w:rPr>
          <w:b/>
          <w:color w:val="auto"/>
          <w:sz w:val="22"/>
          <w:szCs w:val="22"/>
          <w:highlight w:val="none"/>
        </w:rPr>
        <w:fldChar w:fldCharType="begin"/>
      </w:r>
      <w:r>
        <w:rPr>
          <w:b/>
          <w:color w:val="auto"/>
          <w:sz w:val="22"/>
          <w:szCs w:val="22"/>
          <w:highlight w:val="none"/>
        </w:rPr>
        <w:instrText xml:space="preserve"> </w:instrText>
      </w:r>
      <w:r>
        <w:rPr>
          <w:rFonts w:hint="eastAsia"/>
          <w:b/>
          <w:color w:val="auto"/>
          <w:sz w:val="22"/>
          <w:szCs w:val="22"/>
          <w:highlight w:val="none"/>
        </w:rPr>
        <w:instrText xml:space="preserve">= 1 \* GB3</w:instrText>
      </w:r>
      <w:r>
        <w:rPr>
          <w:b/>
          <w:color w:val="auto"/>
          <w:sz w:val="22"/>
          <w:szCs w:val="22"/>
          <w:highlight w:val="none"/>
        </w:rPr>
        <w:instrText xml:space="preserve"> </w:instrText>
      </w:r>
      <w:r>
        <w:rPr>
          <w:b/>
          <w:color w:val="auto"/>
          <w:sz w:val="22"/>
          <w:szCs w:val="22"/>
          <w:highlight w:val="none"/>
        </w:rPr>
        <w:fldChar w:fldCharType="separate"/>
      </w:r>
      <w:r>
        <w:rPr>
          <w:rFonts w:hint="eastAsia"/>
          <w:b/>
          <w:color w:val="auto"/>
          <w:sz w:val="22"/>
          <w:szCs w:val="22"/>
          <w:highlight w:val="none"/>
        </w:rPr>
        <w:t>①</w:t>
      </w:r>
      <w:r>
        <w:rPr>
          <w:b/>
          <w:color w:val="auto"/>
          <w:sz w:val="22"/>
          <w:szCs w:val="22"/>
          <w:highlight w:val="none"/>
        </w:rPr>
        <w:fldChar w:fldCharType="end"/>
      </w:r>
      <w:r>
        <w:rPr>
          <w:rFonts w:hint="eastAsia"/>
          <w:b/>
          <w:color w:val="auto"/>
          <w:sz w:val="22"/>
          <w:szCs w:val="22"/>
          <w:highlight w:val="none"/>
        </w:rPr>
        <w:t>投标报价为包干价，合同期内服务费用不因市场和政策等因素的变动而调整。上述所列道路及绿化的面积为近似数量，与实际准确数量可能会有出入，各投标人在投标报价时应予以充分考虑，投标人如有需要自行组织现场踏勘，以充分了解项目实施位置、服务范围、周边情况及任何其他足以影响报价的情况，任何因忽视或误解现场情况而导致的索赔或养护费用申请将不予受理。采购单位联系人与联系电话详见招标公告。</w:t>
      </w:r>
    </w:p>
    <w:p>
      <w:pPr>
        <w:spacing w:line="360" w:lineRule="auto"/>
        <w:ind w:firstLine="433" w:firstLineChars="196"/>
        <w:rPr>
          <w:b/>
          <w:color w:val="auto"/>
          <w:sz w:val="22"/>
          <w:szCs w:val="22"/>
          <w:highlight w:val="none"/>
        </w:rPr>
      </w:pPr>
      <w:r>
        <w:rPr>
          <w:rFonts w:hint="eastAsia"/>
          <w:b/>
          <w:color w:val="auto"/>
          <w:sz w:val="22"/>
          <w:szCs w:val="22"/>
          <w:highlight w:val="none"/>
        </w:rPr>
        <w:t>②合同履行期间，如发生服务范围的增加或减少，原则上由甲方统一调配并以签证认可的联系单为准，价格不高于投标时的中标单价，产生的费用计入发生期间所对应的月份中。</w:t>
      </w:r>
    </w:p>
    <w:p>
      <w:pPr>
        <w:pStyle w:val="13"/>
        <w:snapToGrid w:val="0"/>
        <w:spacing w:beforeLines="0" w:afterLines="0" w:line="360" w:lineRule="auto"/>
        <w:rPr>
          <w:rFonts w:ascii="Times New Roman" w:hAnsi="Times New Roman"/>
          <w:b/>
          <w:color w:val="auto"/>
          <w:sz w:val="22"/>
          <w:szCs w:val="22"/>
          <w:highlight w:val="none"/>
        </w:rPr>
      </w:pPr>
      <w:r>
        <w:rPr>
          <w:rFonts w:hint="eastAsia" w:ascii="Times New Roman" w:hAnsi="Times New Roman"/>
          <w:b/>
          <w:color w:val="auto"/>
          <w:sz w:val="22"/>
          <w:szCs w:val="22"/>
          <w:highlight w:val="none"/>
          <w:lang w:val="en-US" w:eastAsia="zh-CN"/>
        </w:rPr>
        <w:t>2.4</w:t>
      </w:r>
      <w:r>
        <w:rPr>
          <w:rFonts w:hint="eastAsia" w:ascii="Times New Roman" w:hAnsi="Times New Roman"/>
          <w:b/>
          <w:color w:val="auto"/>
          <w:sz w:val="22"/>
          <w:szCs w:val="22"/>
          <w:highlight w:val="none"/>
        </w:rPr>
        <w:t>、服务班子配置及人员要求</w:t>
      </w:r>
    </w:p>
    <w:p>
      <w:pPr>
        <w:spacing w:line="360" w:lineRule="auto"/>
        <w:ind w:firstLine="440" w:firstLineChars="200"/>
        <w:rPr>
          <w:bCs/>
          <w:color w:val="auto"/>
          <w:sz w:val="22"/>
          <w:szCs w:val="22"/>
          <w:highlight w:val="none"/>
        </w:rPr>
      </w:pPr>
      <w:r>
        <w:rPr>
          <w:rFonts w:hint="eastAsia"/>
          <w:color w:val="auto"/>
          <w:sz w:val="22"/>
          <w:szCs w:val="22"/>
          <w:highlight w:val="none"/>
        </w:rPr>
        <w:t>各类工作人员</w:t>
      </w:r>
      <w:r>
        <w:rPr>
          <w:rFonts w:hint="eastAsia"/>
          <w:color w:val="auto"/>
          <w:sz w:val="22"/>
          <w:szCs w:val="22"/>
          <w:highlight w:val="none"/>
          <w:lang w:val="en-US" w:eastAsia="zh-CN"/>
        </w:rPr>
        <w:t>113</w:t>
      </w:r>
      <w:r>
        <w:rPr>
          <w:rFonts w:hint="eastAsia"/>
          <w:color w:val="auto"/>
          <w:sz w:val="22"/>
          <w:szCs w:val="22"/>
          <w:highlight w:val="none"/>
        </w:rPr>
        <w:t>名以上（其中保洁和养护人员</w:t>
      </w:r>
      <w:r>
        <w:rPr>
          <w:rFonts w:hint="eastAsia"/>
          <w:color w:val="auto"/>
          <w:sz w:val="22"/>
          <w:szCs w:val="22"/>
          <w:highlight w:val="none"/>
          <w:lang w:val="en-US" w:eastAsia="zh-CN"/>
        </w:rPr>
        <w:t>93</w:t>
      </w:r>
      <w:r>
        <w:rPr>
          <w:rFonts w:hint="eastAsia"/>
          <w:color w:val="auto"/>
          <w:sz w:val="22"/>
          <w:szCs w:val="22"/>
          <w:highlight w:val="none"/>
        </w:rPr>
        <w:t>名以上，特保人员</w:t>
      </w:r>
      <w:r>
        <w:rPr>
          <w:rFonts w:hint="eastAsia"/>
          <w:color w:val="auto"/>
          <w:sz w:val="22"/>
          <w:szCs w:val="22"/>
          <w:highlight w:val="none"/>
          <w:lang w:val="en-US" w:eastAsia="zh-CN"/>
        </w:rPr>
        <w:t>8</w:t>
      </w:r>
      <w:r>
        <w:rPr>
          <w:rFonts w:hint="eastAsia"/>
          <w:color w:val="auto"/>
          <w:sz w:val="22"/>
          <w:szCs w:val="22"/>
          <w:highlight w:val="none"/>
        </w:rPr>
        <w:t>名，</w:t>
      </w:r>
      <w:r>
        <w:rPr>
          <w:rFonts w:hint="eastAsia" w:ascii="宋体" w:hAnsi="宋体" w:cs="宋体"/>
          <w:color w:val="auto"/>
          <w:kern w:val="0"/>
          <w:sz w:val="22"/>
          <w:szCs w:val="22"/>
          <w:highlight w:val="none"/>
          <w:lang w:bidi="ar"/>
        </w:rPr>
        <w:t>拆违突击人员</w:t>
      </w:r>
      <w:r>
        <w:rPr>
          <w:rFonts w:hint="eastAsia" w:ascii="宋体" w:hAnsi="宋体" w:cs="宋体"/>
          <w:color w:val="auto"/>
          <w:kern w:val="0"/>
          <w:sz w:val="22"/>
          <w:szCs w:val="22"/>
          <w:highlight w:val="none"/>
          <w:lang w:val="en-US" w:eastAsia="zh-CN" w:bidi="ar"/>
        </w:rPr>
        <w:t>10名，</w:t>
      </w:r>
      <w:r>
        <w:rPr>
          <w:rFonts w:hint="eastAsia"/>
          <w:color w:val="auto"/>
          <w:sz w:val="22"/>
          <w:szCs w:val="22"/>
          <w:highlight w:val="none"/>
        </w:rPr>
        <w:t>项目专职管理人员不少于2名），按要求认真负责完成日常服务工作，并指定一名负责人，以便甲方随时能联系协调有关服务事项。各类人员原则上</w:t>
      </w:r>
      <w:r>
        <w:rPr>
          <w:bCs/>
          <w:color w:val="auto"/>
          <w:sz w:val="22"/>
          <w:szCs w:val="22"/>
          <w:highlight w:val="none"/>
        </w:rPr>
        <w:t>男性在55</w:t>
      </w:r>
      <w:r>
        <w:rPr>
          <w:rFonts w:hint="eastAsia"/>
          <w:bCs/>
          <w:color w:val="auto"/>
          <w:sz w:val="22"/>
          <w:szCs w:val="22"/>
          <w:highlight w:val="none"/>
        </w:rPr>
        <w:t>周</w:t>
      </w:r>
      <w:r>
        <w:rPr>
          <w:bCs/>
          <w:color w:val="auto"/>
          <w:sz w:val="22"/>
          <w:szCs w:val="22"/>
          <w:highlight w:val="none"/>
        </w:rPr>
        <w:t>岁以下，女性在50</w:t>
      </w:r>
      <w:r>
        <w:rPr>
          <w:rFonts w:hint="eastAsia"/>
          <w:bCs/>
          <w:color w:val="auto"/>
          <w:sz w:val="22"/>
          <w:szCs w:val="22"/>
          <w:highlight w:val="none"/>
        </w:rPr>
        <w:t>周</w:t>
      </w:r>
      <w:r>
        <w:rPr>
          <w:bCs/>
          <w:color w:val="auto"/>
          <w:sz w:val="22"/>
          <w:szCs w:val="22"/>
          <w:highlight w:val="none"/>
        </w:rPr>
        <w:t>岁以下</w:t>
      </w:r>
      <w:r>
        <w:rPr>
          <w:rFonts w:hint="eastAsia"/>
          <w:bCs/>
          <w:color w:val="auto"/>
          <w:sz w:val="22"/>
          <w:szCs w:val="22"/>
          <w:highlight w:val="none"/>
        </w:rPr>
        <w:t>，男女</w:t>
      </w:r>
      <w:r>
        <w:rPr>
          <w:bCs/>
          <w:color w:val="auto"/>
          <w:sz w:val="22"/>
          <w:szCs w:val="22"/>
          <w:highlight w:val="none"/>
        </w:rPr>
        <w:t>比例不低于</w:t>
      </w:r>
      <w:r>
        <w:rPr>
          <w:rFonts w:hint="eastAsia"/>
          <w:bCs/>
          <w:color w:val="auto"/>
          <w:sz w:val="22"/>
          <w:szCs w:val="22"/>
          <w:highlight w:val="none"/>
        </w:rPr>
        <w:t>60</w:t>
      </w:r>
      <w:r>
        <w:rPr>
          <w:bCs/>
          <w:color w:val="auto"/>
          <w:sz w:val="22"/>
          <w:szCs w:val="22"/>
          <w:highlight w:val="none"/>
        </w:rPr>
        <w:t>%</w:t>
      </w:r>
      <w:r>
        <w:rPr>
          <w:rFonts w:hint="eastAsia"/>
          <w:bCs/>
          <w:color w:val="auto"/>
          <w:sz w:val="22"/>
          <w:szCs w:val="22"/>
          <w:highlight w:val="none"/>
        </w:rPr>
        <w:t>（男</w:t>
      </w:r>
      <w:r>
        <w:rPr>
          <w:bCs/>
          <w:color w:val="auto"/>
          <w:sz w:val="22"/>
          <w:szCs w:val="22"/>
          <w:highlight w:val="none"/>
        </w:rPr>
        <w:t>）：</w:t>
      </w:r>
      <w:r>
        <w:rPr>
          <w:rFonts w:hint="eastAsia"/>
          <w:bCs/>
          <w:color w:val="auto"/>
          <w:sz w:val="22"/>
          <w:szCs w:val="22"/>
          <w:highlight w:val="none"/>
        </w:rPr>
        <w:t>40</w:t>
      </w:r>
      <w:r>
        <w:rPr>
          <w:bCs/>
          <w:color w:val="auto"/>
          <w:sz w:val="22"/>
          <w:szCs w:val="22"/>
          <w:highlight w:val="none"/>
        </w:rPr>
        <w:t>%</w:t>
      </w:r>
      <w:r>
        <w:rPr>
          <w:rFonts w:hint="eastAsia"/>
          <w:bCs/>
          <w:color w:val="auto"/>
          <w:sz w:val="22"/>
          <w:szCs w:val="22"/>
          <w:highlight w:val="none"/>
        </w:rPr>
        <w:t>（女</w:t>
      </w:r>
      <w:r>
        <w:rPr>
          <w:bCs/>
          <w:color w:val="auto"/>
          <w:sz w:val="22"/>
          <w:szCs w:val="22"/>
          <w:highlight w:val="none"/>
        </w:rPr>
        <w:t>）</w:t>
      </w:r>
      <w:r>
        <w:rPr>
          <w:rFonts w:hint="eastAsia"/>
          <w:bCs/>
          <w:color w:val="auto"/>
          <w:sz w:val="22"/>
          <w:szCs w:val="22"/>
          <w:highlight w:val="none"/>
        </w:rPr>
        <w:t>，</w:t>
      </w:r>
      <w:r>
        <w:rPr>
          <w:bCs/>
          <w:color w:val="auto"/>
          <w:sz w:val="22"/>
          <w:szCs w:val="22"/>
          <w:highlight w:val="none"/>
        </w:rPr>
        <w:t>无不良嗜好及不良记录</w:t>
      </w:r>
      <w:r>
        <w:rPr>
          <w:rFonts w:hint="eastAsia"/>
          <w:bCs/>
          <w:color w:val="auto"/>
          <w:sz w:val="22"/>
          <w:szCs w:val="22"/>
          <w:highlight w:val="none"/>
        </w:rPr>
        <w:t>。</w:t>
      </w:r>
      <w:r>
        <w:rPr>
          <w:bCs/>
          <w:color w:val="auto"/>
          <w:sz w:val="22"/>
          <w:szCs w:val="22"/>
          <w:highlight w:val="none"/>
        </w:rPr>
        <w:t>如特殊岗位年龄和其他条件另有需求，均须无条件接受</w:t>
      </w:r>
      <w:r>
        <w:rPr>
          <w:rFonts w:hint="eastAsia"/>
          <w:bCs/>
          <w:color w:val="auto"/>
          <w:sz w:val="22"/>
          <w:szCs w:val="22"/>
          <w:highlight w:val="none"/>
        </w:rPr>
        <w:t>业主单位</w:t>
      </w:r>
      <w:r>
        <w:rPr>
          <w:bCs/>
          <w:color w:val="auto"/>
          <w:sz w:val="22"/>
          <w:szCs w:val="22"/>
          <w:highlight w:val="none"/>
        </w:rPr>
        <w:t>的要求。</w:t>
      </w:r>
    </w:p>
    <w:p>
      <w:pPr>
        <w:pStyle w:val="13"/>
        <w:numPr>
          <w:ilvl w:val="0"/>
          <w:numId w:val="0"/>
        </w:numPr>
        <w:snapToGrid w:val="0"/>
        <w:spacing w:beforeLines="0" w:afterLines="0" w:line="360" w:lineRule="auto"/>
        <w:rPr>
          <w:color w:val="auto"/>
          <w:sz w:val="22"/>
          <w:szCs w:val="22"/>
          <w:highlight w:val="none"/>
        </w:rPr>
      </w:pPr>
      <w:r>
        <w:rPr>
          <w:rFonts w:hint="eastAsia" w:ascii="Times New Roman" w:hAnsi="Times New Roman"/>
          <w:b/>
          <w:color w:val="auto"/>
          <w:sz w:val="22"/>
          <w:szCs w:val="22"/>
          <w:highlight w:val="none"/>
          <w:lang w:val="en-US" w:eastAsia="zh-CN"/>
        </w:rPr>
        <w:t xml:space="preserve">3.5  </w:t>
      </w:r>
      <w:r>
        <w:rPr>
          <w:rFonts w:hint="eastAsia" w:ascii="Times New Roman" w:hAnsi="Times New Roman"/>
          <w:b/>
          <w:color w:val="auto"/>
          <w:sz w:val="22"/>
          <w:szCs w:val="22"/>
          <w:highlight w:val="none"/>
        </w:rPr>
        <w:t>机械设备要求</w:t>
      </w:r>
    </w:p>
    <w:tbl>
      <w:tblPr>
        <w:tblStyle w:val="26"/>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4477"/>
        <w:gridCol w:w="1251"/>
        <w:gridCol w:w="127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jc w:val="center"/>
        </w:trPr>
        <w:tc>
          <w:tcPr>
            <w:tcW w:w="535"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序号</w:t>
            </w:r>
          </w:p>
        </w:tc>
        <w:tc>
          <w:tcPr>
            <w:tcW w:w="223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机器设备名称</w:t>
            </w:r>
          </w:p>
        </w:tc>
        <w:tc>
          <w:tcPr>
            <w:tcW w:w="62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单位</w:t>
            </w:r>
          </w:p>
        </w:tc>
        <w:tc>
          <w:tcPr>
            <w:tcW w:w="636"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数量</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2234" w:type="pct"/>
            <w:noWrap w:val="0"/>
            <w:vAlign w:val="center"/>
          </w:tcPr>
          <w:p>
            <w:pPr>
              <w:jc w:val="center"/>
              <w:rPr>
                <w:rFonts w:cs="宋体"/>
                <w:b/>
                <w:bCs/>
                <w:snapToGrid w:val="0"/>
                <w:color w:val="auto"/>
                <w:sz w:val="22"/>
                <w:szCs w:val="22"/>
                <w:highlight w:val="none"/>
              </w:rPr>
            </w:pPr>
            <w:r>
              <w:rPr>
                <w:rFonts w:hint="eastAsia"/>
                <w:color w:val="auto"/>
                <w:sz w:val="22"/>
                <w:szCs w:val="22"/>
                <w:highlight w:val="none"/>
              </w:rPr>
              <w:t>专业机</w:t>
            </w:r>
            <w:r>
              <w:rPr>
                <w:color w:val="auto"/>
                <w:sz w:val="22"/>
                <w:szCs w:val="22"/>
                <w:highlight w:val="none"/>
              </w:rPr>
              <w:t>扫车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2</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专业洒水车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冲洗养护车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自卸车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5</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垃圾清运车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6</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不锈钢箱体式电动三轮车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7</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保洁员人力三轮车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8</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割灌机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9</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绿篱机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10</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11</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草坪吹风机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12</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治安巡逻车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统一特保标识电瓶车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不得使用城管执法专用标志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电动排水泵</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15</w:t>
            </w:r>
          </w:p>
        </w:tc>
        <w:tc>
          <w:tcPr>
            <w:tcW w:w="2234" w:type="pct"/>
            <w:noWrap w:val="0"/>
            <w:vAlign w:val="center"/>
          </w:tcPr>
          <w:p>
            <w:pPr>
              <w:jc w:val="center"/>
              <w:rPr>
                <w:color w:val="auto"/>
                <w:sz w:val="22"/>
                <w:szCs w:val="22"/>
                <w:highlight w:val="none"/>
              </w:rPr>
            </w:pPr>
            <w:r>
              <w:rPr>
                <w:rFonts w:hint="eastAsia"/>
                <w:color w:val="auto"/>
                <w:sz w:val="22"/>
                <w:szCs w:val="22"/>
                <w:highlight w:val="none"/>
              </w:rPr>
              <w:t>统一执法记录仪</w:t>
            </w:r>
          </w:p>
        </w:tc>
        <w:tc>
          <w:tcPr>
            <w:tcW w:w="624" w:type="pct"/>
            <w:noWrap w:val="0"/>
            <w:vAlign w:val="center"/>
          </w:tcPr>
          <w:p>
            <w:pPr>
              <w:jc w:val="center"/>
              <w:rPr>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color w:val="auto"/>
                <w:sz w:val="22"/>
                <w:szCs w:val="22"/>
                <w:highlight w:val="none"/>
              </w:rPr>
            </w:pPr>
            <w:r>
              <w:rPr>
                <w:rFonts w:hint="eastAsia"/>
                <w:color w:val="auto"/>
                <w:sz w:val="22"/>
                <w:szCs w:val="22"/>
                <w:highlight w:val="none"/>
              </w:rPr>
              <w:t>12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16</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下水道疏通器</w:t>
            </w:r>
          </w:p>
        </w:tc>
        <w:tc>
          <w:tcPr>
            <w:tcW w:w="624" w:type="pct"/>
            <w:noWrap w:val="0"/>
            <w:vAlign w:val="center"/>
          </w:tcPr>
          <w:p>
            <w:pPr>
              <w:jc w:val="center"/>
              <w:rPr>
                <w:color w:val="auto"/>
                <w:sz w:val="22"/>
                <w:szCs w:val="22"/>
                <w:highlight w:val="none"/>
              </w:rPr>
            </w:pPr>
            <w:r>
              <w:rPr>
                <w:rFonts w:hint="eastAsia"/>
                <w:color w:val="auto"/>
                <w:sz w:val="22"/>
                <w:szCs w:val="22"/>
                <w:highlight w:val="none"/>
              </w:rPr>
              <w:t>套</w:t>
            </w:r>
          </w:p>
        </w:tc>
        <w:tc>
          <w:tcPr>
            <w:tcW w:w="636"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bl>
    <w:p>
      <w:pPr>
        <w:spacing w:line="440" w:lineRule="exact"/>
        <w:ind w:firstLine="442" w:firstLineChars="200"/>
        <w:rPr>
          <w:rFonts w:cs="Arial"/>
          <w:b/>
          <w:color w:val="auto"/>
          <w:sz w:val="22"/>
          <w:szCs w:val="22"/>
          <w:highlight w:val="none"/>
        </w:rPr>
      </w:pPr>
      <w:r>
        <w:rPr>
          <w:rFonts w:hint="eastAsia"/>
          <w:b/>
          <w:color w:val="auto"/>
          <w:sz w:val="22"/>
          <w:szCs w:val="22"/>
          <w:highlight w:val="none"/>
        </w:rPr>
        <w:t>注：</w:t>
      </w:r>
      <w:r>
        <w:rPr>
          <w:rFonts w:hint="eastAsia" w:cs="Arial"/>
          <w:b/>
          <w:color w:val="auto"/>
          <w:sz w:val="22"/>
          <w:szCs w:val="22"/>
          <w:highlight w:val="none"/>
        </w:rPr>
        <w:t>投标人投标时必须提供详细的设备清单（指中标单位所采用的机械设备，包括但不限于机械设备要求表中所列的机械设备），清单至少包括设备名称、规格型号、数量、单价、购买时间、使用年限等项目。投标人针对本项目已购置或租赁的机械设备，购置发票复印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件，须编入技术商务文件中；投标人目前尚未购置或租赁的机械设备，须承诺一旦中标，在合同签订前完成购置或租赁，并提供购置发票原件或租赁协议</w:t>
      </w:r>
      <w:r>
        <w:rPr>
          <w:rFonts w:hint="eastAsia" w:cs="Arial"/>
          <w:b/>
          <w:color w:val="auto"/>
          <w:sz w:val="22"/>
          <w:szCs w:val="22"/>
          <w:highlight w:val="none"/>
          <w:lang w:val="en-US" w:eastAsia="zh-CN"/>
        </w:rPr>
        <w:t>复印件</w:t>
      </w:r>
      <w:r>
        <w:rPr>
          <w:rFonts w:hint="eastAsia" w:cs="Arial"/>
          <w:b/>
          <w:color w:val="auto"/>
          <w:sz w:val="22"/>
          <w:szCs w:val="22"/>
          <w:highlight w:val="none"/>
        </w:rPr>
        <w:t>，否则中标无效。</w:t>
      </w:r>
    </w:p>
    <w:p>
      <w:pPr>
        <w:pStyle w:val="13"/>
        <w:snapToGrid w:val="0"/>
        <w:spacing w:beforeLines="0" w:afterLines="0" w:line="360" w:lineRule="auto"/>
        <w:ind w:firstLine="440" w:firstLineChars="200"/>
        <w:rPr>
          <w:rFonts w:ascii="Calibri" w:hAnsi="Calibri"/>
          <w:color w:val="auto"/>
          <w:szCs w:val="22"/>
          <w:highlight w:val="none"/>
        </w:rPr>
      </w:pPr>
      <w:r>
        <w:rPr>
          <w:rFonts w:hint="eastAsia" w:ascii="Calibri" w:hAnsi="Calibri"/>
          <w:color w:val="auto"/>
          <w:sz w:val="22"/>
          <w:szCs w:val="22"/>
          <w:highlight w:val="none"/>
        </w:rPr>
        <w:br w:type="page"/>
      </w:r>
      <w:r>
        <w:rPr>
          <w:rFonts w:hint="eastAsia" w:ascii="Calibri" w:hAnsi="Calibri"/>
          <w:color w:val="auto"/>
          <w:highlight w:val="none"/>
        </w:rPr>
        <w:t>标项2：</w:t>
      </w:r>
      <w:r>
        <w:rPr>
          <w:rFonts w:hint="eastAsia" w:hAnsi="宋体" w:cs="Arial"/>
          <w:color w:val="auto"/>
          <w:sz w:val="21"/>
          <w:szCs w:val="21"/>
          <w:highlight w:val="none"/>
        </w:rPr>
        <w:t>2022年庄桥街道五位一体综合服务外包项目（西片区）</w:t>
      </w:r>
    </w:p>
    <w:p>
      <w:pPr>
        <w:pStyle w:val="10"/>
        <w:spacing w:line="440" w:lineRule="exact"/>
        <w:ind w:firstLine="585" w:firstLineChars="243"/>
        <w:rPr>
          <w:rFonts w:hint="eastAsia" w:hAnsi="宋体" w:cs="Times New Roman"/>
          <w:b/>
          <w:color w:val="auto"/>
          <w:spacing w:val="0"/>
          <w:sz w:val="24"/>
          <w:szCs w:val="24"/>
          <w:highlight w:val="none"/>
        </w:rPr>
      </w:pPr>
      <w:r>
        <w:rPr>
          <w:rFonts w:hint="eastAsia" w:hAnsi="宋体" w:cs="Times New Roman"/>
          <w:b/>
          <w:color w:val="auto"/>
          <w:spacing w:val="0"/>
          <w:sz w:val="24"/>
          <w:szCs w:val="24"/>
          <w:highlight w:val="none"/>
        </w:rPr>
        <w:t>2.1、采购需求</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1、服务范围：</w:t>
      </w:r>
      <w:r>
        <w:rPr>
          <w:rFonts w:hint="eastAsia" w:hAnsi="宋体" w:cs="Arial"/>
          <w:color w:val="auto"/>
          <w:sz w:val="21"/>
          <w:szCs w:val="21"/>
          <w:highlight w:val="none"/>
        </w:rPr>
        <w:t>2022年庄桥街道五位一体综合服务外包项目（西片区）</w:t>
      </w:r>
      <w:r>
        <w:rPr>
          <w:rFonts w:hint="eastAsia" w:hAnsi="宋体" w:cs="Arial"/>
          <w:color w:val="auto"/>
          <w:highlight w:val="none"/>
        </w:rPr>
        <w:t>道路保洁</w:t>
      </w:r>
      <w:r>
        <w:rPr>
          <w:rFonts w:hint="eastAsia" w:hAnsi="宋体"/>
          <w:color w:val="auto"/>
          <w:sz w:val="22"/>
          <w:szCs w:val="22"/>
          <w:highlight w:val="none"/>
        </w:rPr>
        <w:t>约33.2万平方米、背街小巷约12.8万平方米、公共厕所保洁14座；绿化养护（含补种）面积约19.6万平方米；区域范围内的市容秩序辅助管理。</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2、服务内容：招标区域范围内的道路路面、公共厕所保洁服务、背街小巷，含垃圾桶、牛皮癣、墙体广告，乱堆放、田间废弃物、乱吊挂、垃圾收集和清运、雨污水管道、井座等清淤等；绿化养护（含补种）修剪及清理，灾害应急、偷倒垃圾盯防及处理；闸门、泵站清理维修，汛期值班等管养服务以及市容秩序辅助管理服务。</w:t>
      </w:r>
    </w:p>
    <w:p>
      <w:pPr>
        <w:pStyle w:val="13"/>
        <w:snapToGrid w:val="0"/>
        <w:spacing w:before="120" w:after="12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3、服务期限：三年。合同一年一签，一年服务期满后经采购人考核合格，并经双方同意后</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可续订合同。合同期内（包含续签合同期内）服务费用不作调整。</w:t>
      </w:r>
    </w:p>
    <w:p>
      <w:pPr>
        <w:ind w:firstLine="482" w:firstLineChars="200"/>
        <w:jc w:val="left"/>
        <w:rPr>
          <w:rFonts w:hint="eastAsia"/>
          <w:color w:val="auto"/>
          <w:highlight w:val="none"/>
        </w:rPr>
      </w:pPr>
      <w:r>
        <w:rPr>
          <w:rFonts w:hint="eastAsia" w:ascii="宋体" w:hAnsi="宋体"/>
          <w:b/>
          <w:color w:val="auto"/>
          <w:sz w:val="24"/>
          <w:szCs w:val="24"/>
          <w:highlight w:val="none"/>
        </w:rPr>
        <w:t>2.2服务区域</w:t>
      </w:r>
    </w:p>
    <w:p>
      <w:pPr>
        <w:widowControl/>
        <w:rPr>
          <w:color w:val="auto"/>
          <w:highlight w:val="none"/>
        </w:rPr>
      </w:pPr>
    </w:p>
    <w:tbl>
      <w:tblPr>
        <w:tblStyle w:val="26"/>
        <w:tblpPr w:leftFromText="180" w:rightFromText="180" w:vertAnchor="text" w:horzAnchor="page" w:tblpX="1225" w:tblpY="-160"/>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90"/>
        <w:gridCol w:w="1185"/>
        <w:gridCol w:w="1245"/>
        <w:gridCol w:w="1095"/>
        <w:gridCol w:w="208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255" w:type="dxa"/>
            <w:gridSpan w:val="7"/>
            <w:noWrap/>
            <w:vAlign w:val="center"/>
          </w:tcPr>
          <w:p>
            <w:pPr>
              <w:widowControl/>
              <w:jc w:val="center"/>
              <w:rPr>
                <w:rFonts w:ascii="宋体" w:hAnsi="宋体" w:cs="宋体"/>
                <w:b/>
                <w:bCs/>
                <w:color w:val="auto"/>
                <w:kern w:val="0"/>
                <w:sz w:val="28"/>
                <w:szCs w:val="28"/>
                <w:highlight w:val="none"/>
              </w:rPr>
            </w:pPr>
            <w:r>
              <w:rPr>
                <w:rFonts w:hint="eastAsia"/>
                <w:b/>
                <w:bCs/>
                <w:color w:val="auto"/>
                <w:sz w:val="28"/>
                <w:szCs w:val="28"/>
                <w:highlight w:val="none"/>
              </w:rPr>
              <w:t>2-1道路保洁面积明细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序 号</w:t>
            </w:r>
          </w:p>
        </w:tc>
        <w:tc>
          <w:tcPr>
            <w:tcW w:w="18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道路名称</w:t>
            </w:r>
          </w:p>
        </w:tc>
        <w:tc>
          <w:tcPr>
            <w:tcW w:w="1185" w:type="dxa"/>
            <w:noWrap w:val="0"/>
            <w:vAlign w:val="bottom"/>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道路面积(㎡)</w:t>
            </w:r>
          </w:p>
        </w:tc>
        <w:tc>
          <w:tcPr>
            <w:tcW w:w="1245" w:type="dxa"/>
            <w:noWrap w:val="0"/>
            <w:vAlign w:val="bottom"/>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人行道面积(㎡)</w:t>
            </w:r>
          </w:p>
        </w:tc>
        <w:tc>
          <w:tcPr>
            <w:tcW w:w="1095"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面积（㎡）</w:t>
            </w:r>
          </w:p>
        </w:tc>
        <w:tc>
          <w:tcPr>
            <w:tcW w:w="2086"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范围、内容</w:t>
            </w:r>
          </w:p>
        </w:tc>
        <w:tc>
          <w:tcPr>
            <w:tcW w:w="1064"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宁慈公路（穿镇段北侧）</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19591.5</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2712</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22303.5</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东起庄桥河至康庄路</w:t>
            </w:r>
          </w:p>
        </w:tc>
        <w:tc>
          <w:tcPr>
            <w:tcW w:w="1064"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宁慈公路（西段）</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19591.5</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1356</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20947.5</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康庄路至洪塘交界处</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解放西路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1484</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586.8</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2070.8</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河西至丽庄路</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河西路（庄桥大街）</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11985</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12013</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23998</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南至宁慈公路北至红旗大闸</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公园路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3515</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330</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3845</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南至宁慈公路北至庄桥公园</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车站路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3341</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1013</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4354</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东至庄桥大街西至新都路</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新都路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13890</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6916</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20806</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南至宁慈公路北至孔家桥</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丽庄路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10681</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4100</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14781</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东至公园路西至康庄路</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丽庄路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618</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618</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丽庄西苑二期门口</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新桥一路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2613</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1436</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4049</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东至康桥路西至康庄路</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新桥二路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7611</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7611</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东至康桥路西至康庄路</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新桥三路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4187</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2398</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6585</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东至康桥路西至康庄路</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新桥四路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1991</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1170</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3161</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东至康桥路西至康庄路</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城庄路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15890</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9811</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25701</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南至宁慈公路北至新桥一路口</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星期三集市</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7516</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7516</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庄桥幼儿园西门门前道路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1298</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649</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1947</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河西社区文化中心门前道路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1064</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1064</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河西社区文化中心广场</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1012</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1012</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东保公路（灵山段）</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34298</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34298</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荣吉西路入口至灵山T字型路口</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鞍前线</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6860</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3430</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10290</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灵山T字型路口至鞍山村口</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黄保公路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9980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9980</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灵山T字型路口至镇海交界处</w:t>
            </w:r>
          </w:p>
        </w:tc>
        <w:tc>
          <w:tcPr>
            <w:tcW w:w="1064"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22</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东保路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36150</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2293</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38443</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南至宁慈公路北至荣吉西路</w:t>
            </w:r>
          </w:p>
        </w:tc>
        <w:tc>
          <w:tcPr>
            <w:tcW w:w="1064" w:type="dxa"/>
            <w:noWrap w:val="0"/>
            <w:vAlign w:val="center"/>
          </w:tcPr>
          <w:p>
            <w:pPr>
              <w:widowControl/>
              <w:jc w:val="center"/>
              <w:textAlignment w:val="top"/>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23</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解放路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885</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885</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庄桥大街——庄桥公园人行道</w:t>
            </w:r>
          </w:p>
        </w:tc>
        <w:tc>
          <w:tcPr>
            <w:tcW w:w="1064" w:type="dxa"/>
            <w:noWrap w:val="0"/>
            <w:vAlign w:val="center"/>
          </w:tcPr>
          <w:p>
            <w:pPr>
              <w:widowControl/>
              <w:jc w:val="center"/>
              <w:textAlignment w:val="top"/>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24</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楼家河栈道</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1500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1500</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庄桥新菜场</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500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500</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沥青跑步道</w:t>
            </w:r>
          </w:p>
        </w:tc>
        <w:tc>
          <w:tcPr>
            <w:tcW w:w="1064" w:type="dxa"/>
            <w:noWrap w:val="0"/>
            <w:vAlign w:val="center"/>
          </w:tcPr>
          <w:p>
            <w:pPr>
              <w:widowControl/>
              <w:jc w:val="center"/>
              <w:textAlignment w:val="top"/>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26</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楼家河公园</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widowControl/>
              <w:jc w:val="center"/>
              <w:textAlignment w:val="top"/>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27</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康庄路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55200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55200</w:t>
            </w:r>
          </w:p>
        </w:tc>
        <w:tc>
          <w:tcPr>
            <w:tcW w:w="2086"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宁慈公路至楼家立交桥</w:t>
            </w: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28</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横路陈-庙下陈农村公路</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4560</w:t>
            </w:r>
          </w:p>
        </w:tc>
        <w:tc>
          <w:tcPr>
            <w:tcW w:w="124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180</w:t>
            </w: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4740</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29</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新星都市退红区域</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2200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2200</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widowControl/>
              <w:jc w:val="center"/>
              <w:textAlignment w:val="top"/>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丽庄西苑退红区域</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1470</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1470</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widowControl/>
              <w:jc w:val="center"/>
              <w:textAlignment w:val="top"/>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31</w:t>
            </w:r>
          </w:p>
        </w:tc>
        <w:tc>
          <w:tcPr>
            <w:tcW w:w="1890"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18"/>
                <w:szCs w:val="18"/>
                <w:highlight w:val="none"/>
                <w:lang w:bidi="ar"/>
              </w:rPr>
              <w:t>樟韵人家退红区域</w:t>
            </w:r>
          </w:p>
        </w:tc>
        <w:tc>
          <w:tcPr>
            <w:tcW w:w="118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285</w:t>
            </w:r>
          </w:p>
        </w:tc>
        <w:tc>
          <w:tcPr>
            <w:tcW w:w="1245" w:type="dxa"/>
            <w:noWrap w:val="0"/>
            <w:vAlign w:val="center"/>
          </w:tcPr>
          <w:p>
            <w:pPr>
              <w:jc w:val="center"/>
              <w:rPr>
                <w:rFonts w:ascii="宋体" w:hAnsi="宋体" w:cs="宋体"/>
                <w:color w:val="auto"/>
                <w:kern w:val="0"/>
                <w:sz w:val="22"/>
                <w:szCs w:val="22"/>
                <w:highlight w:val="none"/>
              </w:rPr>
            </w:pPr>
          </w:p>
        </w:tc>
        <w:tc>
          <w:tcPr>
            <w:tcW w:w="1095"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285</w:t>
            </w:r>
          </w:p>
        </w:tc>
        <w:tc>
          <w:tcPr>
            <w:tcW w:w="2086" w:type="dxa"/>
            <w:noWrap w:val="0"/>
            <w:vAlign w:val="center"/>
          </w:tcPr>
          <w:p>
            <w:pPr>
              <w:jc w:val="center"/>
              <w:rPr>
                <w:rFonts w:ascii="宋体" w:hAnsi="宋体" w:cs="宋体"/>
                <w:color w:val="auto"/>
                <w:kern w:val="0"/>
                <w:sz w:val="22"/>
                <w:szCs w:val="22"/>
                <w:highlight w:val="none"/>
              </w:rPr>
            </w:pPr>
          </w:p>
        </w:tc>
        <w:tc>
          <w:tcPr>
            <w:tcW w:w="1064" w:type="dxa"/>
            <w:noWrap w:val="0"/>
            <w:vAlign w:val="center"/>
          </w:tcPr>
          <w:p>
            <w:pPr>
              <w:jc w:val="center"/>
              <w:rPr>
                <w:rFonts w:ascii="宋体" w:hAnsi="宋体" w:cs="宋体"/>
                <w:color w:val="auto"/>
                <w:kern w:val="0"/>
                <w:sz w:val="22"/>
                <w:szCs w:val="22"/>
                <w:highlight w:val="none"/>
              </w:rPr>
            </w:pPr>
          </w:p>
        </w:tc>
      </w:tr>
    </w:tbl>
    <w:tbl>
      <w:tblPr>
        <w:tblStyle w:val="26"/>
        <w:tblW w:w="9436" w:type="dxa"/>
        <w:tblInd w:w="-543" w:type="dxa"/>
        <w:tblLayout w:type="fixed"/>
        <w:tblCellMar>
          <w:top w:w="0" w:type="dxa"/>
          <w:left w:w="108" w:type="dxa"/>
          <w:bottom w:w="0" w:type="dxa"/>
          <w:right w:w="108" w:type="dxa"/>
        </w:tblCellMar>
      </w:tblPr>
      <w:tblGrid>
        <w:gridCol w:w="960"/>
        <w:gridCol w:w="176"/>
        <w:gridCol w:w="100"/>
        <w:gridCol w:w="1258"/>
        <w:gridCol w:w="851"/>
        <w:gridCol w:w="992"/>
        <w:gridCol w:w="992"/>
        <w:gridCol w:w="1134"/>
        <w:gridCol w:w="992"/>
        <w:gridCol w:w="426"/>
        <w:gridCol w:w="283"/>
        <w:gridCol w:w="425"/>
        <w:gridCol w:w="651"/>
        <w:gridCol w:w="196"/>
      </w:tblGrid>
      <w:tr>
        <w:tblPrEx>
          <w:tblCellMar>
            <w:top w:w="0" w:type="dxa"/>
            <w:left w:w="108" w:type="dxa"/>
            <w:bottom w:w="0" w:type="dxa"/>
            <w:right w:w="108" w:type="dxa"/>
          </w:tblCellMar>
        </w:tblPrEx>
        <w:trPr>
          <w:gridAfter w:val="1"/>
          <w:wAfter w:w="196" w:type="dxa"/>
          <w:trHeight w:val="642" w:hRule="atLeast"/>
        </w:trPr>
        <w:tc>
          <w:tcPr>
            <w:tcW w:w="9240" w:type="dxa"/>
            <w:gridSpan w:val="13"/>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 w:val="22"/>
                <w:szCs w:val="22"/>
                <w:highlight w:val="none"/>
              </w:rPr>
            </w:pPr>
            <w:r>
              <w:rPr>
                <w:rFonts w:hint="eastAsia"/>
                <w:b/>
                <w:bCs/>
                <w:color w:val="auto"/>
                <w:sz w:val="28"/>
                <w:szCs w:val="28"/>
                <w:highlight w:val="none"/>
              </w:rPr>
              <w:t>2-2</w:t>
            </w:r>
            <w:r>
              <w:rPr>
                <w:b/>
                <w:bCs/>
                <w:color w:val="auto"/>
                <w:sz w:val="28"/>
                <w:szCs w:val="28"/>
                <w:highlight w:val="none"/>
              </w:rPr>
              <w:t>背街小巷保养范围明细</w:t>
            </w:r>
          </w:p>
        </w:tc>
      </w:tr>
      <w:tr>
        <w:tblPrEx>
          <w:tblCellMar>
            <w:top w:w="0" w:type="dxa"/>
            <w:left w:w="108" w:type="dxa"/>
            <w:bottom w:w="0" w:type="dxa"/>
            <w:right w:w="108" w:type="dxa"/>
          </w:tblCellMar>
        </w:tblPrEx>
        <w:trPr>
          <w:gridAfter w:val="1"/>
          <w:wAfter w:w="196" w:type="dxa"/>
          <w:trHeight w:val="642" w:hRule="atLeast"/>
        </w:trPr>
        <w:tc>
          <w:tcPr>
            <w:tcW w:w="96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534" w:type="dxa"/>
            <w:gridSpan w:val="3"/>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路名</w:t>
            </w:r>
          </w:p>
        </w:tc>
        <w:tc>
          <w:tcPr>
            <w:tcW w:w="851"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道路面积(㎡)</w:t>
            </w:r>
          </w:p>
        </w:tc>
        <w:tc>
          <w:tcPr>
            <w:tcW w:w="99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人行道面积(㎡)</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面积（㎡）</w:t>
            </w:r>
          </w:p>
        </w:tc>
        <w:tc>
          <w:tcPr>
            <w:tcW w:w="2552" w:type="dxa"/>
            <w:gridSpan w:val="3"/>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起至</w:t>
            </w:r>
          </w:p>
        </w:tc>
        <w:tc>
          <w:tcPr>
            <w:tcW w:w="1359"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道路等级</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534" w:type="dxa"/>
            <w:gridSpan w:val="3"/>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金葛巷</w:t>
            </w:r>
          </w:p>
        </w:tc>
        <w:tc>
          <w:tcPr>
            <w:tcW w:w="851"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2162</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4060</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6222</w:t>
            </w:r>
          </w:p>
        </w:tc>
        <w:tc>
          <w:tcPr>
            <w:tcW w:w="2552" w:type="dxa"/>
            <w:gridSpan w:val="3"/>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北至庄桥大街南至解放路</w:t>
            </w:r>
          </w:p>
        </w:tc>
        <w:tc>
          <w:tcPr>
            <w:tcW w:w="1359" w:type="dxa"/>
            <w:gridSpan w:val="3"/>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534" w:type="dxa"/>
            <w:gridSpan w:val="3"/>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城庄路</w:t>
            </w:r>
          </w:p>
        </w:tc>
        <w:tc>
          <w:tcPr>
            <w:tcW w:w="851"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15890</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9811</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25701</w:t>
            </w:r>
          </w:p>
        </w:tc>
        <w:tc>
          <w:tcPr>
            <w:tcW w:w="2552" w:type="dxa"/>
            <w:gridSpan w:val="3"/>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南至宁慈公路北至新桥一路口</w:t>
            </w:r>
          </w:p>
        </w:tc>
        <w:tc>
          <w:tcPr>
            <w:tcW w:w="1359" w:type="dxa"/>
            <w:gridSpan w:val="3"/>
            <w:tcBorders>
              <w:top w:val="nil"/>
              <w:left w:val="nil"/>
              <w:bottom w:val="single" w:color="auto" w:sz="8" w:space="0"/>
              <w:right w:val="single" w:color="auto"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葛家石道地</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4584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4584</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徐家园新村背街小巷</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2324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2324</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盛家新村背街小巷</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2094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2094</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庄桥老菜场周边背街小巷</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5039.2</w:t>
            </w:r>
          </w:p>
        </w:tc>
        <w:tc>
          <w:tcPr>
            <w:tcW w:w="992"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864</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5903.2</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庄桥老菜场小广场</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1554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1554</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河西路周边物业周边背街小巷</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3879</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3879</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金葛巷10号背街小巷</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630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630</w:t>
            </w:r>
          </w:p>
        </w:tc>
        <w:tc>
          <w:tcPr>
            <w:tcW w:w="2552" w:type="dxa"/>
            <w:gridSpan w:val="3"/>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菜场东北侧小路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581</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581</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南至车站路北至解放路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费市家园南侧道路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836</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836</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费市家苑小区至东保路门前道路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薛邵线</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1928</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1928</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东保路至火车北站中间道路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塘李线</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23304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23304</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南起红旗大闸北至镇海交界处</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联费线（东段）</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8678</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8678</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联群村至康庄北路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费苏线</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4400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4400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申明亭路至费市村</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居费线</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3900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3900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荣吉西路至费市村</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邵应线</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1800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1800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塘李线至桥头</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联费线（西段）</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3600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3600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联群村至费市村</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居陆村</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8800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8800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荣吉西路口至东保路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红旗大闸前道路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1880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1880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塘李线至红旗大闸口道路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21</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舒家小路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1840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1840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塘李线至舒家河边两侧道路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同善堂小路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408</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408</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车站路至宁慈公路</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23</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众仁路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3450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3450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宁慈中路至上邵富邵路段</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富邵路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3510</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3510</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上邵富邵路至泰和路段</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25</w:t>
            </w: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泰和路</w:t>
            </w: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6094</w:t>
            </w: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18"/>
                <w:szCs w:val="18"/>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6094</w:t>
            </w: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泰和路至宁慈中路段</w:t>
            </w: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96" w:type="dxa"/>
          <w:trHeight w:val="642" w:hRule="atLeast"/>
        </w:trPr>
        <w:tc>
          <w:tcPr>
            <w:tcW w:w="960"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auto"/>
                <w:kern w:val="0"/>
                <w:sz w:val="22"/>
                <w:szCs w:val="22"/>
                <w:highlight w:val="none"/>
              </w:rPr>
            </w:pPr>
          </w:p>
        </w:tc>
        <w:tc>
          <w:tcPr>
            <w:tcW w:w="1534"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p>
        </w:tc>
        <w:tc>
          <w:tcPr>
            <w:tcW w:w="8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p>
        </w:tc>
        <w:tc>
          <w:tcPr>
            <w:tcW w:w="992" w:type="dxa"/>
            <w:tcBorders>
              <w:top w:val="nil"/>
              <w:left w:val="nil"/>
              <w:bottom w:val="single" w:color="000000" w:sz="8" w:space="0"/>
              <w:right w:val="single" w:color="000000" w:sz="8" w:space="0"/>
            </w:tcBorders>
            <w:noWrap w:val="0"/>
            <w:vAlign w:val="center"/>
          </w:tcPr>
          <w:p>
            <w:pPr>
              <w:jc w:val="center"/>
              <w:rPr>
                <w:rFonts w:ascii="宋体" w:hAnsi="宋体" w:cs="宋体"/>
                <w:color w:val="auto"/>
                <w:kern w:val="0"/>
                <w:sz w:val="22"/>
                <w:szCs w:val="22"/>
                <w:highlight w:val="none"/>
              </w:rPr>
            </w:pP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p>
        </w:tc>
        <w:tc>
          <w:tcPr>
            <w:tcW w:w="2552" w:type="dxa"/>
            <w:gridSpan w:val="3"/>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kern w:val="0"/>
                <w:sz w:val="18"/>
                <w:szCs w:val="18"/>
                <w:highlight w:val="none"/>
                <w:lang w:bidi="ar"/>
              </w:rPr>
            </w:pPr>
          </w:p>
        </w:tc>
        <w:tc>
          <w:tcPr>
            <w:tcW w:w="1359" w:type="dxa"/>
            <w:gridSpan w:val="3"/>
            <w:tcBorders>
              <w:top w:val="nil"/>
              <w:left w:val="nil"/>
              <w:bottom w:val="single" w:color="auto" w:sz="8" w:space="0"/>
              <w:right w:val="single" w:color="000000" w:sz="8" w:space="0"/>
            </w:tcBorders>
            <w:noWrap w:val="0"/>
            <w:vAlign w:val="center"/>
          </w:tcPr>
          <w:p>
            <w:pPr>
              <w:widowControl/>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9240" w:type="dxa"/>
            <w:gridSpan w:val="13"/>
            <w:noWrap w:val="0"/>
            <w:vAlign w:val="center"/>
          </w:tcPr>
          <w:p>
            <w:pPr>
              <w:widowControl/>
              <w:jc w:val="center"/>
              <w:rPr>
                <w:rFonts w:ascii="宋体" w:hAnsi="宋体" w:cs="宋体"/>
                <w:b/>
                <w:bCs/>
                <w:color w:val="auto"/>
                <w:kern w:val="0"/>
                <w:sz w:val="22"/>
                <w:szCs w:val="22"/>
                <w:highlight w:val="none"/>
              </w:rPr>
            </w:pPr>
            <w:r>
              <w:rPr>
                <w:rFonts w:hint="eastAsia"/>
                <w:b/>
                <w:bCs/>
                <w:color w:val="auto"/>
                <w:sz w:val="28"/>
                <w:szCs w:val="28"/>
                <w:highlight w:val="none"/>
              </w:rPr>
              <w:t>2-3绿化养护范围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 号</w:t>
            </w:r>
          </w:p>
        </w:tc>
        <w:tc>
          <w:tcPr>
            <w:tcW w:w="5327" w:type="dxa"/>
            <w:gridSpan w:val="6"/>
            <w:noWrap w:val="0"/>
            <w:vAlign w:val="center"/>
          </w:tcPr>
          <w:p>
            <w:pPr>
              <w:widowControl/>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绿化区域</w:t>
            </w:r>
          </w:p>
        </w:tc>
        <w:tc>
          <w:tcPr>
            <w:tcW w:w="992" w:type="dxa"/>
            <w:noWrap w:val="0"/>
            <w:vAlign w:val="center"/>
          </w:tcPr>
          <w:p>
            <w:pPr>
              <w:widowControl/>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面积（㎡）</w:t>
            </w:r>
          </w:p>
        </w:tc>
        <w:tc>
          <w:tcPr>
            <w:tcW w:w="709" w:type="dxa"/>
            <w:gridSpan w:val="2"/>
            <w:noWrap w:val="0"/>
            <w:vAlign w:val="center"/>
          </w:tcPr>
          <w:p>
            <w:pPr>
              <w:widowControl/>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养护等级</w:t>
            </w:r>
          </w:p>
        </w:tc>
        <w:tc>
          <w:tcPr>
            <w:tcW w:w="1076" w:type="dxa"/>
            <w:gridSpan w:val="2"/>
            <w:noWrap w:val="0"/>
            <w:vAlign w:val="center"/>
          </w:tcPr>
          <w:p>
            <w:pPr>
              <w:widowControl/>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庄桥公园</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12140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康桥路两侧</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19814</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庄桥街道新桥1路-4路两侧</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20131</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庄桥街道宁慈公路两侧</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27013</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庄桥街道西邵工业区</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28131</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庄桥街道舞林广场</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9806</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丽庄二期门口</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816</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新都路两侧</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8160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河西社区四周</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2131</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三联加油站—西宁塑机厂</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981</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上邵</w:t>
            </w:r>
            <w:r>
              <w:rPr>
                <w:color w:val="auto"/>
                <w:kern w:val="0"/>
                <w:sz w:val="18"/>
                <w:szCs w:val="18"/>
                <w:highlight w:val="none"/>
                <w:lang w:bidi="ar"/>
              </w:rPr>
              <w:t>-</w:t>
            </w:r>
            <w:r>
              <w:rPr>
                <w:rFonts w:hint="eastAsia" w:ascii="宋体" w:hAnsi="宋体" w:cs="宋体"/>
                <w:color w:val="auto"/>
                <w:kern w:val="0"/>
                <w:sz w:val="18"/>
                <w:szCs w:val="18"/>
                <w:highlight w:val="none"/>
                <w:lang w:bidi="ar"/>
              </w:rPr>
              <w:t>压观</w:t>
            </w:r>
            <w:r>
              <w:rPr>
                <w:color w:val="auto"/>
                <w:kern w:val="0"/>
                <w:sz w:val="18"/>
                <w:szCs w:val="18"/>
                <w:highlight w:val="none"/>
                <w:lang w:bidi="ar"/>
              </w:rPr>
              <w:t>-</w:t>
            </w:r>
            <w:r>
              <w:rPr>
                <w:rFonts w:hint="eastAsia" w:ascii="宋体" w:hAnsi="宋体" w:cs="宋体"/>
                <w:color w:val="auto"/>
                <w:kern w:val="0"/>
                <w:sz w:val="18"/>
                <w:szCs w:val="18"/>
                <w:highlight w:val="none"/>
                <w:lang w:bidi="ar"/>
              </w:rPr>
              <w:t>上邵</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1311</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东保线绿化（宁慈公路入口—荣吉西路）</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22576</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移交后按实结算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庄桥新菜场</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1554</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灵山绿化</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10370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费市家苑门口绿化</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2904</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　</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楼家河公园</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70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楼家河栈道</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362.5</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庄桥大街（宁慈公路口至荣吉西路）</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4336.5</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舒家穿村公路单侧</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945</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宁慈路（北环西路至上邵段）</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1560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21</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康庄路（宁慈公路至荣吉西路）</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19020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59" w:hRule="atLeast"/>
        </w:trPr>
        <w:tc>
          <w:tcPr>
            <w:tcW w:w="1136"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w:t>
            </w:r>
          </w:p>
        </w:tc>
        <w:tc>
          <w:tcPr>
            <w:tcW w:w="5327" w:type="dxa"/>
            <w:gridSpan w:val="6"/>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横路陈-庙下陈农村公路</w:t>
            </w:r>
          </w:p>
        </w:tc>
        <w:tc>
          <w:tcPr>
            <w:tcW w:w="992" w:type="dxa"/>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bidi="ar"/>
              </w:rPr>
              <w:t>1400</w:t>
            </w:r>
          </w:p>
        </w:tc>
        <w:tc>
          <w:tcPr>
            <w:tcW w:w="709" w:type="dxa"/>
            <w:gridSpan w:val="2"/>
            <w:noWrap w:val="0"/>
            <w:vAlign w:val="center"/>
          </w:tcPr>
          <w:p>
            <w:pPr>
              <w:jc w:val="center"/>
              <w:rPr>
                <w:rFonts w:ascii="宋体" w:hAnsi="宋体" w:cs="宋体"/>
                <w:b/>
                <w:bCs/>
                <w:color w:val="auto"/>
                <w:kern w:val="0"/>
                <w:sz w:val="18"/>
                <w:szCs w:val="18"/>
                <w:highlight w:val="none"/>
              </w:rPr>
            </w:pPr>
          </w:p>
        </w:tc>
        <w:tc>
          <w:tcPr>
            <w:tcW w:w="1076"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436" w:type="dxa"/>
            <w:gridSpan w:val="14"/>
            <w:noWrap/>
            <w:vAlign w:val="center"/>
          </w:tcPr>
          <w:p>
            <w:pPr>
              <w:widowControl/>
              <w:jc w:val="center"/>
              <w:rPr>
                <w:rFonts w:ascii="宋体" w:hAnsi="宋体" w:cs="宋体"/>
                <w:b/>
                <w:bCs/>
                <w:color w:val="auto"/>
                <w:kern w:val="0"/>
                <w:sz w:val="28"/>
                <w:szCs w:val="28"/>
                <w:highlight w:val="none"/>
              </w:rPr>
            </w:pPr>
            <w:r>
              <w:rPr>
                <w:rFonts w:hint="eastAsia"/>
                <w:b/>
                <w:bCs/>
                <w:color w:val="auto"/>
                <w:sz w:val="28"/>
                <w:szCs w:val="28"/>
                <w:highlight w:val="none"/>
              </w:rPr>
              <w:t>2-4其他管养内容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序 号</w:t>
            </w:r>
          </w:p>
        </w:tc>
        <w:tc>
          <w:tcPr>
            <w:tcW w:w="1258" w:type="dxa"/>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管养内容</w:t>
            </w:r>
          </w:p>
        </w:tc>
        <w:tc>
          <w:tcPr>
            <w:tcW w:w="2835" w:type="dxa"/>
            <w:gridSpan w:val="3"/>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位置</w:t>
            </w:r>
          </w:p>
        </w:tc>
        <w:tc>
          <w:tcPr>
            <w:tcW w:w="3260" w:type="dxa"/>
            <w:gridSpan w:val="5"/>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规模、服务内容</w:t>
            </w:r>
          </w:p>
        </w:tc>
        <w:tc>
          <w:tcPr>
            <w:tcW w:w="847" w:type="dxa"/>
            <w:gridSpan w:val="2"/>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庄桥法院对面</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金葛巷老卫生院旁</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庄桥大街双庆桥河边</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葛家村盛家球场</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新星都市对面</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庄桥仪表阀门厂边</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公园路与金葛巷转弯处</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葛家原村委边</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菜场南门家家乐超市旁</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258" w:type="dxa"/>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老年协会丽庄路</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125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车站路</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125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车站路小便池</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125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公园对面盛家</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125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舒家配电房</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125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河道保洁</w:t>
            </w:r>
          </w:p>
        </w:tc>
        <w:tc>
          <w:tcPr>
            <w:tcW w:w="2835"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北外环-强排泵站</w:t>
            </w:r>
          </w:p>
        </w:tc>
        <w:tc>
          <w:tcPr>
            <w:tcW w:w="3260"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庄桥河保洁26250平方</w:t>
            </w:r>
          </w:p>
        </w:tc>
        <w:tc>
          <w:tcPr>
            <w:tcW w:w="847" w:type="dxa"/>
            <w:gridSpan w:val="2"/>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6"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1258"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特保人员</w:t>
            </w:r>
          </w:p>
        </w:tc>
        <w:tc>
          <w:tcPr>
            <w:tcW w:w="2835" w:type="dxa"/>
            <w:gridSpan w:val="3"/>
            <w:noWrap w:val="0"/>
            <w:vAlign w:val="center"/>
          </w:tcPr>
          <w:p>
            <w:pPr>
              <w:jc w:val="center"/>
              <w:rPr>
                <w:rFonts w:hint="eastAsia" w:ascii="宋体" w:hAnsi="宋体" w:cs="宋体"/>
                <w:color w:val="auto"/>
                <w:kern w:val="0"/>
                <w:sz w:val="22"/>
                <w:szCs w:val="22"/>
                <w:highlight w:val="none"/>
              </w:rPr>
            </w:pPr>
          </w:p>
        </w:tc>
        <w:tc>
          <w:tcPr>
            <w:tcW w:w="3260" w:type="dxa"/>
            <w:gridSpan w:val="5"/>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秩序维保13人</w:t>
            </w:r>
          </w:p>
        </w:tc>
        <w:tc>
          <w:tcPr>
            <w:tcW w:w="847" w:type="dxa"/>
            <w:gridSpan w:val="2"/>
            <w:noWrap w:val="0"/>
            <w:vAlign w:val="center"/>
          </w:tcPr>
          <w:p>
            <w:pPr>
              <w:widowControl/>
              <w:jc w:val="left"/>
              <w:rPr>
                <w:rFonts w:hint="eastAsia" w:ascii="宋体" w:hAnsi="宋体" w:cs="宋体"/>
                <w:color w:val="auto"/>
                <w:kern w:val="0"/>
                <w:sz w:val="22"/>
                <w:szCs w:val="22"/>
                <w:highlight w:val="none"/>
              </w:rPr>
            </w:pPr>
          </w:p>
        </w:tc>
      </w:tr>
    </w:tbl>
    <w:p>
      <w:pPr>
        <w:spacing w:line="360" w:lineRule="auto"/>
        <w:ind w:firstLine="440" w:firstLineChars="200"/>
        <w:rPr>
          <w:b w:val="0"/>
          <w:bCs w:val="0"/>
          <w:color w:val="auto"/>
          <w:sz w:val="22"/>
          <w:szCs w:val="22"/>
          <w:highlight w:val="none"/>
        </w:rPr>
      </w:pPr>
      <w:r>
        <w:rPr>
          <w:rFonts w:hint="eastAsia"/>
          <w:b w:val="0"/>
          <w:bCs w:val="0"/>
          <w:color w:val="auto"/>
          <w:sz w:val="22"/>
          <w:szCs w:val="22"/>
          <w:highlight w:val="none"/>
          <w:lang w:val="en-US" w:eastAsia="zh-CN"/>
        </w:rPr>
        <w:t xml:space="preserve">2.3 </w:t>
      </w:r>
      <w:r>
        <w:rPr>
          <w:rFonts w:hint="eastAsia" w:ascii="宋体" w:hAnsi="宋体" w:cs="宋体"/>
          <w:b w:val="0"/>
          <w:bCs w:val="0"/>
          <w:color w:val="auto"/>
          <w:kern w:val="0"/>
          <w:sz w:val="22"/>
          <w:szCs w:val="22"/>
          <w:highlight w:val="none"/>
        </w:rPr>
        <w:t>特保人员</w:t>
      </w:r>
      <w:r>
        <w:rPr>
          <w:rFonts w:hint="eastAsia"/>
          <w:b w:val="0"/>
          <w:bCs w:val="0"/>
          <w:color w:val="auto"/>
          <w:sz w:val="22"/>
          <w:szCs w:val="22"/>
          <w:highlight w:val="none"/>
        </w:rPr>
        <w:t>数量：</w:t>
      </w:r>
      <w:r>
        <w:rPr>
          <w:rFonts w:hint="eastAsia"/>
          <w:b w:val="0"/>
          <w:bCs w:val="0"/>
          <w:color w:val="auto"/>
          <w:sz w:val="22"/>
          <w:szCs w:val="22"/>
          <w:highlight w:val="none"/>
          <w:lang w:val="en-US" w:eastAsia="zh-CN"/>
        </w:rPr>
        <w:t>13</w:t>
      </w:r>
      <w:r>
        <w:rPr>
          <w:rFonts w:hint="eastAsia"/>
          <w:b w:val="0"/>
          <w:bCs w:val="0"/>
          <w:color w:val="auto"/>
          <w:sz w:val="22"/>
          <w:szCs w:val="22"/>
          <w:highlight w:val="none"/>
        </w:rPr>
        <w:t>名及以上</w:t>
      </w:r>
      <w:r>
        <w:rPr>
          <w:b w:val="0"/>
          <w:bCs w:val="0"/>
          <w:color w:val="auto"/>
          <w:sz w:val="22"/>
          <w:szCs w:val="22"/>
          <w:highlight w:val="none"/>
        </w:rPr>
        <w:t>。</w:t>
      </w:r>
    </w:p>
    <w:p>
      <w:pPr>
        <w:spacing w:line="360" w:lineRule="auto"/>
        <w:ind w:firstLine="440" w:firstLineChars="200"/>
        <w:rPr>
          <w:b w:val="0"/>
          <w:bCs w:val="0"/>
          <w:color w:val="auto"/>
          <w:sz w:val="22"/>
          <w:szCs w:val="22"/>
          <w:highlight w:val="none"/>
        </w:rPr>
      </w:pPr>
      <w:r>
        <w:rPr>
          <w:rFonts w:hint="eastAsia"/>
          <w:b w:val="0"/>
          <w:bCs w:val="0"/>
          <w:color w:val="auto"/>
          <w:sz w:val="22"/>
          <w:szCs w:val="22"/>
          <w:highlight w:val="none"/>
        </w:rPr>
        <w:t>服务内容</w:t>
      </w:r>
      <w:r>
        <w:rPr>
          <w:b w:val="0"/>
          <w:bCs w:val="0"/>
          <w:color w:val="auto"/>
          <w:sz w:val="22"/>
          <w:szCs w:val="22"/>
          <w:highlight w:val="none"/>
        </w:rPr>
        <w:t>：</w:t>
      </w:r>
      <w:r>
        <w:rPr>
          <w:rFonts w:hint="eastAsia"/>
          <w:b w:val="0"/>
          <w:bCs w:val="0"/>
          <w:color w:val="auto"/>
          <w:sz w:val="22"/>
          <w:szCs w:val="22"/>
          <w:highlight w:val="none"/>
        </w:rPr>
        <w:t>区域市容秩序辅助管理服务、灾害应急、违章建筑拆除等保护性施工工作、偷倒垃圾盯防及处理等各项内容服务，具体工作安排由业主单位按需调配。</w:t>
      </w:r>
    </w:p>
    <w:p>
      <w:pPr>
        <w:spacing w:line="360" w:lineRule="auto"/>
        <w:rPr>
          <w:b/>
          <w:color w:val="auto"/>
          <w:sz w:val="22"/>
          <w:szCs w:val="22"/>
          <w:highlight w:val="none"/>
        </w:rPr>
      </w:pPr>
      <w:r>
        <w:rPr>
          <w:rFonts w:hint="eastAsia"/>
          <w:b/>
          <w:color w:val="auto"/>
          <w:sz w:val="22"/>
          <w:szCs w:val="22"/>
          <w:highlight w:val="none"/>
        </w:rPr>
        <w:t>备注：</w:t>
      </w:r>
    </w:p>
    <w:p>
      <w:pPr>
        <w:spacing w:line="360" w:lineRule="auto"/>
        <w:ind w:firstLine="433" w:firstLineChars="196"/>
        <w:rPr>
          <w:b/>
          <w:color w:val="auto"/>
          <w:sz w:val="22"/>
          <w:szCs w:val="22"/>
          <w:highlight w:val="none"/>
        </w:rPr>
      </w:pPr>
      <w:r>
        <w:rPr>
          <w:b/>
          <w:color w:val="auto"/>
          <w:sz w:val="22"/>
          <w:szCs w:val="22"/>
          <w:highlight w:val="none"/>
        </w:rPr>
        <w:fldChar w:fldCharType="begin"/>
      </w:r>
      <w:r>
        <w:rPr>
          <w:b/>
          <w:color w:val="auto"/>
          <w:sz w:val="22"/>
          <w:szCs w:val="22"/>
          <w:highlight w:val="none"/>
        </w:rPr>
        <w:instrText xml:space="preserve"> </w:instrText>
      </w:r>
      <w:r>
        <w:rPr>
          <w:rFonts w:hint="eastAsia"/>
          <w:b/>
          <w:color w:val="auto"/>
          <w:sz w:val="22"/>
          <w:szCs w:val="22"/>
          <w:highlight w:val="none"/>
        </w:rPr>
        <w:instrText xml:space="preserve">= 1 \* GB3</w:instrText>
      </w:r>
      <w:r>
        <w:rPr>
          <w:b/>
          <w:color w:val="auto"/>
          <w:sz w:val="22"/>
          <w:szCs w:val="22"/>
          <w:highlight w:val="none"/>
        </w:rPr>
        <w:instrText xml:space="preserve"> </w:instrText>
      </w:r>
      <w:r>
        <w:rPr>
          <w:b/>
          <w:color w:val="auto"/>
          <w:sz w:val="22"/>
          <w:szCs w:val="22"/>
          <w:highlight w:val="none"/>
        </w:rPr>
        <w:fldChar w:fldCharType="separate"/>
      </w:r>
      <w:r>
        <w:rPr>
          <w:rFonts w:hint="eastAsia"/>
          <w:b/>
          <w:color w:val="auto"/>
          <w:sz w:val="22"/>
          <w:szCs w:val="22"/>
          <w:highlight w:val="none"/>
        </w:rPr>
        <w:t>①</w:t>
      </w:r>
      <w:r>
        <w:rPr>
          <w:b/>
          <w:color w:val="auto"/>
          <w:sz w:val="22"/>
          <w:szCs w:val="22"/>
          <w:highlight w:val="none"/>
        </w:rPr>
        <w:fldChar w:fldCharType="end"/>
      </w:r>
      <w:r>
        <w:rPr>
          <w:rFonts w:hint="eastAsia"/>
          <w:b/>
          <w:color w:val="auto"/>
          <w:sz w:val="22"/>
          <w:szCs w:val="22"/>
          <w:highlight w:val="none"/>
        </w:rPr>
        <w:t>投标报价为包干价，合同期内服务费用不因市场和政策等因素的变动而调整。上述所列道路、背街小巷及绿化的面积为近似数量，与实际准确数量可能会有出入，各投标人在投标报价时应予以充分考虑，投标人如有需要自行组织现场踏勘，以充分了解项目实施位置、服务范围、周边情况及任何其他足以影响报价的情况，任何因忽视或误解现场情况而导致的索赔或养护费用申请将不予受理。采购单位联系人与联系电话详见招标公告。</w:t>
      </w:r>
    </w:p>
    <w:p>
      <w:pPr>
        <w:spacing w:line="360" w:lineRule="auto"/>
        <w:ind w:firstLine="433" w:firstLineChars="196"/>
        <w:rPr>
          <w:b/>
          <w:color w:val="auto"/>
          <w:sz w:val="22"/>
          <w:szCs w:val="22"/>
          <w:highlight w:val="none"/>
        </w:rPr>
      </w:pPr>
      <w:r>
        <w:rPr>
          <w:rFonts w:hint="eastAsia"/>
          <w:b/>
          <w:color w:val="auto"/>
          <w:sz w:val="22"/>
          <w:szCs w:val="22"/>
          <w:highlight w:val="none"/>
        </w:rPr>
        <w:t>②合同履行期间，如发生服务范围的增加或减少，原则上由甲方统一调配并以签证认可的联系单为准，价格不高于投标时的中标单价，产生的费用计入发生期间所对应的月份中。</w:t>
      </w:r>
    </w:p>
    <w:p>
      <w:pPr>
        <w:pStyle w:val="13"/>
        <w:snapToGrid w:val="0"/>
        <w:spacing w:beforeLines="0" w:afterLines="0" w:line="360" w:lineRule="auto"/>
        <w:rPr>
          <w:rFonts w:ascii="Times New Roman" w:hAnsi="Times New Roman"/>
          <w:b/>
          <w:color w:val="auto"/>
          <w:sz w:val="22"/>
          <w:szCs w:val="22"/>
          <w:highlight w:val="none"/>
        </w:rPr>
      </w:pPr>
      <w:r>
        <w:rPr>
          <w:rFonts w:hint="eastAsia" w:ascii="Times New Roman" w:hAnsi="Times New Roman"/>
          <w:b/>
          <w:color w:val="auto"/>
          <w:sz w:val="22"/>
          <w:szCs w:val="22"/>
          <w:highlight w:val="none"/>
          <w:lang w:val="en-US" w:eastAsia="zh-CN"/>
        </w:rPr>
        <w:t>2.4</w:t>
      </w:r>
      <w:r>
        <w:rPr>
          <w:rFonts w:hint="eastAsia" w:ascii="Times New Roman" w:hAnsi="Times New Roman"/>
          <w:b/>
          <w:color w:val="auto"/>
          <w:sz w:val="22"/>
          <w:szCs w:val="22"/>
          <w:highlight w:val="none"/>
        </w:rPr>
        <w:t>、服务班子配置及人员要求</w:t>
      </w:r>
    </w:p>
    <w:p>
      <w:pPr>
        <w:spacing w:line="360" w:lineRule="auto"/>
        <w:ind w:firstLine="440" w:firstLineChars="200"/>
        <w:rPr>
          <w:bCs/>
          <w:color w:val="auto"/>
          <w:sz w:val="22"/>
          <w:szCs w:val="22"/>
          <w:highlight w:val="none"/>
        </w:rPr>
      </w:pPr>
      <w:r>
        <w:rPr>
          <w:rFonts w:hint="eastAsia"/>
          <w:color w:val="auto"/>
          <w:sz w:val="22"/>
          <w:szCs w:val="22"/>
          <w:highlight w:val="none"/>
        </w:rPr>
        <w:t>各类工作人员</w:t>
      </w:r>
      <w:r>
        <w:rPr>
          <w:rFonts w:hint="eastAsia"/>
          <w:color w:val="auto"/>
          <w:sz w:val="22"/>
          <w:szCs w:val="22"/>
          <w:highlight w:val="none"/>
          <w:lang w:val="en-US" w:eastAsia="zh-CN"/>
        </w:rPr>
        <w:t>135</w:t>
      </w:r>
      <w:r>
        <w:rPr>
          <w:rFonts w:hint="eastAsia"/>
          <w:color w:val="auto"/>
          <w:sz w:val="22"/>
          <w:szCs w:val="22"/>
          <w:highlight w:val="none"/>
        </w:rPr>
        <w:t>名以上（其中保洁和养护人员</w:t>
      </w:r>
      <w:r>
        <w:rPr>
          <w:rFonts w:hint="eastAsia"/>
          <w:color w:val="auto"/>
          <w:sz w:val="22"/>
          <w:szCs w:val="22"/>
          <w:highlight w:val="none"/>
          <w:lang w:val="en-US" w:eastAsia="zh-CN"/>
        </w:rPr>
        <w:t>120</w:t>
      </w:r>
      <w:r>
        <w:rPr>
          <w:rFonts w:hint="eastAsia"/>
          <w:color w:val="auto"/>
          <w:sz w:val="22"/>
          <w:szCs w:val="22"/>
          <w:highlight w:val="none"/>
        </w:rPr>
        <w:t>名以上，</w:t>
      </w:r>
      <w:r>
        <w:rPr>
          <w:rFonts w:hint="eastAsia"/>
          <w:color w:val="auto"/>
          <w:sz w:val="22"/>
          <w:szCs w:val="22"/>
          <w:highlight w:val="none"/>
          <w:lang w:val="en-US" w:eastAsia="zh-CN"/>
        </w:rPr>
        <w:t>特保</w:t>
      </w:r>
      <w:r>
        <w:rPr>
          <w:rFonts w:hint="eastAsia"/>
          <w:color w:val="auto"/>
          <w:sz w:val="22"/>
          <w:szCs w:val="22"/>
          <w:highlight w:val="none"/>
        </w:rPr>
        <w:t>人员</w:t>
      </w:r>
      <w:r>
        <w:rPr>
          <w:rFonts w:hint="eastAsia"/>
          <w:color w:val="auto"/>
          <w:sz w:val="22"/>
          <w:szCs w:val="22"/>
          <w:highlight w:val="none"/>
          <w:lang w:val="en-US" w:eastAsia="zh-CN"/>
        </w:rPr>
        <w:t>不少于13</w:t>
      </w:r>
      <w:r>
        <w:rPr>
          <w:rFonts w:hint="eastAsia"/>
          <w:color w:val="auto"/>
          <w:sz w:val="22"/>
          <w:szCs w:val="22"/>
          <w:highlight w:val="none"/>
        </w:rPr>
        <w:t>名，项目专职管理人员不少于2名），按要求认真负责完成日常服务工作，并指定一名负责人，以便甲方随时能联系协调有关服务事项。各类人员原则上</w:t>
      </w:r>
      <w:r>
        <w:rPr>
          <w:bCs/>
          <w:color w:val="auto"/>
          <w:sz w:val="22"/>
          <w:szCs w:val="22"/>
          <w:highlight w:val="none"/>
        </w:rPr>
        <w:t>男性在55</w:t>
      </w:r>
      <w:r>
        <w:rPr>
          <w:rFonts w:hint="eastAsia"/>
          <w:bCs/>
          <w:color w:val="auto"/>
          <w:sz w:val="22"/>
          <w:szCs w:val="22"/>
          <w:highlight w:val="none"/>
        </w:rPr>
        <w:t>周</w:t>
      </w:r>
      <w:r>
        <w:rPr>
          <w:bCs/>
          <w:color w:val="auto"/>
          <w:sz w:val="22"/>
          <w:szCs w:val="22"/>
          <w:highlight w:val="none"/>
        </w:rPr>
        <w:t>岁以下，女性在50</w:t>
      </w:r>
      <w:r>
        <w:rPr>
          <w:rFonts w:hint="eastAsia"/>
          <w:bCs/>
          <w:color w:val="auto"/>
          <w:sz w:val="22"/>
          <w:szCs w:val="22"/>
          <w:highlight w:val="none"/>
        </w:rPr>
        <w:t>周</w:t>
      </w:r>
      <w:r>
        <w:rPr>
          <w:bCs/>
          <w:color w:val="auto"/>
          <w:sz w:val="22"/>
          <w:szCs w:val="22"/>
          <w:highlight w:val="none"/>
        </w:rPr>
        <w:t>岁以下</w:t>
      </w:r>
      <w:r>
        <w:rPr>
          <w:rFonts w:hint="eastAsia"/>
          <w:bCs/>
          <w:color w:val="auto"/>
          <w:sz w:val="22"/>
          <w:szCs w:val="22"/>
          <w:highlight w:val="none"/>
        </w:rPr>
        <w:t>，男女</w:t>
      </w:r>
      <w:r>
        <w:rPr>
          <w:bCs/>
          <w:color w:val="auto"/>
          <w:sz w:val="22"/>
          <w:szCs w:val="22"/>
          <w:highlight w:val="none"/>
        </w:rPr>
        <w:t>比例不低于</w:t>
      </w:r>
      <w:r>
        <w:rPr>
          <w:rFonts w:hint="eastAsia"/>
          <w:bCs/>
          <w:color w:val="auto"/>
          <w:sz w:val="22"/>
          <w:szCs w:val="22"/>
          <w:highlight w:val="none"/>
        </w:rPr>
        <w:t>60</w:t>
      </w:r>
      <w:r>
        <w:rPr>
          <w:bCs/>
          <w:color w:val="auto"/>
          <w:sz w:val="22"/>
          <w:szCs w:val="22"/>
          <w:highlight w:val="none"/>
        </w:rPr>
        <w:t>%</w:t>
      </w:r>
      <w:r>
        <w:rPr>
          <w:rFonts w:hint="eastAsia"/>
          <w:bCs/>
          <w:color w:val="auto"/>
          <w:sz w:val="22"/>
          <w:szCs w:val="22"/>
          <w:highlight w:val="none"/>
        </w:rPr>
        <w:t>（男</w:t>
      </w:r>
      <w:r>
        <w:rPr>
          <w:bCs/>
          <w:color w:val="auto"/>
          <w:sz w:val="22"/>
          <w:szCs w:val="22"/>
          <w:highlight w:val="none"/>
        </w:rPr>
        <w:t>）：</w:t>
      </w:r>
      <w:r>
        <w:rPr>
          <w:rFonts w:hint="eastAsia"/>
          <w:bCs/>
          <w:color w:val="auto"/>
          <w:sz w:val="22"/>
          <w:szCs w:val="22"/>
          <w:highlight w:val="none"/>
        </w:rPr>
        <w:t>40</w:t>
      </w:r>
      <w:r>
        <w:rPr>
          <w:bCs/>
          <w:color w:val="auto"/>
          <w:sz w:val="22"/>
          <w:szCs w:val="22"/>
          <w:highlight w:val="none"/>
        </w:rPr>
        <w:t>%</w:t>
      </w:r>
      <w:r>
        <w:rPr>
          <w:rFonts w:hint="eastAsia"/>
          <w:bCs/>
          <w:color w:val="auto"/>
          <w:sz w:val="22"/>
          <w:szCs w:val="22"/>
          <w:highlight w:val="none"/>
        </w:rPr>
        <w:t>（女</w:t>
      </w:r>
      <w:r>
        <w:rPr>
          <w:bCs/>
          <w:color w:val="auto"/>
          <w:sz w:val="22"/>
          <w:szCs w:val="22"/>
          <w:highlight w:val="none"/>
        </w:rPr>
        <w:t>）</w:t>
      </w:r>
      <w:r>
        <w:rPr>
          <w:rFonts w:hint="eastAsia"/>
          <w:bCs/>
          <w:color w:val="auto"/>
          <w:sz w:val="22"/>
          <w:szCs w:val="22"/>
          <w:highlight w:val="none"/>
        </w:rPr>
        <w:t>，</w:t>
      </w:r>
      <w:r>
        <w:rPr>
          <w:bCs/>
          <w:color w:val="auto"/>
          <w:sz w:val="22"/>
          <w:szCs w:val="22"/>
          <w:highlight w:val="none"/>
        </w:rPr>
        <w:t>无不良嗜好及不良记录</w:t>
      </w:r>
      <w:r>
        <w:rPr>
          <w:rFonts w:hint="eastAsia"/>
          <w:bCs/>
          <w:color w:val="auto"/>
          <w:sz w:val="22"/>
          <w:szCs w:val="22"/>
          <w:highlight w:val="none"/>
        </w:rPr>
        <w:t>。</w:t>
      </w:r>
      <w:r>
        <w:rPr>
          <w:bCs/>
          <w:color w:val="auto"/>
          <w:sz w:val="22"/>
          <w:szCs w:val="22"/>
          <w:highlight w:val="none"/>
        </w:rPr>
        <w:t>如特殊岗位年龄和其他条件另有需求，均须无条件接受</w:t>
      </w:r>
      <w:r>
        <w:rPr>
          <w:rFonts w:hint="eastAsia"/>
          <w:bCs/>
          <w:color w:val="auto"/>
          <w:sz w:val="22"/>
          <w:szCs w:val="22"/>
          <w:highlight w:val="none"/>
        </w:rPr>
        <w:t>业主单位</w:t>
      </w:r>
      <w:r>
        <w:rPr>
          <w:bCs/>
          <w:color w:val="auto"/>
          <w:sz w:val="22"/>
          <w:szCs w:val="22"/>
          <w:highlight w:val="none"/>
        </w:rPr>
        <w:t>的要求。</w:t>
      </w:r>
    </w:p>
    <w:p>
      <w:pPr>
        <w:pStyle w:val="13"/>
        <w:numPr>
          <w:ilvl w:val="0"/>
          <w:numId w:val="0"/>
        </w:numPr>
        <w:snapToGrid w:val="0"/>
        <w:spacing w:beforeLines="0" w:afterLines="0" w:line="360" w:lineRule="auto"/>
        <w:rPr>
          <w:color w:val="auto"/>
          <w:sz w:val="22"/>
          <w:szCs w:val="22"/>
          <w:highlight w:val="none"/>
        </w:rPr>
      </w:pPr>
      <w:r>
        <w:rPr>
          <w:rFonts w:hint="eastAsia" w:ascii="Times New Roman" w:hAnsi="Times New Roman"/>
          <w:b/>
          <w:color w:val="auto"/>
          <w:sz w:val="22"/>
          <w:szCs w:val="22"/>
          <w:highlight w:val="none"/>
          <w:lang w:val="en-US" w:eastAsia="zh-CN"/>
        </w:rPr>
        <w:t xml:space="preserve">3.5  </w:t>
      </w:r>
      <w:r>
        <w:rPr>
          <w:rFonts w:hint="eastAsia" w:ascii="Times New Roman" w:hAnsi="Times New Roman"/>
          <w:b/>
          <w:color w:val="auto"/>
          <w:sz w:val="22"/>
          <w:szCs w:val="22"/>
          <w:highlight w:val="none"/>
        </w:rPr>
        <w:t>机械设备要求</w:t>
      </w:r>
    </w:p>
    <w:tbl>
      <w:tblPr>
        <w:tblStyle w:val="26"/>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4477"/>
        <w:gridCol w:w="1251"/>
        <w:gridCol w:w="127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jc w:val="center"/>
        </w:trPr>
        <w:tc>
          <w:tcPr>
            <w:tcW w:w="535"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序号</w:t>
            </w:r>
          </w:p>
        </w:tc>
        <w:tc>
          <w:tcPr>
            <w:tcW w:w="223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机器设备名称</w:t>
            </w:r>
          </w:p>
        </w:tc>
        <w:tc>
          <w:tcPr>
            <w:tcW w:w="62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单位</w:t>
            </w:r>
          </w:p>
        </w:tc>
        <w:tc>
          <w:tcPr>
            <w:tcW w:w="636"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数量</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2234" w:type="pct"/>
            <w:noWrap w:val="0"/>
            <w:vAlign w:val="center"/>
          </w:tcPr>
          <w:p>
            <w:pPr>
              <w:jc w:val="center"/>
              <w:rPr>
                <w:rFonts w:cs="宋体"/>
                <w:b/>
                <w:bCs/>
                <w:snapToGrid w:val="0"/>
                <w:color w:val="auto"/>
                <w:sz w:val="22"/>
                <w:szCs w:val="22"/>
                <w:highlight w:val="none"/>
              </w:rPr>
            </w:pPr>
            <w:r>
              <w:rPr>
                <w:rFonts w:hint="eastAsia"/>
                <w:color w:val="auto"/>
                <w:sz w:val="22"/>
                <w:szCs w:val="22"/>
                <w:highlight w:val="none"/>
              </w:rPr>
              <w:t>专业机</w:t>
            </w:r>
            <w:r>
              <w:rPr>
                <w:color w:val="auto"/>
                <w:sz w:val="22"/>
                <w:szCs w:val="22"/>
                <w:highlight w:val="none"/>
              </w:rPr>
              <w:t>扫车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2</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专业洒水车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冲洗养护车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自卸车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5</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垃圾清运车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6</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不锈钢箱体式电动三轮车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7</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保洁员人力三轮车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8</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割灌机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9</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绿篱机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10</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11</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草坪吹风机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12</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治安巡逻车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统一特保标识电瓶车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不得使用城管执法专用标志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电动排水泵</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15</w:t>
            </w:r>
          </w:p>
        </w:tc>
        <w:tc>
          <w:tcPr>
            <w:tcW w:w="2234" w:type="pct"/>
            <w:noWrap w:val="0"/>
            <w:vAlign w:val="center"/>
          </w:tcPr>
          <w:p>
            <w:pPr>
              <w:jc w:val="center"/>
              <w:rPr>
                <w:color w:val="auto"/>
                <w:sz w:val="22"/>
                <w:szCs w:val="22"/>
                <w:highlight w:val="none"/>
              </w:rPr>
            </w:pPr>
            <w:r>
              <w:rPr>
                <w:rFonts w:hint="eastAsia"/>
                <w:color w:val="auto"/>
                <w:sz w:val="22"/>
                <w:szCs w:val="22"/>
                <w:highlight w:val="none"/>
              </w:rPr>
              <w:t>统一执法记录仪</w:t>
            </w:r>
          </w:p>
        </w:tc>
        <w:tc>
          <w:tcPr>
            <w:tcW w:w="624" w:type="pct"/>
            <w:noWrap w:val="0"/>
            <w:vAlign w:val="center"/>
          </w:tcPr>
          <w:p>
            <w:pPr>
              <w:jc w:val="center"/>
              <w:rPr>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color w:val="auto"/>
                <w:sz w:val="22"/>
                <w:szCs w:val="22"/>
                <w:highlight w:val="none"/>
              </w:rPr>
            </w:pPr>
            <w:r>
              <w:rPr>
                <w:rFonts w:hint="eastAsia"/>
                <w:color w:val="auto"/>
                <w:sz w:val="22"/>
                <w:szCs w:val="22"/>
                <w:highlight w:val="none"/>
              </w:rPr>
              <w:t>12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16</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下水道疏通器</w:t>
            </w:r>
          </w:p>
        </w:tc>
        <w:tc>
          <w:tcPr>
            <w:tcW w:w="624" w:type="pct"/>
            <w:noWrap w:val="0"/>
            <w:vAlign w:val="center"/>
          </w:tcPr>
          <w:p>
            <w:pPr>
              <w:jc w:val="center"/>
              <w:rPr>
                <w:color w:val="auto"/>
                <w:sz w:val="22"/>
                <w:szCs w:val="22"/>
                <w:highlight w:val="none"/>
              </w:rPr>
            </w:pPr>
            <w:r>
              <w:rPr>
                <w:rFonts w:hint="eastAsia"/>
                <w:color w:val="auto"/>
                <w:sz w:val="22"/>
                <w:szCs w:val="22"/>
                <w:highlight w:val="none"/>
              </w:rPr>
              <w:t>套</w:t>
            </w:r>
          </w:p>
        </w:tc>
        <w:tc>
          <w:tcPr>
            <w:tcW w:w="636"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bl>
    <w:p>
      <w:pPr>
        <w:spacing w:line="440" w:lineRule="exact"/>
        <w:ind w:firstLine="442" w:firstLineChars="200"/>
        <w:rPr>
          <w:rFonts w:cs="Arial"/>
          <w:b/>
          <w:color w:val="auto"/>
          <w:sz w:val="22"/>
          <w:szCs w:val="22"/>
          <w:highlight w:val="none"/>
        </w:rPr>
      </w:pPr>
      <w:r>
        <w:rPr>
          <w:rFonts w:hint="eastAsia"/>
          <w:b/>
          <w:color w:val="auto"/>
          <w:sz w:val="22"/>
          <w:szCs w:val="22"/>
          <w:highlight w:val="none"/>
        </w:rPr>
        <w:t>注：</w:t>
      </w:r>
      <w:r>
        <w:rPr>
          <w:rFonts w:hint="eastAsia" w:cs="Arial"/>
          <w:b/>
          <w:color w:val="auto"/>
          <w:sz w:val="22"/>
          <w:szCs w:val="22"/>
          <w:highlight w:val="none"/>
        </w:rPr>
        <w:t>投标人投标时必须提供详细的设备清单（指中标单位所采用的机械设备，包括但不限于机械设备要求表中所列的机械设备），清单至少包括设备名称、规格型号、数量、单价、购买时间、使用年限等项目。投标人针对本项目已购置或租赁的机械设备，购置发票复印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件，须编入技术商务文件中；投标人目前尚未购置或租赁的机械设备，须承诺一旦中标，在合同签订前完成购置或租赁，并提供购置发票原件或租赁协议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件，否则中标无效。</w:t>
      </w:r>
    </w:p>
    <w:p>
      <w:pPr>
        <w:pStyle w:val="13"/>
        <w:snapToGrid w:val="0"/>
        <w:spacing w:beforeLines="0" w:afterLines="0" w:line="360" w:lineRule="auto"/>
        <w:rPr>
          <w:rFonts w:hint="eastAsia" w:hAnsi="宋体" w:cs="Arial"/>
          <w:color w:val="auto"/>
          <w:sz w:val="21"/>
          <w:szCs w:val="21"/>
          <w:highlight w:val="none"/>
        </w:rPr>
      </w:pPr>
      <w:r>
        <w:rPr>
          <w:rFonts w:hint="eastAsia" w:hAnsi="宋体" w:eastAsia="黑体" w:cs="Arial"/>
          <w:color w:val="auto"/>
          <w:highlight w:val="none"/>
        </w:rPr>
        <w:br w:type="page"/>
      </w:r>
      <w:r>
        <w:rPr>
          <w:rFonts w:hint="eastAsia" w:hAnsi="宋体" w:eastAsia="黑体" w:cs="Arial"/>
          <w:color w:val="auto"/>
          <w:highlight w:val="none"/>
        </w:rPr>
        <w:t>标项3：2022年庄桥街道五位一体综合服务外包项目（工业B区+机扫片）</w:t>
      </w:r>
    </w:p>
    <w:p>
      <w:pPr>
        <w:pStyle w:val="10"/>
        <w:spacing w:line="440" w:lineRule="exact"/>
        <w:ind w:firstLine="482" w:firstLineChars="200"/>
        <w:rPr>
          <w:rFonts w:hint="eastAsia" w:hAnsi="宋体" w:cs="Times New Roman"/>
          <w:b/>
          <w:color w:val="auto"/>
          <w:spacing w:val="0"/>
          <w:sz w:val="24"/>
          <w:szCs w:val="24"/>
          <w:highlight w:val="none"/>
        </w:rPr>
      </w:pPr>
      <w:r>
        <w:rPr>
          <w:rFonts w:hint="eastAsia" w:hAnsi="宋体" w:cs="Times New Roman"/>
          <w:b/>
          <w:color w:val="auto"/>
          <w:spacing w:val="0"/>
          <w:sz w:val="24"/>
          <w:szCs w:val="24"/>
          <w:highlight w:val="none"/>
        </w:rPr>
        <w:t>3.1、采购需求</w:t>
      </w:r>
    </w:p>
    <w:p>
      <w:pPr>
        <w:pStyle w:val="13"/>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1、服务范围：2022年庄桥街道五位一体综合服务外包项目</w:t>
      </w:r>
      <w:r>
        <w:rPr>
          <w:rFonts w:hint="eastAsia" w:hAnsi="宋体" w:cs="Arial"/>
          <w:color w:val="auto"/>
          <w:sz w:val="21"/>
          <w:szCs w:val="21"/>
          <w:highlight w:val="none"/>
        </w:rPr>
        <w:t>（工业B区+机扫片）</w:t>
      </w:r>
      <w:r>
        <w:rPr>
          <w:rFonts w:hint="eastAsia" w:hAnsi="宋体" w:cs="Arial"/>
          <w:color w:val="auto"/>
          <w:highlight w:val="none"/>
        </w:rPr>
        <w:t>道路保洁</w:t>
      </w:r>
      <w:r>
        <w:rPr>
          <w:rFonts w:hint="eastAsia" w:hAnsi="宋体"/>
          <w:color w:val="auto"/>
          <w:sz w:val="22"/>
          <w:szCs w:val="22"/>
          <w:highlight w:val="none"/>
        </w:rPr>
        <w:t>约42.2万平方米、公交站约1155平方米、公共厕所保洁</w:t>
      </w:r>
      <w:r>
        <w:rPr>
          <w:rFonts w:hint="eastAsia" w:hAnsi="宋体"/>
          <w:color w:val="auto"/>
          <w:sz w:val="22"/>
          <w:szCs w:val="22"/>
          <w:highlight w:val="none"/>
          <w:lang w:val="en-US" w:eastAsia="zh-CN"/>
        </w:rPr>
        <w:t>4</w:t>
      </w:r>
      <w:r>
        <w:rPr>
          <w:rFonts w:hint="eastAsia" w:hAnsi="宋体"/>
          <w:color w:val="auto"/>
          <w:sz w:val="22"/>
          <w:szCs w:val="22"/>
          <w:highlight w:val="none"/>
        </w:rPr>
        <w:t>座；绿化养护（含补种）面积约10.7万平方米；区域内泵站</w:t>
      </w:r>
      <w:r>
        <w:rPr>
          <w:rFonts w:hint="eastAsia" w:hAnsi="宋体"/>
          <w:color w:val="auto"/>
          <w:sz w:val="22"/>
          <w:szCs w:val="22"/>
          <w:highlight w:val="none"/>
          <w:lang w:val="en-US" w:eastAsia="zh-CN"/>
        </w:rPr>
        <w:t>16</w:t>
      </w:r>
      <w:r>
        <w:rPr>
          <w:rFonts w:hint="eastAsia" w:hAnsi="宋体"/>
          <w:color w:val="auto"/>
          <w:sz w:val="22"/>
          <w:szCs w:val="22"/>
          <w:highlight w:val="none"/>
        </w:rPr>
        <w:t xml:space="preserve"> 座闸门管养以及区域范围内的市容秩序辅助管理。</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2、服务内容：招标区域范围内的道路路面、公交场站及站台、公共厕所保洁服务，含垃圾桶、牛皮癣、墙体广告，乱堆放、田间废弃物、乱吊挂、垃圾收集和清运、雨污水管道、井座等清淤等；绿化养护（含补种）修剪及清理，灾害应急、偷倒垃圾盯防及处理；闸门、泵站清理维修，汛期值班等管养服务以及市容秩序辅助管理服务。</w:t>
      </w:r>
    </w:p>
    <w:p>
      <w:pPr>
        <w:pStyle w:val="13"/>
        <w:snapToGrid w:val="0"/>
        <w:spacing w:before="120" w:after="12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3、服务期限：三年。合同一年一签，一年服务期满后经采购人考核合格，并经双方同意后</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可续订合同。合同期内（包含续签合同期内）服务费用不作调整年。</w:t>
      </w:r>
    </w:p>
    <w:p>
      <w:pPr>
        <w:ind w:firstLine="482" w:firstLineChars="200"/>
        <w:jc w:val="left"/>
        <w:rPr>
          <w:rFonts w:hint="eastAsia"/>
          <w:color w:val="auto"/>
          <w:highlight w:val="none"/>
        </w:rPr>
      </w:pPr>
      <w:r>
        <w:rPr>
          <w:rFonts w:hint="eastAsia" w:ascii="宋体" w:hAnsi="宋体"/>
          <w:b/>
          <w:color w:val="auto"/>
          <w:sz w:val="24"/>
          <w:szCs w:val="24"/>
          <w:highlight w:val="none"/>
        </w:rPr>
        <w:t>3.2服务区域</w:t>
      </w:r>
    </w:p>
    <w:tbl>
      <w:tblPr>
        <w:tblStyle w:val="26"/>
        <w:tblpPr w:leftFromText="180" w:rightFromText="180" w:vertAnchor="text" w:horzAnchor="page" w:tblpX="1873" w:tblpY="412"/>
        <w:tblOverlap w:val="never"/>
        <w:tblW w:w="8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843"/>
        <w:gridCol w:w="1502"/>
        <w:gridCol w:w="1395"/>
        <w:gridCol w:w="234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792" w:type="dxa"/>
            <w:gridSpan w:val="6"/>
            <w:noWrap w:val="0"/>
            <w:vAlign w:val="center"/>
          </w:tcPr>
          <w:p>
            <w:pPr>
              <w:spacing w:line="440" w:lineRule="exact"/>
              <w:jc w:val="center"/>
              <w:rPr>
                <w:rFonts w:ascii="宋体" w:hAnsi="宋体" w:cs="宋体"/>
                <w:color w:val="auto"/>
                <w:kern w:val="0"/>
                <w:sz w:val="22"/>
                <w:szCs w:val="22"/>
                <w:highlight w:val="none"/>
              </w:rPr>
            </w:pPr>
            <w:r>
              <w:rPr>
                <w:rFonts w:hint="eastAsia"/>
                <w:b/>
                <w:bCs/>
                <w:color w:val="auto"/>
                <w:sz w:val="28"/>
                <w:szCs w:val="28"/>
                <w:highlight w:val="none"/>
              </w:rPr>
              <w:t>3-1道路保洁面积明细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 号</w:t>
            </w:r>
          </w:p>
        </w:tc>
        <w:tc>
          <w:tcPr>
            <w:tcW w:w="1843"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道路名称</w:t>
            </w:r>
          </w:p>
        </w:tc>
        <w:tc>
          <w:tcPr>
            <w:tcW w:w="150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长度（m）</w:t>
            </w:r>
          </w:p>
        </w:tc>
        <w:tc>
          <w:tcPr>
            <w:tcW w:w="1395"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面积（㎡）</w:t>
            </w:r>
          </w:p>
        </w:tc>
        <w:tc>
          <w:tcPr>
            <w:tcW w:w="2348"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范围、内容</w:t>
            </w:r>
          </w:p>
        </w:tc>
        <w:tc>
          <w:tcPr>
            <w:tcW w:w="112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海川路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1385</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39800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江北大道-东邵河</w:t>
            </w:r>
          </w:p>
        </w:tc>
        <w:tc>
          <w:tcPr>
            <w:tcW w:w="1122"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庄洪路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1038</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17040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北海路-青林河</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林沐路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1027</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11700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北海路-青林河</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庄兴路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735</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8820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北海路-青林河</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洪兴路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923</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17420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北海路-青林河</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庄桥站路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168</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3864</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北环西路-地铁庄桥站</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宁波特殊学校东南侧道路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739</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11824</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荣吉西路-断头路</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洪发路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584</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16353</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北海路-洋市河</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北川路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53</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1275</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洪发路-洪塘交界</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申明亭路（江北大河南段）</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712</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15592</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后大河桥-机场高架</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铸峰路（应家段）</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2900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105010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康庄北路-通圆南路</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高标准,移交后按实结算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铸峰路（费市段）</w:t>
            </w:r>
          </w:p>
        </w:tc>
        <w:tc>
          <w:tcPr>
            <w:tcW w:w="1502" w:type="dxa"/>
            <w:noWrap w:val="0"/>
            <w:vAlign w:val="center"/>
          </w:tcPr>
          <w:p>
            <w:pPr>
              <w:jc w:val="center"/>
              <w:rPr>
                <w:rFonts w:ascii="Arial" w:hAnsi="Arial" w:cs="Arial"/>
                <w:color w:val="auto"/>
                <w:kern w:val="0"/>
                <w:sz w:val="20"/>
                <w:szCs w:val="20"/>
                <w:highlight w:val="none"/>
              </w:rPr>
            </w:pP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10000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东保线-康庄北路</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应嘉路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1157</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24297</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康庄路-北塘李路</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邵丰路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486.7</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8730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康庄路-洪家新河</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永和西路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514</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18461.6</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康庄路-洪家新河</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庄桥站B出口临时道路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166</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800</w:t>
            </w:r>
          </w:p>
        </w:tc>
        <w:tc>
          <w:tcPr>
            <w:tcW w:w="2348" w:type="dxa"/>
            <w:noWrap w:val="0"/>
            <w:vAlign w:val="center"/>
          </w:tcPr>
          <w:p>
            <w:pPr>
              <w:jc w:val="center"/>
              <w:rPr>
                <w:rFonts w:ascii="宋体" w:hAnsi="宋体" w:cs="宋体"/>
                <w:color w:val="auto"/>
                <w:kern w:val="0"/>
                <w:sz w:val="22"/>
                <w:szCs w:val="22"/>
                <w:highlight w:val="none"/>
              </w:rPr>
            </w:pP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联群路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563</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11260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铸峰路-规划路</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庄洪路延伸段</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235</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940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经纬驾校-灿祥光电</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江北大道（袁陈段）</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650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2693.4</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北海路-洋市河（两侧店铺、厂区外围）</w:t>
            </w: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火车北站</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40660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12918</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庄洪路</w:t>
            </w:r>
            <w:r>
              <w:rPr>
                <w:rStyle w:val="44"/>
                <w:rFonts w:hint="default"/>
                <w:color w:val="auto"/>
                <w:highlight w:val="none"/>
                <w:lang w:bidi="ar"/>
              </w:rPr>
              <w:t>：庄东线（庄浦路）与庄洪路交叉口起往东至庄桥站路；</w:t>
            </w:r>
            <w:r>
              <w:rPr>
                <w:rFonts w:hint="eastAsia" w:ascii="宋体" w:hAnsi="宋体" w:cs="宋体"/>
                <w:color w:val="auto"/>
                <w:kern w:val="0"/>
                <w:sz w:val="22"/>
                <w:szCs w:val="22"/>
                <w:highlight w:val="none"/>
                <w:lang w:bidi="ar"/>
              </w:rPr>
              <w:t>庄桥站路</w:t>
            </w:r>
            <w:r>
              <w:rPr>
                <w:rStyle w:val="44"/>
                <w:rFonts w:hint="default"/>
                <w:color w:val="auto"/>
                <w:highlight w:val="none"/>
                <w:lang w:bidi="ar"/>
              </w:rPr>
              <w:t>：北至江北区住建局，南至北环西路</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高铁站</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64590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64590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永茂西路、申明亭路全线范围</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22</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西邵工业区</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13488</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812</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庄兴路</w:t>
            </w:r>
            <w:r>
              <w:rPr>
                <w:rStyle w:val="44"/>
                <w:rFonts w:hint="default"/>
                <w:color w:val="auto"/>
                <w:highlight w:val="none"/>
                <w:lang w:bidi="ar"/>
              </w:rPr>
              <w:t>：东至北海路，西至断头路；</w:t>
            </w:r>
            <w:r>
              <w:rPr>
                <w:rFonts w:hint="eastAsia" w:ascii="宋体" w:hAnsi="宋体" w:cs="宋体"/>
                <w:color w:val="auto"/>
                <w:kern w:val="0"/>
                <w:sz w:val="22"/>
                <w:szCs w:val="22"/>
                <w:highlight w:val="none"/>
                <w:lang w:bidi="ar"/>
              </w:rPr>
              <w:t>洪兴路</w:t>
            </w:r>
            <w:r>
              <w:rPr>
                <w:rStyle w:val="44"/>
                <w:rFonts w:hint="default"/>
                <w:color w:val="auto"/>
                <w:highlight w:val="none"/>
                <w:lang w:bidi="ar"/>
              </w:rPr>
              <w:t>：东至北海路，西至断头路；</w:t>
            </w:r>
            <w:r>
              <w:rPr>
                <w:rFonts w:hint="eastAsia" w:ascii="宋体" w:hAnsi="宋体" w:cs="宋体"/>
                <w:color w:val="auto"/>
                <w:kern w:val="0"/>
                <w:sz w:val="22"/>
                <w:szCs w:val="22"/>
                <w:highlight w:val="none"/>
                <w:lang w:bidi="ar"/>
              </w:rPr>
              <w:t>东洲店里东侧道路</w:t>
            </w:r>
            <w:r>
              <w:rPr>
                <w:rStyle w:val="44"/>
                <w:rFonts w:hint="default"/>
                <w:color w:val="auto"/>
                <w:highlight w:val="none"/>
                <w:lang w:bidi="ar"/>
              </w:rPr>
              <w:t>：南至庄兴路，北至交界线；</w:t>
            </w:r>
            <w:r>
              <w:rPr>
                <w:rFonts w:hint="eastAsia" w:ascii="宋体" w:hAnsi="宋体" w:cs="宋体"/>
                <w:color w:val="auto"/>
                <w:kern w:val="0"/>
                <w:sz w:val="22"/>
                <w:szCs w:val="22"/>
                <w:highlight w:val="none"/>
                <w:lang w:bidi="ar"/>
              </w:rPr>
              <w:t>北海路</w:t>
            </w:r>
            <w:r>
              <w:rPr>
                <w:rStyle w:val="44"/>
                <w:rFonts w:hint="default"/>
                <w:color w:val="auto"/>
                <w:highlight w:val="none"/>
                <w:lang w:bidi="ar"/>
              </w:rPr>
              <w:t>：北至洪兴路，南至庄浦线</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23</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西邵工业区</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1600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1600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甬城配电公司北至垃圾中转站</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24</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江北大道198弄</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4840</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4840</w:t>
            </w:r>
          </w:p>
        </w:tc>
        <w:tc>
          <w:tcPr>
            <w:tcW w:w="2348" w:type="dxa"/>
            <w:noWrap w:val="0"/>
            <w:vAlign w:val="center"/>
          </w:tcPr>
          <w:p>
            <w:pPr>
              <w:jc w:val="center"/>
              <w:rPr>
                <w:rFonts w:ascii="宋体" w:hAnsi="宋体" w:cs="宋体"/>
                <w:color w:val="auto"/>
                <w:kern w:val="0"/>
                <w:sz w:val="22"/>
                <w:szCs w:val="22"/>
                <w:highlight w:val="none"/>
              </w:rPr>
            </w:pPr>
          </w:p>
        </w:tc>
        <w:tc>
          <w:tcPr>
            <w:tcW w:w="1122" w:type="dxa"/>
            <w:noWrap w:val="0"/>
            <w:vAlign w:val="center"/>
          </w:tcPr>
          <w:p>
            <w:pPr>
              <w:jc w:val="center"/>
              <w:rPr>
                <w:rFonts w:hint="eastAsia"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2" w:type="dxa"/>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1843"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北塘李路</w:t>
            </w:r>
          </w:p>
        </w:tc>
        <w:tc>
          <w:tcPr>
            <w:tcW w:w="1502"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557</w:t>
            </w:r>
          </w:p>
        </w:tc>
        <w:tc>
          <w:tcPr>
            <w:tcW w:w="1395" w:type="dxa"/>
            <w:noWrap w:val="0"/>
            <w:vAlign w:val="center"/>
          </w:tcPr>
          <w:p>
            <w:pPr>
              <w:widowControl/>
              <w:jc w:val="center"/>
              <w:textAlignment w:val="center"/>
              <w:rPr>
                <w:rFonts w:ascii="Arial" w:hAnsi="Arial" w:cs="Arial"/>
                <w:color w:val="auto"/>
                <w:kern w:val="0"/>
                <w:sz w:val="20"/>
                <w:szCs w:val="20"/>
                <w:highlight w:val="none"/>
              </w:rPr>
            </w:pPr>
            <w:r>
              <w:rPr>
                <w:rFonts w:hint="eastAsia" w:ascii="宋体" w:hAnsi="宋体" w:cs="宋体"/>
                <w:color w:val="auto"/>
                <w:kern w:val="0"/>
                <w:sz w:val="22"/>
                <w:szCs w:val="22"/>
                <w:highlight w:val="none"/>
                <w:lang w:bidi="ar"/>
              </w:rPr>
              <w:t>11140</w:t>
            </w:r>
          </w:p>
        </w:tc>
        <w:tc>
          <w:tcPr>
            <w:tcW w:w="2348" w:type="dxa"/>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铸峰路-规划路</w:t>
            </w:r>
          </w:p>
        </w:tc>
        <w:tc>
          <w:tcPr>
            <w:tcW w:w="1122" w:type="dxa"/>
            <w:noWrap w:val="0"/>
            <w:vAlign w:val="center"/>
          </w:tcPr>
          <w:p>
            <w:pPr>
              <w:widowControl/>
              <w:jc w:val="center"/>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bl>
    <w:tbl>
      <w:tblPr>
        <w:tblStyle w:val="26"/>
        <w:tblW w:w="8925"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41"/>
        <w:gridCol w:w="1647"/>
        <w:gridCol w:w="1728"/>
        <w:gridCol w:w="1134"/>
        <w:gridCol w:w="1325"/>
        <w:gridCol w:w="1284"/>
        <w:gridCol w:w="133"/>
        <w:gridCol w:w="1005"/>
        <w:gridCol w:w="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8835" w:type="dxa"/>
            <w:gridSpan w:val="9"/>
            <w:noWrap w:val="0"/>
            <w:vAlign w:val="center"/>
          </w:tcPr>
          <w:p>
            <w:pPr>
              <w:widowControl/>
              <w:jc w:val="center"/>
              <w:rPr>
                <w:rFonts w:ascii="宋体" w:hAnsi="宋体" w:cs="宋体"/>
                <w:color w:val="auto"/>
                <w:kern w:val="0"/>
                <w:highlight w:val="none"/>
              </w:rPr>
            </w:pPr>
            <w:r>
              <w:rPr>
                <w:rFonts w:hint="eastAsia"/>
                <w:b/>
                <w:bCs/>
                <w:color w:val="auto"/>
                <w:sz w:val="28"/>
                <w:szCs w:val="28"/>
                <w:highlight w:val="none"/>
              </w:rPr>
              <w:t>3-2绿化养护范围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序 号</w:t>
            </w:r>
          </w:p>
        </w:tc>
        <w:tc>
          <w:tcPr>
            <w:tcW w:w="4550" w:type="dxa"/>
            <w:gridSpan w:val="4"/>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绿化区域</w:t>
            </w:r>
          </w:p>
        </w:tc>
        <w:tc>
          <w:tcPr>
            <w:tcW w:w="1325" w:type="dxa"/>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面积（㎡）</w:t>
            </w:r>
          </w:p>
        </w:tc>
        <w:tc>
          <w:tcPr>
            <w:tcW w:w="1284" w:type="dxa"/>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养护等级</w:t>
            </w:r>
          </w:p>
        </w:tc>
        <w:tc>
          <w:tcPr>
            <w:tcW w:w="1138" w:type="dxa"/>
            <w:gridSpan w:val="2"/>
            <w:noWrap w:val="0"/>
            <w:vAlign w:val="center"/>
          </w:tcPr>
          <w:p>
            <w:pPr>
              <w:widowControl/>
              <w:jc w:val="center"/>
              <w:rPr>
                <w:rFonts w:hint="eastAsia" w:ascii="宋体" w:hAnsi="宋体" w:cs="宋体"/>
                <w:color w:val="auto"/>
                <w:kern w:val="0"/>
                <w:highlight w:val="none"/>
              </w:rPr>
            </w:pPr>
            <w:r>
              <w:rPr>
                <w:rFonts w:hint="eastAsia" w:ascii="宋体" w:hAnsi="宋体" w:cs="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0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海川公园</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12191</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0"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海川路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14527</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1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3</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庄洪-林沐路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1800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0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4</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洪兴-庄兴路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11162</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5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5</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北海路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5880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4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6</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庄桥站路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7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7</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老火车站生活区</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5095</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0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8</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宁波特殊学校东南侧道路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739</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5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9</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洪发路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3267</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10</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西邵工业区垃圾中转站东侧道路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20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4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11</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申明亭路（江北大河南段）</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1525</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28"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12</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铸峰路（扩建后）</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12256</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移交后按实结算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1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13</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应嘉路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670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4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14</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邵丰路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325</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4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15</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永和西路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2100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417"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16</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庄桥站B出口临时道路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400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085"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17</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b/>
                <w:bCs/>
                <w:color w:val="auto"/>
                <w:kern w:val="0"/>
                <w:highlight w:val="none"/>
                <w:lang w:bidi="ar"/>
              </w:rPr>
              <w:t>西邵工业区：</w:t>
            </w:r>
            <w:r>
              <w:rPr>
                <w:rFonts w:hint="eastAsia" w:ascii="宋体" w:hAnsi="宋体" w:cs="宋体"/>
                <w:color w:val="auto"/>
                <w:kern w:val="0"/>
                <w:highlight w:val="none"/>
                <w:lang w:bidi="ar"/>
              </w:rPr>
              <w:t>庄兴路：东至北海路，西至断头路；洪兴路：东至北海路，西至断头路；东洲店里东侧道路：南至庄兴路，北至交界线；北海路：北至洪兴路，南至庄浦线</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21934</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18</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b/>
                <w:bCs/>
                <w:color w:val="auto"/>
                <w:kern w:val="0"/>
                <w:highlight w:val="none"/>
                <w:lang w:bidi="ar"/>
              </w:rPr>
              <w:t>高铁站：</w:t>
            </w:r>
            <w:r>
              <w:rPr>
                <w:rFonts w:hint="eastAsia" w:ascii="宋体" w:hAnsi="宋体" w:cs="宋体"/>
                <w:color w:val="auto"/>
                <w:kern w:val="0"/>
                <w:highlight w:val="none"/>
                <w:lang w:bidi="ar"/>
              </w:rPr>
              <w:t>永茂西路、申明亭路全线范围</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3878</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085"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19</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b/>
                <w:bCs/>
                <w:color w:val="auto"/>
                <w:kern w:val="0"/>
                <w:highlight w:val="none"/>
                <w:lang w:bidi="ar"/>
              </w:rPr>
              <w:t>火车北站及铸峰路：</w:t>
            </w:r>
            <w:r>
              <w:rPr>
                <w:rFonts w:hint="eastAsia" w:ascii="宋体" w:hAnsi="宋体" w:cs="宋体"/>
                <w:color w:val="auto"/>
                <w:kern w:val="0"/>
                <w:highlight w:val="none"/>
                <w:lang w:bidi="ar"/>
              </w:rPr>
              <w:t>庄洪路：庄东线（庄浦路）与庄洪路交叉口起往东至庄桥站路；庄桥站路：北至江北区住建局，南至北环西路；东至九龙大道，西至东保线，应家丽苑周边道路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3568</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20</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b/>
                <w:bCs/>
                <w:color w:val="auto"/>
                <w:kern w:val="0"/>
                <w:highlight w:val="none"/>
                <w:lang w:bidi="ar"/>
              </w:rPr>
              <w:t>西邵工业区：</w:t>
            </w:r>
            <w:r>
              <w:rPr>
                <w:rFonts w:hint="eastAsia" w:ascii="宋体" w:hAnsi="宋体" w:cs="宋体"/>
                <w:color w:val="auto"/>
                <w:kern w:val="0"/>
                <w:highlight w:val="none"/>
                <w:lang w:bidi="ar"/>
              </w:rPr>
              <w:t>甬城配电公司北至垃圾中转站</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1000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21</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江北大道198弄</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lang w:bidi="ar"/>
              </w:rPr>
              <w:t>2678</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22</w:t>
            </w:r>
          </w:p>
        </w:tc>
        <w:tc>
          <w:tcPr>
            <w:tcW w:w="4550" w:type="dxa"/>
            <w:gridSpan w:val="4"/>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联群路.北塘李路</w:t>
            </w:r>
          </w:p>
        </w:tc>
        <w:tc>
          <w:tcPr>
            <w:tcW w:w="1325" w:type="dxa"/>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1553</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23</w:t>
            </w:r>
          </w:p>
        </w:tc>
        <w:tc>
          <w:tcPr>
            <w:tcW w:w="4550" w:type="dxa"/>
            <w:gridSpan w:val="4"/>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highlight w:val="none"/>
                <w:lang w:bidi="ar"/>
              </w:rPr>
              <w:t>永和西路绿化带（康庄北路至邵余华庭南门道路中间绿化带）</w:t>
            </w:r>
          </w:p>
        </w:tc>
        <w:tc>
          <w:tcPr>
            <w:tcW w:w="1325"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highlight w:val="none"/>
                <w:lang w:bidi="ar"/>
              </w:rPr>
              <w:t>2400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562" w:hRule="atLeast"/>
        </w:trPr>
        <w:tc>
          <w:tcPr>
            <w:tcW w:w="538" w:type="dxa"/>
            <w:noWrap w:val="0"/>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24</w:t>
            </w:r>
          </w:p>
        </w:tc>
        <w:tc>
          <w:tcPr>
            <w:tcW w:w="4550" w:type="dxa"/>
            <w:gridSpan w:val="4"/>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highlight w:val="none"/>
                <w:lang w:bidi="ar"/>
              </w:rPr>
              <w:t>特殊学校外围道路绿化带（荣吉西路至特殊学校外围道路绿化带）</w:t>
            </w:r>
          </w:p>
        </w:tc>
        <w:tc>
          <w:tcPr>
            <w:tcW w:w="1325"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highlight w:val="none"/>
                <w:lang w:bidi="ar"/>
              </w:rPr>
              <w:t>1260</w:t>
            </w:r>
          </w:p>
        </w:tc>
        <w:tc>
          <w:tcPr>
            <w:tcW w:w="1284" w:type="dxa"/>
            <w:noWrap w:val="0"/>
            <w:vAlign w:val="center"/>
          </w:tcPr>
          <w:p>
            <w:pPr>
              <w:widowControl/>
              <w:jc w:val="center"/>
              <w:rPr>
                <w:rFonts w:ascii="宋体" w:hAnsi="宋体" w:cs="宋体"/>
                <w:color w:val="auto"/>
                <w:kern w:val="0"/>
                <w:highlight w:val="none"/>
              </w:rPr>
            </w:pPr>
          </w:p>
        </w:tc>
        <w:tc>
          <w:tcPr>
            <w:tcW w:w="1138" w:type="dxa"/>
            <w:gridSpan w:val="2"/>
            <w:noWrap w:val="0"/>
            <w:vAlign w:val="center"/>
          </w:tcPr>
          <w:p>
            <w:pPr>
              <w:jc w:val="center"/>
              <w:rPr>
                <w:rFonts w:hint="eastAsia" w:ascii="宋体" w:hAnsi="宋体" w:cs="宋体"/>
                <w:color w:val="auto"/>
                <w:kern w:val="0"/>
                <w:sz w:val="22"/>
                <w:szCs w:val="22"/>
                <w:highlight w:val="none"/>
                <w:lang w:bidi="ar"/>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649" w:hRule="atLeast"/>
        </w:trPr>
        <w:tc>
          <w:tcPr>
            <w:tcW w:w="8925" w:type="dxa"/>
            <w:gridSpan w:val="10"/>
            <w:tcBorders>
              <w:top w:val="nil"/>
              <w:left w:val="nil"/>
              <w:bottom w:val="single" w:color="auto" w:sz="4" w:space="0"/>
              <w:right w:val="nil"/>
            </w:tcBorders>
            <w:noWrap/>
            <w:tcMar>
              <w:top w:w="15" w:type="dxa"/>
              <w:left w:w="15" w:type="dxa"/>
              <w:bottom w:w="0" w:type="dxa"/>
              <w:right w:w="15" w:type="dxa"/>
            </w:tcMar>
            <w:vAlign w:val="center"/>
          </w:tcPr>
          <w:p>
            <w:pPr>
              <w:jc w:val="center"/>
              <w:rPr>
                <w:rFonts w:ascii="宋体" w:hAnsi="宋体" w:cs="宋体"/>
                <w:b/>
                <w:bCs/>
                <w:color w:val="auto"/>
                <w:sz w:val="28"/>
                <w:szCs w:val="28"/>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653" w:hRule="atLeast"/>
        </w:trPr>
        <w:tc>
          <w:tcPr>
            <w:tcW w:w="8925"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bCs/>
                <w:color w:val="auto"/>
                <w:sz w:val="22"/>
                <w:szCs w:val="22"/>
                <w:highlight w:val="none"/>
              </w:rPr>
            </w:pPr>
            <w:r>
              <w:rPr>
                <w:rFonts w:hint="eastAsia"/>
                <w:b/>
                <w:bCs/>
                <w:color w:val="auto"/>
                <w:sz w:val="28"/>
                <w:szCs w:val="28"/>
                <w:highlight w:val="none"/>
              </w:rPr>
              <w:t>3-3其他管养内容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548" w:hRule="atLeast"/>
        </w:trPr>
        <w:tc>
          <w:tcPr>
            <w:tcW w:w="57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序 号</w:t>
            </w:r>
          </w:p>
        </w:tc>
        <w:tc>
          <w:tcPr>
            <w:tcW w:w="164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管养内容</w:t>
            </w:r>
          </w:p>
        </w:tc>
        <w:tc>
          <w:tcPr>
            <w:tcW w:w="17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bCs/>
                <w:color w:val="auto"/>
                <w:sz w:val="22"/>
                <w:szCs w:val="22"/>
                <w:highlight w:val="none"/>
              </w:rPr>
            </w:pPr>
            <w:r>
              <w:rPr>
                <w:rFonts w:hint="eastAsia"/>
                <w:bCs/>
                <w:color w:val="auto"/>
                <w:sz w:val="22"/>
                <w:szCs w:val="22"/>
                <w:highlight w:val="none"/>
              </w:rPr>
              <w:t>位置/数量</w:t>
            </w:r>
          </w:p>
        </w:tc>
        <w:tc>
          <w:tcPr>
            <w:tcW w:w="387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规模、服务内容</w:t>
            </w:r>
          </w:p>
        </w:tc>
        <w:tc>
          <w:tcPr>
            <w:tcW w:w="109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bCs/>
                <w:color w:val="auto"/>
                <w:sz w:val="22"/>
                <w:szCs w:val="22"/>
                <w:highlight w:val="none"/>
              </w:rPr>
            </w:pPr>
            <w:r>
              <w:rPr>
                <w:rFonts w:hint="eastAsia"/>
                <w:bCs/>
                <w:color w:val="auto"/>
                <w:sz w:val="22"/>
                <w:szCs w:val="22"/>
                <w:highlight w:val="none"/>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461"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color w:val="auto"/>
                <w:sz w:val="22"/>
                <w:szCs w:val="22"/>
                <w:highlight w:val="none"/>
              </w:rPr>
            </w:pPr>
            <w:r>
              <w:rPr>
                <w:color w:val="auto"/>
                <w:sz w:val="22"/>
                <w:szCs w:val="22"/>
                <w:highlight w:val="none"/>
              </w:rPr>
              <w:t>1</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公交场站及站台保洁项目</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工业B区</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left"/>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公交场站1处（516终点站1155㎡）公交站台4座；保洁、保序。</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71"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2</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庄桥高铁站</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26"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3</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邵余华庭</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86"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4</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应嘉丽园</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586"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5</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庄桥河强排泵站</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1</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管养、维修、清理、汛期值班</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586"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6</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老火车站新建公共厕所</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老火车站区域</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厕所保洁、设施维修维护、含水电</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481"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eastAsia="宋体"/>
                <w:color w:val="auto"/>
                <w:sz w:val="22"/>
                <w:szCs w:val="22"/>
                <w:highlight w:val="none"/>
                <w:lang w:eastAsia="zh-CN"/>
              </w:rPr>
            </w:pPr>
            <w:r>
              <w:rPr>
                <w:rFonts w:hint="eastAsia"/>
                <w:color w:val="auto"/>
                <w:sz w:val="22"/>
                <w:szCs w:val="22"/>
                <w:highlight w:val="none"/>
                <w:lang w:val="en-US" w:eastAsia="zh-CN"/>
              </w:rPr>
              <w:t>7</w:t>
            </w:r>
          </w:p>
        </w:tc>
        <w:tc>
          <w:tcPr>
            <w:tcW w:w="164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闸门站</w:t>
            </w:r>
          </w:p>
        </w:tc>
        <w:tc>
          <w:tcPr>
            <w:tcW w:w="17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1</w:t>
            </w:r>
          </w:p>
        </w:tc>
        <w:tc>
          <w:tcPr>
            <w:tcW w:w="387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李碶渡闸门，管养、维修、清理、汛期值班</w:t>
            </w:r>
          </w:p>
        </w:tc>
        <w:tc>
          <w:tcPr>
            <w:tcW w:w="109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496" w:hRule="atLeast"/>
        </w:trPr>
        <w:tc>
          <w:tcPr>
            <w:tcW w:w="579" w:type="dxa"/>
            <w:gridSpan w:val="2"/>
            <w:tcBorders>
              <w:top w:val="single" w:color="000000" w:sz="8" w:space="0"/>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eastAsia="宋体"/>
                <w:color w:val="auto"/>
                <w:sz w:val="22"/>
                <w:szCs w:val="22"/>
                <w:highlight w:val="none"/>
                <w:lang w:eastAsia="zh-CN"/>
              </w:rPr>
            </w:pPr>
            <w:r>
              <w:rPr>
                <w:rFonts w:hint="eastAsia"/>
                <w:color w:val="auto"/>
                <w:sz w:val="22"/>
                <w:szCs w:val="22"/>
                <w:highlight w:val="none"/>
                <w:lang w:val="en-US" w:eastAsia="zh-CN"/>
              </w:rPr>
              <w:t>8</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污水提升井泵站</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11</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老镇区范围，管养、维修、清理、汛期值班</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2"/>
                <w:szCs w:val="22"/>
                <w:highlight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431" w:hRule="atLeast"/>
        </w:trPr>
        <w:tc>
          <w:tcPr>
            <w:tcW w:w="579" w:type="dxa"/>
            <w:gridSpan w:val="2"/>
            <w:tcBorders>
              <w:top w:val="nil"/>
              <w:left w:val="single" w:color="auto" w:sz="4" w:space="0"/>
              <w:bottom w:val="single" w:color="000000" w:sz="8" w:space="0"/>
              <w:right w:val="single" w:color="000000" w:sz="8" w:space="0"/>
            </w:tcBorders>
            <w:shd w:val="clear" w:color="000000" w:fill="FFFFFF"/>
            <w:noWrap w:val="0"/>
            <w:tcMar>
              <w:top w:w="15" w:type="dxa"/>
              <w:left w:w="15" w:type="dxa"/>
              <w:bottom w:w="0" w:type="dxa"/>
              <w:right w:w="15" w:type="dxa"/>
            </w:tcMar>
            <w:vAlign w:val="center"/>
          </w:tcPr>
          <w:p>
            <w:pPr>
              <w:jc w:val="center"/>
              <w:rPr>
                <w:rFonts w:hint="eastAsia" w:eastAsia="宋体"/>
                <w:color w:val="auto"/>
                <w:sz w:val="22"/>
                <w:szCs w:val="22"/>
                <w:highlight w:val="none"/>
                <w:lang w:eastAsia="zh-CN"/>
              </w:rPr>
            </w:pPr>
            <w:r>
              <w:rPr>
                <w:rFonts w:hint="eastAsia"/>
                <w:color w:val="auto"/>
                <w:sz w:val="22"/>
                <w:szCs w:val="22"/>
                <w:highlight w:val="none"/>
                <w:lang w:val="en-US" w:eastAsia="zh-CN"/>
              </w:rPr>
              <w:t>9</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截污闸门井</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18</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庄桥河沿线，管养、维修、清理、汛期值班</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659" w:hRule="atLeast"/>
        </w:trPr>
        <w:tc>
          <w:tcPr>
            <w:tcW w:w="579" w:type="dxa"/>
            <w:gridSpan w:val="2"/>
            <w:tcBorders>
              <w:top w:val="nil"/>
              <w:left w:val="single" w:color="auto" w:sz="4" w:space="0"/>
              <w:bottom w:val="nil"/>
              <w:right w:val="nil"/>
            </w:tcBorders>
            <w:shd w:val="clear" w:color="000000" w:fill="FFFFFF"/>
            <w:noWrap w:val="0"/>
            <w:tcMar>
              <w:top w:w="15" w:type="dxa"/>
              <w:left w:w="15" w:type="dxa"/>
              <w:bottom w:w="0"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color w:val="auto"/>
                <w:sz w:val="22"/>
                <w:szCs w:val="22"/>
                <w:highlight w:val="none"/>
                <w:lang w:val="en-US" w:eastAsia="zh-CN"/>
              </w:rPr>
              <w:t>10</w:t>
            </w:r>
          </w:p>
        </w:tc>
        <w:tc>
          <w:tcPr>
            <w:tcW w:w="164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下穿提升泵站</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4</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bCs/>
                <w:color w:val="auto"/>
                <w:sz w:val="22"/>
                <w:szCs w:val="22"/>
                <w:highlight w:val="none"/>
              </w:rPr>
            </w:pPr>
            <w:r>
              <w:rPr>
                <w:rFonts w:hint="eastAsia" w:ascii="宋体" w:hAnsi="宋体" w:cs="宋体"/>
                <w:color w:val="auto"/>
                <w:kern w:val="0"/>
                <w:sz w:val="22"/>
                <w:szCs w:val="22"/>
                <w:highlight w:val="none"/>
                <w:lang w:bidi="ar"/>
              </w:rPr>
              <w:t>东邵村2只，宁慈公路昌褀公司1只，葛家1只。管养、维修、清理、汛期值班。</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422" w:hRule="atLeast"/>
        </w:trPr>
        <w:tc>
          <w:tcPr>
            <w:tcW w:w="57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s="宋体"/>
                <w:color w:val="auto"/>
                <w:sz w:val="22"/>
                <w:szCs w:val="22"/>
                <w:highlight w:val="none"/>
                <w:lang w:val="en-US" w:eastAsia="zh-CN"/>
              </w:rPr>
            </w:pPr>
            <w:r>
              <w:rPr>
                <w:rFonts w:hint="eastAsia"/>
                <w:color w:val="auto"/>
                <w:sz w:val="22"/>
                <w:szCs w:val="22"/>
                <w:highlight w:val="none"/>
                <w:lang w:val="en-US" w:eastAsia="zh-CN"/>
              </w:rPr>
              <w:t>11</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特保人员</w:t>
            </w:r>
          </w:p>
        </w:tc>
        <w:tc>
          <w:tcPr>
            <w:tcW w:w="17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bidi="ar"/>
              </w:rPr>
              <w:t>15</w:t>
            </w:r>
          </w:p>
        </w:tc>
        <w:tc>
          <w:tcPr>
            <w:tcW w:w="38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szCs w:val="22"/>
                <w:highlight w:val="none"/>
              </w:rPr>
              <w:t>秩序维保15人</w:t>
            </w:r>
          </w:p>
        </w:tc>
        <w:tc>
          <w:tcPr>
            <w:tcW w:w="109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2"/>
                <w:szCs w:val="22"/>
                <w:highlight w:val="none"/>
              </w:rPr>
            </w:pPr>
            <w:r>
              <w:rPr>
                <w:rFonts w:hint="eastAsia"/>
                <w:color w:val="auto"/>
                <w:sz w:val="22"/>
                <w:szCs w:val="22"/>
                <w:highlight w:val="none"/>
              </w:rPr>
              <w:t>　</w:t>
            </w:r>
          </w:p>
        </w:tc>
      </w:tr>
    </w:tbl>
    <w:p>
      <w:pPr>
        <w:spacing w:line="440" w:lineRule="exact"/>
        <w:jc w:val="center"/>
        <w:rPr>
          <w:rFonts w:ascii="Arial" w:hAnsi="Arial" w:eastAsia="黑体"/>
          <w:bCs/>
          <w:color w:val="auto"/>
          <w:sz w:val="22"/>
          <w:szCs w:val="22"/>
          <w:highlight w:val="none"/>
        </w:rPr>
      </w:pPr>
    </w:p>
    <w:p>
      <w:pPr>
        <w:spacing w:line="360" w:lineRule="auto"/>
        <w:ind w:firstLine="440" w:firstLineChars="200"/>
        <w:rPr>
          <w:b w:val="0"/>
          <w:bCs w:val="0"/>
          <w:color w:val="auto"/>
          <w:sz w:val="22"/>
          <w:szCs w:val="22"/>
          <w:highlight w:val="none"/>
        </w:rPr>
      </w:pPr>
      <w:r>
        <w:rPr>
          <w:rFonts w:hint="eastAsia"/>
          <w:b w:val="0"/>
          <w:bCs w:val="0"/>
          <w:color w:val="auto"/>
          <w:sz w:val="22"/>
          <w:szCs w:val="22"/>
          <w:highlight w:val="none"/>
          <w:lang w:val="en-US" w:eastAsia="zh-CN"/>
        </w:rPr>
        <w:t>3.3 特保人员</w:t>
      </w:r>
      <w:r>
        <w:rPr>
          <w:rFonts w:hint="eastAsia"/>
          <w:b w:val="0"/>
          <w:bCs w:val="0"/>
          <w:color w:val="auto"/>
          <w:sz w:val="22"/>
          <w:szCs w:val="22"/>
          <w:highlight w:val="none"/>
        </w:rPr>
        <w:t>数量：</w:t>
      </w:r>
      <w:r>
        <w:rPr>
          <w:rFonts w:hint="eastAsia"/>
          <w:b w:val="0"/>
          <w:bCs w:val="0"/>
          <w:color w:val="auto"/>
          <w:sz w:val="22"/>
          <w:szCs w:val="22"/>
          <w:highlight w:val="none"/>
          <w:lang w:val="en-US" w:eastAsia="zh-CN"/>
        </w:rPr>
        <w:t>15</w:t>
      </w:r>
      <w:r>
        <w:rPr>
          <w:rFonts w:hint="eastAsia"/>
          <w:b w:val="0"/>
          <w:bCs w:val="0"/>
          <w:color w:val="auto"/>
          <w:sz w:val="22"/>
          <w:szCs w:val="22"/>
          <w:highlight w:val="none"/>
        </w:rPr>
        <w:t>名及以上</w:t>
      </w:r>
      <w:r>
        <w:rPr>
          <w:b w:val="0"/>
          <w:bCs w:val="0"/>
          <w:color w:val="auto"/>
          <w:sz w:val="22"/>
          <w:szCs w:val="22"/>
          <w:highlight w:val="none"/>
        </w:rPr>
        <w:t>。</w:t>
      </w:r>
    </w:p>
    <w:p>
      <w:pPr>
        <w:spacing w:line="360" w:lineRule="auto"/>
        <w:ind w:firstLine="440" w:firstLineChars="200"/>
        <w:rPr>
          <w:color w:val="auto"/>
          <w:sz w:val="22"/>
          <w:szCs w:val="22"/>
          <w:highlight w:val="none"/>
        </w:rPr>
      </w:pPr>
      <w:r>
        <w:rPr>
          <w:rFonts w:hint="eastAsia"/>
          <w:color w:val="auto"/>
          <w:sz w:val="22"/>
          <w:szCs w:val="22"/>
          <w:highlight w:val="none"/>
        </w:rPr>
        <w:t>服务内容</w:t>
      </w:r>
      <w:r>
        <w:rPr>
          <w:color w:val="auto"/>
          <w:sz w:val="22"/>
          <w:szCs w:val="22"/>
          <w:highlight w:val="none"/>
        </w:rPr>
        <w:t>：</w:t>
      </w:r>
      <w:r>
        <w:rPr>
          <w:rFonts w:hint="eastAsia"/>
          <w:color w:val="auto"/>
          <w:sz w:val="22"/>
          <w:szCs w:val="22"/>
          <w:highlight w:val="none"/>
        </w:rPr>
        <w:t>区域市容秩序辅助管理服务、灾害应急、违章建筑拆除等保护性施工工作、偷倒垃圾盯防及处理等各项内容服务，具体工作安排由业主单位按需调配。</w:t>
      </w:r>
    </w:p>
    <w:p>
      <w:pPr>
        <w:spacing w:line="360" w:lineRule="auto"/>
        <w:rPr>
          <w:b/>
          <w:color w:val="auto"/>
          <w:sz w:val="22"/>
          <w:szCs w:val="22"/>
          <w:highlight w:val="none"/>
        </w:rPr>
      </w:pPr>
      <w:r>
        <w:rPr>
          <w:rFonts w:hint="eastAsia"/>
          <w:b/>
          <w:color w:val="auto"/>
          <w:sz w:val="22"/>
          <w:szCs w:val="22"/>
          <w:highlight w:val="none"/>
        </w:rPr>
        <w:t>备注：</w:t>
      </w:r>
    </w:p>
    <w:p>
      <w:pPr>
        <w:spacing w:line="360" w:lineRule="auto"/>
        <w:ind w:firstLine="433" w:firstLineChars="196"/>
        <w:rPr>
          <w:b/>
          <w:color w:val="auto"/>
          <w:sz w:val="22"/>
          <w:szCs w:val="22"/>
          <w:highlight w:val="none"/>
        </w:rPr>
      </w:pPr>
      <w:r>
        <w:rPr>
          <w:b/>
          <w:color w:val="auto"/>
          <w:sz w:val="22"/>
          <w:szCs w:val="22"/>
          <w:highlight w:val="none"/>
        </w:rPr>
        <w:fldChar w:fldCharType="begin"/>
      </w:r>
      <w:r>
        <w:rPr>
          <w:b/>
          <w:color w:val="auto"/>
          <w:sz w:val="22"/>
          <w:szCs w:val="22"/>
          <w:highlight w:val="none"/>
        </w:rPr>
        <w:instrText xml:space="preserve"> </w:instrText>
      </w:r>
      <w:r>
        <w:rPr>
          <w:rFonts w:hint="eastAsia"/>
          <w:b/>
          <w:color w:val="auto"/>
          <w:sz w:val="22"/>
          <w:szCs w:val="22"/>
          <w:highlight w:val="none"/>
        </w:rPr>
        <w:instrText xml:space="preserve">= 1 \* GB3</w:instrText>
      </w:r>
      <w:r>
        <w:rPr>
          <w:b/>
          <w:color w:val="auto"/>
          <w:sz w:val="22"/>
          <w:szCs w:val="22"/>
          <w:highlight w:val="none"/>
        </w:rPr>
        <w:instrText xml:space="preserve"> </w:instrText>
      </w:r>
      <w:r>
        <w:rPr>
          <w:b/>
          <w:color w:val="auto"/>
          <w:sz w:val="22"/>
          <w:szCs w:val="22"/>
          <w:highlight w:val="none"/>
        </w:rPr>
        <w:fldChar w:fldCharType="separate"/>
      </w:r>
      <w:r>
        <w:rPr>
          <w:rFonts w:hint="eastAsia"/>
          <w:b/>
          <w:color w:val="auto"/>
          <w:sz w:val="22"/>
          <w:szCs w:val="22"/>
          <w:highlight w:val="none"/>
        </w:rPr>
        <w:t>①</w:t>
      </w:r>
      <w:r>
        <w:rPr>
          <w:b/>
          <w:color w:val="auto"/>
          <w:sz w:val="22"/>
          <w:szCs w:val="22"/>
          <w:highlight w:val="none"/>
        </w:rPr>
        <w:fldChar w:fldCharType="end"/>
      </w:r>
      <w:r>
        <w:rPr>
          <w:rFonts w:hint="eastAsia"/>
          <w:b/>
          <w:color w:val="auto"/>
          <w:sz w:val="22"/>
          <w:szCs w:val="22"/>
          <w:highlight w:val="none"/>
        </w:rPr>
        <w:t>投标报价为包干价，合同期内服务费用不因市场和政策等因素的变动而调整。上述所列道路及绿化的面积为近似数量，与实际准确数量可能会有出入，各投标人在投标报价时应予以充分考虑，投标人如有需要自行组织现场踏勘，以充分了解项目实施位置、服务范围、周边情况及任何其他足以影响报价的情况，任何因忽视或误解现场情况而导致的索赔或养护费用申请将不予受理。采购单位联系人与联系电话详见招标公告。</w:t>
      </w:r>
    </w:p>
    <w:p>
      <w:pPr>
        <w:spacing w:line="360" w:lineRule="auto"/>
        <w:ind w:firstLine="433" w:firstLineChars="196"/>
        <w:rPr>
          <w:b/>
          <w:color w:val="auto"/>
          <w:sz w:val="22"/>
          <w:szCs w:val="22"/>
          <w:highlight w:val="none"/>
        </w:rPr>
      </w:pPr>
      <w:r>
        <w:rPr>
          <w:rFonts w:hint="eastAsia"/>
          <w:b/>
          <w:color w:val="auto"/>
          <w:sz w:val="22"/>
          <w:szCs w:val="22"/>
          <w:highlight w:val="none"/>
        </w:rPr>
        <w:t>②合同履行期间，如发生服务范围的增加或减少，原则上由甲方统一调配并以签证认可的联系单为准，价格不高于投标时的中标单价，产生的费用计入发生期间所对应的月份中。</w:t>
      </w:r>
    </w:p>
    <w:p>
      <w:pPr>
        <w:pStyle w:val="13"/>
        <w:snapToGrid w:val="0"/>
        <w:spacing w:beforeLines="0" w:afterLines="0" w:line="360" w:lineRule="auto"/>
        <w:rPr>
          <w:rFonts w:ascii="Times New Roman" w:hAnsi="Times New Roman"/>
          <w:b/>
          <w:color w:val="auto"/>
          <w:sz w:val="22"/>
          <w:szCs w:val="22"/>
          <w:highlight w:val="none"/>
        </w:rPr>
      </w:pPr>
      <w:r>
        <w:rPr>
          <w:rFonts w:hint="eastAsia" w:ascii="Times New Roman" w:hAnsi="Times New Roman"/>
          <w:b/>
          <w:color w:val="auto"/>
          <w:sz w:val="22"/>
          <w:szCs w:val="22"/>
          <w:highlight w:val="none"/>
          <w:lang w:val="en-US" w:eastAsia="zh-CN"/>
        </w:rPr>
        <w:t>3.4</w:t>
      </w:r>
      <w:r>
        <w:rPr>
          <w:rFonts w:hint="eastAsia" w:ascii="Times New Roman" w:hAnsi="Times New Roman"/>
          <w:b/>
          <w:color w:val="auto"/>
          <w:sz w:val="22"/>
          <w:szCs w:val="22"/>
          <w:highlight w:val="none"/>
        </w:rPr>
        <w:t>、服务班子配置及人员要求</w:t>
      </w:r>
    </w:p>
    <w:p>
      <w:pPr>
        <w:spacing w:line="360" w:lineRule="auto"/>
        <w:ind w:firstLine="440" w:firstLineChars="200"/>
        <w:rPr>
          <w:bCs/>
          <w:color w:val="auto"/>
          <w:sz w:val="22"/>
          <w:szCs w:val="22"/>
          <w:highlight w:val="none"/>
        </w:rPr>
      </w:pPr>
      <w:r>
        <w:rPr>
          <w:rFonts w:hint="eastAsia"/>
          <w:color w:val="auto"/>
          <w:sz w:val="22"/>
          <w:szCs w:val="22"/>
          <w:highlight w:val="none"/>
        </w:rPr>
        <w:t>各类工作人员</w:t>
      </w:r>
      <w:r>
        <w:rPr>
          <w:rFonts w:hint="eastAsia"/>
          <w:color w:val="auto"/>
          <w:sz w:val="22"/>
          <w:szCs w:val="22"/>
          <w:highlight w:val="none"/>
          <w:lang w:val="en-US" w:eastAsia="zh-CN"/>
        </w:rPr>
        <w:t>125</w:t>
      </w:r>
      <w:r>
        <w:rPr>
          <w:rFonts w:hint="eastAsia"/>
          <w:color w:val="auto"/>
          <w:sz w:val="22"/>
          <w:szCs w:val="22"/>
          <w:highlight w:val="none"/>
        </w:rPr>
        <w:t>名以上（其中保洁和养护人员</w:t>
      </w:r>
      <w:r>
        <w:rPr>
          <w:rFonts w:hint="eastAsia"/>
          <w:color w:val="auto"/>
          <w:sz w:val="22"/>
          <w:szCs w:val="22"/>
          <w:highlight w:val="none"/>
          <w:lang w:val="en-US" w:eastAsia="zh-CN"/>
        </w:rPr>
        <w:t>108</w:t>
      </w:r>
      <w:r>
        <w:rPr>
          <w:rFonts w:hint="eastAsia"/>
          <w:color w:val="auto"/>
          <w:sz w:val="22"/>
          <w:szCs w:val="22"/>
          <w:highlight w:val="none"/>
        </w:rPr>
        <w:t>名以上，</w:t>
      </w:r>
      <w:r>
        <w:rPr>
          <w:rFonts w:hint="eastAsia"/>
          <w:b w:val="0"/>
          <w:bCs w:val="0"/>
          <w:color w:val="auto"/>
          <w:sz w:val="22"/>
          <w:szCs w:val="22"/>
          <w:highlight w:val="none"/>
          <w:lang w:val="en-US" w:eastAsia="zh-CN"/>
        </w:rPr>
        <w:t>特保人员不少于</w:t>
      </w:r>
      <w:r>
        <w:rPr>
          <w:rFonts w:hint="eastAsia"/>
          <w:color w:val="auto"/>
          <w:sz w:val="22"/>
          <w:szCs w:val="22"/>
          <w:highlight w:val="none"/>
          <w:lang w:val="en-US" w:eastAsia="zh-CN"/>
        </w:rPr>
        <w:t>15</w:t>
      </w:r>
      <w:r>
        <w:rPr>
          <w:rFonts w:hint="eastAsia"/>
          <w:color w:val="auto"/>
          <w:sz w:val="22"/>
          <w:szCs w:val="22"/>
          <w:highlight w:val="none"/>
        </w:rPr>
        <w:t>名，项目专职管理人员不少于2名），按要求认真负责完成日常服务工作，并指定一名负责人，以便甲方随时能联系协调有关服务事项。各类人员原则上</w:t>
      </w:r>
      <w:r>
        <w:rPr>
          <w:bCs/>
          <w:color w:val="auto"/>
          <w:sz w:val="22"/>
          <w:szCs w:val="22"/>
          <w:highlight w:val="none"/>
        </w:rPr>
        <w:t>男性在55</w:t>
      </w:r>
      <w:r>
        <w:rPr>
          <w:rFonts w:hint="eastAsia"/>
          <w:bCs/>
          <w:color w:val="auto"/>
          <w:sz w:val="22"/>
          <w:szCs w:val="22"/>
          <w:highlight w:val="none"/>
        </w:rPr>
        <w:t>周</w:t>
      </w:r>
      <w:r>
        <w:rPr>
          <w:bCs/>
          <w:color w:val="auto"/>
          <w:sz w:val="22"/>
          <w:szCs w:val="22"/>
          <w:highlight w:val="none"/>
        </w:rPr>
        <w:t>岁以下，女性在50</w:t>
      </w:r>
      <w:r>
        <w:rPr>
          <w:rFonts w:hint="eastAsia"/>
          <w:bCs/>
          <w:color w:val="auto"/>
          <w:sz w:val="22"/>
          <w:szCs w:val="22"/>
          <w:highlight w:val="none"/>
        </w:rPr>
        <w:t>周</w:t>
      </w:r>
      <w:r>
        <w:rPr>
          <w:bCs/>
          <w:color w:val="auto"/>
          <w:sz w:val="22"/>
          <w:szCs w:val="22"/>
          <w:highlight w:val="none"/>
        </w:rPr>
        <w:t>岁以下</w:t>
      </w:r>
      <w:r>
        <w:rPr>
          <w:rFonts w:hint="eastAsia"/>
          <w:bCs/>
          <w:color w:val="auto"/>
          <w:sz w:val="22"/>
          <w:szCs w:val="22"/>
          <w:highlight w:val="none"/>
        </w:rPr>
        <w:t>，男女</w:t>
      </w:r>
      <w:r>
        <w:rPr>
          <w:bCs/>
          <w:color w:val="auto"/>
          <w:sz w:val="22"/>
          <w:szCs w:val="22"/>
          <w:highlight w:val="none"/>
        </w:rPr>
        <w:t>比例不低于</w:t>
      </w:r>
      <w:r>
        <w:rPr>
          <w:rFonts w:hint="eastAsia"/>
          <w:bCs/>
          <w:color w:val="auto"/>
          <w:sz w:val="22"/>
          <w:szCs w:val="22"/>
          <w:highlight w:val="none"/>
        </w:rPr>
        <w:t>60</w:t>
      </w:r>
      <w:r>
        <w:rPr>
          <w:bCs/>
          <w:color w:val="auto"/>
          <w:sz w:val="22"/>
          <w:szCs w:val="22"/>
          <w:highlight w:val="none"/>
        </w:rPr>
        <w:t>%</w:t>
      </w:r>
      <w:r>
        <w:rPr>
          <w:rFonts w:hint="eastAsia"/>
          <w:bCs/>
          <w:color w:val="auto"/>
          <w:sz w:val="22"/>
          <w:szCs w:val="22"/>
          <w:highlight w:val="none"/>
        </w:rPr>
        <w:t>（男</w:t>
      </w:r>
      <w:r>
        <w:rPr>
          <w:bCs/>
          <w:color w:val="auto"/>
          <w:sz w:val="22"/>
          <w:szCs w:val="22"/>
          <w:highlight w:val="none"/>
        </w:rPr>
        <w:t>）：</w:t>
      </w:r>
      <w:r>
        <w:rPr>
          <w:rFonts w:hint="eastAsia"/>
          <w:bCs/>
          <w:color w:val="auto"/>
          <w:sz w:val="22"/>
          <w:szCs w:val="22"/>
          <w:highlight w:val="none"/>
        </w:rPr>
        <w:t>40</w:t>
      </w:r>
      <w:r>
        <w:rPr>
          <w:bCs/>
          <w:color w:val="auto"/>
          <w:sz w:val="22"/>
          <w:szCs w:val="22"/>
          <w:highlight w:val="none"/>
        </w:rPr>
        <w:t>%</w:t>
      </w:r>
      <w:r>
        <w:rPr>
          <w:rFonts w:hint="eastAsia"/>
          <w:bCs/>
          <w:color w:val="auto"/>
          <w:sz w:val="22"/>
          <w:szCs w:val="22"/>
          <w:highlight w:val="none"/>
        </w:rPr>
        <w:t>（女</w:t>
      </w:r>
      <w:r>
        <w:rPr>
          <w:bCs/>
          <w:color w:val="auto"/>
          <w:sz w:val="22"/>
          <w:szCs w:val="22"/>
          <w:highlight w:val="none"/>
        </w:rPr>
        <w:t>）</w:t>
      </w:r>
      <w:r>
        <w:rPr>
          <w:rFonts w:hint="eastAsia"/>
          <w:bCs/>
          <w:color w:val="auto"/>
          <w:sz w:val="22"/>
          <w:szCs w:val="22"/>
          <w:highlight w:val="none"/>
        </w:rPr>
        <w:t>，</w:t>
      </w:r>
      <w:r>
        <w:rPr>
          <w:bCs/>
          <w:color w:val="auto"/>
          <w:sz w:val="22"/>
          <w:szCs w:val="22"/>
          <w:highlight w:val="none"/>
        </w:rPr>
        <w:t>无不良嗜好及不良记录</w:t>
      </w:r>
      <w:r>
        <w:rPr>
          <w:rFonts w:hint="eastAsia"/>
          <w:bCs/>
          <w:color w:val="auto"/>
          <w:sz w:val="22"/>
          <w:szCs w:val="22"/>
          <w:highlight w:val="none"/>
        </w:rPr>
        <w:t>。</w:t>
      </w:r>
      <w:r>
        <w:rPr>
          <w:bCs/>
          <w:color w:val="auto"/>
          <w:sz w:val="22"/>
          <w:szCs w:val="22"/>
          <w:highlight w:val="none"/>
        </w:rPr>
        <w:t>如特殊岗位年龄和其他条件另有需求，均须无条件接受</w:t>
      </w:r>
      <w:r>
        <w:rPr>
          <w:rFonts w:hint="eastAsia"/>
          <w:bCs/>
          <w:color w:val="auto"/>
          <w:sz w:val="22"/>
          <w:szCs w:val="22"/>
          <w:highlight w:val="none"/>
        </w:rPr>
        <w:t>业主单位</w:t>
      </w:r>
      <w:r>
        <w:rPr>
          <w:bCs/>
          <w:color w:val="auto"/>
          <w:sz w:val="22"/>
          <w:szCs w:val="22"/>
          <w:highlight w:val="none"/>
        </w:rPr>
        <w:t>的要求。</w:t>
      </w:r>
    </w:p>
    <w:p>
      <w:pPr>
        <w:pStyle w:val="13"/>
        <w:numPr>
          <w:ilvl w:val="0"/>
          <w:numId w:val="0"/>
        </w:numPr>
        <w:snapToGrid w:val="0"/>
        <w:spacing w:beforeLines="0" w:afterLines="0" w:line="360" w:lineRule="auto"/>
        <w:rPr>
          <w:color w:val="auto"/>
          <w:sz w:val="22"/>
          <w:szCs w:val="22"/>
          <w:highlight w:val="none"/>
        </w:rPr>
      </w:pPr>
      <w:r>
        <w:rPr>
          <w:rFonts w:hint="eastAsia" w:ascii="Times New Roman" w:hAnsi="Times New Roman"/>
          <w:b/>
          <w:color w:val="auto"/>
          <w:sz w:val="22"/>
          <w:szCs w:val="22"/>
          <w:highlight w:val="none"/>
          <w:lang w:val="en-US" w:eastAsia="zh-CN"/>
        </w:rPr>
        <w:t xml:space="preserve">3.5  </w:t>
      </w:r>
      <w:r>
        <w:rPr>
          <w:rFonts w:hint="eastAsia" w:ascii="Times New Roman" w:hAnsi="Times New Roman"/>
          <w:b/>
          <w:color w:val="auto"/>
          <w:sz w:val="22"/>
          <w:szCs w:val="22"/>
          <w:highlight w:val="none"/>
        </w:rPr>
        <w:t>机械设备要求</w:t>
      </w:r>
    </w:p>
    <w:tbl>
      <w:tblPr>
        <w:tblStyle w:val="26"/>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4477"/>
        <w:gridCol w:w="1251"/>
        <w:gridCol w:w="127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jc w:val="center"/>
        </w:trPr>
        <w:tc>
          <w:tcPr>
            <w:tcW w:w="535"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序号</w:t>
            </w:r>
          </w:p>
        </w:tc>
        <w:tc>
          <w:tcPr>
            <w:tcW w:w="223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机器设备名称</w:t>
            </w:r>
          </w:p>
        </w:tc>
        <w:tc>
          <w:tcPr>
            <w:tcW w:w="62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单位</w:t>
            </w:r>
          </w:p>
        </w:tc>
        <w:tc>
          <w:tcPr>
            <w:tcW w:w="636"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数量</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2234" w:type="pct"/>
            <w:noWrap w:val="0"/>
            <w:vAlign w:val="center"/>
          </w:tcPr>
          <w:p>
            <w:pPr>
              <w:jc w:val="center"/>
              <w:rPr>
                <w:rFonts w:cs="宋体"/>
                <w:b/>
                <w:bCs/>
                <w:snapToGrid w:val="0"/>
                <w:color w:val="auto"/>
                <w:sz w:val="22"/>
                <w:szCs w:val="22"/>
                <w:highlight w:val="none"/>
              </w:rPr>
            </w:pPr>
            <w:r>
              <w:rPr>
                <w:rFonts w:hint="eastAsia"/>
                <w:color w:val="auto"/>
                <w:sz w:val="22"/>
                <w:szCs w:val="22"/>
                <w:highlight w:val="none"/>
              </w:rPr>
              <w:t>专业机</w:t>
            </w:r>
            <w:r>
              <w:rPr>
                <w:color w:val="auto"/>
                <w:sz w:val="22"/>
                <w:szCs w:val="22"/>
                <w:highlight w:val="none"/>
              </w:rPr>
              <w:t>扫车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2</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专业洒水车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冲洗养护车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自卸车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5</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垃圾清运车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6</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不锈钢箱体式电动三轮车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7</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保洁员人力三轮车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8</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割灌机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9</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绿篱机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10</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11</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草坪吹风机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12</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治安巡逻车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统一特保标识电瓶车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不得使用城管执法专用标志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电动排水泵</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15</w:t>
            </w:r>
          </w:p>
        </w:tc>
        <w:tc>
          <w:tcPr>
            <w:tcW w:w="2234" w:type="pct"/>
            <w:noWrap w:val="0"/>
            <w:vAlign w:val="center"/>
          </w:tcPr>
          <w:p>
            <w:pPr>
              <w:jc w:val="center"/>
              <w:rPr>
                <w:color w:val="auto"/>
                <w:sz w:val="22"/>
                <w:szCs w:val="22"/>
                <w:highlight w:val="none"/>
              </w:rPr>
            </w:pPr>
            <w:r>
              <w:rPr>
                <w:rFonts w:hint="eastAsia"/>
                <w:color w:val="auto"/>
                <w:sz w:val="22"/>
                <w:szCs w:val="22"/>
                <w:highlight w:val="none"/>
              </w:rPr>
              <w:t>统一执法记录仪</w:t>
            </w:r>
          </w:p>
        </w:tc>
        <w:tc>
          <w:tcPr>
            <w:tcW w:w="624" w:type="pct"/>
            <w:noWrap w:val="0"/>
            <w:vAlign w:val="center"/>
          </w:tcPr>
          <w:p>
            <w:pPr>
              <w:jc w:val="center"/>
              <w:rPr>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color w:val="auto"/>
                <w:sz w:val="22"/>
                <w:szCs w:val="22"/>
                <w:highlight w:val="none"/>
              </w:rPr>
            </w:pPr>
            <w:r>
              <w:rPr>
                <w:rFonts w:hint="eastAsia"/>
                <w:color w:val="auto"/>
                <w:sz w:val="22"/>
                <w:szCs w:val="22"/>
                <w:highlight w:val="none"/>
              </w:rPr>
              <w:t>12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16</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下水道疏通器</w:t>
            </w:r>
          </w:p>
        </w:tc>
        <w:tc>
          <w:tcPr>
            <w:tcW w:w="624" w:type="pct"/>
            <w:noWrap w:val="0"/>
            <w:vAlign w:val="center"/>
          </w:tcPr>
          <w:p>
            <w:pPr>
              <w:jc w:val="center"/>
              <w:rPr>
                <w:color w:val="auto"/>
                <w:sz w:val="22"/>
                <w:szCs w:val="22"/>
                <w:highlight w:val="none"/>
              </w:rPr>
            </w:pPr>
            <w:r>
              <w:rPr>
                <w:rFonts w:hint="eastAsia"/>
                <w:color w:val="auto"/>
                <w:sz w:val="22"/>
                <w:szCs w:val="22"/>
                <w:highlight w:val="none"/>
              </w:rPr>
              <w:t>套</w:t>
            </w:r>
          </w:p>
        </w:tc>
        <w:tc>
          <w:tcPr>
            <w:tcW w:w="636"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bl>
    <w:p>
      <w:pPr>
        <w:spacing w:line="440" w:lineRule="exact"/>
        <w:ind w:firstLine="442" w:firstLineChars="200"/>
        <w:rPr>
          <w:rFonts w:cs="Arial"/>
          <w:b/>
          <w:color w:val="auto"/>
          <w:sz w:val="22"/>
          <w:szCs w:val="22"/>
          <w:highlight w:val="none"/>
        </w:rPr>
      </w:pPr>
      <w:r>
        <w:rPr>
          <w:rFonts w:hint="eastAsia"/>
          <w:b/>
          <w:color w:val="auto"/>
          <w:sz w:val="22"/>
          <w:szCs w:val="22"/>
          <w:highlight w:val="none"/>
        </w:rPr>
        <w:t>注：</w:t>
      </w:r>
      <w:r>
        <w:rPr>
          <w:rFonts w:hint="eastAsia" w:cs="Arial"/>
          <w:b/>
          <w:color w:val="auto"/>
          <w:sz w:val="22"/>
          <w:szCs w:val="22"/>
          <w:highlight w:val="none"/>
        </w:rPr>
        <w:t>投标人投标时必须提供详细的设备清单（指中标单位所采用的机械设备，包括但不限于机械设备要求表中所列的机械设备），清单至少包括设备名称、规格型号、数量、单价、购买时间、使用年限等项目。投标人针对本项目已购置或租赁的机械设备，购置发票复印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件，须编入技术商务文件中；投标人目前尚未购置或租赁的机械设备，须承诺一旦中标，在合同签订前完成购置或租赁，并提供购置发票原件或租赁协议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件，否则中标无效。</w:t>
      </w:r>
    </w:p>
    <w:p>
      <w:pPr>
        <w:rPr>
          <w:rFonts w:hint="eastAsia"/>
          <w:bCs/>
          <w:color w:val="auto"/>
          <w:sz w:val="24"/>
          <w:szCs w:val="24"/>
          <w:highlight w:val="none"/>
        </w:rPr>
      </w:pPr>
      <w:r>
        <w:rPr>
          <w:rFonts w:hint="eastAsia"/>
          <w:bCs/>
          <w:color w:val="auto"/>
          <w:sz w:val="22"/>
          <w:szCs w:val="22"/>
          <w:highlight w:val="none"/>
        </w:rPr>
        <w:br w:type="page"/>
      </w:r>
      <w:r>
        <w:rPr>
          <w:rFonts w:hint="eastAsia"/>
          <w:bCs/>
          <w:color w:val="auto"/>
          <w:sz w:val="24"/>
          <w:szCs w:val="24"/>
          <w:highlight w:val="none"/>
        </w:rPr>
        <w:t>标项4：2022年庄桥街道五位一体综合服务外包项目（东片区）</w:t>
      </w:r>
    </w:p>
    <w:p>
      <w:pPr>
        <w:pStyle w:val="10"/>
        <w:spacing w:line="440" w:lineRule="exact"/>
        <w:ind w:firstLine="482" w:firstLineChars="200"/>
        <w:rPr>
          <w:rFonts w:hint="eastAsia" w:hAnsi="宋体" w:cs="Times New Roman"/>
          <w:b/>
          <w:color w:val="auto"/>
          <w:spacing w:val="0"/>
          <w:sz w:val="24"/>
          <w:szCs w:val="24"/>
          <w:highlight w:val="none"/>
        </w:rPr>
      </w:pPr>
      <w:r>
        <w:rPr>
          <w:rFonts w:hint="eastAsia" w:hAnsi="宋体" w:cs="Times New Roman"/>
          <w:b/>
          <w:color w:val="auto"/>
          <w:spacing w:val="0"/>
          <w:sz w:val="24"/>
          <w:szCs w:val="24"/>
          <w:highlight w:val="none"/>
        </w:rPr>
        <w:t>4.1、采购需求</w:t>
      </w:r>
    </w:p>
    <w:p>
      <w:pPr>
        <w:pStyle w:val="13"/>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1、服务范围：</w:t>
      </w:r>
      <w:r>
        <w:rPr>
          <w:rFonts w:hint="eastAsia"/>
          <w:bCs/>
          <w:color w:val="auto"/>
          <w:sz w:val="22"/>
          <w:szCs w:val="22"/>
          <w:highlight w:val="none"/>
        </w:rPr>
        <w:t>2022年庄桥街道五位一体综合服务外包项目（东片区）</w:t>
      </w:r>
      <w:r>
        <w:rPr>
          <w:rFonts w:hint="eastAsia" w:hAnsi="宋体" w:cs="Arial"/>
          <w:color w:val="auto"/>
          <w:sz w:val="22"/>
          <w:szCs w:val="22"/>
          <w:highlight w:val="none"/>
        </w:rPr>
        <w:t>道路保洁</w:t>
      </w:r>
      <w:r>
        <w:rPr>
          <w:rFonts w:hint="eastAsia" w:hAnsi="宋体"/>
          <w:color w:val="auto"/>
          <w:sz w:val="22"/>
          <w:szCs w:val="22"/>
          <w:highlight w:val="none"/>
        </w:rPr>
        <w:t>约27.9万平方米、背街小巷约8.0万平方米、公共厕所保洁16座；绿化养护（含补种）面积约8.0万平方米；以及区域范围内的市容秩序辅助管理。</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2、服务内容：招标区域范围内的道路路面、公共厕所保洁服务、背街小巷，含垃圾桶、牛皮癣、墙体广告，乱堆放、田间废弃物、乱吊挂、垃圾收集和清运、雨污水管道、井座等清淤等；绿化养护（含补种）修剪及清理，灾害应急、偷倒垃圾盯防及处理；闸门、泵站清理维修，汛期值班等管养服务以及市容秩序辅助管理服务。</w:t>
      </w:r>
    </w:p>
    <w:p>
      <w:pPr>
        <w:pStyle w:val="13"/>
        <w:snapToGrid w:val="0"/>
        <w:spacing w:before="120" w:after="12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3、服务期限：三年。合同一年一签，一年服务期满后经采购人考核合格，并经双方同意后</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可续订合同。合同期内（包含续签合同期内）服务费用不作调整年。。</w:t>
      </w:r>
    </w:p>
    <w:p>
      <w:pPr>
        <w:ind w:firstLine="482" w:firstLineChars="200"/>
        <w:jc w:val="left"/>
        <w:rPr>
          <w:rFonts w:hint="eastAsia"/>
          <w:color w:val="auto"/>
          <w:highlight w:val="none"/>
        </w:rPr>
      </w:pPr>
      <w:r>
        <w:rPr>
          <w:rFonts w:hint="eastAsia" w:ascii="宋体" w:hAnsi="宋体"/>
          <w:b/>
          <w:color w:val="auto"/>
          <w:sz w:val="24"/>
          <w:szCs w:val="24"/>
          <w:highlight w:val="none"/>
        </w:rPr>
        <w:t>4.2服务区域</w:t>
      </w:r>
    </w:p>
    <w:tbl>
      <w:tblPr>
        <w:tblStyle w:val="26"/>
        <w:tblW w:w="9100" w:type="dxa"/>
        <w:jc w:val="center"/>
        <w:tblLayout w:type="autofit"/>
        <w:tblCellMar>
          <w:top w:w="0" w:type="dxa"/>
          <w:left w:w="0" w:type="dxa"/>
          <w:bottom w:w="0" w:type="dxa"/>
          <w:right w:w="0" w:type="dxa"/>
        </w:tblCellMar>
      </w:tblPr>
      <w:tblGrid>
        <w:gridCol w:w="19"/>
        <w:gridCol w:w="181"/>
        <w:gridCol w:w="500"/>
        <w:gridCol w:w="20"/>
        <w:gridCol w:w="40"/>
        <w:gridCol w:w="259"/>
        <w:gridCol w:w="1039"/>
        <w:gridCol w:w="291"/>
        <w:gridCol w:w="541"/>
        <w:gridCol w:w="559"/>
        <w:gridCol w:w="40"/>
        <w:gridCol w:w="393"/>
        <w:gridCol w:w="467"/>
        <w:gridCol w:w="310"/>
        <w:gridCol w:w="215"/>
        <w:gridCol w:w="19"/>
        <w:gridCol w:w="567"/>
        <w:gridCol w:w="534"/>
        <w:gridCol w:w="406"/>
        <w:gridCol w:w="336"/>
        <w:gridCol w:w="838"/>
        <w:gridCol w:w="205"/>
        <w:gridCol w:w="214"/>
        <w:gridCol w:w="1067"/>
        <w:gridCol w:w="40"/>
      </w:tblGrid>
      <w:tr>
        <w:tblPrEx>
          <w:tblCellMar>
            <w:top w:w="0" w:type="dxa"/>
            <w:left w:w="0" w:type="dxa"/>
            <w:bottom w:w="0" w:type="dxa"/>
            <w:right w:w="0" w:type="dxa"/>
          </w:tblCellMar>
        </w:tblPrEx>
        <w:trPr>
          <w:gridAfter w:val="1"/>
          <w:wAfter w:w="40" w:type="dxa"/>
          <w:trHeight w:val="540" w:hRule="atLeast"/>
          <w:jc w:val="center"/>
        </w:trPr>
        <w:tc>
          <w:tcPr>
            <w:tcW w:w="9060" w:type="dxa"/>
            <w:gridSpan w:val="2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2"/>
                <w:szCs w:val="22"/>
                <w:highlight w:val="none"/>
              </w:rPr>
            </w:pPr>
            <w:r>
              <w:rPr>
                <w:rFonts w:hint="eastAsia"/>
                <w:b/>
                <w:bCs/>
                <w:color w:val="auto"/>
                <w:sz w:val="28"/>
                <w:szCs w:val="28"/>
                <w:highlight w:val="none"/>
              </w:rPr>
              <w:t>4-1道路保洁范围</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color w:val="auto"/>
                <w:sz w:val="22"/>
                <w:szCs w:val="22"/>
                <w:highlight w:val="none"/>
              </w:rPr>
              <w:t>序 号</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color w:val="auto"/>
                <w:sz w:val="22"/>
                <w:szCs w:val="22"/>
                <w:highlight w:val="none"/>
              </w:rPr>
              <w:t>道路名称</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长度(m)</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宽度(m)</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面积（㎡）</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color w:val="auto"/>
                <w:sz w:val="22"/>
                <w:szCs w:val="22"/>
                <w:highlight w:val="none"/>
              </w:rPr>
            </w:pPr>
            <w:r>
              <w:rPr>
                <w:rFonts w:hint="eastAsia"/>
                <w:color w:val="auto"/>
                <w:sz w:val="22"/>
                <w:szCs w:val="22"/>
                <w:highlight w:val="none"/>
              </w:rPr>
              <w:t>范围、内容</w:t>
            </w: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color w:val="auto"/>
                <w:sz w:val="22"/>
                <w:szCs w:val="22"/>
                <w:highlight w:val="none"/>
              </w:rPr>
              <w:t>备注</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河东路</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1407</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8</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11256</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一级</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外环东路</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1080</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14.5</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15660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br w:type="textWrapping"/>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新都路（外环东路至孔家桥）</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182</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15</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2730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一级</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解放路（解放桥至九龙大道）</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925</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10</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9250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一级</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中心小学路（钟家路</w:t>
            </w:r>
            <w:r>
              <w:rPr>
                <w:rFonts w:ascii="Arial" w:hAnsi="Arial" w:cs="Arial"/>
                <w:color w:val="auto"/>
                <w:kern w:val="0"/>
                <w:sz w:val="22"/>
                <w:szCs w:val="22"/>
                <w:highlight w:val="none"/>
                <w:lang w:bidi="ar"/>
              </w:rPr>
              <w:t>——</w:t>
            </w:r>
            <w:r>
              <w:rPr>
                <w:rFonts w:hint="eastAsia" w:ascii="宋体" w:hAnsi="宋体" w:cs="宋体"/>
                <w:color w:val="auto"/>
                <w:kern w:val="0"/>
                <w:sz w:val="22"/>
                <w:szCs w:val="22"/>
                <w:highlight w:val="none"/>
                <w:lang w:bidi="ar"/>
              </w:rPr>
              <w:t>外环东路）</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3780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6</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童姚线</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2490</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10</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ascii="Arial" w:hAnsi="Arial" w:cs="Arial"/>
                <w:color w:val="auto"/>
                <w:kern w:val="0"/>
                <w:sz w:val="22"/>
                <w:szCs w:val="22"/>
                <w:highlight w:val="none"/>
                <w:lang w:bidi="ar"/>
              </w:rPr>
              <w:t>24900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2190" w:type="dxa"/>
            <w:gridSpan w:val="6"/>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庄西路</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2270</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8</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ascii="Arial" w:hAnsi="Arial" w:cs="Arial"/>
                <w:color w:val="auto"/>
                <w:kern w:val="0"/>
                <w:sz w:val="22"/>
                <w:szCs w:val="22"/>
                <w:highlight w:val="none"/>
                <w:lang w:bidi="ar"/>
              </w:rPr>
              <w:t>36320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一级</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8</w:t>
            </w:r>
          </w:p>
        </w:tc>
        <w:tc>
          <w:tcPr>
            <w:tcW w:w="2190" w:type="dxa"/>
            <w:gridSpan w:val="6"/>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kern w:val="0"/>
                <w:sz w:val="22"/>
                <w:szCs w:val="22"/>
                <w:highlight w:val="none"/>
                <w:lang w:bidi="ar"/>
              </w:rPr>
            </w:pP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880</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ascii="Arial" w:hAnsi="Arial" w:cs="Arial"/>
                <w:color w:val="auto"/>
                <w:kern w:val="0"/>
                <w:sz w:val="22"/>
                <w:szCs w:val="22"/>
                <w:highlight w:val="none"/>
                <w:lang w:bidi="ar"/>
              </w:rPr>
              <w:t>8</w:t>
            </w: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ascii="Arial" w:hAnsi="Arial" w:cs="Arial"/>
                <w:color w:val="auto"/>
                <w:kern w:val="0"/>
                <w:sz w:val="22"/>
                <w:szCs w:val="22"/>
                <w:highlight w:val="none"/>
                <w:lang w:bidi="ar"/>
              </w:rPr>
              <w:t>10560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一级</w:t>
            </w: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9</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粮油市场</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87116</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87116</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南至钟家路，北至丰安路，东至机动车安全检测中心东侧道路，东至粮油市场及周边道路</w:t>
            </w: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40" w:type="dxa"/>
          <w:trHeight w:val="540" w:hRule="atLeast"/>
          <w:jc w:val="center"/>
        </w:trPr>
        <w:tc>
          <w:tcPr>
            <w:tcW w:w="70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2190"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晴楠东苑退红区域</w:t>
            </w: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99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526"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ascii="Arial" w:hAnsi="Arial" w:cs="Arial"/>
                <w:color w:val="auto"/>
                <w:kern w:val="0"/>
                <w:sz w:val="22"/>
                <w:szCs w:val="22"/>
                <w:highlight w:val="none"/>
                <w:lang w:bidi="ar"/>
              </w:rPr>
              <w:t>1650</w:t>
            </w:r>
          </w:p>
        </w:tc>
        <w:tc>
          <w:tcPr>
            <w:tcW w:w="15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c>
          <w:tcPr>
            <w:tcW w:w="10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9081" w:type="dxa"/>
            <w:gridSpan w:val="24"/>
            <w:noWrap w:val="0"/>
            <w:vAlign w:val="center"/>
          </w:tcPr>
          <w:p>
            <w:pPr>
              <w:widowControl/>
              <w:jc w:val="center"/>
              <w:rPr>
                <w:rFonts w:ascii="宋体" w:hAnsi="宋体" w:cs="宋体"/>
                <w:color w:val="auto"/>
                <w:kern w:val="0"/>
                <w:sz w:val="22"/>
                <w:szCs w:val="22"/>
                <w:highlight w:val="none"/>
              </w:rPr>
            </w:pPr>
            <w:r>
              <w:rPr>
                <w:rFonts w:hint="eastAsia" w:ascii="Arial" w:hAnsi="Arial" w:eastAsia="黑体"/>
                <w:bCs/>
                <w:color w:val="auto"/>
                <w:sz w:val="32"/>
                <w:szCs w:val="20"/>
                <w:highlight w:val="none"/>
              </w:rPr>
              <w:t>4-2</w:t>
            </w:r>
            <w:r>
              <w:rPr>
                <w:rFonts w:ascii="宋体" w:hAnsi="宋体" w:cs="宋体"/>
                <w:b/>
                <w:bCs/>
                <w:color w:val="auto"/>
                <w:kern w:val="0"/>
                <w:sz w:val="28"/>
                <w:szCs w:val="28"/>
                <w:highlight w:val="none"/>
              </w:rPr>
              <w:t>背街小巷明细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1589" w:type="dxa"/>
            <w:gridSpan w:val="3"/>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路名</w:t>
            </w:r>
          </w:p>
        </w:tc>
        <w:tc>
          <w:tcPr>
            <w:tcW w:w="1140" w:type="dxa"/>
            <w:gridSpan w:val="3"/>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道路面积(㎡)</w:t>
            </w:r>
          </w:p>
        </w:tc>
        <w:tc>
          <w:tcPr>
            <w:tcW w:w="1170" w:type="dxa"/>
            <w:gridSpan w:val="3"/>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人行道面积(㎡)</w:t>
            </w:r>
          </w:p>
        </w:tc>
        <w:tc>
          <w:tcPr>
            <w:tcW w:w="1335" w:type="dxa"/>
            <w:gridSpan w:val="4"/>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面积（㎡）</w:t>
            </w:r>
          </w:p>
        </w:tc>
        <w:tc>
          <w:tcPr>
            <w:tcW w:w="1785" w:type="dxa"/>
            <w:gridSpan w:val="4"/>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起至</w:t>
            </w:r>
          </w:p>
        </w:tc>
        <w:tc>
          <w:tcPr>
            <w:tcW w:w="1321" w:type="dxa"/>
            <w:gridSpan w:val="3"/>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道路等级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后孔到底</w:t>
            </w:r>
          </w:p>
        </w:tc>
        <w:tc>
          <w:tcPr>
            <w:tcW w:w="1140"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3965</w:t>
            </w:r>
          </w:p>
        </w:tc>
        <w:tc>
          <w:tcPr>
            <w:tcW w:w="1170"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w:t>
            </w:r>
          </w:p>
        </w:tc>
        <w:tc>
          <w:tcPr>
            <w:tcW w:w="1335" w:type="dxa"/>
            <w:gridSpan w:val="4"/>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15860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公厕后延伸段</w:t>
            </w:r>
          </w:p>
        </w:tc>
        <w:tc>
          <w:tcPr>
            <w:tcW w:w="1140" w:type="dxa"/>
            <w:gridSpan w:val="3"/>
            <w:vMerge w:val="continue"/>
            <w:noWrap w:val="0"/>
            <w:vAlign w:val="center"/>
          </w:tcPr>
          <w:p>
            <w:pPr>
              <w:jc w:val="center"/>
              <w:rPr>
                <w:rFonts w:ascii="宋体" w:hAnsi="宋体" w:cs="宋体"/>
                <w:color w:val="auto"/>
                <w:kern w:val="0"/>
                <w:sz w:val="22"/>
                <w:szCs w:val="22"/>
                <w:highlight w:val="none"/>
              </w:rPr>
            </w:pPr>
          </w:p>
        </w:tc>
        <w:tc>
          <w:tcPr>
            <w:tcW w:w="1170" w:type="dxa"/>
            <w:gridSpan w:val="3"/>
            <w:vMerge w:val="continue"/>
            <w:noWrap w:val="0"/>
            <w:vAlign w:val="center"/>
          </w:tcPr>
          <w:p>
            <w:pPr>
              <w:jc w:val="center"/>
              <w:rPr>
                <w:rFonts w:ascii="宋体" w:hAnsi="宋体" w:cs="宋体"/>
                <w:color w:val="auto"/>
                <w:kern w:val="0"/>
                <w:sz w:val="22"/>
                <w:szCs w:val="22"/>
                <w:highlight w:val="none"/>
              </w:rPr>
            </w:pPr>
          </w:p>
        </w:tc>
        <w:tc>
          <w:tcPr>
            <w:tcW w:w="1335" w:type="dxa"/>
            <w:gridSpan w:val="4"/>
            <w:vMerge w:val="continue"/>
            <w:noWrap w:val="0"/>
            <w:vAlign w:val="center"/>
          </w:tcPr>
          <w:p>
            <w:pPr>
              <w:jc w:val="center"/>
              <w:rPr>
                <w:rFonts w:ascii="宋体" w:hAnsi="宋体" w:cs="宋体"/>
                <w:color w:val="auto"/>
                <w:kern w:val="0"/>
                <w:sz w:val="22"/>
                <w:szCs w:val="22"/>
                <w:highlight w:val="none"/>
              </w:rPr>
            </w:pP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后孔小巷</w:t>
            </w:r>
          </w:p>
        </w:tc>
        <w:tc>
          <w:tcPr>
            <w:tcW w:w="1140" w:type="dxa"/>
            <w:gridSpan w:val="3"/>
            <w:vMerge w:val="continue"/>
            <w:noWrap w:val="0"/>
            <w:vAlign w:val="center"/>
          </w:tcPr>
          <w:p>
            <w:pPr>
              <w:jc w:val="center"/>
              <w:rPr>
                <w:rFonts w:ascii="宋体" w:hAnsi="宋体" w:cs="宋体"/>
                <w:color w:val="auto"/>
                <w:kern w:val="0"/>
                <w:sz w:val="22"/>
                <w:szCs w:val="22"/>
                <w:highlight w:val="none"/>
              </w:rPr>
            </w:pPr>
          </w:p>
        </w:tc>
        <w:tc>
          <w:tcPr>
            <w:tcW w:w="1170" w:type="dxa"/>
            <w:gridSpan w:val="3"/>
            <w:vMerge w:val="continue"/>
            <w:noWrap w:val="0"/>
            <w:vAlign w:val="center"/>
          </w:tcPr>
          <w:p>
            <w:pPr>
              <w:jc w:val="center"/>
              <w:rPr>
                <w:rFonts w:ascii="宋体" w:hAnsi="宋体" w:cs="宋体"/>
                <w:color w:val="auto"/>
                <w:kern w:val="0"/>
                <w:sz w:val="22"/>
                <w:szCs w:val="22"/>
                <w:highlight w:val="none"/>
              </w:rPr>
            </w:pPr>
          </w:p>
        </w:tc>
        <w:tc>
          <w:tcPr>
            <w:tcW w:w="1335" w:type="dxa"/>
            <w:gridSpan w:val="4"/>
            <w:vMerge w:val="continue"/>
            <w:noWrap w:val="0"/>
            <w:vAlign w:val="center"/>
          </w:tcPr>
          <w:p>
            <w:pPr>
              <w:jc w:val="center"/>
              <w:rPr>
                <w:rFonts w:ascii="宋体" w:hAnsi="宋体" w:cs="宋体"/>
                <w:color w:val="auto"/>
                <w:kern w:val="0"/>
                <w:sz w:val="22"/>
                <w:szCs w:val="22"/>
                <w:highlight w:val="none"/>
              </w:rPr>
            </w:pP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后孔大公园</w:t>
            </w:r>
          </w:p>
        </w:tc>
        <w:tc>
          <w:tcPr>
            <w:tcW w:w="1140" w:type="dxa"/>
            <w:gridSpan w:val="3"/>
            <w:noWrap w:val="0"/>
            <w:vAlign w:val="center"/>
          </w:tcPr>
          <w:p>
            <w:pPr>
              <w:jc w:val="center"/>
              <w:rPr>
                <w:rFonts w:ascii="宋体" w:hAnsi="宋体" w:cs="宋体"/>
                <w:color w:val="auto"/>
                <w:kern w:val="0"/>
                <w:sz w:val="22"/>
                <w:szCs w:val="22"/>
                <w:highlight w:val="none"/>
              </w:rPr>
            </w:pPr>
          </w:p>
        </w:tc>
        <w:tc>
          <w:tcPr>
            <w:tcW w:w="1170" w:type="dxa"/>
            <w:gridSpan w:val="3"/>
            <w:noWrap w:val="0"/>
            <w:vAlign w:val="center"/>
          </w:tcPr>
          <w:p>
            <w:pPr>
              <w:jc w:val="center"/>
              <w:rPr>
                <w:rFonts w:ascii="宋体" w:hAnsi="宋体" w:cs="宋体"/>
                <w:color w:val="auto"/>
                <w:kern w:val="0"/>
                <w:sz w:val="22"/>
                <w:szCs w:val="22"/>
                <w:highlight w:val="none"/>
              </w:rPr>
            </w:pP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1849</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公厕到晴楠东苑路口</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晴楠东苑门口</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w:t>
            </w:r>
          </w:p>
          <w:p>
            <w:pPr>
              <w:widowControl/>
              <w:jc w:val="center"/>
              <w:rPr>
                <w:rFonts w:ascii="宋体" w:hAnsi="宋体" w:cs="宋体"/>
                <w:color w:val="auto"/>
                <w:kern w:val="0"/>
                <w:sz w:val="22"/>
                <w:szCs w:val="22"/>
                <w:highlight w:val="none"/>
              </w:rPr>
            </w:pP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晴楠东苑</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399</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1197</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172</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860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270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3780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320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1280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448.4</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14.5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6501.8</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168</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420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295</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3835</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40.5</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后孔活动区</w:t>
            </w:r>
          </w:p>
        </w:tc>
        <w:tc>
          <w:tcPr>
            <w:tcW w:w="1140" w:type="dxa"/>
            <w:gridSpan w:val="3"/>
            <w:noWrap w:val="0"/>
            <w:vAlign w:val="center"/>
          </w:tcPr>
          <w:p>
            <w:pPr>
              <w:jc w:val="center"/>
              <w:rPr>
                <w:rFonts w:ascii="宋体" w:hAnsi="宋体" w:cs="宋体"/>
                <w:color w:val="auto"/>
                <w:kern w:val="0"/>
                <w:sz w:val="22"/>
                <w:szCs w:val="22"/>
                <w:highlight w:val="none"/>
              </w:rPr>
            </w:pPr>
          </w:p>
        </w:tc>
        <w:tc>
          <w:tcPr>
            <w:tcW w:w="1170" w:type="dxa"/>
            <w:gridSpan w:val="3"/>
            <w:noWrap w:val="0"/>
            <w:vAlign w:val="center"/>
          </w:tcPr>
          <w:p>
            <w:pPr>
              <w:jc w:val="center"/>
              <w:rPr>
                <w:rFonts w:ascii="宋体" w:hAnsi="宋体" w:cs="宋体"/>
                <w:color w:val="auto"/>
                <w:kern w:val="0"/>
                <w:sz w:val="22"/>
                <w:szCs w:val="22"/>
                <w:highlight w:val="none"/>
              </w:rPr>
            </w:pP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160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9</w:t>
            </w:r>
          </w:p>
          <w:p>
            <w:pPr>
              <w:widowControl/>
              <w:jc w:val="center"/>
              <w:rPr>
                <w:rFonts w:ascii="宋体" w:hAnsi="宋体" w:cs="宋体"/>
                <w:color w:val="auto"/>
                <w:kern w:val="0"/>
                <w:sz w:val="22"/>
                <w:szCs w:val="22"/>
                <w:highlight w:val="none"/>
              </w:rPr>
            </w:pP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皇封桥</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450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2250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1800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皇封桥小停车场</w:t>
            </w:r>
          </w:p>
        </w:tc>
        <w:tc>
          <w:tcPr>
            <w:tcW w:w="1140" w:type="dxa"/>
            <w:gridSpan w:val="3"/>
            <w:noWrap w:val="0"/>
            <w:vAlign w:val="center"/>
          </w:tcPr>
          <w:p>
            <w:pPr>
              <w:jc w:val="center"/>
              <w:rPr>
                <w:rFonts w:ascii="宋体" w:hAnsi="宋体" w:cs="宋体"/>
                <w:color w:val="auto"/>
                <w:kern w:val="0"/>
                <w:sz w:val="22"/>
                <w:szCs w:val="22"/>
                <w:highlight w:val="none"/>
              </w:rPr>
            </w:pPr>
          </w:p>
        </w:tc>
        <w:tc>
          <w:tcPr>
            <w:tcW w:w="1170" w:type="dxa"/>
            <w:gridSpan w:val="3"/>
            <w:noWrap w:val="0"/>
            <w:vAlign w:val="center"/>
          </w:tcPr>
          <w:p>
            <w:pPr>
              <w:jc w:val="center"/>
              <w:rPr>
                <w:rFonts w:ascii="宋体" w:hAnsi="宋体" w:cs="宋体"/>
                <w:color w:val="auto"/>
                <w:kern w:val="0"/>
                <w:sz w:val="22"/>
                <w:szCs w:val="22"/>
                <w:highlight w:val="none"/>
              </w:rPr>
            </w:pP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皇封桥小停车场</w:t>
            </w:r>
          </w:p>
        </w:tc>
        <w:tc>
          <w:tcPr>
            <w:tcW w:w="1140" w:type="dxa"/>
            <w:gridSpan w:val="3"/>
            <w:noWrap w:val="0"/>
            <w:vAlign w:val="center"/>
          </w:tcPr>
          <w:p>
            <w:pPr>
              <w:jc w:val="center"/>
              <w:rPr>
                <w:rFonts w:ascii="宋体" w:hAnsi="宋体" w:cs="宋体"/>
                <w:color w:val="auto"/>
                <w:kern w:val="0"/>
                <w:sz w:val="22"/>
                <w:szCs w:val="22"/>
                <w:highlight w:val="none"/>
              </w:rPr>
            </w:pPr>
          </w:p>
        </w:tc>
        <w:tc>
          <w:tcPr>
            <w:tcW w:w="1170" w:type="dxa"/>
            <w:gridSpan w:val="3"/>
            <w:noWrap w:val="0"/>
            <w:vAlign w:val="center"/>
          </w:tcPr>
          <w:p>
            <w:pPr>
              <w:jc w:val="center"/>
              <w:rPr>
                <w:rFonts w:ascii="宋体" w:hAnsi="宋体" w:cs="宋体"/>
                <w:color w:val="auto"/>
                <w:kern w:val="0"/>
                <w:sz w:val="22"/>
                <w:szCs w:val="22"/>
                <w:highlight w:val="none"/>
              </w:rPr>
            </w:pP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思源公园</w:t>
            </w:r>
          </w:p>
        </w:tc>
        <w:tc>
          <w:tcPr>
            <w:tcW w:w="1140" w:type="dxa"/>
            <w:gridSpan w:val="3"/>
            <w:noWrap w:val="0"/>
            <w:vAlign w:val="center"/>
          </w:tcPr>
          <w:p>
            <w:pPr>
              <w:jc w:val="center"/>
              <w:rPr>
                <w:rFonts w:ascii="宋体" w:hAnsi="宋体" w:cs="宋体"/>
                <w:color w:val="auto"/>
                <w:kern w:val="0"/>
                <w:sz w:val="22"/>
                <w:szCs w:val="22"/>
                <w:highlight w:val="none"/>
              </w:rPr>
            </w:pPr>
          </w:p>
        </w:tc>
        <w:tc>
          <w:tcPr>
            <w:tcW w:w="1170" w:type="dxa"/>
            <w:gridSpan w:val="3"/>
            <w:noWrap w:val="0"/>
            <w:vAlign w:val="center"/>
          </w:tcPr>
          <w:p>
            <w:pPr>
              <w:jc w:val="center"/>
              <w:rPr>
                <w:rFonts w:ascii="宋体" w:hAnsi="宋体" w:cs="宋体"/>
                <w:color w:val="auto"/>
                <w:kern w:val="0"/>
                <w:sz w:val="22"/>
                <w:szCs w:val="22"/>
                <w:highlight w:val="none"/>
              </w:rPr>
            </w:pP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文体弄</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215</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1075</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1800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14　</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邵家弄</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235</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705</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1200</w:t>
            </w:r>
          </w:p>
        </w:tc>
        <w:tc>
          <w:tcPr>
            <w:tcW w:w="1785" w:type="dxa"/>
            <w:gridSpan w:val="4"/>
            <w:noWrap w:val="0"/>
            <w:vAlign w:val="center"/>
          </w:tcPr>
          <w:p>
            <w:pPr>
              <w:widowControl/>
              <w:jc w:val="center"/>
              <w:rPr>
                <w:rFonts w:ascii="宋体" w:hAnsi="宋体" w:cs="宋体"/>
                <w:color w:val="auto"/>
                <w:kern w:val="0"/>
                <w:sz w:val="22"/>
                <w:szCs w:val="22"/>
                <w:highlight w:val="none"/>
              </w:rPr>
            </w:pP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150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310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1240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15</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四斢新村</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768</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3072</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2700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224</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1344</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98</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588</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德房</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1000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3000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1589"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牛奶场区域</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2449</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5</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12245</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restart"/>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1589" w:type="dxa"/>
            <w:gridSpan w:val="3"/>
            <w:vMerge w:val="restart"/>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方洋新村</w:t>
            </w: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600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3</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1800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741" w:type="dxa"/>
            <w:gridSpan w:val="4"/>
            <w:vMerge w:val="continue"/>
            <w:noWrap w:val="0"/>
            <w:vAlign w:val="center"/>
          </w:tcPr>
          <w:p>
            <w:pPr>
              <w:widowControl/>
              <w:jc w:val="center"/>
              <w:rPr>
                <w:rFonts w:ascii="宋体" w:hAnsi="宋体" w:cs="宋体"/>
                <w:color w:val="auto"/>
                <w:kern w:val="0"/>
                <w:sz w:val="22"/>
                <w:szCs w:val="22"/>
                <w:highlight w:val="none"/>
              </w:rPr>
            </w:pPr>
          </w:p>
        </w:tc>
        <w:tc>
          <w:tcPr>
            <w:tcW w:w="1589" w:type="dxa"/>
            <w:gridSpan w:val="3"/>
            <w:vMerge w:val="continue"/>
            <w:noWrap w:val="0"/>
            <w:vAlign w:val="center"/>
          </w:tcPr>
          <w:p>
            <w:pPr>
              <w:jc w:val="center"/>
              <w:rPr>
                <w:rFonts w:ascii="宋体" w:hAnsi="宋体" w:cs="宋体"/>
                <w:color w:val="auto"/>
                <w:kern w:val="0"/>
                <w:sz w:val="22"/>
                <w:szCs w:val="22"/>
                <w:highlight w:val="none"/>
              </w:rPr>
            </w:pPr>
          </w:p>
        </w:tc>
        <w:tc>
          <w:tcPr>
            <w:tcW w:w="114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1100</w:t>
            </w:r>
          </w:p>
        </w:tc>
        <w:tc>
          <w:tcPr>
            <w:tcW w:w="1170"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w:t>
            </w:r>
          </w:p>
        </w:tc>
        <w:tc>
          <w:tcPr>
            <w:tcW w:w="1335"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4400</w:t>
            </w:r>
          </w:p>
        </w:tc>
        <w:tc>
          <w:tcPr>
            <w:tcW w:w="1785" w:type="dxa"/>
            <w:gridSpan w:val="4"/>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321" w:type="dxa"/>
            <w:gridSpan w:val="3"/>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9081" w:type="dxa"/>
            <w:gridSpan w:val="24"/>
            <w:noWrap w:val="0"/>
            <w:vAlign w:val="center"/>
          </w:tcPr>
          <w:p>
            <w:pPr>
              <w:spacing w:line="440" w:lineRule="exact"/>
              <w:jc w:val="center"/>
              <w:rPr>
                <w:rFonts w:ascii="宋体" w:hAnsi="宋体" w:cs="宋体"/>
                <w:bCs/>
                <w:color w:val="auto"/>
                <w:kern w:val="0"/>
                <w:sz w:val="22"/>
                <w:szCs w:val="22"/>
                <w:highlight w:val="none"/>
              </w:rPr>
            </w:pPr>
            <w:r>
              <w:rPr>
                <w:rFonts w:hint="eastAsia" w:ascii="宋体" w:hAnsi="宋体" w:cs="宋体"/>
                <w:b/>
                <w:bCs/>
                <w:color w:val="auto"/>
                <w:kern w:val="0"/>
                <w:sz w:val="28"/>
                <w:szCs w:val="28"/>
                <w:highlight w:val="none"/>
              </w:rPr>
              <w:t>4-3</w:t>
            </w:r>
            <w:r>
              <w:rPr>
                <w:rFonts w:ascii="宋体" w:hAnsi="宋体" w:cs="宋体"/>
                <w:b/>
                <w:bCs/>
                <w:color w:val="auto"/>
                <w:kern w:val="0"/>
                <w:sz w:val="28"/>
                <w:szCs w:val="28"/>
                <w:highlight w:val="none"/>
              </w:rPr>
              <w:t>绿化养护明细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序 号</w:t>
            </w:r>
          </w:p>
        </w:tc>
        <w:tc>
          <w:tcPr>
            <w:tcW w:w="2430" w:type="dxa"/>
            <w:gridSpan w:val="4"/>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绿化区域</w:t>
            </w:r>
          </w:p>
        </w:tc>
        <w:tc>
          <w:tcPr>
            <w:tcW w:w="900" w:type="dxa"/>
            <w:gridSpan w:val="3"/>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长</w:t>
            </w:r>
          </w:p>
        </w:tc>
        <w:tc>
          <w:tcPr>
            <w:tcW w:w="1111" w:type="dxa"/>
            <w:gridSpan w:val="4"/>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宽</w:t>
            </w:r>
          </w:p>
        </w:tc>
        <w:tc>
          <w:tcPr>
            <w:tcW w:w="1276" w:type="dxa"/>
            <w:gridSpan w:val="3"/>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面积（㎡）</w:t>
            </w:r>
          </w:p>
        </w:tc>
        <w:tc>
          <w:tcPr>
            <w:tcW w:w="838" w:type="dxa"/>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养护等级</w:t>
            </w:r>
          </w:p>
        </w:tc>
        <w:tc>
          <w:tcPr>
            <w:tcW w:w="1526" w:type="dxa"/>
            <w:gridSpan w:val="4"/>
            <w:noWrap w:val="0"/>
            <w:vAlign w:val="center"/>
          </w:tcPr>
          <w:p>
            <w:pPr>
              <w:widowControl/>
              <w:jc w:val="center"/>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河东路绿化</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269</w:t>
            </w:r>
          </w:p>
        </w:tc>
        <w:tc>
          <w:tcPr>
            <w:tcW w:w="1111"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0.3</w:t>
            </w: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80.7</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河东路绿化</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568</w:t>
            </w:r>
          </w:p>
        </w:tc>
        <w:tc>
          <w:tcPr>
            <w:tcW w:w="1111"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w:t>
            </w: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568</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思源公园绿化</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4000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解放路绿化</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245</w:t>
            </w:r>
          </w:p>
        </w:tc>
        <w:tc>
          <w:tcPr>
            <w:tcW w:w="1111"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1.5</w:t>
            </w: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367.5</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后孔大公园绿化</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350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牛奶场</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450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童姚线</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11800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庄西线</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11160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前孔休闲广场</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6669</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后孔休闲广场</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780</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四斢新村</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315</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方洋新村</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166</w:t>
            </w:r>
          </w:p>
        </w:tc>
        <w:tc>
          <w:tcPr>
            <w:tcW w:w="838" w:type="dxa"/>
            <w:noWrap w:val="0"/>
            <w:vAlign w:val="center"/>
          </w:tcPr>
          <w:p>
            <w:pPr>
              <w:widowControl/>
              <w:jc w:val="center"/>
              <w:rPr>
                <w:rFonts w:ascii="宋体" w:hAnsi="宋体" w:cs="宋体"/>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河东皇封桥区域</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1176</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后孔农村公路西侧路与南侧路</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1000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外环东路两侧</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ascii="Arial" w:hAnsi="Arial" w:cs="Arial"/>
                <w:color w:val="auto"/>
                <w:kern w:val="0"/>
                <w:highlight w:val="none"/>
                <w:lang w:bidi="ar"/>
              </w:rPr>
              <w:t>1789</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宁慈东路</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西至北环西路东至甬江交界处</w:t>
            </w: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9600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2430" w:type="dxa"/>
            <w:gridSpan w:val="4"/>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中心小学路</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钟家路至外环东路</w:t>
            </w:r>
          </w:p>
        </w:tc>
        <w:tc>
          <w:tcPr>
            <w:tcW w:w="1111" w:type="dxa"/>
            <w:gridSpan w:val="4"/>
            <w:noWrap w:val="0"/>
            <w:vAlign w:val="center"/>
          </w:tcPr>
          <w:p>
            <w:pPr>
              <w:jc w:val="center"/>
              <w:rPr>
                <w:rFonts w:ascii="Arial" w:hAnsi="Arial" w:cs="Arial"/>
                <w:color w:val="auto"/>
                <w:kern w:val="0"/>
                <w:sz w:val="22"/>
                <w:szCs w:val="22"/>
                <w:highlight w:val="none"/>
              </w:rPr>
            </w:pPr>
          </w:p>
        </w:tc>
        <w:tc>
          <w:tcPr>
            <w:tcW w:w="1276"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3600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2430"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小学草坪</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中心小学南侧大草坪</w:t>
            </w:r>
          </w:p>
        </w:tc>
        <w:tc>
          <w:tcPr>
            <w:tcW w:w="1111" w:type="dxa"/>
            <w:gridSpan w:val="4"/>
            <w:noWrap w:val="0"/>
            <w:vAlign w:val="center"/>
          </w:tcPr>
          <w:p>
            <w:pPr>
              <w:jc w:val="center"/>
              <w:rPr>
                <w:color w:val="auto"/>
                <w:highlight w:val="none"/>
              </w:rPr>
            </w:pPr>
          </w:p>
        </w:tc>
        <w:tc>
          <w:tcPr>
            <w:tcW w:w="1276"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14000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w:t>
            </w:r>
          </w:p>
        </w:tc>
        <w:tc>
          <w:tcPr>
            <w:tcW w:w="2430"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宁慈公路花坛、公园</w:t>
            </w:r>
          </w:p>
        </w:tc>
        <w:tc>
          <w:tcPr>
            <w:tcW w:w="900" w:type="dxa"/>
            <w:gridSpan w:val="3"/>
            <w:noWrap w:val="0"/>
            <w:vAlign w:val="center"/>
          </w:tcPr>
          <w:p>
            <w:pPr>
              <w:widowControl/>
              <w:jc w:val="center"/>
              <w:textAlignment w:val="center"/>
              <w:rPr>
                <w:rFonts w:ascii="Arial" w:hAnsi="Arial" w:cs="Arial"/>
                <w:color w:val="auto"/>
                <w:kern w:val="0"/>
                <w:sz w:val="22"/>
                <w:szCs w:val="22"/>
                <w:highlight w:val="none"/>
              </w:rPr>
            </w:pPr>
            <w:r>
              <w:rPr>
                <w:rFonts w:hint="eastAsia" w:ascii="宋体" w:hAnsi="宋体" w:cs="宋体"/>
                <w:color w:val="auto"/>
                <w:kern w:val="0"/>
                <w:highlight w:val="none"/>
                <w:lang w:bidi="ar"/>
              </w:rPr>
              <w:t>银杏公园北侧及店铺前花坛</w:t>
            </w:r>
          </w:p>
        </w:tc>
        <w:tc>
          <w:tcPr>
            <w:tcW w:w="1111" w:type="dxa"/>
            <w:gridSpan w:val="4"/>
            <w:noWrap w:val="0"/>
            <w:vAlign w:val="center"/>
          </w:tcPr>
          <w:p>
            <w:pPr>
              <w:jc w:val="center"/>
              <w:rPr>
                <w:color w:val="auto"/>
                <w:highlight w:val="none"/>
              </w:rPr>
            </w:pPr>
          </w:p>
        </w:tc>
        <w:tc>
          <w:tcPr>
            <w:tcW w:w="1276"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450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2430"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粮油市场：南至钟家路，北至丰安路，东至机动车安全检测中心东侧道路，东至粮油市场及周边道路</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color w:val="auto"/>
                <w:highlight w:val="none"/>
              </w:rPr>
            </w:pPr>
          </w:p>
        </w:tc>
        <w:tc>
          <w:tcPr>
            <w:tcW w:w="1276"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8907</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59" w:hRule="atLeast"/>
          <w:jc w:val="center"/>
        </w:trPr>
        <w:tc>
          <w:tcPr>
            <w:tcW w:w="1000" w:type="dxa"/>
            <w:gridSpan w:val="5"/>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2430" w:type="dxa"/>
            <w:gridSpan w:val="4"/>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粮油市场：丰安路东侧</w:t>
            </w:r>
          </w:p>
        </w:tc>
        <w:tc>
          <w:tcPr>
            <w:tcW w:w="900" w:type="dxa"/>
            <w:gridSpan w:val="3"/>
            <w:noWrap w:val="0"/>
            <w:vAlign w:val="center"/>
          </w:tcPr>
          <w:p>
            <w:pPr>
              <w:jc w:val="center"/>
              <w:rPr>
                <w:rFonts w:ascii="Arial" w:hAnsi="Arial" w:cs="Arial"/>
                <w:color w:val="auto"/>
                <w:kern w:val="0"/>
                <w:sz w:val="22"/>
                <w:szCs w:val="22"/>
                <w:highlight w:val="none"/>
              </w:rPr>
            </w:pPr>
          </w:p>
        </w:tc>
        <w:tc>
          <w:tcPr>
            <w:tcW w:w="1111" w:type="dxa"/>
            <w:gridSpan w:val="4"/>
            <w:noWrap w:val="0"/>
            <w:vAlign w:val="center"/>
          </w:tcPr>
          <w:p>
            <w:pPr>
              <w:jc w:val="center"/>
              <w:rPr>
                <w:color w:val="auto"/>
                <w:highlight w:val="none"/>
              </w:rPr>
            </w:pPr>
          </w:p>
        </w:tc>
        <w:tc>
          <w:tcPr>
            <w:tcW w:w="1276" w:type="dxa"/>
            <w:gridSpan w:val="3"/>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highlight w:val="none"/>
                <w:lang w:bidi="ar"/>
              </w:rPr>
              <w:t>2640</w:t>
            </w:r>
          </w:p>
        </w:tc>
        <w:tc>
          <w:tcPr>
            <w:tcW w:w="838" w:type="dxa"/>
            <w:noWrap w:val="0"/>
            <w:vAlign w:val="center"/>
          </w:tcPr>
          <w:p>
            <w:pPr>
              <w:widowControl/>
              <w:jc w:val="center"/>
              <w:rPr>
                <w:rFonts w:ascii="宋体" w:hAnsi="宋体" w:cs="宋体"/>
                <w:b/>
                <w:bCs/>
                <w:color w:val="auto"/>
                <w:kern w:val="0"/>
                <w:sz w:val="22"/>
                <w:szCs w:val="22"/>
                <w:highlight w:val="none"/>
              </w:rPr>
            </w:pPr>
          </w:p>
        </w:tc>
        <w:tc>
          <w:tcPr>
            <w:tcW w:w="1526" w:type="dxa"/>
            <w:gridSpan w:val="4"/>
            <w:noWrap w:val="0"/>
            <w:vAlign w:val="center"/>
          </w:tcPr>
          <w:p>
            <w:pPr>
              <w:widowControl/>
              <w:jc w:val="center"/>
              <w:textAlignment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42" w:hRule="atLeast"/>
          <w:jc w:val="center"/>
        </w:trPr>
        <w:tc>
          <w:tcPr>
            <w:tcW w:w="9081" w:type="dxa"/>
            <w:gridSpan w:val="24"/>
            <w:noWrap/>
            <w:vAlign w:val="center"/>
          </w:tcPr>
          <w:p>
            <w:pPr>
              <w:widowControl/>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4-4其他管养内容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序 号</w:t>
            </w:r>
          </w:p>
        </w:tc>
        <w:tc>
          <w:tcPr>
            <w:tcW w:w="1338" w:type="dxa"/>
            <w:gridSpan w:val="3"/>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管养内容</w:t>
            </w:r>
          </w:p>
        </w:tc>
        <w:tc>
          <w:tcPr>
            <w:tcW w:w="2835" w:type="dxa"/>
            <w:gridSpan w:val="9"/>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位置</w:t>
            </w:r>
          </w:p>
        </w:tc>
        <w:tc>
          <w:tcPr>
            <w:tcW w:w="2681" w:type="dxa"/>
            <w:gridSpan w:val="5"/>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规模、服务内容</w:t>
            </w:r>
          </w:p>
        </w:tc>
        <w:tc>
          <w:tcPr>
            <w:tcW w:w="1526" w:type="dxa"/>
            <w:gridSpan w:val="4"/>
            <w:noWrap w:val="0"/>
            <w:vAlign w:val="center"/>
          </w:tcPr>
          <w:p>
            <w:pPr>
              <w:widowControl/>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557" w:hRule="atLeast"/>
          <w:jc w:val="center"/>
        </w:trPr>
        <w:tc>
          <w:tcPr>
            <w:tcW w:w="520" w:type="dxa"/>
            <w:gridSpan w:val="2"/>
            <w:shd w:val="clear" w:color="000000" w:fill="FFFFFF"/>
            <w:noWrap w:val="0"/>
            <w:vAlign w:val="center"/>
          </w:tcPr>
          <w:p>
            <w:pPr>
              <w:widowControl/>
              <w:jc w:val="center"/>
              <w:rPr>
                <w:rFonts w:ascii="宋体" w:hAnsi="宋体"/>
                <w:color w:val="auto"/>
                <w:kern w:val="0"/>
                <w:sz w:val="22"/>
                <w:szCs w:val="22"/>
                <w:highlight w:val="none"/>
              </w:rPr>
            </w:pPr>
            <w:r>
              <w:rPr>
                <w:rFonts w:ascii="宋体" w:hAnsi="宋体"/>
                <w:color w:val="auto"/>
                <w:kern w:val="0"/>
                <w:sz w:val="22"/>
                <w:szCs w:val="22"/>
                <w:highlight w:val="none"/>
              </w:rPr>
              <w:t>1</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河东路双庆桥边</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000000" w:fill="FFFFFF"/>
            <w:noWrap w:val="0"/>
            <w:vAlign w:val="center"/>
          </w:tcPr>
          <w:p>
            <w:pPr>
              <w:widowControl/>
              <w:jc w:val="center"/>
              <w:rPr>
                <w:rFonts w:ascii="宋体" w:hAnsi="宋体"/>
                <w:color w:val="auto"/>
                <w:kern w:val="0"/>
                <w:sz w:val="22"/>
                <w:szCs w:val="22"/>
                <w:highlight w:val="none"/>
              </w:rPr>
            </w:pPr>
            <w:r>
              <w:rPr>
                <w:rFonts w:ascii="宋体" w:hAnsi="宋体"/>
                <w:color w:val="auto"/>
                <w:kern w:val="0"/>
                <w:sz w:val="22"/>
                <w:szCs w:val="22"/>
                <w:highlight w:val="none"/>
              </w:rPr>
              <w:t>2</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河东路原城办旁</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河东路十八间</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解放路互感器厂宿舍旁</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大会堂</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孔家垃圾中转站</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885"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后孔到底转弯处</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885"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原桥头小河边</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885"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老幼儿园对面</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后孔沙场</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后孔藕田</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牛奶场池边</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牛奶场小河边</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***对面</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厕所保洁、设施维修维护、含水电</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中心小学对面</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1338" w:type="dxa"/>
            <w:gridSpan w:val="3"/>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厕所</w:t>
            </w:r>
          </w:p>
        </w:tc>
        <w:tc>
          <w:tcPr>
            <w:tcW w:w="2835" w:type="dxa"/>
            <w:gridSpan w:val="9"/>
            <w:shd w:val="clear" w:color="000000" w:fill="FFFFFF"/>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孔家九坟头（晴楠东苑大门对面）</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00" w:type="dxa"/>
          <w:trHeight w:val="642" w:hRule="atLeast"/>
          <w:jc w:val="center"/>
        </w:trPr>
        <w:tc>
          <w:tcPr>
            <w:tcW w:w="520" w:type="dxa"/>
            <w:gridSpan w:val="2"/>
            <w:shd w:val="clear" w:color="auto" w:fill="auto"/>
            <w:noWrap/>
            <w:vAlign w:val="center"/>
          </w:tcPr>
          <w:p>
            <w:pPr>
              <w:widowControl/>
              <w:jc w:val="right"/>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4173" w:type="dxa"/>
            <w:gridSpan w:val="12"/>
            <w:shd w:val="clear" w:color="000000" w:fill="FFFFFF"/>
            <w:noWrap w:val="0"/>
            <w:vAlign w:val="center"/>
          </w:tcPr>
          <w:p>
            <w:pPr>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特保人员</w:t>
            </w:r>
          </w:p>
        </w:tc>
        <w:tc>
          <w:tcPr>
            <w:tcW w:w="2681" w:type="dxa"/>
            <w:gridSpan w:val="5"/>
            <w:noWrap w:val="0"/>
            <w:vAlign w:val="center"/>
          </w:tcPr>
          <w:p>
            <w:pPr>
              <w:widowControl/>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bidi="ar"/>
              </w:rPr>
              <w:t>秩序维保13人</w:t>
            </w:r>
          </w:p>
        </w:tc>
        <w:tc>
          <w:tcPr>
            <w:tcW w:w="1526" w:type="dxa"/>
            <w:gridSpan w:val="4"/>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rPr>
          <w:rFonts w:ascii="Calibri" w:hAnsi="Calibri"/>
          <w:color w:val="auto"/>
          <w:szCs w:val="22"/>
          <w:highlight w:val="none"/>
        </w:rPr>
      </w:pPr>
    </w:p>
    <w:p>
      <w:pPr>
        <w:spacing w:line="360" w:lineRule="auto"/>
        <w:ind w:firstLine="440" w:firstLineChars="200"/>
        <w:rPr>
          <w:b w:val="0"/>
          <w:bCs w:val="0"/>
          <w:color w:val="auto"/>
          <w:sz w:val="22"/>
          <w:szCs w:val="22"/>
          <w:highlight w:val="none"/>
        </w:rPr>
      </w:pPr>
      <w:r>
        <w:rPr>
          <w:rFonts w:hint="eastAsia"/>
          <w:b w:val="0"/>
          <w:bCs w:val="0"/>
          <w:color w:val="auto"/>
          <w:sz w:val="22"/>
          <w:szCs w:val="22"/>
          <w:highlight w:val="none"/>
          <w:lang w:val="en-US" w:eastAsia="zh-CN"/>
        </w:rPr>
        <w:t xml:space="preserve">4.3 </w:t>
      </w:r>
      <w:r>
        <w:rPr>
          <w:rFonts w:hint="eastAsia" w:ascii="宋体" w:hAnsi="宋体" w:cs="宋体"/>
          <w:b w:val="0"/>
          <w:bCs w:val="0"/>
          <w:color w:val="auto"/>
          <w:kern w:val="0"/>
          <w:sz w:val="22"/>
          <w:szCs w:val="22"/>
          <w:highlight w:val="none"/>
        </w:rPr>
        <w:t>特保人员</w:t>
      </w:r>
      <w:r>
        <w:rPr>
          <w:rFonts w:hint="eastAsia"/>
          <w:b w:val="0"/>
          <w:bCs w:val="0"/>
          <w:color w:val="auto"/>
          <w:sz w:val="22"/>
          <w:szCs w:val="22"/>
          <w:highlight w:val="none"/>
        </w:rPr>
        <w:t>数量：13名及以上</w:t>
      </w:r>
      <w:r>
        <w:rPr>
          <w:b w:val="0"/>
          <w:bCs w:val="0"/>
          <w:color w:val="auto"/>
          <w:sz w:val="22"/>
          <w:szCs w:val="22"/>
          <w:highlight w:val="none"/>
        </w:rPr>
        <w:t>。</w:t>
      </w:r>
    </w:p>
    <w:p>
      <w:pPr>
        <w:spacing w:line="360" w:lineRule="auto"/>
        <w:ind w:firstLine="440" w:firstLineChars="200"/>
        <w:rPr>
          <w:color w:val="auto"/>
          <w:sz w:val="22"/>
          <w:szCs w:val="22"/>
          <w:highlight w:val="none"/>
        </w:rPr>
      </w:pPr>
      <w:r>
        <w:rPr>
          <w:rFonts w:hint="eastAsia"/>
          <w:color w:val="auto"/>
          <w:sz w:val="22"/>
          <w:szCs w:val="22"/>
          <w:highlight w:val="none"/>
        </w:rPr>
        <w:t>服务内容</w:t>
      </w:r>
      <w:r>
        <w:rPr>
          <w:color w:val="auto"/>
          <w:sz w:val="22"/>
          <w:szCs w:val="22"/>
          <w:highlight w:val="none"/>
        </w:rPr>
        <w:t>：</w:t>
      </w:r>
      <w:r>
        <w:rPr>
          <w:rFonts w:hint="eastAsia"/>
          <w:color w:val="auto"/>
          <w:sz w:val="22"/>
          <w:szCs w:val="22"/>
          <w:highlight w:val="none"/>
        </w:rPr>
        <w:t>区域市容秩序辅助管理服务、灾害应急、违章建筑拆除等保护性施工工作、偷倒垃圾盯防及处理等各项内容服务，具体工作安排由业主单位按需调配。</w:t>
      </w:r>
    </w:p>
    <w:p>
      <w:pPr>
        <w:spacing w:line="360" w:lineRule="auto"/>
        <w:rPr>
          <w:b/>
          <w:color w:val="auto"/>
          <w:sz w:val="22"/>
          <w:szCs w:val="22"/>
          <w:highlight w:val="none"/>
        </w:rPr>
      </w:pPr>
      <w:r>
        <w:rPr>
          <w:rFonts w:hint="eastAsia"/>
          <w:b/>
          <w:color w:val="auto"/>
          <w:sz w:val="22"/>
          <w:szCs w:val="22"/>
          <w:highlight w:val="none"/>
        </w:rPr>
        <w:t>备注：</w:t>
      </w:r>
    </w:p>
    <w:p>
      <w:pPr>
        <w:spacing w:line="360" w:lineRule="auto"/>
        <w:ind w:firstLine="433" w:firstLineChars="196"/>
        <w:rPr>
          <w:b/>
          <w:color w:val="auto"/>
          <w:sz w:val="22"/>
          <w:szCs w:val="22"/>
          <w:highlight w:val="none"/>
          <w:lang/>
        </w:rPr>
      </w:pPr>
      <w:r>
        <w:rPr>
          <w:b/>
          <w:color w:val="auto"/>
          <w:sz w:val="22"/>
          <w:szCs w:val="22"/>
          <w:highlight w:val="none"/>
          <w:lang/>
        </w:rPr>
        <w:fldChar w:fldCharType="begin"/>
      </w:r>
      <w:r>
        <w:rPr>
          <w:b/>
          <w:color w:val="auto"/>
          <w:sz w:val="22"/>
          <w:szCs w:val="22"/>
          <w:highlight w:val="none"/>
          <w:lang/>
        </w:rPr>
        <w:instrText xml:space="preserve"> </w:instrText>
      </w:r>
      <w:r>
        <w:rPr>
          <w:rFonts w:hint="eastAsia"/>
          <w:b/>
          <w:color w:val="auto"/>
          <w:sz w:val="22"/>
          <w:szCs w:val="22"/>
          <w:highlight w:val="none"/>
          <w:lang/>
        </w:rPr>
        <w:instrText xml:space="preserve">= 1 \* GB3</w:instrText>
      </w:r>
      <w:r>
        <w:rPr>
          <w:b/>
          <w:color w:val="auto"/>
          <w:sz w:val="22"/>
          <w:szCs w:val="22"/>
          <w:highlight w:val="none"/>
          <w:lang/>
        </w:rPr>
        <w:instrText xml:space="preserve"> </w:instrText>
      </w:r>
      <w:r>
        <w:rPr>
          <w:b/>
          <w:color w:val="auto"/>
          <w:sz w:val="22"/>
          <w:szCs w:val="22"/>
          <w:highlight w:val="none"/>
          <w:lang/>
        </w:rPr>
        <w:fldChar w:fldCharType="separate"/>
      </w:r>
      <w:r>
        <w:rPr>
          <w:rFonts w:hint="eastAsia"/>
          <w:b/>
          <w:color w:val="auto"/>
          <w:sz w:val="22"/>
          <w:szCs w:val="22"/>
          <w:highlight w:val="none"/>
          <w:lang/>
        </w:rPr>
        <w:t>①</w:t>
      </w:r>
      <w:r>
        <w:rPr>
          <w:b/>
          <w:color w:val="auto"/>
          <w:sz w:val="22"/>
          <w:szCs w:val="22"/>
          <w:highlight w:val="none"/>
          <w:lang/>
        </w:rPr>
        <w:fldChar w:fldCharType="end"/>
      </w:r>
      <w:r>
        <w:rPr>
          <w:rFonts w:hint="eastAsia"/>
          <w:b/>
          <w:color w:val="auto"/>
          <w:sz w:val="22"/>
          <w:szCs w:val="22"/>
          <w:highlight w:val="none"/>
          <w:lang/>
        </w:rPr>
        <w:t>投标报价为包干价，合同期内服务费用不因市场和政策等因素的变动而调整。上述所列道路、背街小巷及绿化的面积为近似数量，与实际准确数量可能会有出入，各投标人在投标报价时应予以充分考虑，投标人如有需要自行组织现场踏勘，以充分了解项目实施位置、服务范围、周边情况及任何其他足以影响报价的情况，任何因忽视或误解现场情况而导致的索赔或养护费用申请将不予受理。采购单位联系人与联系电话详见招标公告。</w:t>
      </w:r>
    </w:p>
    <w:p>
      <w:pPr>
        <w:spacing w:line="360" w:lineRule="auto"/>
        <w:ind w:firstLine="433" w:firstLineChars="196"/>
        <w:rPr>
          <w:b/>
          <w:color w:val="auto"/>
          <w:sz w:val="22"/>
          <w:szCs w:val="22"/>
          <w:highlight w:val="none"/>
        </w:rPr>
      </w:pPr>
      <w:r>
        <w:rPr>
          <w:rFonts w:hint="eastAsia"/>
          <w:b/>
          <w:color w:val="auto"/>
          <w:sz w:val="22"/>
          <w:szCs w:val="22"/>
          <w:highlight w:val="none"/>
          <w:lang/>
        </w:rPr>
        <w:t>②合同履行期间，如发生服务范围的增加或减少，原则上由甲方统一调配并以签证认可的联系单为准，价格不高于投标时的中标单价，产生的费用计入发生期间所对应的月份中。</w:t>
      </w:r>
    </w:p>
    <w:p>
      <w:pPr>
        <w:pStyle w:val="13"/>
        <w:snapToGrid w:val="0"/>
        <w:spacing w:beforeLines="0" w:afterLines="0" w:line="360" w:lineRule="auto"/>
        <w:rPr>
          <w:rFonts w:ascii="Times New Roman" w:hAnsi="Times New Roman"/>
          <w:b/>
          <w:color w:val="auto"/>
          <w:sz w:val="22"/>
          <w:szCs w:val="22"/>
          <w:highlight w:val="none"/>
        </w:rPr>
      </w:pPr>
      <w:r>
        <w:rPr>
          <w:rFonts w:hint="eastAsia" w:ascii="Times New Roman" w:hAnsi="Times New Roman"/>
          <w:b/>
          <w:color w:val="auto"/>
          <w:sz w:val="22"/>
          <w:szCs w:val="22"/>
          <w:highlight w:val="none"/>
          <w:lang w:val="en-US" w:eastAsia="zh-CN"/>
        </w:rPr>
        <w:t>4</w:t>
      </w:r>
      <w:r>
        <w:rPr>
          <w:rFonts w:hint="eastAsia" w:ascii="Times New Roman" w:hAnsi="Times New Roman"/>
          <w:b/>
          <w:color w:val="auto"/>
          <w:sz w:val="22"/>
          <w:szCs w:val="22"/>
          <w:highlight w:val="none"/>
          <w:lang w:val="en-US" w:eastAsia="zh-CN"/>
        </w:rPr>
        <w:t>.4</w:t>
      </w:r>
      <w:r>
        <w:rPr>
          <w:rFonts w:hint="eastAsia" w:ascii="Times New Roman" w:hAnsi="Times New Roman"/>
          <w:b/>
          <w:color w:val="auto"/>
          <w:sz w:val="22"/>
          <w:szCs w:val="22"/>
          <w:highlight w:val="none"/>
        </w:rPr>
        <w:t>、服务班子配置及人员要求</w:t>
      </w:r>
    </w:p>
    <w:p>
      <w:pPr>
        <w:spacing w:line="360" w:lineRule="auto"/>
        <w:ind w:firstLine="440" w:firstLineChars="200"/>
        <w:rPr>
          <w:bCs/>
          <w:color w:val="auto"/>
          <w:sz w:val="22"/>
          <w:szCs w:val="22"/>
          <w:highlight w:val="none"/>
        </w:rPr>
      </w:pPr>
      <w:r>
        <w:rPr>
          <w:rFonts w:hint="eastAsia"/>
          <w:color w:val="auto"/>
          <w:sz w:val="22"/>
          <w:szCs w:val="22"/>
          <w:highlight w:val="none"/>
        </w:rPr>
        <w:t>各类工作人员</w:t>
      </w:r>
      <w:r>
        <w:rPr>
          <w:rFonts w:hint="eastAsia"/>
          <w:color w:val="auto"/>
          <w:sz w:val="22"/>
          <w:szCs w:val="22"/>
          <w:highlight w:val="none"/>
          <w:lang w:val="en-US" w:eastAsia="zh-CN"/>
        </w:rPr>
        <w:t>85</w:t>
      </w:r>
      <w:r>
        <w:rPr>
          <w:rFonts w:hint="eastAsia"/>
          <w:color w:val="auto"/>
          <w:sz w:val="22"/>
          <w:szCs w:val="22"/>
          <w:highlight w:val="none"/>
        </w:rPr>
        <w:t>名以上（其中保洁和养护人员</w:t>
      </w:r>
      <w:r>
        <w:rPr>
          <w:rFonts w:hint="eastAsia"/>
          <w:color w:val="auto"/>
          <w:sz w:val="22"/>
          <w:szCs w:val="22"/>
          <w:highlight w:val="none"/>
          <w:lang w:val="en-US" w:eastAsia="zh-CN"/>
        </w:rPr>
        <w:t>70</w:t>
      </w:r>
      <w:r>
        <w:rPr>
          <w:rFonts w:hint="eastAsia"/>
          <w:color w:val="auto"/>
          <w:sz w:val="22"/>
          <w:szCs w:val="22"/>
          <w:highlight w:val="none"/>
        </w:rPr>
        <w:t>名以上，特保人员</w:t>
      </w:r>
      <w:r>
        <w:rPr>
          <w:rFonts w:hint="eastAsia"/>
          <w:color w:val="auto"/>
          <w:sz w:val="22"/>
          <w:szCs w:val="22"/>
          <w:highlight w:val="none"/>
          <w:lang w:val="en-US" w:eastAsia="zh-CN"/>
        </w:rPr>
        <w:t>不少于13</w:t>
      </w:r>
      <w:r>
        <w:rPr>
          <w:rFonts w:hint="eastAsia"/>
          <w:color w:val="auto"/>
          <w:sz w:val="22"/>
          <w:szCs w:val="22"/>
          <w:highlight w:val="none"/>
        </w:rPr>
        <w:t>名，项目专职管理人员不少于2名），按要求认真负责完成日常服务工作，并指定一名负责人，以便甲方随时能联系协调有关服务事项。各类人员原则上</w:t>
      </w:r>
      <w:r>
        <w:rPr>
          <w:bCs/>
          <w:color w:val="auto"/>
          <w:sz w:val="22"/>
          <w:szCs w:val="22"/>
          <w:highlight w:val="none"/>
        </w:rPr>
        <w:t>男性在55</w:t>
      </w:r>
      <w:r>
        <w:rPr>
          <w:rFonts w:hint="eastAsia"/>
          <w:bCs/>
          <w:color w:val="auto"/>
          <w:sz w:val="22"/>
          <w:szCs w:val="22"/>
          <w:highlight w:val="none"/>
        </w:rPr>
        <w:t>周</w:t>
      </w:r>
      <w:r>
        <w:rPr>
          <w:bCs/>
          <w:color w:val="auto"/>
          <w:sz w:val="22"/>
          <w:szCs w:val="22"/>
          <w:highlight w:val="none"/>
        </w:rPr>
        <w:t>岁以下，女性在50</w:t>
      </w:r>
      <w:r>
        <w:rPr>
          <w:rFonts w:hint="eastAsia"/>
          <w:bCs/>
          <w:color w:val="auto"/>
          <w:sz w:val="22"/>
          <w:szCs w:val="22"/>
          <w:highlight w:val="none"/>
        </w:rPr>
        <w:t>周</w:t>
      </w:r>
      <w:r>
        <w:rPr>
          <w:bCs/>
          <w:color w:val="auto"/>
          <w:sz w:val="22"/>
          <w:szCs w:val="22"/>
          <w:highlight w:val="none"/>
        </w:rPr>
        <w:t>岁以下</w:t>
      </w:r>
      <w:r>
        <w:rPr>
          <w:rFonts w:hint="eastAsia"/>
          <w:bCs/>
          <w:color w:val="auto"/>
          <w:sz w:val="22"/>
          <w:szCs w:val="22"/>
          <w:highlight w:val="none"/>
        </w:rPr>
        <w:t>，男女</w:t>
      </w:r>
      <w:r>
        <w:rPr>
          <w:bCs/>
          <w:color w:val="auto"/>
          <w:sz w:val="22"/>
          <w:szCs w:val="22"/>
          <w:highlight w:val="none"/>
        </w:rPr>
        <w:t>比例不低于</w:t>
      </w:r>
      <w:r>
        <w:rPr>
          <w:rFonts w:hint="eastAsia"/>
          <w:bCs/>
          <w:color w:val="auto"/>
          <w:sz w:val="22"/>
          <w:szCs w:val="22"/>
          <w:highlight w:val="none"/>
        </w:rPr>
        <w:t>60</w:t>
      </w:r>
      <w:r>
        <w:rPr>
          <w:bCs/>
          <w:color w:val="auto"/>
          <w:sz w:val="22"/>
          <w:szCs w:val="22"/>
          <w:highlight w:val="none"/>
        </w:rPr>
        <w:t>%</w:t>
      </w:r>
      <w:r>
        <w:rPr>
          <w:rFonts w:hint="eastAsia"/>
          <w:bCs/>
          <w:color w:val="auto"/>
          <w:sz w:val="22"/>
          <w:szCs w:val="22"/>
          <w:highlight w:val="none"/>
        </w:rPr>
        <w:t>（男</w:t>
      </w:r>
      <w:r>
        <w:rPr>
          <w:bCs/>
          <w:color w:val="auto"/>
          <w:sz w:val="22"/>
          <w:szCs w:val="22"/>
          <w:highlight w:val="none"/>
        </w:rPr>
        <w:t>）：</w:t>
      </w:r>
      <w:r>
        <w:rPr>
          <w:rFonts w:hint="eastAsia"/>
          <w:bCs/>
          <w:color w:val="auto"/>
          <w:sz w:val="22"/>
          <w:szCs w:val="22"/>
          <w:highlight w:val="none"/>
        </w:rPr>
        <w:t>40</w:t>
      </w:r>
      <w:r>
        <w:rPr>
          <w:bCs/>
          <w:color w:val="auto"/>
          <w:sz w:val="22"/>
          <w:szCs w:val="22"/>
          <w:highlight w:val="none"/>
        </w:rPr>
        <w:t>%</w:t>
      </w:r>
      <w:r>
        <w:rPr>
          <w:rFonts w:hint="eastAsia"/>
          <w:bCs/>
          <w:color w:val="auto"/>
          <w:sz w:val="22"/>
          <w:szCs w:val="22"/>
          <w:highlight w:val="none"/>
        </w:rPr>
        <w:t>（女</w:t>
      </w:r>
      <w:r>
        <w:rPr>
          <w:bCs/>
          <w:color w:val="auto"/>
          <w:sz w:val="22"/>
          <w:szCs w:val="22"/>
          <w:highlight w:val="none"/>
        </w:rPr>
        <w:t>）</w:t>
      </w:r>
      <w:r>
        <w:rPr>
          <w:rFonts w:hint="eastAsia"/>
          <w:bCs/>
          <w:color w:val="auto"/>
          <w:sz w:val="22"/>
          <w:szCs w:val="22"/>
          <w:highlight w:val="none"/>
        </w:rPr>
        <w:t>，</w:t>
      </w:r>
      <w:r>
        <w:rPr>
          <w:bCs/>
          <w:color w:val="auto"/>
          <w:sz w:val="22"/>
          <w:szCs w:val="22"/>
          <w:highlight w:val="none"/>
        </w:rPr>
        <w:t>无不良嗜好及不良记录</w:t>
      </w:r>
      <w:r>
        <w:rPr>
          <w:rFonts w:hint="eastAsia"/>
          <w:bCs/>
          <w:color w:val="auto"/>
          <w:sz w:val="22"/>
          <w:szCs w:val="22"/>
          <w:highlight w:val="none"/>
        </w:rPr>
        <w:t>。</w:t>
      </w:r>
      <w:r>
        <w:rPr>
          <w:bCs/>
          <w:color w:val="auto"/>
          <w:sz w:val="22"/>
          <w:szCs w:val="22"/>
          <w:highlight w:val="none"/>
        </w:rPr>
        <w:t>如特殊岗位年龄和其他条件另有需求，均须无条件接受</w:t>
      </w:r>
      <w:r>
        <w:rPr>
          <w:rFonts w:hint="eastAsia"/>
          <w:bCs/>
          <w:color w:val="auto"/>
          <w:sz w:val="22"/>
          <w:szCs w:val="22"/>
          <w:highlight w:val="none"/>
        </w:rPr>
        <w:t>业主单位</w:t>
      </w:r>
      <w:r>
        <w:rPr>
          <w:bCs/>
          <w:color w:val="auto"/>
          <w:sz w:val="22"/>
          <w:szCs w:val="22"/>
          <w:highlight w:val="none"/>
        </w:rPr>
        <w:t>的要求。</w:t>
      </w:r>
    </w:p>
    <w:p>
      <w:pPr>
        <w:pStyle w:val="13"/>
        <w:numPr>
          <w:ilvl w:val="0"/>
          <w:numId w:val="0"/>
        </w:numPr>
        <w:snapToGrid w:val="0"/>
        <w:spacing w:beforeLines="0" w:afterLines="0" w:line="360" w:lineRule="auto"/>
        <w:rPr>
          <w:color w:val="auto"/>
          <w:sz w:val="22"/>
          <w:szCs w:val="22"/>
          <w:highlight w:val="none"/>
        </w:rPr>
      </w:pPr>
      <w:r>
        <w:rPr>
          <w:rFonts w:hint="eastAsia" w:ascii="Times New Roman" w:hAnsi="Times New Roman"/>
          <w:b/>
          <w:color w:val="auto"/>
          <w:sz w:val="22"/>
          <w:szCs w:val="22"/>
          <w:highlight w:val="none"/>
          <w:lang w:val="en-US" w:eastAsia="zh-CN"/>
        </w:rPr>
        <w:t xml:space="preserve">4.5  </w:t>
      </w:r>
      <w:r>
        <w:rPr>
          <w:rFonts w:hint="eastAsia" w:ascii="Times New Roman" w:hAnsi="Times New Roman"/>
          <w:b/>
          <w:color w:val="auto"/>
          <w:sz w:val="22"/>
          <w:szCs w:val="22"/>
          <w:highlight w:val="none"/>
        </w:rPr>
        <w:t>机械设备要求</w:t>
      </w:r>
    </w:p>
    <w:tbl>
      <w:tblPr>
        <w:tblStyle w:val="26"/>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4477"/>
        <w:gridCol w:w="1251"/>
        <w:gridCol w:w="127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jc w:val="center"/>
        </w:trPr>
        <w:tc>
          <w:tcPr>
            <w:tcW w:w="535"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序号</w:t>
            </w:r>
          </w:p>
        </w:tc>
        <w:tc>
          <w:tcPr>
            <w:tcW w:w="223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机器设备名称</w:t>
            </w:r>
          </w:p>
        </w:tc>
        <w:tc>
          <w:tcPr>
            <w:tcW w:w="624"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单位</w:t>
            </w:r>
          </w:p>
        </w:tc>
        <w:tc>
          <w:tcPr>
            <w:tcW w:w="636"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数量</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r>
              <w:rPr>
                <w:rFonts w:hint="eastAsia" w:cs="宋体"/>
                <w:b/>
                <w:bCs/>
                <w:snapToGrid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2234" w:type="pct"/>
            <w:noWrap w:val="0"/>
            <w:vAlign w:val="center"/>
          </w:tcPr>
          <w:p>
            <w:pPr>
              <w:jc w:val="center"/>
              <w:rPr>
                <w:rFonts w:cs="宋体"/>
                <w:b/>
                <w:bCs/>
                <w:snapToGrid w:val="0"/>
                <w:color w:val="auto"/>
                <w:sz w:val="22"/>
                <w:szCs w:val="22"/>
                <w:highlight w:val="none"/>
              </w:rPr>
            </w:pPr>
            <w:r>
              <w:rPr>
                <w:rFonts w:hint="eastAsia"/>
                <w:color w:val="auto"/>
                <w:sz w:val="22"/>
                <w:szCs w:val="22"/>
                <w:highlight w:val="none"/>
              </w:rPr>
              <w:t>专业机</w:t>
            </w:r>
            <w:r>
              <w:rPr>
                <w:color w:val="auto"/>
                <w:sz w:val="22"/>
                <w:szCs w:val="22"/>
                <w:highlight w:val="none"/>
              </w:rPr>
              <w:t>扫车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b/>
                <w:bCs/>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2</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专业洒水车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冲洗养护车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自卸车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5</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垃圾清运车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6</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不锈钢箱体式电动三轮车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7</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保洁员人力三轮车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8</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割灌机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9</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绿篱机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10</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11</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草坪吹风机</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3</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12</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治安巡逻车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13</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统一特保标识电瓶车</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辆</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15</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不得使用城管执法专用标志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14</w:t>
            </w:r>
          </w:p>
        </w:tc>
        <w:tc>
          <w:tcPr>
            <w:tcW w:w="2234" w:type="pct"/>
            <w:noWrap w:val="0"/>
            <w:vAlign w:val="center"/>
          </w:tcPr>
          <w:p>
            <w:pPr>
              <w:jc w:val="center"/>
              <w:rPr>
                <w:rFonts w:cs="宋体"/>
                <w:color w:val="auto"/>
                <w:sz w:val="22"/>
                <w:szCs w:val="22"/>
                <w:highlight w:val="none"/>
              </w:rPr>
            </w:pPr>
            <w:r>
              <w:rPr>
                <w:rFonts w:hint="eastAsia"/>
                <w:color w:val="auto"/>
                <w:sz w:val="22"/>
                <w:szCs w:val="22"/>
                <w:highlight w:val="none"/>
              </w:rPr>
              <w:t>电动排水泵</w:t>
            </w:r>
          </w:p>
        </w:tc>
        <w:tc>
          <w:tcPr>
            <w:tcW w:w="624" w:type="pct"/>
            <w:noWrap w:val="0"/>
            <w:vAlign w:val="center"/>
          </w:tcPr>
          <w:p>
            <w:pPr>
              <w:jc w:val="center"/>
              <w:rPr>
                <w:rFonts w:cs="宋体"/>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rFonts w:cs="宋体"/>
                <w:color w:val="auto"/>
                <w:sz w:val="22"/>
                <w:szCs w:val="22"/>
                <w:highlight w:val="none"/>
              </w:rPr>
            </w:pPr>
            <w:r>
              <w:rPr>
                <w:rFonts w:hint="eastAsia"/>
                <w:color w:val="auto"/>
                <w:sz w:val="22"/>
                <w:szCs w:val="22"/>
                <w:highlight w:val="none"/>
              </w:rPr>
              <w:t>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15</w:t>
            </w:r>
          </w:p>
        </w:tc>
        <w:tc>
          <w:tcPr>
            <w:tcW w:w="2234" w:type="pct"/>
            <w:noWrap w:val="0"/>
            <w:vAlign w:val="center"/>
          </w:tcPr>
          <w:p>
            <w:pPr>
              <w:jc w:val="center"/>
              <w:rPr>
                <w:color w:val="auto"/>
                <w:sz w:val="22"/>
                <w:szCs w:val="22"/>
                <w:highlight w:val="none"/>
              </w:rPr>
            </w:pPr>
            <w:r>
              <w:rPr>
                <w:rFonts w:hint="eastAsia"/>
                <w:color w:val="auto"/>
                <w:sz w:val="22"/>
                <w:szCs w:val="22"/>
                <w:highlight w:val="none"/>
              </w:rPr>
              <w:t>统一执法记录仪</w:t>
            </w:r>
          </w:p>
        </w:tc>
        <w:tc>
          <w:tcPr>
            <w:tcW w:w="624" w:type="pct"/>
            <w:noWrap w:val="0"/>
            <w:vAlign w:val="center"/>
          </w:tcPr>
          <w:p>
            <w:pPr>
              <w:jc w:val="center"/>
              <w:rPr>
                <w:color w:val="auto"/>
                <w:sz w:val="22"/>
                <w:szCs w:val="22"/>
                <w:highlight w:val="none"/>
              </w:rPr>
            </w:pPr>
            <w:r>
              <w:rPr>
                <w:rFonts w:hint="eastAsia"/>
                <w:color w:val="auto"/>
                <w:sz w:val="22"/>
                <w:szCs w:val="22"/>
                <w:highlight w:val="none"/>
              </w:rPr>
              <w:t>台</w:t>
            </w:r>
          </w:p>
        </w:tc>
        <w:tc>
          <w:tcPr>
            <w:tcW w:w="636" w:type="pct"/>
            <w:noWrap w:val="0"/>
            <w:vAlign w:val="center"/>
          </w:tcPr>
          <w:p>
            <w:pPr>
              <w:jc w:val="center"/>
              <w:rPr>
                <w:color w:val="auto"/>
                <w:sz w:val="22"/>
                <w:szCs w:val="22"/>
                <w:highlight w:val="none"/>
              </w:rPr>
            </w:pPr>
            <w:r>
              <w:rPr>
                <w:rFonts w:hint="eastAsia"/>
                <w:color w:val="auto"/>
                <w:sz w:val="22"/>
                <w:szCs w:val="22"/>
                <w:highlight w:val="none"/>
              </w:rPr>
              <w:t>12</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35"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16</w:t>
            </w:r>
          </w:p>
        </w:tc>
        <w:tc>
          <w:tcPr>
            <w:tcW w:w="2234" w:type="pct"/>
            <w:noWrap w:val="0"/>
            <w:vAlign w:val="center"/>
          </w:tcPr>
          <w:p>
            <w:pPr>
              <w:jc w:val="center"/>
              <w:rPr>
                <w:color w:val="auto"/>
                <w:sz w:val="22"/>
                <w:szCs w:val="22"/>
                <w:highlight w:val="none"/>
              </w:rPr>
            </w:pPr>
            <w:r>
              <w:rPr>
                <w:rFonts w:hint="eastAsia"/>
                <w:color w:val="auto"/>
                <w:sz w:val="22"/>
                <w:szCs w:val="22"/>
                <w:highlight w:val="none"/>
              </w:rPr>
              <w:t>下水道疏通器</w:t>
            </w:r>
          </w:p>
        </w:tc>
        <w:tc>
          <w:tcPr>
            <w:tcW w:w="624" w:type="pct"/>
            <w:noWrap w:val="0"/>
            <w:vAlign w:val="center"/>
          </w:tcPr>
          <w:p>
            <w:pPr>
              <w:jc w:val="center"/>
              <w:rPr>
                <w:color w:val="auto"/>
                <w:sz w:val="22"/>
                <w:szCs w:val="22"/>
                <w:highlight w:val="none"/>
              </w:rPr>
            </w:pPr>
            <w:r>
              <w:rPr>
                <w:rFonts w:hint="eastAsia"/>
                <w:color w:val="auto"/>
                <w:sz w:val="22"/>
                <w:szCs w:val="22"/>
                <w:highlight w:val="none"/>
              </w:rPr>
              <w:t>套</w:t>
            </w:r>
          </w:p>
        </w:tc>
        <w:tc>
          <w:tcPr>
            <w:tcW w:w="636" w:type="pct"/>
            <w:noWrap w:val="0"/>
            <w:vAlign w:val="center"/>
          </w:tcPr>
          <w:p>
            <w:pPr>
              <w:tabs>
                <w:tab w:val="center" w:pos="4153"/>
                <w:tab w:val="right" w:pos="8306"/>
              </w:tabs>
              <w:snapToGrid w:val="0"/>
              <w:jc w:val="center"/>
              <w:rPr>
                <w:rFonts w:cs="宋体"/>
                <w:snapToGrid w:val="0"/>
                <w:color w:val="auto"/>
                <w:sz w:val="22"/>
                <w:szCs w:val="22"/>
                <w:highlight w:val="none"/>
              </w:rPr>
            </w:pPr>
            <w:r>
              <w:rPr>
                <w:rFonts w:hint="eastAsia" w:cs="宋体"/>
                <w:snapToGrid w:val="0"/>
                <w:color w:val="auto"/>
                <w:sz w:val="22"/>
                <w:szCs w:val="22"/>
                <w:highlight w:val="none"/>
              </w:rPr>
              <w:t>1</w:t>
            </w:r>
          </w:p>
        </w:tc>
        <w:tc>
          <w:tcPr>
            <w:tcW w:w="969" w:type="pct"/>
            <w:noWrap w:val="0"/>
            <w:vAlign w:val="center"/>
          </w:tcPr>
          <w:p>
            <w:pPr>
              <w:tabs>
                <w:tab w:val="center" w:pos="4153"/>
                <w:tab w:val="right" w:pos="8306"/>
              </w:tabs>
              <w:snapToGrid w:val="0"/>
              <w:jc w:val="center"/>
              <w:rPr>
                <w:rFonts w:cs="宋体"/>
                <w:snapToGrid w:val="0"/>
                <w:color w:val="auto"/>
                <w:sz w:val="22"/>
                <w:szCs w:val="22"/>
                <w:highlight w:val="none"/>
              </w:rPr>
            </w:pPr>
          </w:p>
        </w:tc>
      </w:tr>
    </w:tbl>
    <w:p>
      <w:pPr>
        <w:spacing w:line="440" w:lineRule="exact"/>
        <w:ind w:firstLine="442" w:firstLineChars="200"/>
        <w:rPr>
          <w:rFonts w:cs="Arial"/>
          <w:b/>
          <w:color w:val="auto"/>
          <w:sz w:val="22"/>
          <w:szCs w:val="22"/>
          <w:highlight w:val="none"/>
        </w:rPr>
      </w:pPr>
      <w:r>
        <w:rPr>
          <w:rFonts w:hint="eastAsia"/>
          <w:b/>
          <w:color w:val="auto"/>
          <w:sz w:val="22"/>
          <w:szCs w:val="22"/>
          <w:highlight w:val="none"/>
        </w:rPr>
        <w:t>注：</w:t>
      </w:r>
      <w:r>
        <w:rPr>
          <w:rFonts w:hint="eastAsia" w:cs="Arial"/>
          <w:b/>
          <w:color w:val="auto"/>
          <w:sz w:val="22"/>
          <w:szCs w:val="22"/>
          <w:highlight w:val="none"/>
        </w:rPr>
        <w:t>投标人投标时必须提供详细的设备清单（指中标单位所采用的机械设备，包括但不限于机械设备要求表中所列的机械设备），清单至少包括设备名称、规格型号、数量、单价、购买时间、使用年限等项目。投标人针对本项目已购置或租赁的机械设备，购置发票复印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件，须编入技术商务文件中；投标人目前尚未购置或租赁的机械设备，须承诺一旦中标，在合同签订前完成购置或租赁，并提供购置发票原件或租赁协议</w:t>
      </w:r>
      <w:r>
        <w:rPr>
          <w:rFonts w:hint="eastAsia" w:cs="Arial"/>
          <w:b/>
          <w:color w:val="auto"/>
          <w:sz w:val="22"/>
          <w:szCs w:val="22"/>
          <w:highlight w:val="none"/>
          <w:lang w:val="en-US" w:eastAsia="zh-CN"/>
        </w:rPr>
        <w:t>复印</w:t>
      </w:r>
      <w:r>
        <w:rPr>
          <w:rFonts w:hint="eastAsia" w:cs="Arial"/>
          <w:b/>
          <w:color w:val="auto"/>
          <w:sz w:val="22"/>
          <w:szCs w:val="22"/>
          <w:highlight w:val="none"/>
        </w:rPr>
        <w:t>件，否则中标无效。</w:t>
      </w:r>
    </w:p>
    <w:p>
      <w:pPr>
        <w:numPr>
          <w:ilvl w:val="0"/>
          <w:numId w:val="6"/>
        </w:numPr>
        <w:spacing w:line="440" w:lineRule="exact"/>
        <w:ind w:firstLine="422" w:firstLineChars="200"/>
        <w:rPr>
          <w:rFonts w:hint="default" w:eastAsia="宋体"/>
          <w:b/>
          <w:color w:val="auto"/>
          <w:sz w:val="22"/>
          <w:szCs w:val="22"/>
          <w:highlight w:val="none"/>
          <w:lang w:val="en-US" w:eastAsia="zh-CN"/>
        </w:rPr>
      </w:pPr>
      <w:r>
        <w:rPr>
          <w:rFonts w:hint="eastAsia"/>
          <w:b/>
          <w:color w:val="auto"/>
          <w:highlight w:val="none"/>
        </w:rPr>
        <w:br w:type="page"/>
      </w:r>
      <w:r>
        <w:rPr>
          <w:rFonts w:hint="eastAsia"/>
          <w:b/>
          <w:color w:val="auto"/>
          <w:sz w:val="22"/>
          <w:szCs w:val="22"/>
          <w:highlight w:val="none"/>
          <w:lang w:val="en-US" w:eastAsia="zh-CN"/>
        </w:rPr>
        <w:t>招标要求</w:t>
      </w:r>
    </w:p>
    <w:p>
      <w:pPr>
        <w:spacing w:line="440" w:lineRule="exact"/>
        <w:ind w:firstLine="442" w:firstLineChars="200"/>
        <w:rPr>
          <w:b/>
          <w:color w:val="auto"/>
          <w:sz w:val="22"/>
          <w:szCs w:val="22"/>
          <w:highlight w:val="none"/>
        </w:rPr>
      </w:pPr>
      <w:r>
        <w:rPr>
          <w:rFonts w:hint="eastAsia"/>
          <w:b/>
          <w:color w:val="auto"/>
          <w:sz w:val="22"/>
          <w:szCs w:val="22"/>
          <w:highlight w:val="none"/>
          <w:lang w:val="en-US" w:eastAsia="zh-CN"/>
        </w:rPr>
        <w:t>一</w:t>
      </w:r>
      <w:r>
        <w:rPr>
          <w:rFonts w:hint="eastAsia"/>
          <w:b/>
          <w:color w:val="auto"/>
          <w:sz w:val="22"/>
          <w:szCs w:val="22"/>
          <w:highlight w:val="none"/>
        </w:rPr>
        <w:t>、服务标准</w:t>
      </w:r>
    </w:p>
    <w:p>
      <w:pPr>
        <w:spacing w:line="440" w:lineRule="exact"/>
        <w:ind w:firstLine="442" w:firstLineChars="200"/>
        <w:rPr>
          <w:b/>
          <w:color w:val="auto"/>
          <w:sz w:val="22"/>
          <w:szCs w:val="22"/>
          <w:highlight w:val="none"/>
        </w:rPr>
      </w:pPr>
      <w:r>
        <w:rPr>
          <w:rFonts w:hint="eastAsia"/>
          <w:b/>
          <w:color w:val="auto"/>
          <w:sz w:val="22"/>
          <w:szCs w:val="22"/>
          <w:highlight w:val="none"/>
        </w:rPr>
        <w:t>（1）、道路保洁作业标准</w:t>
      </w:r>
    </w:p>
    <w:p>
      <w:pPr>
        <w:spacing w:line="440" w:lineRule="exact"/>
        <w:ind w:firstLine="440" w:firstLineChars="200"/>
        <w:rPr>
          <w:color w:val="auto"/>
          <w:sz w:val="22"/>
          <w:szCs w:val="22"/>
          <w:highlight w:val="none"/>
        </w:rPr>
      </w:pPr>
      <w:r>
        <w:rPr>
          <w:rFonts w:hint="eastAsia"/>
          <w:color w:val="auto"/>
          <w:sz w:val="22"/>
          <w:szCs w:val="22"/>
          <w:highlight w:val="none"/>
        </w:rPr>
        <w:t>1、中标人应承诺按采购人制定的环卫保洁作业考核标准提供优质服务，垃圾收集后按采购人要求倾倒，并进行垃圾清运服务。保洁人员清扫道路时着统一安全工作服，按规定的工作时间及操作程序作业，不得擅自离开工作地界。</w:t>
      </w:r>
    </w:p>
    <w:p>
      <w:pPr>
        <w:spacing w:line="440" w:lineRule="exact"/>
        <w:ind w:firstLine="440" w:firstLineChars="200"/>
        <w:rPr>
          <w:color w:val="auto"/>
          <w:sz w:val="22"/>
          <w:szCs w:val="22"/>
          <w:highlight w:val="none"/>
        </w:rPr>
      </w:pPr>
      <w:r>
        <w:rPr>
          <w:rFonts w:hint="eastAsia"/>
          <w:color w:val="auto"/>
          <w:sz w:val="22"/>
          <w:szCs w:val="22"/>
          <w:highlight w:val="none"/>
        </w:rPr>
        <w:t>中标人必须严格执行“定人、定岗、定时、定质量”的四定方案，严格按照申报的道路人员配备情况，做到保洁时间段每个地界都有人员在岗，并将人员配备情况上报采购人。</w:t>
      </w:r>
    </w:p>
    <w:p>
      <w:pPr>
        <w:spacing w:line="440" w:lineRule="exact"/>
        <w:ind w:firstLine="440" w:firstLineChars="200"/>
        <w:rPr>
          <w:color w:val="auto"/>
          <w:sz w:val="22"/>
          <w:szCs w:val="22"/>
          <w:highlight w:val="none"/>
        </w:rPr>
      </w:pPr>
      <w:r>
        <w:rPr>
          <w:rFonts w:hint="eastAsia"/>
          <w:color w:val="auto"/>
          <w:sz w:val="22"/>
          <w:szCs w:val="22"/>
          <w:highlight w:val="none"/>
        </w:rPr>
        <w:t>2、道路要求滚动式保洁。要求每2小时清扫1次。人行道、车行道、绿化带、树穴、台阶等严格按照道路等级情况分别实行相对应的时间长度进行动态保洁。</w:t>
      </w:r>
    </w:p>
    <w:p>
      <w:pPr>
        <w:spacing w:line="440" w:lineRule="exact"/>
        <w:ind w:firstLine="440" w:firstLineChars="200"/>
        <w:rPr>
          <w:color w:val="auto"/>
          <w:sz w:val="22"/>
          <w:szCs w:val="22"/>
          <w:highlight w:val="none"/>
        </w:rPr>
      </w:pPr>
      <w:r>
        <w:rPr>
          <w:rFonts w:hint="eastAsia"/>
          <w:color w:val="auto"/>
          <w:sz w:val="22"/>
          <w:szCs w:val="22"/>
          <w:highlight w:val="none"/>
        </w:rPr>
        <w:t>3、保洁要求路面无零星垃圾、无积泥，垃圾停留时间不超过30分钟。侧石旁无污水，雨水井口无堵塞，作业垃圾畚扫干净。清扫成堆垃圾不准超过三堆，无漏畚，清扫时要绕过雨水井口，清扫成堆的垃圾不得就地焚烧，如有发现加倍处罚。</w:t>
      </w:r>
    </w:p>
    <w:p>
      <w:pPr>
        <w:spacing w:line="440" w:lineRule="exact"/>
        <w:ind w:firstLine="440" w:firstLineChars="200"/>
        <w:rPr>
          <w:color w:val="auto"/>
          <w:sz w:val="22"/>
          <w:szCs w:val="22"/>
          <w:highlight w:val="none"/>
        </w:rPr>
      </w:pPr>
      <w:r>
        <w:rPr>
          <w:rFonts w:hint="eastAsia"/>
          <w:color w:val="auto"/>
          <w:sz w:val="22"/>
          <w:szCs w:val="22"/>
          <w:highlight w:val="none"/>
        </w:rPr>
        <w:t>4、保洁范围内的台阶、树穴、绿化带保持洁净、垃圾桶、亭等周边保持干净、隔离栏下无积泥、积灰。绿化、行道树整齐有序，无明显病虫害。绿化带内无明显杂物，修剪整齐到位，行道树保持树型良好，修剪整枝后杂物及时清理不焚烧。</w:t>
      </w:r>
    </w:p>
    <w:p>
      <w:pPr>
        <w:spacing w:line="440" w:lineRule="exact"/>
        <w:ind w:firstLine="440" w:firstLineChars="200"/>
        <w:rPr>
          <w:color w:val="auto"/>
          <w:sz w:val="22"/>
          <w:szCs w:val="22"/>
          <w:highlight w:val="none"/>
        </w:rPr>
      </w:pPr>
      <w:r>
        <w:rPr>
          <w:rFonts w:hint="eastAsia"/>
          <w:color w:val="auto"/>
          <w:sz w:val="22"/>
          <w:szCs w:val="22"/>
          <w:highlight w:val="none"/>
        </w:rPr>
        <w:t>5、做好边界保洁工作，与企业、商铺等连接处做好对接工作，无责任单位落实的区域均由中标人保洁，目测五米内无卫生死角。</w:t>
      </w:r>
    </w:p>
    <w:p>
      <w:pPr>
        <w:spacing w:line="440" w:lineRule="exact"/>
        <w:ind w:firstLine="440" w:firstLineChars="200"/>
        <w:rPr>
          <w:color w:val="auto"/>
          <w:sz w:val="22"/>
          <w:szCs w:val="22"/>
          <w:highlight w:val="none"/>
        </w:rPr>
      </w:pPr>
      <w:r>
        <w:rPr>
          <w:rFonts w:hint="eastAsia"/>
          <w:color w:val="auto"/>
          <w:sz w:val="22"/>
          <w:szCs w:val="22"/>
          <w:highlight w:val="none"/>
        </w:rPr>
        <w:t>6、窨井、下水道疏通：雨、污水管疏通取泥合格率不低于85%。窨井沟眼净、井框四周干净，下水道无堵塞、窨进无溢水现象，检查雨污水积泥不得超过5—8cm，雨、污水井盖无缺损，如有缺损中标人应及时上报并更换井盖，由此发生的费用由中标人承担。</w:t>
      </w:r>
    </w:p>
    <w:p>
      <w:pPr>
        <w:spacing w:line="440" w:lineRule="exact"/>
        <w:ind w:firstLine="440" w:firstLineChars="200"/>
        <w:rPr>
          <w:color w:val="auto"/>
          <w:sz w:val="22"/>
          <w:szCs w:val="22"/>
          <w:highlight w:val="none"/>
        </w:rPr>
      </w:pPr>
      <w:r>
        <w:rPr>
          <w:rFonts w:hint="eastAsia"/>
          <w:color w:val="auto"/>
          <w:sz w:val="22"/>
          <w:szCs w:val="22"/>
          <w:highlight w:val="none"/>
        </w:rPr>
        <w:t>7、道路人行道喇叭口和单位道口扫进二米，不得擅自减少或漏扫保洁地界。</w:t>
      </w:r>
    </w:p>
    <w:p>
      <w:pPr>
        <w:spacing w:line="440" w:lineRule="exact"/>
        <w:ind w:firstLine="440" w:firstLineChars="200"/>
        <w:rPr>
          <w:color w:val="auto"/>
          <w:sz w:val="22"/>
          <w:szCs w:val="22"/>
          <w:highlight w:val="none"/>
        </w:rPr>
      </w:pPr>
      <w:r>
        <w:rPr>
          <w:rFonts w:hint="eastAsia"/>
          <w:color w:val="auto"/>
          <w:sz w:val="22"/>
          <w:szCs w:val="22"/>
          <w:highlight w:val="none"/>
        </w:rPr>
        <w:t>8、保洁员文明作业，掌握气候特点，顺风扫时注意扬尘，不影响过往行人，遇到雨天积水清扫时，尽量注意不使泥浆飞溅过往行人。并且保洁时保洁员距保洁车不得超过50米，不乱倒垃圾。</w:t>
      </w:r>
    </w:p>
    <w:p>
      <w:pPr>
        <w:spacing w:line="440" w:lineRule="exact"/>
        <w:ind w:firstLine="440" w:firstLineChars="200"/>
        <w:rPr>
          <w:color w:val="auto"/>
          <w:sz w:val="22"/>
          <w:szCs w:val="22"/>
          <w:highlight w:val="none"/>
        </w:rPr>
      </w:pPr>
      <w:r>
        <w:rPr>
          <w:rFonts w:hint="eastAsia"/>
          <w:color w:val="auto"/>
          <w:sz w:val="22"/>
          <w:szCs w:val="22"/>
          <w:highlight w:val="none"/>
        </w:rPr>
        <w:t>9、行道树因季节原因产生落叶时期应酌情增加巡回次数，或增加保洁人员。</w:t>
      </w:r>
    </w:p>
    <w:p>
      <w:pPr>
        <w:spacing w:line="440" w:lineRule="exact"/>
        <w:ind w:firstLine="440" w:firstLineChars="200"/>
        <w:rPr>
          <w:color w:val="auto"/>
          <w:sz w:val="22"/>
          <w:szCs w:val="22"/>
          <w:highlight w:val="none"/>
        </w:rPr>
      </w:pPr>
      <w:r>
        <w:rPr>
          <w:rFonts w:hint="eastAsia"/>
          <w:color w:val="auto"/>
          <w:sz w:val="22"/>
          <w:szCs w:val="22"/>
          <w:highlight w:val="none"/>
        </w:rPr>
        <w:t>10、遇到灾害性气候时，应及时启动道路清扫应急预案。</w:t>
      </w:r>
    </w:p>
    <w:p>
      <w:pPr>
        <w:spacing w:line="440" w:lineRule="exact"/>
        <w:ind w:firstLine="440" w:firstLineChars="200"/>
        <w:rPr>
          <w:color w:val="auto"/>
          <w:sz w:val="22"/>
          <w:szCs w:val="22"/>
          <w:highlight w:val="none"/>
        </w:rPr>
      </w:pPr>
      <w:r>
        <w:rPr>
          <w:color w:val="auto"/>
          <w:sz w:val="22"/>
          <w:szCs w:val="22"/>
          <w:highlight w:val="none"/>
        </w:rPr>
        <w:t>11</w:t>
      </w:r>
      <w:r>
        <w:rPr>
          <w:rFonts w:hint="eastAsia"/>
          <w:color w:val="auto"/>
          <w:sz w:val="22"/>
          <w:szCs w:val="22"/>
          <w:highlight w:val="none"/>
        </w:rPr>
        <w:t>、保洁车车身</w:t>
      </w:r>
      <w:r>
        <w:rPr>
          <w:color w:val="auto"/>
          <w:sz w:val="22"/>
          <w:szCs w:val="22"/>
          <w:highlight w:val="none"/>
        </w:rPr>
        <w:t>上须有明显的标识，</w:t>
      </w:r>
      <w:r>
        <w:rPr>
          <w:rFonts w:hint="eastAsia"/>
          <w:color w:val="auto"/>
          <w:sz w:val="22"/>
          <w:szCs w:val="22"/>
          <w:highlight w:val="none"/>
        </w:rPr>
        <w:t>作业时保洁车应按规范停放，以不影响公共交通行为原则，保洁车每星期清洗一次，保持车内外洁净，行驶途中扫帚畚斗放置妥当，</w:t>
      </w:r>
      <w:r>
        <w:rPr>
          <w:color w:val="auto"/>
          <w:sz w:val="22"/>
          <w:szCs w:val="22"/>
          <w:highlight w:val="none"/>
        </w:rPr>
        <w:t>作业过程中不得出现滴、漏、洒</w:t>
      </w:r>
      <w:r>
        <w:rPr>
          <w:rFonts w:hint="eastAsia"/>
          <w:color w:val="auto"/>
          <w:sz w:val="22"/>
          <w:szCs w:val="22"/>
          <w:highlight w:val="none"/>
        </w:rPr>
        <w:t>等</w:t>
      </w:r>
      <w:r>
        <w:rPr>
          <w:color w:val="auto"/>
          <w:sz w:val="22"/>
          <w:szCs w:val="22"/>
          <w:highlight w:val="none"/>
        </w:rPr>
        <w:t>现象</w:t>
      </w:r>
      <w:r>
        <w:rPr>
          <w:rFonts w:hint="eastAsia"/>
          <w:color w:val="auto"/>
          <w:sz w:val="22"/>
          <w:szCs w:val="22"/>
          <w:highlight w:val="none"/>
        </w:rPr>
        <w:t>。</w:t>
      </w:r>
    </w:p>
    <w:p>
      <w:pPr>
        <w:spacing w:line="440" w:lineRule="exact"/>
        <w:ind w:firstLine="440" w:firstLineChars="200"/>
        <w:rPr>
          <w:color w:val="auto"/>
          <w:sz w:val="22"/>
          <w:szCs w:val="22"/>
          <w:highlight w:val="none"/>
        </w:rPr>
      </w:pPr>
      <w:r>
        <w:rPr>
          <w:color w:val="auto"/>
          <w:sz w:val="22"/>
          <w:szCs w:val="22"/>
          <w:highlight w:val="none"/>
        </w:rPr>
        <w:t>12</w:t>
      </w:r>
      <w:r>
        <w:rPr>
          <w:rFonts w:hint="eastAsia"/>
          <w:color w:val="auto"/>
          <w:sz w:val="22"/>
          <w:szCs w:val="22"/>
          <w:highlight w:val="none"/>
        </w:rPr>
        <w:t>、及时清理保洁范围内（包括保洁路面两侧立面“三乱”）的所有牛皮癣、乱涂写、乱张贴等，并做到涂抹规范整洁。</w:t>
      </w:r>
    </w:p>
    <w:p>
      <w:pPr>
        <w:spacing w:line="440" w:lineRule="exact"/>
        <w:ind w:firstLine="440" w:firstLineChars="200"/>
        <w:rPr>
          <w:color w:val="auto"/>
          <w:sz w:val="22"/>
          <w:szCs w:val="22"/>
          <w:highlight w:val="none"/>
        </w:rPr>
      </w:pPr>
      <w:r>
        <w:rPr>
          <w:rFonts w:hint="eastAsia"/>
          <w:color w:val="auto"/>
          <w:sz w:val="22"/>
          <w:szCs w:val="22"/>
          <w:highlight w:val="none"/>
        </w:rPr>
        <w:t>13、加强巡查，防止在本项目范围内发生各种偷倒垃圾的行为。偷倒行为一经发现，中标单位应在当天清运完毕。</w:t>
      </w:r>
    </w:p>
    <w:p>
      <w:pPr>
        <w:spacing w:line="440" w:lineRule="exact"/>
        <w:ind w:firstLine="440" w:firstLineChars="200"/>
        <w:rPr>
          <w:color w:val="auto"/>
          <w:sz w:val="22"/>
          <w:szCs w:val="22"/>
          <w:highlight w:val="none"/>
        </w:rPr>
      </w:pPr>
      <w:r>
        <w:rPr>
          <w:color w:val="auto"/>
          <w:sz w:val="22"/>
          <w:szCs w:val="22"/>
          <w:highlight w:val="none"/>
        </w:rPr>
        <w:t>14</w:t>
      </w:r>
      <w:r>
        <w:rPr>
          <w:rFonts w:hint="eastAsia"/>
          <w:color w:val="auto"/>
          <w:sz w:val="22"/>
          <w:szCs w:val="22"/>
          <w:highlight w:val="none"/>
        </w:rPr>
        <w:t>、道路人工作业时间及机扫、清洗次数如下：</w:t>
      </w:r>
    </w:p>
    <w:p>
      <w:pPr>
        <w:spacing w:line="440" w:lineRule="exact"/>
        <w:ind w:firstLine="440" w:firstLineChars="200"/>
        <w:rPr>
          <w:color w:val="auto"/>
          <w:sz w:val="22"/>
          <w:szCs w:val="22"/>
          <w:highlight w:val="none"/>
        </w:rPr>
      </w:pPr>
      <w:r>
        <w:rPr>
          <w:rFonts w:hint="eastAsia"/>
          <w:color w:val="auto"/>
          <w:sz w:val="22"/>
          <w:szCs w:val="22"/>
          <w:highlight w:val="none"/>
        </w:rPr>
        <w:t>高标准道路清扫保洁时间≥18小时</w:t>
      </w:r>
    </w:p>
    <w:p>
      <w:pPr>
        <w:spacing w:line="440" w:lineRule="exact"/>
        <w:ind w:firstLine="440" w:firstLineChars="200"/>
        <w:rPr>
          <w:color w:val="auto"/>
          <w:sz w:val="22"/>
          <w:szCs w:val="22"/>
          <w:highlight w:val="none"/>
        </w:rPr>
      </w:pPr>
      <w:r>
        <w:rPr>
          <w:rFonts w:hint="eastAsia"/>
          <w:color w:val="auto"/>
          <w:sz w:val="22"/>
          <w:szCs w:val="22"/>
          <w:highlight w:val="none"/>
        </w:rPr>
        <w:t>标准道路清扫保洁时间≥</w:t>
      </w:r>
      <w:r>
        <w:rPr>
          <w:color w:val="auto"/>
          <w:sz w:val="22"/>
          <w:szCs w:val="22"/>
          <w:highlight w:val="none"/>
        </w:rPr>
        <w:t>16</w:t>
      </w:r>
      <w:r>
        <w:rPr>
          <w:rFonts w:hint="eastAsia"/>
          <w:color w:val="auto"/>
          <w:sz w:val="22"/>
          <w:szCs w:val="22"/>
          <w:highlight w:val="none"/>
        </w:rPr>
        <w:t>小时</w:t>
      </w:r>
    </w:p>
    <w:p>
      <w:pPr>
        <w:spacing w:line="440" w:lineRule="exact"/>
        <w:ind w:firstLine="440" w:firstLineChars="200"/>
        <w:rPr>
          <w:color w:val="auto"/>
          <w:sz w:val="22"/>
          <w:szCs w:val="22"/>
          <w:highlight w:val="none"/>
        </w:rPr>
      </w:pPr>
      <w:r>
        <w:rPr>
          <w:rFonts w:hint="eastAsia"/>
          <w:color w:val="auto"/>
          <w:sz w:val="22"/>
          <w:szCs w:val="22"/>
          <w:highlight w:val="none"/>
        </w:rPr>
        <w:t>高标准道路冲洗频次≥3 次/日</w:t>
      </w:r>
    </w:p>
    <w:p>
      <w:pPr>
        <w:spacing w:line="440" w:lineRule="exact"/>
        <w:ind w:firstLine="440" w:firstLineChars="200"/>
        <w:rPr>
          <w:color w:val="auto"/>
          <w:sz w:val="22"/>
          <w:szCs w:val="22"/>
          <w:highlight w:val="none"/>
        </w:rPr>
      </w:pPr>
      <w:r>
        <w:rPr>
          <w:rFonts w:hint="eastAsia"/>
          <w:color w:val="auto"/>
          <w:sz w:val="22"/>
          <w:szCs w:val="22"/>
          <w:highlight w:val="none"/>
        </w:rPr>
        <w:t>标准道路冲洗频次≥</w:t>
      </w:r>
      <w:r>
        <w:rPr>
          <w:color w:val="auto"/>
          <w:sz w:val="22"/>
          <w:szCs w:val="22"/>
          <w:highlight w:val="none"/>
        </w:rPr>
        <w:t>2</w:t>
      </w:r>
      <w:r>
        <w:rPr>
          <w:rFonts w:hint="eastAsia"/>
          <w:color w:val="auto"/>
          <w:sz w:val="22"/>
          <w:szCs w:val="22"/>
          <w:highlight w:val="none"/>
        </w:rPr>
        <w:t>次/日</w:t>
      </w:r>
    </w:p>
    <w:p>
      <w:pPr>
        <w:spacing w:line="440" w:lineRule="exact"/>
        <w:ind w:firstLine="440" w:firstLineChars="200"/>
        <w:rPr>
          <w:color w:val="auto"/>
          <w:sz w:val="22"/>
          <w:szCs w:val="22"/>
          <w:highlight w:val="none"/>
        </w:rPr>
      </w:pPr>
      <w:r>
        <w:rPr>
          <w:rFonts w:hint="eastAsia"/>
          <w:color w:val="auto"/>
          <w:sz w:val="22"/>
          <w:szCs w:val="22"/>
          <w:highlight w:val="none"/>
        </w:rPr>
        <w:t>高标准道路清洗频次≥2 次/周</w:t>
      </w:r>
    </w:p>
    <w:p>
      <w:pPr>
        <w:spacing w:line="440" w:lineRule="exact"/>
        <w:ind w:firstLine="440" w:firstLineChars="200"/>
        <w:rPr>
          <w:color w:val="auto"/>
          <w:sz w:val="22"/>
          <w:szCs w:val="22"/>
          <w:highlight w:val="none"/>
        </w:rPr>
      </w:pPr>
      <w:r>
        <w:rPr>
          <w:rFonts w:hint="eastAsia"/>
          <w:color w:val="auto"/>
          <w:sz w:val="22"/>
          <w:szCs w:val="22"/>
          <w:highlight w:val="none"/>
        </w:rPr>
        <w:t>标准道路清洗频次≥1次/周</w:t>
      </w:r>
    </w:p>
    <w:p>
      <w:pPr>
        <w:spacing w:line="440" w:lineRule="exact"/>
        <w:ind w:firstLine="440" w:firstLineChars="200"/>
        <w:rPr>
          <w:color w:val="auto"/>
          <w:sz w:val="22"/>
          <w:szCs w:val="22"/>
          <w:highlight w:val="none"/>
        </w:rPr>
      </w:pPr>
      <w:r>
        <w:rPr>
          <w:rFonts w:hint="eastAsia"/>
          <w:color w:val="auto"/>
          <w:sz w:val="22"/>
          <w:szCs w:val="22"/>
          <w:highlight w:val="none"/>
        </w:rPr>
        <w:t>高标准道路机扫频次≥3次/日</w:t>
      </w:r>
    </w:p>
    <w:p>
      <w:pPr>
        <w:spacing w:line="440" w:lineRule="exact"/>
        <w:ind w:firstLine="440" w:firstLineChars="200"/>
        <w:rPr>
          <w:color w:val="auto"/>
          <w:sz w:val="22"/>
          <w:szCs w:val="22"/>
          <w:highlight w:val="none"/>
        </w:rPr>
      </w:pPr>
      <w:r>
        <w:rPr>
          <w:rFonts w:hint="eastAsia"/>
          <w:color w:val="auto"/>
          <w:sz w:val="22"/>
          <w:szCs w:val="22"/>
          <w:highlight w:val="none"/>
        </w:rPr>
        <w:t>标准道路机扫频次≥</w:t>
      </w:r>
      <w:r>
        <w:rPr>
          <w:color w:val="auto"/>
          <w:sz w:val="22"/>
          <w:szCs w:val="22"/>
          <w:highlight w:val="none"/>
        </w:rPr>
        <w:t>2</w:t>
      </w:r>
      <w:r>
        <w:rPr>
          <w:rFonts w:hint="eastAsia"/>
          <w:color w:val="auto"/>
          <w:sz w:val="22"/>
          <w:szCs w:val="22"/>
          <w:highlight w:val="none"/>
        </w:rPr>
        <w:t>次/日</w:t>
      </w:r>
    </w:p>
    <w:p>
      <w:pPr>
        <w:spacing w:line="440" w:lineRule="exact"/>
        <w:ind w:firstLine="442" w:firstLineChars="200"/>
        <w:rPr>
          <w:b/>
          <w:color w:val="auto"/>
          <w:sz w:val="22"/>
          <w:szCs w:val="22"/>
          <w:highlight w:val="none"/>
        </w:rPr>
      </w:pPr>
      <w:r>
        <w:rPr>
          <w:rFonts w:hint="eastAsia"/>
          <w:b/>
          <w:color w:val="auto"/>
          <w:sz w:val="22"/>
          <w:szCs w:val="22"/>
          <w:highlight w:val="none"/>
        </w:rPr>
        <w:t>（2）、道路普扫质量标准</w:t>
      </w:r>
    </w:p>
    <w:p>
      <w:pPr>
        <w:spacing w:line="440" w:lineRule="exact"/>
        <w:ind w:firstLine="440" w:firstLineChars="200"/>
        <w:rPr>
          <w:color w:val="auto"/>
          <w:sz w:val="22"/>
          <w:szCs w:val="22"/>
          <w:highlight w:val="none"/>
        </w:rPr>
      </w:pPr>
      <w:r>
        <w:rPr>
          <w:rFonts w:hint="eastAsia"/>
          <w:color w:val="auto"/>
          <w:sz w:val="22"/>
          <w:szCs w:val="22"/>
          <w:highlight w:val="none"/>
        </w:rPr>
        <w:t>四无四净：无果皮纸屑、无土石杂草、无积泥堆积物、无痰迹烟蒂，路面干净、道路绿地树圈干净、雨水井沟槽畅通侧石干净、果壳箱等环卫设施整齐干净。</w:t>
      </w:r>
    </w:p>
    <w:p>
      <w:pPr>
        <w:spacing w:line="440" w:lineRule="exact"/>
        <w:ind w:firstLine="442" w:firstLineChars="200"/>
        <w:rPr>
          <w:b/>
          <w:color w:val="auto"/>
          <w:sz w:val="22"/>
          <w:szCs w:val="22"/>
          <w:highlight w:val="none"/>
        </w:rPr>
      </w:pPr>
      <w:r>
        <w:rPr>
          <w:rFonts w:hint="eastAsia"/>
          <w:b/>
          <w:color w:val="auto"/>
          <w:sz w:val="22"/>
          <w:szCs w:val="22"/>
          <w:highlight w:val="none"/>
        </w:rPr>
        <w:t>（3）、垃圾包清理作业标准</w:t>
      </w:r>
    </w:p>
    <w:p>
      <w:pPr>
        <w:spacing w:line="440" w:lineRule="exact"/>
        <w:ind w:firstLine="440" w:firstLineChars="200"/>
        <w:rPr>
          <w:color w:val="auto"/>
          <w:sz w:val="22"/>
          <w:szCs w:val="22"/>
          <w:highlight w:val="none"/>
        </w:rPr>
      </w:pPr>
      <w:r>
        <w:rPr>
          <w:rFonts w:hint="eastAsia"/>
          <w:color w:val="auto"/>
          <w:sz w:val="22"/>
          <w:szCs w:val="22"/>
          <w:highlight w:val="none"/>
        </w:rPr>
        <w:t>1、按规定的操作时间、路线顺序进行作业，发现垃圾包、白色污染、杂物等情况应及时清理，废物停留时间不超过30分钟。</w:t>
      </w:r>
    </w:p>
    <w:p>
      <w:pPr>
        <w:spacing w:line="440" w:lineRule="exact"/>
        <w:ind w:firstLine="440" w:firstLineChars="200"/>
        <w:rPr>
          <w:color w:val="auto"/>
          <w:sz w:val="22"/>
          <w:szCs w:val="22"/>
          <w:highlight w:val="none"/>
        </w:rPr>
      </w:pPr>
      <w:r>
        <w:rPr>
          <w:rFonts w:hint="eastAsia"/>
          <w:color w:val="auto"/>
          <w:sz w:val="22"/>
          <w:szCs w:val="22"/>
          <w:highlight w:val="none"/>
        </w:rPr>
        <w:t>2、道路路面发现有大面积建筑垃圾、砂石、渣土应及时向有关部门或领导反映。</w:t>
      </w:r>
    </w:p>
    <w:p>
      <w:pPr>
        <w:spacing w:line="440" w:lineRule="exact"/>
        <w:ind w:firstLine="440" w:firstLineChars="200"/>
        <w:rPr>
          <w:color w:val="auto"/>
          <w:sz w:val="22"/>
          <w:szCs w:val="22"/>
          <w:highlight w:val="none"/>
        </w:rPr>
      </w:pPr>
      <w:r>
        <w:rPr>
          <w:rFonts w:hint="eastAsia"/>
          <w:color w:val="auto"/>
          <w:sz w:val="22"/>
          <w:szCs w:val="22"/>
          <w:highlight w:val="none"/>
        </w:rPr>
        <w:t>3、因工作需要，需突击清理时，必须服从分配，保质保量地及时完成工作任务。</w:t>
      </w:r>
    </w:p>
    <w:p>
      <w:pPr>
        <w:spacing w:line="440" w:lineRule="exact"/>
        <w:ind w:firstLine="442" w:firstLineChars="200"/>
        <w:rPr>
          <w:b/>
          <w:color w:val="auto"/>
          <w:sz w:val="22"/>
          <w:szCs w:val="22"/>
          <w:highlight w:val="none"/>
        </w:rPr>
      </w:pPr>
      <w:r>
        <w:rPr>
          <w:rFonts w:hint="eastAsia"/>
          <w:b/>
          <w:color w:val="auto"/>
          <w:sz w:val="22"/>
          <w:szCs w:val="22"/>
          <w:highlight w:val="none"/>
        </w:rPr>
        <w:t>（4）、垃圾桶（亭）作业标准</w:t>
      </w:r>
    </w:p>
    <w:p>
      <w:pPr>
        <w:spacing w:line="440" w:lineRule="exact"/>
        <w:ind w:firstLine="440" w:firstLineChars="200"/>
        <w:rPr>
          <w:color w:val="auto"/>
          <w:sz w:val="22"/>
          <w:szCs w:val="22"/>
          <w:highlight w:val="none"/>
        </w:rPr>
      </w:pPr>
      <w:r>
        <w:rPr>
          <w:rFonts w:hint="eastAsia"/>
          <w:color w:val="auto"/>
          <w:sz w:val="22"/>
          <w:szCs w:val="22"/>
          <w:highlight w:val="none"/>
        </w:rPr>
        <w:t>1、中标人须按业主要求提供符合垃圾分类标准的垃圾桶，桶体需印有专门的分类标识，</w:t>
      </w:r>
      <w:r>
        <w:rPr>
          <w:color w:val="auto"/>
          <w:sz w:val="22"/>
          <w:szCs w:val="22"/>
          <w:highlight w:val="none"/>
        </w:rPr>
        <w:t>费用由中标单位</w:t>
      </w:r>
      <w:r>
        <w:rPr>
          <w:rFonts w:hint="eastAsia"/>
          <w:color w:val="auto"/>
          <w:sz w:val="22"/>
          <w:szCs w:val="22"/>
          <w:highlight w:val="none"/>
        </w:rPr>
        <w:t>自行</w:t>
      </w:r>
      <w:r>
        <w:rPr>
          <w:color w:val="auto"/>
          <w:sz w:val="22"/>
          <w:szCs w:val="22"/>
          <w:highlight w:val="none"/>
        </w:rPr>
        <w:t>承担</w:t>
      </w:r>
      <w:r>
        <w:rPr>
          <w:rFonts w:hint="eastAsia"/>
          <w:color w:val="auto"/>
          <w:sz w:val="22"/>
          <w:szCs w:val="22"/>
          <w:highlight w:val="none"/>
        </w:rPr>
        <w:t>。</w:t>
      </w:r>
    </w:p>
    <w:p>
      <w:pPr>
        <w:spacing w:line="440" w:lineRule="exact"/>
        <w:ind w:firstLine="440" w:firstLineChars="200"/>
        <w:rPr>
          <w:color w:val="auto"/>
          <w:sz w:val="22"/>
          <w:szCs w:val="22"/>
          <w:highlight w:val="none"/>
        </w:rPr>
      </w:pPr>
      <w:r>
        <w:rPr>
          <w:rFonts w:hint="eastAsia"/>
          <w:color w:val="auto"/>
          <w:sz w:val="22"/>
          <w:szCs w:val="22"/>
          <w:highlight w:val="none"/>
        </w:rPr>
        <w:t>2、按规定清扫保洁，无迟到早退现象，工作时间内不擅自离开工作岗位。</w:t>
      </w:r>
    </w:p>
    <w:p>
      <w:pPr>
        <w:spacing w:line="440" w:lineRule="exact"/>
        <w:ind w:firstLine="440" w:firstLineChars="200"/>
        <w:rPr>
          <w:color w:val="auto"/>
          <w:sz w:val="22"/>
          <w:szCs w:val="22"/>
          <w:highlight w:val="none"/>
        </w:rPr>
      </w:pPr>
      <w:r>
        <w:rPr>
          <w:rFonts w:hint="eastAsia"/>
          <w:color w:val="auto"/>
          <w:sz w:val="22"/>
          <w:szCs w:val="22"/>
          <w:highlight w:val="none"/>
        </w:rPr>
        <w:t>3、保持垃圾箱体外无积泥、积污，每天清洗桶体一次，洗后摆放整齐并保持周围二米内环境卫生。</w:t>
      </w:r>
    </w:p>
    <w:p>
      <w:pPr>
        <w:spacing w:line="440" w:lineRule="exact"/>
        <w:ind w:firstLine="440" w:firstLineChars="200"/>
        <w:rPr>
          <w:color w:val="auto"/>
          <w:sz w:val="22"/>
          <w:szCs w:val="22"/>
          <w:highlight w:val="none"/>
        </w:rPr>
      </w:pPr>
      <w:r>
        <w:rPr>
          <w:rFonts w:hint="eastAsia"/>
          <w:color w:val="auto"/>
          <w:sz w:val="22"/>
          <w:szCs w:val="22"/>
          <w:highlight w:val="none"/>
        </w:rPr>
        <w:t>3、无漏扫或减少保洁地界的。</w:t>
      </w:r>
    </w:p>
    <w:p>
      <w:pPr>
        <w:spacing w:line="440" w:lineRule="exact"/>
        <w:ind w:firstLine="440" w:firstLineChars="200"/>
        <w:rPr>
          <w:color w:val="auto"/>
          <w:sz w:val="22"/>
          <w:szCs w:val="22"/>
          <w:highlight w:val="none"/>
        </w:rPr>
      </w:pPr>
      <w:r>
        <w:rPr>
          <w:rFonts w:hint="eastAsia"/>
          <w:color w:val="auto"/>
          <w:sz w:val="22"/>
          <w:szCs w:val="22"/>
          <w:highlight w:val="none"/>
        </w:rPr>
        <w:t>4、垃圾桶摆放整齐，桶（亭）周围二米包括人行道清洁，桶底地面无积泥和积污，垃圾桶（亭）和制度牌无蛛网、无积泥、无积灰、无积污、无乱张贴，亭顶无杂物。</w:t>
      </w:r>
    </w:p>
    <w:p>
      <w:pPr>
        <w:spacing w:line="440" w:lineRule="exact"/>
        <w:ind w:firstLine="440" w:firstLineChars="200"/>
        <w:rPr>
          <w:color w:val="auto"/>
          <w:sz w:val="22"/>
          <w:szCs w:val="22"/>
          <w:highlight w:val="none"/>
        </w:rPr>
      </w:pPr>
      <w:r>
        <w:rPr>
          <w:rFonts w:hint="eastAsia"/>
          <w:color w:val="auto"/>
          <w:sz w:val="22"/>
          <w:szCs w:val="22"/>
          <w:highlight w:val="none"/>
        </w:rPr>
        <w:t>5、垃圾桶无满溢，周围无堆积垃圾。</w:t>
      </w:r>
    </w:p>
    <w:p>
      <w:pPr>
        <w:spacing w:line="440" w:lineRule="exact"/>
        <w:ind w:firstLine="440" w:firstLineChars="200"/>
        <w:rPr>
          <w:color w:val="auto"/>
          <w:sz w:val="22"/>
          <w:szCs w:val="22"/>
          <w:highlight w:val="none"/>
        </w:rPr>
      </w:pPr>
      <w:r>
        <w:rPr>
          <w:rFonts w:hint="eastAsia"/>
          <w:color w:val="auto"/>
          <w:sz w:val="22"/>
          <w:szCs w:val="22"/>
          <w:highlight w:val="none"/>
        </w:rPr>
        <w:t>6、垃圾桶无缺轮、破损等现象。</w:t>
      </w:r>
    </w:p>
    <w:p>
      <w:pPr>
        <w:spacing w:line="440" w:lineRule="exact"/>
        <w:ind w:firstLine="440" w:firstLineChars="200"/>
        <w:rPr>
          <w:color w:val="auto"/>
          <w:sz w:val="22"/>
          <w:szCs w:val="22"/>
          <w:highlight w:val="none"/>
        </w:rPr>
      </w:pPr>
      <w:r>
        <w:rPr>
          <w:rFonts w:hint="eastAsia"/>
          <w:color w:val="auto"/>
          <w:sz w:val="22"/>
          <w:szCs w:val="22"/>
          <w:highlight w:val="none"/>
        </w:rPr>
        <w:t>7、中标人要加强员工教育，防止出现偷窃垃圾桶卖给企事业单位的现象，如经查实有以上现象，除中标人负责重新添置垃圾桶外另按损失额的</w:t>
      </w:r>
      <w:r>
        <w:rPr>
          <w:color w:val="auto"/>
          <w:sz w:val="22"/>
          <w:szCs w:val="22"/>
          <w:highlight w:val="none"/>
        </w:rPr>
        <w:t>5</w:t>
      </w:r>
      <w:r>
        <w:rPr>
          <w:rFonts w:hint="eastAsia"/>
          <w:color w:val="auto"/>
          <w:sz w:val="22"/>
          <w:szCs w:val="22"/>
          <w:highlight w:val="none"/>
        </w:rPr>
        <w:t>倍进行罚款。</w:t>
      </w:r>
    </w:p>
    <w:p>
      <w:pPr>
        <w:spacing w:line="440" w:lineRule="exact"/>
        <w:ind w:firstLine="442" w:firstLineChars="200"/>
        <w:rPr>
          <w:b/>
          <w:color w:val="auto"/>
          <w:sz w:val="22"/>
          <w:szCs w:val="22"/>
          <w:highlight w:val="none"/>
        </w:rPr>
      </w:pPr>
      <w:r>
        <w:rPr>
          <w:rFonts w:hint="eastAsia"/>
          <w:b/>
          <w:color w:val="auto"/>
          <w:sz w:val="22"/>
          <w:szCs w:val="22"/>
          <w:highlight w:val="none"/>
        </w:rPr>
        <w:t>（5）垃圾清运作业标准</w:t>
      </w:r>
    </w:p>
    <w:p>
      <w:pPr>
        <w:spacing w:line="440" w:lineRule="exact"/>
        <w:ind w:firstLine="440" w:firstLineChars="200"/>
        <w:rPr>
          <w:color w:val="auto"/>
          <w:sz w:val="22"/>
          <w:szCs w:val="22"/>
          <w:highlight w:val="none"/>
        </w:rPr>
      </w:pPr>
      <w:r>
        <w:rPr>
          <w:rFonts w:hint="eastAsia"/>
          <w:color w:val="auto"/>
          <w:sz w:val="22"/>
          <w:szCs w:val="22"/>
          <w:highlight w:val="none"/>
        </w:rPr>
        <w:t>1、中标人清运垃圾必须做到日产日清，垃圾桶摆放整齐，桶体无污染，桶内无厚积杂物，经常清洗垃圾亭和垃圾桶，确保垃圾亭四周干净、清洁、无杂物。</w:t>
      </w:r>
    </w:p>
    <w:p>
      <w:pPr>
        <w:spacing w:line="440" w:lineRule="exact"/>
        <w:ind w:firstLine="440" w:firstLineChars="200"/>
        <w:rPr>
          <w:color w:val="auto"/>
          <w:sz w:val="22"/>
          <w:szCs w:val="22"/>
          <w:highlight w:val="none"/>
        </w:rPr>
      </w:pPr>
      <w:r>
        <w:rPr>
          <w:rFonts w:hint="eastAsia"/>
          <w:color w:val="auto"/>
          <w:sz w:val="22"/>
          <w:szCs w:val="22"/>
          <w:highlight w:val="none"/>
        </w:rPr>
        <w:t>2、垃圾清运作业车辆必须按规定办理好各种运行手续，严禁无证无照行驶做业，严格遵守道路交通法规、行业操作及安全规程，确保交通和人身安全。</w:t>
      </w:r>
    </w:p>
    <w:p>
      <w:pPr>
        <w:spacing w:line="440" w:lineRule="exact"/>
        <w:ind w:firstLine="440" w:firstLineChars="200"/>
        <w:rPr>
          <w:color w:val="auto"/>
          <w:sz w:val="22"/>
          <w:szCs w:val="22"/>
          <w:highlight w:val="none"/>
        </w:rPr>
      </w:pPr>
      <w:r>
        <w:rPr>
          <w:rFonts w:hint="eastAsia"/>
          <w:color w:val="auto"/>
          <w:sz w:val="22"/>
          <w:szCs w:val="22"/>
          <w:highlight w:val="none"/>
        </w:rPr>
        <w:t>3、垃圾清运车作业，按规定做好日常清运、清洗、保养和维修工作，不得私自外借，不得移做它用，确保完成垃圾清运工作。</w:t>
      </w:r>
    </w:p>
    <w:p>
      <w:pPr>
        <w:spacing w:line="440" w:lineRule="exact"/>
        <w:ind w:firstLine="440" w:firstLineChars="200"/>
        <w:rPr>
          <w:color w:val="auto"/>
          <w:sz w:val="22"/>
          <w:szCs w:val="22"/>
          <w:highlight w:val="none"/>
        </w:rPr>
      </w:pPr>
      <w:r>
        <w:rPr>
          <w:rFonts w:hint="eastAsia"/>
          <w:color w:val="auto"/>
          <w:sz w:val="22"/>
          <w:szCs w:val="22"/>
          <w:highlight w:val="none"/>
        </w:rPr>
        <w:t>4、垃圾清运车必须按照采购人的要求做到车辆标志清晰。垃圾装运量应以车辆的核定载荷和有效容积为限，不得超重，超高运输（不得超过车辆箱体）。车体外无拖挂物、散落物。车兜箱须有覆盖物，做到行驶中垃圾无滴洒、无散落。</w:t>
      </w:r>
    </w:p>
    <w:p>
      <w:pPr>
        <w:spacing w:line="440" w:lineRule="exact"/>
        <w:ind w:firstLine="440" w:firstLineChars="200"/>
        <w:rPr>
          <w:color w:val="auto"/>
          <w:sz w:val="22"/>
          <w:szCs w:val="22"/>
          <w:highlight w:val="none"/>
        </w:rPr>
      </w:pPr>
      <w:r>
        <w:rPr>
          <w:rFonts w:hint="eastAsia"/>
          <w:color w:val="auto"/>
          <w:sz w:val="22"/>
          <w:szCs w:val="22"/>
          <w:highlight w:val="none"/>
        </w:rPr>
        <w:t>5、垃圾清运必须按指定的中转站或垃圾地埋场进行处理，不得乱倒垃圾、不准中途倒掉，不得焚烧垃圾，</w:t>
      </w:r>
      <w:r>
        <w:rPr>
          <w:color w:val="auto"/>
          <w:sz w:val="22"/>
          <w:szCs w:val="22"/>
          <w:highlight w:val="none"/>
        </w:rPr>
        <w:t>垃圾中转站内垃圾桶需按照垃圾分类要求分类摆放</w:t>
      </w:r>
      <w:r>
        <w:rPr>
          <w:rFonts w:hint="eastAsia"/>
          <w:color w:val="auto"/>
          <w:sz w:val="22"/>
          <w:szCs w:val="22"/>
          <w:highlight w:val="none"/>
        </w:rPr>
        <w:t>，分</w:t>
      </w:r>
      <w:r>
        <w:rPr>
          <w:color w:val="auto"/>
          <w:sz w:val="22"/>
          <w:szCs w:val="22"/>
          <w:highlight w:val="none"/>
        </w:rPr>
        <w:t>类收运。</w:t>
      </w:r>
    </w:p>
    <w:p>
      <w:pPr>
        <w:spacing w:line="440" w:lineRule="exact"/>
        <w:ind w:firstLine="440" w:firstLineChars="200"/>
        <w:rPr>
          <w:color w:val="auto"/>
          <w:sz w:val="22"/>
          <w:szCs w:val="22"/>
          <w:highlight w:val="none"/>
        </w:rPr>
      </w:pPr>
      <w:r>
        <w:rPr>
          <w:rFonts w:hint="eastAsia"/>
          <w:color w:val="auto"/>
          <w:sz w:val="22"/>
          <w:szCs w:val="22"/>
          <w:highlight w:val="none"/>
        </w:rPr>
        <w:t>6、中标人须按照宁波市人民政府关于生活垃圾分类实施要求，以“减量化、资源化、无害化”为目标对辖区内收运</w:t>
      </w:r>
      <w:r>
        <w:rPr>
          <w:color w:val="auto"/>
          <w:sz w:val="22"/>
          <w:szCs w:val="22"/>
          <w:highlight w:val="none"/>
        </w:rPr>
        <w:t>的</w:t>
      </w:r>
      <w:r>
        <w:rPr>
          <w:rFonts w:hint="eastAsia"/>
          <w:color w:val="auto"/>
          <w:sz w:val="22"/>
          <w:szCs w:val="22"/>
          <w:highlight w:val="none"/>
        </w:rPr>
        <w:t>垃圾</w:t>
      </w:r>
      <w:r>
        <w:rPr>
          <w:color w:val="auto"/>
          <w:sz w:val="22"/>
          <w:szCs w:val="22"/>
          <w:highlight w:val="none"/>
        </w:rPr>
        <w:t>进行二次分拣处理</w:t>
      </w:r>
      <w:r>
        <w:rPr>
          <w:rFonts w:hint="eastAsia"/>
          <w:color w:val="auto"/>
          <w:sz w:val="22"/>
          <w:szCs w:val="22"/>
          <w:highlight w:val="none"/>
        </w:rPr>
        <w:t>，切实做好垃圾分类工作。</w:t>
      </w:r>
    </w:p>
    <w:p>
      <w:pPr>
        <w:spacing w:line="440" w:lineRule="exact"/>
        <w:ind w:firstLine="442" w:firstLineChars="200"/>
        <w:rPr>
          <w:b/>
          <w:color w:val="auto"/>
          <w:sz w:val="22"/>
          <w:szCs w:val="22"/>
          <w:highlight w:val="none"/>
        </w:rPr>
      </w:pPr>
      <w:r>
        <w:rPr>
          <w:rFonts w:hint="eastAsia"/>
          <w:b/>
          <w:color w:val="auto"/>
          <w:sz w:val="22"/>
          <w:szCs w:val="22"/>
          <w:highlight w:val="none"/>
        </w:rPr>
        <w:t>（6）、乱倾倒清运</w:t>
      </w:r>
      <w:r>
        <w:rPr>
          <w:b/>
          <w:color w:val="auto"/>
          <w:sz w:val="22"/>
          <w:szCs w:val="22"/>
          <w:highlight w:val="none"/>
        </w:rPr>
        <w:t>服务</w:t>
      </w:r>
      <w:r>
        <w:rPr>
          <w:rFonts w:hint="eastAsia"/>
          <w:b/>
          <w:color w:val="auto"/>
          <w:sz w:val="22"/>
          <w:szCs w:val="22"/>
          <w:highlight w:val="none"/>
        </w:rPr>
        <w:t>作业标准</w:t>
      </w:r>
    </w:p>
    <w:p>
      <w:pPr>
        <w:spacing w:line="440" w:lineRule="exact"/>
        <w:ind w:firstLine="440" w:firstLineChars="200"/>
        <w:rPr>
          <w:color w:val="auto"/>
          <w:sz w:val="22"/>
          <w:szCs w:val="22"/>
          <w:highlight w:val="none"/>
        </w:rPr>
      </w:pPr>
      <w:r>
        <w:rPr>
          <w:rFonts w:hint="eastAsia"/>
          <w:color w:val="auto"/>
          <w:sz w:val="22"/>
          <w:szCs w:val="22"/>
          <w:highlight w:val="none"/>
        </w:rPr>
        <w:t>清运服务范围</w:t>
      </w:r>
    </w:p>
    <w:p>
      <w:pPr>
        <w:spacing w:line="440" w:lineRule="exact"/>
        <w:ind w:firstLine="440" w:firstLineChars="200"/>
        <w:rPr>
          <w:color w:val="auto"/>
          <w:sz w:val="22"/>
          <w:szCs w:val="22"/>
          <w:highlight w:val="none"/>
        </w:rPr>
      </w:pPr>
      <w:r>
        <w:rPr>
          <w:rFonts w:hint="eastAsia"/>
          <w:color w:val="auto"/>
          <w:sz w:val="22"/>
          <w:szCs w:val="22"/>
          <w:highlight w:val="none"/>
        </w:rPr>
        <w:t>1、清运服务范围包括采购人通知的乱倾倒的建筑垃圾（渣土、工程泥浆，装修垃圾、拆迁垃圾）、丢弃的旧家具等，清洗因此造成的污染路面，并且完成城管环卫类案件的统一处置（即在规定时间内及时处置并上报）。中标人也需组织巡逻力量，自己排查发现偷倒行为及时处置。</w:t>
      </w:r>
    </w:p>
    <w:p>
      <w:pPr>
        <w:spacing w:line="440" w:lineRule="exact"/>
        <w:ind w:firstLine="440" w:firstLineChars="200"/>
        <w:rPr>
          <w:color w:val="auto"/>
          <w:sz w:val="22"/>
          <w:szCs w:val="22"/>
          <w:highlight w:val="none"/>
        </w:rPr>
      </w:pPr>
      <w:r>
        <w:rPr>
          <w:rFonts w:hint="eastAsia"/>
          <w:color w:val="auto"/>
          <w:sz w:val="22"/>
          <w:szCs w:val="22"/>
          <w:highlight w:val="none"/>
        </w:rPr>
        <w:t>2、城管环卫类案件具体包括两方面：一是指投诉类案件；二是指中标人派出的工作人员巡查并发现的环卫类案件。</w:t>
      </w:r>
    </w:p>
    <w:p>
      <w:pPr>
        <w:spacing w:line="440" w:lineRule="exact"/>
        <w:ind w:firstLine="440" w:firstLineChars="200"/>
        <w:rPr>
          <w:color w:val="auto"/>
          <w:sz w:val="22"/>
          <w:szCs w:val="22"/>
          <w:highlight w:val="none"/>
        </w:rPr>
      </w:pPr>
      <w:r>
        <w:rPr>
          <w:rFonts w:hint="eastAsia"/>
          <w:color w:val="auto"/>
          <w:sz w:val="22"/>
          <w:szCs w:val="22"/>
          <w:highlight w:val="none"/>
        </w:rPr>
        <w:t>3、中标人须安排2个人直接与采购人对接，其中一人具体负责对城管环卫类投诉案件信息处置、沟通协调以及现场管理相关工作，另一人具体负责清运道路上的日常巡查工作，对乱倾倒及城管环卫类案件做到自我发现及时处理</w:t>
      </w:r>
      <w:r>
        <w:rPr>
          <w:color w:val="auto"/>
          <w:sz w:val="22"/>
          <w:szCs w:val="22"/>
          <w:highlight w:val="none"/>
        </w:rPr>
        <w:t>。</w:t>
      </w:r>
    </w:p>
    <w:p>
      <w:pPr>
        <w:spacing w:line="440" w:lineRule="exact"/>
        <w:ind w:firstLine="440" w:firstLineChars="200"/>
        <w:rPr>
          <w:color w:val="auto"/>
          <w:sz w:val="22"/>
          <w:szCs w:val="22"/>
          <w:highlight w:val="none"/>
        </w:rPr>
      </w:pPr>
      <w:r>
        <w:rPr>
          <w:rFonts w:hint="eastAsia"/>
          <w:color w:val="auto"/>
          <w:sz w:val="22"/>
          <w:szCs w:val="22"/>
          <w:highlight w:val="none"/>
        </w:rPr>
        <w:t>4、制止倾倒行为，配合执法，做好垃圾分类工作。</w:t>
      </w:r>
    </w:p>
    <w:p>
      <w:pPr>
        <w:spacing w:line="440" w:lineRule="exact"/>
        <w:ind w:firstLine="440" w:firstLineChars="200"/>
        <w:rPr>
          <w:color w:val="auto"/>
          <w:sz w:val="22"/>
          <w:szCs w:val="22"/>
          <w:highlight w:val="none"/>
        </w:rPr>
      </w:pPr>
      <w:r>
        <w:rPr>
          <w:rFonts w:hint="eastAsia"/>
          <w:color w:val="auto"/>
          <w:sz w:val="22"/>
          <w:szCs w:val="22"/>
          <w:highlight w:val="none"/>
        </w:rPr>
        <w:t>作业</w:t>
      </w:r>
      <w:r>
        <w:rPr>
          <w:color w:val="auto"/>
          <w:sz w:val="22"/>
          <w:szCs w:val="22"/>
          <w:highlight w:val="none"/>
        </w:rPr>
        <w:t>时间要求</w:t>
      </w:r>
    </w:p>
    <w:p>
      <w:pPr>
        <w:spacing w:line="440" w:lineRule="exact"/>
        <w:ind w:firstLine="440" w:firstLineChars="200"/>
        <w:rPr>
          <w:color w:val="auto"/>
          <w:sz w:val="22"/>
          <w:szCs w:val="22"/>
          <w:highlight w:val="none"/>
        </w:rPr>
      </w:pPr>
      <w:r>
        <w:rPr>
          <w:rFonts w:hint="eastAsia"/>
          <w:color w:val="auto"/>
          <w:sz w:val="22"/>
          <w:szCs w:val="22"/>
          <w:highlight w:val="none"/>
        </w:rPr>
        <w:t>中标人应接到采购人垃圾清运通知后半小时内（交通高峰期除外）到达现场按处置类别和处置时限（详见下表）完成清理任务，并2小时内对照结案规范以照片+文字形式书面回复清理结果。</w:t>
      </w:r>
    </w:p>
    <w:p>
      <w:pPr>
        <w:spacing w:line="360" w:lineRule="auto"/>
        <w:jc w:val="center"/>
        <w:rPr>
          <w:rFonts w:cs="宋体"/>
          <w:color w:val="auto"/>
          <w:kern w:val="0"/>
          <w:sz w:val="22"/>
          <w:szCs w:val="22"/>
          <w:highlight w:val="none"/>
        </w:rPr>
      </w:pPr>
      <w:r>
        <w:rPr>
          <w:rFonts w:hint="eastAsia" w:cs="宋体"/>
          <w:color w:val="auto"/>
          <w:kern w:val="0"/>
          <w:sz w:val="22"/>
          <w:szCs w:val="22"/>
          <w:highlight w:val="none"/>
        </w:rPr>
        <w:t>结案规范</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4343"/>
        <w:gridCol w:w="1929"/>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noWrap w:val="0"/>
            <w:vAlign w:val="center"/>
          </w:tcPr>
          <w:p>
            <w:pPr>
              <w:jc w:val="center"/>
              <w:rPr>
                <w:rFonts w:cs="宋体"/>
                <w:b/>
                <w:color w:val="auto"/>
                <w:kern w:val="0"/>
                <w:sz w:val="22"/>
                <w:szCs w:val="22"/>
                <w:highlight w:val="none"/>
              </w:rPr>
            </w:pPr>
            <w:r>
              <w:rPr>
                <w:rFonts w:hint="eastAsia" w:cs="宋体"/>
                <w:b/>
                <w:color w:val="auto"/>
                <w:kern w:val="0"/>
                <w:sz w:val="22"/>
                <w:szCs w:val="22"/>
                <w:highlight w:val="none"/>
              </w:rPr>
              <w:t>处置类别</w:t>
            </w:r>
          </w:p>
        </w:tc>
        <w:tc>
          <w:tcPr>
            <w:tcW w:w="2244" w:type="pct"/>
            <w:noWrap w:val="0"/>
            <w:vAlign w:val="center"/>
          </w:tcPr>
          <w:p>
            <w:pPr>
              <w:jc w:val="center"/>
              <w:rPr>
                <w:rFonts w:cs="宋体"/>
                <w:b/>
                <w:color w:val="auto"/>
                <w:kern w:val="0"/>
                <w:sz w:val="22"/>
                <w:szCs w:val="22"/>
                <w:highlight w:val="none"/>
              </w:rPr>
            </w:pPr>
            <w:r>
              <w:rPr>
                <w:rFonts w:hint="eastAsia" w:cs="宋体"/>
                <w:b/>
                <w:color w:val="auto"/>
                <w:kern w:val="0"/>
                <w:sz w:val="22"/>
                <w:szCs w:val="22"/>
                <w:highlight w:val="none"/>
              </w:rPr>
              <w:t>立案规范</w:t>
            </w:r>
          </w:p>
        </w:tc>
        <w:tc>
          <w:tcPr>
            <w:tcW w:w="997" w:type="pct"/>
            <w:noWrap w:val="0"/>
            <w:vAlign w:val="center"/>
          </w:tcPr>
          <w:p>
            <w:pPr>
              <w:jc w:val="center"/>
              <w:rPr>
                <w:rFonts w:cs="宋体"/>
                <w:b/>
                <w:color w:val="auto"/>
                <w:kern w:val="0"/>
                <w:sz w:val="22"/>
                <w:szCs w:val="22"/>
                <w:highlight w:val="none"/>
              </w:rPr>
            </w:pPr>
            <w:r>
              <w:rPr>
                <w:rFonts w:hint="eastAsia" w:cs="宋体"/>
                <w:b/>
                <w:color w:val="auto"/>
                <w:kern w:val="0"/>
                <w:sz w:val="22"/>
                <w:szCs w:val="22"/>
                <w:highlight w:val="none"/>
              </w:rPr>
              <w:t>处置时限（小时）</w:t>
            </w:r>
          </w:p>
        </w:tc>
        <w:tc>
          <w:tcPr>
            <w:tcW w:w="698" w:type="pct"/>
            <w:noWrap w:val="0"/>
            <w:vAlign w:val="center"/>
          </w:tcPr>
          <w:p>
            <w:pPr>
              <w:jc w:val="center"/>
              <w:rPr>
                <w:rFonts w:cs="宋体"/>
                <w:b/>
                <w:color w:val="auto"/>
                <w:kern w:val="0"/>
                <w:sz w:val="22"/>
                <w:szCs w:val="22"/>
                <w:highlight w:val="none"/>
              </w:rPr>
            </w:pPr>
            <w:r>
              <w:rPr>
                <w:rFonts w:hint="eastAsia" w:cs="宋体"/>
                <w:b/>
                <w:color w:val="auto"/>
                <w:kern w:val="0"/>
                <w:sz w:val="22"/>
                <w:szCs w:val="22"/>
                <w:highlight w:val="none"/>
              </w:rPr>
              <w:t>结案规范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建筑垃圾</w:t>
            </w:r>
          </w:p>
        </w:tc>
        <w:tc>
          <w:tcPr>
            <w:tcW w:w="2244" w:type="pct"/>
            <w:noWrap w:val="0"/>
            <w:vAlign w:val="center"/>
          </w:tcPr>
          <w:p>
            <w:pPr>
              <w:rPr>
                <w:rFonts w:cs="宋体"/>
                <w:color w:val="auto"/>
                <w:kern w:val="0"/>
                <w:sz w:val="22"/>
                <w:szCs w:val="22"/>
                <w:highlight w:val="none"/>
              </w:rPr>
            </w:pPr>
            <w:r>
              <w:rPr>
                <w:rFonts w:hint="eastAsia" w:cs="宋体"/>
                <w:color w:val="auto"/>
                <w:kern w:val="0"/>
                <w:sz w:val="22"/>
                <w:szCs w:val="22"/>
                <w:highlight w:val="none"/>
              </w:rPr>
              <w:t>超过临时堆放时限的建筑垃圾及堆积的渣土（含覆盖部分生活垃圾的）</w:t>
            </w:r>
          </w:p>
        </w:tc>
        <w:tc>
          <w:tcPr>
            <w:tcW w:w="997" w:type="pct"/>
            <w:noWrap w:val="0"/>
            <w:vAlign w:val="center"/>
          </w:tcPr>
          <w:p>
            <w:pPr>
              <w:jc w:val="center"/>
              <w:rPr>
                <w:rFonts w:cs="宋体"/>
                <w:color w:val="auto"/>
                <w:kern w:val="0"/>
                <w:sz w:val="22"/>
                <w:szCs w:val="22"/>
                <w:highlight w:val="none"/>
              </w:rPr>
            </w:pPr>
            <w:r>
              <w:rPr>
                <w:rFonts w:cs="宋体"/>
                <w:color w:val="auto"/>
                <w:kern w:val="0"/>
                <w:sz w:val="22"/>
                <w:szCs w:val="22"/>
                <w:highlight w:val="none"/>
              </w:rPr>
              <w:t>2</w:t>
            </w:r>
          </w:p>
        </w:tc>
        <w:tc>
          <w:tcPr>
            <w:tcW w:w="698"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丢弃的旧家具</w:t>
            </w:r>
          </w:p>
        </w:tc>
        <w:tc>
          <w:tcPr>
            <w:tcW w:w="2244" w:type="pct"/>
            <w:noWrap w:val="0"/>
            <w:vAlign w:val="center"/>
          </w:tcPr>
          <w:p>
            <w:pPr>
              <w:rPr>
                <w:rFonts w:cs="宋体"/>
                <w:color w:val="auto"/>
                <w:kern w:val="0"/>
                <w:sz w:val="22"/>
                <w:szCs w:val="22"/>
                <w:highlight w:val="none"/>
              </w:rPr>
            </w:pPr>
            <w:r>
              <w:rPr>
                <w:rFonts w:hint="eastAsia" w:cs="宋体"/>
                <w:color w:val="auto"/>
                <w:kern w:val="0"/>
                <w:sz w:val="22"/>
                <w:szCs w:val="22"/>
                <w:highlight w:val="none"/>
              </w:rPr>
              <w:t>施工后未及时清运的建筑垃圾、工程渣土等废弃料</w:t>
            </w:r>
          </w:p>
        </w:tc>
        <w:tc>
          <w:tcPr>
            <w:tcW w:w="997" w:type="pct"/>
            <w:noWrap w:val="0"/>
            <w:vAlign w:val="center"/>
          </w:tcPr>
          <w:p>
            <w:pPr>
              <w:jc w:val="center"/>
              <w:rPr>
                <w:rFonts w:cs="宋体"/>
                <w:color w:val="auto"/>
                <w:kern w:val="0"/>
                <w:sz w:val="22"/>
                <w:szCs w:val="22"/>
                <w:highlight w:val="none"/>
              </w:rPr>
            </w:pPr>
            <w:r>
              <w:rPr>
                <w:rFonts w:cs="宋体"/>
                <w:color w:val="auto"/>
                <w:kern w:val="0"/>
                <w:sz w:val="22"/>
                <w:szCs w:val="22"/>
                <w:highlight w:val="none"/>
              </w:rPr>
              <w:t>2</w:t>
            </w:r>
          </w:p>
        </w:tc>
        <w:tc>
          <w:tcPr>
            <w:tcW w:w="698"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工业垃圾及废料</w:t>
            </w:r>
          </w:p>
        </w:tc>
        <w:tc>
          <w:tcPr>
            <w:tcW w:w="2244" w:type="pct"/>
            <w:noWrap w:val="0"/>
            <w:vAlign w:val="center"/>
          </w:tcPr>
          <w:p>
            <w:pPr>
              <w:rPr>
                <w:rFonts w:cs="宋体"/>
                <w:color w:val="auto"/>
                <w:kern w:val="0"/>
                <w:sz w:val="22"/>
                <w:szCs w:val="22"/>
                <w:highlight w:val="none"/>
              </w:rPr>
            </w:pPr>
            <w:r>
              <w:rPr>
                <w:rFonts w:hint="eastAsia" w:cs="宋体"/>
                <w:color w:val="auto"/>
                <w:kern w:val="0"/>
                <w:sz w:val="22"/>
                <w:szCs w:val="22"/>
                <w:highlight w:val="none"/>
              </w:rPr>
              <w:t>发现企业工业垃圾及废料偷倒现象，做好清理工作，查询源头与其对接该项事宜处理方案，并做好相关资料备案登记</w:t>
            </w:r>
          </w:p>
        </w:tc>
        <w:tc>
          <w:tcPr>
            <w:tcW w:w="997" w:type="pct"/>
            <w:noWrap w:val="0"/>
            <w:vAlign w:val="center"/>
          </w:tcPr>
          <w:p>
            <w:pPr>
              <w:jc w:val="center"/>
              <w:rPr>
                <w:rFonts w:cs="宋体"/>
                <w:color w:val="auto"/>
                <w:kern w:val="0"/>
                <w:sz w:val="22"/>
                <w:szCs w:val="22"/>
                <w:highlight w:val="none"/>
              </w:rPr>
            </w:pPr>
            <w:r>
              <w:rPr>
                <w:rFonts w:cs="宋体"/>
                <w:color w:val="auto"/>
                <w:kern w:val="0"/>
                <w:sz w:val="22"/>
                <w:szCs w:val="22"/>
                <w:highlight w:val="none"/>
              </w:rPr>
              <w:t>2</w:t>
            </w:r>
          </w:p>
        </w:tc>
        <w:tc>
          <w:tcPr>
            <w:tcW w:w="698" w:type="pct"/>
            <w:noWrap w:val="0"/>
            <w:vAlign w:val="center"/>
          </w:tcPr>
          <w:p>
            <w:pPr>
              <w:jc w:val="center"/>
              <w:rPr>
                <w:rFonts w:cs="宋体"/>
                <w:color w:val="auto"/>
                <w:kern w:val="0"/>
                <w:sz w:val="22"/>
                <w:szCs w:val="22"/>
                <w:highlight w:val="none"/>
              </w:rPr>
            </w:pPr>
            <w:r>
              <w:rPr>
                <w:rFonts w:hint="eastAsia" w:cs="宋体"/>
                <w:color w:val="auto"/>
                <w:kern w:val="0"/>
                <w:sz w:val="22"/>
                <w:szCs w:val="22"/>
                <w:highlight w:val="none"/>
              </w:rPr>
              <w:t>清除</w:t>
            </w:r>
          </w:p>
        </w:tc>
      </w:tr>
    </w:tbl>
    <w:p>
      <w:pPr>
        <w:spacing w:line="440" w:lineRule="exact"/>
        <w:ind w:firstLine="442" w:firstLineChars="200"/>
        <w:rPr>
          <w:b/>
          <w:color w:val="auto"/>
          <w:sz w:val="22"/>
          <w:szCs w:val="22"/>
          <w:highlight w:val="none"/>
        </w:rPr>
      </w:pPr>
      <w:r>
        <w:rPr>
          <w:rFonts w:hint="eastAsia"/>
          <w:b/>
          <w:color w:val="auto"/>
          <w:sz w:val="22"/>
          <w:szCs w:val="22"/>
          <w:highlight w:val="none"/>
        </w:rPr>
        <w:t xml:space="preserve">（7）、绿化养护   </w:t>
      </w:r>
    </w:p>
    <w:p>
      <w:pPr>
        <w:spacing w:line="440" w:lineRule="exact"/>
        <w:ind w:firstLine="440" w:firstLineChars="200"/>
        <w:rPr>
          <w:color w:val="auto"/>
          <w:sz w:val="22"/>
          <w:szCs w:val="22"/>
          <w:highlight w:val="none"/>
        </w:rPr>
      </w:pPr>
      <w:r>
        <w:rPr>
          <w:rFonts w:hint="eastAsia"/>
          <w:color w:val="auto"/>
          <w:sz w:val="22"/>
          <w:szCs w:val="22"/>
          <w:highlight w:val="none"/>
        </w:rPr>
        <w:t>1、高标准</w:t>
      </w:r>
      <w:r>
        <w:rPr>
          <w:color w:val="auto"/>
          <w:sz w:val="22"/>
          <w:szCs w:val="22"/>
          <w:highlight w:val="none"/>
        </w:rPr>
        <w:t>绿化</w:t>
      </w:r>
      <w:r>
        <w:rPr>
          <w:rFonts w:hint="eastAsia"/>
          <w:color w:val="auto"/>
          <w:sz w:val="22"/>
          <w:szCs w:val="22"/>
          <w:highlight w:val="none"/>
        </w:rPr>
        <w:t>养护</w:t>
      </w:r>
      <w:r>
        <w:rPr>
          <w:color w:val="auto"/>
          <w:sz w:val="22"/>
          <w:szCs w:val="22"/>
          <w:highlight w:val="none"/>
        </w:rPr>
        <w:t>区域</w:t>
      </w:r>
      <w:r>
        <w:rPr>
          <w:rFonts w:hint="eastAsia"/>
          <w:color w:val="auto"/>
          <w:sz w:val="22"/>
          <w:szCs w:val="22"/>
          <w:highlight w:val="none"/>
        </w:rPr>
        <w:t>内花景、花箱草花布置养护原则按季节（四个季节）进行种植养护，保持</w:t>
      </w:r>
      <w:r>
        <w:rPr>
          <w:color w:val="auto"/>
          <w:sz w:val="22"/>
          <w:szCs w:val="22"/>
          <w:highlight w:val="none"/>
        </w:rPr>
        <w:t>草花生长良好，</w:t>
      </w:r>
      <w:r>
        <w:rPr>
          <w:rFonts w:hint="eastAsia"/>
          <w:color w:val="auto"/>
          <w:sz w:val="22"/>
          <w:szCs w:val="22"/>
          <w:highlight w:val="none"/>
        </w:rPr>
        <w:t>草花品种根据季节特点和实际情况确定，并须经采购人确认同意后方可种植，费用由中标单位自行承担。</w:t>
      </w:r>
    </w:p>
    <w:p>
      <w:pPr>
        <w:spacing w:line="440" w:lineRule="exact"/>
        <w:ind w:firstLine="440" w:firstLineChars="200"/>
        <w:rPr>
          <w:color w:val="auto"/>
          <w:sz w:val="22"/>
          <w:szCs w:val="22"/>
          <w:highlight w:val="none"/>
        </w:rPr>
      </w:pPr>
      <w:r>
        <w:rPr>
          <w:color w:val="auto"/>
          <w:sz w:val="22"/>
          <w:szCs w:val="22"/>
          <w:highlight w:val="none"/>
        </w:rPr>
        <w:t>2</w:t>
      </w:r>
      <w:r>
        <w:rPr>
          <w:rFonts w:hint="eastAsia"/>
          <w:color w:val="auto"/>
          <w:sz w:val="22"/>
          <w:szCs w:val="22"/>
          <w:highlight w:val="none"/>
        </w:rPr>
        <w:t>、绿化养护内容包含行道树秋冬季节的防冻、树木的大修剪（采购人通知进行的临时修剪）等内容。投标人在投标报价中需考虑以上内容，在合同执行期间采购人就以上内容不再另行支付任何费用。养护垃圾由中标人自行负责倾倒至指定地点，由此产生的费用由中标人自行负责。</w:t>
      </w:r>
    </w:p>
    <w:p>
      <w:pPr>
        <w:spacing w:line="440" w:lineRule="exact"/>
        <w:ind w:firstLine="440" w:firstLineChars="200"/>
        <w:rPr>
          <w:color w:val="auto"/>
          <w:sz w:val="22"/>
          <w:szCs w:val="22"/>
          <w:highlight w:val="none"/>
        </w:rPr>
      </w:pPr>
      <w:r>
        <w:rPr>
          <w:color w:val="auto"/>
          <w:sz w:val="22"/>
          <w:szCs w:val="22"/>
          <w:highlight w:val="none"/>
        </w:rPr>
        <w:t>3</w:t>
      </w:r>
      <w:r>
        <w:rPr>
          <w:rFonts w:hint="eastAsia"/>
          <w:color w:val="auto"/>
          <w:sz w:val="22"/>
          <w:szCs w:val="22"/>
          <w:highlight w:val="none"/>
        </w:rPr>
        <w:t>、绿地保洁要求：绿地每天早晨、上午、下午各清扫一次以上，每小时循环保洁一次，保持清洁干净。目视无枯枝落叶，无果皮，无饮料罐，无2厘米以上石块等垃圾和杂物；行道树因季节原因产生落叶时期应酌情增加巡回次数，或增加保洁人员。</w:t>
      </w:r>
    </w:p>
    <w:p>
      <w:pPr>
        <w:spacing w:line="440" w:lineRule="exact"/>
        <w:ind w:firstLine="440" w:firstLineChars="200"/>
        <w:rPr>
          <w:color w:val="auto"/>
          <w:sz w:val="22"/>
          <w:szCs w:val="22"/>
          <w:highlight w:val="none"/>
        </w:rPr>
      </w:pPr>
      <w:r>
        <w:rPr>
          <w:color w:val="auto"/>
          <w:sz w:val="22"/>
          <w:szCs w:val="22"/>
          <w:highlight w:val="none"/>
        </w:rPr>
        <w:t>4</w:t>
      </w:r>
      <w:r>
        <w:rPr>
          <w:rFonts w:hint="eastAsia"/>
          <w:color w:val="auto"/>
          <w:sz w:val="22"/>
          <w:szCs w:val="22"/>
          <w:highlight w:val="none"/>
        </w:rPr>
        <w:t>、清理绿化苗木、花卉、草坪的种植区域。</w:t>
      </w:r>
    </w:p>
    <w:p>
      <w:pPr>
        <w:spacing w:line="440" w:lineRule="exact"/>
        <w:ind w:firstLine="440" w:firstLineChars="200"/>
        <w:rPr>
          <w:color w:val="auto"/>
          <w:sz w:val="22"/>
          <w:szCs w:val="22"/>
          <w:highlight w:val="none"/>
        </w:rPr>
      </w:pPr>
      <w:r>
        <w:rPr>
          <w:color w:val="auto"/>
          <w:sz w:val="22"/>
          <w:szCs w:val="22"/>
          <w:highlight w:val="none"/>
        </w:rPr>
        <w:t>5</w:t>
      </w:r>
      <w:r>
        <w:rPr>
          <w:rFonts w:hint="eastAsia"/>
          <w:color w:val="auto"/>
          <w:sz w:val="22"/>
          <w:szCs w:val="22"/>
          <w:highlight w:val="none"/>
        </w:rPr>
        <w:t>、保养期内绿化苗木的修枝、草坪的修剪、除草、除虫、浇水等养护等工作。</w:t>
      </w:r>
    </w:p>
    <w:p>
      <w:pPr>
        <w:spacing w:line="440" w:lineRule="exact"/>
        <w:ind w:firstLine="440" w:firstLineChars="200"/>
        <w:rPr>
          <w:color w:val="auto"/>
          <w:sz w:val="22"/>
          <w:szCs w:val="22"/>
          <w:highlight w:val="none"/>
        </w:rPr>
      </w:pPr>
      <w:r>
        <w:rPr>
          <w:color w:val="auto"/>
          <w:sz w:val="22"/>
          <w:szCs w:val="22"/>
          <w:highlight w:val="none"/>
        </w:rPr>
        <w:t>6</w:t>
      </w:r>
      <w:r>
        <w:rPr>
          <w:rFonts w:hint="eastAsia"/>
          <w:color w:val="auto"/>
          <w:sz w:val="22"/>
          <w:szCs w:val="22"/>
          <w:highlight w:val="none"/>
        </w:rPr>
        <w:t>、配备专门管理人员加强巡视，出现问题及时解决；做好绿地植物保养，包括浇水、残叶清除、栽培、除草、修剪、伤口治愈、病虫害防治、喷保护层、扶直倾斜的植物、对种植得过低的植物进行调整，以及其他一切确保植物正常、健康生长的园艺工作。至少包含但不限于以下内容：</w:t>
      </w:r>
    </w:p>
    <w:p>
      <w:pPr>
        <w:spacing w:line="440" w:lineRule="exact"/>
        <w:ind w:firstLine="440" w:firstLineChars="200"/>
        <w:rPr>
          <w:color w:val="auto"/>
          <w:sz w:val="22"/>
          <w:szCs w:val="22"/>
          <w:highlight w:val="none"/>
        </w:rPr>
      </w:pPr>
      <w:r>
        <w:rPr>
          <w:rFonts w:hint="eastAsia" w:cs="宋体"/>
          <w:color w:val="auto"/>
          <w:sz w:val="22"/>
          <w:szCs w:val="22"/>
          <w:highlight w:val="none"/>
        </w:rPr>
        <w:t>①</w:t>
      </w:r>
      <w:r>
        <w:rPr>
          <w:rFonts w:hint="eastAsia"/>
          <w:color w:val="auto"/>
          <w:sz w:val="22"/>
          <w:szCs w:val="22"/>
          <w:highlight w:val="none"/>
        </w:rPr>
        <w:t>浇水：为确保植物良好生长，所有树木、灌木及草坪均须及时浇水；</w:t>
      </w:r>
    </w:p>
    <w:p>
      <w:pPr>
        <w:spacing w:line="440" w:lineRule="exact"/>
        <w:ind w:firstLine="440" w:firstLineChars="200"/>
        <w:rPr>
          <w:color w:val="auto"/>
          <w:sz w:val="22"/>
          <w:szCs w:val="22"/>
          <w:highlight w:val="none"/>
        </w:rPr>
      </w:pPr>
      <w:r>
        <w:rPr>
          <w:rFonts w:hint="eastAsia" w:cs="宋体"/>
          <w:color w:val="auto"/>
          <w:sz w:val="22"/>
          <w:szCs w:val="22"/>
          <w:highlight w:val="none"/>
        </w:rPr>
        <w:t>②</w:t>
      </w:r>
      <w:r>
        <w:rPr>
          <w:rFonts w:hint="eastAsia"/>
          <w:color w:val="auto"/>
          <w:sz w:val="22"/>
          <w:szCs w:val="22"/>
          <w:highlight w:val="none"/>
        </w:rPr>
        <w:t>除草：所有种植区域不能有杂草，除草后，所有在除草时被去除掉的覆盖物与土壤应重新填回；所有除掉的杂草及垃圾及时运出现场。</w:t>
      </w:r>
    </w:p>
    <w:p>
      <w:pPr>
        <w:spacing w:line="440" w:lineRule="exact"/>
        <w:ind w:firstLine="440" w:firstLineChars="200"/>
        <w:rPr>
          <w:color w:val="auto"/>
          <w:sz w:val="22"/>
          <w:szCs w:val="22"/>
          <w:highlight w:val="none"/>
        </w:rPr>
      </w:pPr>
      <w:r>
        <w:rPr>
          <w:rFonts w:hint="eastAsia" w:cs="宋体"/>
          <w:color w:val="auto"/>
          <w:sz w:val="22"/>
          <w:szCs w:val="22"/>
          <w:highlight w:val="none"/>
        </w:rPr>
        <w:t>③</w:t>
      </w:r>
      <w:r>
        <w:rPr>
          <w:rFonts w:hint="eastAsia"/>
          <w:color w:val="auto"/>
          <w:sz w:val="22"/>
          <w:szCs w:val="22"/>
          <w:highlight w:val="none"/>
        </w:rPr>
        <w:t>随时对植物及其支撑进行加固，特别是在暴雨和狂风季节。支撑加固必须使用钢制材料。</w:t>
      </w:r>
    </w:p>
    <w:p>
      <w:pPr>
        <w:spacing w:line="440" w:lineRule="exact"/>
        <w:ind w:firstLine="440" w:firstLineChars="200"/>
        <w:rPr>
          <w:color w:val="auto"/>
          <w:sz w:val="22"/>
          <w:szCs w:val="22"/>
          <w:highlight w:val="none"/>
        </w:rPr>
      </w:pPr>
      <w:r>
        <w:rPr>
          <w:rFonts w:hint="eastAsia" w:cs="宋体"/>
          <w:color w:val="auto"/>
          <w:sz w:val="22"/>
          <w:szCs w:val="22"/>
          <w:highlight w:val="none"/>
        </w:rPr>
        <w:t>④</w:t>
      </w:r>
      <w:r>
        <w:rPr>
          <w:rFonts w:hint="eastAsia"/>
          <w:color w:val="auto"/>
          <w:sz w:val="22"/>
          <w:szCs w:val="22"/>
          <w:highlight w:val="none"/>
        </w:rPr>
        <w:t xml:space="preserve">修剪：为了加速植物的繁茂长势、促进开花，在保养期内所有已枯死及损坏的枝条及枯花应被及时除去。对修剪下来的枝条等须在第一时间清理掉。 </w:t>
      </w:r>
    </w:p>
    <w:p>
      <w:pPr>
        <w:spacing w:line="440" w:lineRule="exact"/>
        <w:ind w:firstLine="440" w:firstLineChars="200"/>
        <w:rPr>
          <w:color w:val="auto"/>
          <w:sz w:val="22"/>
          <w:szCs w:val="22"/>
          <w:highlight w:val="none"/>
        </w:rPr>
      </w:pPr>
      <w:r>
        <w:rPr>
          <w:rFonts w:hint="eastAsia" w:cs="宋体"/>
          <w:color w:val="auto"/>
          <w:sz w:val="22"/>
          <w:szCs w:val="22"/>
          <w:highlight w:val="none"/>
        </w:rPr>
        <w:t>⑤</w:t>
      </w:r>
      <w:r>
        <w:rPr>
          <w:rFonts w:hint="eastAsia"/>
          <w:color w:val="auto"/>
          <w:sz w:val="22"/>
          <w:szCs w:val="22"/>
          <w:highlight w:val="none"/>
        </w:rPr>
        <w:t>抽稀：对于过份拥挤的灌木，中标人要及时减少植枝的数量，把多余的灌木挖出，并按业主及景观设计师的要求移栽到指定的地点，重新种植浇水及施肥。</w:t>
      </w:r>
    </w:p>
    <w:p>
      <w:pPr>
        <w:spacing w:line="440" w:lineRule="exact"/>
        <w:ind w:firstLine="440" w:firstLineChars="200"/>
        <w:rPr>
          <w:color w:val="auto"/>
          <w:sz w:val="22"/>
          <w:szCs w:val="22"/>
          <w:highlight w:val="none"/>
        </w:rPr>
      </w:pPr>
      <w:r>
        <w:rPr>
          <w:rFonts w:hint="eastAsia" w:cs="宋体"/>
          <w:color w:val="auto"/>
          <w:sz w:val="22"/>
          <w:szCs w:val="22"/>
          <w:highlight w:val="none"/>
        </w:rPr>
        <w:t>⑥</w:t>
      </w:r>
      <w:r>
        <w:rPr>
          <w:rFonts w:hint="eastAsia"/>
          <w:color w:val="auto"/>
          <w:sz w:val="22"/>
          <w:szCs w:val="22"/>
          <w:highlight w:val="none"/>
        </w:rPr>
        <w:t>保护涂层：所有直径大于30毫米的切口均涂以适当的保护层。</w:t>
      </w:r>
    </w:p>
    <w:p>
      <w:pPr>
        <w:spacing w:line="440" w:lineRule="exact"/>
        <w:ind w:firstLine="440" w:firstLineChars="200"/>
        <w:rPr>
          <w:color w:val="auto"/>
          <w:sz w:val="22"/>
          <w:szCs w:val="22"/>
          <w:highlight w:val="none"/>
        </w:rPr>
      </w:pPr>
      <w:r>
        <w:rPr>
          <w:rFonts w:hint="eastAsia" w:cs="宋体"/>
          <w:color w:val="auto"/>
          <w:sz w:val="22"/>
          <w:szCs w:val="22"/>
          <w:highlight w:val="none"/>
        </w:rPr>
        <w:t>⑦</w:t>
      </w:r>
      <w:r>
        <w:rPr>
          <w:rFonts w:hint="eastAsia"/>
          <w:color w:val="auto"/>
          <w:sz w:val="22"/>
          <w:szCs w:val="22"/>
          <w:highlight w:val="none"/>
        </w:rPr>
        <w:t>施肥：中标人需每年两次施用迟效氮磷钾化学肥料颗粒；第一次施肥在早春，第二次在初秋。</w:t>
      </w:r>
    </w:p>
    <w:p>
      <w:pPr>
        <w:spacing w:line="440" w:lineRule="exact"/>
        <w:ind w:firstLine="440" w:firstLineChars="200"/>
        <w:rPr>
          <w:color w:val="auto"/>
          <w:sz w:val="22"/>
          <w:szCs w:val="22"/>
          <w:highlight w:val="none"/>
        </w:rPr>
      </w:pPr>
      <w:r>
        <w:rPr>
          <w:rFonts w:hint="eastAsia" w:cs="宋体"/>
          <w:color w:val="auto"/>
          <w:sz w:val="22"/>
          <w:szCs w:val="22"/>
          <w:highlight w:val="none"/>
        </w:rPr>
        <w:t>⑧</w:t>
      </w:r>
      <w:r>
        <w:rPr>
          <w:rFonts w:hint="eastAsia"/>
          <w:color w:val="auto"/>
          <w:sz w:val="22"/>
          <w:szCs w:val="22"/>
          <w:highlight w:val="none"/>
        </w:rPr>
        <w:t>病虫害防治：中标人需随时检查所有植物是否被病、虫害及真菌所感染，发现病、虫害及真菌后，及时采取治疗措施。在使用杀虫、杀菌剂时必须十分小心，并需考虑公众的安全与便利，避免不必要的扩散；任何由于承包单位的行为疏忽而引致的公众投诉概由承包单位负责。</w:t>
      </w:r>
    </w:p>
    <w:p>
      <w:pPr>
        <w:spacing w:line="440" w:lineRule="exact"/>
        <w:ind w:firstLine="440" w:firstLineChars="200"/>
        <w:rPr>
          <w:color w:val="auto"/>
          <w:sz w:val="22"/>
          <w:szCs w:val="22"/>
          <w:highlight w:val="none"/>
        </w:rPr>
      </w:pPr>
      <w:r>
        <w:rPr>
          <w:rFonts w:hint="eastAsia" w:cs="宋体"/>
          <w:color w:val="auto"/>
          <w:sz w:val="22"/>
          <w:szCs w:val="22"/>
          <w:highlight w:val="none"/>
        </w:rPr>
        <w:t>⑨</w:t>
      </w:r>
      <w:r>
        <w:rPr>
          <w:rFonts w:hint="eastAsia"/>
          <w:color w:val="auto"/>
          <w:sz w:val="22"/>
          <w:szCs w:val="22"/>
          <w:highlight w:val="none"/>
        </w:rPr>
        <w:t>保护和维修：所有栽种植物均受到保护，防止侵袭破坏或对树木技条的损坏。</w:t>
      </w:r>
    </w:p>
    <w:p>
      <w:pPr>
        <w:spacing w:line="440" w:lineRule="exact"/>
        <w:ind w:firstLine="440" w:firstLineChars="200"/>
        <w:rPr>
          <w:color w:val="auto"/>
          <w:sz w:val="22"/>
          <w:szCs w:val="22"/>
          <w:highlight w:val="none"/>
        </w:rPr>
      </w:pPr>
      <w:r>
        <w:rPr>
          <w:color w:val="auto"/>
          <w:sz w:val="22"/>
          <w:szCs w:val="22"/>
          <w:highlight w:val="none"/>
        </w:rPr>
        <w:t>7</w:t>
      </w:r>
      <w:r>
        <w:rPr>
          <w:rFonts w:hint="eastAsia"/>
          <w:color w:val="auto"/>
          <w:sz w:val="22"/>
          <w:szCs w:val="22"/>
          <w:highlight w:val="none"/>
        </w:rPr>
        <w:t>、中标人应保证绿化养护数量无减少、无毁损，达到本项目绿地养护标准要求且植株无明显缺株、死树，乔灌木保存率达到本项目绿地养护质量标准要求及以上。所有栽种植物均受到保护，防止侵袭破坏或对树木技条的损坏。对于因种植、养护或修剪不当等原因而引起的植物枯死、枯萎或其他损坏，中标人在适合的种植时间里按原合同中指定的植物进行补种或替换，由此发生的费用由中标人承担。</w:t>
      </w:r>
    </w:p>
    <w:p>
      <w:pPr>
        <w:spacing w:line="440" w:lineRule="exact"/>
        <w:ind w:firstLine="440" w:firstLineChars="200"/>
        <w:rPr>
          <w:color w:val="auto"/>
          <w:sz w:val="22"/>
          <w:szCs w:val="22"/>
          <w:highlight w:val="none"/>
        </w:rPr>
      </w:pPr>
      <w:r>
        <w:rPr>
          <w:color w:val="auto"/>
          <w:sz w:val="22"/>
          <w:szCs w:val="22"/>
          <w:highlight w:val="none"/>
        </w:rPr>
        <w:t>8</w:t>
      </w:r>
      <w:r>
        <w:rPr>
          <w:rFonts w:hint="eastAsia"/>
          <w:color w:val="auto"/>
          <w:sz w:val="22"/>
          <w:szCs w:val="22"/>
          <w:highlight w:val="none"/>
        </w:rPr>
        <w:t>、中标人应认真实施绿化养护的工作，确保所养护绿地的绿化生长良好、绿化带内整洁，认真做好爱国卫生除“四害”等工作，因重大活动等特殊原因，中标单位应无条件配合采购人进行临时性的修剪等养护作业。主要公路巡查，要求员工进行上岗培训，做到操作规范、统一工作服上岗。</w:t>
      </w:r>
    </w:p>
    <w:p>
      <w:pPr>
        <w:spacing w:line="440" w:lineRule="exact"/>
        <w:ind w:firstLine="442" w:firstLineChars="200"/>
        <w:rPr>
          <w:b/>
          <w:color w:val="auto"/>
          <w:sz w:val="22"/>
          <w:szCs w:val="22"/>
          <w:highlight w:val="none"/>
        </w:rPr>
      </w:pPr>
      <w:r>
        <w:rPr>
          <w:rFonts w:hint="eastAsia"/>
          <w:b/>
          <w:color w:val="auto"/>
          <w:sz w:val="22"/>
          <w:szCs w:val="22"/>
          <w:highlight w:val="none"/>
        </w:rPr>
        <w:t>（</w:t>
      </w:r>
      <w:r>
        <w:rPr>
          <w:b/>
          <w:color w:val="auto"/>
          <w:sz w:val="22"/>
          <w:szCs w:val="22"/>
          <w:highlight w:val="none"/>
        </w:rPr>
        <w:t>8</w:t>
      </w:r>
      <w:r>
        <w:rPr>
          <w:rFonts w:hint="eastAsia"/>
          <w:b/>
          <w:color w:val="auto"/>
          <w:sz w:val="22"/>
          <w:szCs w:val="22"/>
          <w:highlight w:val="none"/>
        </w:rPr>
        <w:t>）、公厕管理作业标准</w:t>
      </w:r>
    </w:p>
    <w:p>
      <w:pPr>
        <w:spacing w:line="440" w:lineRule="exact"/>
        <w:ind w:firstLine="440" w:firstLineChars="200"/>
        <w:rPr>
          <w:color w:val="auto"/>
          <w:sz w:val="22"/>
          <w:szCs w:val="22"/>
          <w:highlight w:val="none"/>
        </w:rPr>
      </w:pPr>
      <w:r>
        <w:rPr>
          <w:rFonts w:hint="eastAsia"/>
          <w:color w:val="auto"/>
          <w:sz w:val="22"/>
          <w:szCs w:val="22"/>
          <w:highlight w:val="none"/>
        </w:rPr>
        <w:t>1、公厕实行每天18小时专人管理制度，严格按照开放时间做好公厕管理工作。</w:t>
      </w:r>
    </w:p>
    <w:p>
      <w:pPr>
        <w:spacing w:line="440" w:lineRule="exact"/>
        <w:ind w:firstLine="440" w:firstLineChars="200"/>
        <w:rPr>
          <w:color w:val="auto"/>
          <w:sz w:val="22"/>
          <w:szCs w:val="22"/>
          <w:highlight w:val="none"/>
        </w:rPr>
      </w:pPr>
      <w:r>
        <w:rPr>
          <w:rFonts w:hint="eastAsia"/>
          <w:color w:val="auto"/>
          <w:sz w:val="22"/>
          <w:szCs w:val="22"/>
          <w:highlight w:val="none"/>
        </w:rPr>
        <w:t>2、公厕管理人员应穿工作服，佩戴上岗证。</w:t>
      </w:r>
    </w:p>
    <w:p>
      <w:pPr>
        <w:spacing w:line="440" w:lineRule="exact"/>
        <w:ind w:firstLine="440" w:firstLineChars="200"/>
        <w:rPr>
          <w:color w:val="auto"/>
          <w:sz w:val="22"/>
          <w:szCs w:val="22"/>
          <w:highlight w:val="none"/>
        </w:rPr>
      </w:pPr>
      <w:r>
        <w:rPr>
          <w:rFonts w:hint="eastAsia"/>
          <w:color w:val="auto"/>
          <w:sz w:val="22"/>
          <w:szCs w:val="22"/>
          <w:highlight w:val="none"/>
        </w:rPr>
        <w:t>3、公厕按时开启后，应先对外环境进行保洁，公厕周边两米内应保持环境整洁，无白色垃圾，烟蒂等废弃物。及时开启窗户，保证公厕通风良好，并按时投放消毒药剂，做到及时灭菌，保证无异味。</w:t>
      </w:r>
    </w:p>
    <w:p>
      <w:pPr>
        <w:spacing w:line="440" w:lineRule="exact"/>
        <w:ind w:firstLine="440" w:firstLineChars="200"/>
        <w:rPr>
          <w:color w:val="auto"/>
          <w:sz w:val="22"/>
          <w:szCs w:val="22"/>
          <w:highlight w:val="none"/>
        </w:rPr>
      </w:pPr>
      <w:r>
        <w:rPr>
          <w:rFonts w:hint="eastAsia"/>
          <w:color w:val="auto"/>
          <w:sz w:val="22"/>
          <w:szCs w:val="22"/>
          <w:highlight w:val="none"/>
        </w:rPr>
        <w:t>4、公厕管理人员应及时打扫室内卫生，保证地面整洁，无水迹。</w:t>
      </w:r>
    </w:p>
    <w:p>
      <w:pPr>
        <w:spacing w:line="440" w:lineRule="exact"/>
        <w:ind w:firstLine="440" w:firstLineChars="200"/>
        <w:rPr>
          <w:color w:val="auto"/>
          <w:sz w:val="22"/>
          <w:szCs w:val="22"/>
          <w:highlight w:val="none"/>
        </w:rPr>
      </w:pPr>
      <w:r>
        <w:rPr>
          <w:rFonts w:hint="eastAsia"/>
          <w:color w:val="auto"/>
          <w:sz w:val="22"/>
          <w:szCs w:val="22"/>
          <w:highlight w:val="none"/>
        </w:rPr>
        <w:t>5、公厕管理人员应及时清理墙体灰尘，保证墙体从上之下无积灰，无蛛网。窗台及窗户栅栏无灰，无蛛网。</w:t>
      </w:r>
    </w:p>
    <w:p>
      <w:pPr>
        <w:spacing w:line="440" w:lineRule="exact"/>
        <w:ind w:firstLine="440" w:firstLineChars="200"/>
        <w:rPr>
          <w:color w:val="auto"/>
          <w:sz w:val="22"/>
          <w:szCs w:val="22"/>
          <w:highlight w:val="none"/>
        </w:rPr>
      </w:pPr>
      <w:r>
        <w:rPr>
          <w:rFonts w:hint="eastAsia"/>
          <w:color w:val="auto"/>
          <w:sz w:val="22"/>
          <w:szCs w:val="22"/>
          <w:highlight w:val="none"/>
        </w:rPr>
        <w:t>6、公厕管理人员及时清洗手台面，用干净抹布擦拭玻璃，保证洗手台板无污迹，玻璃镜面无水迹；洗手台下机盒无积灰。</w:t>
      </w:r>
    </w:p>
    <w:p>
      <w:pPr>
        <w:spacing w:line="440" w:lineRule="exact"/>
        <w:ind w:firstLine="440" w:firstLineChars="200"/>
        <w:rPr>
          <w:color w:val="auto"/>
          <w:sz w:val="22"/>
          <w:szCs w:val="22"/>
          <w:highlight w:val="none"/>
        </w:rPr>
      </w:pPr>
      <w:r>
        <w:rPr>
          <w:rFonts w:hint="eastAsia"/>
          <w:color w:val="auto"/>
          <w:sz w:val="22"/>
          <w:szCs w:val="22"/>
          <w:highlight w:val="none"/>
        </w:rPr>
        <w:t>7、公厕管理人员应及时对小便池坑位进行保洁。做到坑位踏板无污迹、水迹，坑位挡板无灰；坑位槽边无黄迹；小便池槽沟无黄迹，尿迹。</w:t>
      </w:r>
    </w:p>
    <w:p>
      <w:pPr>
        <w:spacing w:line="440" w:lineRule="exact"/>
        <w:ind w:firstLine="440" w:firstLineChars="200"/>
        <w:rPr>
          <w:color w:val="auto"/>
          <w:sz w:val="22"/>
          <w:szCs w:val="22"/>
          <w:highlight w:val="none"/>
        </w:rPr>
      </w:pPr>
      <w:r>
        <w:rPr>
          <w:rFonts w:hint="eastAsia"/>
          <w:color w:val="auto"/>
          <w:sz w:val="22"/>
          <w:szCs w:val="22"/>
          <w:highlight w:val="none"/>
        </w:rPr>
        <w:t>8、公厕管理人员应及时清理纸篓，保证纸篓内纸屑不超过二分之一。</w:t>
      </w:r>
    </w:p>
    <w:p>
      <w:pPr>
        <w:spacing w:line="440" w:lineRule="exact"/>
        <w:ind w:firstLine="440" w:firstLineChars="200"/>
        <w:rPr>
          <w:color w:val="auto"/>
          <w:sz w:val="22"/>
          <w:szCs w:val="22"/>
          <w:highlight w:val="none"/>
        </w:rPr>
      </w:pPr>
      <w:r>
        <w:rPr>
          <w:rFonts w:hint="eastAsia"/>
          <w:color w:val="auto"/>
          <w:sz w:val="22"/>
          <w:szCs w:val="22"/>
          <w:highlight w:val="none"/>
        </w:rPr>
        <w:t>9、拖把池内外保持洁净，无污迹。</w:t>
      </w:r>
    </w:p>
    <w:p>
      <w:pPr>
        <w:spacing w:line="440" w:lineRule="exact"/>
        <w:ind w:firstLine="440" w:firstLineChars="200"/>
        <w:rPr>
          <w:color w:val="auto"/>
          <w:sz w:val="22"/>
          <w:szCs w:val="22"/>
          <w:highlight w:val="none"/>
        </w:rPr>
      </w:pPr>
      <w:r>
        <w:rPr>
          <w:rFonts w:hint="eastAsia"/>
          <w:color w:val="auto"/>
          <w:sz w:val="22"/>
          <w:szCs w:val="22"/>
          <w:highlight w:val="none"/>
        </w:rPr>
        <w:t>10、公厕管理人员应将保洁工具放置在指定区域，严禁占用残疾人房和母婴室。</w:t>
      </w:r>
    </w:p>
    <w:p>
      <w:pPr>
        <w:spacing w:line="440" w:lineRule="exact"/>
        <w:ind w:firstLine="440" w:firstLineChars="200"/>
        <w:rPr>
          <w:color w:val="auto"/>
          <w:sz w:val="22"/>
          <w:szCs w:val="22"/>
          <w:highlight w:val="none"/>
        </w:rPr>
      </w:pPr>
      <w:r>
        <w:rPr>
          <w:rFonts w:hint="eastAsia"/>
          <w:color w:val="auto"/>
          <w:sz w:val="22"/>
          <w:szCs w:val="22"/>
          <w:highlight w:val="none"/>
        </w:rPr>
        <w:t>11、公厕管理人员的管理房应收拾整洁。除相应的生活必需品外，其他物品应收纳进相关柜子里，保证整洁无杂物。</w:t>
      </w:r>
    </w:p>
    <w:p>
      <w:pPr>
        <w:spacing w:line="440" w:lineRule="exact"/>
        <w:ind w:firstLine="440" w:firstLineChars="200"/>
        <w:rPr>
          <w:color w:val="auto"/>
          <w:sz w:val="22"/>
          <w:szCs w:val="22"/>
          <w:highlight w:val="none"/>
        </w:rPr>
      </w:pPr>
      <w:r>
        <w:rPr>
          <w:rFonts w:hint="eastAsia"/>
          <w:color w:val="auto"/>
          <w:sz w:val="22"/>
          <w:szCs w:val="22"/>
          <w:highlight w:val="none"/>
        </w:rPr>
        <w:t>12、公厕管理除日常保洁外，还需承担公厕内设施破损、遗失的修复，水电费支出等费用。</w:t>
      </w:r>
    </w:p>
    <w:p>
      <w:pPr>
        <w:spacing w:line="440" w:lineRule="exact"/>
        <w:ind w:firstLine="442" w:firstLineChars="200"/>
        <w:rPr>
          <w:b/>
          <w:color w:val="auto"/>
          <w:sz w:val="22"/>
          <w:szCs w:val="22"/>
          <w:highlight w:val="none"/>
        </w:rPr>
      </w:pPr>
      <w:r>
        <w:rPr>
          <w:rFonts w:hint="eastAsia"/>
          <w:b/>
          <w:color w:val="auto"/>
          <w:sz w:val="22"/>
          <w:szCs w:val="22"/>
          <w:highlight w:val="none"/>
        </w:rPr>
        <w:t>（</w:t>
      </w:r>
      <w:r>
        <w:rPr>
          <w:b/>
          <w:color w:val="auto"/>
          <w:sz w:val="22"/>
          <w:szCs w:val="22"/>
          <w:highlight w:val="none"/>
        </w:rPr>
        <w:t>9</w:t>
      </w:r>
      <w:r>
        <w:rPr>
          <w:rFonts w:hint="eastAsia"/>
          <w:b/>
          <w:color w:val="auto"/>
          <w:sz w:val="22"/>
          <w:szCs w:val="22"/>
          <w:highlight w:val="none"/>
        </w:rPr>
        <w:t>）、</w:t>
      </w:r>
      <w:r>
        <w:rPr>
          <w:rFonts w:hint="eastAsia"/>
          <w:b/>
          <w:color w:val="auto"/>
          <w:sz w:val="22"/>
          <w:szCs w:val="22"/>
          <w:highlight w:val="none"/>
          <w:lang w:val="en-US" w:eastAsia="zh-CN"/>
        </w:rPr>
        <w:t>秩序</w:t>
      </w:r>
      <w:r>
        <w:rPr>
          <w:rFonts w:hint="eastAsia"/>
          <w:b/>
          <w:color w:val="auto"/>
          <w:sz w:val="22"/>
          <w:szCs w:val="22"/>
          <w:highlight w:val="none"/>
          <w:lang w:val="en-US" w:eastAsia="zh-CN"/>
        </w:rPr>
        <w:t>维保</w:t>
      </w:r>
      <w:r>
        <w:rPr>
          <w:rFonts w:hint="eastAsia"/>
          <w:b/>
          <w:color w:val="auto"/>
          <w:sz w:val="22"/>
          <w:szCs w:val="22"/>
          <w:highlight w:val="none"/>
        </w:rPr>
        <w:t>管理工作</w:t>
      </w:r>
    </w:p>
    <w:p>
      <w:pPr>
        <w:spacing w:line="440" w:lineRule="exact"/>
        <w:ind w:firstLine="440" w:firstLineChars="200"/>
        <w:rPr>
          <w:color w:val="auto"/>
          <w:sz w:val="22"/>
          <w:szCs w:val="22"/>
          <w:highlight w:val="none"/>
        </w:rPr>
      </w:pPr>
      <w:r>
        <w:rPr>
          <w:rFonts w:hint="eastAsia"/>
          <w:color w:val="auto"/>
          <w:sz w:val="22"/>
          <w:szCs w:val="22"/>
          <w:highlight w:val="none"/>
        </w:rPr>
        <w:t>1、劝导、督促沿路单位、店铺和个人严格遵守“门前三包”规定，保持“三包”区域内市容环境卫生整洁有序，做到无流动无照经营（含夜宵摊），做到无出店经营、占道经营、店外作业（以雨棚滴水线为标准线）、乱泼污水、乱倒垃圾、乱悬乱挂、乱晾乱晒、乱贴乱画、乱堆乱放、乱搭乱建等脏乱差现象，同时无条件配合街道整治工作。做好灾害性天气的应急抢险、人员转移及秩序维稳工作。</w:t>
      </w:r>
    </w:p>
    <w:p>
      <w:pPr>
        <w:spacing w:line="440" w:lineRule="exact"/>
        <w:ind w:firstLine="440" w:firstLineChars="200"/>
        <w:rPr>
          <w:color w:val="auto"/>
          <w:sz w:val="22"/>
          <w:szCs w:val="22"/>
          <w:highlight w:val="none"/>
        </w:rPr>
      </w:pPr>
      <w:r>
        <w:rPr>
          <w:rFonts w:hint="eastAsia"/>
          <w:color w:val="auto"/>
          <w:sz w:val="22"/>
          <w:szCs w:val="22"/>
          <w:highlight w:val="none"/>
        </w:rPr>
        <w:t>2、沿路原则上不设摊点；特殊情况经市城市管理行政执法部门批准设立的摊点应严格遵守相关管理规定，达到文明、规范、整洁、有序。</w:t>
      </w:r>
    </w:p>
    <w:p>
      <w:pPr>
        <w:spacing w:line="440" w:lineRule="exact"/>
        <w:ind w:firstLine="440" w:firstLineChars="200"/>
        <w:rPr>
          <w:color w:val="auto"/>
          <w:sz w:val="22"/>
          <w:szCs w:val="22"/>
          <w:highlight w:val="none"/>
        </w:rPr>
      </w:pPr>
      <w:r>
        <w:rPr>
          <w:rFonts w:hint="eastAsia"/>
          <w:color w:val="auto"/>
          <w:sz w:val="22"/>
          <w:szCs w:val="22"/>
          <w:highlight w:val="none"/>
        </w:rPr>
        <w:t>3、沿路街巷保持畅通有序，各类摊点经市城市管理行政执法部门批准可以在巷内指定位置经营，不准超出巷口；无流动摊点占道经营现象。</w:t>
      </w:r>
    </w:p>
    <w:p>
      <w:pPr>
        <w:spacing w:line="440" w:lineRule="exact"/>
        <w:ind w:firstLine="440" w:firstLineChars="200"/>
        <w:rPr>
          <w:color w:val="auto"/>
          <w:sz w:val="22"/>
          <w:szCs w:val="22"/>
          <w:highlight w:val="none"/>
        </w:rPr>
      </w:pPr>
      <w:r>
        <w:rPr>
          <w:rFonts w:hint="eastAsia"/>
          <w:color w:val="auto"/>
          <w:sz w:val="22"/>
          <w:szCs w:val="22"/>
          <w:highlight w:val="none"/>
        </w:rPr>
        <w:t>4、户外广告和门头招牌按照规定标准设置，保持整洁、美观、安全；店面门前、人行道、绿化带、花坛游园无条幅、落地招牌及乱张贴、乱涂写、乱刻画现象；对破旧损坏、未批先设或不按审批要求设置灯箱、招牌、条幅、宣传点等现象能够得到及时发现、及时劝阻、及时报告。</w:t>
      </w:r>
    </w:p>
    <w:p>
      <w:pPr>
        <w:spacing w:line="440" w:lineRule="exact"/>
        <w:ind w:firstLine="440" w:firstLineChars="200"/>
        <w:rPr>
          <w:color w:val="auto"/>
          <w:sz w:val="22"/>
          <w:szCs w:val="22"/>
          <w:highlight w:val="none"/>
        </w:rPr>
      </w:pPr>
      <w:r>
        <w:rPr>
          <w:rFonts w:hint="eastAsia"/>
          <w:color w:val="auto"/>
          <w:sz w:val="22"/>
          <w:szCs w:val="22"/>
          <w:highlight w:val="none"/>
        </w:rPr>
        <w:t>5、沿路建筑物装饰装修和建筑工地施工严格遵守文明施工相关规定，设置施工围挡，按照规定处置建筑垃圾，保持市容整洁、道路畅通、文明安全；对未经批准擅自倾倒、堆放建筑垃圾，擅自开墙破路、占道施工作业、占道堆放物料以及车辆抛洒、带泥行驶等违法违章行为能够得到及时发现、及时劝阻、及时报告。</w:t>
      </w:r>
    </w:p>
    <w:p>
      <w:pPr>
        <w:spacing w:line="440" w:lineRule="exact"/>
        <w:ind w:firstLine="440" w:firstLineChars="200"/>
        <w:rPr>
          <w:color w:val="auto"/>
          <w:sz w:val="22"/>
          <w:szCs w:val="22"/>
          <w:highlight w:val="none"/>
        </w:rPr>
      </w:pPr>
      <w:r>
        <w:rPr>
          <w:rFonts w:hint="eastAsia"/>
          <w:color w:val="auto"/>
          <w:sz w:val="22"/>
          <w:szCs w:val="22"/>
          <w:highlight w:val="none"/>
        </w:rPr>
        <w:t>6、沿路音响器材噪音扰民，小锅炉烟尘扰民、焚烧垃圾及其它破坏绿化的行为能够得到及时发现、及时劝阻、及时报告。</w:t>
      </w:r>
    </w:p>
    <w:p>
      <w:pPr>
        <w:spacing w:line="440" w:lineRule="exact"/>
        <w:ind w:firstLine="440" w:firstLineChars="200"/>
        <w:rPr>
          <w:color w:val="auto"/>
          <w:sz w:val="22"/>
          <w:szCs w:val="22"/>
          <w:highlight w:val="none"/>
        </w:rPr>
      </w:pPr>
      <w:r>
        <w:rPr>
          <w:rFonts w:hint="eastAsia"/>
          <w:color w:val="auto"/>
          <w:sz w:val="22"/>
          <w:szCs w:val="22"/>
          <w:highlight w:val="none"/>
        </w:rPr>
        <w:t>7、督促检查安全、消防和秩序维护工作，配合采购人做好项目的安全防范工作。</w:t>
      </w:r>
    </w:p>
    <w:p>
      <w:pPr>
        <w:spacing w:line="440" w:lineRule="exact"/>
        <w:ind w:firstLine="440" w:firstLineChars="200"/>
        <w:rPr>
          <w:color w:val="auto"/>
          <w:sz w:val="22"/>
          <w:szCs w:val="22"/>
          <w:highlight w:val="none"/>
          <w:shd w:val="clear" w:color="auto" w:fill="FFFFFF"/>
        </w:rPr>
      </w:pPr>
      <w:r>
        <w:rPr>
          <w:rFonts w:hint="eastAsia"/>
          <w:color w:val="auto"/>
          <w:sz w:val="22"/>
          <w:szCs w:val="22"/>
          <w:highlight w:val="none"/>
        </w:rPr>
        <w:t>8、</w:t>
      </w:r>
      <w:r>
        <w:rPr>
          <w:rFonts w:hint="eastAsia" w:cs="Tahoma"/>
          <w:color w:val="auto"/>
          <w:kern w:val="0"/>
          <w:sz w:val="22"/>
          <w:szCs w:val="22"/>
          <w:highlight w:val="none"/>
        </w:rPr>
        <w:t>保安人员</w:t>
      </w:r>
      <w:r>
        <w:rPr>
          <w:color w:val="auto"/>
          <w:sz w:val="22"/>
          <w:szCs w:val="22"/>
          <w:highlight w:val="none"/>
          <w:shd w:val="clear" w:color="auto" w:fill="FFFFFF"/>
        </w:rPr>
        <w:t>统一着装，佩证上岗，文明礼貌，仪表整洁。工作时间不能迟到或早退，工作勤快、热情</w:t>
      </w:r>
      <w:r>
        <w:rPr>
          <w:rFonts w:hint="eastAsia"/>
          <w:color w:val="auto"/>
          <w:sz w:val="22"/>
          <w:szCs w:val="22"/>
          <w:highlight w:val="none"/>
          <w:shd w:val="clear" w:color="auto" w:fill="FFFFFF"/>
        </w:rPr>
        <w:t>。</w:t>
      </w:r>
    </w:p>
    <w:p>
      <w:pPr>
        <w:spacing w:line="440" w:lineRule="exact"/>
        <w:ind w:firstLine="440" w:firstLineChars="200"/>
        <w:rPr>
          <w:rFonts w:cs="Tahoma"/>
          <w:color w:val="auto"/>
          <w:kern w:val="0"/>
          <w:sz w:val="22"/>
          <w:szCs w:val="22"/>
          <w:highlight w:val="none"/>
        </w:rPr>
      </w:pPr>
      <w:r>
        <w:rPr>
          <w:rFonts w:hint="eastAsia"/>
          <w:color w:val="auto"/>
          <w:sz w:val="22"/>
          <w:szCs w:val="22"/>
          <w:highlight w:val="none"/>
          <w:shd w:val="clear" w:color="auto" w:fill="FFFFFF"/>
        </w:rPr>
        <w:t>9、负责</w:t>
      </w:r>
      <w:r>
        <w:rPr>
          <w:rFonts w:hint="eastAsia" w:cs="Tahoma"/>
          <w:color w:val="auto"/>
          <w:kern w:val="0"/>
          <w:sz w:val="22"/>
          <w:szCs w:val="22"/>
          <w:highlight w:val="none"/>
        </w:rPr>
        <w:t>引导、指挥，安全巡视工作和突发事件处理工作。</w:t>
      </w:r>
    </w:p>
    <w:p>
      <w:pPr>
        <w:spacing w:line="440" w:lineRule="exact"/>
        <w:ind w:firstLine="440" w:firstLineChars="200"/>
        <w:rPr>
          <w:rFonts w:cs="Tahoma"/>
          <w:color w:val="auto"/>
          <w:kern w:val="0"/>
          <w:sz w:val="22"/>
          <w:szCs w:val="22"/>
          <w:highlight w:val="none"/>
        </w:rPr>
      </w:pPr>
      <w:r>
        <w:rPr>
          <w:rFonts w:hint="eastAsia" w:cs="Tahoma"/>
          <w:color w:val="auto"/>
          <w:kern w:val="0"/>
          <w:sz w:val="22"/>
          <w:szCs w:val="22"/>
          <w:highlight w:val="none"/>
        </w:rPr>
        <w:t>10、除中标单位自行对管理服务人员的培训外，如有需要，需接受采购人对服务人员的集中培训。</w:t>
      </w:r>
    </w:p>
    <w:p>
      <w:pPr>
        <w:spacing w:line="440" w:lineRule="exact"/>
        <w:ind w:firstLine="440" w:firstLineChars="200"/>
        <w:rPr>
          <w:color w:val="auto"/>
          <w:sz w:val="22"/>
          <w:szCs w:val="22"/>
          <w:highlight w:val="none"/>
        </w:rPr>
      </w:pPr>
      <w:r>
        <w:rPr>
          <w:rFonts w:hint="eastAsia"/>
          <w:color w:val="auto"/>
          <w:sz w:val="22"/>
          <w:szCs w:val="22"/>
          <w:highlight w:val="none"/>
        </w:rPr>
        <w:t>11、对辖区范围内主要马路机动车乱开车现象、马路边上机动车辆违规停放进行劝阻、管制，确保机动车停放有序。</w:t>
      </w:r>
    </w:p>
    <w:p>
      <w:pPr>
        <w:spacing w:line="440" w:lineRule="exact"/>
        <w:ind w:firstLine="440" w:firstLineChars="200"/>
        <w:rPr>
          <w:color w:val="auto"/>
          <w:sz w:val="22"/>
          <w:szCs w:val="22"/>
          <w:highlight w:val="none"/>
        </w:rPr>
      </w:pPr>
      <w:r>
        <w:rPr>
          <w:rFonts w:hint="eastAsia"/>
          <w:color w:val="auto"/>
          <w:sz w:val="22"/>
          <w:szCs w:val="22"/>
          <w:highlight w:val="none"/>
        </w:rPr>
        <w:t>12、对辖区范围内重点区域（菜场、学校、商圈等）三轮车、电瓶车、共享单车的停放进行管制，确保非机动车停放有序；防范电动车盗窃。</w:t>
      </w:r>
    </w:p>
    <w:p>
      <w:pPr>
        <w:spacing w:line="440" w:lineRule="exact"/>
        <w:ind w:firstLine="440" w:firstLineChars="200"/>
        <w:rPr>
          <w:color w:val="auto"/>
          <w:sz w:val="22"/>
          <w:szCs w:val="22"/>
          <w:highlight w:val="none"/>
        </w:rPr>
      </w:pPr>
      <w:r>
        <w:rPr>
          <w:rFonts w:hint="eastAsia"/>
          <w:color w:val="auto"/>
          <w:sz w:val="22"/>
          <w:szCs w:val="22"/>
          <w:highlight w:val="none"/>
        </w:rPr>
        <w:t>13、砍伐树木、侵占绿地、在树木上订刻缠绕及其它破坏绿化的行为能够得到及时发现、及时劝阻、及时报告。</w:t>
      </w:r>
    </w:p>
    <w:p>
      <w:pPr>
        <w:spacing w:line="440" w:lineRule="exact"/>
        <w:ind w:firstLine="440" w:firstLineChars="200"/>
        <w:rPr>
          <w:color w:val="auto"/>
          <w:sz w:val="22"/>
          <w:szCs w:val="22"/>
          <w:highlight w:val="none"/>
        </w:rPr>
      </w:pPr>
      <w:r>
        <w:rPr>
          <w:rFonts w:hint="eastAsia"/>
          <w:color w:val="auto"/>
          <w:sz w:val="22"/>
          <w:szCs w:val="22"/>
          <w:highlight w:val="none"/>
        </w:rPr>
        <w:t>14、交通高峰期、重大活动期间配合交警、城管及相关部门开展工作。</w:t>
      </w:r>
    </w:p>
    <w:p>
      <w:pPr>
        <w:spacing w:line="440" w:lineRule="exact"/>
        <w:ind w:firstLine="440" w:firstLineChars="200"/>
        <w:rPr>
          <w:color w:val="auto"/>
          <w:sz w:val="22"/>
          <w:szCs w:val="22"/>
          <w:highlight w:val="none"/>
        </w:rPr>
      </w:pPr>
      <w:r>
        <w:rPr>
          <w:rFonts w:hint="eastAsia"/>
          <w:color w:val="auto"/>
          <w:sz w:val="22"/>
          <w:szCs w:val="22"/>
          <w:highlight w:val="none"/>
        </w:rPr>
        <w:t>15、中标人必须按照采购人的要求统一规范着装、巡查标志、车辆标识，不得使用城管执法专用标志。中标单位必须提供日常工作所需要的装备和车辆，并保持装备的有效性。为确保工作成效，中标人必须给予每一位人员提供一辆电瓶车和一个执法记录仪。中标单位还需提供指纹考勤记录仪，便于加强管理。</w:t>
      </w:r>
    </w:p>
    <w:p>
      <w:pPr>
        <w:spacing w:line="440" w:lineRule="exact"/>
        <w:ind w:firstLine="442" w:firstLineChars="200"/>
        <w:rPr>
          <w:rFonts w:hint="eastAsia"/>
          <w:b/>
          <w:color w:val="auto"/>
          <w:sz w:val="22"/>
          <w:szCs w:val="22"/>
          <w:highlight w:val="none"/>
        </w:rPr>
      </w:pPr>
      <w:r>
        <w:rPr>
          <w:rFonts w:hint="eastAsia"/>
          <w:b/>
          <w:color w:val="auto"/>
          <w:sz w:val="22"/>
          <w:szCs w:val="22"/>
          <w:highlight w:val="none"/>
          <w:lang w:val="en-US" w:eastAsia="zh-CN"/>
        </w:rPr>
        <w:t>二</w:t>
      </w:r>
      <w:r>
        <w:rPr>
          <w:rFonts w:hint="eastAsia"/>
          <w:b/>
          <w:color w:val="auto"/>
          <w:sz w:val="22"/>
          <w:szCs w:val="22"/>
          <w:highlight w:val="none"/>
        </w:rPr>
        <w:t>、其他</w:t>
      </w:r>
    </w:p>
    <w:p>
      <w:pPr>
        <w:spacing w:line="360" w:lineRule="auto"/>
        <w:ind w:firstLine="440" w:firstLineChars="20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 xml:space="preserve">  1、（1）农村公路台账资料整理 （2）农村公路日常巡查 （3）片区内违规施工，挖掘，占道，毁绿等情况特保必须及时发现并制止，上报街道（4）对道路巡查未及时发现问题，造成人身伤害，车辆财务损坏的，根据情节严重给予经济处罚（5）对个片区相关保洁问题，经市区二级媒体通报批评和造成群众不良反应的事情，给予经济处罚。（6）如每个月发现工作内容不到位的第一次警告，第二次罚款5000元，第三次1万元等。每个片区要明确一个项目负责人和至少一个项目负责人助理，若项目负责人工作不到位的，采购单位有权要求更换项目负责人。</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、若遇如突击检查、上级部门考核、各类创建活动等特殊情况，中标人应无条件配合采购人做好服务范围内的相关工作，服从采购人指挥，增加人员设备或加班加点不另行收费。</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、中标人必须重视安全生产工作，确保全年不出安全生产责任事故。在作业过程中如发生人员伤亡的安全生产责任事故或交通事故，由中标人承担一切责任及损失，与采购人无涉，且采购人有权终止合同。</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中标人聘用作业人员的养老、医保、失业等社保缴费必须由中标人按国家有关规定及投标承诺全额承担，与采购人无经济联系。中标人服务工作人员基本工资不得低于宁波市劳动和社会保障局最新发布的宁波市最低劳动工资标准、社保（五险）的缴费基数及缴费费率不得低于宁波市劳动和社会保障局最新公布的最低缴费基数及缴费费率，岗位津贴不得低于[甬政办发（2014）70 号]规定的 10 元/天/人、早餐费不得低于[甬城管（2015）12 号]的 7 元/天/人，否则作无效报价处理。</w:t>
      </w:r>
      <w:r>
        <w:rPr>
          <w:rFonts w:hint="eastAsia" w:ascii="宋体" w:hAnsi="宋体" w:cs="宋体"/>
          <w:b/>
          <w:bCs/>
          <w:color w:val="auto"/>
          <w:sz w:val="22"/>
          <w:szCs w:val="22"/>
          <w:highlight w:val="none"/>
        </w:rPr>
        <w:t>当每年最低工资标准出现变化时，中标人应根据实际情况对人员费用进行调整，此部分费用已包含在投标报价范围内。</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中标人须制定完整、可行、详细的工作实施方案，明确组织机构、人员配备、检测要求、质量标准、检查考核办法、安全措施、奖惩措施、应急预案等。中标人应在签订合同之日起1个月内根据上述内容向采购人提交保洁，绿化养护，管养及市容秩序辅助管理四部分工作内容的人员岗位安排及工作规范等服务内容并作为合同条款。</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投标报价必须提供报价明细表。其中人工费用中的工资、奖金、福利费、保险费、培训费、活动费、服装费及其他补贴等应分项列出，环境卫生保洁、绿化养护、管养及市容秩序辅助管理人员及工作人员的人工费用标准应严格执行相关劳动法规，若发现有违规的则作无效标处理。</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rPr>
        <w:t>、本项目服务费根据街道月度考核结果按季核拨。考核满分为100分，考核内容分为环境卫生保洁、绿化养护、管养、市容秩序辅助管理四个部分，每部分满分均为100分，各部分得分占考核分数比重为50%、10%、20%、20%。</w:t>
      </w:r>
    </w:p>
    <w:p>
      <w:pPr>
        <w:pStyle w:val="5"/>
        <w:spacing w:line="360" w:lineRule="auto"/>
        <w:rPr>
          <w:rFonts w:ascii="宋体" w:hAnsi="宋体" w:cs="宋体"/>
          <w:color w:val="auto"/>
          <w:kern w:val="2"/>
          <w:sz w:val="22"/>
          <w:szCs w:val="22"/>
          <w:highlight w:val="none"/>
        </w:rPr>
      </w:pPr>
      <w:r>
        <w:rPr>
          <w:rFonts w:hint="eastAsia" w:ascii="宋体" w:hAnsi="宋体" w:cs="宋体"/>
          <w:color w:val="auto"/>
          <w:kern w:val="2"/>
          <w:sz w:val="22"/>
          <w:szCs w:val="22"/>
          <w:highlight w:val="none"/>
          <w:lang w:val="en-US" w:eastAsia="zh-CN"/>
        </w:rPr>
        <w:t>8</w:t>
      </w:r>
      <w:r>
        <w:rPr>
          <w:rFonts w:hint="eastAsia" w:ascii="宋体" w:hAnsi="宋体" w:cs="宋体"/>
          <w:color w:val="auto"/>
          <w:kern w:val="2"/>
          <w:sz w:val="22"/>
          <w:szCs w:val="22"/>
          <w:highlight w:val="none"/>
        </w:rPr>
        <w:t>、付款与考核</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考核月得分在90分及以上的服务费全额发放；月得分在80分（含80分）—90分的服务费按每扣一分扣服务费1000元；月得分在75分（含75分）—80分的服务费按90%发放，月得分在75分以下的服务费按70%发放。每查实一次按扣分标准扣分，上不封顶。区级媒体负面曝光，领导通报批评，一次性扣2分并扣服务费15000元，市级及以上媒体负面曝光，领导通报批评，一次性扣5分并扣25000元，区级媒体正面报道，领导有批示的经验推广类的加2分，奖励10000元，市级媒体正面报道，领导有批示的经验推广类的加5分，奖励20000元。连续两个季度90分以上的增发当季度2%的应发服务费，连续三个季度90分以上的增发当季度3%的应发服务费，连续四个季度90分以上的增发当季度4%的应发服务费。按月结算，从季度拨付款中扣除。</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、采购人采用定期不定期的方式，对中标人的服务进行检查、考核评议，评议监督考评的内容为管理单位的投标承诺、管理指标、管理制度、工作制度等落实情况。</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本项目采用包干制。中标人根据有关法规与采购人签定服务管理合同，对本次服务实行管理，自主经营，自负盈亏。对合同服务项目实施服务管理所需的一切劳动力、材料、设备和服务均由中标人自行组织，由此产生的一切费用由中标人承担。</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合同期内（包含续签合同期内）服务费用不作调整。承包期内若有新增的服务工作及服务范围，原则上由采购人统一调配并以签证认可的联系单为准，价格不高于投标时的中标单价，产生的费用计入发生期间所对应的月份中。</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、中标人不得将本项目非法分包或整体转包给任何单位和个人。否则，采购人有权即刻终止合同，并要求中标人赔偿相应损失。</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、如遇道路施工等情况，道路施工期间内相应保洁养护费用从服务费中扣除不予拨付。</w:t>
      </w:r>
    </w:p>
    <w:p>
      <w:pPr>
        <w:tabs>
          <w:tab w:val="center" w:pos="4153"/>
        </w:tabs>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、若中标人违约导致合同终止，中标人需按承包总经费15%向采购人支付违约金，违约金不足弥补给采购人造成的损失的，采购人有权向中标人提出赔偿要求。</w:t>
      </w: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r>
        <w:rPr>
          <w:color w:val="auto"/>
          <w:highlight w:val="none"/>
        </w:rPr>
        <w:br w:type="page"/>
      </w:r>
    </w:p>
    <w:p>
      <w:pPr>
        <w:pStyle w:val="10"/>
        <w:rPr>
          <w:color w:val="auto"/>
          <w:highlight w:val="none"/>
        </w:rPr>
      </w:pPr>
    </w:p>
    <w:p>
      <w:pPr>
        <w:pStyle w:val="13"/>
        <w:snapToGrid w:val="0"/>
        <w:spacing w:beforeLines="0" w:afterLines="0" w:line="360" w:lineRule="auto"/>
        <w:rPr>
          <w:rFonts w:hint="eastAsia" w:hAnsi="宋体"/>
          <w:b/>
          <w:color w:val="auto"/>
          <w:sz w:val="22"/>
          <w:szCs w:val="22"/>
          <w:highlight w:val="none"/>
        </w:rPr>
      </w:pPr>
      <w:r>
        <w:rPr>
          <w:rFonts w:hint="eastAsia" w:hAnsi="宋体"/>
          <w:b/>
          <w:color w:val="auto"/>
          <w:sz w:val="22"/>
          <w:szCs w:val="22"/>
          <w:highlight w:val="none"/>
          <w:lang w:val="en-US" w:eastAsia="zh-CN"/>
        </w:rPr>
        <w:t>三</w:t>
      </w:r>
      <w:r>
        <w:rPr>
          <w:rFonts w:hint="eastAsia" w:hAnsi="宋体"/>
          <w:b/>
          <w:color w:val="auto"/>
          <w:sz w:val="22"/>
          <w:szCs w:val="22"/>
          <w:highlight w:val="none"/>
        </w:rPr>
        <w:t>、考核标准</w:t>
      </w:r>
    </w:p>
    <w:p>
      <w:pPr>
        <w:tabs>
          <w:tab w:val="center" w:pos="4153"/>
        </w:tabs>
        <w:spacing w:line="440" w:lineRule="exact"/>
        <w:rPr>
          <w:rFonts w:hint="eastAsia" w:ascii="宋体" w:hAnsi="宋体" w:cs="宋体"/>
          <w:b/>
          <w:color w:val="auto"/>
          <w:sz w:val="22"/>
          <w:szCs w:val="22"/>
          <w:highlight w:val="none"/>
        </w:rPr>
      </w:pPr>
      <w:r>
        <w:rPr>
          <w:rFonts w:hint="eastAsia" w:ascii="宋体" w:hAnsi="宋体" w:cs="宋体"/>
          <w:b/>
          <w:color w:val="auto"/>
          <w:sz w:val="22"/>
          <w:szCs w:val="22"/>
          <w:highlight w:val="none"/>
        </w:rPr>
        <w:t>1、环境卫生保洁考核评分表</w:t>
      </w:r>
    </w:p>
    <w:tbl>
      <w:tblPr>
        <w:tblStyle w:val="26"/>
        <w:tblpPr w:leftFromText="180" w:rightFromText="180" w:vertAnchor="text" w:horzAnchor="page" w:tblpX="974" w:tblpY="496"/>
        <w:tblOverlap w:val="never"/>
        <w:tblW w:w="10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58"/>
        <w:gridCol w:w="5497"/>
        <w:gridCol w:w="279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1187" w:type="dxa"/>
            <w:noWrap w:val="0"/>
            <w:vAlign w:val="center"/>
          </w:tcPr>
          <w:p>
            <w:pPr>
              <w:spacing w:line="200" w:lineRule="atLeas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  目</w:t>
            </w:r>
          </w:p>
        </w:tc>
        <w:tc>
          <w:tcPr>
            <w:tcW w:w="758" w:type="dxa"/>
            <w:noWrap w:val="0"/>
            <w:vAlign w:val="center"/>
          </w:tcPr>
          <w:p>
            <w:pPr>
              <w:spacing w:line="200" w:lineRule="atLeas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分值</w:t>
            </w:r>
          </w:p>
        </w:tc>
        <w:tc>
          <w:tcPr>
            <w:tcW w:w="5497" w:type="dxa"/>
            <w:noWrap w:val="0"/>
            <w:vAlign w:val="center"/>
          </w:tcPr>
          <w:p>
            <w:pPr>
              <w:spacing w:line="200" w:lineRule="atLeas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考   核   标   准</w:t>
            </w:r>
          </w:p>
        </w:tc>
        <w:tc>
          <w:tcPr>
            <w:tcW w:w="2799" w:type="dxa"/>
            <w:noWrap w:val="0"/>
            <w:vAlign w:val="center"/>
          </w:tcPr>
          <w:p>
            <w:pPr>
              <w:spacing w:line="200" w:lineRule="atLeas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扣分标准</w:t>
            </w:r>
          </w:p>
        </w:tc>
        <w:tc>
          <w:tcPr>
            <w:tcW w:w="466" w:type="dxa"/>
            <w:noWrap w:val="0"/>
            <w:vAlign w:val="center"/>
          </w:tcPr>
          <w:p>
            <w:pPr>
              <w:spacing w:line="200" w:lineRule="atLeas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187"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（一）</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组织工作</w:t>
            </w:r>
          </w:p>
        </w:tc>
        <w:tc>
          <w:tcPr>
            <w:tcW w:w="758"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5497" w:type="dxa"/>
            <w:noWrap w:val="0"/>
            <w:vAlign w:val="center"/>
          </w:tcPr>
          <w:p>
            <w:pPr>
              <w:adjustRightInd w:val="0"/>
              <w:snapToGrid w:val="0"/>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重视环境卫生管理、职责明确、制度落实到位、管理科巡查发现问题和群众投诉诉件及时落实完成。</w:t>
            </w:r>
          </w:p>
        </w:tc>
        <w:tc>
          <w:tcPr>
            <w:tcW w:w="2799" w:type="dxa"/>
            <w:vMerge w:val="restart"/>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未做到的每项扣1-2分</w:t>
            </w:r>
          </w:p>
        </w:tc>
        <w:tc>
          <w:tcPr>
            <w:tcW w:w="466" w:type="dxa"/>
            <w:vMerge w:val="restart"/>
            <w:noWrap w:val="0"/>
            <w:vAlign w:val="center"/>
          </w:tcPr>
          <w:p>
            <w:pPr>
              <w:spacing w:line="36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重视安全教育，每月定期召开一次安全会议。</w:t>
            </w:r>
          </w:p>
        </w:tc>
        <w:tc>
          <w:tcPr>
            <w:tcW w:w="2799" w:type="dxa"/>
            <w:vMerge w:val="continue"/>
            <w:noWrap w:val="0"/>
            <w:vAlign w:val="center"/>
          </w:tcPr>
          <w:p>
            <w:pPr>
              <w:adjustRightInd w:val="0"/>
              <w:snapToGrid w:val="0"/>
              <w:spacing w:line="360" w:lineRule="exact"/>
              <w:jc w:val="center"/>
              <w:rPr>
                <w:rFonts w:hint="eastAsia" w:ascii="宋体" w:hAnsi="宋体" w:cs="宋体"/>
                <w:color w:val="auto"/>
                <w:sz w:val="22"/>
                <w:szCs w:val="22"/>
                <w:highlight w:val="none"/>
              </w:rPr>
            </w:pPr>
          </w:p>
        </w:tc>
        <w:tc>
          <w:tcPr>
            <w:tcW w:w="466" w:type="dxa"/>
            <w:vMerge w:val="continue"/>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年度考核计划、内部考核制度、工作日记（工作人员出勤情况、雨污水井管道疏通记录、三乱填涂记录）、月度工作计划及相关台账资料上报管理科</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未做到的每项扣1分</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87"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（二）</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道路保洁垃圾亭桶果壳箱卫生与管理</w:t>
            </w:r>
          </w:p>
        </w:tc>
        <w:tc>
          <w:tcPr>
            <w:tcW w:w="758"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25</w:t>
            </w: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作业人员按规定穿工作服、安全背心、戴安全帽，严禁穿拖鞋作业，保洁车辆靠右停放。</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未做到的每项扣1分/次</w:t>
            </w:r>
          </w:p>
        </w:tc>
        <w:tc>
          <w:tcPr>
            <w:tcW w:w="466" w:type="dxa"/>
            <w:noWrap w:val="0"/>
            <w:vAlign w:val="center"/>
          </w:tcPr>
          <w:p>
            <w:pPr>
              <w:spacing w:line="36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作业人员按规定的作息时间，按时上下班，提前10分钟下班视为擅离。</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如发现擅离扣1-2分/次</w:t>
            </w:r>
          </w:p>
        </w:tc>
        <w:tc>
          <w:tcPr>
            <w:tcW w:w="466" w:type="dxa"/>
            <w:noWrap w:val="0"/>
            <w:vAlign w:val="center"/>
          </w:tcPr>
          <w:p>
            <w:pPr>
              <w:spacing w:line="36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不随意在保洁范围内、作业途中以及垃圾中转站与人闲谈或消极怠工。</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未做到的扣0.5-1分/次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保洁作业人员应及时完成服务范围内首扫任务，然后进行巡回保洁。</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未落实每项扣0.5-1分/次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辖区范围内的步阶、树穴、人行道上无乱堆放废弃物、小堆瓦砾、乱张贴广告应及时清理、喇叭口扫进2米。垃圾桶及垃圾亭四周保持干净，无陈积垃圾、基本无蝇。</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路面要求无零星垃圾、烟蒂、纸屑、沙石，不焚烧垃圾，侧石无积泥，无陈积污水，边沟窨井无堵塞，井框四周干净。</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adjustRightInd w:val="0"/>
              <w:snapToGrid w:val="0"/>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其他道路保洁及村内空置场地视线所及之内，无垃圾无白色物，人行道无杂草。</w:t>
            </w:r>
          </w:p>
        </w:tc>
        <w:tc>
          <w:tcPr>
            <w:tcW w:w="2799" w:type="dxa"/>
            <w:noWrap w:val="0"/>
            <w:vAlign w:val="center"/>
          </w:tcPr>
          <w:p>
            <w:pPr>
              <w:adjustRightInd w:val="0"/>
              <w:snapToGrid w:val="0"/>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按时清理果壳箱内垃圾，保持果壳箱外观干净，无漫溢现象，箱内底无积水积泥，及时调换内袋，发现破损及时上报。</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87" w:type="dxa"/>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（三）</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垃圾桶管理</w:t>
            </w:r>
          </w:p>
        </w:tc>
        <w:tc>
          <w:tcPr>
            <w:tcW w:w="758" w:type="dxa"/>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发现损坏、遗失或垃圾桶不够用，应及时增补更换同等质量的垃圾桶，严禁出现垃圾堆积。</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未做到的每项扣1分/处</w:t>
            </w:r>
          </w:p>
        </w:tc>
        <w:tc>
          <w:tcPr>
            <w:tcW w:w="466" w:type="dxa"/>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187"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（四）</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公厕清洁</w:t>
            </w:r>
          </w:p>
        </w:tc>
        <w:tc>
          <w:tcPr>
            <w:tcW w:w="758"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20</w:t>
            </w: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公厕有专人保洁，日冲洗4次以上，群众满意度高，无举报投诉。</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未做到的每项扣1分/次</w:t>
            </w:r>
          </w:p>
        </w:tc>
        <w:tc>
          <w:tcPr>
            <w:tcW w:w="466" w:type="dxa"/>
            <w:vMerge w:val="restart"/>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公厕字牌、照明、排水等设施设备完好无损。自来水管子、水箱、落水管无破损、生锈、黄迹、烧破香烟洞，发现破损应及时修复或调换。</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未做到的每项扣0.5分/次</w:t>
            </w:r>
          </w:p>
        </w:tc>
        <w:tc>
          <w:tcPr>
            <w:tcW w:w="466" w:type="dxa"/>
            <w:vMerge w:val="continue"/>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公厕内外环境整洁，包括导向牌完整、无乱刻画、门窗四壁无蛛网积灰，地面无积水、便池无尿迹痰迹、沟槽无黄迹堵塞、倒粪口无明显污迹、便池无漫溢、基本无蝇、无恶臭。</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未做到的每项扣0.5分/次</w:t>
            </w:r>
          </w:p>
        </w:tc>
        <w:tc>
          <w:tcPr>
            <w:tcW w:w="466" w:type="dxa"/>
            <w:vMerge w:val="continue"/>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工具房内摆设整齐清洁，不影响公厕形象，蓄粪池要有盖。在规定消毒季节（1-11月）消毒人员按照规定每天消毒两次。</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未做到的每项扣0.5分/次</w:t>
            </w:r>
          </w:p>
        </w:tc>
        <w:tc>
          <w:tcPr>
            <w:tcW w:w="466" w:type="dxa"/>
            <w:vMerge w:val="continue"/>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87"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center"/>
          </w:tcPr>
          <w:p>
            <w:pPr>
              <w:spacing w:line="400" w:lineRule="exact"/>
              <w:jc w:val="center"/>
              <w:rPr>
                <w:rFonts w:hint="eastAsia" w:ascii="宋体" w:hAnsi="宋体" w:cs="宋体"/>
                <w:color w:val="auto"/>
                <w:sz w:val="22"/>
                <w:szCs w:val="22"/>
                <w:highlight w:val="none"/>
              </w:rPr>
            </w:pP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保持公厕周边两米内环境整洁，无白色垃圾，烟蒂等废弃物。</w:t>
            </w:r>
          </w:p>
        </w:tc>
        <w:tc>
          <w:tcPr>
            <w:tcW w:w="2799" w:type="dxa"/>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未做到的每项扣0.5分/次</w:t>
            </w:r>
          </w:p>
        </w:tc>
        <w:tc>
          <w:tcPr>
            <w:tcW w:w="466" w:type="dxa"/>
            <w:vMerge w:val="continue"/>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87" w:type="dxa"/>
            <w:vMerge w:val="restart"/>
            <w:noWrap w:val="0"/>
            <w:vAlign w:val="center"/>
          </w:tcPr>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（五）</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雨污水井、管道管理</w:t>
            </w:r>
          </w:p>
        </w:tc>
        <w:tc>
          <w:tcPr>
            <w:tcW w:w="758" w:type="dxa"/>
            <w:vMerge w:val="restart"/>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5497" w:type="dxa"/>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下水道疏通，每月需有记录。</w:t>
            </w:r>
          </w:p>
        </w:tc>
        <w:tc>
          <w:tcPr>
            <w:tcW w:w="2799" w:type="dxa"/>
            <w:vMerge w:val="restart"/>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vMerge w:val="restart"/>
            <w:noWrap w:val="0"/>
            <w:vAlign w:val="center"/>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5497" w:type="dxa"/>
            <w:noWrap w:val="0"/>
            <w:vAlign w:val="top"/>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取泥合格率不低于85%，检查井积泥不得超过5-8cm，污水井积泥不得超过5cm，管道积泥不少于相应1/5。</w:t>
            </w:r>
          </w:p>
        </w:tc>
        <w:tc>
          <w:tcPr>
            <w:tcW w:w="2799" w:type="dxa"/>
            <w:vMerge w:val="continue"/>
            <w:noWrap w:val="0"/>
            <w:vAlign w:val="center"/>
          </w:tcPr>
          <w:p>
            <w:pPr>
              <w:spacing w:line="360" w:lineRule="exact"/>
              <w:jc w:val="center"/>
              <w:rPr>
                <w:rFonts w:hint="eastAsia" w:ascii="宋体" w:hAnsi="宋体" w:cs="宋体"/>
                <w:color w:val="auto"/>
                <w:sz w:val="22"/>
                <w:szCs w:val="22"/>
                <w:highlight w:val="none"/>
              </w:rPr>
            </w:pPr>
          </w:p>
        </w:tc>
        <w:tc>
          <w:tcPr>
            <w:tcW w:w="466" w:type="dxa"/>
            <w:vMerge w:val="continue"/>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5497" w:type="dxa"/>
            <w:tcBorders>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窨雨井漫溢及时疏通，取泥后窨雨井保持周边清洁。</w:t>
            </w:r>
          </w:p>
        </w:tc>
        <w:tc>
          <w:tcPr>
            <w:tcW w:w="2799" w:type="dxa"/>
            <w:vMerge w:val="continue"/>
            <w:tcBorders>
              <w:bottom w:val="single" w:color="auto" w:sz="4" w:space="0"/>
            </w:tcBorders>
            <w:noWrap w:val="0"/>
            <w:vAlign w:val="center"/>
          </w:tcPr>
          <w:p>
            <w:pPr>
              <w:spacing w:line="360" w:lineRule="exact"/>
              <w:jc w:val="center"/>
              <w:rPr>
                <w:rFonts w:hint="eastAsia" w:ascii="宋体" w:hAnsi="宋体" w:cs="宋体"/>
                <w:color w:val="auto"/>
                <w:sz w:val="22"/>
                <w:szCs w:val="22"/>
                <w:highlight w:val="none"/>
              </w:rPr>
            </w:pPr>
          </w:p>
        </w:tc>
        <w:tc>
          <w:tcPr>
            <w:tcW w:w="466" w:type="dxa"/>
            <w:vMerge w:val="continue"/>
            <w:tcBorders>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87" w:type="dxa"/>
            <w:vMerge w:val="continue"/>
            <w:tcBorders>
              <w:bottom w:val="single" w:color="auto" w:sz="4" w:space="0"/>
            </w:tcBorders>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tcBorders>
              <w:bottom w:val="single" w:color="auto" w:sz="4" w:space="0"/>
            </w:tcBorders>
            <w:noWrap w:val="0"/>
            <w:vAlign w:val="top"/>
          </w:tcPr>
          <w:p>
            <w:pPr>
              <w:spacing w:line="400" w:lineRule="exact"/>
              <w:jc w:val="center"/>
              <w:rPr>
                <w:rFonts w:hint="eastAsia" w:ascii="宋体" w:hAnsi="宋体" w:cs="宋体"/>
                <w:color w:val="auto"/>
                <w:sz w:val="22"/>
                <w:szCs w:val="22"/>
                <w:highlight w:val="none"/>
              </w:rPr>
            </w:pPr>
          </w:p>
        </w:tc>
        <w:tc>
          <w:tcPr>
            <w:tcW w:w="5497" w:type="dxa"/>
            <w:tcBorders>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道路管道、窨井清淤考核</w:t>
            </w:r>
          </w:p>
        </w:tc>
        <w:tc>
          <w:tcPr>
            <w:tcW w:w="2799" w:type="dxa"/>
            <w:tcBorders>
              <w:bottom w:val="single" w:color="auto" w:sz="4" w:space="0"/>
            </w:tcBorders>
            <w:noWrap w:val="0"/>
            <w:vAlign w:val="center"/>
          </w:tcPr>
          <w:p>
            <w:pPr>
              <w:spacing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一年考核四次，一次考核不合格扣2分。</w:t>
            </w:r>
          </w:p>
        </w:tc>
        <w:tc>
          <w:tcPr>
            <w:tcW w:w="466" w:type="dxa"/>
            <w:tcBorders>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87" w:type="dxa"/>
            <w:noWrap w:val="0"/>
            <w:vAlign w:val="top"/>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（六）</w:t>
            </w:r>
          </w:p>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牛皮癣保洁</w:t>
            </w:r>
          </w:p>
        </w:tc>
        <w:tc>
          <w:tcPr>
            <w:tcW w:w="758" w:type="dxa"/>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5497" w:type="dxa"/>
            <w:tcBorders>
              <w:top w:val="single" w:color="auto" w:sz="4" w:space="0"/>
            </w:tcBorders>
            <w:noWrap w:val="0"/>
            <w:vAlign w:val="center"/>
          </w:tcPr>
          <w:p>
            <w:pPr>
              <w:spacing w:line="2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及时清理服务范围内（包括保洁路面两侧立面“三乱”）的所有牛皮癣、乱涂写、乱张贴等，并做到涂抹规范整洁。</w:t>
            </w:r>
          </w:p>
        </w:tc>
        <w:tc>
          <w:tcPr>
            <w:tcW w:w="2799" w:type="dxa"/>
            <w:tcBorders>
              <w:top w:val="single" w:color="auto" w:sz="4" w:space="0"/>
            </w:tcBorders>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未做到的每发现一项扣0.2-0.5分/次</w:t>
            </w:r>
          </w:p>
        </w:tc>
        <w:tc>
          <w:tcPr>
            <w:tcW w:w="466" w:type="dxa"/>
            <w:tcBorders>
              <w:top w:val="single" w:color="auto" w:sz="4" w:space="0"/>
            </w:tcBorders>
            <w:noWrap w:val="0"/>
            <w:vAlign w:val="top"/>
          </w:tcPr>
          <w:p>
            <w:pPr>
              <w:spacing w:line="28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187" w:type="dxa"/>
            <w:vMerge w:val="restart"/>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（七）</w:t>
            </w:r>
          </w:p>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环境卫生管理</w:t>
            </w:r>
          </w:p>
        </w:tc>
        <w:tc>
          <w:tcPr>
            <w:tcW w:w="758" w:type="dxa"/>
            <w:vMerge w:val="restart"/>
            <w:tcBorders>
              <w:right w:val="single" w:color="auto" w:sz="4" w:space="0"/>
            </w:tcBorders>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54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清洁卫生实行责任制，有专职的清洁人员和明确的责任范围，实行标准化保洁。</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未实行责任制的扣1分/次，无专职人员和责任范围的扣0.5分/次，为实行标准化保洁的扣0.5分/次。</w:t>
            </w:r>
          </w:p>
        </w:tc>
        <w:tc>
          <w:tcPr>
            <w:tcW w:w="466" w:type="dxa"/>
            <w:tcBorders>
              <w:top w:val="nil"/>
              <w:left w:val="single" w:color="auto" w:sz="4" w:space="0"/>
            </w:tcBorders>
            <w:noWrap w:val="0"/>
            <w:vAlign w:val="top"/>
          </w:tcPr>
          <w:p>
            <w:pPr>
              <w:spacing w:line="28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single" w:color="auto" w:sz="4" w:space="0"/>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要求保持服务范围内通道清洁，路面无零星垃圾，无积泥。垃圾停留时间不超过30分钟，清扫成堆的垃圾不得就地焚烧；保持垃圾箱外无积泥、积灰，每天清洗桶体一次，洗后摆放整齐并保持周围二米内干净。</w:t>
            </w:r>
          </w:p>
        </w:tc>
        <w:tc>
          <w:tcPr>
            <w:tcW w:w="2799" w:type="dxa"/>
            <w:tcBorders>
              <w:top w:val="single" w:color="auto" w:sz="4" w:space="0"/>
              <w:bottom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w:t>
            </w:r>
          </w:p>
        </w:tc>
        <w:tc>
          <w:tcPr>
            <w:tcW w:w="466" w:type="dxa"/>
            <w:tcBorders>
              <w:top w:val="nil"/>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tcBorders>
              <w:right w:val="single" w:color="auto" w:sz="4" w:space="0"/>
            </w:tcBorders>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环卫设施设备完善，垃圾做到日产日清。</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环卫设施设备不完善扣0.5分，出来垃圾未达到日产日清扣0.5分</w:t>
            </w:r>
          </w:p>
        </w:tc>
        <w:tc>
          <w:tcPr>
            <w:tcW w:w="466" w:type="dxa"/>
            <w:tcBorders>
              <w:top w:val="nil"/>
              <w:left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公用场地无纸屑、烟头等废弃物。</w:t>
            </w:r>
          </w:p>
        </w:tc>
        <w:tc>
          <w:tcPr>
            <w:tcW w:w="2799" w:type="dxa"/>
            <w:tcBorders>
              <w:top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未做到的扣0.2分/次</w:t>
            </w:r>
          </w:p>
        </w:tc>
        <w:tc>
          <w:tcPr>
            <w:tcW w:w="466" w:type="dxa"/>
            <w:tcBorders>
              <w:top w:val="nil"/>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nil"/>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房屋公用部位保持清洁，无乱贴乱画，无擅自占用和堆放杂物现象，楼梯扶栏、单元防盗门等要保持洁净。</w:t>
            </w:r>
          </w:p>
        </w:tc>
        <w:tc>
          <w:tcPr>
            <w:tcW w:w="2799" w:type="dxa"/>
            <w:tcBorders>
              <w:top w:val="nil"/>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未做到的每项扣0.2分/次</w:t>
            </w:r>
          </w:p>
        </w:tc>
        <w:tc>
          <w:tcPr>
            <w:tcW w:w="466" w:type="dxa"/>
            <w:tcBorders>
              <w:top w:val="nil"/>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tcBorders>
              <w:bottom w:val="single" w:color="auto" w:sz="4" w:space="0"/>
            </w:tcBorders>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nil"/>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商业网点管理有序，无乱设摊点、广告牌和乱贴乱画现象。</w:t>
            </w:r>
          </w:p>
        </w:tc>
        <w:tc>
          <w:tcPr>
            <w:tcW w:w="2799" w:type="dxa"/>
            <w:tcBorders>
              <w:top w:val="nil"/>
              <w:bottom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未做到的扣0.2分/次。</w:t>
            </w:r>
          </w:p>
        </w:tc>
        <w:tc>
          <w:tcPr>
            <w:tcW w:w="466" w:type="dxa"/>
            <w:tcBorders>
              <w:top w:val="single" w:color="auto" w:sz="4" w:space="0"/>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vMerge w:val="restart"/>
            <w:noWrap w:val="0"/>
            <w:vAlign w:val="top"/>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（八）</w:t>
            </w:r>
          </w:p>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垃圾分类</w:t>
            </w:r>
          </w:p>
        </w:tc>
        <w:tc>
          <w:tcPr>
            <w:tcW w:w="758" w:type="dxa"/>
            <w:vMerge w:val="restart"/>
            <w:tcBorders>
              <w:top w:val="single" w:color="auto" w:sz="4" w:space="0"/>
              <w:bottom w:val="single" w:color="auto" w:sz="4" w:space="0"/>
            </w:tcBorders>
            <w:noWrap w:val="0"/>
            <w:vAlign w:val="center"/>
          </w:tcPr>
          <w:p>
            <w:pPr>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5497" w:type="dxa"/>
            <w:tcBorders>
              <w:top w:val="single" w:color="auto" w:sz="4" w:space="0"/>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垃圾桶按照垃圾分类要求分类摆放，分类收运。</w:t>
            </w:r>
          </w:p>
        </w:tc>
        <w:tc>
          <w:tcPr>
            <w:tcW w:w="2799" w:type="dxa"/>
            <w:tcBorders>
              <w:top w:val="single" w:color="auto" w:sz="4" w:space="0"/>
              <w:bottom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未做到的扣0.5分/次</w:t>
            </w:r>
          </w:p>
        </w:tc>
        <w:tc>
          <w:tcPr>
            <w:tcW w:w="466" w:type="dxa"/>
            <w:tcBorders>
              <w:top w:val="single" w:color="auto" w:sz="4" w:space="0"/>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vMerge w:val="continue"/>
            <w:noWrap w:val="0"/>
            <w:vAlign w:val="top"/>
          </w:tcPr>
          <w:p>
            <w:pPr>
              <w:spacing w:line="400" w:lineRule="exact"/>
              <w:jc w:val="center"/>
              <w:rPr>
                <w:rFonts w:hint="eastAsia" w:ascii="宋体" w:hAnsi="宋体" w:cs="宋体"/>
                <w:color w:val="auto"/>
                <w:sz w:val="22"/>
                <w:szCs w:val="22"/>
                <w:highlight w:val="none"/>
              </w:rPr>
            </w:pPr>
          </w:p>
        </w:tc>
        <w:tc>
          <w:tcPr>
            <w:tcW w:w="758" w:type="dxa"/>
            <w:vMerge w:val="continue"/>
            <w:tcBorders>
              <w:top w:val="single" w:color="auto" w:sz="4" w:space="0"/>
              <w:bottom w:val="single" w:color="auto" w:sz="4" w:space="0"/>
            </w:tcBorders>
            <w:noWrap w:val="0"/>
            <w:vAlign w:val="top"/>
          </w:tcPr>
          <w:p>
            <w:pPr>
              <w:spacing w:line="400" w:lineRule="exact"/>
              <w:jc w:val="center"/>
              <w:rPr>
                <w:rFonts w:hint="eastAsia" w:ascii="宋体" w:hAnsi="宋体" w:cs="宋体"/>
                <w:color w:val="auto"/>
                <w:sz w:val="22"/>
                <w:szCs w:val="22"/>
                <w:highlight w:val="none"/>
              </w:rPr>
            </w:pPr>
          </w:p>
        </w:tc>
        <w:tc>
          <w:tcPr>
            <w:tcW w:w="5497" w:type="dxa"/>
            <w:tcBorders>
              <w:top w:val="single" w:color="auto" w:sz="4" w:space="0"/>
              <w:bottom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垃圾分拣处理，做好分类工作。</w:t>
            </w:r>
          </w:p>
        </w:tc>
        <w:tc>
          <w:tcPr>
            <w:tcW w:w="2799" w:type="dxa"/>
            <w:tcBorders>
              <w:top w:val="single" w:color="auto" w:sz="4" w:space="0"/>
              <w:bottom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未做到的扣0.5分/次</w:t>
            </w:r>
          </w:p>
        </w:tc>
        <w:tc>
          <w:tcPr>
            <w:tcW w:w="466" w:type="dxa"/>
            <w:tcBorders>
              <w:top w:val="single" w:color="auto" w:sz="4" w:space="0"/>
              <w:bottom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noWrap w:val="0"/>
            <w:vAlign w:val="top"/>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（九）</w:t>
            </w:r>
          </w:p>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应急保障</w:t>
            </w:r>
          </w:p>
        </w:tc>
        <w:tc>
          <w:tcPr>
            <w:tcW w:w="758" w:type="dxa"/>
            <w:tcBorders>
              <w:top w:val="single" w:color="auto" w:sz="4" w:space="0"/>
            </w:tcBorders>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5497" w:type="dxa"/>
            <w:tcBorders>
              <w:top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有完整、行之有效的应急预案、在应急作业过程中积极响应，落实迅速。</w:t>
            </w:r>
          </w:p>
        </w:tc>
        <w:tc>
          <w:tcPr>
            <w:tcW w:w="2799" w:type="dxa"/>
            <w:tcBorders>
              <w:top w:val="single" w:color="auto" w:sz="4" w:space="0"/>
            </w:tcBorders>
            <w:noWrap w:val="0"/>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未做到的扣0.5分/次</w:t>
            </w:r>
          </w:p>
        </w:tc>
        <w:tc>
          <w:tcPr>
            <w:tcW w:w="466" w:type="dxa"/>
            <w:tcBorders>
              <w:top w:val="single" w:color="auto" w:sz="4" w:space="0"/>
            </w:tcBorders>
            <w:noWrap w:val="0"/>
            <w:vAlign w:val="top"/>
          </w:tcPr>
          <w:p>
            <w:pPr>
              <w:spacing w:line="360" w:lineRule="exact"/>
              <w:jc w:val="center"/>
              <w:rPr>
                <w:rFonts w:hint="eastAsia" w:ascii="宋体" w:hAnsi="宋体" w:cs="宋体"/>
                <w:color w:val="auto"/>
                <w:sz w:val="22"/>
                <w:szCs w:val="22"/>
                <w:highlight w:val="none"/>
              </w:rPr>
            </w:pPr>
          </w:p>
        </w:tc>
      </w:tr>
    </w:tbl>
    <w:p>
      <w:pPr>
        <w:snapToGrid w:val="0"/>
        <w:spacing w:line="440" w:lineRule="exact"/>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2、绿化养护（含补种）考核评分表</w:t>
      </w:r>
    </w:p>
    <w:tbl>
      <w:tblPr>
        <w:tblStyle w:val="26"/>
        <w:tblW w:w="10257" w:type="dxa"/>
        <w:jc w:val="center"/>
        <w:tblLayout w:type="fixed"/>
        <w:tblCellMar>
          <w:top w:w="0" w:type="dxa"/>
          <w:left w:w="108" w:type="dxa"/>
          <w:bottom w:w="0" w:type="dxa"/>
          <w:right w:w="108" w:type="dxa"/>
        </w:tblCellMar>
      </w:tblPr>
      <w:tblGrid>
        <w:gridCol w:w="1010"/>
        <w:gridCol w:w="652"/>
        <w:gridCol w:w="3652"/>
        <w:gridCol w:w="3410"/>
        <w:gridCol w:w="766"/>
        <w:gridCol w:w="767"/>
      </w:tblGrid>
      <w:tr>
        <w:tblPrEx>
          <w:tblCellMar>
            <w:top w:w="0" w:type="dxa"/>
            <w:left w:w="108" w:type="dxa"/>
            <w:bottom w:w="0" w:type="dxa"/>
            <w:right w:w="108" w:type="dxa"/>
          </w:tblCellMar>
        </w:tblPrEx>
        <w:trPr>
          <w:trHeight w:val="1038" w:hRule="atLeast"/>
          <w:tblHeader/>
          <w:jc w:val="center"/>
        </w:trPr>
        <w:tc>
          <w:tcPr>
            <w:tcW w:w="101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6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c>
          <w:tcPr>
            <w:tcW w:w="36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考核标准</w:t>
            </w:r>
          </w:p>
        </w:tc>
        <w:tc>
          <w:tcPr>
            <w:tcW w:w="34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评分标准</w:t>
            </w:r>
          </w:p>
        </w:tc>
        <w:tc>
          <w:tcPr>
            <w:tcW w:w="7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得分</w:t>
            </w:r>
          </w:p>
        </w:tc>
        <w:tc>
          <w:tcPr>
            <w:tcW w:w="767" w:type="dxa"/>
            <w:tcBorders>
              <w:top w:val="single" w:color="auto" w:sz="4" w:space="0"/>
              <w:left w:val="nil"/>
              <w:bottom w:val="single" w:color="auto" w:sz="4" w:space="0"/>
              <w:right w:val="single" w:color="auto" w:sz="8"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扣分理由</w:t>
            </w:r>
          </w:p>
        </w:tc>
      </w:tr>
      <w:tr>
        <w:tblPrEx>
          <w:tblCellMar>
            <w:top w:w="0" w:type="dxa"/>
            <w:left w:w="108" w:type="dxa"/>
            <w:bottom w:w="0" w:type="dxa"/>
            <w:right w:w="108" w:type="dxa"/>
          </w:tblCellMar>
        </w:tblPrEx>
        <w:trPr>
          <w:trHeight w:val="592" w:hRule="atLeast"/>
          <w:jc w:val="center"/>
        </w:trPr>
        <w:tc>
          <w:tcPr>
            <w:tcW w:w="1010" w:type="dxa"/>
            <w:vMerge w:val="restart"/>
            <w:tcBorders>
              <w:top w:val="nil"/>
              <w:left w:val="single" w:color="auto" w:sz="8"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（一）</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行道树养护</w:t>
            </w:r>
          </w:p>
        </w:tc>
        <w:tc>
          <w:tcPr>
            <w:tcW w:w="652"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30</w:t>
            </w: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生长态势良好，无明显病枯枝，树干树枝无明显徒长枝、萌孽枝。</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明显病枯枝扣0.1分/株，明显徒长枝或萌孽枝扣0.1分/株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树木保活率在98%以上，无死株。</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缺枝口1分/株，死树未清理扣1分株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树穴杂草清理及时，无堆积杂物，主要形象地段树穴植被完整。</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有明显杂草扣0.1分/株，有堆积杂物扣0.1分/株，形象地段树穴明显漏土扣0.1分/株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新种、补种树木扶正有支撑。</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有明显倾斜树木扣0.1分/株，未支撑保护扣0.1分/株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306"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树木无明显捆绑吊晒现象。</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明显捆绑吊晒现象扣0.1分/株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0"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防台、防冻、修剪、树干涂白及时。</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处置不当，或因主观原因修剪不及时或不当，酌情扣分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restart"/>
            <w:tcBorders>
              <w:top w:val="nil"/>
              <w:left w:val="single" w:color="auto" w:sz="8"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公园绿带养护</w:t>
            </w:r>
          </w:p>
        </w:tc>
        <w:tc>
          <w:tcPr>
            <w:tcW w:w="652"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34</w:t>
            </w: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色块整齐、平直、高度控制得当，生长良好，无残缺，无死株，修剪及时，无明显杂草。</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色块不整齐、平直扣0.1分，有明显死株扣0.1分，有明显杂草扣0.1分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1167"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造型植物保持优美形态，生长旺盛，无明显残枝，无徒长枝，开花植物正常开花率80%以上。</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有明显残枝扣0.1分，有明显无徒长枝扣0.1分，因修剪不当造成开花植物开花不良、酌情扣分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草坪生长良好，高度控制适宜，无明显杂草，无明显裸地。</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有明显杂草扣0.1分/10㎡，有明显裸地扣0.1分/10㎡，发病严重，修剪不及时扣重分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0"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乔、灌木生长良好，无明显病枯枝、徒长枝，无死株。</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有明显病虫害乔木扣0.1分/株，灌木扣0.01分/株</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restart"/>
            <w:tcBorders>
              <w:top w:val="nil"/>
              <w:left w:val="single" w:color="auto" w:sz="8"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（三）</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环卫保洁</w:t>
            </w:r>
          </w:p>
          <w:p>
            <w:pPr>
              <w:widowControl/>
              <w:jc w:val="center"/>
              <w:rPr>
                <w:rFonts w:hint="eastAsia" w:ascii="宋体" w:hAnsi="宋体" w:cs="宋体"/>
                <w:color w:val="auto"/>
                <w:kern w:val="0"/>
                <w:sz w:val="22"/>
                <w:szCs w:val="22"/>
                <w:highlight w:val="none"/>
              </w:rPr>
            </w:pPr>
          </w:p>
        </w:tc>
        <w:tc>
          <w:tcPr>
            <w:tcW w:w="652"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公园、绿地、园路、广场内全日清洁，无明显纸屑、烟蒂、果壳、杂物及其它废弃物。</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发现明显垃圾一处扣0.1分，卫生死角每处扣0.5分。节假日或重大活动加倍扣分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绿地内无乱堆、乱放、乱停现象。</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发现吊挂晾晒一处抠0.1分，乱堆乱放一处扣0.5分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修剪后枝叶、垃圾应及时清运不过夜（长度不超过100米），做到不乱丢不乱抛。</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未及时清扫，发现一次扣0.5分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679" w:hRule="atLeast"/>
          <w:jc w:val="center"/>
        </w:trPr>
        <w:tc>
          <w:tcPr>
            <w:tcW w:w="1010" w:type="dxa"/>
            <w:vMerge w:val="restart"/>
            <w:tcBorders>
              <w:top w:val="nil"/>
              <w:left w:val="single" w:color="auto" w:sz="8"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（四）</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日常管理</w:t>
            </w:r>
          </w:p>
          <w:p>
            <w:pPr>
              <w:widowControl/>
              <w:jc w:val="center"/>
              <w:rPr>
                <w:rFonts w:hint="eastAsia" w:ascii="宋体" w:hAnsi="宋体" w:cs="宋体"/>
                <w:color w:val="auto"/>
                <w:kern w:val="0"/>
                <w:sz w:val="22"/>
                <w:szCs w:val="22"/>
                <w:highlight w:val="none"/>
              </w:rPr>
            </w:pPr>
          </w:p>
        </w:tc>
        <w:tc>
          <w:tcPr>
            <w:tcW w:w="652"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病虫防治:发现病虫害即使防治，使用农药合理，无药害发生。</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根据养护计划检查，发现未按计划实行一次扣0.5分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799"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施肥：按要求施肥，方法得当，不产生肥害。</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根据养护计划检查，发现未按计划实行一次扣0.5分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1454" w:hRule="atLeast"/>
          <w:jc w:val="center"/>
        </w:trPr>
        <w:tc>
          <w:tcPr>
            <w:tcW w:w="1010" w:type="dxa"/>
            <w:vMerge w:val="continue"/>
            <w:tcBorders>
              <w:left w:val="single" w:color="auto" w:sz="8"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浇灌：根据实际和养护计划，进行适期适量浇水，及时抗旱。</w:t>
            </w:r>
          </w:p>
        </w:tc>
        <w:tc>
          <w:tcPr>
            <w:tcW w:w="341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根据养护计划检查，发现一次扣0.5分。未及时浇水导致树木、绿化生长不良，树木扣0.1分/株，草坪0.2分/平方。枯死加倍</w:t>
            </w:r>
          </w:p>
        </w:tc>
        <w:tc>
          <w:tcPr>
            <w:tcW w:w="76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single" w:color="auto" w:sz="4" w:space="0"/>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0" w:type="dxa"/>
            <w:vMerge w:val="restart"/>
            <w:tcBorders>
              <w:top w:val="nil"/>
              <w:left w:val="single" w:color="auto" w:sz="8"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（五）</w:t>
            </w:r>
          </w:p>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其它</w:t>
            </w:r>
          </w:p>
        </w:tc>
        <w:tc>
          <w:tcPr>
            <w:tcW w:w="652"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3652"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每月(每周)定期提供养护管理计划，根据要求建立养护台帐，发现问题及时处理。</w:t>
            </w:r>
          </w:p>
        </w:tc>
        <w:tc>
          <w:tcPr>
            <w:tcW w:w="3410"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未及时提供一次扣0.5分，未建台帐扣0.5分</w:t>
            </w:r>
          </w:p>
        </w:tc>
        <w:tc>
          <w:tcPr>
            <w:tcW w:w="7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single" w:color="auto" w:sz="4"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920" w:hRule="atLeast"/>
          <w:jc w:val="center"/>
        </w:trPr>
        <w:tc>
          <w:tcPr>
            <w:tcW w:w="1010" w:type="dxa"/>
            <w:vMerge w:val="continue"/>
            <w:tcBorders>
              <w:left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nil"/>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遇重大活动、检查、评比涉及承包范围内，应承接突击任务。</w:t>
            </w:r>
          </w:p>
        </w:tc>
        <w:tc>
          <w:tcPr>
            <w:tcW w:w="3410" w:type="dxa"/>
            <w:tcBorders>
              <w:top w:val="nil"/>
              <w:left w:val="nil"/>
              <w:bottom w:val="nil"/>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任务完成不及时，根据表现扣分；整改不及时的，按0.5分/次扣除</w:t>
            </w:r>
          </w:p>
        </w:tc>
        <w:tc>
          <w:tcPr>
            <w:tcW w:w="766" w:type="dxa"/>
            <w:tcBorders>
              <w:top w:val="nil"/>
              <w:left w:val="nil"/>
              <w:bottom w:val="nil"/>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nil"/>
              <w:left w:val="nil"/>
              <w:bottom w:val="nil"/>
              <w:right w:val="single" w:color="auto" w:sz="8"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920" w:hRule="atLeast"/>
          <w:jc w:val="center"/>
        </w:trPr>
        <w:tc>
          <w:tcPr>
            <w:tcW w:w="1010" w:type="dxa"/>
            <w:vMerge w:val="continue"/>
            <w:tcBorders>
              <w:left w:val="single" w:color="auto" w:sz="8" w:space="0"/>
              <w:bottom w:val="single" w:color="000000"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652" w:type="dxa"/>
            <w:vMerge w:val="continue"/>
            <w:tcBorders>
              <w:left w:val="single" w:color="auto" w:sz="4" w:space="0"/>
              <w:bottom w:val="single" w:color="000000"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3652" w:type="dxa"/>
            <w:tcBorders>
              <w:top w:val="nil"/>
              <w:left w:val="nil"/>
              <w:bottom w:val="single" w:color="auto" w:sz="8" w:space="0"/>
              <w:right w:val="single" w:color="auto" w:sz="4" w:space="0"/>
            </w:tcBorders>
            <w:noWrap w:val="0"/>
            <w:vAlign w:val="center"/>
          </w:tcPr>
          <w:p>
            <w:pPr>
              <w:spacing w:line="360" w:lineRule="exact"/>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有完整、行之有效的应急预案、在应急作业过程中积极响应，落实迅速。</w:t>
            </w:r>
          </w:p>
        </w:tc>
        <w:tc>
          <w:tcPr>
            <w:tcW w:w="3410" w:type="dxa"/>
            <w:tcBorders>
              <w:top w:val="nil"/>
              <w:left w:val="nil"/>
              <w:bottom w:val="single" w:color="auto" w:sz="8" w:space="0"/>
              <w:right w:val="single" w:color="auto" w:sz="4" w:space="0"/>
            </w:tcBorders>
            <w:noWrap w:val="0"/>
            <w:vAlign w:val="center"/>
          </w:tcPr>
          <w:p>
            <w:pPr>
              <w:spacing w:line="360" w:lineRule="exact"/>
              <w:rPr>
                <w:rFonts w:hint="eastAsia" w:ascii="宋体" w:hAnsi="宋体" w:cs="宋体"/>
                <w:color w:val="auto"/>
                <w:kern w:val="0"/>
                <w:sz w:val="22"/>
                <w:szCs w:val="22"/>
                <w:highlight w:val="none"/>
              </w:rPr>
            </w:pPr>
            <w:r>
              <w:rPr>
                <w:rFonts w:hint="eastAsia" w:ascii="宋体" w:hAnsi="宋体" w:cs="宋体"/>
                <w:color w:val="auto"/>
                <w:sz w:val="22"/>
                <w:szCs w:val="22"/>
                <w:highlight w:val="none"/>
              </w:rPr>
              <w:t>响应不及时，落实不到位的扣0.5分/次</w:t>
            </w:r>
          </w:p>
        </w:tc>
        <w:tc>
          <w:tcPr>
            <w:tcW w:w="766" w:type="dxa"/>
            <w:tcBorders>
              <w:top w:val="nil"/>
              <w:left w:val="nil"/>
              <w:bottom w:val="single" w:color="auto" w:sz="8"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color w:val="auto"/>
                <w:kern w:val="0"/>
                <w:sz w:val="22"/>
                <w:szCs w:val="22"/>
                <w:highlight w:val="none"/>
              </w:rPr>
            </w:pPr>
          </w:p>
        </w:tc>
      </w:tr>
    </w:tbl>
    <w:p>
      <w:pPr>
        <w:snapToGrid w:val="0"/>
        <w:spacing w:line="440" w:lineRule="exact"/>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3、管养考核评分表</w:t>
      </w:r>
    </w:p>
    <w:tbl>
      <w:tblPr>
        <w:tblStyle w:val="26"/>
        <w:tblW w:w="10316" w:type="dxa"/>
        <w:jc w:val="center"/>
        <w:tblLayout w:type="fixed"/>
        <w:tblCellMar>
          <w:top w:w="0" w:type="dxa"/>
          <w:left w:w="108" w:type="dxa"/>
          <w:bottom w:w="0" w:type="dxa"/>
          <w:right w:w="108" w:type="dxa"/>
        </w:tblCellMar>
      </w:tblPr>
      <w:tblGrid>
        <w:gridCol w:w="1017"/>
        <w:gridCol w:w="704"/>
        <w:gridCol w:w="3479"/>
        <w:gridCol w:w="3700"/>
        <w:gridCol w:w="649"/>
        <w:gridCol w:w="767"/>
      </w:tblGrid>
      <w:tr>
        <w:tblPrEx>
          <w:tblCellMar>
            <w:top w:w="0" w:type="dxa"/>
            <w:left w:w="108" w:type="dxa"/>
            <w:bottom w:w="0" w:type="dxa"/>
            <w:right w:w="108" w:type="dxa"/>
          </w:tblCellMar>
        </w:tblPrEx>
        <w:trPr>
          <w:trHeight w:val="1038" w:hRule="atLeast"/>
          <w:tblHeader/>
          <w:jc w:val="center"/>
        </w:trPr>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分值</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考核标准</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评分标准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得分</w:t>
            </w: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扣分理由</w:t>
            </w:r>
          </w:p>
        </w:tc>
      </w:tr>
      <w:tr>
        <w:tblPrEx>
          <w:tblCellMar>
            <w:top w:w="0" w:type="dxa"/>
            <w:left w:w="108" w:type="dxa"/>
            <w:bottom w:w="0" w:type="dxa"/>
            <w:right w:w="108" w:type="dxa"/>
          </w:tblCellMar>
        </w:tblPrEx>
        <w:trPr>
          <w:trHeight w:val="592" w:hRule="atLeast"/>
          <w:jc w:val="center"/>
        </w:trPr>
        <w:tc>
          <w:tcPr>
            <w:tcW w:w="1017"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（一）操作要求</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17</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排水设施保护：确保市政排水设施完好，检查井及管道正常使用。发现私接偷排现象及时上报街道，并配合执法查处。</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餐饮企业、工地等周边存在管道私接偷排现象造成市政排水管道堵塞未及时上报的，每发生一次扣2分；其他市政排水设施发生损坏未及时上报街道的，每发现一起扣1分。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17</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排水设施巡查：制定月度巡查计划，按要求开井盖巡查，做到每个月完成一次巡查全覆盖，巡查记录真实、齐全。</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未制定月度巡查计划或者实际月度巡查未完成全覆盖的扣17分，巡查未达到要求，每发现一次扣2分，无巡查记录的扣5分，记录不完善的酌情扣分。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16</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文明作业：清疏后保持闸门、泵站周边清洁，运输车辆车貌整洁，运输途中无滴、漏、撒现象，污物倾倒指定地点。</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清疏后发现闸门、泵站周边不清洁的，每发现一处扣1分，运输车辆车貌不洁的扣1分/次，运输途中有滴、漏、撒现象的扣1分/次，污物乱倾倒的扣3分/次。</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安全施工：日常清疏时，做好相关的安全防护工作。</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日常工作时未穿防护背心、安全帽的，每发现一次扣1分；工作现场没有围护的，每发现一次扣1分，作业时，未穿戴安全帽、安全服，每发现一次扣1分。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建立各类应急预案，健全专项值班记录，加强重点区域安全保障措施，消除安全隐患。</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未建立预案扣2分，无安全保障措施和应急设备扣3分，接到应急任务后人员未在1个小时内到位的一次扣2分，无应急值班记录扣1分，发生有责任事件一次扣2分。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15</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做好汛期防洪，冬季冰雪灾害的应急抢险工作。</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未制定汛期防洪、灾害应急抢险工作计划的扣3分，工作中未及时响应扣3分/次，工作不配合采购人要求的酌情扣分。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r>
      <w:tr>
        <w:tblPrEx>
          <w:tblCellMar>
            <w:top w:w="0" w:type="dxa"/>
            <w:left w:w="108" w:type="dxa"/>
            <w:bottom w:w="0" w:type="dxa"/>
            <w:right w:w="108" w:type="dxa"/>
          </w:tblCellMar>
        </w:tblPrEx>
        <w:trPr>
          <w:trHeight w:val="592" w:hRule="atLeast"/>
          <w:jc w:val="center"/>
        </w:trPr>
        <w:tc>
          <w:tcPr>
            <w:tcW w:w="10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w:t>
            </w:r>
          </w:p>
          <w:p>
            <w:pPr>
              <w:widowControl/>
              <w:jc w:val="center"/>
              <w:rPr>
                <w:rFonts w:ascii="宋体" w:hAnsi="宋体" w:cs="宋体"/>
                <w:color w:val="auto"/>
                <w:kern w:val="0"/>
                <w:sz w:val="22"/>
                <w:szCs w:val="22"/>
                <w:highlight w:val="none"/>
              </w:rPr>
            </w:pPr>
            <w:r>
              <w:rPr>
                <w:rFonts w:hint="eastAsia" w:ascii="宋体" w:hAnsi="宋体" w:cs="宋体"/>
                <w:color w:val="auto"/>
                <w:sz w:val="22"/>
                <w:szCs w:val="22"/>
                <w:highlight w:val="none"/>
              </w:rPr>
              <w:t>其他要求</w:t>
            </w:r>
          </w:p>
          <w:p>
            <w:pPr>
              <w:widowControl/>
              <w:jc w:val="center"/>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 w:val="22"/>
                <w:szCs w:val="22"/>
                <w:highlight w:val="none"/>
              </w:rPr>
            </w:pPr>
            <w:r>
              <w:rPr>
                <w:rFonts w:hint="eastAsia" w:ascii="宋体" w:hAnsi="宋体" w:cs="宋体"/>
                <w:color w:val="auto"/>
                <w:sz w:val="22"/>
                <w:szCs w:val="22"/>
                <w:highlight w:val="none"/>
              </w:rPr>
              <w:t>制定相关的年度养护计划和月度养护计划。</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无月度养护计划的扣3分。以上制度不完善的酌情扣分。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592" w:hRule="atLeast"/>
          <w:jc w:val="center"/>
        </w:trPr>
        <w:tc>
          <w:tcPr>
            <w:tcW w:w="10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日常清疏记录齐全，且记录完整、准确、反映实际，并按月装订成册。</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sz w:val="22"/>
                <w:szCs w:val="22"/>
                <w:highlight w:val="none"/>
              </w:rPr>
              <w:t>记录齐全的得4分，基本齐全的得2分，无记录得0分，未按月装订成册的扣2分。未能正确反映实际情况或者记录不完整、不准确的每发现一处扣0.5分。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r>
        <w:tblPrEx>
          <w:tblCellMar>
            <w:top w:w="0" w:type="dxa"/>
            <w:left w:w="108" w:type="dxa"/>
            <w:bottom w:w="0" w:type="dxa"/>
            <w:right w:w="108" w:type="dxa"/>
          </w:tblCellMar>
        </w:tblPrEx>
        <w:trPr>
          <w:trHeight w:val="880" w:hRule="atLeast"/>
          <w:jc w:val="center"/>
        </w:trPr>
        <w:tc>
          <w:tcPr>
            <w:tcW w:w="10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347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按要求及时报送相关报表，并做到记录完整、准确。</w:t>
            </w:r>
          </w:p>
        </w:tc>
        <w:tc>
          <w:tcPr>
            <w:tcW w:w="37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highlight w:val="none"/>
              </w:rPr>
            </w:pPr>
            <w:r>
              <w:rPr>
                <w:rFonts w:hint="eastAsia" w:ascii="宋体" w:hAnsi="宋体" w:cs="宋体"/>
                <w:color w:val="auto"/>
                <w:sz w:val="22"/>
                <w:szCs w:val="22"/>
                <w:highlight w:val="none"/>
              </w:rPr>
              <w:t>报表未按要求及时报送的扣3分，虽报送但不完整、不准确的扣1.5分；未及时建立新增补的排水管道统计资料的扣1分。</w:t>
            </w:r>
          </w:p>
        </w:tc>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snapToGrid w:val="0"/>
        <w:spacing w:line="440" w:lineRule="exact"/>
        <w:ind w:left="773" w:hanging="773" w:hangingChars="35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4、市容秩序辅助管理考核评分表</w:t>
      </w:r>
    </w:p>
    <w:tbl>
      <w:tblPr>
        <w:tblStyle w:val="26"/>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6"/>
        <w:gridCol w:w="735"/>
        <w:gridCol w:w="4395"/>
        <w:gridCol w:w="708"/>
        <w:gridCol w:w="2106"/>
        <w:gridCol w:w="63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atLeast"/>
          <w:tblHeader/>
          <w:jc w:val="center"/>
        </w:trPr>
        <w:tc>
          <w:tcPr>
            <w:tcW w:w="966" w:type="dxa"/>
            <w:noWrap w:val="0"/>
            <w:vAlign w:val="center"/>
          </w:tcPr>
          <w:p>
            <w:pPr>
              <w:widowControl/>
              <w:jc w:val="center"/>
              <w:textAlignment w:val="center"/>
              <w:rPr>
                <w:rFonts w:hint="eastAsia" w:ascii="宋体" w:hAnsi="宋体" w:cs="宋体"/>
                <w:bCs/>
                <w:color w:val="auto"/>
                <w:sz w:val="22"/>
                <w:szCs w:val="22"/>
                <w:highlight w:val="none"/>
              </w:rPr>
            </w:pPr>
            <w:r>
              <w:rPr>
                <w:rFonts w:hint="eastAsia" w:ascii="宋体" w:hAnsi="宋体" w:cs="宋体"/>
                <w:bCs/>
                <w:color w:val="auto"/>
                <w:kern w:val="0"/>
                <w:sz w:val="22"/>
                <w:szCs w:val="22"/>
                <w:highlight w:val="none"/>
                <w:lang w:bidi="ar"/>
              </w:rPr>
              <w:t>项目</w:t>
            </w:r>
          </w:p>
        </w:tc>
        <w:tc>
          <w:tcPr>
            <w:tcW w:w="735" w:type="dxa"/>
            <w:noWrap w:val="0"/>
            <w:vAlign w:val="center"/>
          </w:tcPr>
          <w:p>
            <w:pPr>
              <w:widowControl/>
              <w:jc w:val="center"/>
              <w:textAlignment w:val="center"/>
              <w:rPr>
                <w:rFonts w:hint="eastAsia" w:ascii="宋体" w:hAnsi="宋体" w:cs="宋体"/>
                <w:bCs/>
                <w:color w:val="auto"/>
                <w:sz w:val="22"/>
                <w:szCs w:val="22"/>
                <w:highlight w:val="none"/>
              </w:rPr>
            </w:pPr>
            <w:r>
              <w:rPr>
                <w:rFonts w:hint="eastAsia" w:ascii="宋体" w:hAnsi="宋体" w:cs="宋体"/>
                <w:bCs/>
                <w:color w:val="auto"/>
                <w:kern w:val="0"/>
                <w:sz w:val="22"/>
                <w:szCs w:val="22"/>
                <w:highlight w:val="none"/>
                <w:lang w:bidi="ar"/>
              </w:rPr>
              <w:t>分值</w:t>
            </w:r>
          </w:p>
        </w:tc>
        <w:tc>
          <w:tcPr>
            <w:tcW w:w="4395" w:type="dxa"/>
            <w:noWrap w:val="0"/>
            <w:vAlign w:val="center"/>
          </w:tcPr>
          <w:p>
            <w:pPr>
              <w:widowControl/>
              <w:jc w:val="center"/>
              <w:textAlignment w:val="center"/>
              <w:rPr>
                <w:rFonts w:hint="eastAsia" w:ascii="宋体" w:hAnsi="宋体" w:cs="宋体"/>
                <w:bCs/>
                <w:color w:val="auto"/>
                <w:sz w:val="22"/>
                <w:szCs w:val="22"/>
                <w:highlight w:val="none"/>
              </w:rPr>
            </w:pPr>
            <w:r>
              <w:rPr>
                <w:rFonts w:hint="eastAsia" w:ascii="宋体" w:hAnsi="宋体" w:cs="宋体"/>
                <w:bCs/>
                <w:color w:val="auto"/>
                <w:kern w:val="0"/>
                <w:sz w:val="22"/>
                <w:szCs w:val="22"/>
                <w:highlight w:val="none"/>
                <w:lang w:bidi="ar"/>
              </w:rPr>
              <w:t>管理要求和标准</w:t>
            </w:r>
          </w:p>
        </w:tc>
        <w:tc>
          <w:tcPr>
            <w:tcW w:w="708" w:type="dxa"/>
            <w:noWrap w:val="0"/>
            <w:vAlign w:val="center"/>
          </w:tcPr>
          <w:p>
            <w:pPr>
              <w:widowControl/>
              <w:jc w:val="center"/>
              <w:textAlignment w:val="center"/>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 xml:space="preserve">分值 </w:t>
            </w:r>
          </w:p>
        </w:tc>
        <w:tc>
          <w:tcPr>
            <w:tcW w:w="2106" w:type="dxa"/>
            <w:noWrap w:val="0"/>
            <w:vAlign w:val="center"/>
          </w:tcPr>
          <w:p>
            <w:pPr>
              <w:widowControl/>
              <w:jc w:val="center"/>
              <w:textAlignment w:val="center"/>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评分标准</w:t>
            </w:r>
          </w:p>
        </w:tc>
        <w:tc>
          <w:tcPr>
            <w:tcW w:w="638" w:type="dxa"/>
            <w:noWrap w:val="0"/>
            <w:vAlign w:val="center"/>
          </w:tcPr>
          <w:p>
            <w:pPr>
              <w:widowControl/>
              <w:jc w:val="center"/>
              <w:textAlignment w:val="center"/>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 xml:space="preserve">得分 </w:t>
            </w:r>
          </w:p>
        </w:tc>
        <w:tc>
          <w:tcPr>
            <w:tcW w:w="708" w:type="dxa"/>
            <w:noWrap w:val="0"/>
            <w:vAlign w:val="center"/>
          </w:tcPr>
          <w:p>
            <w:pPr>
              <w:widowControl/>
              <w:jc w:val="center"/>
              <w:textAlignment w:val="center"/>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966" w:type="dxa"/>
            <w:vMerge w:val="restart"/>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（一）</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管理工作要求</w:t>
            </w:r>
          </w:p>
        </w:tc>
        <w:tc>
          <w:tcPr>
            <w:tcW w:w="735" w:type="dxa"/>
            <w:vMerge w:val="restart"/>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25</w:t>
            </w: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定点固守区域和规定的服务时间内不得脱岗。</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2106" w:type="dxa"/>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每发现一次扣2分</w:t>
            </w:r>
          </w:p>
        </w:tc>
        <w:tc>
          <w:tcPr>
            <w:tcW w:w="63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0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966"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工作期间要求统一规范着装，注意队伍容貌，自觉维护形象。</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每发现一次扣1分 </w:t>
            </w:r>
          </w:p>
        </w:tc>
        <w:tc>
          <w:tcPr>
            <w:tcW w:w="63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0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9" w:hRule="atLeast"/>
          <w:jc w:val="center"/>
        </w:trPr>
        <w:tc>
          <w:tcPr>
            <w:tcW w:w="966"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工作期间使用文明劝导用语，严禁粗言秽语，严禁威胁、辱骂、殴打服务对象。</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每发现一次扣2分</w:t>
            </w:r>
          </w:p>
        </w:tc>
        <w:tc>
          <w:tcPr>
            <w:tcW w:w="63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0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服务期间不能以任何名义对违法违规行为进行处罚，不得以任何名义收取任何费用，不得参加各种违法犯罪活动。</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每发现一次扣5分</w:t>
            </w:r>
          </w:p>
        </w:tc>
        <w:tc>
          <w:tcPr>
            <w:tcW w:w="63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0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0" w:hRule="atLeast"/>
          <w:jc w:val="center"/>
        </w:trPr>
        <w:tc>
          <w:tcPr>
            <w:tcW w:w="966" w:type="dxa"/>
            <w:vMerge w:val="restart"/>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（二）</w:t>
            </w:r>
          </w:p>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街面市容秩序</w:t>
            </w:r>
          </w:p>
        </w:tc>
        <w:tc>
          <w:tcPr>
            <w:tcW w:w="735" w:type="dxa"/>
            <w:vMerge w:val="restart"/>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50</w:t>
            </w: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街面及道路公共区域无乱设摊位（包括以车辆为载体的流动摊点），特殊情况经城管部门批准设立的临时摊点（含便民早点摊）应严格遵守相关管理规定，达到文明、规范、整洁、有序。</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08" w:type="dxa"/>
            <w:noWrap w:val="0"/>
            <w:vAlign w:val="center"/>
          </w:tcPr>
          <w:p>
            <w:pPr>
              <w:widowControl/>
              <w:jc w:val="center"/>
              <w:textAlignment w:val="center"/>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8" w:hRule="atLeast"/>
          <w:jc w:val="center"/>
        </w:trPr>
        <w:tc>
          <w:tcPr>
            <w:tcW w:w="966"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沿街商铺无跨门和占道营业、无店外堆物（特殊情况经城管部门同意的煤炉、展牌等除外）、无乱倒乱放垃圾以及其他市容环境违法违规行为。</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9"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沿街商铺无占用店外绿化、树穴、公共设施放置垃圾容器及扫帚、拖把、簸箕等物品。</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1"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户外广告和门头招牌按照规定标准设置，保持整洁、美观、安全；街面沿街店牌无违规店招、户外广告及“一店多招”现象。</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劝导、督促沿路单位、店铺和个人严格遵守“门前三包”规定，保持“三包”区域内市容环境卫生整洁有序。</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护栏、电杆等道路附属设施及街面建（构）筑物表面无成片乱招贴、乱涂写，街头无散发小广告和无擅自发放宣传品、物品等行为。</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对破旧损坏、未批先设或不按审批要求设置灯箱、招牌、条幅、宣传点等现象，能够及时发现、及时劝阻和制止。</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沿路音响器材噪音扰民，小锅炉烟尘扰民、焚烧垃圾等其他扰民行为，做到及时发现、及时劝阻和制止。</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对机动车乱停放及时劝告，对非机动车停放秩序进行协助管理，引导规范停放 。</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5" w:hRule="atLeast"/>
          <w:jc w:val="center"/>
        </w:trPr>
        <w:tc>
          <w:tcPr>
            <w:tcW w:w="966" w:type="dxa"/>
            <w:vMerge w:val="restart"/>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（三）</w:t>
            </w:r>
          </w:p>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街面设施巡查</w:t>
            </w:r>
          </w:p>
        </w:tc>
        <w:tc>
          <w:tcPr>
            <w:tcW w:w="735" w:type="dxa"/>
            <w:vMerge w:val="restart"/>
            <w:noWrap w:val="0"/>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15 </w:t>
            </w: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规范掘路、开挖等占道施工，检查相关许可，施工区域周边保持整洁，施工结束后无杂物残留；对未经审批违规掘路、开挖施工的，做到及时劝阻、制止和上报，并告知申请审批途径。</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5"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沿路店面装饰装修严格遵守文明施工相关规定，检查相关许可，保持市容整洁、道路畅通、文明安全；对未经批准擅自装修、违规堆放建筑材料、建筑垃圾的，做到及时劝阻、制止和上报，并告知申请审批途径。</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vMerge w:val="continue"/>
            <w:noWrap w:val="0"/>
            <w:vAlign w:val="center"/>
          </w:tcPr>
          <w:p>
            <w:pPr>
              <w:widowControl/>
              <w:jc w:val="center"/>
              <w:textAlignment w:val="center"/>
              <w:rPr>
                <w:rFonts w:hint="eastAsia" w:ascii="宋体" w:hAnsi="宋体" w:cs="宋体"/>
                <w:color w:val="auto"/>
                <w:kern w:val="0"/>
                <w:sz w:val="22"/>
                <w:szCs w:val="22"/>
                <w:highlight w:val="none"/>
                <w:lang w:bidi="ar"/>
              </w:rPr>
            </w:pPr>
          </w:p>
        </w:tc>
        <w:tc>
          <w:tcPr>
            <w:tcW w:w="735" w:type="dxa"/>
            <w:vMerge w:val="continue"/>
            <w:noWrap w:val="0"/>
            <w:vAlign w:val="center"/>
          </w:tcPr>
          <w:p>
            <w:pPr>
              <w:widowControl/>
              <w:jc w:val="center"/>
              <w:textAlignment w:val="center"/>
              <w:rPr>
                <w:rFonts w:hint="eastAsia" w:ascii="宋体" w:hAnsi="宋体" w:cs="宋体"/>
                <w:color w:val="auto"/>
                <w:sz w:val="22"/>
                <w:szCs w:val="22"/>
                <w:highlight w:val="none"/>
              </w:rPr>
            </w:pP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对未经审批或违规砍伐树木、侵占绿地、破坏绿化等行为，做到及时发现、及时劝阻和制止、及时报告主管部门。</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66"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w:t>
            </w:r>
          </w:p>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队伍建设</w:t>
            </w:r>
          </w:p>
        </w:tc>
        <w:tc>
          <w:tcPr>
            <w:tcW w:w="735"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5</w:t>
            </w:r>
          </w:p>
        </w:tc>
        <w:tc>
          <w:tcPr>
            <w:tcW w:w="4395" w:type="dxa"/>
            <w:noWrap w:val="0"/>
            <w:vAlign w:val="center"/>
          </w:tcPr>
          <w:p>
            <w:pPr>
              <w:widowControl/>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服务值守时间内，确保路面管理人员数量，不得少于7人。</w:t>
            </w:r>
          </w:p>
        </w:tc>
        <w:tc>
          <w:tcPr>
            <w:tcW w:w="708"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每发现一次每人扣0.5分   </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1" w:hRule="atLeast"/>
          <w:jc w:val="center"/>
        </w:trPr>
        <w:tc>
          <w:tcPr>
            <w:tcW w:w="966"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（五）</w:t>
            </w:r>
          </w:p>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应急保障</w:t>
            </w:r>
          </w:p>
        </w:tc>
        <w:tc>
          <w:tcPr>
            <w:tcW w:w="735" w:type="dxa"/>
            <w:noWrap w:val="0"/>
            <w:vAlign w:val="center"/>
          </w:tcPr>
          <w:p>
            <w:pPr>
              <w:spacing w:line="280" w:lineRule="exact"/>
              <w:jc w:val="center"/>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5</w:t>
            </w:r>
          </w:p>
        </w:tc>
        <w:tc>
          <w:tcPr>
            <w:tcW w:w="4395" w:type="dxa"/>
            <w:noWrap w:val="0"/>
            <w:vAlign w:val="center"/>
          </w:tcPr>
          <w:p>
            <w:pPr>
              <w:spacing w:line="2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有完整、行之有效的应急预案、在应急作业过程中积极响应，落实迅速。</w:t>
            </w:r>
          </w:p>
        </w:tc>
        <w:tc>
          <w:tcPr>
            <w:tcW w:w="708" w:type="dxa"/>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2106" w:type="dxa"/>
            <w:noWrap w:val="0"/>
            <w:vAlign w:val="center"/>
          </w:tcPr>
          <w:p>
            <w:pPr>
              <w:spacing w:line="28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每发现一处扣0.5分</w:t>
            </w:r>
          </w:p>
        </w:tc>
        <w:tc>
          <w:tcPr>
            <w:tcW w:w="638" w:type="dxa"/>
            <w:noWrap w:val="0"/>
            <w:vAlign w:val="center"/>
          </w:tcPr>
          <w:p>
            <w:pPr>
              <w:jc w:val="center"/>
              <w:rPr>
                <w:rFonts w:hint="eastAsia" w:ascii="宋体" w:hAnsi="宋体" w:cs="宋体"/>
                <w:color w:val="auto"/>
                <w:sz w:val="22"/>
                <w:szCs w:val="22"/>
                <w:highlight w:val="none"/>
              </w:rPr>
            </w:pPr>
          </w:p>
        </w:tc>
        <w:tc>
          <w:tcPr>
            <w:tcW w:w="708" w:type="dxa"/>
            <w:noWrap w:val="0"/>
            <w:vAlign w:val="center"/>
          </w:tcPr>
          <w:p>
            <w:pPr>
              <w:jc w:val="center"/>
              <w:rPr>
                <w:rFonts w:hint="eastAsia" w:ascii="宋体" w:hAnsi="宋体" w:cs="宋体"/>
                <w:color w:val="auto"/>
                <w:sz w:val="22"/>
                <w:szCs w:val="22"/>
                <w:highlight w:val="none"/>
              </w:rPr>
            </w:pPr>
          </w:p>
        </w:tc>
      </w:tr>
    </w:tbl>
    <w:p>
      <w:pPr>
        <w:pStyle w:val="13"/>
        <w:snapToGrid w:val="0"/>
        <w:spacing w:beforeLines="0" w:afterLines="0" w:line="440" w:lineRule="exact"/>
        <w:rPr>
          <w:rFonts w:hint="eastAsia" w:hAnsi="宋体"/>
          <w:b/>
          <w:color w:val="auto"/>
          <w:sz w:val="22"/>
          <w:szCs w:val="22"/>
          <w:highlight w:val="none"/>
        </w:rPr>
      </w:pPr>
      <w:r>
        <w:rPr>
          <w:rFonts w:hint="eastAsia" w:hAnsi="宋体"/>
          <w:b/>
          <w:bCs/>
          <w:color w:val="auto"/>
          <w:sz w:val="22"/>
          <w:szCs w:val="22"/>
          <w:highlight w:val="none"/>
        </w:rPr>
        <w:t>注：采购人对以上考核办法有最终制定和解释权。</w:t>
      </w:r>
    </w:p>
    <w:p>
      <w:pPr>
        <w:spacing w:line="440" w:lineRule="exact"/>
        <w:jc w:val="center"/>
        <w:rPr>
          <w:rFonts w:ascii="Arial" w:hAnsi="Arial" w:eastAsia="黑体"/>
          <w:bCs/>
          <w:color w:val="auto"/>
          <w:sz w:val="32"/>
          <w:szCs w:val="20"/>
          <w:highlight w:val="none"/>
        </w:rPr>
      </w:pPr>
      <w:r>
        <w:rPr>
          <w:rFonts w:ascii="宋体" w:hAnsi="宋体" w:cs="宋体"/>
          <w:color w:val="auto"/>
          <w:sz w:val="22"/>
          <w:szCs w:val="22"/>
          <w:highlight w:val="none"/>
        </w:rPr>
        <w:br w:type="page"/>
      </w:r>
      <w:r>
        <w:rPr>
          <w:rFonts w:hint="eastAsia" w:ascii="Arial" w:hAnsi="Arial" w:eastAsia="黑体"/>
          <w:bCs/>
          <w:color w:val="auto"/>
          <w:sz w:val="32"/>
          <w:szCs w:val="20"/>
          <w:highlight w:val="none"/>
        </w:rPr>
        <w:t>第三章 投标须知</w:t>
      </w:r>
    </w:p>
    <w:p>
      <w:pPr>
        <w:keepNext/>
        <w:keepLines/>
        <w:spacing w:before="120" w:after="120"/>
        <w:jc w:val="center"/>
        <w:outlineLvl w:val="1"/>
        <w:rPr>
          <w:rFonts w:hint="eastAsia" w:ascii="宋体" w:hAnsi="宋体"/>
          <w:b/>
          <w:bCs/>
          <w:color w:val="auto"/>
          <w:kern w:val="0"/>
          <w:sz w:val="24"/>
          <w:szCs w:val="20"/>
          <w:highlight w:val="none"/>
        </w:rPr>
      </w:pPr>
      <w:r>
        <w:rPr>
          <w:rFonts w:hint="eastAsia" w:ascii="宋体" w:hAnsi="宋体"/>
          <w:b/>
          <w:bCs/>
          <w:color w:val="auto"/>
          <w:kern w:val="0"/>
          <w:sz w:val="24"/>
          <w:szCs w:val="20"/>
          <w:highlight w:val="none"/>
        </w:rPr>
        <w:t>一、投标须知前附表</w:t>
      </w:r>
    </w:p>
    <w:tbl>
      <w:tblPr>
        <w:tblStyle w:val="26"/>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6"/>
        <w:gridCol w:w="8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266" w:hRule="atLeast"/>
          <w:jc w:val="center"/>
        </w:trPr>
        <w:tc>
          <w:tcPr>
            <w:tcW w:w="856" w:type="dxa"/>
            <w:tcBorders>
              <w:top w:val="double" w:color="auto" w:sz="4" w:space="0"/>
              <w:left w:val="double" w:color="auto" w:sz="4" w:space="0"/>
              <w:bottom w:val="doub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序号</w:t>
            </w:r>
          </w:p>
        </w:tc>
        <w:tc>
          <w:tcPr>
            <w:tcW w:w="8767" w:type="dxa"/>
            <w:tcBorders>
              <w:top w:val="double" w:color="auto" w:sz="4" w:space="0"/>
              <w:left w:val="single" w:color="auto" w:sz="4" w:space="0"/>
              <w:bottom w:val="double" w:color="auto" w:sz="4" w:space="0"/>
              <w:right w:val="double" w:color="auto" w:sz="4" w:space="0"/>
            </w:tcBorders>
            <w:noWrap w:val="0"/>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217"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pStyle w:val="62"/>
              <w:spacing w:before="3" w:line="360" w:lineRule="auto"/>
              <w:ind w:left="107" w:right="83"/>
              <w:jc w:val="center"/>
              <w:rPr>
                <w:rFonts w:hint="eastAsia"/>
                <w:color w:val="auto"/>
                <w:sz w:val="22"/>
                <w:highlight w:val="none"/>
              </w:rPr>
            </w:pPr>
            <w:r>
              <w:rPr>
                <w:rFonts w:hint="eastAsia"/>
                <w:color w:val="auto"/>
                <w:sz w:val="22"/>
                <w:highlight w:val="none"/>
              </w:rPr>
              <w:t>1</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16"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ascii="宋体" w:hAnsi="宋体"/>
                <w:color w:val="auto"/>
                <w:highlight w:val="none"/>
              </w:rPr>
              <w:t>2</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b/>
                <w:bCs/>
                <w:color w:val="auto"/>
                <w:sz w:val="22"/>
                <w:highlight w:val="none"/>
              </w:rPr>
            </w:pPr>
            <w:r>
              <w:rPr>
                <w:rFonts w:hint="eastAsia"/>
                <w:b/>
                <w:bCs/>
                <w:color w:val="auto"/>
                <w:sz w:val="22"/>
                <w:highlight w:val="none"/>
              </w:rPr>
              <w:t>本项目标项1最高限价为</w:t>
            </w:r>
            <w:r>
              <w:rPr>
                <w:rFonts w:hint="eastAsia" w:cs="Arial"/>
                <w:b/>
                <w:color w:val="auto"/>
                <w:highlight w:val="none"/>
                <w:lang w:val="en-US"/>
              </w:rPr>
              <w:t>6020252</w:t>
            </w:r>
            <w:r>
              <w:rPr>
                <w:rFonts w:hint="eastAsia"/>
                <w:b/>
                <w:bCs/>
                <w:color w:val="auto"/>
                <w:sz w:val="22"/>
                <w:highlight w:val="none"/>
                <w:lang w:val="en-US"/>
              </w:rPr>
              <w:t>元,</w:t>
            </w:r>
            <w:r>
              <w:rPr>
                <w:rFonts w:hint="eastAsia"/>
                <w:b/>
                <w:bCs/>
                <w:color w:val="auto"/>
                <w:sz w:val="22"/>
                <w:highlight w:val="none"/>
              </w:rPr>
              <w:t>超过此限价作无效标处理。</w:t>
            </w:r>
          </w:p>
          <w:p>
            <w:pPr>
              <w:pStyle w:val="62"/>
              <w:spacing w:before="3" w:line="360" w:lineRule="auto"/>
              <w:ind w:left="107" w:right="83"/>
              <w:rPr>
                <w:rFonts w:hint="eastAsia"/>
                <w:b/>
                <w:bCs/>
                <w:color w:val="auto"/>
                <w:sz w:val="22"/>
                <w:highlight w:val="none"/>
              </w:rPr>
            </w:pPr>
            <w:r>
              <w:rPr>
                <w:rFonts w:hint="eastAsia"/>
                <w:b/>
                <w:bCs/>
                <w:color w:val="auto"/>
                <w:sz w:val="22"/>
                <w:highlight w:val="none"/>
              </w:rPr>
              <w:t>本项目标项2最高限价为</w:t>
            </w:r>
            <w:r>
              <w:rPr>
                <w:rFonts w:hint="eastAsia"/>
                <w:b/>
                <w:bCs/>
                <w:color w:val="auto"/>
                <w:sz w:val="22"/>
                <w:highlight w:val="none"/>
                <w:lang w:val="en-US"/>
              </w:rPr>
              <w:t>7249574元,</w:t>
            </w:r>
            <w:r>
              <w:rPr>
                <w:rFonts w:hint="eastAsia"/>
                <w:b/>
                <w:bCs/>
                <w:color w:val="auto"/>
                <w:sz w:val="22"/>
                <w:highlight w:val="none"/>
              </w:rPr>
              <w:t>超过此限价作无效标处理。</w:t>
            </w:r>
          </w:p>
          <w:p>
            <w:pPr>
              <w:pStyle w:val="62"/>
              <w:spacing w:before="3" w:line="360" w:lineRule="auto"/>
              <w:ind w:left="107" w:right="83"/>
              <w:rPr>
                <w:rFonts w:hint="eastAsia"/>
                <w:b/>
                <w:bCs/>
                <w:color w:val="auto"/>
                <w:sz w:val="22"/>
                <w:highlight w:val="none"/>
              </w:rPr>
            </w:pPr>
            <w:r>
              <w:rPr>
                <w:rFonts w:hint="eastAsia"/>
                <w:b/>
                <w:bCs/>
                <w:color w:val="auto"/>
                <w:sz w:val="22"/>
                <w:highlight w:val="none"/>
              </w:rPr>
              <w:t>本项目标项3最高限价为</w:t>
            </w:r>
            <w:r>
              <w:rPr>
                <w:rFonts w:hint="eastAsia"/>
                <w:b/>
                <w:bCs/>
                <w:color w:val="auto"/>
                <w:sz w:val="22"/>
                <w:highlight w:val="none"/>
                <w:lang w:val="en-US"/>
              </w:rPr>
              <w:t>6689973元,</w:t>
            </w:r>
            <w:r>
              <w:rPr>
                <w:rFonts w:hint="eastAsia"/>
                <w:b/>
                <w:bCs/>
                <w:color w:val="auto"/>
                <w:sz w:val="22"/>
                <w:highlight w:val="none"/>
              </w:rPr>
              <w:t>超过此限价作无效标处理。</w:t>
            </w:r>
          </w:p>
          <w:p>
            <w:pPr>
              <w:pStyle w:val="62"/>
              <w:spacing w:before="3" w:line="360" w:lineRule="auto"/>
              <w:ind w:left="107" w:right="83"/>
              <w:rPr>
                <w:rFonts w:hint="eastAsia"/>
                <w:b/>
                <w:bCs/>
                <w:color w:val="auto"/>
                <w:sz w:val="22"/>
                <w:highlight w:val="none"/>
              </w:rPr>
            </w:pPr>
            <w:r>
              <w:rPr>
                <w:rFonts w:hint="eastAsia"/>
                <w:b/>
                <w:bCs/>
                <w:color w:val="auto"/>
                <w:sz w:val="22"/>
                <w:highlight w:val="none"/>
              </w:rPr>
              <w:t>本项目标项4最高限价为</w:t>
            </w:r>
            <w:r>
              <w:rPr>
                <w:rFonts w:hint="eastAsia"/>
                <w:b/>
                <w:bCs/>
                <w:color w:val="auto"/>
                <w:sz w:val="22"/>
                <w:highlight w:val="none"/>
                <w:lang w:val="en-US"/>
              </w:rPr>
              <w:t>4777624元,</w:t>
            </w:r>
            <w:r>
              <w:rPr>
                <w:rFonts w:hint="eastAsia"/>
                <w:b/>
                <w:bCs/>
                <w:color w:val="auto"/>
                <w:sz w:val="22"/>
                <w:highlight w:val="none"/>
              </w:rPr>
              <w:t>超过此限价作无效标处理。</w:t>
            </w:r>
          </w:p>
          <w:p>
            <w:pPr>
              <w:pStyle w:val="62"/>
              <w:spacing w:before="3" w:line="360" w:lineRule="auto"/>
              <w:ind w:left="107" w:right="83"/>
              <w:rPr>
                <w:rFonts w:hint="eastAsia"/>
                <w:color w:val="auto"/>
                <w:sz w:val="22"/>
                <w:highlight w:val="none"/>
              </w:rPr>
            </w:pPr>
            <w:r>
              <w:rPr>
                <w:rFonts w:hint="eastAsia"/>
                <w:color w:val="auto"/>
                <w:sz w:val="22"/>
                <w:highlight w:val="none"/>
              </w:rPr>
              <w:t>投标报价及费用：</w:t>
            </w:r>
          </w:p>
          <w:p>
            <w:pPr>
              <w:pStyle w:val="62"/>
              <w:spacing w:before="3" w:line="360" w:lineRule="auto"/>
              <w:ind w:left="107" w:right="83"/>
              <w:rPr>
                <w:rFonts w:hint="eastAsia"/>
                <w:color w:val="auto"/>
                <w:sz w:val="22"/>
                <w:highlight w:val="none"/>
              </w:rPr>
            </w:pPr>
            <w:r>
              <w:rPr>
                <w:rFonts w:hint="eastAsia"/>
                <w:color w:val="auto"/>
                <w:sz w:val="22"/>
                <w:highlight w:val="none"/>
              </w:rPr>
              <w:t>1、本项目的投标总价须包含完成本服务所需的所有费用，应包含：包括人员基本工资、各类福利和补贴（如加班补贴、高温补贴、早餐补贴等）、社保（五金）的缴纳，暂住费、各种保险及处理一切伤亡事故等的支付，人员各季节工作服（含帽、衣、裤、鞋、雨衣、雨裤，雨鞋）的配置，</w:t>
            </w:r>
            <w:r>
              <w:rPr>
                <w:rFonts w:hint="eastAsia"/>
                <w:color w:val="auto"/>
                <w:sz w:val="22"/>
                <w:szCs w:val="22"/>
                <w:highlight w:val="none"/>
              </w:rPr>
              <w:t>人员所使用作业工具等各类耗材费，设施设备管理维护费用，税金、利润</w:t>
            </w:r>
            <w:r>
              <w:rPr>
                <w:rFonts w:hint="eastAsia"/>
                <w:color w:val="auto"/>
                <w:sz w:val="22"/>
                <w:szCs w:val="22"/>
                <w:highlight w:val="none"/>
                <w:lang w:eastAsia="zh-CN"/>
              </w:rPr>
              <w:t>、</w:t>
            </w:r>
            <w:r>
              <w:rPr>
                <w:rFonts w:hint="eastAsia"/>
                <w:color w:val="auto"/>
                <w:sz w:val="22"/>
                <w:szCs w:val="22"/>
                <w:highlight w:val="none"/>
                <w:lang w:val="en-US" w:eastAsia="zh-CN"/>
              </w:rPr>
              <w:t>招标代理费</w:t>
            </w:r>
            <w:r>
              <w:rPr>
                <w:rFonts w:hint="eastAsia"/>
                <w:color w:val="auto"/>
                <w:sz w:val="22"/>
                <w:szCs w:val="22"/>
                <w:highlight w:val="none"/>
              </w:rPr>
              <w:t>及其他与本次采购相关的一切费用。（注：人员基本工资不得低于宁波市劳动和社会保障局最新发布的宁波市最低劳动工资标准、社保（五险）的缴费基数及缴费费率不得低于宁波市劳动和社会保障局最新公布的最低缴费基数及缴费费率，岗位津贴不得低于[甬政办发（2014）70 号]规定的 10 元/天/人、早餐费不得低于[甬城管（2015）12 号]的 7 元/天/人，否则作无效报价处理。当每年最低工资标准出现变化时，中标人应根据实际情况对人员费用进行调整，此部分费用已包含在投</w:t>
            </w:r>
            <w:r>
              <w:rPr>
                <w:rFonts w:hint="eastAsia"/>
                <w:color w:val="auto"/>
                <w:sz w:val="22"/>
                <w:highlight w:val="none"/>
              </w:rPr>
              <w:t>标报价范围内。）</w:t>
            </w:r>
          </w:p>
          <w:p>
            <w:pPr>
              <w:pStyle w:val="62"/>
              <w:spacing w:before="3" w:line="360" w:lineRule="auto"/>
              <w:ind w:left="107" w:right="83"/>
              <w:rPr>
                <w:rFonts w:hint="eastAsia"/>
                <w:color w:val="auto"/>
                <w:sz w:val="22"/>
                <w:highlight w:val="none"/>
              </w:rPr>
            </w:pPr>
            <w:r>
              <w:rPr>
                <w:rFonts w:hint="eastAsia"/>
                <w:color w:val="auto"/>
                <w:sz w:val="22"/>
                <w:highlight w:val="none"/>
              </w:rPr>
              <w:t>2、本项目投标应以人民币报价；</w:t>
            </w:r>
          </w:p>
          <w:p>
            <w:pPr>
              <w:pStyle w:val="62"/>
              <w:spacing w:before="3" w:line="360" w:lineRule="auto"/>
              <w:ind w:left="107" w:right="83"/>
              <w:rPr>
                <w:rFonts w:hint="eastAsia"/>
                <w:color w:val="auto"/>
                <w:highlight w:val="none"/>
              </w:rPr>
            </w:pPr>
            <w:r>
              <w:rPr>
                <w:rFonts w:hint="eastAsia"/>
                <w:color w:val="auto"/>
                <w:sz w:val="22"/>
                <w:highlight w:val="none"/>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9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ascii="宋体" w:hAnsi="宋体"/>
                <w:color w:val="auto"/>
                <w:highlight w:val="none"/>
              </w:rPr>
              <w:t>3</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 xml:space="preserve">投标保证金：本项目无保证金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3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ascii="宋体" w:hAnsi="宋体"/>
                <w:color w:val="auto"/>
                <w:highlight w:val="none"/>
              </w:rPr>
              <w:t>4</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现场踏勘（如有）：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8"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ascii="宋体" w:hAnsi="宋体"/>
                <w:color w:val="auto"/>
                <w:highlight w:val="none"/>
              </w:rPr>
              <w:t>5</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18" w:hRule="atLeast"/>
          <w:jc w:val="center"/>
        </w:trPr>
        <w:tc>
          <w:tcPr>
            <w:tcW w:w="856" w:type="dxa"/>
            <w:vMerge w:val="restart"/>
            <w:tcBorders>
              <w:top w:val="single" w:color="auto" w:sz="4" w:space="0"/>
              <w:left w:val="doub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ascii="宋体" w:hAnsi="宋体"/>
                <w:color w:val="auto"/>
                <w:highlight w:val="none"/>
              </w:rPr>
              <w:t>6</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eastAsia" w:ascii="宋体" w:hAnsi="宋体" w:cs="宋体"/>
                <w:color w:val="auto"/>
                <w:sz w:val="22"/>
                <w:szCs w:val="22"/>
                <w:highlight w:val="none"/>
              </w:rPr>
            </w:pPr>
            <w:r>
              <w:rPr>
                <w:rFonts w:hint="eastAsia" w:ascii="宋体" w:hAnsi="宋体"/>
                <w:color w:val="auto"/>
                <w:sz w:val="22"/>
                <w:szCs w:val="22"/>
                <w:highlight w:val="none"/>
              </w:rPr>
              <w:t>▲投标文件组成：</w:t>
            </w:r>
          </w:p>
          <w:p>
            <w:pPr>
              <w:numPr>
                <w:ilvl w:val="0"/>
                <w:numId w:val="7"/>
              </w:numPr>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上传至政府采购云平台的电子投标文件（含资格文件、技术商务文件、报价文件）1 份。</w:t>
            </w:r>
          </w:p>
          <w:p>
            <w:pPr>
              <w:numPr>
                <w:ilvl w:val="0"/>
                <w:numId w:val="7"/>
              </w:numPr>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可提供以U盘存储的数据电文形式的备份投标文件（含资格文件、商务技术文件、报价文件）1份。</w:t>
            </w:r>
          </w:p>
          <w:p>
            <w:pPr>
              <w:pStyle w:val="62"/>
              <w:spacing w:before="3" w:line="360" w:lineRule="auto"/>
              <w:ind w:left="107" w:right="83"/>
              <w:rPr>
                <w:rFonts w:hint="eastAsia"/>
                <w:color w:val="auto"/>
                <w:sz w:val="22"/>
                <w:szCs w:val="22"/>
                <w:highlight w:val="none"/>
              </w:rPr>
            </w:pPr>
            <w:r>
              <w:rPr>
                <w:rFonts w:hint="eastAsia"/>
                <w:color w:val="auto"/>
                <w:sz w:val="22"/>
                <w:szCs w:val="22"/>
                <w:highlight w:val="none"/>
              </w:rPr>
              <w:t xml:space="preserve">注：电子备份投标文件不作实质性要求，是否提交由投标人自行决定。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1399" w:hRule="atLeast"/>
          <w:jc w:val="center"/>
        </w:trPr>
        <w:tc>
          <w:tcPr>
            <w:tcW w:w="856" w:type="dxa"/>
            <w:vMerge w:val="continue"/>
            <w:tcBorders>
              <w:left w:val="double" w:color="auto" w:sz="4" w:space="0"/>
              <w:bottom w:val="single" w:color="auto" w:sz="4" w:space="0"/>
              <w:right w:val="single" w:color="auto" w:sz="4" w:space="0"/>
            </w:tcBorders>
            <w:noWrap w:val="0"/>
            <w:vAlign w:val="center"/>
          </w:tcPr>
          <w:p>
            <w:pPr>
              <w:spacing w:line="360" w:lineRule="auto"/>
              <w:rPr>
                <w:color w:val="auto"/>
                <w:highlight w:val="none"/>
              </w:rPr>
            </w:pP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投标人的法定代表人、委托代理人及所有参与投标的有关人员须为本单位人员（以距开标日前连续3个月的社保证明为准，若为退休人员以聘用合同为准，编入技术商务文件中），若存在非本单位人员参与投标事宜，由投标人自行承担相应风险及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7</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投标截止时间及地点：同招标公告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8</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开标时间及地点：同招标公告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81"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9</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77"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highlight w:val="none"/>
              </w:rPr>
            </w:pPr>
            <w:r>
              <w:rPr>
                <w:rFonts w:hint="eastAsia" w:ascii="宋体" w:hAnsi="宋体"/>
                <w:color w:val="auto"/>
                <w:highlight w:val="none"/>
              </w:rPr>
              <w:t>10</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ascii="宋体" w:hAnsi="宋体"/>
                <w:color w:val="auto"/>
                <w:highlight w:val="none"/>
              </w:rPr>
              <w:t>1</w:t>
            </w:r>
            <w:r>
              <w:rPr>
                <w:rFonts w:hint="eastAsia" w:ascii="宋体" w:hAnsi="宋体"/>
                <w:color w:val="auto"/>
                <w:highlight w:val="none"/>
              </w:rPr>
              <w:t>1</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履约保证金的收取：合同金额的</w:t>
            </w:r>
            <w:r>
              <w:rPr>
                <w:rFonts w:hint="eastAsia"/>
                <w:color w:val="auto"/>
                <w:sz w:val="22"/>
                <w:highlight w:val="none"/>
                <w:lang w:val="en-US" w:eastAsia="zh-CN"/>
              </w:rPr>
              <w:t>2.5%</w:t>
            </w:r>
            <w:r>
              <w:rPr>
                <w:rFonts w:hint="eastAsia"/>
                <w:color w:val="auto"/>
                <w:sz w:val="22"/>
                <w:highlight w:val="none"/>
              </w:rPr>
              <w:t>计收。</w:t>
            </w:r>
          </w:p>
          <w:p>
            <w:pPr>
              <w:pStyle w:val="62"/>
              <w:spacing w:before="3" w:line="360" w:lineRule="auto"/>
              <w:ind w:left="107" w:right="83"/>
              <w:rPr>
                <w:rFonts w:hint="eastAsia"/>
                <w:color w:val="auto"/>
                <w:sz w:val="22"/>
                <w:highlight w:val="none"/>
              </w:rPr>
            </w:pPr>
            <w:r>
              <w:rPr>
                <w:rFonts w:hint="eastAsia"/>
                <w:color w:val="auto"/>
                <w:sz w:val="22"/>
                <w:highlight w:val="none"/>
              </w:rPr>
              <w:t>履约保证金形式：电汇、网银、银行保函（采购人认可的银行开具的保函）、保险保单等。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9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ascii="宋体" w:hAnsi="宋体"/>
                <w:color w:val="auto"/>
                <w:highlight w:val="none"/>
              </w:rPr>
              <w:t>1</w:t>
            </w:r>
            <w:r>
              <w:rPr>
                <w:rFonts w:hint="eastAsia" w:ascii="宋体" w:hAnsi="宋体"/>
                <w:color w:val="auto"/>
                <w:highlight w:val="none"/>
              </w:rPr>
              <w:t>2</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服务提供的时间、地点、方式：</w:t>
            </w:r>
            <w:r>
              <w:rPr>
                <w:rFonts w:hint="eastAsia"/>
                <w:color w:val="auto"/>
                <w:sz w:val="22"/>
                <w:highlight w:val="none"/>
                <w:lang w:val="en-US"/>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58"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ascii="宋体" w:hAnsi="宋体"/>
                <w:color w:val="auto"/>
                <w:highlight w:val="none"/>
              </w:rPr>
              <w:t>1</w:t>
            </w:r>
            <w:r>
              <w:rPr>
                <w:rFonts w:hint="eastAsia" w:ascii="宋体" w:hAnsi="宋体"/>
                <w:color w:val="auto"/>
                <w:highlight w:val="none"/>
              </w:rPr>
              <w:t>3</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采购资金的支付方式、时间、条件：</w:t>
            </w:r>
            <w:r>
              <w:rPr>
                <w:rFonts w:hint="eastAsia"/>
                <w:color w:val="auto"/>
                <w:sz w:val="22"/>
                <w:highlight w:val="none"/>
                <w:lang w:val="en-US"/>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14</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投标文件有效期：投标截止日起90天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15</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62"/>
              <w:spacing w:before="3" w:line="360" w:lineRule="auto"/>
              <w:ind w:left="107" w:right="83"/>
              <w:rPr>
                <w:rFonts w:hint="eastAsia"/>
                <w:color w:val="auto"/>
                <w:sz w:val="22"/>
                <w:highlight w:val="none"/>
              </w:rPr>
            </w:pPr>
            <w:r>
              <w:rPr>
                <w:rFonts w:hint="eastAsia"/>
                <w:color w:val="auto"/>
                <w:sz w:val="22"/>
                <w:highlight w:val="none"/>
              </w:rPr>
              <w:t>中标人数量：每标项推荐一位中标候选人，本项目按照标项号的前后顺序（即从标项一起评）进行评审，各投标人仅能按标项号的前后顺序中标一个标项，若某投标人已在排序靠前的标项号中标，能参与后序标项号的评审（即标项一的中标候选人可进入标项二的评审），但不得再被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793"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16</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rPr>
              <w:t>招标代理服务费参照国家计委《招标代理服务收费管理暂行办法》（【2002】1980号文件）服务类项目收费标准按年计算，以中标人实际中标价为计取基数，结合本项目在宁波市中介超市网竞报价格（即40%的中选下浮率）向中标人收取，该费用在中标通知书发出前一次性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9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highlight w:val="none"/>
              </w:rPr>
            </w:pPr>
            <w:r>
              <w:rPr>
                <w:rFonts w:hint="eastAsia" w:ascii="宋体" w:hAnsi="宋体"/>
                <w:color w:val="auto"/>
                <w:highlight w:val="none"/>
              </w:rPr>
              <w:t>17</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19"/>
              <w:spacing w:line="360" w:lineRule="auto"/>
              <w:ind w:firstLine="0" w:firstLineChars="0"/>
              <w:rPr>
                <w:rFonts w:hint="eastAsia" w:ascii="宋体" w:eastAsia="宋体" w:cs="宋体"/>
                <w:color w:val="auto"/>
                <w:sz w:val="22"/>
                <w:szCs w:val="22"/>
                <w:highlight w:val="none"/>
              </w:rPr>
            </w:pPr>
            <w:r>
              <w:rPr>
                <w:rFonts w:hint="eastAsia" w:ascii="宋体" w:eastAsia="宋体" w:cs="宋体"/>
                <w:bCs/>
                <w:color w:val="auto"/>
                <w:sz w:val="22"/>
                <w:szCs w:val="22"/>
                <w:highlight w:val="none"/>
              </w:rPr>
              <w:t xml:space="preserve">对招标文件的异议：投标人如对招标文件有异议，应当在投标截止时间10日前，以书面形式向采购人提出，投标人未按约定时间提出异议的，采购人或采购代理机构可以不接受异议。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9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18</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pStyle w:val="19"/>
              <w:spacing w:line="360" w:lineRule="auto"/>
              <w:ind w:firstLine="0" w:firstLineChars="0"/>
              <w:rPr>
                <w:rFonts w:hint="eastAsia" w:ascii="宋体" w:eastAsia="宋体" w:cs="宋体"/>
                <w:bCs/>
                <w:color w:val="auto"/>
                <w:sz w:val="22"/>
                <w:szCs w:val="22"/>
                <w:highlight w:val="none"/>
              </w:rPr>
            </w:pPr>
            <w:r>
              <w:rPr>
                <w:rFonts w:hint="eastAsia" w:ascii="宋体" w:eastAsia="宋体" w:cs="宋体"/>
                <w:bCs/>
                <w:color w:val="auto"/>
                <w:sz w:val="22"/>
                <w:szCs w:val="22"/>
                <w:highlight w:val="none"/>
              </w:rPr>
              <w:t>本项目对应的中小企业划分标准所属行业：（十六）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9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olor w:val="auto"/>
                <w:highlight w:val="none"/>
                <w:lang w:eastAsia="zh-CN"/>
              </w:rPr>
            </w:pPr>
            <w:r>
              <w:rPr>
                <w:rFonts w:hint="eastAsia" w:ascii="宋体" w:hAnsi="宋体"/>
                <w:color w:val="auto"/>
                <w:highlight w:val="none"/>
              </w:rPr>
              <w:t>1</w:t>
            </w:r>
            <w:r>
              <w:rPr>
                <w:rFonts w:hint="eastAsia" w:ascii="宋体" w:hAnsi="宋体"/>
                <w:color w:val="auto"/>
                <w:highlight w:val="none"/>
                <w:lang w:val="en-US" w:eastAsia="zh-CN"/>
              </w:rPr>
              <w:t>9</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解释：本招标文件的解释权属于采购人。</w:t>
            </w:r>
          </w:p>
        </w:tc>
      </w:tr>
    </w:tbl>
    <w:p>
      <w:pPr>
        <w:pStyle w:val="13"/>
        <w:spacing w:beforeLines="0" w:afterLines="0" w:line="440" w:lineRule="exact"/>
        <w:rPr>
          <w:rFonts w:hint="eastAsia" w:hAnsi="宋体"/>
          <w:b/>
          <w:color w:val="auto"/>
          <w:sz w:val="22"/>
          <w:szCs w:val="22"/>
          <w:highlight w:val="none"/>
        </w:rPr>
      </w:pPr>
      <w:r>
        <w:rPr>
          <w:rFonts w:hint="eastAsia" w:hAnsi="宋体"/>
          <w:b/>
          <w:bCs/>
          <w:color w:val="auto"/>
          <w:sz w:val="21"/>
          <w:szCs w:val="21"/>
          <w:highlight w:val="none"/>
        </w:rPr>
        <w:br w:type="page"/>
      </w:r>
      <w:bookmarkStart w:id="7" w:name="_Toc485712536"/>
      <w:r>
        <w:rPr>
          <w:rFonts w:hint="eastAsia" w:hAnsi="宋体"/>
          <w:b/>
          <w:color w:val="auto"/>
          <w:sz w:val="22"/>
          <w:szCs w:val="22"/>
          <w:highlight w:val="none"/>
        </w:rPr>
        <w:t>一、总  则</w:t>
      </w:r>
    </w:p>
    <w:p>
      <w:pPr>
        <w:spacing w:line="400" w:lineRule="exact"/>
        <w:ind w:firstLine="433" w:firstLineChars="196"/>
        <w:jc w:val="left"/>
        <w:outlineLvl w:val="1"/>
        <w:rPr>
          <w:rFonts w:hint="eastAsia" w:ascii="宋体" w:hAnsi="宋体" w:cs="宋体"/>
          <w:color w:val="auto"/>
          <w:sz w:val="22"/>
          <w:szCs w:val="22"/>
          <w:highlight w:val="none"/>
        </w:rPr>
      </w:pPr>
      <w:r>
        <w:rPr>
          <w:rFonts w:hint="eastAsia" w:ascii="宋体" w:hAnsi="宋体" w:cs="宋体"/>
          <w:b/>
          <w:color w:val="auto"/>
          <w:sz w:val="22"/>
          <w:szCs w:val="22"/>
          <w:highlight w:val="none"/>
        </w:rPr>
        <w:t>（一） 适用范围</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本招标文件适用于“2022年庄桥街道五位一体综合服务外包项目”的招标、投标、评标、定标、验收、合同履约、付款等行为（法律、法规另有规定的，从其规定）。</w:t>
      </w:r>
    </w:p>
    <w:p>
      <w:pPr>
        <w:spacing w:line="400" w:lineRule="exact"/>
        <w:ind w:firstLine="433" w:firstLineChars="196"/>
        <w:jc w:val="left"/>
        <w:outlineLvl w:val="1"/>
        <w:rPr>
          <w:rFonts w:hint="eastAsia" w:ascii="宋体" w:hAnsi="宋体" w:cs="宋体"/>
          <w:b/>
          <w:color w:val="auto"/>
          <w:sz w:val="22"/>
          <w:szCs w:val="22"/>
          <w:highlight w:val="none"/>
        </w:rPr>
      </w:pPr>
      <w:r>
        <w:rPr>
          <w:rFonts w:hint="eastAsia" w:ascii="宋体" w:hAnsi="宋体" w:cs="宋体"/>
          <w:b/>
          <w:color w:val="auto"/>
          <w:sz w:val="22"/>
          <w:szCs w:val="22"/>
          <w:highlight w:val="none"/>
        </w:rPr>
        <w:t>（二）定义</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1、招标采购单位系指组织本次招标的代理机构和采购单位。</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2、“投标人”系指向招标方提交投标文件的单位或个人。</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3、“产品”系指供方按招标文件规定，须向采购单位提供的一切设备、保险、税金、备品备件、工具、手册及其它有关技术资料和材料。</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4、“服务”系指招标文件规定投标人须承担的安装、调试、技术协助、校准、培训、技术指导以及其他类似的义务。</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5、“项目”系指投标人按招标文件规定向采购单位提供的产品和服务。</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6、“书面形式”包括信函、传真、电报等。</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7、“▲”系指实质性要求条款。</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（三）招标方式</w:t>
      </w:r>
    </w:p>
    <w:p>
      <w:pPr>
        <w:spacing w:line="400" w:lineRule="exact"/>
        <w:ind w:left="407" w:leftChars="190" w:hanging="8" w:hangingChars="4"/>
        <w:rPr>
          <w:rFonts w:hint="eastAsia" w:ascii="宋体" w:hAnsi="宋体" w:cs="宋体"/>
          <w:color w:val="auto"/>
          <w:sz w:val="22"/>
          <w:szCs w:val="22"/>
          <w:highlight w:val="none"/>
        </w:rPr>
      </w:pPr>
      <w:r>
        <w:rPr>
          <w:rFonts w:hint="eastAsia" w:ascii="宋体" w:hAnsi="宋体" w:cs="宋体"/>
          <w:color w:val="auto"/>
          <w:sz w:val="22"/>
          <w:szCs w:val="22"/>
          <w:highlight w:val="none"/>
        </w:rPr>
        <w:t>本次招标采用公开招标方式进行。</w:t>
      </w:r>
    </w:p>
    <w:p>
      <w:pPr>
        <w:spacing w:line="400" w:lineRule="exact"/>
        <w:ind w:left="408" w:leftChars="190" w:hanging="9" w:hangingChars="4"/>
        <w:rPr>
          <w:rFonts w:hint="eastAsia" w:ascii="宋体" w:hAnsi="宋体" w:cs="宋体"/>
          <w:b/>
          <w:color w:val="auto"/>
          <w:kern w:val="0"/>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kern w:val="0"/>
          <w:sz w:val="22"/>
          <w:szCs w:val="22"/>
          <w:highlight w:val="none"/>
        </w:rPr>
        <w:t>四）投标委托</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投标文件的签署人应当为投标人的法定代表人或其授权的代表。投标文件的签署人为投标人的法定代表人时，投标文件中必须提供法定代表人身份证正反面复印件；投标文件的签署人非投标人的法定代表人时，投标文件中必须提供投标人的法定代表人出具的授权委托书及法定代表人授权代表的身份证正反面复印件。</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（五）投标费用</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不论投标结果如何，投标人均应自行承担所有与投标有关的全部费用（招标文件有相反规定除外）。</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（六）联合体投标</w:t>
      </w:r>
    </w:p>
    <w:p>
      <w:pPr>
        <w:spacing w:line="400" w:lineRule="exact"/>
        <w:ind w:firstLine="660" w:firstLineChars="3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本项目接受联合体投标。</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（七）转包与分包</w:t>
      </w:r>
    </w:p>
    <w:p>
      <w:pPr>
        <w:spacing w:line="40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1.本项目不允许转包。</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2.本项目不可以分包。</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（八）特别说明：</w:t>
      </w:r>
    </w:p>
    <w:p>
      <w:pPr>
        <w:widowControl/>
        <w:spacing w:line="400" w:lineRule="exact"/>
        <w:ind w:firstLine="220" w:firstLineChars="1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00" w:lineRule="exact"/>
        <w:ind w:firstLine="220" w:firstLineChars="1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多家代理商或经销商参加投标，如其中两家或两家以上供应商存在分级代理或代销关系，且提供的是其所代理品牌产品的，评审时，按上述规定确定其中一家为有效供应商。</w:t>
      </w:r>
    </w:p>
    <w:p>
      <w:pPr>
        <w:widowControl/>
        <w:spacing w:line="400" w:lineRule="exact"/>
        <w:ind w:firstLine="220" w:firstLineChars="1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同一家原生产厂商授权多家代理商参加投标的，评审时，按上述规定确定其中一家为有效供应商。</w:t>
      </w:r>
    </w:p>
    <w:p>
      <w:pPr>
        <w:widowControl/>
        <w:spacing w:line="400" w:lineRule="exact"/>
        <w:ind w:firstLine="440" w:firstLineChars="2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00" w:lineRule="exact"/>
        <w:ind w:left="2" w:leftChars="1"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▲2.投标人投标所使用的资格、信誉、荣誉、业绩与企业认证必须为本法人所拥有。投标人投标所使用的采购项目实施人员必须为本法人员工。</w:t>
      </w:r>
    </w:p>
    <w:p>
      <w:pPr>
        <w:spacing w:line="400" w:lineRule="exact"/>
        <w:ind w:left="2" w:leftChars="1"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▲3.投标人应仔细阅读招标文件的所有内容，按照招标文件的要求提交投标文件，并对所提供的全部资料的真实性承担法律责任。</w:t>
      </w:r>
    </w:p>
    <w:p>
      <w:pPr>
        <w:spacing w:line="400" w:lineRule="exact"/>
        <w:ind w:left="2" w:leftChars="1" w:firstLine="440" w:firstLineChars="200"/>
        <w:rPr>
          <w:rFonts w:hint="eastAsia" w:ascii="宋体" w:hAnsi="宋体" w:cs="宋体"/>
          <w:b/>
          <w:bCs/>
          <w:color w:val="auto"/>
          <w:sz w:val="22"/>
          <w:szCs w:val="22"/>
          <w:highlight w:val="none"/>
        </w:rPr>
      </w:pPr>
      <w:r>
        <w:rPr>
          <w:rFonts w:hint="eastAsia" w:ascii="宋体" w:hAnsi="宋体" w:cs="宋体"/>
          <w:color w:val="auto"/>
          <w:sz w:val="22"/>
          <w:szCs w:val="22"/>
          <w:highlight w:val="none"/>
        </w:rPr>
        <w:t>▲4.投标人在投标活动中提供任何虚假材料，其投标无效，并报监管部门查处；</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（九）质疑和投诉</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1.供应商认为采购文件、采购过程、中标或者成交结果使自己的权益受到损害的，可以在知道或者应知其权益受到损害之日起7个工作日内，以书面形式向采购人、采购代理机构提出质疑。</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2.供应商应在法定质疑期内一次性提出针对同一采购程序环节的质疑。</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3.提出质疑的供应商应当是参与所质疑项目采购活动的供应商。</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4.潜在供应商已依法获取其可质疑的采购文件的，可以对该文件提出质疑。对采购文件提出质疑的，应当在获取采购文件或者采购文件公告期限届满之日起7个工作日内提出。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5.供应商为自然人的，应当由本人签字；供应商为法人或者其他组织的，应当由法定代表人、主要负责人，或者其授权代表签字或者盖章，并加盖公章。</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6.文件具体要求详见中华人民共和国财政部令第94号--政府采购质疑和投诉办法。</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（十）关于知识产权</w:t>
      </w:r>
    </w:p>
    <w:p>
      <w:pPr>
        <w:spacing w:line="400" w:lineRule="exact"/>
        <w:ind w:firstLine="431" w:firstLineChars="196"/>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00" w:lineRule="exact"/>
        <w:ind w:firstLine="431" w:firstLineChars="196"/>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2.投标报价应包含所有应向所有权人支付的专利权、商标权或其它知识产权的一切相关费用。</w:t>
      </w:r>
    </w:p>
    <w:p>
      <w:pPr>
        <w:spacing w:line="400" w:lineRule="exact"/>
        <w:ind w:firstLine="431" w:firstLineChars="196"/>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3.系统软件、通用软件必须是具有在中国境内的合法使用权或版权的正版软件，涉及到第三方提出侵权或知识产权的起诉及支付版税等费用由投标人承担所有责任及费用。</w:t>
      </w:r>
    </w:p>
    <w:p>
      <w:pPr>
        <w:spacing w:line="400" w:lineRule="exact"/>
        <w:ind w:firstLine="433" w:firstLineChars="196"/>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二、招标文件</w:t>
      </w:r>
    </w:p>
    <w:p>
      <w:pPr>
        <w:spacing w:line="400" w:lineRule="exact"/>
        <w:ind w:firstLine="433" w:firstLineChars="196"/>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（一）招标文件的构成。本招标文件由以下部份组成：</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1.招标公告</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2.招标需求</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3.投标人须知</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4.评标办法及标准</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5.合同主要条款</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6.投标文件格式</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7.本项目招标文件的澄清、答复、修改、补充的内容</w:t>
      </w:r>
    </w:p>
    <w:p>
      <w:pPr>
        <w:spacing w:line="400" w:lineRule="exact"/>
        <w:ind w:firstLine="433" w:firstLineChars="196"/>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（二）投标人的风险</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投标人没有按照招标文件要求提供全部资料，或者投标人没有对招标文件在各方面作出实质性响应是投标人的风险，并可能导致其投标被拒绝。</w:t>
      </w:r>
    </w:p>
    <w:p>
      <w:pPr>
        <w:widowControl/>
        <w:tabs>
          <w:tab w:val="left" w:pos="454"/>
          <w:tab w:val="left" w:pos="720"/>
          <w:tab w:val="left" w:pos="900"/>
        </w:tabs>
        <w:spacing w:line="400" w:lineRule="exact"/>
        <w:ind w:firstLine="433" w:firstLineChars="196"/>
        <w:jc w:val="left"/>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 xml:space="preserve">（三）招标文件的澄清与修改 </w:t>
      </w:r>
    </w:p>
    <w:p>
      <w:pPr>
        <w:spacing w:line="400" w:lineRule="exact"/>
        <w:ind w:firstLine="431" w:firstLineChars="196"/>
        <w:outlineLvl w:val="1"/>
        <w:rPr>
          <w:rFonts w:hint="eastAsia" w:ascii="宋体" w:hAnsi="宋体" w:cs="宋体"/>
          <w:color w:val="auto"/>
          <w:sz w:val="22"/>
          <w:szCs w:val="22"/>
          <w:highlight w:val="none"/>
        </w:rPr>
      </w:pPr>
      <w:bookmarkStart w:id="8" w:name="_Toc485712539"/>
      <w:r>
        <w:rPr>
          <w:rFonts w:hint="eastAsia" w:ascii="宋体" w:hAnsi="宋体" w:cs="宋体"/>
          <w:color w:val="auto"/>
          <w:sz w:val="22"/>
          <w:szCs w:val="22"/>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400" w:lineRule="exact"/>
        <w:ind w:firstLine="431" w:firstLineChars="196"/>
        <w:outlineLvl w:val="1"/>
        <w:rPr>
          <w:rFonts w:hint="eastAsia" w:ascii="宋体" w:hAnsi="宋体" w:cs="宋体"/>
          <w:color w:val="auto"/>
          <w:sz w:val="22"/>
          <w:szCs w:val="22"/>
          <w:highlight w:val="none"/>
        </w:rPr>
      </w:pPr>
      <w:r>
        <w:rPr>
          <w:rFonts w:hint="eastAsia" w:ascii="宋体" w:hAnsi="宋体" w:cs="宋体"/>
          <w:color w:val="auto"/>
          <w:sz w:val="22"/>
          <w:szCs w:val="22"/>
          <w:highlight w:val="none"/>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400" w:lineRule="exact"/>
        <w:ind w:firstLine="431" w:firstLineChars="196"/>
        <w:outlineLvl w:val="1"/>
        <w:rPr>
          <w:rFonts w:hint="eastAsia" w:ascii="宋体" w:hAnsi="宋体" w:cs="宋体"/>
          <w:color w:val="auto"/>
          <w:sz w:val="22"/>
          <w:szCs w:val="22"/>
          <w:highlight w:val="none"/>
        </w:rPr>
      </w:pPr>
      <w:r>
        <w:rPr>
          <w:rFonts w:hint="eastAsia" w:ascii="宋体" w:hAnsi="宋体" w:cs="宋体"/>
          <w:color w:val="auto"/>
          <w:sz w:val="22"/>
          <w:szCs w:val="22"/>
          <w:highlight w:val="none"/>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31" w:firstLineChars="196"/>
        <w:outlineLvl w:val="1"/>
        <w:rPr>
          <w:rFonts w:hint="eastAsia" w:ascii="宋体" w:hAnsi="宋体" w:cs="宋体"/>
          <w:color w:val="auto"/>
          <w:sz w:val="22"/>
          <w:szCs w:val="22"/>
          <w:highlight w:val="none"/>
        </w:rPr>
      </w:pPr>
      <w:r>
        <w:rPr>
          <w:rFonts w:hint="eastAsia" w:ascii="宋体" w:hAnsi="宋体" w:cs="宋体"/>
          <w:color w:val="auto"/>
          <w:sz w:val="22"/>
          <w:szCs w:val="22"/>
          <w:highlight w:val="none"/>
        </w:rPr>
        <w:t>4.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tabs>
          <w:tab w:val="left" w:pos="454"/>
          <w:tab w:val="left" w:pos="720"/>
        </w:tabs>
        <w:spacing w:line="400" w:lineRule="exact"/>
        <w:ind w:left="279"/>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（四）对招标文件的异议</w:t>
      </w:r>
    </w:p>
    <w:p>
      <w:pPr>
        <w:spacing w:line="400" w:lineRule="exact"/>
        <w:ind w:firstLine="660" w:firstLineChars="3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投标人如对招标文件有异议，应当在投标截止时间10日前，以书面形式向招标采购单位提出，投标人未按约定时间提出异议的，采购人或采购代理机构可以不接受异议。 </w:t>
      </w:r>
    </w:p>
    <w:p>
      <w:pPr>
        <w:spacing w:line="360" w:lineRule="auto"/>
        <w:ind w:firstLine="433" w:firstLineChars="196"/>
        <w:outlineLvl w:val="1"/>
        <w:rPr>
          <w:rFonts w:hint="eastAsia" w:ascii="宋体" w:hAnsi="宋体" w:cs="宋体"/>
          <w:b/>
          <w:color w:val="auto"/>
          <w:sz w:val="22"/>
          <w:szCs w:val="22"/>
          <w:highlight w:val="none"/>
        </w:rPr>
      </w:pPr>
      <w:r>
        <w:rPr>
          <w:rFonts w:hint="eastAsia" w:ascii="宋体" w:hAnsi="宋体" w:cs="宋体"/>
          <w:b/>
          <w:color w:val="auto"/>
          <w:sz w:val="22"/>
          <w:szCs w:val="22"/>
          <w:highlight w:val="none"/>
        </w:rPr>
        <w:t>三、投标文件的编制</w:t>
      </w:r>
    </w:p>
    <w:p>
      <w:pPr>
        <w:tabs>
          <w:tab w:val="left" w:pos="454"/>
          <w:tab w:val="left" w:pos="720"/>
        </w:tabs>
        <w:spacing w:line="360" w:lineRule="auto"/>
        <w:ind w:left="279"/>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（一）投标文件的组成</w:t>
      </w:r>
    </w:p>
    <w:p>
      <w:pPr>
        <w:spacing w:line="360" w:lineRule="auto"/>
        <w:ind w:firstLine="651" w:firstLineChars="296"/>
        <w:outlineLvl w:val="1"/>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投标文件由资格审查文件、技术商务文件及报价文件组成</w:t>
      </w:r>
    </w:p>
    <w:p>
      <w:pPr>
        <w:tabs>
          <w:tab w:val="left" w:pos="440"/>
          <w:tab w:val="left" w:pos="518"/>
        </w:tabs>
        <w:adjustRightInd w:val="0"/>
        <w:spacing w:line="360" w:lineRule="auto"/>
        <w:ind w:firstLine="440" w:firstLineChars="200"/>
        <w:rPr>
          <w:rFonts w:hint="eastAsia" w:ascii="宋体" w:hAnsi="宋体" w:cs="宋体"/>
          <w:color w:val="auto"/>
          <w:sz w:val="22"/>
          <w:szCs w:val="22"/>
          <w:highlight w:val="none"/>
        </w:rPr>
      </w:pPr>
      <w:bookmarkStart w:id="9" w:name="_Hlk86594141"/>
      <w:r>
        <w:rPr>
          <w:rFonts w:hint="eastAsia" w:ascii="宋体" w:hAnsi="宋体" w:cs="宋体"/>
          <w:color w:val="auto"/>
          <w:sz w:val="22"/>
          <w:szCs w:val="22"/>
          <w:highlight w:val="none"/>
        </w:rPr>
        <w:t xml:space="preserve">1、资格审查文件包含但不限于以下文件： </w:t>
      </w:r>
    </w:p>
    <w:p>
      <w:pPr>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（1）资格条件自查表（格式见第六章 投标文件格式）；</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（2）关于资格的承诺函（格式详见招标文件第六章）；</w:t>
      </w:r>
      <w:bookmarkStart w:id="10" w:name="_Hlk4309479"/>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（3）有效的企业法人营业执照（或事业法人登记证）、其他组织（个体工商户）的营业执照或者民办非企业单位登记证书复印件加盖供应商公章；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（4）开标截止时间前6个月内任意1个月的财务会计报表复印件加盖供应商公章；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（5）具有履行合同所必需的设备和专业技术能力的声明函（格式详见招标文件第六章）；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（6）开标截止时间前6个月内任意1个月的缴纳税收的证明资料复印件加盖供应商公章；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（7）开标截止时间前6个月内任意1个月的缴纳社保的证明资料复印件加盖供应商公章；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（8）无重大违法记录的声明函（格式详见招标文件第六章）；</w:t>
      </w:r>
      <w:bookmarkEnd w:id="10"/>
    </w:p>
    <w:p>
      <w:pPr>
        <w:spacing w:line="360" w:lineRule="auto"/>
        <w:ind w:firstLine="420" w:firstLineChars="200"/>
        <w:jc w:val="left"/>
        <w:rPr>
          <w:rFonts w:hint="eastAsia"/>
          <w:color w:val="auto"/>
          <w:highlight w:val="none"/>
        </w:rPr>
      </w:pPr>
      <w:r>
        <w:rPr>
          <w:rFonts w:hint="eastAsia" w:ascii="宋体" w:hAnsi="宋体"/>
          <w:color w:val="auto"/>
          <w:highlight w:val="none"/>
        </w:rPr>
        <w:t>（9）联合体投标协议书（如为联合体，须提供联合投标协议书，格式详见招标文件第六章）；</w:t>
      </w:r>
    </w:p>
    <w:p>
      <w:pPr>
        <w:spacing w:line="360" w:lineRule="auto"/>
        <w:ind w:firstLine="420" w:firstLineChars="200"/>
        <w:jc w:val="left"/>
        <w:rPr>
          <w:rFonts w:hint="eastAsia"/>
          <w:color w:val="auto"/>
          <w:highlight w:val="none"/>
        </w:rPr>
      </w:pPr>
      <w:r>
        <w:rPr>
          <w:rFonts w:hint="eastAsia" w:ascii="宋体" w:hAnsi="宋体"/>
          <w:color w:val="auto"/>
          <w:highlight w:val="none"/>
        </w:rPr>
        <w:t>（10）供应商认为需要的其他资料（如有需提供）。</w:t>
      </w:r>
    </w:p>
    <w:p>
      <w:pPr>
        <w:pStyle w:val="20"/>
        <w:widowControl w:val="0"/>
        <w:spacing w:before="0" w:afterLines="0" w:line="360" w:lineRule="auto"/>
        <w:ind w:firstLine="482" w:firstLineChars="200"/>
        <w:rPr>
          <w:b/>
          <w:bCs/>
          <w:color w:val="auto"/>
          <w:highlight w:val="none"/>
        </w:rPr>
      </w:pPr>
      <w:r>
        <w:rPr>
          <w:rFonts w:hint="eastAsia" w:cs="Times New Roman"/>
          <w:b/>
          <w:bCs/>
          <w:color w:val="auto"/>
          <w:szCs w:val="21"/>
          <w:highlight w:val="none"/>
        </w:rPr>
        <w:t>注：</w:t>
      </w:r>
      <w:r>
        <w:rPr>
          <w:rFonts w:hint="eastAsia"/>
          <w:b/>
          <w:bCs/>
          <w:color w:val="auto"/>
          <w:sz w:val="21"/>
          <w:szCs w:val="21"/>
          <w:highlight w:val="none"/>
        </w:rPr>
        <w:t>以上提供资格证明材料均需复印件加盖公章编入投标文件。如为联合体投标的，联合体各方的资料均须提供。</w:t>
      </w:r>
    </w:p>
    <w:p>
      <w:pPr>
        <w:tabs>
          <w:tab w:val="left" w:pos="440"/>
          <w:tab w:val="left" w:pos="518"/>
        </w:tabs>
        <w:adjustRightInd w:val="0"/>
        <w:spacing w:line="360" w:lineRule="auto"/>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2、技术商务文件包含但不限于以下文件： </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（1）自评分表（格式见第六章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（2）投标人基本情况表（格式见第六章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（3）营业执照副本复印件；</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w:t>
      </w:r>
      <w:r>
        <w:rPr>
          <w:color w:val="auto"/>
          <w:sz w:val="22"/>
          <w:szCs w:val="22"/>
          <w:highlight w:val="none"/>
        </w:rPr>
        <w:t>4</w:t>
      </w:r>
      <w:r>
        <w:rPr>
          <w:rFonts w:hint="eastAsia"/>
          <w:color w:val="auto"/>
          <w:sz w:val="22"/>
          <w:szCs w:val="22"/>
          <w:highlight w:val="none"/>
        </w:rPr>
        <w:t>）法定代表人身份证明书或附有法定代表人身份证明书的法定代表人授权委托书（格式见第六章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（4）投标人承诺书（格式见第六章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（5）商务条款响应表（格式见第六章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（6）管理方案（格式自拟）；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（7）质量保证措施（格式自拟）；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（8）服务便捷性与应急保障方案（格式自拟）；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（9）项目实施人员情况一览表（格式见第六章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（10）机械及车辆设备配备表（格式自拟）；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（11）同类项目业绩（格式自拟）；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（12）招标文件评分标准中需要提供的相关资料；</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（13）其他招标文件要求或投标人认为有必要提供的文件资料。</w:t>
      </w:r>
    </w:p>
    <w:p>
      <w:pPr>
        <w:tabs>
          <w:tab w:val="left" w:pos="440"/>
        </w:tabs>
        <w:spacing w:line="320" w:lineRule="exact"/>
        <w:ind w:firstLine="433" w:firstLineChars="196"/>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3.报价文件包括以下内容：</w:t>
      </w:r>
    </w:p>
    <w:p>
      <w:pPr>
        <w:spacing w:after="120"/>
        <w:ind w:firstLine="420"/>
        <w:rPr>
          <w:rFonts w:hint="eastAsia"/>
          <w:color w:val="auto"/>
          <w:spacing w:val="-4"/>
          <w:sz w:val="22"/>
          <w:szCs w:val="22"/>
          <w:highlight w:val="none"/>
        </w:rPr>
      </w:pPr>
      <w:r>
        <w:rPr>
          <w:rFonts w:hint="eastAsia"/>
          <w:color w:val="auto"/>
          <w:spacing w:val="-4"/>
          <w:sz w:val="22"/>
          <w:szCs w:val="22"/>
          <w:highlight w:val="none"/>
        </w:rPr>
        <w:t>（1）报价文件封面（</w:t>
      </w:r>
      <w:r>
        <w:rPr>
          <w:rFonts w:hint="eastAsia" w:ascii="宋体" w:hAnsi="宋体" w:cs="宋体"/>
          <w:color w:val="auto"/>
          <w:spacing w:val="-4"/>
          <w:sz w:val="22"/>
          <w:szCs w:val="22"/>
          <w:highlight w:val="none"/>
        </w:rPr>
        <w:t>格式见附件</w:t>
      </w:r>
      <w:r>
        <w:rPr>
          <w:rFonts w:hint="eastAsia"/>
          <w:color w:val="auto"/>
          <w:spacing w:val="-4"/>
          <w:sz w:val="22"/>
          <w:szCs w:val="22"/>
          <w:highlight w:val="none"/>
        </w:rPr>
        <w:t>）</w:t>
      </w:r>
    </w:p>
    <w:p>
      <w:pPr>
        <w:spacing w:after="120"/>
        <w:ind w:firstLine="420"/>
        <w:rPr>
          <w:rFonts w:hint="eastAsia" w:ascii="宋体" w:hAnsi="宋体" w:cs="宋体"/>
          <w:color w:val="auto"/>
          <w:spacing w:val="-4"/>
          <w:sz w:val="22"/>
          <w:szCs w:val="22"/>
          <w:highlight w:val="none"/>
        </w:rPr>
      </w:pPr>
      <w:r>
        <w:rPr>
          <w:rFonts w:hint="eastAsia"/>
          <w:color w:val="auto"/>
          <w:spacing w:val="-4"/>
          <w:sz w:val="22"/>
          <w:szCs w:val="22"/>
          <w:highlight w:val="none"/>
        </w:rPr>
        <w:t>（2）</w:t>
      </w:r>
      <w:r>
        <w:rPr>
          <w:rFonts w:hint="eastAsia" w:ascii="宋体" w:hAnsi="宋体" w:cs="宋体"/>
          <w:color w:val="auto"/>
          <w:spacing w:val="-4"/>
          <w:sz w:val="22"/>
          <w:szCs w:val="22"/>
          <w:highlight w:val="none"/>
        </w:rPr>
        <w:t>投标函（</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ind w:firstLine="4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（3）开标一览表（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ind w:firstLine="4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（4）报价明细表（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ind w:firstLine="4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（5）中小企业声明函（</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ind w:firstLine="4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（6）残疾人福利性单位声明函如适用（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ind w:firstLine="420"/>
        <w:rPr>
          <w:rFonts w:hint="eastAsia"/>
          <w:color w:val="auto"/>
          <w:spacing w:val="-4"/>
          <w:sz w:val="22"/>
          <w:szCs w:val="22"/>
          <w:highlight w:val="none"/>
        </w:rPr>
      </w:pPr>
      <w:r>
        <w:rPr>
          <w:rFonts w:hint="eastAsia" w:ascii="宋体" w:hAnsi="宋体" w:cs="宋体"/>
          <w:color w:val="auto"/>
          <w:spacing w:val="-4"/>
          <w:sz w:val="22"/>
          <w:szCs w:val="22"/>
          <w:highlight w:val="none"/>
        </w:rPr>
        <w:t>（7）投标人认为需提交的其他文件资料。</w:t>
      </w:r>
    </w:p>
    <w:bookmarkEnd w:id="9"/>
    <w:p>
      <w:pPr>
        <w:tabs>
          <w:tab w:val="left" w:pos="440"/>
          <w:tab w:val="left" w:pos="518"/>
        </w:tabs>
        <w:adjustRightInd w:val="0"/>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本项目为非专门面向中小企业采购的项目，如果供应商和制造商为中小企业，应同时提供供应商和制造商的中小企业声明函。如未按照要求提供，将不得享受评标标准中注明的针对小微企业的价格扣除优惠。</w:t>
      </w:r>
    </w:p>
    <w:p>
      <w:pPr>
        <w:tabs>
          <w:tab w:val="left" w:pos="440"/>
        </w:tabs>
        <w:spacing w:line="400" w:lineRule="exact"/>
        <w:ind w:firstLine="433" w:firstLineChars="196"/>
        <w:jc w:val="left"/>
        <w:rPr>
          <w:rFonts w:hint="eastAsia"/>
          <w:b/>
          <w:color w:val="auto"/>
          <w:sz w:val="22"/>
          <w:szCs w:val="22"/>
          <w:highlight w:val="none"/>
          <w:u w:val="single"/>
        </w:rPr>
      </w:pPr>
      <w:r>
        <w:rPr>
          <w:rFonts w:hint="eastAsia" w:ascii="宋体" w:hAnsi="宋体" w:cs="宋体"/>
          <w:b/>
          <w:color w:val="auto"/>
          <w:sz w:val="22"/>
          <w:szCs w:val="22"/>
          <w:highlight w:val="none"/>
          <w:u w:val="single"/>
        </w:rPr>
        <w:t>上述组成投标文件的各项资料中本招标书的有规定格式的，应统一按本招标书的规定格式填写。未有规定格式的资料，投标人应自行编制，但至少要包含以上要求的内容。</w:t>
      </w:r>
    </w:p>
    <w:p>
      <w:pPr>
        <w:tabs>
          <w:tab w:val="left" w:pos="440"/>
        </w:tabs>
        <w:spacing w:line="400" w:lineRule="exact"/>
        <w:ind w:firstLine="440" w:firstLineChars="200"/>
        <w:jc w:val="left"/>
        <w:rPr>
          <w:rFonts w:hint="eastAsia" w:ascii="宋体" w:hAnsi="宋体" w:cs="宋体"/>
          <w:b/>
          <w:bCs/>
          <w:color w:val="auto"/>
          <w:sz w:val="22"/>
          <w:szCs w:val="22"/>
          <w:highlight w:val="none"/>
        </w:rPr>
      </w:pPr>
      <w:r>
        <w:rPr>
          <w:rFonts w:hint="eastAsia" w:ascii="宋体" w:hAnsi="宋体" w:cs="宋体"/>
          <w:color w:val="auto"/>
          <w:sz w:val="22"/>
          <w:szCs w:val="22"/>
          <w:highlight w:val="none"/>
        </w:rPr>
        <w:t>▲</w:t>
      </w:r>
      <w:r>
        <w:rPr>
          <w:rFonts w:hint="eastAsia" w:ascii="宋体" w:hAnsi="宋体" w:cs="宋体"/>
          <w:b/>
          <w:bCs/>
          <w:color w:val="auto"/>
          <w:sz w:val="22"/>
          <w:szCs w:val="22"/>
          <w:highlight w:val="none"/>
        </w:rPr>
        <w:t>注：技术商务文件中不能出现报价，否则后果由投标人自行承担。</w:t>
      </w:r>
    </w:p>
    <w:p>
      <w:pPr>
        <w:spacing w:line="400" w:lineRule="exact"/>
        <w:ind w:firstLine="433" w:firstLineChars="196"/>
        <w:jc w:val="left"/>
        <w:outlineLvl w:val="0"/>
        <w:rPr>
          <w:rFonts w:hint="eastAsia" w:ascii="宋体" w:hAnsi="宋体" w:cs="宋体"/>
          <w:b/>
          <w:color w:val="auto"/>
          <w:sz w:val="22"/>
          <w:szCs w:val="22"/>
          <w:highlight w:val="none"/>
        </w:rPr>
      </w:pPr>
      <w:r>
        <w:rPr>
          <w:rFonts w:hint="eastAsia" w:ascii="宋体" w:hAnsi="宋体" w:cs="宋体"/>
          <w:b/>
          <w:color w:val="auto"/>
          <w:sz w:val="22"/>
          <w:szCs w:val="22"/>
          <w:highlight w:val="none"/>
        </w:rPr>
        <w:t>（二）投标文件的语言及计量</w:t>
      </w:r>
      <w:bookmarkEnd w:id="8"/>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▲1投标文件以及投标方与招标方就有关投标事宜的所有来往函电，均应以中文汉语书写。除签名、盖章、专用名称等特殊情形外，以中文汉语以外的文字表述的投标文件视同未提供。</w:t>
      </w:r>
    </w:p>
    <w:p>
      <w:pPr>
        <w:spacing w:line="40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▲2投标计量单位，招标文件已有明确规定的，使用招标文件规定的计量单位；招标文件没有规定的，应采用中华人民共和国法定计量单位（货币单位：人民币元），否则视同未响应。</w:t>
      </w:r>
    </w:p>
    <w:p>
      <w:pPr>
        <w:spacing w:line="400" w:lineRule="exact"/>
        <w:ind w:firstLine="433" w:firstLineChars="196"/>
        <w:jc w:val="left"/>
        <w:outlineLvl w:val="0"/>
        <w:rPr>
          <w:rFonts w:hint="eastAsia" w:ascii="宋体" w:hAnsi="宋体" w:cs="宋体"/>
          <w:b/>
          <w:color w:val="auto"/>
          <w:sz w:val="22"/>
          <w:szCs w:val="22"/>
          <w:highlight w:val="none"/>
        </w:rPr>
      </w:pPr>
      <w:r>
        <w:rPr>
          <w:rFonts w:hint="eastAsia" w:ascii="宋体" w:hAnsi="宋体" w:cs="宋体"/>
          <w:b/>
          <w:color w:val="auto"/>
          <w:sz w:val="22"/>
          <w:szCs w:val="22"/>
          <w:highlight w:val="none"/>
        </w:rPr>
        <w:t>（三）投标报价</w:t>
      </w:r>
    </w:p>
    <w:p>
      <w:pPr>
        <w:widowControl/>
        <w:tabs>
          <w:tab w:val="left" w:pos="454"/>
          <w:tab w:val="left" w:pos="720"/>
          <w:tab w:val="left" w:pos="900"/>
        </w:tabs>
        <w:spacing w:line="400" w:lineRule="exact"/>
        <w:ind w:firstLine="431" w:firstLineChars="196"/>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1.投标报价应按招标文件中相关附表格式填写。</w:t>
      </w:r>
    </w:p>
    <w:p>
      <w:pPr>
        <w:widowControl/>
        <w:tabs>
          <w:tab w:val="left" w:pos="454"/>
          <w:tab w:val="left" w:pos="720"/>
          <w:tab w:val="left" w:pos="900"/>
        </w:tabs>
        <w:spacing w:line="400" w:lineRule="exact"/>
        <w:ind w:firstLine="431" w:firstLineChars="196"/>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2.报价要求：详见招标文第三章《投标人须知》前附表。</w:t>
      </w:r>
    </w:p>
    <w:p>
      <w:pPr>
        <w:widowControl/>
        <w:tabs>
          <w:tab w:val="left" w:pos="454"/>
          <w:tab w:val="left" w:pos="720"/>
          <w:tab w:val="left" w:pos="900"/>
        </w:tabs>
        <w:spacing w:line="400" w:lineRule="exact"/>
        <w:ind w:firstLine="431" w:firstLineChars="196"/>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▲3.投标文件只允许有一个报价，有选择的或有条件的报价将不予接受。</w:t>
      </w:r>
    </w:p>
    <w:p>
      <w:pPr>
        <w:widowControl/>
        <w:tabs>
          <w:tab w:val="left" w:pos="454"/>
          <w:tab w:val="left" w:pos="720"/>
          <w:tab w:val="left" w:pos="900"/>
        </w:tabs>
        <w:spacing w:line="400" w:lineRule="exact"/>
        <w:ind w:firstLine="433" w:firstLineChars="196"/>
        <w:jc w:val="left"/>
        <w:rPr>
          <w:rFonts w:hint="eastAsia" w:ascii="宋体" w:hAnsi="宋体" w:cs="宋体"/>
          <w:b/>
          <w:color w:val="auto"/>
          <w:kern w:val="0"/>
          <w:sz w:val="22"/>
          <w:szCs w:val="22"/>
          <w:highlight w:val="none"/>
        </w:rPr>
      </w:pPr>
      <w:r>
        <w:rPr>
          <w:rFonts w:hint="eastAsia" w:ascii="宋体" w:hAnsi="宋体" w:cs="宋体"/>
          <w:b/>
          <w:color w:val="auto"/>
          <w:kern w:val="0"/>
          <w:sz w:val="22"/>
          <w:szCs w:val="22"/>
          <w:highlight w:val="none"/>
        </w:rPr>
        <w:t>（四）投标文件的有效期</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▲1.自投标截止日起90天投标文件应保持有效。有效期不足的投标文件将被拒绝。</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2.在特殊情况下，招标人可与投标人协商延长投标书的有效期，这种要求和答复均以书面形式进行</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3.投标人可拒绝接受延期要求。同意延长有效期的投标人不能修改投标文件。</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4.中标人的投标文件自开标之日起至合同履行完毕止均应保持有效。</w:t>
      </w:r>
    </w:p>
    <w:p>
      <w:pPr>
        <w:spacing w:line="400" w:lineRule="exact"/>
        <w:ind w:firstLine="433" w:firstLineChars="196"/>
        <w:jc w:val="left"/>
        <w:outlineLvl w:val="0"/>
        <w:rPr>
          <w:rFonts w:hint="eastAsia" w:ascii="宋体" w:hAnsi="宋体" w:cs="宋体"/>
          <w:b/>
          <w:color w:val="auto"/>
          <w:sz w:val="22"/>
          <w:szCs w:val="22"/>
          <w:highlight w:val="none"/>
        </w:rPr>
      </w:pPr>
      <w:r>
        <w:rPr>
          <w:rFonts w:hint="eastAsia" w:ascii="宋体" w:hAnsi="宋体" w:cs="宋体"/>
          <w:b/>
          <w:color w:val="auto"/>
          <w:sz w:val="22"/>
          <w:szCs w:val="22"/>
          <w:highlight w:val="none"/>
        </w:rPr>
        <w:t>（五）投标保证金：本项目无投标保证金。</w:t>
      </w:r>
    </w:p>
    <w:p>
      <w:pPr>
        <w:spacing w:line="400" w:lineRule="exact"/>
        <w:ind w:firstLine="433" w:firstLineChars="196"/>
        <w:jc w:val="left"/>
        <w:outlineLvl w:val="0"/>
        <w:rPr>
          <w:rFonts w:hint="eastAsia" w:ascii="宋体" w:hAnsi="宋体" w:cs="宋体"/>
          <w:b/>
          <w:color w:val="auto"/>
          <w:sz w:val="22"/>
          <w:szCs w:val="22"/>
          <w:highlight w:val="none"/>
        </w:rPr>
      </w:pPr>
      <w:r>
        <w:rPr>
          <w:rFonts w:hint="eastAsia" w:ascii="宋体" w:hAnsi="宋体" w:cs="宋体"/>
          <w:b/>
          <w:color w:val="auto"/>
          <w:sz w:val="22"/>
          <w:szCs w:val="22"/>
          <w:highlight w:val="none"/>
        </w:rPr>
        <w:t>（六）投标文件的签署和份数</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1.投标人应按本招标文件规定的格式和顺序编制、并标注页码，投标文件内容不完整、编排混乱导致投标文件被误读、漏读或者查找不到相关内容的，是投标人的责任。</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2.投标人应▲①上传至政府采购云平台的电子投标文件（含资格文件、商务技术文件、报价文件）1 份。②可提供以U盘存储的数据电文形式的备份投标文件（含资格文件、商务技术文件、报价文件）1份。</w:t>
      </w:r>
    </w:p>
    <w:p>
      <w:pPr>
        <w:spacing w:line="360" w:lineRule="auto"/>
        <w:ind w:firstLine="444" w:firstLineChars="201"/>
        <w:rPr>
          <w:rFonts w:hint="eastAsia" w:ascii="宋体" w:hAnsi="宋体" w:cs="宋体"/>
          <w:b/>
          <w:bCs/>
          <w:color w:val="auto"/>
          <w:sz w:val="22"/>
          <w:szCs w:val="22"/>
          <w:highlight w:val="none"/>
        </w:rPr>
      </w:pPr>
      <w:r>
        <w:rPr>
          <w:rFonts w:hint="eastAsia" w:ascii="宋体" w:hAnsi="宋体" w:cs="宋体"/>
          <w:b/>
          <w:color w:val="auto"/>
          <w:sz w:val="22"/>
          <w:szCs w:val="22"/>
          <w:highlight w:val="none"/>
        </w:rPr>
        <w:t>以 U 盘存储的电子备份投标文件，须按“政采云投标人项目采购-电子招投标操作指南” 制作的备份文件（电子备份投标文件后缀格式为“.bfbs”）</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3、投标文件的效力：投标文件的启用，按先后顺位分别为电子投标文件、以U盘存储的电子备份投标文件。在下一顺位的投标文件启用时，前一顺位的投标文件自动失效。电子投标文件未能按时解密，投标人提供了电子备份投标文件以电子备份投标文件作为评标依据。电子投标文件已按时解密的，电子备份投标文件自动失效。</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4、（如有）投标文件的正本需打印或用不褪色的墨水填写，投标文件正本除本《投标须知》中规定的可提供复印件外均须提供原件。副本为正本的复印件。</w:t>
      </w:r>
    </w:p>
    <w:p>
      <w:pPr>
        <w:spacing w:line="360" w:lineRule="auto"/>
        <w:ind w:firstLine="442" w:firstLineChars="201"/>
        <w:rPr>
          <w:rFonts w:hint="eastAsia" w:ascii="宋体" w:hAnsi="宋体" w:cs="宋体"/>
          <w:b/>
          <w:color w:val="auto"/>
          <w:sz w:val="22"/>
          <w:szCs w:val="22"/>
          <w:highlight w:val="none"/>
        </w:rPr>
      </w:pPr>
      <w:r>
        <w:rPr>
          <w:rFonts w:hint="eastAsia" w:ascii="宋体" w:hAnsi="宋体" w:cs="宋体"/>
          <w:color w:val="auto"/>
          <w:sz w:val="22"/>
          <w:szCs w:val="22"/>
          <w:highlight w:val="none"/>
        </w:rPr>
        <w:t>▲5、投标文件须由投标人在规定位置盖章并由法定代表人或法定代表人的授权委托人签署，投标人应写全称。法定代表人授权委托书、投标声明书必须由法定代表人签名并加盖单位公章</w:t>
      </w:r>
      <w:r>
        <w:rPr>
          <w:rFonts w:hint="eastAsia" w:ascii="宋体" w:hAnsi="宋体" w:cs="宋体"/>
          <w:b/>
          <w:color w:val="auto"/>
          <w:sz w:val="22"/>
          <w:szCs w:val="22"/>
          <w:highlight w:val="none"/>
        </w:rPr>
        <w:t>。电子投标文件中所须加盖公章部分均采用CA签章。</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6、投标文件不得涂改，若有修改错漏处，须加盖单位公章或者法定代表人或授权委托人签名或盖章。投标文件因字迹潦草或表达不清所引起的后果由投标人负责。</w:t>
      </w:r>
    </w:p>
    <w:p>
      <w:pPr>
        <w:spacing w:line="400" w:lineRule="exact"/>
        <w:ind w:firstLine="323" w:firstLineChars="147"/>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7、投标人递交的企业宣传册、产品宣传册不属于投标文件有效组成资料的不作为评审依据</w:t>
      </w:r>
    </w:p>
    <w:p>
      <w:pPr>
        <w:spacing w:line="400" w:lineRule="exact"/>
        <w:ind w:firstLine="325" w:firstLineChars="147"/>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（七）投标文件的包装、递交、修改和撤回</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1、电子投标文件的备份文件单独包封，外包装封面上应注明投标人名称、投标人地址、投标文件名称（电子投标文件的备份文件）、投标项目名称、项目编号及“开标时启封”字样，并加盖投标人公章。</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2、投标文件的补充和修改</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400" w:lineRule="exact"/>
        <w:outlineLvl w:val="2"/>
        <w:rPr>
          <w:rFonts w:hint="eastAsia" w:ascii="宋体" w:hAnsi="宋体" w:cs="宋体"/>
          <w:b/>
          <w:color w:val="auto"/>
          <w:sz w:val="22"/>
          <w:szCs w:val="22"/>
          <w:highlight w:val="none"/>
        </w:rPr>
      </w:pPr>
      <w:r>
        <w:rPr>
          <w:rFonts w:hint="eastAsia" w:ascii="宋体" w:hAnsi="宋体" w:cs="宋体"/>
          <w:b/>
          <w:color w:val="auto"/>
          <w:sz w:val="22"/>
          <w:szCs w:val="22"/>
          <w:highlight w:val="none"/>
        </w:rPr>
        <w:t>（八）投标无效的情形</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pacing w:line="400" w:lineRule="exact"/>
        <w:ind w:firstLine="431" w:firstLineChars="196"/>
        <w:rPr>
          <w:rFonts w:hint="eastAsia" w:ascii="宋体" w:hAnsi="宋体" w:cs="宋体"/>
          <w:color w:val="auto"/>
          <w:sz w:val="22"/>
          <w:szCs w:val="22"/>
          <w:highlight w:val="none"/>
        </w:rPr>
      </w:pPr>
      <w:r>
        <w:rPr>
          <w:rFonts w:hint="eastAsia" w:ascii="宋体" w:hAnsi="宋体" w:cs="宋体"/>
          <w:color w:val="auto"/>
          <w:sz w:val="22"/>
          <w:szCs w:val="22"/>
          <w:highlight w:val="none"/>
        </w:rPr>
        <w:t>评审时如发现下列情形之一的，投标文件将被视为无效：</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未按照招标文件的要求密封、签署、盖章的；</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不具备招标文件中规定资格要求的；</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投标文件载明的招标项目完成期限超过招标文件规定的期限；</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带“▲”的款项不能满足招标文件要求的；</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投标文件附有招标人不能接受的条件；</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经评标委员会评审技术方案不可行的；</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评委会一致认为报价明显不合理的；</w:t>
      </w:r>
    </w:p>
    <w:p>
      <w:pPr>
        <w:numPr>
          <w:ilvl w:val="0"/>
          <w:numId w:val="8"/>
        </w:numPr>
        <w:spacing w:line="400" w:lineRule="exact"/>
        <w:outlineLvl w:val="1"/>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不符合法律、法规和招标文件中规定的其他实质性要求的。</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评审时如发现下列情形之一的，视为投标人串通投标，其投标无效：</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1. 不同投标人的投标文件由同一单位或者个人编制；</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2. 不同投标人委托同一单位或者个人办理投标事宜；</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3. 不同投标人的投标文件载明的项目管理成员或者联系人员为同一人；</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4. 不同投标人的投标文件异常一致或者投标报价呈规律性差异；</w:t>
      </w:r>
    </w:p>
    <w:p>
      <w:pPr>
        <w:spacing w:line="400" w:lineRule="exact"/>
        <w:ind w:firstLine="431" w:firstLineChars="196"/>
        <w:jc w:val="left"/>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5. 不同投标人的投标文件相互混装；</w:t>
      </w:r>
    </w:p>
    <w:p>
      <w:pPr>
        <w:spacing w:line="400" w:lineRule="exact"/>
        <w:ind w:firstLine="301"/>
        <w:outlineLvl w:val="1"/>
        <w:rPr>
          <w:rFonts w:hint="eastAsia" w:ascii="宋体" w:hAnsi="宋体" w:cs="宋体"/>
          <w:b/>
          <w:bCs/>
          <w:snapToGrid w:val="0"/>
          <w:color w:val="auto"/>
          <w:spacing w:val="-4"/>
          <w:sz w:val="22"/>
          <w:szCs w:val="22"/>
          <w:highlight w:val="none"/>
        </w:rPr>
      </w:pPr>
      <w:r>
        <w:rPr>
          <w:rFonts w:hint="eastAsia" w:ascii="宋体" w:hAnsi="宋体" w:cs="宋体"/>
          <w:b/>
          <w:bCs/>
          <w:color w:val="auto"/>
          <w:spacing w:val="-4"/>
          <w:sz w:val="22"/>
          <w:szCs w:val="22"/>
          <w:highlight w:val="none"/>
        </w:rPr>
        <w:t>四、开标</w:t>
      </w:r>
    </w:p>
    <w:p>
      <w:pPr>
        <w:spacing w:line="400" w:lineRule="exact"/>
        <w:ind w:firstLine="433" w:firstLineChars="196"/>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（一）开标准备</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投标人应当在采购文件要求提交投标文件的截止时间前，将投标文件密封送达投标地点，在完成投标文件和人员信息登记后立即离开，采购代理机构将在规定的时间和地点进行开标。采购代理机构收到投标文件后，应当记载投标文件送达时间和密封情况，签收保存并向投标人出具签收回执。投标人的法定代表人或其授权代表未按时签到登记的，视同放弃开标监督权利、认可开标结果。</w:t>
      </w:r>
    </w:p>
    <w:p>
      <w:pPr>
        <w:spacing w:line="360" w:lineRule="auto"/>
        <w:ind w:firstLine="444" w:firstLineChars="201"/>
        <w:rPr>
          <w:rFonts w:hint="eastAsia" w:ascii="宋体" w:hAnsi="宋体" w:cs="宋体"/>
          <w:color w:val="auto"/>
          <w:sz w:val="22"/>
          <w:szCs w:val="22"/>
          <w:highlight w:val="none"/>
        </w:rPr>
      </w:pPr>
      <w:r>
        <w:rPr>
          <w:rFonts w:hint="eastAsia" w:hAnsi="宋体" w:cs="宋体"/>
          <w:b/>
          <w:bCs/>
          <w:color w:val="auto"/>
          <w:sz w:val="22"/>
          <w:szCs w:val="22"/>
          <w:highlight w:val="none"/>
        </w:rPr>
        <w:t>（二）</w:t>
      </w:r>
      <w:r>
        <w:rPr>
          <w:rFonts w:hint="eastAsia" w:ascii="宋体" w:hAnsi="宋体" w:cs="宋体"/>
          <w:color w:val="auto"/>
          <w:sz w:val="22"/>
          <w:szCs w:val="22"/>
          <w:highlight w:val="none"/>
        </w:rPr>
        <w:t>电子招投标开标及评审程序</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1.投标截止时间后，投标人登录政府采购云平台，用“项目采购-开标评标”功能对电子备份投标文件进行在线解密。在线解密电子备份投标文件时间为开标时间起</w:t>
      </w:r>
      <w:r>
        <w:rPr>
          <w:rFonts w:hint="eastAsia" w:ascii="宋体" w:hAnsi="宋体" w:cs="宋体"/>
          <w:b/>
          <w:bCs/>
          <w:color w:val="auto"/>
          <w:sz w:val="22"/>
          <w:szCs w:val="22"/>
          <w:highlight w:val="none"/>
          <w:u w:val="single"/>
        </w:rPr>
        <w:t>30分钟内</w:t>
      </w:r>
      <w:r>
        <w:rPr>
          <w:rFonts w:hint="eastAsia" w:ascii="宋体" w:hAnsi="宋体" w:cs="宋体"/>
          <w:color w:val="auto"/>
          <w:sz w:val="22"/>
          <w:szCs w:val="22"/>
          <w:highlight w:val="none"/>
        </w:rPr>
        <w:t>。</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2.采购人或代理机构对投标人的资格进行审查；</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3.评标委员会对商务技术响应文件进行评审；</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4.在系统上公开资格和商务技术评审结果；</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5.在系统上公开报价开标情况；</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6.评标委员会对报价情况进行评审；</w:t>
      </w:r>
    </w:p>
    <w:p>
      <w:pPr>
        <w:spacing w:line="360" w:lineRule="auto"/>
        <w:ind w:firstLine="442" w:firstLineChars="201"/>
        <w:rPr>
          <w:rFonts w:hint="eastAsia" w:ascii="宋体" w:hAnsi="宋体" w:cs="宋体"/>
          <w:color w:val="auto"/>
          <w:sz w:val="22"/>
          <w:szCs w:val="22"/>
          <w:highlight w:val="none"/>
        </w:rPr>
      </w:pPr>
      <w:r>
        <w:rPr>
          <w:rFonts w:hint="eastAsia" w:ascii="宋体" w:hAnsi="宋体" w:cs="宋体"/>
          <w:color w:val="auto"/>
          <w:sz w:val="22"/>
          <w:szCs w:val="22"/>
          <w:highlight w:val="none"/>
        </w:rPr>
        <w:t>7.在系统上公布评审结果。</w:t>
      </w:r>
    </w:p>
    <w:p>
      <w:pPr>
        <w:spacing w:line="360" w:lineRule="auto"/>
        <w:ind w:firstLine="442" w:firstLineChars="201"/>
        <w:rPr>
          <w:rFonts w:hint="eastAsia" w:hAnsi="宋体" w:cs="宋体"/>
          <w:color w:val="auto"/>
          <w:sz w:val="22"/>
          <w:szCs w:val="22"/>
          <w:highlight w:val="none"/>
        </w:rPr>
      </w:pPr>
      <w:r>
        <w:rPr>
          <w:rFonts w:hint="eastAsia" w:ascii="宋体" w:hAnsi="宋体" w:cs="宋体"/>
          <w:color w:val="auto"/>
          <w:sz w:val="22"/>
          <w:szCs w:val="22"/>
          <w:highlight w:val="none"/>
        </w:rPr>
        <w:t>特别说明：政采云公司如对电子化开标及评审程序有调整的，按调整后的程序操作。</w:t>
      </w:r>
    </w:p>
    <w:p>
      <w:pPr>
        <w:spacing w:line="400" w:lineRule="exact"/>
        <w:ind w:firstLine="426" w:firstLineChars="2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五、评标</w:t>
      </w:r>
    </w:p>
    <w:p>
      <w:pPr>
        <w:spacing w:line="400" w:lineRule="exact"/>
        <w:ind w:firstLine="426" w:firstLineChars="2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（一）组建评标委员会</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采购人依据《中华人民共和国政府采购法》、《政府采购货物和服务招标投标管理办法》等有关规定组建评标委员会。评标委员会由采购人代表和专家组成，负责本项目的评标工作。</w:t>
      </w:r>
    </w:p>
    <w:p>
      <w:pPr>
        <w:spacing w:line="400" w:lineRule="exact"/>
        <w:ind w:firstLine="433" w:firstLineChars="196"/>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（二）评标的方式</w:t>
      </w:r>
    </w:p>
    <w:p>
      <w:pPr>
        <w:spacing w:line="400" w:lineRule="exact"/>
        <w:ind w:left="694" w:leftChars="278" w:hanging="110" w:hangingChars="50"/>
        <w:rPr>
          <w:rFonts w:hint="eastAsia" w:ascii="宋体" w:hAnsi="宋体" w:cs="宋体"/>
          <w:color w:val="auto"/>
          <w:sz w:val="22"/>
          <w:szCs w:val="22"/>
          <w:highlight w:val="none"/>
        </w:rPr>
      </w:pPr>
      <w:r>
        <w:rPr>
          <w:rFonts w:hint="eastAsia" w:ascii="宋体" w:hAnsi="宋体" w:cs="宋体"/>
          <w:color w:val="auto"/>
          <w:sz w:val="22"/>
          <w:szCs w:val="22"/>
          <w:highlight w:val="none"/>
        </w:rPr>
        <w:t>本项目采用不公开方式评标，评标的依据为招标文件和投标文件。</w:t>
      </w:r>
    </w:p>
    <w:p>
      <w:pPr>
        <w:spacing w:line="400" w:lineRule="exact"/>
        <w:ind w:firstLine="442" w:firstLineChars="200"/>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（三）组织评标程序</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采购代理机构将按照招标文件规定的时间、地点和程序组织评标，各评审专家及相关人员应参加评审活动并接受核验、签到，无关人员不得进入评审现场。</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1.核验出席评审活动现场的评审小组各成员和相关监督人员身份，并要求其分别登记、签到，按规定统一收缴、保存其通讯工具，无关人员一律拒绝其进入评审现场。</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2.介绍评审现场的人员情况，宣布评审工作纪律，告知评审人员应当回避情形；组织推选评审小组组长。</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3.宣读提交投标文件的供应商名单，组织评审小组各位成员签订《政府采购评审人员廉洁自律承诺书》。</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6.做好评审现场相关记录，协助评审小组组长做好评审报告起草、有关内容电脑文字录入等工作，并要求评审小组各成员签字确认。</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7.评审结束后，采购代理机构应对评审小组各成员的专业水平、职业道德、遵纪守法等情况进行评价；同时按规定向评审专家发放评审费，并交还评审人员及其他现场相关人员的通讯工具。</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（四）评标委员评审程序</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1.在评审专家中推选评审小组组长。</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3.评审人员对各供应商投标文件的有效性、完整性和响应程度进行审查，确定是否对招标文件作出实质性响应。</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4.评审人员按招标文件规定的评审方法和评审标准，依法独立对供应商投标文件进行评估、比较，并给予评价或打分，不受任何单位和个人的干预。</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6.评审人员需对采购代理机构工作人员唱票或统计的评审结果进行确认，现场监督员应对评审结果签署监督意见。如发现分值汇总计算错误、分项评分超出评分标准范围、客观评分不一致情形的，应由相关人员当场改正或作出说明；拒不改正又不作说明的，由现场监督员如实记载后存入项目档案资料。</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7.评审小组根据评审汇总情况和招标文件规定确定中标候选供应商排序名单。</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8.起草评审报告，所有评审人员须在评审报告上签字确认。</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（五）错误修正</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投标文件如果出现计算或表达上的错误，修正错误的原则如下：</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1.投标文件中开标一览表（报价表）内容与投标文件中相应内容不一致的，以开标一览表（报价表）为准；</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2.投标文件的大写金额和小写金额不一致的，以大写金额为准；</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3.总价金额与按单价汇总金额不一致的，以单价金额计算结果为准；</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4.对不同文字文本投标文件的解释发生异议的，以中文文本为准。</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（六）评标原则和评标办法</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4.评标办法。本项目评标办法详见《第四章：评标办法及评分标准》。</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（七）评标过程的监控</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本项目评标过程实行全程录音、录像监控，投标人在评标过程中所进行的试图影响评标结果的不公正活动，可能导致其投标被拒绝。</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六、采购方式变更</w:t>
      </w:r>
    </w:p>
    <w:p>
      <w:pPr>
        <w:spacing w:line="400" w:lineRule="exact"/>
        <w:ind w:firstLine="440" w:firstLineChars="200"/>
        <w:rPr>
          <w:rFonts w:hint="eastAsia" w:ascii="宋体" w:hAnsi="宋体" w:cs="宋体"/>
          <w:bCs/>
          <w:color w:val="auto"/>
          <w:sz w:val="22"/>
          <w:szCs w:val="22"/>
          <w:highlight w:val="none"/>
        </w:rPr>
      </w:pPr>
      <w:r>
        <w:rPr>
          <w:rFonts w:hint="eastAsia" w:ascii="宋体" w:hAnsi="宋体" w:cs="宋体"/>
          <w:bCs/>
          <w:color w:val="auto"/>
          <w:sz w:val="22"/>
          <w:szCs w:val="22"/>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七、定标</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1.采购代理机构应当在评标结束后2个工作日内将评标报告送采购人。</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3.采购人自行组织招标的，应当在评标结束后5个工作日内确定中标人。</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4.采购人在收到评标报告5个工作日内未按评标报告推荐的中标候选人顺序确定中标人，又不能说明合法理由的，视同按评标报告推荐的顺序确定排名第一的中标候选人为中标人。</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5.采购人或者采购代理机构应当自中标人确定之日起2个工作日内，在省级以上财政部门指定的媒体上公告中标结果，招标文件应当随中标结果同时公告。</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6.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7.中标公告期限为1个工作日。</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8.在公告中标结果的同时，采购人或者采购代理机构应当向中标人发出中标通知书；对未通过资格审查的投标人，应当告知其未通过的原因；采用综合评分法评审的，还应当告知未中标人本人的评审得分与排序。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9.中标通知书发出后，采购人不得违法改变中标结果，中标人无正当理由不得放弃中标。</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10.若中标人被投诉有效以及其他原因导致中标无效，或者拒不签订合同的，采购人将在评标委员会推荐的中标候选人中确定排名其次的中标候选人为本项目的中标人或重新招标。</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八、合同授予</w:t>
      </w:r>
    </w:p>
    <w:p>
      <w:pPr>
        <w:spacing w:line="400" w:lineRule="exact"/>
        <w:ind w:firstLine="213" w:firstLineChars="100"/>
        <w:rPr>
          <w:rFonts w:hint="eastAsia" w:ascii="宋体" w:hAnsi="宋体" w:cs="宋体"/>
          <w:b/>
          <w:color w:val="auto"/>
          <w:spacing w:val="-4"/>
          <w:sz w:val="22"/>
          <w:szCs w:val="22"/>
          <w:highlight w:val="none"/>
        </w:rPr>
      </w:pPr>
      <w:r>
        <w:rPr>
          <w:rFonts w:hint="eastAsia" w:ascii="宋体" w:hAnsi="宋体" w:cs="宋体"/>
          <w:b/>
          <w:color w:val="auto"/>
          <w:spacing w:val="-4"/>
          <w:sz w:val="22"/>
          <w:szCs w:val="22"/>
          <w:highlight w:val="none"/>
        </w:rPr>
        <w:t>（一）签订合同</w:t>
      </w:r>
    </w:p>
    <w:p>
      <w:pPr>
        <w:spacing w:line="400" w:lineRule="exact"/>
        <w:ind w:firstLine="440" w:firstLineChars="200"/>
        <w:rPr>
          <w:rFonts w:hint="eastAsia"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40" w:firstLineChars="200"/>
        <w:rPr>
          <w:rFonts w:hint="eastAsia"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2.采购人不得向中标人提出任何不合理的要求作为签订合同的条件。</w:t>
      </w:r>
    </w:p>
    <w:p>
      <w:pPr>
        <w:spacing w:line="400" w:lineRule="exact"/>
        <w:ind w:firstLine="440" w:firstLineChars="200"/>
        <w:rPr>
          <w:rFonts w:hint="eastAsia"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3.政府采购合同应当包括采购人与中标人的名称和住所、标的、数量、质量、价款或者报酬、履行期限及地点和方式、验收要求、违约责任、解决争议的方法等内容。</w:t>
      </w:r>
    </w:p>
    <w:p>
      <w:pPr>
        <w:spacing w:line="400" w:lineRule="exact"/>
        <w:ind w:firstLine="440" w:firstLineChars="200"/>
        <w:rPr>
          <w:rFonts w:hint="eastAsia"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4.采购人与中标人应当根据合同的约定依法履行合同义务。</w:t>
      </w:r>
    </w:p>
    <w:p>
      <w:pPr>
        <w:spacing w:line="400" w:lineRule="exact"/>
        <w:ind w:firstLine="440" w:firstLineChars="200"/>
        <w:rPr>
          <w:rFonts w:hint="eastAsia" w:ascii="宋体" w:hAnsi="宋体" w:cs="宋体"/>
          <w:color w:val="auto"/>
          <w:sz w:val="22"/>
          <w:szCs w:val="22"/>
          <w:highlight w:val="none"/>
          <w:lang w:val="zh-CN" w:bidi="zh-CN"/>
        </w:rPr>
      </w:pPr>
      <w:r>
        <w:rPr>
          <w:rFonts w:hint="eastAsia" w:ascii="宋体" w:hAnsi="宋体" w:cs="宋体"/>
          <w:color w:val="auto"/>
          <w:sz w:val="22"/>
          <w:szCs w:val="22"/>
          <w:highlight w:val="none"/>
          <w:lang w:val="zh-CN" w:bidi="zh-CN"/>
        </w:rPr>
        <w:t>5.政府采购合同的履行、违约责任和解决争议的方法等适用《中华人民共和国民法典》。</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（二）履约保证金</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1.中标人应根据招标文件确定的履约保证金的金额，向采购人交纳履约保证金。并保证按照投标承诺及时签订合同并履约，若违背承诺，接受在政府采购指定媒体上公告曝光处理并按约定承但违约责任。</w:t>
      </w:r>
    </w:p>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2.签订合同后，如中标人不按双方合同约定履约，则没收其全部履约保证金，履约保证金不足以赔偿损失的，按实际损失赔偿。</w:t>
      </w:r>
    </w:p>
    <w:p>
      <w:pPr>
        <w:spacing w:line="40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九、特别说明</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1.采购单位与中标人应当在《中标通知书》发出之日起30日内签订政府采购合同。</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2.本文件未及事项，在签订合同时供需及使用方友好商定。</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3.本采购文件解释权归采购单位。</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4.本次招标的招标代理服务费由中标人支付。</w:t>
      </w:r>
    </w:p>
    <w:p>
      <w:pPr>
        <w:spacing w:line="40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十、补充说明</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政府采购活动中有关中小企业的相关规定（采购进口产品项目不适用）</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1.参加政府采购活动的中小企业（含中型、小型、微型企业，其他地方同）应当同时符合以下条件：</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（一）符合中小企业划分标准（具体见工信部联企业[2011]300号）；</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（二）提供本企业制造的货物、承担的工程或者服务，或者提供其他中小企业制造的货物。本项所称货物不包括使用大型企业注册商标的货物。</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（三）小型、微型企业提供中型企业制造的货物的，视同为中型企业。</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2.参加政府采购活动的中小企业应当提供《中小企业声明函》。</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3.对于非专门面向中小企业的项目，对小型和微型企业产品的价格应给予6％-10％的扣除，用扣除后的价格参与评审。具体扣除比例见第四章 评标办法及评分标准（如有）。</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rPr>
          <w:rFonts w:hint="eastAsia" w:hAnsi="宋体"/>
          <w:b/>
          <w:color w:val="auto"/>
          <w:sz w:val="22"/>
          <w:szCs w:val="22"/>
          <w:highlight w:val="none"/>
        </w:rPr>
      </w:pPr>
      <w:r>
        <w:rPr>
          <w:rFonts w:hint="eastAsia" w:ascii="宋体" w:hAnsi="宋体" w:cs="宋体"/>
          <w:color w:val="auto"/>
          <w:sz w:val="22"/>
          <w:szCs w:val="22"/>
          <w:highlight w:val="none"/>
        </w:rPr>
        <w:t>根据《关于促进残疾人就业政府采购政策的通知》（财库[2017]141号）规定，在政府采购活动中，残疾人福利性单位视同小型、微型企业。残疾人福利性单位参加政府采购活动时，提供《残疾人福利性单位声明函》。</w:t>
      </w:r>
      <w:r>
        <w:rPr>
          <w:rFonts w:hint="eastAsia" w:hAnsi="宋体"/>
          <w:b/>
          <w:color w:val="auto"/>
          <w:sz w:val="22"/>
          <w:szCs w:val="22"/>
          <w:highlight w:val="none"/>
        </w:rPr>
        <w:t xml:space="preserve"> </w:t>
      </w:r>
    </w:p>
    <w:bookmarkEnd w:id="7"/>
    <w:p>
      <w:pPr>
        <w:pStyle w:val="13"/>
        <w:spacing w:beforeLines="0" w:afterLines="0" w:line="360" w:lineRule="auto"/>
        <w:ind w:firstLine="640" w:firstLineChars="200"/>
        <w:jc w:val="center"/>
        <w:rPr>
          <w:rFonts w:hint="eastAsia" w:ascii="Arial" w:hAnsi="Arial" w:eastAsia="黑体" w:cs="Times New Roman"/>
          <w:bCs/>
          <w:color w:val="auto"/>
          <w:sz w:val="32"/>
          <w:szCs w:val="20"/>
          <w:highlight w:val="none"/>
        </w:rPr>
      </w:pPr>
      <w:r>
        <w:rPr>
          <w:rFonts w:hint="eastAsia" w:ascii="Arial" w:hAnsi="Arial" w:eastAsia="黑体" w:cs="Times New Roman"/>
          <w:bCs/>
          <w:color w:val="auto"/>
          <w:sz w:val="32"/>
          <w:szCs w:val="20"/>
          <w:highlight w:val="none"/>
        </w:rPr>
        <w:br w:type="page"/>
      </w:r>
      <w:r>
        <w:rPr>
          <w:rFonts w:hint="eastAsia" w:ascii="Arial" w:hAnsi="Arial" w:eastAsia="黑体" w:cs="Times New Roman"/>
          <w:bCs/>
          <w:color w:val="auto"/>
          <w:sz w:val="32"/>
          <w:szCs w:val="20"/>
          <w:highlight w:val="none"/>
        </w:rPr>
        <w:t>第四章  评标办法及评分标准</w:t>
      </w:r>
    </w:p>
    <w:p>
      <w:pPr>
        <w:pStyle w:val="13"/>
        <w:spacing w:beforeLines="0" w:afterLines="0" w:line="360" w:lineRule="auto"/>
        <w:ind w:firstLine="440" w:firstLineChars="200"/>
        <w:jc w:val="center"/>
        <w:rPr>
          <w:rFonts w:hint="eastAsia"/>
          <w:color w:val="auto"/>
          <w:sz w:val="22"/>
          <w:szCs w:val="22"/>
          <w:highlight w:val="none"/>
        </w:rPr>
      </w:pPr>
      <w:r>
        <w:rPr>
          <w:color w:val="auto"/>
          <w:sz w:val="22"/>
          <w:szCs w:val="22"/>
          <w:highlight w:val="none"/>
        </w:rPr>
        <w:t>（综合评分法）</w:t>
      </w:r>
    </w:p>
    <w:p>
      <w:pPr>
        <w:pStyle w:val="13"/>
        <w:spacing w:beforeLines="0" w:afterLines="0" w:line="360" w:lineRule="auto"/>
        <w:ind w:firstLine="442" w:firstLineChars="200"/>
        <w:jc w:val="left"/>
        <w:rPr>
          <w:rFonts w:hint="eastAsia" w:hAnsi="宋体"/>
          <w:b/>
          <w:color w:val="auto"/>
          <w:sz w:val="22"/>
          <w:szCs w:val="22"/>
          <w:highlight w:val="none"/>
        </w:rPr>
      </w:pPr>
      <w:r>
        <w:rPr>
          <w:rFonts w:hint="eastAsia"/>
          <w:b/>
          <w:bCs/>
          <w:color w:val="auto"/>
          <w:sz w:val="22"/>
          <w:szCs w:val="22"/>
          <w:highlight w:val="none"/>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440" w:lineRule="exact"/>
        <w:rPr>
          <w:b/>
          <w:bCs/>
          <w:color w:val="auto"/>
          <w:sz w:val="22"/>
          <w:szCs w:val="22"/>
          <w:highlight w:val="none"/>
        </w:rPr>
      </w:pPr>
      <w:r>
        <w:rPr>
          <w:rFonts w:hint="eastAsia"/>
          <w:b/>
          <w:bCs/>
          <w:color w:val="auto"/>
          <w:sz w:val="22"/>
          <w:szCs w:val="22"/>
          <w:highlight w:val="none"/>
        </w:rPr>
        <w:t>一、总则</w:t>
      </w:r>
    </w:p>
    <w:p>
      <w:pPr>
        <w:spacing w:line="360" w:lineRule="auto"/>
        <w:ind w:firstLine="422" w:firstLineChars="200"/>
        <w:rPr>
          <w:b/>
          <w:color w:val="auto"/>
          <w:highlight w:val="none"/>
        </w:rPr>
      </w:pPr>
      <w:r>
        <w:rPr>
          <w:rFonts w:hint="eastAsia"/>
          <w:b/>
          <w:color w:val="auto"/>
          <w:highlight w:val="none"/>
        </w:rPr>
        <w:t>本项目按照标项号的前后顺序（即从标项一起评）进行评审，各投标人仅能按标项号的前后顺序中标一个标项，若某投标人已在排序靠前的标项号中标，能参与后序标项号的评审（即标项一的中标候选人可进入标项二的评审），但不得再被推荐为中标候选人。</w:t>
      </w:r>
    </w:p>
    <w:p>
      <w:pPr>
        <w:widowControl/>
        <w:spacing w:line="440" w:lineRule="exact"/>
        <w:ind w:firstLine="440" w:firstLineChars="200"/>
        <w:rPr>
          <w:color w:val="auto"/>
          <w:sz w:val="22"/>
          <w:szCs w:val="22"/>
          <w:highlight w:val="none"/>
        </w:rPr>
      </w:pPr>
      <w:r>
        <w:rPr>
          <w:rFonts w:hint="eastAsia"/>
          <w:color w:val="auto"/>
          <w:sz w:val="22"/>
          <w:szCs w:val="22"/>
          <w:highlight w:val="none"/>
        </w:rPr>
        <w:t>招标活动遵循公平、公正、科学、择优的原则依法进行，招标活动及当事人接受依法实施的监督。</w:t>
      </w:r>
    </w:p>
    <w:p>
      <w:pPr>
        <w:widowControl/>
        <w:spacing w:line="440" w:lineRule="exact"/>
        <w:ind w:firstLine="440" w:firstLineChars="200"/>
        <w:rPr>
          <w:color w:val="auto"/>
          <w:sz w:val="22"/>
          <w:szCs w:val="22"/>
          <w:highlight w:val="none"/>
        </w:rPr>
      </w:pPr>
      <w:r>
        <w:rPr>
          <w:rFonts w:hint="eastAsia"/>
          <w:color w:val="auto"/>
          <w:sz w:val="22"/>
          <w:szCs w:val="22"/>
          <w:highlight w:val="none"/>
        </w:rPr>
        <w:t>综合评分法评，采用百分制，总分</w:t>
      </w:r>
      <w:r>
        <w:rPr>
          <w:color w:val="auto"/>
          <w:sz w:val="22"/>
          <w:szCs w:val="22"/>
          <w:highlight w:val="none"/>
        </w:rPr>
        <w:t>100分。供应商的综合得分为技术商务得分与报价得分之和。按综合得分由高到低的排序，推荐中标候选人。若供应商的综合得分相等，则投标报价低者列前；若投标报价也相同时，采取随机抽签的方式确定排序。</w:t>
      </w:r>
    </w:p>
    <w:p>
      <w:pPr>
        <w:widowControl/>
        <w:spacing w:line="440" w:lineRule="exact"/>
        <w:ind w:firstLine="440" w:firstLineChars="200"/>
        <w:rPr>
          <w:color w:val="auto"/>
          <w:sz w:val="22"/>
          <w:szCs w:val="22"/>
          <w:highlight w:val="none"/>
        </w:rPr>
      </w:pPr>
      <w:r>
        <w:rPr>
          <w:rFonts w:hint="eastAsia"/>
          <w:color w:val="auto"/>
          <w:sz w:val="22"/>
          <w:szCs w:val="22"/>
          <w:highlight w:val="none"/>
        </w:rPr>
        <w:t>本项目需要落实的政府采购政策：《关于促进残疾人就业政府采购政策的通知》（财库</w:t>
      </w:r>
      <w:r>
        <w:rPr>
          <w:color w:val="auto"/>
          <w:sz w:val="22"/>
          <w:szCs w:val="22"/>
          <w:highlight w:val="none"/>
        </w:rPr>
        <w:t>[2017]141号）、《政府采购促进中小企业发展暂行办法》（财库[2011]181号）、《关于政府采购支持监狱企业发展有关问题的通知》（财库[2014]68号）</w:t>
      </w:r>
    </w:p>
    <w:p>
      <w:pPr>
        <w:widowControl/>
        <w:spacing w:line="440" w:lineRule="exact"/>
        <w:ind w:firstLine="440" w:firstLineChars="200"/>
        <w:rPr>
          <w:color w:val="auto"/>
          <w:sz w:val="22"/>
          <w:szCs w:val="22"/>
          <w:highlight w:val="none"/>
        </w:rPr>
      </w:pPr>
      <w:r>
        <w:rPr>
          <w:rFonts w:hint="eastAsia"/>
          <w:color w:val="auto"/>
          <w:sz w:val="22"/>
          <w:szCs w:val="22"/>
          <w:highlight w:val="none"/>
        </w:rPr>
        <w:t>本次采购为非专门面向中小企业，本次评标将对符合小微企业的价格给予</w:t>
      </w:r>
      <w:r>
        <w:rPr>
          <w:color w:val="auto"/>
          <w:sz w:val="22"/>
          <w:szCs w:val="22"/>
          <w:highlight w:val="none"/>
        </w:rPr>
        <w:t>6%的扣除，用扣除后的价格参与评审。价格扣除只用于评审过程，如中标，中标价格仍按照其投标价格进行公示。</w:t>
      </w:r>
    </w:p>
    <w:p>
      <w:pPr>
        <w:widowControl/>
        <w:spacing w:line="440" w:lineRule="exact"/>
        <w:ind w:firstLine="440" w:firstLineChars="200"/>
        <w:rPr>
          <w:color w:val="auto"/>
          <w:sz w:val="22"/>
          <w:szCs w:val="22"/>
          <w:highlight w:val="none"/>
        </w:rPr>
      </w:pPr>
      <w:r>
        <w:rPr>
          <w:rFonts w:hint="eastAsia"/>
          <w:color w:val="auto"/>
          <w:sz w:val="22"/>
          <w:szCs w:val="22"/>
          <w:highlight w:val="none"/>
        </w:rPr>
        <w:t>评标委员会成员对需要共同认定的事项存在争议的，应当按照少数服从多数的原则作出结论。</w:t>
      </w:r>
    </w:p>
    <w:p>
      <w:pPr>
        <w:widowControl/>
        <w:spacing w:line="440" w:lineRule="exact"/>
        <w:rPr>
          <w:rFonts w:hint="eastAsia"/>
          <w:b/>
          <w:bCs/>
          <w:color w:val="auto"/>
          <w:sz w:val="22"/>
          <w:szCs w:val="22"/>
          <w:highlight w:val="none"/>
        </w:rPr>
      </w:pPr>
      <w:r>
        <w:rPr>
          <w:rFonts w:hint="eastAsia"/>
          <w:b/>
          <w:bCs/>
          <w:color w:val="auto"/>
          <w:sz w:val="22"/>
          <w:szCs w:val="22"/>
          <w:highlight w:val="none"/>
        </w:rPr>
        <w:t>二、评标过程</w:t>
      </w:r>
    </w:p>
    <w:p>
      <w:pPr>
        <w:widowControl/>
        <w:spacing w:line="440" w:lineRule="exact"/>
        <w:ind w:firstLine="440" w:firstLineChars="200"/>
        <w:rPr>
          <w:rFonts w:hint="eastAsia" w:ascii="宋体"/>
          <w:color w:val="auto"/>
          <w:sz w:val="22"/>
          <w:szCs w:val="22"/>
          <w:highlight w:val="none"/>
        </w:rPr>
      </w:pPr>
      <w:r>
        <w:rPr>
          <w:rFonts w:hint="eastAsia" w:ascii="宋体"/>
          <w:color w:val="auto"/>
          <w:sz w:val="22"/>
          <w:szCs w:val="22"/>
          <w:highlight w:val="none"/>
        </w:rPr>
        <w:t>1. 初步审查</w:t>
      </w:r>
    </w:p>
    <w:p>
      <w:pPr>
        <w:widowControl/>
        <w:spacing w:line="440" w:lineRule="exact"/>
        <w:ind w:firstLine="440" w:firstLineChars="200"/>
        <w:rPr>
          <w:rFonts w:hint="eastAsia" w:ascii="宋体"/>
          <w:color w:val="auto"/>
          <w:sz w:val="22"/>
          <w:szCs w:val="22"/>
          <w:highlight w:val="none"/>
        </w:rPr>
      </w:pPr>
      <w:r>
        <w:rPr>
          <w:rFonts w:hint="eastAsia" w:ascii="宋体"/>
          <w:color w:val="auto"/>
          <w:sz w:val="22"/>
          <w:szCs w:val="22"/>
          <w:highlight w:val="none"/>
        </w:rPr>
        <w:t>初审分为资格性检查和符合性检查。</w:t>
      </w:r>
    </w:p>
    <w:p>
      <w:pPr>
        <w:widowControl/>
        <w:spacing w:line="440" w:lineRule="exact"/>
        <w:ind w:firstLine="440" w:firstLineChars="200"/>
        <w:rPr>
          <w:rFonts w:hint="eastAsia" w:ascii="宋体"/>
          <w:color w:val="auto"/>
          <w:sz w:val="22"/>
          <w:szCs w:val="22"/>
          <w:highlight w:val="none"/>
        </w:rPr>
      </w:pPr>
      <w:r>
        <w:rPr>
          <w:rFonts w:hint="eastAsia" w:ascii="宋体"/>
          <w:color w:val="auto"/>
          <w:sz w:val="22"/>
          <w:szCs w:val="22"/>
          <w:highlight w:val="none"/>
        </w:rPr>
        <w:t>资格性检查。依据法律法规和招标文件的规定，对投标文件中的资格证明等进行审查，以确定投标供应商是否具备投标资格。</w:t>
      </w:r>
    </w:p>
    <w:p>
      <w:pPr>
        <w:widowControl/>
        <w:spacing w:line="440" w:lineRule="exact"/>
        <w:ind w:firstLine="440" w:firstLineChars="200"/>
        <w:rPr>
          <w:rFonts w:hint="eastAsia"/>
          <w:color w:val="auto"/>
          <w:sz w:val="22"/>
          <w:szCs w:val="22"/>
          <w:highlight w:val="none"/>
        </w:rPr>
      </w:pPr>
      <w:r>
        <w:rPr>
          <w:rFonts w:hint="eastAsia"/>
          <w:color w:val="auto"/>
          <w:sz w:val="22"/>
          <w:szCs w:val="22"/>
          <w:highlight w:val="none"/>
        </w:rPr>
        <w:t>符合性检查。依据招标文件的规定，从投标文件的有效性、完整性和对招标文件的响应程度进行审查，以确定是否对招标文件的实质性要求作出响应。</w:t>
      </w:r>
    </w:p>
    <w:p>
      <w:pPr>
        <w:widowControl/>
        <w:spacing w:line="440" w:lineRule="exact"/>
        <w:ind w:firstLine="440" w:firstLineChars="200"/>
        <w:rPr>
          <w:rFonts w:hint="eastAsia" w:ascii="宋体"/>
          <w:color w:val="auto"/>
          <w:sz w:val="22"/>
          <w:szCs w:val="22"/>
          <w:highlight w:val="none"/>
        </w:rPr>
      </w:pPr>
      <w:r>
        <w:rPr>
          <w:rFonts w:hint="eastAsia" w:ascii="宋体"/>
          <w:color w:val="auto"/>
          <w:sz w:val="22"/>
          <w:szCs w:val="22"/>
          <w:highlight w:val="none"/>
        </w:rPr>
        <w:t>2.澄清问题</w:t>
      </w:r>
    </w:p>
    <w:p>
      <w:pPr>
        <w:widowControl/>
        <w:spacing w:line="440" w:lineRule="exact"/>
        <w:ind w:firstLine="440" w:firstLineChars="200"/>
        <w:rPr>
          <w:rFonts w:hint="eastAsia"/>
          <w:color w:val="auto"/>
          <w:sz w:val="22"/>
          <w:szCs w:val="22"/>
          <w:highlight w:val="none"/>
        </w:rPr>
      </w:pPr>
      <w:r>
        <w:rPr>
          <w:rFonts w:hint="eastAsia"/>
          <w:color w:val="auto"/>
          <w:sz w:val="22"/>
          <w:szCs w:val="22"/>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widowControl/>
        <w:spacing w:line="440" w:lineRule="exact"/>
        <w:ind w:firstLine="440" w:firstLineChars="200"/>
        <w:rPr>
          <w:rFonts w:hint="eastAsia" w:ascii="宋体"/>
          <w:color w:val="auto"/>
          <w:sz w:val="22"/>
          <w:szCs w:val="22"/>
          <w:highlight w:val="none"/>
        </w:rPr>
      </w:pPr>
      <w:r>
        <w:rPr>
          <w:rFonts w:hint="eastAsia" w:ascii="宋体"/>
          <w:color w:val="auto"/>
          <w:sz w:val="22"/>
          <w:szCs w:val="22"/>
          <w:highlight w:val="none"/>
        </w:rPr>
        <w:t>3.详细评审</w:t>
      </w:r>
    </w:p>
    <w:p>
      <w:pPr>
        <w:widowControl/>
        <w:spacing w:line="440" w:lineRule="exact"/>
        <w:ind w:firstLine="440" w:firstLineChars="200"/>
        <w:rPr>
          <w:rFonts w:hint="eastAsia"/>
          <w:color w:val="auto"/>
          <w:sz w:val="22"/>
          <w:szCs w:val="22"/>
          <w:highlight w:val="none"/>
        </w:rPr>
      </w:pPr>
      <w:r>
        <w:rPr>
          <w:rFonts w:hint="eastAsia" w:ascii="宋体"/>
          <w:color w:val="auto"/>
          <w:sz w:val="22"/>
          <w:szCs w:val="22"/>
          <w:highlight w:val="none"/>
        </w:rPr>
        <w:t>评标委员会对初步评审合格的投标文件，依照本办法对投标文件作进一步评审、比较。</w:t>
      </w:r>
      <w:r>
        <w:rPr>
          <w:rFonts w:hint="eastAsia"/>
          <w:color w:val="auto"/>
          <w:sz w:val="22"/>
          <w:szCs w:val="22"/>
          <w:highlight w:val="none"/>
        </w:rPr>
        <w:t>评标委员会成员经过阅标、审标和询标，对各投标人进行打分。</w:t>
      </w:r>
    </w:p>
    <w:p>
      <w:pPr>
        <w:widowControl/>
        <w:spacing w:line="440" w:lineRule="exact"/>
        <w:ind w:firstLine="440" w:firstLineChars="200"/>
        <w:rPr>
          <w:rFonts w:hint="eastAsia"/>
          <w:color w:val="auto"/>
          <w:sz w:val="22"/>
          <w:szCs w:val="22"/>
          <w:highlight w:val="none"/>
        </w:rPr>
      </w:pPr>
      <w:r>
        <w:rPr>
          <w:rFonts w:hint="eastAsia"/>
          <w:color w:val="auto"/>
          <w:sz w:val="22"/>
          <w:szCs w:val="22"/>
          <w:highlight w:val="none"/>
        </w:rPr>
        <w:t>评委打分参照：评分标准。评委打分采用记名方式进行独立打分，汇总所有评委会成员评分取算术平均值（小数点后保留二位数）为该投标人的技术商务得分。报价文件经评标委员会评审后按评分标准表进行统一计算（小数点后保留二位小数）。最终汇总技术商务得分和报价得分。</w:t>
      </w:r>
    </w:p>
    <w:p>
      <w:pPr>
        <w:widowControl/>
        <w:spacing w:line="440" w:lineRule="exact"/>
        <w:ind w:firstLine="440" w:firstLineChars="200"/>
        <w:rPr>
          <w:rFonts w:hint="eastAsia"/>
          <w:color w:val="auto"/>
          <w:sz w:val="22"/>
          <w:szCs w:val="22"/>
          <w:highlight w:val="none"/>
        </w:rPr>
      </w:pPr>
      <w:r>
        <w:rPr>
          <w:rFonts w:hint="eastAsia"/>
          <w:bCs/>
          <w:color w:val="auto"/>
          <w:sz w:val="22"/>
          <w:szCs w:val="22"/>
          <w:highlight w:val="none"/>
        </w:rPr>
        <w:t>4.</w:t>
      </w:r>
      <w:r>
        <w:rPr>
          <w:rFonts w:hint="eastAsia"/>
          <w:color w:val="auto"/>
          <w:sz w:val="22"/>
          <w:szCs w:val="22"/>
          <w:highlight w:val="none"/>
        </w:rPr>
        <w:t xml:space="preserve"> </w:t>
      </w:r>
      <w:r>
        <w:rPr>
          <w:rFonts w:hint="eastAsia"/>
          <w:bCs/>
          <w:color w:val="auto"/>
          <w:sz w:val="22"/>
          <w:szCs w:val="22"/>
          <w:highlight w:val="none"/>
        </w:rPr>
        <w:t>推荐中标候选人原则</w:t>
      </w:r>
    </w:p>
    <w:p>
      <w:pPr>
        <w:widowControl/>
        <w:spacing w:line="440" w:lineRule="exact"/>
        <w:ind w:firstLine="440" w:firstLineChars="200"/>
        <w:rPr>
          <w:rFonts w:hint="eastAsia"/>
          <w:b/>
          <w:color w:val="auto"/>
          <w:sz w:val="22"/>
          <w:szCs w:val="22"/>
          <w:highlight w:val="none"/>
        </w:rPr>
      </w:pPr>
      <w:r>
        <w:rPr>
          <w:rFonts w:hint="eastAsia"/>
          <w:color w:val="auto"/>
          <w:sz w:val="22"/>
          <w:szCs w:val="22"/>
          <w:highlight w:val="none"/>
        </w:rPr>
        <w:t>评标委员会根据投标人的综合得分由高到低的排序，推荐中标候选人。若供应商的综合得分相等，则投标报价低者列前；若投标报价也相同时，采取随机抽签的方式确定排序。</w:t>
      </w:r>
      <w:r>
        <w:rPr>
          <w:rFonts w:hint="eastAsia"/>
          <w:b/>
          <w:color w:val="auto"/>
          <w:sz w:val="22"/>
          <w:szCs w:val="22"/>
          <w:highlight w:val="none"/>
        </w:rPr>
        <w:t>中标人数量：每标项推荐一位中标候选人，</w:t>
      </w:r>
      <w:r>
        <w:rPr>
          <w:rFonts w:hint="eastAsia"/>
          <w:b/>
          <w:color w:val="auto"/>
          <w:highlight w:val="none"/>
        </w:rPr>
        <w:t>本项目按照标项号的前后顺序（即从标项一起评）进行评审，各投标人仅能按标项号的前后顺序中标一个标项，若某投标人已在排序靠前的标项号中标，能参与后序标项号的评审（即标项一的中标候选人可进入标项二的评审），但不得再被推荐为中标候选人</w:t>
      </w:r>
      <w:r>
        <w:rPr>
          <w:rFonts w:hint="eastAsia"/>
          <w:b/>
          <w:color w:val="auto"/>
          <w:sz w:val="22"/>
          <w:szCs w:val="22"/>
          <w:highlight w:val="none"/>
        </w:rPr>
        <w:t>。</w:t>
      </w:r>
    </w:p>
    <w:p>
      <w:pPr>
        <w:widowControl/>
        <w:spacing w:line="440" w:lineRule="exact"/>
        <w:ind w:firstLine="440" w:firstLineChars="200"/>
        <w:rPr>
          <w:rFonts w:hint="eastAsia"/>
          <w:bCs/>
          <w:color w:val="auto"/>
          <w:sz w:val="22"/>
          <w:szCs w:val="22"/>
          <w:highlight w:val="none"/>
        </w:rPr>
      </w:pPr>
      <w:r>
        <w:rPr>
          <w:rFonts w:hint="eastAsia"/>
          <w:bCs/>
          <w:color w:val="auto"/>
          <w:sz w:val="22"/>
          <w:szCs w:val="22"/>
          <w:highlight w:val="none"/>
        </w:rPr>
        <w:t>5.中标结果</w:t>
      </w:r>
    </w:p>
    <w:p>
      <w:pPr>
        <w:spacing w:line="400" w:lineRule="exact"/>
        <w:ind w:firstLine="440" w:firstLineChars="200"/>
        <w:rPr>
          <w:rFonts w:hint="eastAsia"/>
          <w:color w:val="auto"/>
          <w:sz w:val="22"/>
          <w:szCs w:val="22"/>
          <w:highlight w:val="none"/>
        </w:rPr>
      </w:pPr>
      <w:r>
        <w:rPr>
          <w:rFonts w:hint="eastAsia"/>
          <w:color w:val="auto"/>
          <w:sz w:val="22"/>
          <w:szCs w:val="22"/>
          <w:highlight w:val="none"/>
        </w:rPr>
        <w:t xml:space="preserve">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供应商因不可抗力或者自身原因不能履行政府采购合同的，采购人可以按照评审报告推荐的下一中标候选人为中标供应商或重新招标。 </w:t>
      </w:r>
    </w:p>
    <w:p>
      <w:pPr>
        <w:spacing w:line="400" w:lineRule="exact"/>
        <w:ind w:firstLine="422" w:firstLineChars="200"/>
        <w:jc w:val="left"/>
        <w:rPr>
          <w:rFonts w:ascii="宋体" w:hAnsi="宋体"/>
          <w:b/>
          <w:color w:val="auto"/>
          <w:highlight w:val="none"/>
        </w:rPr>
      </w:pPr>
      <w:r>
        <w:rPr>
          <w:rFonts w:hint="eastAsia" w:ascii="宋体" w:hAnsi="宋体"/>
          <w:b/>
          <w:color w:val="auto"/>
          <w:highlight w:val="none"/>
        </w:rPr>
        <w:t>三、投标的澄清</w:t>
      </w:r>
    </w:p>
    <w:p>
      <w:pPr>
        <w:spacing w:line="400" w:lineRule="exact"/>
        <w:ind w:firstLine="420" w:firstLineChars="200"/>
        <w:rPr>
          <w:rFonts w:hint="eastAsia"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政采云具体操作如下：</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路径：用户中心—项目采购—询标澄清</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（1）政采云平台通过待办事项和短信提醒供应商在截止时间前完成澄清。</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（2）供应商在“询标澄清-待办理”标签页下选择状态为“待澄清”的项目，点击操作栏【澄清】。</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（4）签章完成，文件名称处显示“已签章”，供应商可“撤回签章”修改澄清函和“查看文件”。</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（6）完成状态：供应商澄清文件提交成功后，在“询标澄清-全部”标签页下显示状态为“已澄清”。</w:t>
      </w:r>
    </w:p>
    <w:p>
      <w:pPr>
        <w:spacing w:line="400" w:lineRule="exact"/>
        <w:ind w:firstLine="420" w:firstLineChars="200"/>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开标现场，供应商安排</w:t>
      </w:r>
      <w:r>
        <w:rPr>
          <w:rFonts w:hint="eastAsia" w:ascii="宋体" w:hAnsi="宋体"/>
          <w:color w:val="auto"/>
          <w:highlight w:val="none"/>
        </w:rPr>
        <w:t>法定代表人或授权代表到场的，则由</w:t>
      </w:r>
      <w:r>
        <w:rPr>
          <w:rFonts w:hint="eastAsia" w:ascii="宋体" w:hAnsi="宋体" w:cs="宋体"/>
          <w:color w:val="auto"/>
          <w:highlight w:val="none"/>
        </w:rPr>
        <w:t>评标委员会组长将问题汇总后向供应商发出书面“采购响应文件问题澄清通知”，供应商应对需要澄清的问题作书面回答，该书面澄清应当由</w:t>
      </w:r>
      <w:r>
        <w:rPr>
          <w:rFonts w:hint="eastAsia" w:ascii="宋体" w:hAnsi="宋体"/>
          <w:color w:val="auto"/>
          <w:highlight w:val="none"/>
        </w:rPr>
        <w:t>供应商的法定代表人或授权代表签字</w:t>
      </w:r>
      <w:r>
        <w:rPr>
          <w:rFonts w:hint="eastAsia" w:ascii="宋体" w:hAnsi="宋体" w:cs="宋体"/>
          <w:color w:val="auto"/>
          <w:highlight w:val="none"/>
        </w:rPr>
        <w:t>或者加盖供应商公章。书面澄清将作为投标文件内容的一部分，具有相应的法律效力。</w:t>
      </w:r>
    </w:p>
    <w:p>
      <w:pPr>
        <w:spacing w:line="400" w:lineRule="exact"/>
        <w:ind w:firstLine="420" w:firstLineChars="200"/>
        <w:jc w:val="lef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供应商未在截止时间前完成澄清，将被视作自动放弃。</w:t>
      </w:r>
    </w:p>
    <w:p>
      <w:pPr>
        <w:spacing w:line="400" w:lineRule="exact"/>
        <w:ind w:firstLine="422" w:firstLineChars="200"/>
        <w:jc w:val="left"/>
        <w:rPr>
          <w:rFonts w:ascii="宋体" w:hAnsi="宋体"/>
          <w:color w:val="auto"/>
          <w:highlight w:val="none"/>
        </w:rPr>
      </w:pPr>
      <w:r>
        <w:rPr>
          <w:rFonts w:hint="eastAsia" w:ascii="宋体" w:hAnsi="宋体"/>
          <w:b/>
          <w:color w:val="auto"/>
          <w:highlight w:val="none"/>
        </w:rPr>
        <w:t>四、特别声明：价格是评标的重要因素之一，但最低价不是中标的唯一依据。</w:t>
      </w:r>
    </w:p>
    <w:p>
      <w:pPr>
        <w:spacing w:line="400" w:lineRule="exact"/>
        <w:ind w:firstLine="422" w:firstLineChars="200"/>
        <w:jc w:val="left"/>
        <w:rPr>
          <w:rFonts w:ascii="宋体" w:hAnsi="宋体"/>
          <w:b/>
          <w:color w:val="auto"/>
          <w:highlight w:val="none"/>
        </w:rPr>
      </w:pPr>
      <w:r>
        <w:rPr>
          <w:rFonts w:hint="eastAsia" w:ascii="宋体" w:hAnsi="宋体"/>
          <w:b/>
          <w:color w:val="auto"/>
          <w:highlight w:val="none"/>
        </w:rPr>
        <w:t>五、重新招标</w:t>
      </w:r>
    </w:p>
    <w:p>
      <w:pPr>
        <w:spacing w:line="400" w:lineRule="exact"/>
        <w:ind w:firstLine="420" w:firstLineChars="200"/>
        <w:rPr>
          <w:rFonts w:ascii="宋体" w:hAnsi="宋体"/>
          <w:color w:val="auto"/>
          <w:highlight w:val="none"/>
        </w:rPr>
      </w:pPr>
      <w:r>
        <w:rPr>
          <w:rFonts w:hint="eastAsia" w:ascii="宋体" w:hAnsi="宋体"/>
          <w:color w:val="auto"/>
          <w:highlight w:val="none"/>
        </w:rPr>
        <w:t>有下列情形之一的，采购人将重新招标：</w:t>
      </w:r>
    </w:p>
    <w:p>
      <w:pPr>
        <w:spacing w:line="400" w:lineRule="exact"/>
        <w:ind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投标截止时间止，供应商少于</w:t>
      </w:r>
      <w:r>
        <w:rPr>
          <w:rFonts w:ascii="宋体" w:hAnsi="宋体"/>
          <w:color w:val="auto"/>
          <w:highlight w:val="none"/>
        </w:rPr>
        <w:t>3</w:t>
      </w:r>
      <w:r>
        <w:rPr>
          <w:rFonts w:hint="eastAsia" w:ascii="宋体" w:hAnsi="宋体"/>
          <w:color w:val="auto"/>
          <w:highlight w:val="none"/>
        </w:rPr>
        <w:t>个的；</w:t>
      </w:r>
    </w:p>
    <w:p>
      <w:pPr>
        <w:spacing w:line="400" w:lineRule="exact"/>
        <w:ind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评标委员会评标过程中，有效供应商少于</w:t>
      </w:r>
      <w:r>
        <w:rPr>
          <w:rFonts w:ascii="宋体" w:hAnsi="宋体"/>
          <w:color w:val="auto"/>
          <w:highlight w:val="none"/>
        </w:rPr>
        <w:t>3</w:t>
      </w:r>
      <w:r>
        <w:rPr>
          <w:rFonts w:hint="eastAsia" w:ascii="宋体" w:hAnsi="宋体"/>
          <w:color w:val="auto"/>
          <w:highlight w:val="none"/>
        </w:rPr>
        <w:t>个的；</w:t>
      </w:r>
    </w:p>
    <w:p>
      <w:pPr>
        <w:widowControl/>
        <w:spacing w:line="400" w:lineRule="exact"/>
        <w:ind w:firstLine="420" w:firstLineChars="200"/>
        <w:jc w:val="left"/>
        <w:rPr>
          <w:rFonts w:hint="eastAsia" w:ascii="宋体" w:hAnsi="宋体"/>
          <w:color w:val="auto"/>
          <w:highlight w:val="none"/>
        </w:rPr>
      </w:pPr>
      <w:r>
        <w:rPr>
          <w:rFonts w:ascii="宋体" w:hAnsi="宋体"/>
          <w:color w:val="auto"/>
          <w:highlight w:val="none"/>
        </w:rPr>
        <w:t>3</w:t>
      </w:r>
      <w:r>
        <w:rPr>
          <w:rFonts w:hint="eastAsia" w:ascii="宋体" w:hAnsi="宋体"/>
          <w:color w:val="auto"/>
          <w:highlight w:val="none"/>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pStyle w:val="15"/>
        <w:widowControl/>
        <w:spacing w:line="440" w:lineRule="exact"/>
        <w:rPr>
          <w:rFonts w:hint="eastAsia" w:ascii="宋体"/>
          <w:b/>
          <w:bCs/>
          <w:color w:val="auto"/>
          <w:highlight w:val="none"/>
        </w:rPr>
      </w:pPr>
    </w:p>
    <w:p>
      <w:pPr>
        <w:pStyle w:val="15"/>
        <w:widowControl/>
        <w:spacing w:line="440" w:lineRule="exact"/>
        <w:rPr>
          <w:rFonts w:hint="eastAsia" w:ascii="宋体"/>
          <w:b/>
          <w:bCs/>
          <w:color w:val="auto"/>
          <w:highlight w:val="none"/>
        </w:rPr>
      </w:pPr>
    </w:p>
    <w:p>
      <w:pPr>
        <w:pStyle w:val="15"/>
        <w:widowControl/>
        <w:spacing w:line="440" w:lineRule="exact"/>
        <w:jc w:val="left"/>
        <w:rPr>
          <w:rFonts w:hint="eastAsia" w:ascii="宋体"/>
          <w:b/>
          <w:bCs/>
          <w:color w:val="auto"/>
          <w:highlight w:val="none"/>
        </w:rPr>
      </w:pPr>
    </w:p>
    <w:p>
      <w:pPr>
        <w:pStyle w:val="15"/>
        <w:widowControl/>
        <w:spacing w:line="440" w:lineRule="exact"/>
        <w:jc w:val="left"/>
        <w:rPr>
          <w:rFonts w:hint="eastAsia" w:ascii="宋体"/>
          <w:b/>
          <w:bCs/>
          <w:color w:val="auto"/>
          <w:highlight w:val="none"/>
        </w:rPr>
      </w:pPr>
    </w:p>
    <w:p>
      <w:pPr>
        <w:pStyle w:val="15"/>
        <w:widowControl/>
        <w:spacing w:line="440" w:lineRule="exact"/>
        <w:jc w:val="left"/>
        <w:rPr>
          <w:rFonts w:hint="eastAsia" w:ascii="宋体"/>
          <w:b/>
          <w:bCs/>
          <w:color w:val="auto"/>
          <w:highlight w:val="none"/>
        </w:rPr>
      </w:pPr>
    </w:p>
    <w:p>
      <w:pPr>
        <w:pStyle w:val="15"/>
        <w:widowControl/>
        <w:spacing w:line="440" w:lineRule="exact"/>
        <w:jc w:val="left"/>
        <w:rPr>
          <w:rFonts w:hint="eastAsia" w:ascii="宋体"/>
          <w:b/>
          <w:bCs/>
          <w:color w:val="auto"/>
          <w:highlight w:val="none"/>
        </w:rPr>
      </w:pPr>
    </w:p>
    <w:p>
      <w:pPr>
        <w:pStyle w:val="15"/>
        <w:widowControl/>
        <w:spacing w:line="440" w:lineRule="exact"/>
        <w:ind w:left="0" w:leftChars="0"/>
        <w:jc w:val="center"/>
        <w:rPr>
          <w:rFonts w:hint="eastAsia" w:hAnsi="宋体"/>
          <w:color w:val="auto"/>
          <w:highlight w:val="none"/>
        </w:rPr>
      </w:pPr>
    </w:p>
    <w:p>
      <w:pPr>
        <w:pStyle w:val="15"/>
        <w:widowControl/>
        <w:spacing w:line="440" w:lineRule="exact"/>
        <w:ind w:left="0" w:leftChars="0"/>
        <w:jc w:val="center"/>
        <w:rPr>
          <w:rFonts w:hint="eastAsia" w:hAnsi="宋体"/>
          <w:color w:val="auto"/>
          <w:highlight w:val="none"/>
        </w:rPr>
      </w:pPr>
    </w:p>
    <w:p>
      <w:pPr>
        <w:pStyle w:val="15"/>
        <w:widowControl/>
        <w:spacing w:line="440" w:lineRule="exact"/>
        <w:ind w:left="0" w:leftChars="0"/>
        <w:jc w:val="center"/>
        <w:rPr>
          <w:rFonts w:hint="eastAsia" w:hAnsi="宋体"/>
          <w:color w:val="auto"/>
          <w:highlight w:val="none"/>
        </w:rPr>
      </w:pPr>
    </w:p>
    <w:p>
      <w:pPr>
        <w:pStyle w:val="15"/>
        <w:widowControl/>
        <w:spacing w:line="440" w:lineRule="exact"/>
        <w:ind w:left="0" w:leftChars="0"/>
        <w:jc w:val="center"/>
        <w:rPr>
          <w:rFonts w:hint="eastAsia" w:hAnsi="宋体"/>
          <w:color w:val="auto"/>
          <w:highlight w:val="none"/>
        </w:rPr>
      </w:pPr>
    </w:p>
    <w:p>
      <w:pPr>
        <w:pStyle w:val="15"/>
        <w:widowControl/>
        <w:spacing w:line="440" w:lineRule="exact"/>
        <w:ind w:left="0" w:leftChars="0"/>
        <w:jc w:val="center"/>
        <w:rPr>
          <w:rFonts w:hint="eastAsia" w:hAnsi="宋体"/>
          <w:color w:val="auto"/>
          <w:highlight w:val="none"/>
        </w:rPr>
      </w:pPr>
    </w:p>
    <w:p>
      <w:pPr>
        <w:spacing w:line="400" w:lineRule="exact"/>
        <w:rPr>
          <w:rFonts w:hint="eastAsia"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附表</w:t>
      </w:r>
      <w:r>
        <w:rPr>
          <w:rFonts w:ascii="宋体" w:hAnsi="宋体"/>
          <w:color w:val="auto"/>
          <w:highlight w:val="none"/>
        </w:rPr>
        <w:t>1</w:t>
      </w:r>
      <w:r>
        <w:rPr>
          <w:rFonts w:hint="eastAsia" w:ascii="宋体" w:hAnsi="宋体"/>
          <w:color w:val="auto"/>
          <w:highlight w:val="none"/>
        </w:rPr>
        <w:t xml:space="preserve">：                           </w:t>
      </w:r>
    </w:p>
    <w:p>
      <w:pPr>
        <w:spacing w:line="400" w:lineRule="exact"/>
        <w:jc w:val="center"/>
        <w:rPr>
          <w:rFonts w:hint="eastAsia" w:ascii="宋体" w:hAnsi="宋体"/>
          <w:b/>
          <w:color w:val="auto"/>
          <w:highlight w:val="none"/>
        </w:rPr>
      </w:pPr>
      <w:r>
        <w:rPr>
          <w:rFonts w:hint="eastAsia" w:ascii="宋体" w:hAnsi="宋体"/>
          <w:b/>
          <w:color w:val="auto"/>
          <w:highlight w:val="none"/>
        </w:rPr>
        <w:t>资格性审查表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356"/>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序号</w:t>
            </w:r>
          </w:p>
        </w:tc>
        <w:tc>
          <w:tcPr>
            <w:tcW w:w="3356"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资格要求</w:t>
            </w:r>
          </w:p>
        </w:tc>
        <w:tc>
          <w:tcPr>
            <w:tcW w:w="4904"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9" w:hRule="atLeast"/>
          <w:jc w:val="center"/>
        </w:trPr>
        <w:tc>
          <w:tcPr>
            <w:tcW w:w="799"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3356" w:type="dxa"/>
            <w:noWrap w:val="0"/>
            <w:vAlign w:val="top"/>
          </w:tcPr>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符合《中华人民共和国政府采购法》第二十二条的一般资格条件的规定：</w:t>
            </w:r>
          </w:p>
          <w:p>
            <w:pPr>
              <w:snapToGrid w:val="0"/>
              <w:spacing w:line="360" w:lineRule="auto"/>
              <w:rPr>
                <w:rFonts w:hint="eastAsia" w:ascii="宋体" w:hAnsi="宋体" w:cs="宋体"/>
                <w:color w:val="auto"/>
                <w:sz w:val="18"/>
                <w:szCs w:val="18"/>
                <w:highlight w:val="none"/>
              </w:rPr>
            </w:pPr>
          </w:p>
        </w:tc>
        <w:tc>
          <w:tcPr>
            <w:tcW w:w="4904" w:type="dxa"/>
            <w:noWrap w:val="0"/>
            <w:vAlign w:val="top"/>
          </w:tcPr>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（1）关于资格的承诺函（详见招标文件第六章）；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（2）有效的企业法人营业执照（或事业法人登记证）、其他组织（个体工商户）的营业执照或者民办非企业单位登记证书复印件加盖供应商公章；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（3）开标截止时间前6个月内任意1个月的财务会计报表复印件加盖供应商公章；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（4）具有履行合同所必需的设备和专业技术能力的声明函（详见招标文件第六章）；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（5）开标截止时间前6个月内任意1个月的缴纳税收的证明资料复印件加盖供应商公章；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（6）开标截止时间前6个月内任意1个月的缴纳社保的证明资料复印件加盖供应商公章；</w:t>
            </w:r>
          </w:p>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（7）无重大违法记录的声明函（详见招标文件第六章）；</w:t>
            </w:r>
          </w:p>
          <w:p>
            <w:pPr>
              <w:snapToGrid w:val="0"/>
              <w:spacing w:line="360" w:lineRule="auto"/>
              <w:rPr>
                <w:rFonts w:hint="eastAsia" w:ascii="宋体" w:hAnsi="宋体" w:cs="宋体"/>
                <w:color w:val="auto"/>
                <w:highlight w:val="none"/>
              </w:rPr>
            </w:pPr>
            <w:r>
              <w:rPr>
                <w:rFonts w:hint="eastAsia" w:ascii="宋体" w:hAnsi="宋体" w:cs="宋体"/>
                <w:color w:val="auto"/>
                <w:sz w:val="18"/>
                <w:szCs w:val="18"/>
                <w:highlight w:val="none"/>
              </w:rPr>
              <w:t>依法免税或不需要缴纳社保的供应商，应提供相应文件证明其依法免税或不需要缴纳社保。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799"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3356" w:type="dxa"/>
            <w:noWrap w:val="0"/>
            <w:vAlign w:val="center"/>
          </w:tcPr>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未被信用中国网站（</w:t>
            </w:r>
            <w:r>
              <w:rPr>
                <w:rFonts w:hint="eastAsia" w:ascii="宋体" w:hAnsi="宋体" w:cs="宋体"/>
                <w:color w:val="auto"/>
                <w:sz w:val="18"/>
                <w:szCs w:val="18"/>
                <w:highlight w:val="none"/>
              </w:rPr>
              <w:fldChar w:fldCharType="begin"/>
            </w:r>
            <w:r>
              <w:rPr>
                <w:rFonts w:hint="eastAsia" w:ascii="宋体" w:hAnsi="宋体" w:cs="宋体"/>
                <w:color w:val="auto"/>
                <w:sz w:val="18"/>
                <w:szCs w:val="18"/>
                <w:highlight w:val="none"/>
              </w:rPr>
              <w:instrText xml:space="preserve"> HYPERLINK "http://www.creditchina.gov.cn" </w:instrText>
            </w:r>
            <w:r>
              <w:rPr>
                <w:rFonts w:hint="eastAsia" w:ascii="宋体" w:hAnsi="宋体" w:cs="宋体"/>
                <w:color w:val="auto"/>
                <w:sz w:val="18"/>
                <w:szCs w:val="18"/>
                <w:highlight w:val="none"/>
              </w:rPr>
              <w:fldChar w:fldCharType="separate"/>
            </w:r>
            <w:r>
              <w:rPr>
                <w:rFonts w:hint="eastAsia" w:ascii="宋体" w:hAnsi="宋体" w:cs="宋体"/>
                <w:color w:val="auto"/>
                <w:sz w:val="18"/>
                <w:szCs w:val="18"/>
                <w:highlight w:val="none"/>
              </w:rPr>
              <w:t>www.creditchina.gov.cn</w:t>
            </w:r>
            <w:r>
              <w:rPr>
                <w:rFonts w:hint="eastAsia" w:ascii="宋体" w:hAnsi="宋体" w:cs="宋体"/>
                <w:color w:val="auto"/>
                <w:sz w:val="18"/>
                <w:szCs w:val="18"/>
                <w:highlight w:val="none"/>
              </w:rPr>
              <w:fldChar w:fldCharType="end"/>
            </w:r>
            <w:r>
              <w:rPr>
                <w:rFonts w:hint="eastAsia" w:ascii="宋体" w:hAnsi="宋体" w:cs="宋体"/>
                <w:color w:val="auto"/>
                <w:sz w:val="18"/>
                <w:szCs w:val="18"/>
                <w:highlight w:val="none"/>
              </w:rPr>
              <w:t>）列入失信被执行人、重大税收违法案件当事人名单，未被中国政府采购网（www.ccgp.gov.cn）列入政府采购严重违法失信行为记录名单。（以采购代理机构于投标截止日当天在信用中国网站及中国政府采购网查询结果为准，如相关失信记录已失效，投标人需提供相关证明资料）</w:t>
            </w:r>
          </w:p>
        </w:tc>
        <w:tc>
          <w:tcPr>
            <w:tcW w:w="4904" w:type="dxa"/>
            <w:noWrap w:val="0"/>
            <w:vAlign w:val="top"/>
          </w:tcPr>
          <w:p>
            <w:pPr>
              <w:snapToGrid w:val="0"/>
              <w:spacing w:line="360"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采购人、采购代理机构将于投标截止日</w:t>
            </w:r>
            <w:r>
              <w:rPr>
                <w:rFonts w:hint="eastAsia" w:ascii="宋体" w:hAnsi="宋体" w:cs="宋体"/>
                <w:iCs/>
                <w:color w:val="auto"/>
                <w:sz w:val="18"/>
                <w:szCs w:val="18"/>
                <w:highlight w:val="none"/>
              </w:rPr>
              <w:t>当天</w:t>
            </w:r>
            <w:r>
              <w:rPr>
                <w:rFonts w:hint="eastAsia" w:ascii="宋体" w:hAnsi="宋体" w:cs="宋体"/>
                <w:color w:val="auto"/>
                <w:sz w:val="18"/>
                <w:szCs w:val="18"/>
                <w:highlight w:val="none"/>
              </w:rPr>
              <w:t>通过“信用中国”网站（www.creditchina.gov.cn）查询投标人失信被执行人、重大税收违法案件当事人信用记录，通过中国政府采购网（www.ccgp.gov.cn）查询投标人政府采购严重违法失信行为信用记录。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3356" w:type="dxa"/>
            <w:noWrap w:val="0"/>
            <w:vAlign w:val="top"/>
          </w:tcPr>
          <w:p>
            <w:pPr>
              <w:spacing w:line="360"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特定资格条件：本项目允许联合体投标，若为投标联合体参加投标时必须提供联合投标协议；在联合投标协议中必须明确各联合投标单位的责任和义务，由投标人自行确定联合体主体单位，联合体单位数量不得超过两家；</w:t>
            </w:r>
          </w:p>
        </w:tc>
        <w:tc>
          <w:tcPr>
            <w:tcW w:w="4904" w:type="dxa"/>
            <w:noWrap w:val="0"/>
            <w:vAlign w:val="top"/>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本项目本项目允许联合体投标，若为投标联合体参加投标时必须提供联合投标协议；在联合投标协议中必须明确各联合投标单位的责任和义务，由投标人自行确定联合体主体单位，联合体单位数量不得超过两家。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3356" w:type="dxa"/>
            <w:noWrap w:val="0"/>
            <w:vAlign w:val="center"/>
          </w:tcPr>
          <w:p>
            <w:pPr>
              <w:spacing w:line="360"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本项目接受联合体投标</w:t>
            </w:r>
          </w:p>
        </w:tc>
        <w:tc>
          <w:tcPr>
            <w:tcW w:w="4904" w:type="dxa"/>
            <w:noWrap w:val="0"/>
            <w:vAlign w:val="center"/>
          </w:tcPr>
          <w:p>
            <w:pPr>
              <w:spacing w:line="360"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本项目接受联合体投标（如为联合体投标，须提供联合体投标协议书）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155" w:type="dxa"/>
            <w:gridSpan w:val="2"/>
            <w:noWrap w:val="0"/>
            <w:vAlign w:val="center"/>
          </w:tcPr>
          <w:p>
            <w:pPr>
              <w:spacing w:line="360" w:lineRule="auto"/>
              <w:jc w:val="left"/>
              <w:rPr>
                <w:rFonts w:hint="eastAsia" w:ascii="宋体" w:hAnsi="宋体" w:cs="宋体"/>
                <w:color w:val="auto"/>
                <w:sz w:val="18"/>
                <w:szCs w:val="18"/>
                <w:highlight w:val="none"/>
              </w:rPr>
            </w:pPr>
            <w:r>
              <w:rPr>
                <w:rFonts w:hint="eastAsia" w:ascii="宋体" w:hAnsi="宋体"/>
                <w:b/>
                <w:color w:val="auto"/>
                <w:highlight w:val="none"/>
              </w:rPr>
              <w:t>资格性审查结论</w:t>
            </w:r>
          </w:p>
        </w:tc>
        <w:tc>
          <w:tcPr>
            <w:tcW w:w="4904" w:type="dxa"/>
            <w:noWrap w:val="0"/>
            <w:vAlign w:val="center"/>
          </w:tcPr>
          <w:p>
            <w:pPr>
              <w:spacing w:line="360" w:lineRule="auto"/>
              <w:jc w:val="left"/>
              <w:rPr>
                <w:rFonts w:hint="eastAsia" w:ascii="宋体" w:hAnsi="宋体" w:cs="宋体"/>
                <w:color w:val="auto"/>
                <w:sz w:val="18"/>
                <w:szCs w:val="18"/>
                <w:highlight w:val="none"/>
              </w:rPr>
            </w:pPr>
          </w:p>
        </w:tc>
      </w:tr>
    </w:tbl>
    <w:p>
      <w:pPr>
        <w:spacing w:line="320" w:lineRule="exact"/>
        <w:rPr>
          <w:rFonts w:hint="eastAsia" w:ascii="宋体" w:hAnsi="宋体"/>
          <w:b/>
          <w:color w:val="auto"/>
          <w:highlight w:val="none"/>
        </w:rPr>
      </w:pPr>
      <w:r>
        <w:rPr>
          <w:rFonts w:hint="eastAsia" w:ascii="宋体" w:hAnsi="宋体"/>
          <w:b/>
          <w:color w:val="auto"/>
          <w:highlight w:val="none"/>
        </w:rPr>
        <w:t>注：</w:t>
      </w:r>
      <w:r>
        <w:rPr>
          <w:rFonts w:ascii="宋体" w:hAnsi="宋体"/>
          <w:b/>
          <w:color w:val="auto"/>
          <w:highlight w:val="none"/>
        </w:rPr>
        <w:t>1</w:t>
      </w:r>
      <w:r>
        <w:rPr>
          <w:rFonts w:hint="eastAsia" w:ascii="宋体" w:hAnsi="宋体"/>
          <w:b/>
          <w:color w:val="auto"/>
          <w:highlight w:val="none"/>
        </w:rPr>
        <w:t>、上述资格证明文件未按招标文件要求附入投标文件中的，资格性审查不合格。</w:t>
      </w:r>
    </w:p>
    <w:p>
      <w:pPr>
        <w:spacing w:line="320" w:lineRule="exact"/>
        <w:ind w:firstLine="517" w:firstLineChars="245"/>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、上述审查项目中，任意一项不符合的，资格性审查不合格。</w:t>
      </w:r>
    </w:p>
    <w:p>
      <w:pPr>
        <w:spacing w:line="320" w:lineRule="exact"/>
        <w:ind w:firstLine="517" w:firstLineChars="245"/>
        <w:rPr>
          <w:rFonts w:hint="eastAsia" w:ascii="宋体" w:hAnsi="宋体"/>
          <w:b/>
          <w:color w:val="auto"/>
          <w:highlight w:val="none"/>
        </w:rPr>
      </w:pPr>
      <w:r>
        <w:rPr>
          <w:rFonts w:ascii="宋体" w:hAnsi="宋体"/>
          <w:b/>
          <w:color w:val="auto"/>
          <w:highlight w:val="none"/>
        </w:rPr>
        <w:t>3</w:t>
      </w:r>
      <w:r>
        <w:rPr>
          <w:rFonts w:hint="eastAsia" w:ascii="宋体" w:hAnsi="宋体"/>
          <w:b/>
          <w:color w:val="auto"/>
          <w:highlight w:val="none"/>
        </w:rPr>
        <w:t>、依法免税或不需要缴纳社保的供应商，应提供相应文件证明其依法免税或不需要缴纳社保。</w:t>
      </w:r>
    </w:p>
    <w:p>
      <w:pPr>
        <w:spacing w:line="320" w:lineRule="exact"/>
        <w:ind w:firstLine="517" w:firstLineChars="245"/>
        <w:rPr>
          <w:rFonts w:hint="eastAsia" w:ascii="宋体" w:hAnsi="宋体"/>
          <w:b/>
          <w:color w:val="auto"/>
          <w:highlight w:val="none"/>
        </w:rPr>
      </w:pPr>
      <w:r>
        <w:rPr>
          <w:rFonts w:ascii="宋体" w:hAnsi="宋体"/>
          <w:b/>
          <w:color w:val="auto"/>
          <w:highlight w:val="none"/>
        </w:rPr>
        <w:t>4</w:t>
      </w:r>
      <w:r>
        <w:rPr>
          <w:rFonts w:hint="eastAsia" w:ascii="宋体" w:hAnsi="宋体"/>
          <w:b/>
          <w:color w:val="auto"/>
          <w:highlight w:val="none"/>
        </w:rPr>
        <w:t>、采购人、采购代理机构将于投标截止时间前三天内或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20" w:lineRule="exact"/>
        <w:ind w:firstLine="517" w:firstLineChars="245"/>
        <w:rPr>
          <w:rFonts w:ascii="宋体" w:hAnsi="宋体"/>
          <w:b/>
          <w:color w:val="auto"/>
          <w:highlight w:val="none"/>
        </w:rPr>
      </w:pPr>
      <w:r>
        <w:rPr>
          <w:rFonts w:hint="eastAsia" w:ascii="宋体" w:hAnsi="宋体"/>
          <w:b/>
          <w:color w:val="auto"/>
          <w:highlight w:val="none"/>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spacing w:line="400" w:lineRule="exact"/>
        <w:rPr>
          <w:rFonts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附表</w:t>
      </w:r>
      <w:r>
        <w:rPr>
          <w:rFonts w:ascii="宋体" w:hAnsi="宋体"/>
          <w:color w:val="auto"/>
          <w:highlight w:val="none"/>
        </w:rPr>
        <w:t>2</w:t>
      </w:r>
      <w:r>
        <w:rPr>
          <w:rFonts w:hint="eastAsia" w:ascii="宋体" w:hAnsi="宋体"/>
          <w:color w:val="auto"/>
          <w:highlight w:val="none"/>
        </w:rPr>
        <w:t>：</w:t>
      </w:r>
    </w:p>
    <w:p>
      <w:pPr>
        <w:widowControl/>
        <w:snapToGrid w:val="0"/>
        <w:spacing w:line="560" w:lineRule="exact"/>
        <w:jc w:val="center"/>
        <w:rPr>
          <w:rFonts w:hint="eastAsia" w:ascii="宋体" w:hAnsi="宋体"/>
          <w:b/>
          <w:color w:val="auto"/>
          <w:highlight w:val="none"/>
        </w:rPr>
      </w:pPr>
      <w:r>
        <w:rPr>
          <w:rFonts w:hint="eastAsia" w:ascii="宋体" w:hAnsi="宋体"/>
          <w:b/>
          <w:color w:val="auto"/>
          <w:highlight w:val="none"/>
        </w:rPr>
        <w:t>符合性审查表</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4"/>
        <w:gridCol w:w="66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2174"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审查项目</w:t>
            </w:r>
          </w:p>
        </w:tc>
        <w:tc>
          <w:tcPr>
            <w:tcW w:w="6645"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2174"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供应商名称</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与有效的企业法人营业执照（或事业法人登记证）、其他组织（个体工商户）的营业执照或者民办非企业单位登记证书复印件一致。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2174"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投标有效期</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符合“第三章供应商须知”中前附表的要求。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2174"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法定代表人身份证明和法定代表人授权书</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投标文件由法定代表人签字的，提供“法定代表人身份证明”；</w:t>
            </w:r>
          </w:p>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2174"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投标文件的签署盖章</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符合“第三章 供应商须知”中的要求。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5</w:t>
            </w:r>
          </w:p>
        </w:tc>
        <w:tc>
          <w:tcPr>
            <w:tcW w:w="2174"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股东成员组成说明书</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股东成员组成说明书（供应商须提供股东成员组成说明书（格式自拟），加盖供应商公章；或从“国家企业信用信息公示系统”、“宁波市企业信用网”等相关网站里打印有股东成员名称的相关页面，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6</w:t>
            </w:r>
          </w:p>
        </w:tc>
        <w:tc>
          <w:tcPr>
            <w:tcW w:w="2174" w:type="dxa"/>
            <w:vMerge w:val="restart"/>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其他</w:t>
            </w: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对同个子包或项目不允许提供两个投标方案。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7</w:t>
            </w:r>
          </w:p>
        </w:tc>
        <w:tc>
          <w:tcPr>
            <w:tcW w:w="2174" w:type="dxa"/>
            <w:vMerge w:val="continue"/>
            <w:noWrap w:val="0"/>
            <w:vAlign w:val="center"/>
          </w:tcPr>
          <w:p>
            <w:pPr>
              <w:spacing w:line="320" w:lineRule="exact"/>
              <w:jc w:val="center"/>
              <w:rPr>
                <w:rFonts w:hint="eastAsia" w:ascii="宋体" w:hAnsi="宋体" w:cs="宋体"/>
                <w:color w:val="auto"/>
                <w:sz w:val="18"/>
                <w:szCs w:val="18"/>
                <w:highlight w:val="none"/>
              </w:rPr>
            </w:pP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不允许出现与招标文件有重大偏离的投标文件。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w:t>
            </w:r>
          </w:p>
        </w:tc>
        <w:tc>
          <w:tcPr>
            <w:tcW w:w="2174" w:type="dxa"/>
            <w:vMerge w:val="continue"/>
            <w:noWrap w:val="0"/>
            <w:vAlign w:val="center"/>
          </w:tcPr>
          <w:p>
            <w:pPr>
              <w:spacing w:line="320" w:lineRule="exact"/>
              <w:jc w:val="center"/>
              <w:rPr>
                <w:rFonts w:hint="eastAsia" w:ascii="宋体" w:hAnsi="宋体" w:cs="宋体"/>
                <w:color w:val="auto"/>
                <w:sz w:val="18"/>
                <w:szCs w:val="18"/>
                <w:highlight w:val="none"/>
              </w:rPr>
            </w:pP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供应商不得在投标活动中提供任何虚假材料或从事其他违法活动的。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9</w:t>
            </w:r>
          </w:p>
        </w:tc>
        <w:tc>
          <w:tcPr>
            <w:tcW w:w="2174" w:type="dxa"/>
            <w:vMerge w:val="continue"/>
            <w:noWrap w:val="0"/>
            <w:vAlign w:val="center"/>
          </w:tcPr>
          <w:p>
            <w:pPr>
              <w:spacing w:line="320" w:lineRule="exact"/>
              <w:jc w:val="center"/>
              <w:rPr>
                <w:rFonts w:hint="eastAsia" w:ascii="宋体" w:hAnsi="宋体" w:cs="宋体"/>
                <w:color w:val="auto"/>
                <w:sz w:val="18"/>
                <w:szCs w:val="18"/>
                <w:highlight w:val="none"/>
              </w:rPr>
            </w:pP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评标委员会经过审查，认定供应商虚假应标、串通投标的</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有下列情形之一的，视为供应商串通投标：</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（1）不同供应商的投标文件由同一单位或者个人编制；</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（2）不同供应商委托同一单位或者个人办理投标事宜；</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（3）不同供应商的投标文件载明的项目管理成员或者联系人员为同一人；</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（4）不同供应商的投标文件异常一致或者投标报价呈规律性差异；</w:t>
            </w:r>
          </w:p>
          <w:p>
            <w:pPr>
              <w:widowControl/>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（5）不同供应商的投标文件相互混装；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20"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10</w:t>
            </w:r>
          </w:p>
        </w:tc>
        <w:tc>
          <w:tcPr>
            <w:tcW w:w="2174" w:type="dxa"/>
            <w:vMerge w:val="continue"/>
            <w:noWrap w:val="0"/>
            <w:vAlign w:val="center"/>
          </w:tcPr>
          <w:p>
            <w:pPr>
              <w:spacing w:line="320" w:lineRule="exact"/>
              <w:jc w:val="center"/>
              <w:rPr>
                <w:rFonts w:hint="eastAsia" w:ascii="宋体" w:hAnsi="宋体" w:cs="宋体"/>
                <w:color w:val="auto"/>
                <w:sz w:val="18"/>
                <w:szCs w:val="18"/>
                <w:highlight w:val="none"/>
              </w:rPr>
            </w:pP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符合法律、法规和招标文件中规定的其他实质性要求（实质性要求招标文件中“▲”标记）。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20" w:type="dxa"/>
            <w:noWrap w:val="0"/>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11</w:t>
            </w:r>
          </w:p>
        </w:tc>
        <w:tc>
          <w:tcPr>
            <w:tcW w:w="2174" w:type="dxa"/>
            <w:vMerge w:val="continue"/>
            <w:noWrap w:val="0"/>
            <w:vAlign w:val="center"/>
          </w:tcPr>
          <w:p>
            <w:pPr>
              <w:spacing w:line="320" w:lineRule="exact"/>
              <w:jc w:val="center"/>
              <w:rPr>
                <w:rFonts w:hint="eastAsia" w:ascii="宋体" w:hAnsi="宋体" w:cs="宋体"/>
                <w:color w:val="auto"/>
                <w:sz w:val="18"/>
                <w:szCs w:val="18"/>
                <w:highlight w:val="none"/>
              </w:rPr>
            </w:pPr>
          </w:p>
        </w:tc>
        <w:tc>
          <w:tcPr>
            <w:tcW w:w="6645" w:type="dxa"/>
            <w:noWrap w:val="0"/>
            <w:vAlign w:val="center"/>
          </w:tcPr>
          <w:p>
            <w:pPr>
              <w:spacing w:line="32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不同投标人的投标文件出自同一终端设备或在相同Internet主机分配地址（相同IP地址）网上报名投标的作无效标处理</w:t>
            </w:r>
          </w:p>
        </w:tc>
      </w:tr>
    </w:tbl>
    <w:p>
      <w:pPr>
        <w:spacing w:line="400" w:lineRule="exact"/>
        <w:rPr>
          <w:rFonts w:hint="eastAsia" w:ascii="宋体" w:hAnsi="宋体"/>
          <w:b/>
          <w:color w:val="auto"/>
          <w:highlight w:val="none"/>
        </w:rPr>
      </w:pPr>
      <w:r>
        <w:rPr>
          <w:rFonts w:hint="eastAsia" w:ascii="宋体" w:hAnsi="宋体"/>
          <w:b/>
          <w:color w:val="auto"/>
          <w:highlight w:val="none"/>
        </w:rPr>
        <w:t>注：</w:t>
      </w:r>
      <w:r>
        <w:rPr>
          <w:rFonts w:ascii="宋体" w:hAnsi="宋体"/>
          <w:b/>
          <w:color w:val="auto"/>
          <w:highlight w:val="none"/>
        </w:rPr>
        <w:t>1</w:t>
      </w:r>
      <w:r>
        <w:rPr>
          <w:rFonts w:hint="eastAsia" w:ascii="宋体" w:hAnsi="宋体"/>
          <w:b/>
          <w:color w:val="auto"/>
          <w:highlight w:val="none"/>
        </w:rPr>
        <w:t>、上述审查项目中，任意一项不符合的，符合性审查不合格。</w:t>
      </w:r>
    </w:p>
    <w:p>
      <w:pPr>
        <w:spacing w:line="400" w:lineRule="exact"/>
        <w:rPr>
          <w:rFonts w:ascii="宋体" w:hAnsi="宋体"/>
          <w:color w:val="auto"/>
          <w:highlight w:val="none"/>
        </w:rPr>
      </w:pPr>
      <w:r>
        <w:rPr>
          <w:rFonts w:hint="eastAsia" w:hAnsi="宋体"/>
          <w:color w:val="auto"/>
          <w:highlight w:val="none"/>
        </w:rPr>
        <w:br w:type="page"/>
      </w:r>
      <w:r>
        <w:rPr>
          <w:rFonts w:hint="eastAsia" w:ascii="宋体" w:hAnsi="宋体"/>
          <w:color w:val="auto"/>
          <w:highlight w:val="none"/>
        </w:rPr>
        <w:t>附表3：</w:t>
      </w:r>
    </w:p>
    <w:p>
      <w:pPr>
        <w:pStyle w:val="15"/>
        <w:widowControl/>
        <w:spacing w:line="440" w:lineRule="exact"/>
        <w:ind w:left="0" w:leftChars="0"/>
        <w:jc w:val="center"/>
        <w:rPr>
          <w:rFonts w:hint="eastAsia"/>
          <w:b/>
          <w:color w:val="auto"/>
          <w:kern w:val="0"/>
          <w:sz w:val="24"/>
          <w:szCs w:val="22"/>
          <w:highlight w:val="none"/>
          <w:lang w:val="zh-CN" w:bidi="zh-CN"/>
        </w:rPr>
      </w:pPr>
      <w:r>
        <w:rPr>
          <w:rFonts w:hint="eastAsia"/>
          <w:b/>
          <w:color w:val="auto"/>
          <w:kern w:val="0"/>
          <w:sz w:val="24"/>
          <w:szCs w:val="22"/>
          <w:highlight w:val="none"/>
          <w:lang w:bidi="zh-CN"/>
        </w:rPr>
        <w:t>技术商务</w:t>
      </w:r>
      <w:r>
        <w:rPr>
          <w:rFonts w:hint="eastAsia"/>
          <w:b/>
          <w:color w:val="auto"/>
          <w:kern w:val="0"/>
          <w:sz w:val="24"/>
          <w:szCs w:val="22"/>
          <w:highlight w:val="none"/>
          <w:lang w:val="zh-CN" w:bidi="zh-CN"/>
        </w:rPr>
        <w:t>评分细则</w:t>
      </w:r>
    </w:p>
    <w:tbl>
      <w:tblPr>
        <w:tblStyle w:val="26"/>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384"/>
        <w:gridCol w:w="1265"/>
        <w:gridCol w:w="6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511" w:hRule="atLeast"/>
          <w:jc w:val="center"/>
        </w:trPr>
        <w:tc>
          <w:tcPr>
            <w:tcW w:w="2649" w:type="dxa"/>
            <w:gridSpan w:val="2"/>
            <w:shd w:val="clear" w:color="auto" w:fill="FFFFFF"/>
            <w:noWrap w:val="0"/>
            <w:vAlign w:val="center"/>
          </w:tcPr>
          <w:p>
            <w:pPr>
              <w:pStyle w:val="62"/>
              <w:spacing w:before="99"/>
              <w:ind w:left="183" w:right="198"/>
              <w:jc w:val="center"/>
              <w:rPr>
                <w:rFonts w:hint="eastAsia"/>
                <w:b/>
                <w:color w:val="auto"/>
                <w:sz w:val="22"/>
                <w:szCs w:val="22"/>
                <w:highlight w:val="none"/>
              </w:rPr>
            </w:pPr>
            <w:r>
              <w:rPr>
                <w:rFonts w:hint="eastAsia"/>
                <w:b/>
                <w:color w:val="auto"/>
                <w:sz w:val="22"/>
                <w:szCs w:val="22"/>
                <w:highlight w:val="none"/>
              </w:rPr>
              <w:t>价格分</w:t>
            </w:r>
          </w:p>
          <w:p>
            <w:pPr>
              <w:pStyle w:val="62"/>
              <w:spacing w:before="99" w:line="360" w:lineRule="auto"/>
              <w:ind w:left="106"/>
              <w:jc w:val="center"/>
              <w:rPr>
                <w:rFonts w:hint="eastAsia"/>
                <w:color w:val="auto"/>
                <w:sz w:val="22"/>
                <w:szCs w:val="22"/>
                <w:highlight w:val="none"/>
              </w:rPr>
            </w:pPr>
            <w:r>
              <w:rPr>
                <w:rFonts w:hint="eastAsia"/>
                <w:b/>
                <w:color w:val="auto"/>
                <w:sz w:val="22"/>
                <w:szCs w:val="22"/>
                <w:highlight w:val="none"/>
              </w:rPr>
              <w:t>(20分)</w:t>
            </w:r>
          </w:p>
        </w:tc>
        <w:tc>
          <w:tcPr>
            <w:tcW w:w="6740" w:type="dxa"/>
            <w:shd w:val="clear" w:color="auto" w:fill="FFFFFF"/>
            <w:noWrap w:val="0"/>
            <w:vAlign w:val="center"/>
          </w:tcPr>
          <w:p>
            <w:pPr>
              <w:pStyle w:val="62"/>
              <w:spacing w:before="99"/>
              <w:ind w:left="199" w:leftChars="95"/>
              <w:rPr>
                <w:rFonts w:hint="eastAsia"/>
                <w:color w:val="auto"/>
                <w:sz w:val="22"/>
                <w:szCs w:val="22"/>
                <w:highlight w:val="none"/>
              </w:rPr>
            </w:pPr>
            <w:r>
              <w:rPr>
                <w:rFonts w:hint="eastAsia"/>
                <w:color w:val="auto"/>
                <w:sz w:val="22"/>
                <w:szCs w:val="22"/>
                <w:highlight w:val="none"/>
              </w:rPr>
              <w:t>参与评审的价格=投标报价-小微企业价格扣除优惠值10%或小微企业联合体价格扣除优惠值3%（如有）</w:t>
            </w:r>
          </w:p>
          <w:p>
            <w:pPr>
              <w:pStyle w:val="62"/>
              <w:spacing w:before="99"/>
              <w:ind w:left="199" w:leftChars="95"/>
              <w:rPr>
                <w:rFonts w:hint="eastAsia"/>
                <w:color w:val="auto"/>
                <w:sz w:val="22"/>
                <w:szCs w:val="22"/>
                <w:highlight w:val="none"/>
              </w:rPr>
            </w:pPr>
            <w:r>
              <w:rPr>
                <w:rFonts w:hint="eastAsia"/>
                <w:color w:val="auto"/>
                <w:sz w:val="22"/>
                <w:szCs w:val="22"/>
                <w:highlight w:val="none"/>
              </w:rPr>
              <w:t>基准价=满足招标文件要求且最低的参与评审的价格，基准价得满分。</w:t>
            </w:r>
          </w:p>
          <w:p>
            <w:pPr>
              <w:pStyle w:val="62"/>
              <w:spacing w:before="99"/>
              <w:ind w:left="199" w:leftChars="95"/>
              <w:rPr>
                <w:rFonts w:hint="eastAsia"/>
                <w:color w:val="auto"/>
                <w:sz w:val="22"/>
                <w:szCs w:val="22"/>
                <w:highlight w:val="none"/>
              </w:rPr>
            </w:pPr>
            <w:r>
              <w:rPr>
                <w:rFonts w:hint="eastAsia"/>
                <w:color w:val="auto"/>
                <w:sz w:val="22"/>
                <w:szCs w:val="22"/>
                <w:highlight w:val="none"/>
              </w:rPr>
              <w:t>得分：投标报价为评标基准价的得满分20分，其他投标报价得分计算公式如下：</w:t>
            </w:r>
          </w:p>
          <w:p>
            <w:pPr>
              <w:pStyle w:val="62"/>
              <w:spacing w:before="99"/>
              <w:ind w:left="199" w:leftChars="95"/>
              <w:rPr>
                <w:rFonts w:hint="eastAsia"/>
                <w:color w:val="auto"/>
                <w:sz w:val="22"/>
                <w:szCs w:val="22"/>
                <w:highlight w:val="none"/>
              </w:rPr>
            </w:pPr>
            <w:r>
              <w:rPr>
                <w:rFonts w:hint="eastAsia"/>
                <w:color w:val="auto"/>
                <w:sz w:val="22"/>
                <w:szCs w:val="22"/>
                <w:highlight w:val="none"/>
              </w:rPr>
              <w:t>投标报价得分=（评标基准价/参与评审的价格）×2</w:t>
            </w:r>
            <w:r>
              <w:rPr>
                <w:rFonts w:hint="eastAsia"/>
                <w:color w:val="auto"/>
                <w:sz w:val="22"/>
                <w:szCs w:val="22"/>
                <w:highlight w:val="none"/>
                <w:lang w:val="en-US"/>
              </w:rPr>
              <w:t>0</w:t>
            </w:r>
            <w:r>
              <w:rPr>
                <w:rFonts w:hint="eastAsia"/>
                <w:color w:val="auto"/>
                <w:sz w:val="22"/>
                <w:szCs w:val="22"/>
                <w:highlight w:val="none"/>
              </w:rPr>
              <w:t>%×100。</w:t>
            </w:r>
          </w:p>
          <w:p>
            <w:pPr>
              <w:pStyle w:val="62"/>
              <w:spacing w:before="99"/>
              <w:ind w:left="199" w:leftChars="95"/>
              <w:rPr>
                <w:rFonts w:hint="eastAsia"/>
                <w:color w:val="auto"/>
                <w:sz w:val="22"/>
                <w:szCs w:val="22"/>
                <w:highlight w:val="none"/>
              </w:rPr>
            </w:pPr>
            <w:r>
              <w:rPr>
                <w:rFonts w:hint="eastAsia"/>
                <w:color w:val="auto"/>
                <w:sz w:val="22"/>
                <w:szCs w:val="22"/>
                <w:highlight w:val="none"/>
              </w:rPr>
              <w:t>投标报价得分以四舍五入保留小数点后二位。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1384" w:type="dxa"/>
            <w:vMerge w:val="restart"/>
            <w:shd w:val="clear" w:color="auto" w:fill="FFFFFF"/>
            <w:noWrap w:val="0"/>
            <w:vAlign w:val="center"/>
          </w:tcPr>
          <w:p>
            <w:pPr>
              <w:pStyle w:val="62"/>
              <w:spacing w:before="94"/>
              <w:ind w:left="183" w:right="198"/>
              <w:jc w:val="center"/>
              <w:rPr>
                <w:rFonts w:hint="eastAsia"/>
                <w:b/>
                <w:color w:val="auto"/>
                <w:sz w:val="22"/>
                <w:szCs w:val="22"/>
                <w:highlight w:val="none"/>
              </w:rPr>
            </w:pPr>
            <w:r>
              <w:rPr>
                <w:rFonts w:hint="eastAsia"/>
                <w:b/>
                <w:color w:val="auto"/>
                <w:sz w:val="22"/>
                <w:szCs w:val="22"/>
                <w:highlight w:val="none"/>
              </w:rPr>
              <w:t>商务</w:t>
            </w:r>
          </w:p>
          <w:p>
            <w:pPr>
              <w:pStyle w:val="62"/>
              <w:spacing w:before="94"/>
              <w:ind w:left="183" w:right="198"/>
              <w:jc w:val="center"/>
              <w:rPr>
                <w:rFonts w:hint="eastAsia"/>
                <w:b/>
                <w:color w:val="auto"/>
                <w:sz w:val="22"/>
                <w:szCs w:val="22"/>
                <w:highlight w:val="none"/>
              </w:rPr>
            </w:pPr>
            <w:r>
              <w:rPr>
                <w:rFonts w:hint="eastAsia"/>
                <w:b/>
                <w:color w:val="auto"/>
                <w:sz w:val="22"/>
                <w:szCs w:val="22"/>
                <w:highlight w:val="none"/>
              </w:rPr>
              <w:t>技术</w:t>
            </w:r>
          </w:p>
          <w:p>
            <w:pPr>
              <w:pStyle w:val="62"/>
              <w:spacing w:before="94"/>
              <w:ind w:left="183" w:right="198"/>
              <w:jc w:val="center"/>
              <w:rPr>
                <w:rFonts w:hint="eastAsia"/>
                <w:b/>
                <w:color w:val="auto"/>
                <w:sz w:val="22"/>
                <w:szCs w:val="22"/>
                <w:highlight w:val="none"/>
              </w:rPr>
            </w:pPr>
            <w:r>
              <w:rPr>
                <w:rFonts w:hint="eastAsia"/>
                <w:b/>
                <w:color w:val="auto"/>
                <w:sz w:val="22"/>
                <w:szCs w:val="22"/>
                <w:highlight w:val="none"/>
              </w:rPr>
              <w:t>分</w:t>
            </w:r>
          </w:p>
          <w:p>
            <w:pPr>
              <w:pStyle w:val="62"/>
              <w:spacing w:before="94"/>
              <w:ind w:left="186" w:right="198"/>
              <w:jc w:val="center"/>
              <w:rPr>
                <w:rFonts w:hint="eastAsia"/>
                <w:b/>
                <w:color w:val="auto"/>
                <w:sz w:val="22"/>
                <w:szCs w:val="22"/>
                <w:highlight w:val="none"/>
              </w:rPr>
            </w:pPr>
            <w:r>
              <w:rPr>
                <w:rFonts w:hint="eastAsia"/>
                <w:b/>
                <w:color w:val="auto"/>
                <w:sz w:val="22"/>
                <w:szCs w:val="22"/>
                <w:highlight w:val="none"/>
              </w:rPr>
              <w:t>（</w:t>
            </w:r>
            <w:r>
              <w:rPr>
                <w:rFonts w:hint="eastAsia"/>
                <w:b/>
                <w:color w:val="auto"/>
                <w:sz w:val="22"/>
                <w:szCs w:val="22"/>
                <w:highlight w:val="none"/>
                <w:lang w:val="en-US"/>
              </w:rPr>
              <w:t>80</w:t>
            </w:r>
            <w:r>
              <w:rPr>
                <w:rFonts w:hint="eastAsia"/>
                <w:b/>
                <w:color w:val="auto"/>
                <w:sz w:val="22"/>
                <w:szCs w:val="22"/>
                <w:highlight w:val="none"/>
              </w:rPr>
              <w:t>分）</w:t>
            </w:r>
          </w:p>
        </w:tc>
        <w:tc>
          <w:tcPr>
            <w:tcW w:w="1265" w:type="dxa"/>
            <w:vMerge w:val="restart"/>
            <w:shd w:val="clear" w:color="auto" w:fill="FFFFFF"/>
            <w:noWrap w:val="0"/>
            <w:vAlign w:val="center"/>
          </w:tcPr>
          <w:p>
            <w:pPr>
              <w:pStyle w:val="62"/>
              <w:spacing w:before="98"/>
              <w:jc w:val="center"/>
              <w:rPr>
                <w:rFonts w:hint="eastAsia"/>
                <w:b/>
                <w:bCs/>
                <w:color w:val="auto"/>
                <w:sz w:val="22"/>
                <w:szCs w:val="22"/>
                <w:highlight w:val="none"/>
              </w:rPr>
            </w:pPr>
            <w:r>
              <w:rPr>
                <w:rFonts w:hint="eastAsia"/>
                <w:b/>
                <w:bCs/>
                <w:color w:val="auto"/>
                <w:sz w:val="22"/>
                <w:szCs w:val="22"/>
                <w:highlight w:val="none"/>
              </w:rPr>
              <w:t>管理方案</w:t>
            </w:r>
          </w:p>
          <w:p>
            <w:pPr>
              <w:pStyle w:val="62"/>
              <w:spacing w:before="98"/>
              <w:jc w:val="center"/>
              <w:rPr>
                <w:rFonts w:hint="eastAsia"/>
                <w:color w:val="auto"/>
                <w:sz w:val="22"/>
                <w:szCs w:val="22"/>
                <w:highlight w:val="none"/>
                <w:lang w:val="en-US"/>
              </w:rPr>
            </w:pPr>
            <w:r>
              <w:rPr>
                <w:rFonts w:hint="eastAsia"/>
                <w:b/>
                <w:bCs/>
                <w:color w:val="auto"/>
                <w:sz w:val="22"/>
                <w:szCs w:val="22"/>
                <w:highlight w:val="none"/>
              </w:rPr>
              <w:t>（</w:t>
            </w:r>
            <w:r>
              <w:rPr>
                <w:rFonts w:hint="eastAsia"/>
                <w:b/>
                <w:bCs/>
                <w:color w:val="auto"/>
                <w:sz w:val="22"/>
                <w:szCs w:val="22"/>
                <w:highlight w:val="none"/>
                <w:lang w:val="en-US"/>
              </w:rPr>
              <w:t>30分）</w:t>
            </w:r>
          </w:p>
        </w:tc>
        <w:tc>
          <w:tcPr>
            <w:tcW w:w="6740" w:type="dxa"/>
            <w:shd w:val="clear" w:color="auto" w:fill="FFFFFF"/>
            <w:noWrap w:val="0"/>
            <w:vAlign w:val="center"/>
          </w:tcPr>
          <w:p>
            <w:pPr>
              <w:pStyle w:val="62"/>
              <w:spacing w:before="99" w:line="360" w:lineRule="auto"/>
              <w:ind w:left="61" w:leftChars="29"/>
              <w:rPr>
                <w:rFonts w:hint="eastAsia"/>
                <w:color w:val="auto"/>
                <w:sz w:val="22"/>
                <w:szCs w:val="22"/>
                <w:highlight w:val="none"/>
                <w:lang w:val="en-US"/>
              </w:rPr>
            </w:pPr>
            <w:r>
              <w:rPr>
                <w:rFonts w:hint="eastAsia"/>
                <w:color w:val="auto"/>
                <w:sz w:val="22"/>
                <w:szCs w:val="22"/>
                <w:highlight w:val="none"/>
                <w:lang w:val="en-US"/>
              </w:rPr>
              <w:t>1、投标人根据招标文件第二章招标需求中对服务内容的要求提供服务方案。</w:t>
            </w:r>
            <w:r>
              <w:rPr>
                <w:rFonts w:hint="eastAsia"/>
                <w:color w:val="auto"/>
                <w:sz w:val="22"/>
                <w:szCs w:val="22"/>
                <w:highlight w:val="none"/>
              </w:rPr>
              <w:t>评委对投标人的保洁</w:t>
            </w:r>
            <w:r>
              <w:rPr>
                <w:rFonts w:hint="eastAsia"/>
                <w:color w:val="auto"/>
                <w:sz w:val="22"/>
                <w:szCs w:val="22"/>
                <w:highlight w:val="none"/>
                <w:lang w:val="en-US"/>
              </w:rPr>
              <w:t>方案（5分）及</w:t>
            </w:r>
            <w:r>
              <w:rPr>
                <w:rFonts w:hint="eastAsia"/>
                <w:color w:val="auto"/>
                <w:sz w:val="22"/>
                <w:szCs w:val="22"/>
                <w:highlight w:val="none"/>
              </w:rPr>
              <w:t>绿化养护</w:t>
            </w:r>
            <w:r>
              <w:rPr>
                <w:rFonts w:hint="eastAsia"/>
                <w:color w:val="auto"/>
                <w:sz w:val="22"/>
                <w:szCs w:val="22"/>
                <w:highlight w:val="none"/>
                <w:lang w:val="en-US"/>
              </w:rPr>
              <w:t>方案（5分）、管养方案（3分）</w:t>
            </w:r>
            <w:r>
              <w:rPr>
                <w:rFonts w:hint="eastAsia"/>
                <w:color w:val="auto"/>
                <w:sz w:val="22"/>
                <w:szCs w:val="22"/>
                <w:highlight w:val="none"/>
              </w:rPr>
              <w:t>市容秩序管理方案（</w:t>
            </w:r>
            <w:r>
              <w:rPr>
                <w:rFonts w:hint="eastAsia"/>
                <w:color w:val="auto"/>
                <w:sz w:val="22"/>
                <w:szCs w:val="22"/>
                <w:highlight w:val="none"/>
                <w:lang w:val="en-US"/>
              </w:rPr>
              <w:t>3分</w:t>
            </w:r>
            <w:r>
              <w:rPr>
                <w:rFonts w:hint="eastAsia"/>
                <w:color w:val="auto"/>
                <w:sz w:val="22"/>
                <w:szCs w:val="22"/>
                <w:highlight w:val="none"/>
              </w:rPr>
              <w:t>）及各项规章制度是否全面完整，是否切合本项目的实际、是否有针对性、突出重点进行</w:t>
            </w:r>
            <w:r>
              <w:rPr>
                <w:rFonts w:hint="eastAsia"/>
                <w:color w:val="auto"/>
                <w:sz w:val="22"/>
                <w:szCs w:val="22"/>
                <w:highlight w:val="none"/>
                <w:lang w:val="en-US"/>
              </w:rPr>
              <w:t>综合</w:t>
            </w:r>
            <w:r>
              <w:rPr>
                <w:rFonts w:hint="eastAsia"/>
                <w:color w:val="auto"/>
                <w:sz w:val="22"/>
                <w:szCs w:val="22"/>
                <w:highlight w:val="none"/>
              </w:rPr>
              <w:t>评议，</w:t>
            </w:r>
            <w:r>
              <w:rPr>
                <w:rFonts w:hint="eastAsia"/>
                <w:color w:val="auto"/>
                <w:sz w:val="22"/>
                <w:szCs w:val="22"/>
                <w:highlight w:val="none"/>
                <w:lang w:val="en-US"/>
              </w:rPr>
              <w:t>酌情给分。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420" w:hRule="atLeast"/>
          <w:jc w:val="center"/>
        </w:trPr>
        <w:tc>
          <w:tcPr>
            <w:tcW w:w="1384" w:type="dxa"/>
            <w:vMerge w:val="continue"/>
            <w:shd w:val="clear" w:color="auto" w:fill="FFFFFF"/>
            <w:noWrap w:val="0"/>
            <w:vAlign w:val="center"/>
          </w:tcPr>
          <w:p>
            <w:pPr>
              <w:pStyle w:val="62"/>
              <w:spacing w:before="99" w:line="360" w:lineRule="auto"/>
              <w:ind w:left="199" w:leftChars="95"/>
              <w:rPr>
                <w:rFonts w:hint="eastAsia"/>
                <w:color w:val="auto"/>
                <w:sz w:val="22"/>
                <w:szCs w:val="22"/>
                <w:highlight w:val="none"/>
              </w:rPr>
            </w:pPr>
          </w:p>
        </w:tc>
        <w:tc>
          <w:tcPr>
            <w:tcW w:w="1265" w:type="dxa"/>
            <w:vMerge w:val="continue"/>
            <w:shd w:val="clear" w:color="auto" w:fill="FFFFFF"/>
            <w:noWrap w:val="0"/>
            <w:vAlign w:val="center"/>
          </w:tcPr>
          <w:p>
            <w:pPr>
              <w:pStyle w:val="62"/>
              <w:spacing w:before="99"/>
              <w:ind w:left="199" w:leftChars="95"/>
              <w:jc w:val="center"/>
              <w:rPr>
                <w:rFonts w:hint="eastAsia"/>
                <w:color w:val="auto"/>
                <w:sz w:val="22"/>
                <w:szCs w:val="22"/>
                <w:highlight w:val="none"/>
              </w:rPr>
            </w:pPr>
          </w:p>
        </w:tc>
        <w:tc>
          <w:tcPr>
            <w:tcW w:w="6740" w:type="dxa"/>
            <w:shd w:val="clear" w:color="auto" w:fill="FFFFFF"/>
            <w:noWrap w:val="0"/>
            <w:vAlign w:val="center"/>
          </w:tcPr>
          <w:p>
            <w:pPr>
              <w:pStyle w:val="62"/>
              <w:spacing w:before="99" w:line="360" w:lineRule="auto"/>
              <w:ind w:left="84" w:leftChars="40"/>
              <w:rPr>
                <w:rFonts w:hint="eastAsia"/>
                <w:color w:val="auto"/>
                <w:sz w:val="22"/>
                <w:szCs w:val="22"/>
                <w:highlight w:val="none"/>
                <w:lang w:val="en-US"/>
              </w:rPr>
            </w:pPr>
            <w:r>
              <w:rPr>
                <w:rFonts w:hint="eastAsia"/>
                <w:color w:val="auto"/>
                <w:sz w:val="22"/>
                <w:szCs w:val="22"/>
                <w:highlight w:val="none"/>
                <w:lang w:val="en-US"/>
              </w:rPr>
              <w:t>2、</w:t>
            </w:r>
            <w:r>
              <w:rPr>
                <w:rFonts w:hint="eastAsia"/>
                <w:color w:val="auto"/>
                <w:sz w:val="22"/>
                <w:szCs w:val="22"/>
                <w:highlight w:val="none"/>
              </w:rPr>
              <w:t>评委根据投标人针对本项目目前现场分析，项目实施过程中可能遇到的重点难点分析及解决措施（</w:t>
            </w:r>
            <w:r>
              <w:rPr>
                <w:rFonts w:hint="eastAsia"/>
                <w:color w:val="auto"/>
                <w:sz w:val="22"/>
                <w:szCs w:val="22"/>
                <w:highlight w:val="none"/>
                <w:lang w:val="en-US"/>
              </w:rPr>
              <w:t>4分</w:t>
            </w:r>
            <w:r>
              <w:rPr>
                <w:rFonts w:hint="eastAsia"/>
                <w:color w:val="auto"/>
                <w:sz w:val="22"/>
                <w:szCs w:val="22"/>
                <w:highlight w:val="none"/>
              </w:rPr>
              <w:t>），提出的合理建议（</w:t>
            </w:r>
            <w:r>
              <w:rPr>
                <w:rFonts w:hint="eastAsia"/>
                <w:color w:val="auto"/>
                <w:sz w:val="22"/>
                <w:szCs w:val="22"/>
                <w:highlight w:val="none"/>
                <w:lang w:val="en-US"/>
              </w:rPr>
              <w:t>4分</w:t>
            </w:r>
            <w:r>
              <w:rPr>
                <w:rFonts w:hint="eastAsia"/>
                <w:color w:val="auto"/>
                <w:sz w:val="22"/>
                <w:szCs w:val="22"/>
                <w:highlight w:val="none"/>
              </w:rPr>
              <w:t>）进行</w:t>
            </w:r>
            <w:r>
              <w:rPr>
                <w:rFonts w:hint="eastAsia"/>
                <w:color w:val="auto"/>
                <w:sz w:val="22"/>
                <w:szCs w:val="22"/>
                <w:highlight w:val="none"/>
                <w:lang w:val="en-US"/>
              </w:rPr>
              <w:t>综合</w:t>
            </w:r>
            <w:r>
              <w:rPr>
                <w:rFonts w:hint="eastAsia"/>
                <w:color w:val="auto"/>
                <w:sz w:val="22"/>
                <w:szCs w:val="22"/>
                <w:highlight w:val="none"/>
              </w:rPr>
              <w:t>评议，</w:t>
            </w:r>
            <w:r>
              <w:rPr>
                <w:rFonts w:hint="eastAsia"/>
                <w:color w:val="auto"/>
                <w:sz w:val="22"/>
                <w:szCs w:val="22"/>
                <w:highlight w:val="none"/>
                <w:lang w:val="en-US"/>
              </w:rPr>
              <w:t>酌情给分。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67" w:hRule="atLeast"/>
          <w:jc w:val="center"/>
        </w:trPr>
        <w:tc>
          <w:tcPr>
            <w:tcW w:w="1384" w:type="dxa"/>
            <w:vMerge w:val="continue"/>
            <w:shd w:val="clear" w:color="auto" w:fill="FFFFFF"/>
            <w:noWrap w:val="0"/>
            <w:vAlign w:val="center"/>
          </w:tcPr>
          <w:p>
            <w:pPr>
              <w:pStyle w:val="62"/>
              <w:spacing w:before="99" w:line="360" w:lineRule="auto"/>
              <w:ind w:left="199" w:leftChars="95"/>
              <w:rPr>
                <w:rFonts w:hint="eastAsia"/>
                <w:color w:val="auto"/>
                <w:sz w:val="22"/>
                <w:szCs w:val="22"/>
                <w:highlight w:val="none"/>
                <w:lang w:val="en-US"/>
              </w:rPr>
            </w:pPr>
          </w:p>
        </w:tc>
        <w:tc>
          <w:tcPr>
            <w:tcW w:w="1265" w:type="dxa"/>
            <w:vMerge w:val="continue"/>
            <w:shd w:val="clear" w:color="auto" w:fill="FFFFFF"/>
            <w:noWrap w:val="0"/>
            <w:vAlign w:val="center"/>
          </w:tcPr>
          <w:p>
            <w:pPr>
              <w:pStyle w:val="62"/>
              <w:spacing w:before="99"/>
              <w:ind w:left="199" w:leftChars="95"/>
              <w:jc w:val="center"/>
              <w:rPr>
                <w:rFonts w:hint="eastAsia"/>
                <w:color w:val="auto"/>
                <w:sz w:val="22"/>
                <w:szCs w:val="22"/>
                <w:highlight w:val="none"/>
                <w:lang w:val="en-US"/>
              </w:rPr>
            </w:pPr>
          </w:p>
        </w:tc>
        <w:tc>
          <w:tcPr>
            <w:tcW w:w="6740" w:type="dxa"/>
            <w:shd w:val="clear" w:color="auto" w:fill="FFFFFF"/>
            <w:noWrap w:val="0"/>
            <w:vAlign w:val="center"/>
          </w:tcPr>
          <w:p>
            <w:pPr>
              <w:pStyle w:val="62"/>
              <w:spacing w:before="67" w:beforeLines="28" w:line="360" w:lineRule="auto"/>
              <w:ind w:left="63" w:leftChars="30"/>
              <w:rPr>
                <w:rFonts w:hint="eastAsia"/>
                <w:color w:val="auto"/>
                <w:sz w:val="22"/>
                <w:szCs w:val="22"/>
                <w:highlight w:val="none"/>
                <w:lang w:val="en-US"/>
              </w:rPr>
            </w:pPr>
            <w:r>
              <w:rPr>
                <w:rFonts w:hint="eastAsia"/>
                <w:color w:val="auto"/>
                <w:sz w:val="22"/>
                <w:szCs w:val="22"/>
                <w:highlight w:val="none"/>
                <w:lang w:val="en-US"/>
              </w:rPr>
              <w:t>3、评委根据投标人针对本项目的</w:t>
            </w:r>
            <w:r>
              <w:rPr>
                <w:rFonts w:hint="eastAsia"/>
                <w:color w:val="auto"/>
                <w:sz w:val="22"/>
                <w:szCs w:val="22"/>
                <w:highlight w:val="none"/>
              </w:rPr>
              <w:t>安全生产、文明生产措施，具体包括对发生各类事故的善后处理（</w:t>
            </w:r>
            <w:r>
              <w:rPr>
                <w:rFonts w:hint="eastAsia"/>
                <w:color w:val="auto"/>
                <w:sz w:val="22"/>
                <w:szCs w:val="22"/>
                <w:highlight w:val="none"/>
                <w:lang w:val="en-US"/>
              </w:rPr>
              <w:t>2分</w:t>
            </w:r>
            <w:r>
              <w:rPr>
                <w:rFonts w:hint="eastAsia"/>
                <w:color w:val="auto"/>
                <w:sz w:val="22"/>
                <w:szCs w:val="22"/>
                <w:highlight w:val="none"/>
              </w:rPr>
              <w:t>）、依法规范用工（</w:t>
            </w:r>
            <w:r>
              <w:rPr>
                <w:rFonts w:hint="eastAsia"/>
                <w:color w:val="auto"/>
                <w:sz w:val="22"/>
                <w:szCs w:val="22"/>
                <w:highlight w:val="none"/>
                <w:lang w:val="en-US"/>
              </w:rPr>
              <w:t>2分</w:t>
            </w:r>
            <w:r>
              <w:rPr>
                <w:rFonts w:hint="eastAsia"/>
                <w:color w:val="auto"/>
                <w:sz w:val="22"/>
                <w:szCs w:val="22"/>
                <w:highlight w:val="none"/>
              </w:rPr>
              <w:t>），对履约期内各类风险</w:t>
            </w:r>
            <w:r>
              <w:rPr>
                <w:rFonts w:hint="eastAsia"/>
                <w:color w:val="auto"/>
                <w:sz w:val="22"/>
                <w:szCs w:val="22"/>
                <w:highlight w:val="none"/>
                <w:lang w:val="en-US"/>
              </w:rPr>
              <w:t>承担情况等（2分）内容进行综合评议。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175" w:hRule="atLeast"/>
          <w:jc w:val="center"/>
        </w:trPr>
        <w:tc>
          <w:tcPr>
            <w:tcW w:w="1384" w:type="dxa"/>
            <w:vMerge w:val="continue"/>
            <w:shd w:val="clear" w:color="auto" w:fill="FFFFFF"/>
            <w:noWrap w:val="0"/>
            <w:vAlign w:val="top"/>
          </w:tcPr>
          <w:p>
            <w:pPr>
              <w:pStyle w:val="62"/>
              <w:rPr>
                <w:rFonts w:hint="eastAsia"/>
                <w:color w:val="auto"/>
                <w:sz w:val="22"/>
                <w:szCs w:val="22"/>
                <w:highlight w:val="none"/>
              </w:rPr>
            </w:pPr>
          </w:p>
        </w:tc>
        <w:tc>
          <w:tcPr>
            <w:tcW w:w="1265" w:type="dxa"/>
            <w:shd w:val="clear" w:color="auto" w:fill="FFFFFF"/>
            <w:noWrap w:val="0"/>
            <w:vAlign w:val="center"/>
          </w:tcPr>
          <w:p>
            <w:pPr>
              <w:pStyle w:val="62"/>
              <w:spacing w:before="98"/>
              <w:ind w:left="106"/>
              <w:jc w:val="center"/>
              <w:rPr>
                <w:rFonts w:hint="eastAsia"/>
                <w:color w:val="auto"/>
                <w:sz w:val="22"/>
                <w:szCs w:val="22"/>
                <w:highlight w:val="none"/>
                <w:lang w:val="en-US"/>
              </w:rPr>
            </w:pPr>
            <w:r>
              <w:rPr>
                <w:rFonts w:hint="eastAsia"/>
                <w:b/>
                <w:bCs/>
                <w:color w:val="auto"/>
                <w:sz w:val="22"/>
                <w:szCs w:val="22"/>
                <w:highlight w:val="none"/>
                <w:lang w:val="en-US"/>
              </w:rPr>
              <w:t>质量保证措施（</w:t>
            </w:r>
            <w:r>
              <w:rPr>
                <w:rFonts w:hint="eastAsia"/>
                <w:b/>
                <w:bCs/>
                <w:color w:val="auto"/>
                <w:sz w:val="22"/>
                <w:szCs w:val="22"/>
                <w:highlight w:val="none"/>
                <w:lang w:val="en-US" w:eastAsia="zh-CN"/>
              </w:rPr>
              <w:t>1</w:t>
            </w:r>
            <w:r>
              <w:rPr>
                <w:rFonts w:hint="eastAsia"/>
                <w:b/>
                <w:bCs/>
                <w:color w:val="auto"/>
                <w:sz w:val="22"/>
                <w:szCs w:val="22"/>
                <w:highlight w:val="none"/>
                <w:lang w:val="en-US" w:eastAsia="zh-CN"/>
              </w:rPr>
              <w:t>0</w:t>
            </w:r>
            <w:r>
              <w:rPr>
                <w:rFonts w:hint="eastAsia"/>
                <w:b/>
                <w:bCs/>
                <w:color w:val="auto"/>
                <w:sz w:val="22"/>
                <w:szCs w:val="22"/>
                <w:highlight w:val="none"/>
                <w:lang w:val="en-US"/>
              </w:rPr>
              <w:t>分）</w:t>
            </w:r>
          </w:p>
        </w:tc>
        <w:tc>
          <w:tcPr>
            <w:tcW w:w="6740" w:type="dxa"/>
            <w:shd w:val="clear" w:color="auto" w:fill="FFFFFF"/>
            <w:noWrap w:val="0"/>
            <w:vAlign w:val="center"/>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评标委员会根据投标人的质量保障措施，包括道路保洁绿化养护及垃圾收集清运（</w:t>
            </w:r>
            <w:r>
              <w:rPr>
                <w:rFonts w:hint="eastAsia"/>
                <w:color w:val="auto"/>
                <w:sz w:val="22"/>
                <w:szCs w:val="22"/>
                <w:highlight w:val="none"/>
                <w:lang w:val="en-US" w:eastAsia="zh-CN"/>
              </w:rPr>
              <w:t>5</w:t>
            </w:r>
            <w:r>
              <w:rPr>
                <w:rFonts w:hint="eastAsia"/>
                <w:color w:val="auto"/>
                <w:sz w:val="22"/>
                <w:szCs w:val="22"/>
                <w:highlight w:val="none"/>
                <w:lang w:val="en-US"/>
              </w:rPr>
              <w:t>分）、市容秩序辅助管理（</w:t>
            </w:r>
            <w:r>
              <w:rPr>
                <w:rFonts w:hint="eastAsia"/>
                <w:color w:val="auto"/>
                <w:sz w:val="22"/>
                <w:szCs w:val="22"/>
                <w:highlight w:val="none"/>
                <w:lang w:val="en-US" w:eastAsia="zh-CN"/>
              </w:rPr>
              <w:t>5</w:t>
            </w:r>
            <w:r>
              <w:rPr>
                <w:rFonts w:hint="eastAsia"/>
                <w:color w:val="auto"/>
                <w:sz w:val="22"/>
                <w:szCs w:val="22"/>
                <w:highlight w:val="none"/>
                <w:lang w:val="en-US"/>
              </w:rPr>
              <w:t>分）、服务响应及承诺情况进行评议，最高得</w:t>
            </w:r>
            <w:r>
              <w:rPr>
                <w:rFonts w:hint="eastAsia"/>
                <w:color w:val="auto"/>
                <w:sz w:val="22"/>
                <w:szCs w:val="22"/>
                <w:highlight w:val="none"/>
                <w:lang w:val="en-US" w:eastAsia="zh-CN"/>
              </w:rPr>
              <w:t>10</w:t>
            </w:r>
            <w:r>
              <w:rPr>
                <w:rFonts w:hint="eastAsia"/>
                <w:color w:val="auto"/>
                <w:sz w:val="22"/>
                <w:szCs w:val="22"/>
                <w:highlight w:val="none"/>
                <w:lang w:val="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0" w:hRule="atLeast"/>
          <w:jc w:val="center"/>
        </w:trPr>
        <w:tc>
          <w:tcPr>
            <w:tcW w:w="1384" w:type="dxa"/>
            <w:vMerge w:val="continue"/>
            <w:shd w:val="clear" w:color="auto" w:fill="FFFFFF"/>
            <w:noWrap w:val="0"/>
            <w:vAlign w:val="top"/>
          </w:tcPr>
          <w:p>
            <w:pPr>
              <w:pStyle w:val="62"/>
              <w:rPr>
                <w:rFonts w:hint="eastAsia"/>
                <w:color w:val="auto"/>
                <w:sz w:val="22"/>
                <w:szCs w:val="22"/>
                <w:highlight w:val="none"/>
              </w:rPr>
            </w:pPr>
          </w:p>
        </w:tc>
        <w:tc>
          <w:tcPr>
            <w:tcW w:w="1265" w:type="dxa"/>
            <w:vMerge w:val="restart"/>
            <w:shd w:val="clear" w:color="auto" w:fill="FFFFFF"/>
            <w:noWrap w:val="0"/>
            <w:vAlign w:val="center"/>
          </w:tcPr>
          <w:p>
            <w:pPr>
              <w:pStyle w:val="62"/>
              <w:spacing w:before="99"/>
              <w:ind w:left="106"/>
              <w:jc w:val="center"/>
              <w:rPr>
                <w:rFonts w:hint="eastAsia"/>
                <w:b/>
                <w:bCs/>
                <w:color w:val="auto"/>
                <w:sz w:val="22"/>
                <w:szCs w:val="22"/>
                <w:highlight w:val="none"/>
              </w:rPr>
            </w:pPr>
            <w:r>
              <w:rPr>
                <w:rFonts w:hint="eastAsia"/>
                <w:b/>
                <w:bCs/>
                <w:color w:val="auto"/>
                <w:sz w:val="22"/>
                <w:szCs w:val="22"/>
                <w:highlight w:val="none"/>
              </w:rPr>
              <w:t>服务便捷性</w:t>
            </w:r>
            <w:r>
              <w:rPr>
                <w:rFonts w:hint="eastAsia"/>
                <w:b/>
                <w:bCs/>
                <w:color w:val="auto"/>
                <w:sz w:val="22"/>
                <w:szCs w:val="22"/>
                <w:highlight w:val="none"/>
                <w:lang w:val="en-US"/>
              </w:rPr>
              <w:t>与</w:t>
            </w:r>
            <w:r>
              <w:rPr>
                <w:rFonts w:hint="eastAsia"/>
                <w:b/>
                <w:bCs/>
                <w:color w:val="auto"/>
                <w:sz w:val="22"/>
                <w:szCs w:val="22"/>
                <w:highlight w:val="none"/>
              </w:rPr>
              <w:t>应急保障方案</w:t>
            </w:r>
          </w:p>
          <w:p>
            <w:pPr>
              <w:pStyle w:val="62"/>
              <w:spacing w:before="99"/>
              <w:ind w:left="106"/>
              <w:jc w:val="center"/>
              <w:rPr>
                <w:rFonts w:hint="eastAsia"/>
                <w:b/>
                <w:bCs/>
                <w:color w:val="auto"/>
                <w:sz w:val="22"/>
                <w:szCs w:val="22"/>
                <w:highlight w:val="none"/>
              </w:rPr>
            </w:pPr>
            <w:r>
              <w:rPr>
                <w:rFonts w:hint="eastAsia"/>
                <w:b/>
                <w:bCs/>
                <w:color w:val="auto"/>
                <w:sz w:val="22"/>
                <w:szCs w:val="22"/>
                <w:highlight w:val="none"/>
              </w:rPr>
              <w:t>（</w:t>
            </w:r>
            <w:r>
              <w:rPr>
                <w:rFonts w:hint="eastAsia"/>
                <w:b/>
                <w:bCs/>
                <w:color w:val="auto"/>
                <w:sz w:val="22"/>
                <w:szCs w:val="22"/>
                <w:highlight w:val="none"/>
                <w:lang w:val="en-US"/>
              </w:rPr>
              <w:t>10</w:t>
            </w:r>
            <w:r>
              <w:rPr>
                <w:rFonts w:hint="eastAsia"/>
                <w:b/>
                <w:bCs/>
                <w:color w:val="auto"/>
                <w:sz w:val="22"/>
                <w:szCs w:val="22"/>
                <w:highlight w:val="none"/>
              </w:rPr>
              <w:t>分）</w:t>
            </w:r>
          </w:p>
        </w:tc>
        <w:tc>
          <w:tcPr>
            <w:tcW w:w="6740" w:type="dxa"/>
            <w:tcBorders>
              <w:bottom w:val="single" w:color="auto" w:sz="4" w:space="0"/>
            </w:tcBorders>
            <w:shd w:val="clear" w:color="auto" w:fill="FFFFFF"/>
            <w:noWrap w:val="0"/>
            <w:vAlign w:val="center"/>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1、</w:t>
            </w:r>
            <w:r>
              <w:rPr>
                <w:rFonts w:hint="eastAsia"/>
                <w:color w:val="auto"/>
                <w:sz w:val="22"/>
                <w:szCs w:val="22"/>
                <w:highlight w:val="none"/>
              </w:rPr>
              <w:t>评委根据各投标人服务机构</w:t>
            </w:r>
            <w:r>
              <w:rPr>
                <w:rFonts w:hint="eastAsia"/>
                <w:color w:val="auto"/>
                <w:sz w:val="22"/>
                <w:szCs w:val="22"/>
                <w:highlight w:val="none"/>
                <w:lang w:val="en-US"/>
              </w:rPr>
              <w:t>及驻点</w:t>
            </w:r>
            <w:r>
              <w:rPr>
                <w:rFonts w:hint="eastAsia"/>
                <w:color w:val="auto"/>
                <w:sz w:val="22"/>
                <w:szCs w:val="22"/>
                <w:highlight w:val="none"/>
              </w:rPr>
              <w:t>设置的合理性、适用性、便捷性以及服务响应时间等内容进行综合评议，</w:t>
            </w:r>
            <w:r>
              <w:rPr>
                <w:rFonts w:hint="eastAsia"/>
                <w:color w:val="auto"/>
                <w:sz w:val="22"/>
                <w:szCs w:val="22"/>
                <w:highlight w:val="none"/>
                <w:lang w:val="en-US"/>
              </w:rPr>
              <w:t>最高得3分。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84" w:type="dxa"/>
            <w:vMerge w:val="continue"/>
            <w:shd w:val="clear" w:color="auto" w:fill="FFFFFF"/>
            <w:noWrap w:val="0"/>
            <w:vAlign w:val="top"/>
          </w:tcPr>
          <w:p>
            <w:pPr>
              <w:pStyle w:val="62"/>
              <w:rPr>
                <w:rFonts w:hint="eastAsia"/>
                <w:color w:val="auto"/>
                <w:sz w:val="22"/>
                <w:szCs w:val="22"/>
                <w:highlight w:val="none"/>
              </w:rPr>
            </w:pPr>
          </w:p>
        </w:tc>
        <w:tc>
          <w:tcPr>
            <w:tcW w:w="1265" w:type="dxa"/>
            <w:vMerge w:val="continue"/>
            <w:shd w:val="clear" w:color="auto" w:fill="FFFFFF"/>
            <w:noWrap w:val="0"/>
            <w:vAlign w:val="center"/>
          </w:tcPr>
          <w:p>
            <w:pPr>
              <w:pStyle w:val="62"/>
              <w:spacing w:before="99" w:line="360" w:lineRule="auto"/>
              <w:ind w:left="106"/>
              <w:jc w:val="center"/>
              <w:rPr>
                <w:rFonts w:hint="eastAsia"/>
                <w:b/>
                <w:bCs/>
                <w:color w:val="auto"/>
                <w:sz w:val="22"/>
                <w:szCs w:val="22"/>
                <w:highlight w:val="none"/>
              </w:rPr>
            </w:pPr>
          </w:p>
        </w:tc>
        <w:tc>
          <w:tcPr>
            <w:tcW w:w="6740" w:type="dxa"/>
            <w:tcBorders>
              <w:top w:val="single" w:color="auto" w:sz="4" w:space="0"/>
            </w:tcBorders>
            <w:shd w:val="clear" w:color="auto" w:fill="FFFFFF"/>
            <w:noWrap w:val="0"/>
            <w:vAlign w:val="center"/>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2、</w:t>
            </w:r>
            <w:r>
              <w:rPr>
                <w:rFonts w:hint="eastAsia"/>
                <w:color w:val="auto"/>
                <w:sz w:val="22"/>
                <w:szCs w:val="22"/>
                <w:highlight w:val="none"/>
              </w:rPr>
              <w:t>评委根据投标人提供的针对大型活动、节庆假日（</w:t>
            </w:r>
            <w:r>
              <w:rPr>
                <w:rFonts w:hint="eastAsia"/>
                <w:color w:val="auto"/>
                <w:sz w:val="22"/>
                <w:szCs w:val="22"/>
                <w:highlight w:val="none"/>
                <w:lang w:val="en-US"/>
              </w:rPr>
              <w:t>3分</w:t>
            </w:r>
            <w:r>
              <w:rPr>
                <w:rFonts w:hint="eastAsia"/>
                <w:color w:val="auto"/>
                <w:sz w:val="22"/>
                <w:szCs w:val="22"/>
                <w:highlight w:val="none"/>
              </w:rPr>
              <w:t>）、防台防汛期间（</w:t>
            </w:r>
            <w:r>
              <w:rPr>
                <w:rFonts w:hint="eastAsia"/>
                <w:color w:val="auto"/>
                <w:sz w:val="22"/>
                <w:szCs w:val="22"/>
                <w:highlight w:val="none"/>
                <w:lang w:val="en-US"/>
              </w:rPr>
              <w:t>2分</w:t>
            </w:r>
            <w:r>
              <w:rPr>
                <w:rFonts w:hint="eastAsia"/>
                <w:color w:val="auto"/>
                <w:sz w:val="22"/>
                <w:szCs w:val="22"/>
                <w:highlight w:val="none"/>
              </w:rPr>
              <w:t>）创优评优和突击检查（</w:t>
            </w:r>
            <w:r>
              <w:rPr>
                <w:rFonts w:hint="eastAsia"/>
                <w:color w:val="auto"/>
                <w:sz w:val="22"/>
                <w:szCs w:val="22"/>
                <w:highlight w:val="none"/>
                <w:lang w:val="en-US"/>
              </w:rPr>
              <w:t>2分</w:t>
            </w:r>
            <w:r>
              <w:rPr>
                <w:rFonts w:hint="eastAsia"/>
                <w:color w:val="auto"/>
                <w:sz w:val="22"/>
                <w:szCs w:val="22"/>
                <w:highlight w:val="none"/>
              </w:rPr>
              <w:t>）等特殊时期的应急保障措施进行综合评议，酌情给分</w:t>
            </w:r>
            <w:r>
              <w:rPr>
                <w:rFonts w:hint="eastAsia"/>
                <w:color w:val="auto"/>
                <w:sz w:val="22"/>
                <w:szCs w:val="22"/>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0" w:hRule="atLeast"/>
          <w:jc w:val="center"/>
        </w:trPr>
        <w:tc>
          <w:tcPr>
            <w:tcW w:w="1384" w:type="dxa"/>
            <w:vMerge w:val="continue"/>
            <w:shd w:val="clear" w:color="auto" w:fill="FFFFFF"/>
            <w:noWrap w:val="0"/>
            <w:vAlign w:val="top"/>
          </w:tcPr>
          <w:p>
            <w:pPr>
              <w:pStyle w:val="62"/>
              <w:rPr>
                <w:rFonts w:hint="eastAsia"/>
                <w:color w:val="auto"/>
                <w:sz w:val="22"/>
                <w:szCs w:val="22"/>
                <w:highlight w:val="none"/>
              </w:rPr>
            </w:pPr>
          </w:p>
        </w:tc>
        <w:tc>
          <w:tcPr>
            <w:tcW w:w="1265" w:type="dxa"/>
            <w:shd w:val="clear" w:color="auto" w:fill="FFFFFF"/>
            <w:noWrap w:val="0"/>
            <w:vAlign w:val="center"/>
          </w:tcPr>
          <w:p>
            <w:pPr>
              <w:pStyle w:val="62"/>
              <w:spacing w:before="99" w:line="360" w:lineRule="auto"/>
              <w:ind w:left="106"/>
              <w:jc w:val="center"/>
              <w:rPr>
                <w:b/>
                <w:bCs/>
                <w:color w:val="auto"/>
                <w:sz w:val="22"/>
                <w:szCs w:val="22"/>
                <w:highlight w:val="none"/>
                <w:lang w:val="en-US"/>
              </w:rPr>
            </w:pPr>
            <w:r>
              <w:rPr>
                <w:rFonts w:hint="eastAsia"/>
                <w:b/>
                <w:bCs/>
                <w:color w:val="auto"/>
                <w:sz w:val="22"/>
                <w:szCs w:val="22"/>
                <w:highlight w:val="none"/>
                <w:lang w:val="en-US"/>
              </w:rPr>
              <w:t>企业综合实力（</w:t>
            </w:r>
            <w:r>
              <w:rPr>
                <w:rFonts w:hint="eastAsia"/>
                <w:b/>
                <w:bCs/>
                <w:color w:val="auto"/>
                <w:sz w:val="22"/>
                <w:szCs w:val="22"/>
                <w:highlight w:val="none"/>
                <w:lang w:val="en-US" w:eastAsia="zh-CN"/>
              </w:rPr>
              <w:t>1</w:t>
            </w:r>
            <w:r>
              <w:rPr>
                <w:rFonts w:hint="eastAsia"/>
                <w:b/>
                <w:bCs/>
                <w:color w:val="auto"/>
                <w:sz w:val="22"/>
                <w:szCs w:val="22"/>
                <w:highlight w:val="none"/>
                <w:lang w:val="en-US" w:eastAsia="zh-CN"/>
              </w:rPr>
              <w:t>.5</w:t>
            </w:r>
            <w:r>
              <w:rPr>
                <w:rFonts w:hint="eastAsia"/>
                <w:b/>
                <w:bCs/>
                <w:color w:val="auto"/>
                <w:sz w:val="22"/>
                <w:szCs w:val="22"/>
                <w:highlight w:val="none"/>
                <w:lang w:val="en-US"/>
              </w:rPr>
              <w:t>分）</w:t>
            </w:r>
          </w:p>
        </w:tc>
        <w:tc>
          <w:tcPr>
            <w:tcW w:w="6740" w:type="dxa"/>
            <w:tcBorders>
              <w:top w:val="single" w:color="auto" w:sz="4" w:space="0"/>
            </w:tcBorders>
            <w:shd w:val="clear" w:color="auto" w:fill="FFFFFF"/>
            <w:noWrap w:val="0"/>
            <w:vAlign w:val="center"/>
          </w:tcPr>
          <w:p>
            <w:pPr>
              <w:pStyle w:val="62"/>
              <w:numPr>
                <w:ilvl w:val="0"/>
                <w:numId w:val="9"/>
              </w:numPr>
              <w:spacing w:before="99"/>
              <w:rPr>
                <w:rFonts w:hint="eastAsia"/>
                <w:color w:val="auto"/>
                <w:sz w:val="22"/>
                <w:szCs w:val="22"/>
                <w:highlight w:val="none"/>
                <w:lang w:val="en-US"/>
              </w:rPr>
            </w:pPr>
            <w:r>
              <w:rPr>
                <w:rFonts w:hint="eastAsia"/>
                <w:color w:val="auto"/>
                <w:sz w:val="22"/>
                <w:szCs w:val="22"/>
                <w:highlight w:val="none"/>
                <w:lang w:val="en-US"/>
              </w:rPr>
              <w:t>投标人具有有效期内的质量管理体系认证证书、有效期内的职业健康安全管理体系认证证书、有效期内的环境管理体系认证证书，每具备1个得</w:t>
            </w:r>
            <w:r>
              <w:rPr>
                <w:rFonts w:hint="eastAsia"/>
                <w:color w:val="auto"/>
                <w:sz w:val="22"/>
                <w:szCs w:val="22"/>
                <w:highlight w:val="none"/>
                <w:lang w:val="en-US" w:eastAsia="zh-CN"/>
              </w:rPr>
              <w:t>0.5</w:t>
            </w:r>
            <w:r>
              <w:rPr>
                <w:rFonts w:hint="eastAsia"/>
                <w:color w:val="auto"/>
                <w:sz w:val="22"/>
                <w:szCs w:val="22"/>
                <w:highlight w:val="none"/>
                <w:lang w:val="en-US"/>
              </w:rPr>
              <w:t>分，最高得</w:t>
            </w:r>
            <w:r>
              <w:rPr>
                <w:rFonts w:hint="eastAsia"/>
                <w:color w:val="auto"/>
                <w:sz w:val="22"/>
                <w:szCs w:val="22"/>
                <w:highlight w:val="none"/>
                <w:lang w:val="en-US" w:eastAsia="zh-CN"/>
              </w:rPr>
              <w:t>1.5</w:t>
            </w:r>
            <w:r>
              <w:rPr>
                <w:rFonts w:hint="eastAsia"/>
                <w:color w:val="auto"/>
                <w:sz w:val="22"/>
                <w:szCs w:val="22"/>
                <w:highlight w:val="none"/>
                <w:lang w:val="en-US"/>
              </w:rPr>
              <w:t>分。</w:t>
            </w:r>
          </w:p>
          <w:p>
            <w:pPr>
              <w:pStyle w:val="62"/>
              <w:spacing w:before="99"/>
              <w:rPr>
                <w:color w:val="auto"/>
                <w:sz w:val="22"/>
                <w:szCs w:val="22"/>
                <w:highlight w:val="none"/>
                <w:lang w:val="en-US"/>
              </w:rPr>
            </w:pPr>
            <w:r>
              <w:rPr>
                <w:rFonts w:hint="eastAsia"/>
                <w:color w:val="auto"/>
                <w:sz w:val="22"/>
                <w:szCs w:val="22"/>
                <w:highlight w:val="none"/>
                <w:lang w:val="en-US"/>
              </w:rPr>
              <w:t>（投标文件中须提供相关证明材料复印件加盖公章。）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537" w:hRule="atLeast"/>
          <w:jc w:val="center"/>
        </w:trPr>
        <w:tc>
          <w:tcPr>
            <w:tcW w:w="1384" w:type="dxa"/>
            <w:vMerge w:val="continue"/>
            <w:shd w:val="clear" w:color="auto" w:fill="FFFFFF"/>
            <w:noWrap w:val="0"/>
            <w:vAlign w:val="top"/>
          </w:tcPr>
          <w:p>
            <w:pPr>
              <w:pStyle w:val="62"/>
              <w:rPr>
                <w:rFonts w:hint="eastAsia"/>
                <w:color w:val="auto"/>
                <w:sz w:val="22"/>
                <w:szCs w:val="22"/>
                <w:highlight w:val="none"/>
              </w:rPr>
            </w:pPr>
          </w:p>
        </w:tc>
        <w:tc>
          <w:tcPr>
            <w:tcW w:w="1265" w:type="dxa"/>
            <w:vMerge w:val="restart"/>
            <w:shd w:val="clear" w:color="auto" w:fill="FFFFFF"/>
            <w:noWrap w:val="0"/>
            <w:vAlign w:val="center"/>
          </w:tcPr>
          <w:p>
            <w:pPr>
              <w:pStyle w:val="62"/>
              <w:spacing w:before="104"/>
              <w:ind w:right="128"/>
              <w:rPr>
                <w:rFonts w:hint="eastAsia"/>
                <w:b/>
                <w:color w:val="auto"/>
                <w:sz w:val="22"/>
                <w:szCs w:val="22"/>
                <w:highlight w:val="none"/>
              </w:rPr>
            </w:pPr>
          </w:p>
          <w:p>
            <w:pPr>
              <w:pStyle w:val="62"/>
              <w:spacing w:before="104"/>
              <w:ind w:left="115" w:right="128"/>
              <w:jc w:val="center"/>
              <w:rPr>
                <w:rFonts w:hint="eastAsia"/>
                <w:b/>
                <w:color w:val="auto"/>
                <w:sz w:val="22"/>
                <w:szCs w:val="22"/>
                <w:highlight w:val="none"/>
              </w:rPr>
            </w:pPr>
            <w:r>
              <w:rPr>
                <w:rFonts w:hint="eastAsia"/>
                <w:b/>
                <w:color w:val="auto"/>
                <w:sz w:val="22"/>
                <w:szCs w:val="22"/>
                <w:highlight w:val="none"/>
              </w:rPr>
              <w:t>拟投入的人员配备</w:t>
            </w:r>
            <w:r>
              <w:rPr>
                <w:rFonts w:hint="eastAsia"/>
                <w:b/>
                <w:color w:val="auto"/>
                <w:sz w:val="22"/>
                <w:szCs w:val="22"/>
                <w:highlight w:val="none"/>
                <w:lang w:val="en-US"/>
              </w:rPr>
              <w:t>及管理</w:t>
            </w:r>
            <w:r>
              <w:rPr>
                <w:rFonts w:hint="eastAsia"/>
                <w:b/>
                <w:color w:val="auto"/>
                <w:sz w:val="22"/>
                <w:szCs w:val="22"/>
                <w:highlight w:val="none"/>
              </w:rPr>
              <w:t>情况</w:t>
            </w:r>
          </w:p>
          <w:p>
            <w:pPr>
              <w:pStyle w:val="62"/>
              <w:spacing w:before="94"/>
              <w:ind w:left="115" w:right="128"/>
              <w:jc w:val="center"/>
              <w:rPr>
                <w:rFonts w:hint="eastAsia"/>
                <w:b/>
                <w:color w:val="auto"/>
                <w:sz w:val="22"/>
                <w:szCs w:val="22"/>
                <w:highlight w:val="none"/>
              </w:rPr>
            </w:pPr>
            <w:r>
              <w:rPr>
                <w:rFonts w:hint="eastAsia"/>
                <w:b/>
                <w:color w:val="auto"/>
                <w:sz w:val="22"/>
                <w:szCs w:val="22"/>
                <w:highlight w:val="none"/>
              </w:rPr>
              <w:t>（</w:t>
            </w:r>
            <w:r>
              <w:rPr>
                <w:rFonts w:hint="eastAsia"/>
                <w:b/>
                <w:color w:val="auto"/>
                <w:sz w:val="22"/>
                <w:szCs w:val="22"/>
                <w:highlight w:val="none"/>
                <w:lang w:val="en-US"/>
              </w:rPr>
              <w:t>12</w:t>
            </w:r>
            <w:r>
              <w:rPr>
                <w:rFonts w:hint="eastAsia"/>
                <w:b/>
                <w:color w:val="auto"/>
                <w:sz w:val="22"/>
                <w:szCs w:val="22"/>
                <w:highlight w:val="none"/>
              </w:rPr>
              <w:t>分）</w:t>
            </w:r>
          </w:p>
        </w:tc>
        <w:tc>
          <w:tcPr>
            <w:tcW w:w="6740" w:type="dxa"/>
            <w:shd w:val="clear" w:color="auto" w:fill="FFFFFF"/>
            <w:noWrap w:val="0"/>
            <w:vAlign w:val="center"/>
          </w:tcPr>
          <w:p>
            <w:pPr>
              <w:pStyle w:val="62"/>
              <w:numPr>
                <w:ilvl w:val="0"/>
                <w:numId w:val="10"/>
              </w:numPr>
              <w:spacing w:before="99" w:line="360" w:lineRule="auto"/>
              <w:rPr>
                <w:color w:val="auto"/>
                <w:sz w:val="22"/>
                <w:szCs w:val="22"/>
                <w:highlight w:val="none"/>
                <w:lang w:val="en-US"/>
              </w:rPr>
            </w:pPr>
            <w:r>
              <w:rPr>
                <w:rFonts w:hint="eastAsia"/>
                <w:color w:val="auto"/>
                <w:sz w:val="22"/>
                <w:szCs w:val="22"/>
                <w:highlight w:val="none"/>
                <w:lang w:val="en-US"/>
              </w:rPr>
              <w:t>项目团队情况：评委根据各投标人提供的拟投入本项目人员配备情况进行综合评议，包括①人员岗位设置、班次编排和人员配置到岗时间（3分）；②人员年龄层次、技能水平等方面（3分）；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1322" w:hRule="atLeast"/>
          <w:jc w:val="center"/>
        </w:trPr>
        <w:tc>
          <w:tcPr>
            <w:tcW w:w="1384" w:type="dxa"/>
            <w:vMerge w:val="continue"/>
            <w:shd w:val="clear" w:color="auto" w:fill="FFFFFF"/>
            <w:noWrap w:val="0"/>
            <w:vAlign w:val="top"/>
          </w:tcPr>
          <w:p>
            <w:pPr>
              <w:pStyle w:val="62"/>
              <w:spacing w:before="99" w:line="360" w:lineRule="auto"/>
              <w:rPr>
                <w:color w:val="auto"/>
                <w:highlight w:val="none"/>
              </w:rPr>
            </w:pPr>
          </w:p>
        </w:tc>
        <w:tc>
          <w:tcPr>
            <w:tcW w:w="1265" w:type="dxa"/>
            <w:vMerge w:val="continue"/>
            <w:shd w:val="clear" w:color="auto" w:fill="FFFFFF"/>
            <w:noWrap w:val="0"/>
            <w:vAlign w:val="center"/>
          </w:tcPr>
          <w:p>
            <w:pPr>
              <w:pStyle w:val="62"/>
              <w:spacing w:before="99" w:line="360" w:lineRule="auto"/>
              <w:rPr>
                <w:color w:val="auto"/>
                <w:highlight w:val="none"/>
              </w:rPr>
            </w:pPr>
          </w:p>
        </w:tc>
        <w:tc>
          <w:tcPr>
            <w:tcW w:w="6740" w:type="dxa"/>
            <w:shd w:val="clear" w:color="auto" w:fill="FFFFFF"/>
            <w:noWrap w:val="0"/>
            <w:vAlign w:val="center"/>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2、</w:t>
            </w:r>
            <w:r>
              <w:rPr>
                <w:rFonts w:hint="eastAsia"/>
                <w:color w:val="auto"/>
                <w:sz w:val="22"/>
                <w:szCs w:val="22"/>
                <w:highlight w:val="none"/>
              </w:rPr>
              <w:t>人员管理制度：根据投标人提供的人员管理、人员考核方案（</w:t>
            </w:r>
            <w:r>
              <w:rPr>
                <w:rFonts w:hint="eastAsia"/>
                <w:color w:val="auto"/>
                <w:sz w:val="22"/>
                <w:szCs w:val="22"/>
                <w:highlight w:val="none"/>
                <w:lang w:val="en-US"/>
              </w:rPr>
              <w:t>3分</w:t>
            </w:r>
            <w:r>
              <w:rPr>
                <w:rFonts w:hint="eastAsia"/>
                <w:color w:val="auto"/>
                <w:sz w:val="22"/>
                <w:szCs w:val="22"/>
                <w:highlight w:val="none"/>
              </w:rPr>
              <w:t>）合同执行期间的人员数量、人员安全保障措施，岗位技能培训（</w:t>
            </w:r>
            <w:r>
              <w:rPr>
                <w:rFonts w:hint="eastAsia"/>
                <w:color w:val="auto"/>
                <w:sz w:val="22"/>
                <w:szCs w:val="22"/>
                <w:highlight w:val="none"/>
                <w:lang w:val="en-US"/>
              </w:rPr>
              <w:t>3分</w:t>
            </w:r>
            <w:r>
              <w:rPr>
                <w:rFonts w:hint="eastAsia"/>
                <w:color w:val="auto"/>
                <w:sz w:val="22"/>
                <w:szCs w:val="22"/>
                <w:highlight w:val="none"/>
              </w:rPr>
              <w:t>）等进行评定</w:t>
            </w:r>
            <w:r>
              <w:rPr>
                <w:rFonts w:hint="eastAsia"/>
                <w:color w:val="auto"/>
                <w:sz w:val="22"/>
                <w:szCs w:val="22"/>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313" w:hRule="atLeast"/>
          <w:jc w:val="center"/>
        </w:trPr>
        <w:tc>
          <w:tcPr>
            <w:tcW w:w="1384" w:type="dxa"/>
            <w:vMerge w:val="continue"/>
            <w:noWrap w:val="0"/>
            <w:vAlign w:val="top"/>
          </w:tcPr>
          <w:p>
            <w:pPr>
              <w:pStyle w:val="62"/>
              <w:rPr>
                <w:rFonts w:hint="eastAsia"/>
                <w:color w:val="auto"/>
                <w:sz w:val="22"/>
                <w:szCs w:val="22"/>
                <w:highlight w:val="none"/>
              </w:rPr>
            </w:pPr>
          </w:p>
        </w:tc>
        <w:tc>
          <w:tcPr>
            <w:tcW w:w="1265" w:type="dxa"/>
            <w:vMerge w:val="restart"/>
            <w:noWrap w:val="0"/>
            <w:vAlign w:val="center"/>
          </w:tcPr>
          <w:p>
            <w:pPr>
              <w:pStyle w:val="62"/>
              <w:spacing w:before="99" w:line="360" w:lineRule="auto"/>
              <w:ind w:left="107"/>
              <w:jc w:val="center"/>
              <w:rPr>
                <w:rFonts w:hint="eastAsia"/>
                <w:color w:val="auto"/>
                <w:sz w:val="22"/>
                <w:szCs w:val="22"/>
                <w:highlight w:val="none"/>
              </w:rPr>
            </w:pPr>
            <w:r>
              <w:rPr>
                <w:rFonts w:hint="eastAsia"/>
                <w:b/>
                <w:color w:val="auto"/>
                <w:sz w:val="22"/>
                <w:szCs w:val="22"/>
                <w:highlight w:val="none"/>
              </w:rPr>
              <w:t>机械、车辆配备和运行管理方案（</w:t>
            </w:r>
            <w:r>
              <w:rPr>
                <w:rFonts w:hint="eastAsia"/>
                <w:b/>
                <w:color w:val="auto"/>
                <w:sz w:val="22"/>
                <w:szCs w:val="22"/>
                <w:highlight w:val="none"/>
                <w:lang w:val="en-US"/>
              </w:rPr>
              <w:t>10</w:t>
            </w:r>
            <w:r>
              <w:rPr>
                <w:rFonts w:hint="eastAsia"/>
                <w:b/>
                <w:color w:val="auto"/>
                <w:sz w:val="22"/>
                <w:szCs w:val="22"/>
                <w:highlight w:val="none"/>
              </w:rPr>
              <w:t>分）</w:t>
            </w:r>
          </w:p>
        </w:tc>
        <w:tc>
          <w:tcPr>
            <w:tcW w:w="6740" w:type="dxa"/>
            <w:noWrap w:val="0"/>
            <w:vAlign w:val="top"/>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1、评委对投标人提供的机械设备配备的齐全性、合理性、实用性、科学性进行评议，最高得5分</w:t>
            </w:r>
            <w:r>
              <w:rPr>
                <w:rFonts w:hint="eastAsia"/>
                <w:color w:val="auto"/>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892" w:hRule="atLeast"/>
          <w:jc w:val="center"/>
        </w:trPr>
        <w:tc>
          <w:tcPr>
            <w:tcW w:w="1384" w:type="dxa"/>
            <w:vMerge w:val="continue"/>
            <w:noWrap w:val="0"/>
            <w:vAlign w:val="top"/>
          </w:tcPr>
          <w:p>
            <w:pPr>
              <w:pStyle w:val="62"/>
              <w:spacing w:before="99" w:line="360" w:lineRule="auto"/>
              <w:ind w:left="199" w:leftChars="95"/>
              <w:rPr>
                <w:rFonts w:hint="eastAsia"/>
                <w:color w:val="auto"/>
                <w:sz w:val="22"/>
                <w:szCs w:val="22"/>
                <w:highlight w:val="none"/>
              </w:rPr>
            </w:pPr>
          </w:p>
        </w:tc>
        <w:tc>
          <w:tcPr>
            <w:tcW w:w="1265" w:type="dxa"/>
            <w:vMerge w:val="continue"/>
            <w:noWrap w:val="0"/>
            <w:vAlign w:val="center"/>
          </w:tcPr>
          <w:p>
            <w:pPr>
              <w:pStyle w:val="62"/>
              <w:spacing w:before="99" w:line="360" w:lineRule="auto"/>
              <w:ind w:left="199" w:leftChars="95"/>
              <w:rPr>
                <w:rFonts w:hint="eastAsia"/>
                <w:color w:val="auto"/>
                <w:sz w:val="22"/>
                <w:szCs w:val="22"/>
                <w:highlight w:val="none"/>
              </w:rPr>
            </w:pPr>
          </w:p>
        </w:tc>
        <w:tc>
          <w:tcPr>
            <w:tcW w:w="6740" w:type="dxa"/>
            <w:noWrap w:val="0"/>
            <w:vAlign w:val="top"/>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2、评委根据各投标人提供的车辆、设备、设施运行及管理方案（含车辆、设备设施的使用、维修保养、防盗、停放等）进行综合评议，最高得5分</w:t>
            </w:r>
            <w:r>
              <w:rPr>
                <w:rFonts w:hint="eastAsia"/>
                <w:color w:val="auto"/>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1404" w:hRule="atLeast"/>
          <w:jc w:val="center"/>
        </w:trPr>
        <w:tc>
          <w:tcPr>
            <w:tcW w:w="1384" w:type="dxa"/>
            <w:vMerge w:val="continue"/>
            <w:noWrap w:val="0"/>
            <w:vAlign w:val="top"/>
          </w:tcPr>
          <w:p>
            <w:pPr>
              <w:rPr>
                <w:rFonts w:hint="eastAsia" w:ascii="宋体" w:hAnsi="宋体" w:cs="宋体"/>
                <w:color w:val="auto"/>
                <w:sz w:val="22"/>
                <w:szCs w:val="22"/>
                <w:highlight w:val="none"/>
              </w:rPr>
            </w:pPr>
          </w:p>
        </w:tc>
        <w:tc>
          <w:tcPr>
            <w:tcW w:w="1265" w:type="dxa"/>
            <w:noWrap w:val="0"/>
            <w:vAlign w:val="center"/>
          </w:tcPr>
          <w:p>
            <w:pPr>
              <w:pStyle w:val="62"/>
              <w:spacing w:before="95" w:line="360" w:lineRule="auto"/>
              <w:ind w:left="106"/>
              <w:jc w:val="center"/>
              <w:rPr>
                <w:rFonts w:hint="eastAsia"/>
                <w:b/>
                <w:bCs/>
                <w:color w:val="auto"/>
                <w:sz w:val="22"/>
                <w:szCs w:val="22"/>
                <w:highlight w:val="none"/>
              </w:rPr>
            </w:pPr>
            <w:r>
              <w:rPr>
                <w:rFonts w:hint="eastAsia"/>
                <w:b/>
                <w:bCs/>
                <w:color w:val="auto"/>
                <w:sz w:val="22"/>
                <w:szCs w:val="22"/>
                <w:highlight w:val="none"/>
              </w:rPr>
              <w:t>同类项目业绩（</w:t>
            </w:r>
            <w:r>
              <w:rPr>
                <w:rFonts w:hint="eastAsia"/>
                <w:b/>
                <w:bCs/>
                <w:color w:val="auto"/>
                <w:sz w:val="22"/>
                <w:szCs w:val="22"/>
                <w:highlight w:val="none"/>
                <w:lang w:val="en-US"/>
              </w:rPr>
              <w:t>2</w:t>
            </w:r>
            <w:r>
              <w:rPr>
                <w:rFonts w:hint="eastAsia"/>
                <w:b/>
                <w:bCs/>
                <w:color w:val="auto"/>
                <w:sz w:val="22"/>
                <w:szCs w:val="22"/>
                <w:highlight w:val="none"/>
              </w:rPr>
              <w:t>分）</w:t>
            </w:r>
          </w:p>
        </w:tc>
        <w:tc>
          <w:tcPr>
            <w:tcW w:w="6740" w:type="dxa"/>
            <w:noWrap w:val="0"/>
            <w:vAlign w:val="center"/>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2018年01月01日至今，投标人具有城市道路保洁相关业绩并获业主认可的，每个得1分，最高得2分。</w:t>
            </w:r>
          </w:p>
          <w:p>
            <w:pPr>
              <w:pStyle w:val="62"/>
              <w:spacing w:before="99"/>
              <w:rPr>
                <w:rFonts w:hint="eastAsia"/>
                <w:color w:val="auto"/>
                <w:sz w:val="22"/>
                <w:szCs w:val="22"/>
                <w:highlight w:val="none"/>
                <w:lang w:val="en-US"/>
              </w:rPr>
            </w:pPr>
            <w:r>
              <w:rPr>
                <w:rFonts w:hint="eastAsia"/>
                <w:color w:val="auto"/>
                <w:sz w:val="22"/>
                <w:szCs w:val="22"/>
                <w:highlight w:val="none"/>
              </w:rPr>
              <w:t>注：投标文件中提供项目业主好评证明、完整合同复印件，均加盖公章，（</w:t>
            </w:r>
            <w:r>
              <w:rPr>
                <w:rFonts w:hint="eastAsia"/>
                <w:color w:val="auto"/>
                <w:sz w:val="22"/>
                <w:szCs w:val="22"/>
                <w:highlight w:val="none"/>
                <w:lang w:val="en-US"/>
              </w:rPr>
              <w:t>缺一不可</w:t>
            </w:r>
            <w:r>
              <w:rPr>
                <w:rFonts w:hint="eastAsia"/>
                <w:color w:val="auto"/>
                <w:sz w:val="22"/>
                <w:szCs w:val="22"/>
                <w:highlight w:val="none"/>
              </w:rPr>
              <w:t>）</w:t>
            </w:r>
            <w:r>
              <w:rPr>
                <w:rFonts w:hint="eastAsia"/>
                <w:color w:val="auto"/>
                <w:sz w:val="22"/>
                <w:szCs w:val="22"/>
                <w:highlight w:val="none"/>
                <w:lang w:eastAsia="zh-CN"/>
              </w:rPr>
              <w:t>，</w:t>
            </w:r>
            <w:r>
              <w:rPr>
                <w:rFonts w:hint="eastAsia"/>
                <w:color w:val="auto"/>
                <w:sz w:val="22"/>
                <w:szCs w:val="22"/>
                <w:highlight w:val="none"/>
              </w:rPr>
              <w:t>时间以合同签订时间为准。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1488" w:hRule="atLeast"/>
          <w:jc w:val="center"/>
        </w:trPr>
        <w:tc>
          <w:tcPr>
            <w:tcW w:w="1384" w:type="dxa"/>
            <w:vMerge w:val="continue"/>
            <w:noWrap w:val="0"/>
            <w:vAlign w:val="top"/>
          </w:tcPr>
          <w:p>
            <w:pPr>
              <w:rPr>
                <w:rFonts w:hint="eastAsia" w:ascii="宋体" w:hAnsi="宋体" w:cs="宋体"/>
                <w:color w:val="auto"/>
                <w:sz w:val="22"/>
                <w:szCs w:val="22"/>
                <w:highlight w:val="none"/>
              </w:rPr>
            </w:pPr>
          </w:p>
        </w:tc>
        <w:tc>
          <w:tcPr>
            <w:tcW w:w="1265" w:type="dxa"/>
            <w:noWrap w:val="0"/>
            <w:vAlign w:val="center"/>
          </w:tcPr>
          <w:p>
            <w:pPr>
              <w:pStyle w:val="62"/>
              <w:spacing w:before="94" w:line="360" w:lineRule="auto"/>
              <w:ind w:left="106" w:right="155"/>
              <w:jc w:val="center"/>
              <w:rPr>
                <w:rFonts w:hint="eastAsia"/>
                <w:color w:val="auto"/>
                <w:spacing w:val="-1"/>
                <w:sz w:val="22"/>
                <w:szCs w:val="22"/>
                <w:highlight w:val="none"/>
              </w:rPr>
            </w:pPr>
            <w:r>
              <w:rPr>
                <w:rFonts w:hint="eastAsia"/>
                <w:b/>
                <w:bCs/>
                <w:color w:val="auto"/>
                <w:sz w:val="22"/>
                <w:szCs w:val="22"/>
                <w:highlight w:val="none"/>
              </w:rPr>
              <w:t>合理化建议（</w:t>
            </w:r>
            <w:r>
              <w:rPr>
                <w:rFonts w:hint="eastAsia"/>
                <w:b/>
                <w:bCs/>
                <w:color w:val="auto"/>
                <w:sz w:val="22"/>
                <w:szCs w:val="22"/>
                <w:highlight w:val="none"/>
                <w:lang w:val="en-US" w:eastAsia="zh-CN"/>
              </w:rPr>
              <w:t>4</w:t>
            </w:r>
            <w:r>
              <w:rPr>
                <w:rFonts w:hint="eastAsia"/>
                <w:b/>
                <w:bCs/>
                <w:color w:val="auto"/>
                <w:sz w:val="22"/>
                <w:szCs w:val="22"/>
                <w:highlight w:val="none"/>
                <w:lang w:val="en-US" w:eastAsia="zh-CN"/>
              </w:rPr>
              <w:t>.5</w:t>
            </w:r>
            <w:r>
              <w:rPr>
                <w:rFonts w:hint="eastAsia"/>
                <w:b/>
                <w:bCs/>
                <w:color w:val="auto"/>
                <w:sz w:val="22"/>
                <w:szCs w:val="22"/>
                <w:highlight w:val="none"/>
              </w:rPr>
              <w:t>分）</w:t>
            </w:r>
          </w:p>
        </w:tc>
        <w:tc>
          <w:tcPr>
            <w:tcW w:w="6740" w:type="dxa"/>
            <w:noWrap w:val="0"/>
            <w:vAlign w:val="center"/>
          </w:tcPr>
          <w:p>
            <w:pPr>
              <w:pStyle w:val="62"/>
              <w:spacing w:before="99" w:line="360" w:lineRule="auto"/>
              <w:rPr>
                <w:rFonts w:hint="eastAsia"/>
                <w:color w:val="auto"/>
                <w:sz w:val="22"/>
                <w:szCs w:val="22"/>
                <w:highlight w:val="none"/>
                <w:lang w:val="en-US"/>
              </w:rPr>
            </w:pPr>
            <w:r>
              <w:rPr>
                <w:rFonts w:hint="eastAsia"/>
                <w:color w:val="auto"/>
                <w:sz w:val="22"/>
                <w:szCs w:val="22"/>
                <w:highlight w:val="none"/>
                <w:lang w:val="en-US"/>
              </w:rPr>
              <w:t>评委根据各投标人提出的针对本项目的合理化建议进行评比，酌情打分，最高得</w:t>
            </w:r>
            <w:r>
              <w:rPr>
                <w:rFonts w:hint="eastAsia"/>
                <w:color w:val="auto"/>
                <w:sz w:val="22"/>
                <w:szCs w:val="22"/>
                <w:highlight w:val="none"/>
                <w:lang w:val="en-US" w:eastAsia="zh-CN"/>
              </w:rPr>
              <w:t>4.5</w:t>
            </w:r>
            <w:r>
              <w:rPr>
                <w:rFonts w:hint="eastAsia"/>
                <w:color w:val="auto"/>
                <w:sz w:val="22"/>
                <w:szCs w:val="22"/>
                <w:highlight w:val="none"/>
                <w:lang w:val="en-US"/>
              </w:rPr>
              <w:t>分</w:t>
            </w:r>
            <w:r>
              <w:rPr>
                <w:rFonts w:hint="eastAsia"/>
                <w:color w:val="auto"/>
                <w:sz w:val="22"/>
                <w:szCs w:val="22"/>
                <w:highlight w:val="none"/>
              </w:rPr>
              <w:t>。</w:t>
            </w:r>
          </w:p>
        </w:tc>
      </w:tr>
    </w:tbl>
    <w:p>
      <w:pPr>
        <w:spacing w:line="360" w:lineRule="auto"/>
        <w:rPr>
          <w:rFonts w:hint="eastAsia" w:ascii="黑体" w:hAnsi="宋体" w:eastAsia="黑体"/>
          <w:color w:val="auto"/>
          <w:sz w:val="30"/>
          <w:szCs w:val="30"/>
          <w:highlight w:val="none"/>
        </w:rPr>
      </w:pPr>
      <w:r>
        <w:rPr>
          <w:rFonts w:hint="eastAsia" w:ascii="宋体" w:hAnsi="宋体" w:cs="宋体"/>
          <w:color w:val="auto"/>
          <w:sz w:val="18"/>
          <w:szCs w:val="18"/>
          <w:highlight w:val="none"/>
        </w:rPr>
        <w:t>注：1、各评委成员 自行按以上参考分值评分，评分小数点后保留二位数。2、表内要求提供的资料，未按要求提供的均不得分。</w:t>
      </w:r>
    </w:p>
    <w:p>
      <w:pPr>
        <w:pStyle w:val="5"/>
        <w:ind w:firstLine="0"/>
        <w:rPr>
          <w:rFonts w:hint="eastAsia"/>
          <w:color w:val="auto"/>
          <w:highlight w:val="none"/>
        </w:rPr>
      </w:pPr>
    </w:p>
    <w:p>
      <w:pPr>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0" w:leftChars="0" w:right="1470"/>
        <w:rPr>
          <w:rFonts w:hint="eastAsia"/>
          <w:color w:val="auto"/>
          <w:highlight w:val="none"/>
        </w:rPr>
      </w:pPr>
    </w:p>
    <w:p>
      <w:pPr>
        <w:pStyle w:val="12"/>
        <w:ind w:left="0" w:leftChars="0" w:right="1470"/>
        <w:rPr>
          <w:rFonts w:hint="eastAsia"/>
          <w:color w:val="auto"/>
          <w:highlight w:val="none"/>
        </w:rPr>
      </w:pPr>
      <w:r>
        <w:rPr>
          <w:rFonts w:hint="eastAsia" w:ascii="宋体" w:hAnsi="宋体" w:cs="宋体"/>
          <w:b/>
          <w:color w:val="auto"/>
          <w:highlight w:val="none"/>
        </w:rPr>
        <w:br w:type="page"/>
      </w:r>
      <w:r>
        <w:rPr>
          <w:rFonts w:hint="eastAsia" w:ascii="宋体" w:hAnsi="宋体" w:cs="宋体"/>
          <w:b/>
          <w:color w:val="auto"/>
          <w:highlight w:val="none"/>
        </w:rPr>
        <w:t>附表4</w:t>
      </w:r>
    </w:p>
    <w:p>
      <w:pPr>
        <w:spacing w:line="360" w:lineRule="auto"/>
        <w:jc w:val="center"/>
        <w:rPr>
          <w:rFonts w:hint="eastAsia" w:ascii="宋体" w:hAnsi="宋体" w:cs="宋体"/>
          <w:color w:val="auto"/>
          <w:highlight w:val="none"/>
        </w:rPr>
      </w:pPr>
      <w:r>
        <w:rPr>
          <w:rFonts w:hint="eastAsia" w:ascii="宋体" w:hAnsi="宋体" w:cs="宋体"/>
          <w:b/>
          <w:color w:val="auto"/>
          <w:highlight w:val="none"/>
        </w:rPr>
        <w:t>报价文件初步审查表</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730"/>
        <w:gridCol w:w="20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42"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6730"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要求说明</w:t>
            </w:r>
          </w:p>
        </w:tc>
        <w:tc>
          <w:tcPr>
            <w:tcW w:w="2006" w:type="dxa"/>
            <w:noWrap w:val="0"/>
            <w:vAlign w:val="center"/>
          </w:tcPr>
          <w:p>
            <w:pPr>
              <w:spacing w:line="360" w:lineRule="auto"/>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2" w:type="dxa"/>
            <w:noWrap w:val="0"/>
            <w:vAlign w:val="center"/>
          </w:tcPr>
          <w:p>
            <w:pPr>
              <w:pStyle w:val="22"/>
              <w:spacing w:line="360" w:lineRule="auto"/>
              <w:rPr>
                <w:rFonts w:hint="eastAsia" w:ascii="宋体" w:hAnsi="宋体" w:cs="宋体"/>
                <w:color w:val="auto"/>
                <w:sz w:val="18"/>
                <w:szCs w:val="18"/>
                <w:highlight w:val="none"/>
              </w:rPr>
            </w:pPr>
            <w:bookmarkStart w:id="11" w:name="_Toc1519"/>
            <w:bookmarkStart w:id="12" w:name="_Toc30448"/>
            <w:bookmarkStart w:id="13" w:name="_Toc9499"/>
            <w:bookmarkStart w:id="14" w:name="_Toc28886"/>
            <w:r>
              <w:rPr>
                <w:rFonts w:hint="eastAsia" w:ascii="宋体" w:hAnsi="宋体" w:cs="宋体"/>
                <w:b w:val="0"/>
                <w:color w:val="auto"/>
                <w:kern w:val="0"/>
                <w:sz w:val="18"/>
                <w:szCs w:val="18"/>
                <w:highlight w:val="none"/>
              </w:rPr>
              <w:t>1</w:t>
            </w:r>
            <w:bookmarkEnd w:id="11"/>
            <w:bookmarkEnd w:id="12"/>
            <w:bookmarkEnd w:id="13"/>
            <w:bookmarkEnd w:id="14"/>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按照采购文件规定要求签署或盖章；</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投标文件项目齐全；</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采用人民币报价或者按照采购文件标明的币种报价的；</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不存在报价超出最高限价，或者超出采购预算金额，采购人不能支付的情形；</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5</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不存在投标报价具有选择性的情形；</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6</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投标报价中未出现重大缺项、漏项；</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7</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不存在评标委员会认为供应商的报价明显低于其他通过符合性审查供应商的报价，有可能影响产品质量或者不能诚信履约的且不能在评标现场合理时间内提供相关证明材料说明其报价的合理性的情形；</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投标文件（报价文件）内容与投标文件（商务技术文件）内容不存在重大差异的；</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9</w:t>
            </w:r>
          </w:p>
        </w:tc>
        <w:tc>
          <w:tcPr>
            <w:tcW w:w="6730"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不存在法律、法规和采购文件规定的其他无效情形；</w:t>
            </w:r>
          </w:p>
        </w:tc>
        <w:tc>
          <w:tcPr>
            <w:tcW w:w="2006" w:type="dxa"/>
            <w:noWrap w:val="0"/>
            <w:vAlign w:val="center"/>
          </w:tcPr>
          <w:p>
            <w:pPr>
              <w:spacing w:line="276" w:lineRule="auto"/>
              <w:rPr>
                <w:rFonts w:hint="eastAsia" w:ascii="宋体" w:hAnsi="宋体"/>
                <w:color w:val="auto"/>
                <w:sz w:val="18"/>
                <w:szCs w:val="18"/>
                <w:highlight w:val="none"/>
              </w:rPr>
            </w:pPr>
            <w:r>
              <w:rPr>
                <w:rFonts w:hint="eastAsia" w:ascii="宋体" w:hAnsi="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372" w:type="dxa"/>
            <w:gridSpan w:val="2"/>
            <w:noWrap w:val="0"/>
            <w:vAlign w:val="center"/>
          </w:tcPr>
          <w:p>
            <w:pPr>
              <w:spacing w:line="360" w:lineRule="auto"/>
              <w:jc w:val="center"/>
              <w:rPr>
                <w:rFonts w:hint="eastAsia" w:ascii="宋体" w:hAnsi="宋体" w:cs="宋体"/>
                <w:color w:val="auto"/>
                <w:sz w:val="18"/>
                <w:szCs w:val="18"/>
                <w:highlight w:val="none"/>
              </w:rPr>
            </w:pPr>
            <w:r>
              <w:rPr>
                <w:rFonts w:hint="eastAsia" w:ascii="宋体" w:hAnsi="宋体" w:cs="宋体"/>
                <w:b/>
                <w:color w:val="auto"/>
                <w:sz w:val="18"/>
                <w:szCs w:val="18"/>
                <w:highlight w:val="none"/>
              </w:rPr>
              <w:t>初步审查结论</w:t>
            </w:r>
          </w:p>
        </w:tc>
        <w:tc>
          <w:tcPr>
            <w:tcW w:w="2006" w:type="dxa"/>
            <w:noWrap w:val="0"/>
            <w:vAlign w:val="center"/>
          </w:tcPr>
          <w:p>
            <w:pPr>
              <w:spacing w:line="360" w:lineRule="auto"/>
              <w:rPr>
                <w:rFonts w:hint="eastAsia" w:ascii="宋体" w:hAnsi="宋体" w:cs="宋体"/>
                <w:color w:val="auto"/>
                <w:sz w:val="18"/>
                <w:szCs w:val="18"/>
                <w:highlight w:val="none"/>
              </w:rPr>
            </w:pPr>
          </w:p>
        </w:tc>
      </w:tr>
    </w:tbl>
    <w:p>
      <w:pPr>
        <w:pStyle w:val="8"/>
        <w:spacing w:line="360" w:lineRule="auto"/>
        <w:rPr>
          <w:rFonts w:hint="eastAsia" w:ascii="宋体" w:hAnsi="宋体" w:cs="宋体"/>
          <w:b/>
          <w:color w:val="auto"/>
          <w:highlight w:val="none"/>
        </w:rPr>
      </w:pPr>
      <w:r>
        <w:rPr>
          <w:rFonts w:hint="eastAsia" w:ascii="宋体" w:hAnsi="宋体" w:cs="宋体"/>
          <w:b/>
          <w:color w:val="auto"/>
          <w:sz w:val="18"/>
          <w:szCs w:val="18"/>
          <w:highlight w:val="none"/>
        </w:rPr>
        <w:t>注：上述审查项目中，任意一项不符合的，报价文件审查不合格。</w:t>
      </w:r>
    </w:p>
    <w:p>
      <w:pPr>
        <w:spacing w:line="400" w:lineRule="exact"/>
        <w:jc w:val="center"/>
        <w:outlineLvl w:val="0"/>
        <w:rPr>
          <w:rFonts w:hint="eastAsia" w:ascii="Arial" w:hAnsi="Arial" w:eastAsia="黑体"/>
          <w:bCs/>
          <w:color w:val="auto"/>
          <w:sz w:val="32"/>
          <w:szCs w:val="20"/>
          <w:highlight w:val="none"/>
        </w:rPr>
      </w:pPr>
      <w:r>
        <w:rPr>
          <w:rFonts w:hint="eastAsia" w:ascii="宋体" w:hAnsi="宋体"/>
          <w:b/>
          <w:bCs/>
          <w:color w:val="auto"/>
          <w:sz w:val="18"/>
          <w:szCs w:val="18"/>
          <w:highlight w:val="none"/>
        </w:rPr>
        <w:br w:type="page"/>
      </w:r>
      <w:r>
        <w:rPr>
          <w:rFonts w:hint="eastAsia" w:ascii="Arial" w:hAnsi="Arial" w:eastAsia="黑体"/>
          <w:bCs/>
          <w:color w:val="auto"/>
          <w:sz w:val="32"/>
          <w:szCs w:val="20"/>
          <w:highlight w:val="none"/>
        </w:rPr>
        <w:t>第五章合同条款及合同格式</w:t>
      </w:r>
    </w:p>
    <w:p>
      <w:pPr>
        <w:pStyle w:val="13"/>
        <w:snapToGrid w:val="0"/>
        <w:spacing w:before="120" w:after="120"/>
        <w:jc w:val="center"/>
        <w:rPr>
          <w:b/>
          <w:color w:val="auto"/>
          <w:sz w:val="18"/>
          <w:szCs w:val="18"/>
          <w:highlight w:val="none"/>
        </w:rPr>
      </w:pPr>
      <w:r>
        <w:rPr>
          <w:rFonts w:hint="eastAsia"/>
          <w:b/>
          <w:color w:val="auto"/>
          <w:sz w:val="18"/>
          <w:szCs w:val="18"/>
          <w:highlight w:val="none"/>
        </w:rPr>
        <w:t>（本合同为合同样稿，仅供</w:t>
      </w:r>
      <w:r>
        <w:rPr>
          <w:rFonts w:hint="eastAsia"/>
          <w:b/>
          <w:bCs/>
          <w:color w:val="auto"/>
          <w:w w:val="80"/>
          <w:sz w:val="18"/>
          <w:szCs w:val="18"/>
          <w:highlight w:val="none"/>
        </w:rPr>
        <w:t>参考，</w:t>
      </w:r>
      <w:r>
        <w:rPr>
          <w:rFonts w:hint="eastAsia"/>
          <w:b/>
          <w:color w:val="auto"/>
          <w:sz w:val="18"/>
          <w:szCs w:val="18"/>
          <w:highlight w:val="none"/>
        </w:rPr>
        <w:t>最终稿由甲乙双方协商后确定）</w:t>
      </w:r>
    </w:p>
    <w:p>
      <w:pPr>
        <w:autoSpaceDE w:val="0"/>
        <w:autoSpaceDN w:val="0"/>
        <w:adjustRightInd w:val="0"/>
        <w:snapToGrid w:val="0"/>
        <w:spacing w:line="440" w:lineRule="exact"/>
        <w:jc w:val="center"/>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浙江省政府采购合同指引（服务）</w:t>
      </w:r>
    </w:p>
    <w:p>
      <w:pPr>
        <w:tabs>
          <w:tab w:val="left" w:pos="420"/>
        </w:tabs>
        <w:autoSpaceDE w:val="0"/>
        <w:autoSpaceDN w:val="0"/>
        <w:snapToGrid w:val="0"/>
        <w:spacing w:line="500" w:lineRule="exact"/>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项目名称：2022年庄桥街道五位一体综合服务外包项目         </w:t>
      </w:r>
    </w:p>
    <w:p>
      <w:pPr>
        <w:tabs>
          <w:tab w:val="left" w:pos="420"/>
        </w:tabs>
        <w:autoSpaceDE w:val="0"/>
        <w:autoSpaceDN w:val="0"/>
        <w:snapToGrid w:val="0"/>
        <w:spacing w:line="500" w:lineRule="exact"/>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项目编号：</w:t>
      </w:r>
    </w:p>
    <w:p>
      <w:pPr>
        <w:autoSpaceDE w:val="0"/>
        <w:autoSpaceDN w:val="0"/>
        <w:snapToGrid w:val="0"/>
        <w:spacing w:line="500" w:lineRule="exact"/>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甲方：</w:t>
      </w:r>
      <w:r>
        <w:rPr>
          <w:rFonts w:hint="eastAsia" w:ascii="宋体" w:hAnsi="宋体" w:cs="宋体"/>
          <w:color w:val="auto"/>
          <w:sz w:val="22"/>
          <w:szCs w:val="22"/>
          <w:highlight w:val="none"/>
          <w:u w:val="single"/>
        </w:rPr>
        <w:t>宁波市江北区人民政府庄桥街道办事处</w:t>
      </w:r>
    </w:p>
    <w:p>
      <w:pPr>
        <w:autoSpaceDE w:val="0"/>
        <w:autoSpaceDN w:val="0"/>
        <w:snapToGrid w:val="0"/>
        <w:spacing w:line="500" w:lineRule="exact"/>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乙方：</w:t>
      </w:r>
      <w:r>
        <w:rPr>
          <w:rFonts w:hint="eastAsia" w:ascii="宋体" w:hAnsi="宋体" w:cs="宋体"/>
          <w:color w:val="auto"/>
          <w:sz w:val="22"/>
          <w:szCs w:val="22"/>
          <w:highlight w:val="none"/>
          <w:u w:val="single"/>
        </w:rPr>
        <w:t xml:space="preserve">                                  </w:t>
      </w:r>
    </w:p>
    <w:p>
      <w:pPr>
        <w:autoSpaceDE w:val="0"/>
        <w:autoSpaceDN w:val="0"/>
        <w:snapToGrid w:val="0"/>
        <w:spacing w:line="500" w:lineRule="exact"/>
        <w:textAlignment w:val="bottom"/>
        <w:rPr>
          <w:rFonts w:hint="eastAsia" w:ascii="宋体" w:hAnsi="宋体" w:cs="宋体"/>
          <w:color w:val="auto"/>
          <w:sz w:val="22"/>
          <w:szCs w:val="22"/>
          <w:highlight w:val="none"/>
        </w:rPr>
      </w:pPr>
      <w:r>
        <w:rPr>
          <w:rFonts w:hint="eastAsia" w:ascii="宋体" w:hAnsi="宋体" w:cs="宋体"/>
          <w:color w:val="auto"/>
          <w:sz w:val="22"/>
          <w:szCs w:val="22"/>
          <w:highlight w:val="none"/>
        </w:rPr>
        <w:t>甲、乙双方根据</w:t>
      </w:r>
      <w:r>
        <w:rPr>
          <w:rFonts w:hint="eastAsia" w:ascii="宋体" w:hAnsi="宋体" w:cs="宋体"/>
          <w:color w:val="auto"/>
          <w:sz w:val="22"/>
          <w:szCs w:val="22"/>
          <w:highlight w:val="none"/>
          <w:u w:val="single"/>
        </w:rPr>
        <w:t xml:space="preserve"> 2022年庄桥街道五位一体综合服务外包项目 </w:t>
      </w:r>
      <w:r>
        <w:rPr>
          <w:rFonts w:hint="eastAsia" w:ascii="宋体" w:hAnsi="宋体" w:cs="宋体"/>
          <w:color w:val="auto"/>
          <w:sz w:val="22"/>
          <w:szCs w:val="22"/>
          <w:highlight w:val="none"/>
        </w:rPr>
        <w:t>的结果，甲方委托乙方承接本项目服务，签署本合同。</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服务内容</w:t>
      </w:r>
    </w:p>
    <w:p>
      <w:pPr>
        <w:pStyle w:val="13"/>
        <w:spacing w:beforeLines="0" w:afterLines="0" w:line="360" w:lineRule="auto"/>
        <w:ind w:firstLine="440" w:firstLineChars="200"/>
        <w:rPr>
          <w:rFonts w:hint="eastAsia" w:hAnsi="宋体"/>
          <w:color w:val="auto"/>
          <w:sz w:val="22"/>
          <w:szCs w:val="22"/>
          <w:highlight w:val="none"/>
          <w:u w:val="single"/>
        </w:rPr>
      </w:pPr>
      <w:r>
        <w:rPr>
          <w:rFonts w:hint="eastAsia" w:hAnsi="宋体"/>
          <w:color w:val="auto"/>
          <w:sz w:val="22"/>
          <w:szCs w:val="22"/>
          <w:highlight w:val="none"/>
        </w:rPr>
        <w:t>标项</w:t>
      </w:r>
      <w:r>
        <w:rPr>
          <w:rFonts w:hint="eastAsia" w:hAnsi="宋体"/>
          <w:color w:val="auto"/>
          <w:sz w:val="22"/>
          <w:szCs w:val="22"/>
          <w:highlight w:val="none"/>
          <w:u w:val="single"/>
        </w:rPr>
        <w:t xml:space="preserve">   </w:t>
      </w:r>
    </w:p>
    <w:p>
      <w:pPr>
        <w:pStyle w:val="13"/>
        <w:spacing w:beforeLines="0" w:afterLines="0" w:line="360" w:lineRule="auto"/>
        <w:ind w:firstLine="440" w:firstLineChars="200"/>
        <w:rPr>
          <w:rFonts w:hint="eastAsia" w:hAnsi="宋体"/>
          <w:color w:val="auto"/>
          <w:sz w:val="22"/>
          <w:szCs w:val="22"/>
          <w:highlight w:val="none"/>
          <w:u w:val="single"/>
        </w:rPr>
      </w:pPr>
      <w:r>
        <w:rPr>
          <w:rFonts w:hint="eastAsia" w:hAnsi="宋体"/>
          <w:color w:val="auto"/>
          <w:sz w:val="22"/>
          <w:szCs w:val="22"/>
          <w:highlight w:val="none"/>
        </w:rPr>
        <w:t>1、服务范围：</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 xml:space="preserve">2、服务内容： </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服务区域</w:t>
      </w:r>
    </w:p>
    <w:p>
      <w:pPr>
        <w:pStyle w:val="13"/>
        <w:snapToGrid w:val="0"/>
        <w:spacing w:beforeLines="0" w:afterLines="0" w:line="360" w:lineRule="auto"/>
        <w:ind w:firstLine="442" w:firstLineChars="200"/>
        <w:rPr>
          <w:rFonts w:hint="eastAsia" w:hAnsi="宋体"/>
          <w:color w:val="auto"/>
          <w:sz w:val="22"/>
          <w:szCs w:val="22"/>
          <w:highlight w:val="none"/>
        </w:rPr>
      </w:pPr>
      <w:r>
        <w:rPr>
          <w:rFonts w:hint="eastAsia" w:hAnsi="宋体"/>
          <w:b/>
          <w:bCs/>
          <w:color w:val="auto"/>
          <w:sz w:val="22"/>
          <w:szCs w:val="22"/>
          <w:highlight w:val="none"/>
        </w:rPr>
        <w:t>1、保洁面积明细：详见附件</w:t>
      </w:r>
    </w:p>
    <w:p>
      <w:pPr>
        <w:pStyle w:val="13"/>
        <w:snapToGrid w:val="0"/>
        <w:spacing w:beforeLines="0" w:afterLines="0" w:line="360" w:lineRule="auto"/>
        <w:ind w:firstLine="442" w:firstLineChars="200"/>
        <w:rPr>
          <w:rFonts w:hint="eastAsia" w:hAnsi="宋体"/>
          <w:b/>
          <w:bCs/>
          <w:color w:val="auto"/>
          <w:sz w:val="22"/>
          <w:szCs w:val="22"/>
          <w:highlight w:val="none"/>
        </w:rPr>
      </w:pPr>
      <w:r>
        <w:rPr>
          <w:rFonts w:hint="eastAsia" w:hAnsi="宋体"/>
          <w:b/>
          <w:bCs/>
          <w:color w:val="auto"/>
          <w:sz w:val="22"/>
          <w:szCs w:val="22"/>
          <w:highlight w:val="none"/>
        </w:rPr>
        <w:t>2、绿化养护（含补种）范围明细：详见附件</w:t>
      </w:r>
    </w:p>
    <w:p>
      <w:pPr>
        <w:pStyle w:val="13"/>
        <w:snapToGrid w:val="0"/>
        <w:spacing w:beforeLines="0" w:afterLines="0" w:line="360" w:lineRule="auto"/>
        <w:ind w:firstLine="442" w:firstLineChars="200"/>
        <w:rPr>
          <w:rFonts w:hint="eastAsia" w:hAnsi="宋体"/>
          <w:b/>
          <w:bCs/>
          <w:color w:val="auto"/>
          <w:sz w:val="22"/>
          <w:szCs w:val="22"/>
          <w:highlight w:val="none"/>
        </w:rPr>
      </w:pPr>
      <w:r>
        <w:rPr>
          <w:rFonts w:hint="eastAsia" w:hAnsi="宋体"/>
          <w:b/>
          <w:bCs/>
          <w:color w:val="auto"/>
          <w:sz w:val="22"/>
          <w:szCs w:val="22"/>
          <w:highlight w:val="none"/>
        </w:rPr>
        <w:t>3、域内市容秩序辅助管理服务：</w:t>
      </w:r>
    </w:p>
    <w:p>
      <w:pPr>
        <w:pStyle w:val="13"/>
        <w:snapToGrid w:val="0"/>
        <w:spacing w:beforeLines="0" w:afterLines="0" w:line="360" w:lineRule="auto"/>
        <w:ind w:firstLine="440" w:firstLineChars="200"/>
        <w:rPr>
          <w:rFonts w:hint="eastAsia" w:hAnsi="宋体"/>
          <w:color w:val="auto"/>
          <w:sz w:val="22"/>
          <w:szCs w:val="22"/>
          <w:highlight w:val="none"/>
        </w:rPr>
      </w:pPr>
      <w:r>
        <w:rPr>
          <w:rFonts w:hint="eastAsia" w:hAnsi="宋体"/>
          <w:color w:val="auto"/>
          <w:sz w:val="22"/>
          <w:szCs w:val="22"/>
          <w:highlight w:val="none"/>
        </w:rPr>
        <w:t>区域内市容秩序辅助管理服务、灾害应急、违章建筑拆除等保护性施工工作、偷倒垃圾盯防及处理等各项内容服务，具体工作安排由甲方按需调配。</w:t>
      </w:r>
    </w:p>
    <w:p>
      <w:pPr>
        <w:spacing w:line="360" w:lineRule="auto"/>
        <w:ind w:firstLine="442" w:firstLineChars="200"/>
        <w:jc w:val="left"/>
        <w:rPr>
          <w:rFonts w:hint="eastAsia" w:ascii="宋体" w:hAnsi="宋体" w:cs="宋体"/>
          <w:b/>
          <w:color w:val="auto"/>
          <w:sz w:val="22"/>
          <w:szCs w:val="22"/>
          <w:highlight w:val="none"/>
        </w:rPr>
      </w:pPr>
      <w:r>
        <w:rPr>
          <w:rFonts w:hint="eastAsia" w:ascii="宋体" w:hAnsi="宋体" w:cs="宋体"/>
          <w:b/>
          <w:color w:val="auto"/>
          <w:sz w:val="22"/>
          <w:szCs w:val="22"/>
          <w:highlight w:val="none"/>
        </w:rPr>
        <w:t>备注：</w:t>
      </w:r>
    </w:p>
    <w:p>
      <w:pPr>
        <w:spacing w:line="360" w:lineRule="auto"/>
        <w:ind w:firstLine="433" w:firstLineChars="196"/>
        <w:rPr>
          <w:rFonts w:hint="eastAsia" w:ascii="宋体" w:hAnsi="宋体" w:cs="宋体"/>
          <w:b/>
          <w:color w:val="auto"/>
          <w:sz w:val="22"/>
          <w:szCs w:val="22"/>
          <w:highlight w:val="none"/>
        </w:rPr>
      </w:pPr>
      <w:r>
        <w:rPr>
          <w:rFonts w:hint="eastAsia" w:ascii="宋体" w:hAnsi="宋体" w:cs="宋体"/>
          <w:b/>
          <w:color w:val="auto"/>
          <w:sz w:val="22"/>
          <w:szCs w:val="22"/>
          <w:highlight w:val="none"/>
        </w:rPr>
        <w:fldChar w:fldCharType="begin"/>
      </w:r>
      <w:r>
        <w:rPr>
          <w:rFonts w:hint="eastAsia" w:ascii="宋体" w:hAnsi="宋体" w:cs="宋体"/>
          <w:b/>
          <w:color w:val="auto"/>
          <w:sz w:val="22"/>
          <w:szCs w:val="22"/>
          <w:highlight w:val="none"/>
        </w:rPr>
        <w:instrText xml:space="preserve"> = 1 \* GB3 </w:instrText>
      </w:r>
      <w:r>
        <w:rPr>
          <w:rFonts w:hint="eastAsia" w:ascii="宋体" w:hAnsi="宋体" w:cs="宋体"/>
          <w:b/>
          <w:color w:val="auto"/>
          <w:sz w:val="22"/>
          <w:szCs w:val="22"/>
          <w:highlight w:val="none"/>
        </w:rPr>
        <w:fldChar w:fldCharType="separate"/>
      </w:r>
      <w:r>
        <w:rPr>
          <w:rFonts w:hint="eastAsia" w:ascii="宋体" w:hAnsi="宋体" w:cs="宋体"/>
          <w:b/>
          <w:color w:val="auto"/>
          <w:sz w:val="22"/>
          <w:szCs w:val="22"/>
          <w:highlight w:val="none"/>
        </w:rPr>
        <w:t>①</w:t>
      </w:r>
      <w:r>
        <w:rPr>
          <w:rFonts w:hint="eastAsia" w:ascii="宋体" w:hAnsi="宋体" w:cs="宋体"/>
          <w:b/>
          <w:color w:val="auto"/>
          <w:sz w:val="22"/>
          <w:szCs w:val="22"/>
          <w:highlight w:val="none"/>
        </w:rPr>
        <w:fldChar w:fldCharType="end"/>
      </w:r>
      <w:r>
        <w:rPr>
          <w:rFonts w:hint="eastAsia" w:ascii="宋体" w:hAnsi="宋体" w:cs="宋体"/>
          <w:b/>
          <w:color w:val="auto"/>
          <w:sz w:val="22"/>
          <w:szCs w:val="22"/>
          <w:highlight w:val="none"/>
        </w:rPr>
        <w:t>中标报价为包干价，合同期内服务费用不因市场和政策等因素的变动而调整。上述所列保洁、绿化养护面积为近似数量，与实际准确数量可能会有出入，乙方应予以充分考虑，乙方如有需要自行组织现场踏勘，以充分了解项目实施位置、服务范围、周边情况及任何其他足以影响报价的情况，任何因忽视或误解现场情况而导致的索赔或服务费用申请将不予受理。</w:t>
      </w:r>
    </w:p>
    <w:p>
      <w:pPr>
        <w:pStyle w:val="13"/>
        <w:snapToGrid w:val="0"/>
        <w:spacing w:beforeLines="0" w:afterLines="0" w:line="360" w:lineRule="auto"/>
        <w:ind w:firstLine="442" w:firstLineChars="200"/>
        <w:rPr>
          <w:rFonts w:hint="eastAsia" w:hAnsi="宋体"/>
          <w:b/>
          <w:color w:val="auto"/>
          <w:sz w:val="22"/>
          <w:szCs w:val="22"/>
          <w:highlight w:val="none"/>
        </w:rPr>
      </w:pPr>
      <w:r>
        <w:rPr>
          <w:rFonts w:hint="eastAsia" w:hAnsi="宋体"/>
          <w:b/>
          <w:color w:val="auto"/>
          <w:sz w:val="22"/>
          <w:szCs w:val="22"/>
          <w:highlight w:val="none"/>
        </w:rPr>
        <w:t>②合同期内（包含续签合同期内）服务费用不作调整。如发生服务范围的增加或减少，原则上由甲方统一调配并以签证认可的联系单为准，价格不高于投标时的中标单价，产生的费用计入发生期间所对应的月份中。</w:t>
      </w:r>
    </w:p>
    <w:p>
      <w:pPr>
        <w:pStyle w:val="13"/>
        <w:snapToGrid w:val="0"/>
        <w:spacing w:beforeLines="0" w:afterLines="0" w:line="360" w:lineRule="auto"/>
        <w:ind w:firstLine="442" w:firstLineChars="200"/>
        <w:rPr>
          <w:rFonts w:hAnsi="宋体"/>
          <w:b/>
          <w:color w:val="auto"/>
          <w:sz w:val="22"/>
          <w:szCs w:val="22"/>
          <w:highlight w:val="none"/>
        </w:rPr>
      </w:pPr>
      <w:r>
        <w:rPr>
          <w:rFonts w:hint="eastAsia" w:hAnsi="宋体"/>
          <w:b/>
          <w:color w:val="auto"/>
          <w:sz w:val="22"/>
          <w:szCs w:val="22"/>
          <w:highlight w:val="none"/>
        </w:rPr>
        <w:t>③如保洁范围内路段因拆迁、道路施工或其他原因需要施行道路封闭、管制等情况的，保洁费用根据实际保洁面积按实结算。</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服务班子配置及人员要求</w:t>
      </w:r>
    </w:p>
    <w:p>
      <w:pPr>
        <w:pStyle w:val="13"/>
        <w:snapToGrid w:val="0"/>
        <w:spacing w:before="120" w:after="120"/>
        <w:rPr>
          <w:rFonts w:hAnsi="宋体"/>
          <w:b/>
          <w:color w:val="auto"/>
          <w:sz w:val="22"/>
          <w:szCs w:val="22"/>
          <w:highlight w:val="none"/>
        </w:rPr>
      </w:pPr>
      <w:r>
        <w:rPr>
          <w:rFonts w:hint="eastAsia" w:hAnsi="宋体"/>
          <w:b/>
          <w:color w:val="auto"/>
          <w:sz w:val="22"/>
          <w:szCs w:val="22"/>
          <w:highlight w:val="none"/>
        </w:rPr>
        <w:t xml:space="preserve"> 按各标项内容填写</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机械设备要求</w:t>
      </w:r>
    </w:p>
    <w:tbl>
      <w:tblPr>
        <w:tblStyle w:val="26"/>
        <w:tblW w:w="53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875"/>
        <w:gridCol w:w="1498"/>
        <w:gridCol w:w="142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exact"/>
          <w:tblHeader/>
          <w:jc w:val="center"/>
        </w:trPr>
        <w:tc>
          <w:tcPr>
            <w:tcW w:w="342" w:type="pct"/>
            <w:noWrap w:val="0"/>
            <w:vAlign w:val="center"/>
          </w:tcPr>
          <w:p>
            <w:pPr>
              <w:tabs>
                <w:tab w:val="center" w:pos="4153"/>
                <w:tab w:val="right" w:pos="8306"/>
              </w:tabs>
              <w:snapToGrid w:val="0"/>
              <w:jc w:val="center"/>
              <w:rPr>
                <w:rFonts w:hint="eastAsia"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序号</w:t>
            </w:r>
          </w:p>
        </w:tc>
        <w:tc>
          <w:tcPr>
            <w:tcW w:w="2351" w:type="pct"/>
            <w:noWrap w:val="0"/>
            <w:vAlign w:val="center"/>
          </w:tcPr>
          <w:p>
            <w:pPr>
              <w:tabs>
                <w:tab w:val="center" w:pos="4153"/>
                <w:tab w:val="right" w:pos="8306"/>
              </w:tabs>
              <w:snapToGrid w:val="0"/>
              <w:jc w:val="center"/>
              <w:rPr>
                <w:rFonts w:hint="eastAsia"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机器设备名称</w:t>
            </w:r>
          </w:p>
        </w:tc>
        <w:tc>
          <w:tcPr>
            <w:tcW w:w="723" w:type="pct"/>
            <w:noWrap w:val="0"/>
            <w:vAlign w:val="center"/>
          </w:tcPr>
          <w:p>
            <w:pPr>
              <w:tabs>
                <w:tab w:val="center" w:pos="4153"/>
                <w:tab w:val="right" w:pos="8306"/>
              </w:tabs>
              <w:snapToGrid w:val="0"/>
              <w:jc w:val="center"/>
              <w:rPr>
                <w:rFonts w:hint="eastAsia"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单位</w:t>
            </w:r>
          </w:p>
        </w:tc>
        <w:tc>
          <w:tcPr>
            <w:tcW w:w="689" w:type="pct"/>
            <w:noWrap w:val="0"/>
            <w:vAlign w:val="center"/>
          </w:tcPr>
          <w:p>
            <w:pPr>
              <w:tabs>
                <w:tab w:val="center" w:pos="4153"/>
                <w:tab w:val="right" w:pos="8306"/>
              </w:tabs>
              <w:snapToGrid w:val="0"/>
              <w:jc w:val="center"/>
              <w:rPr>
                <w:rFonts w:hint="eastAsia"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数量</w:t>
            </w:r>
          </w:p>
        </w:tc>
        <w:tc>
          <w:tcPr>
            <w:tcW w:w="893" w:type="pct"/>
            <w:noWrap w:val="0"/>
            <w:vAlign w:val="center"/>
          </w:tcPr>
          <w:p>
            <w:pPr>
              <w:tabs>
                <w:tab w:val="center" w:pos="4153"/>
                <w:tab w:val="right" w:pos="8306"/>
              </w:tabs>
              <w:snapToGrid w:val="0"/>
              <w:jc w:val="center"/>
              <w:rPr>
                <w:rFonts w:hint="eastAsia"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2351" w:type="pct"/>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专业机扫车</w:t>
            </w:r>
          </w:p>
        </w:tc>
        <w:tc>
          <w:tcPr>
            <w:tcW w:w="72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辆</w:t>
            </w:r>
          </w:p>
        </w:tc>
        <w:tc>
          <w:tcPr>
            <w:tcW w:w="689"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893" w:type="pct"/>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2351" w:type="pct"/>
            <w:noWrap w:val="0"/>
            <w:vAlign w:val="center"/>
          </w:tcPr>
          <w:p>
            <w:pPr>
              <w:jc w:val="center"/>
              <w:rPr>
                <w:rFonts w:hint="eastAsia" w:ascii="宋体" w:hAnsi="宋体" w:cs="宋体"/>
                <w:color w:val="auto"/>
                <w:sz w:val="22"/>
                <w:szCs w:val="22"/>
                <w:highlight w:val="none"/>
              </w:rPr>
            </w:pPr>
            <w:r>
              <w:rPr>
                <w:rFonts w:hint="eastAsia"/>
                <w:color w:val="auto"/>
                <w:sz w:val="22"/>
                <w:szCs w:val="22"/>
                <w:highlight w:val="none"/>
              </w:rPr>
              <w:t>大型专业洒水车</w:t>
            </w:r>
          </w:p>
        </w:tc>
        <w:tc>
          <w:tcPr>
            <w:tcW w:w="72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辆</w:t>
            </w:r>
          </w:p>
        </w:tc>
        <w:tc>
          <w:tcPr>
            <w:tcW w:w="689"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893" w:type="pct"/>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3</w:t>
            </w:r>
          </w:p>
        </w:tc>
        <w:tc>
          <w:tcPr>
            <w:tcW w:w="2351" w:type="pct"/>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路面养护车</w:t>
            </w:r>
          </w:p>
        </w:tc>
        <w:tc>
          <w:tcPr>
            <w:tcW w:w="72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辆</w:t>
            </w:r>
          </w:p>
        </w:tc>
        <w:tc>
          <w:tcPr>
            <w:tcW w:w="689"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893" w:type="pct"/>
            <w:noWrap w:val="0"/>
            <w:vAlign w:val="center"/>
          </w:tcPr>
          <w:p>
            <w:pPr>
              <w:jc w:val="center"/>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自卸车</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辆</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垃圾清运车</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辆</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3</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保洁员人力三轮车</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条</w:t>
            </w:r>
          </w:p>
        </w:tc>
        <w:tc>
          <w:tcPr>
            <w:tcW w:w="689"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25</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4</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割灌机</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台</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5</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绿篱机</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台</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6</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草坪机</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台</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7</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草坪吹风机</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辆</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8</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治安巡逻车</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辆</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9</w:t>
            </w:r>
          </w:p>
        </w:tc>
        <w:tc>
          <w:tcPr>
            <w:tcW w:w="2351"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统一特保标识电瓶车</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台</w:t>
            </w:r>
          </w:p>
        </w:tc>
        <w:tc>
          <w:tcPr>
            <w:tcW w:w="689"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15</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color w:val="auto"/>
                <w:kern w:val="0"/>
                <w:sz w:val="22"/>
                <w:szCs w:val="22"/>
                <w:highlight w:val="none"/>
                <w:lang w:bidi="ar"/>
              </w:rPr>
              <w:t>不得使用城管执法专用标志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10</w:t>
            </w:r>
          </w:p>
        </w:tc>
        <w:tc>
          <w:tcPr>
            <w:tcW w:w="2351"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统一执法记录仪</w:t>
            </w:r>
          </w:p>
        </w:tc>
        <w:tc>
          <w:tcPr>
            <w:tcW w:w="723" w:type="pct"/>
            <w:noWrap w:val="0"/>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台</w:t>
            </w:r>
          </w:p>
        </w:tc>
        <w:tc>
          <w:tcPr>
            <w:tcW w:w="689" w:type="pct"/>
            <w:noWrap w:val="0"/>
            <w:vAlign w:val="center"/>
          </w:tcPr>
          <w:p>
            <w:pPr>
              <w:tabs>
                <w:tab w:val="center" w:pos="4153"/>
                <w:tab w:val="right" w:pos="8306"/>
              </w:tabs>
              <w:snapToGrid w:val="0"/>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15</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11</w:t>
            </w:r>
          </w:p>
        </w:tc>
        <w:tc>
          <w:tcPr>
            <w:tcW w:w="2351"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管道冲洗疏通设备</w:t>
            </w:r>
          </w:p>
        </w:tc>
        <w:tc>
          <w:tcPr>
            <w:tcW w:w="72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套</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jc w:val="center"/>
        </w:trPr>
        <w:tc>
          <w:tcPr>
            <w:tcW w:w="342"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12</w:t>
            </w:r>
          </w:p>
        </w:tc>
        <w:tc>
          <w:tcPr>
            <w:tcW w:w="2351"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电动排水泵</w:t>
            </w:r>
          </w:p>
        </w:tc>
        <w:tc>
          <w:tcPr>
            <w:tcW w:w="72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台</w:t>
            </w:r>
          </w:p>
        </w:tc>
        <w:tc>
          <w:tcPr>
            <w:tcW w:w="689"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893" w:type="pct"/>
            <w:noWrap w:val="0"/>
            <w:vAlign w:val="center"/>
          </w:tcPr>
          <w:p>
            <w:pPr>
              <w:tabs>
                <w:tab w:val="center" w:pos="4153"/>
                <w:tab w:val="right" w:pos="8306"/>
              </w:tabs>
              <w:snapToGrid w:val="0"/>
              <w:jc w:val="center"/>
              <w:rPr>
                <w:rFonts w:hint="eastAsia" w:ascii="宋体" w:hAnsi="宋体" w:cs="宋体"/>
                <w:snapToGrid w:val="0"/>
                <w:color w:val="auto"/>
                <w:sz w:val="22"/>
                <w:szCs w:val="22"/>
                <w:highlight w:val="none"/>
              </w:rPr>
            </w:pPr>
          </w:p>
        </w:tc>
      </w:tr>
    </w:tbl>
    <w:p>
      <w:pPr>
        <w:pStyle w:val="13"/>
        <w:snapToGrid w:val="0"/>
        <w:spacing w:beforeLines="0" w:afterLines="0" w:line="360" w:lineRule="auto"/>
        <w:ind w:firstLine="442" w:firstLineChars="200"/>
        <w:rPr>
          <w:rFonts w:hint="eastAsia" w:hAnsi="宋体"/>
          <w:b/>
          <w:color w:val="auto"/>
          <w:sz w:val="22"/>
          <w:szCs w:val="22"/>
          <w:highlight w:val="none"/>
        </w:rPr>
      </w:pPr>
      <w:r>
        <w:rPr>
          <w:rFonts w:hint="eastAsia" w:hAnsi="宋体"/>
          <w:b/>
          <w:color w:val="auto"/>
          <w:sz w:val="22"/>
          <w:szCs w:val="22"/>
          <w:highlight w:val="none"/>
        </w:rPr>
        <w:t>注：乙方必须提供详细的设备清单（指乙方所采用的机械设备，包括但不限于机械设备要求表中所列的机械设备），清单至少包括设备名称、规格型号、数量、单价、购买（租赁）时间、使用年限等项目。乙方须按承诺在合同签订前完成购置或租赁，并提供购置发票原件或租赁协议</w:t>
      </w:r>
      <w:r>
        <w:rPr>
          <w:rFonts w:hint="eastAsia" w:hAnsi="宋体"/>
          <w:b/>
          <w:color w:val="auto"/>
          <w:sz w:val="22"/>
          <w:szCs w:val="22"/>
          <w:highlight w:val="none"/>
          <w:lang w:val="en-US" w:eastAsia="zh-CN"/>
        </w:rPr>
        <w:t>复印</w:t>
      </w:r>
      <w:r>
        <w:rPr>
          <w:rFonts w:hint="eastAsia" w:hAnsi="宋体"/>
          <w:b/>
          <w:color w:val="auto"/>
          <w:sz w:val="22"/>
          <w:szCs w:val="22"/>
          <w:highlight w:val="none"/>
        </w:rPr>
        <w:t>件，否则中标无效。</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作业标准</w:t>
      </w:r>
    </w:p>
    <w:p>
      <w:pPr>
        <w:pStyle w:val="13"/>
        <w:snapToGrid w:val="0"/>
        <w:spacing w:beforeLines="0" w:afterLines="0" w:line="360" w:lineRule="auto"/>
        <w:rPr>
          <w:rFonts w:hint="eastAsia" w:hAnsi="宋体"/>
          <w:color w:val="auto"/>
          <w:sz w:val="22"/>
          <w:szCs w:val="22"/>
          <w:highlight w:val="none"/>
        </w:rPr>
      </w:pPr>
      <w:r>
        <w:rPr>
          <w:rFonts w:hint="eastAsia" w:hAnsi="宋体"/>
          <w:color w:val="auto"/>
          <w:sz w:val="22"/>
          <w:szCs w:val="22"/>
          <w:highlight w:val="none"/>
        </w:rPr>
        <w:t>详见招标文件。</w:t>
      </w:r>
    </w:p>
    <w:p>
      <w:pPr>
        <w:pStyle w:val="13"/>
        <w:numPr>
          <w:ilvl w:val="0"/>
          <w:numId w:val="11"/>
        </w:numPr>
        <w:snapToGrid w:val="0"/>
        <w:spacing w:before="120" w:after="120"/>
        <w:rPr>
          <w:rFonts w:hAnsi="宋体"/>
          <w:b/>
          <w:color w:val="auto"/>
          <w:sz w:val="22"/>
          <w:szCs w:val="22"/>
          <w:highlight w:val="none"/>
        </w:rPr>
      </w:pPr>
      <w:r>
        <w:rPr>
          <w:rFonts w:hAnsi="宋体"/>
          <w:b/>
          <w:color w:val="auto"/>
          <w:sz w:val="22"/>
          <w:szCs w:val="22"/>
          <w:highlight w:val="none"/>
        </w:rPr>
        <w:t>考核标准</w:t>
      </w:r>
    </w:p>
    <w:p>
      <w:pPr>
        <w:pStyle w:val="13"/>
        <w:snapToGrid w:val="0"/>
        <w:spacing w:beforeLines="0" w:afterLines="0" w:line="360" w:lineRule="auto"/>
        <w:rPr>
          <w:rFonts w:hAnsi="宋体"/>
          <w:color w:val="auto"/>
          <w:sz w:val="22"/>
          <w:szCs w:val="22"/>
          <w:highlight w:val="none"/>
        </w:rPr>
      </w:pPr>
      <w:r>
        <w:rPr>
          <w:rFonts w:hint="eastAsia" w:hAnsi="宋体"/>
          <w:color w:val="auto"/>
          <w:sz w:val="22"/>
          <w:szCs w:val="22"/>
          <w:highlight w:val="none"/>
        </w:rPr>
        <w:t>详见招标文件。</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合同金额</w:t>
      </w:r>
    </w:p>
    <w:p>
      <w:pPr>
        <w:pStyle w:val="13"/>
        <w:snapToGrid w:val="0"/>
        <w:spacing w:before="120" w:after="120"/>
        <w:rPr>
          <w:rFonts w:hAnsi="宋体"/>
          <w:color w:val="auto"/>
          <w:sz w:val="22"/>
          <w:szCs w:val="22"/>
          <w:highlight w:val="none"/>
        </w:rPr>
      </w:pPr>
      <w:r>
        <w:rPr>
          <w:rFonts w:hint="eastAsia" w:hAnsi="宋体"/>
          <w:color w:val="auto"/>
          <w:sz w:val="22"/>
          <w:szCs w:val="22"/>
          <w:highlight w:val="none"/>
        </w:rPr>
        <w:t>本合同金额为（大写）：</w:t>
      </w:r>
      <w:r>
        <w:rPr>
          <w:rFonts w:hint="eastAsia" w:hAnsi="宋体"/>
          <w:color w:val="auto"/>
          <w:sz w:val="22"/>
          <w:szCs w:val="22"/>
          <w:highlight w:val="none"/>
          <w:u w:val="single"/>
        </w:rPr>
        <w:t xml:space="preserve">                     </w:t>
      </w:r>
      <w:r>
        <w:rPr>
          <w:rFonts w:hint="eastAsia" w:hAnsi="宋体"/>
          <w:color w:val="auto"/>
          <w:sz w:val="22"/>
          <w:szCs w:val="22"/>
          <w:highlight w:val="none"/>
        </w:rPr>
        <w:t xml:space="preserve"> 元（￥</w:t>
      </w:r>
      <w:r>
        <w:rPr>
          <w:rFonts w:hint="eastAsia" w:hAnsi="宋体"/>
          <w:color w:val="auto"/>
          <w:sz w:val="22"/>
          <w:szCs w:val="22"/>
          <w:highlight w:val="none"/>
          <w:u w:val="single"/>
        </w:rPr>
        <w:t xml:space="preserve">          </w:t>
      </w:r>
      <w:r>
        <w:rPr>
          <w:rFonts w:hint="eastAsia" w:hAnsi="宋体"/>
          <w:color w:val="auto"/>
          <w:sz w:val="22"/>
          <w:szCs w:val="22"/>
          <w:highlight w:val="none"/>
        </w:rPr>
        <w:t>元）人民币。</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技术资料</w:t>
      </w:r>
    </w:p>
    <w:p>
      <w:pPr>
        <w:pStyle w:val="13"/>
        <w:snapToGrid w:val="0"/>
        <w:spacing w:before="120" w:after="120"/>
        <w:ind w:left="376" w:hanging="376" w:hangingChars="171"/>
        <w:rPr>
          <w:rFonts w:hint="eastAsia" w:hAnsi="宋体"/>
          <w:color w:val="auto"/>
          <w:sz w:val="22"/>
          <w:szCs w:val="22"/>
          <w:highlight w:val="none"/>
        </w:rPr>
      </w:pPr>
      <w:r>
        <w:rPr>
          <w:rFonts w:hint="eastAsia" w:hAnsi="宋体"/>
          <w:color w:val="auto"/>
          <w:sz w:val="22"/>
          <w:szCs w:val="22"/>
          <w:highlight w:val="none"/>
        </w:rPr>
        <w:t>1.乙方应按招标文件规定的时间向甲方提供有关技术资料。</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履约保证金</w:t>
      </w:r>
    </w:p>
    <w:p>
      <w:pPr>
        <w:pStyle w:val="62"/>
        <w:numPr>
          <w:ilvl w:val="0"/>
          <w:numId w:val="12"/>
        </w:numPr>
        <w:spacing w:before="3" w:line="360" w:lineRule="auto"/>
        <w:ind w:right="83"/>
        <w:rPr>
          <w:rFonts w:hint="eastAsia"/>
          <w:color w:val="auto"/>
          <w:sz w:val="22"/>
          <w:szCs w:val="22"/>
          <w:highlight w:val="none"/>
        </w:rPr>
      </w:pPr>
      <w:r>
        <w:rPr>
          <w:rFonts w:hint="eastAsia"/>
          <w:color w:val="auto"/>
          <w:sz w:val="22"/>
          <w:szCs w:val="22"/>
          <w:highlight w:val="none"/>
          <w:lang w:val="en-US"/>
        </w:rPr>
        <w:t>乙方应</w:t>
      </w:r>
      <w:r>
        <w:rPr>
          <w:rFonts w:hint="eastAsia"/>
          <w:color w:val="auto"/>
          <w:sz w:val="22"/>
          <w:szCs w:val="22"/>
          <w:highlight w:val="none"/>
        </w:rPr>
        <w:t>交纳</w:t>
      </w:r>
      <w:r>
        <w:rPr>
          <w:rFonts w:hint="eastAsia"/>
          <w:color w:val="auto"/>
          <w:sz w:val="22"/>
          <w:highlight w:val="none"/>
        </w:rPr>
        <w:t>合同金额的</w:t>
      </w:r>
      <w:r>
        <w:rPr>
          <w:rFonts w:hint="eastAsia"/>
          <w:b/>
          <w:color w:val="auto"/>
          <w:sz w:val="22"/>
          <w:highlight w:val="none"/>
          <w:lang w:val="en-US"/>
        </w:rPr>
        <w:t>2.5</w:t>
      </w:r>
      <w:r>
        <w:rPr>
          <w:rFonts w:hint="eastAsia"/>
          <w:b/>
          <w:color w:val="auto"/>
          <w:sz w:val="22"/>
          <w:highlight w:val="none"/>
        </w:rPr>
        <w:t>％</w:t>
      </w:r>
      <w:r>
        <w:rPr>
          <w:rFonts w:hint="eastAsia"/>
          <w:color w:val="auto"/>
          <w:sz w:val="22"/>
          <w:highlight w:val="none"/>
        </w:rPr>
        <w:t>（</w:t>
      </w:r>
      <w:r>
        <w:rPr>
          <w:rFonts w:hint="eastAsia"/>
          <w:color w:val="auto"/>
          <w:sz w:val="22"/>
          <w:highlight w:val="none"/>
          <w:u w:val="single"/>
          <w:lang w:val="en-US"/>
        </w:rPr>
        <w:t xml:space="preserve">       </w:t>
      </w:r>
      <w:r>
        <w:rPr>
          <w:rFonts w:hint="eastAsia"/>
          <w:color w:val="auto"/>
          <w:sz w:val="22"/>
          <w:szCs w:val="22"/>
          <w:highlight w:val="none"/>
        </w:rPr>
        <w:t>元</w:t>
      </w:r>
      <w:r>
        <w:rPr>
          <w:rFonts w:hint="eastAsia"/>
          <w:color w:val="auto"/>
          <w:sz w:val="22"/>
          <w:highlight w:val="none"/>
        </w:rPr>
        <w:t>）</w:t>
      </w:r>
      <w:r>
        <w:rPr>
          <w:rFonts w:hint="eastAsia"/>
          <w:color w:val="auto"/>
          <w:sz w:val="22"/>
          <w:szCs w:val="22"/>
          <w:highlight w:val="none"/>
        </w:rPr>
        <w:t>作为本合同的履约保证金</w:t>
      </w:r>
      <w:r>
        <w:rPr>
          <w:rFonts w:hint="eastAsia"/>
          <w:color w:val="auto"/>
          <w:sz w:val="22"/>
          <w:highlight w:val="none"/>
        </w:rPr>
        <w:t>。</w:t>
      </w:r>
    </w:p>
    <w:p>
      <w:pPr>
        <w:pStyle w:val="62"/>
        <w:numPr>
          <w:ilvl w:val="0"/>
          <w:numId w:val="12"/>
        </w:numPr>
        <w:spacing w:before="3" w:line="360" w:lineRule="auto"/>
        <w:ind w:right="83"/>
        <w:rPr>
          <w:rFonts w:hint="eastAsia"/>
          <w:color w:val="auto"/>
          <w:sz w:val="22"/>
          <w:szCs w:val="22"/>
          <w:highlight w:val="none"/>
        </w:rPr>
      </w:pPr>
      <w:r>
        <w:rPr>
          <w:rFonts w:hint="eastAsia"/>
          <w:color w:val="auto"/>
          <w:sz w:val="22"/>
          <w:highlight w:val="none"/>
        </w:rPr>
        <w:t>履约保证金形式：电汇、网银、银行保函（</w:t>
      </w:r>
      <w:r>
        <w:rPr>
          <w:rFonts w:hint="eastAsia"/>
          <w:color w:val="auto"/>
          <w:sz w:val="22"/>
          <w:highlight w:val="none"/>
          <w:lang w:val="en-US"/>
        </w:rPr>
        <w:t>甲方</w:t>
      </w:r>
      <w:r>
        <w:rPr>
          <w:rFonts w:hint="eastAsia"/>
          <w:color w:val="auto"/>
          <w:sz w:val="22"/>
          <w:highlight w:val="none"/>
        </w:rPr>
        <w:t>认可的银行开具的保函）、保险保单等。</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转包或分包</w:t>
      </w:r>
    </w:p>
    <w:p>
      <w:pPr>
        <w:snapToGrid w:val="0"/>
        <w:spacing w:before="120" w:beforeLines="50" w:after="120" w:afterLines="50"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1.本合同范围的服务，应由乙方直接供应，不得转让他人供应；</w:t>
      </w:r>
    </w:p>
    <w:p>
      <w:pPr>
        <w:snapToGrid w:val="0"/>
        <w:spacing w:before="120" w:beforeLines="50" w:after="120" w:afterLines="50"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2.除非得到甲方的书面同意，乙方不得将本合同范围的服务全部或部分分包给他人供应；</w:t>
      </w:r>
    </w:p>
    <w:p>
      <w:pPr>
        <w:snapToGrid w:val="0"/>
        <w:spacing w:before="120" w:beforeLines="50" w:after="120" w:afterLines="50"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3.如有转让和未经甲方同意的分包行为，甲方有权解除合同，没收履约保证金并追究乙方的违约责任。</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合同履行时间、履行方式及履行地点</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 xml:space="preserve">1. </w:t>
      </w:r>
      <w:r>
        <w:rPr>
          <w:rFonts w:hint="eastAsia" w:hAnsi="宋体"/>
          <w:color w:val="auto"/>
          <w:sz w:val="22"/>
          <w:szCs w:val="22"/>
          <w:highlight w:val="none"/>
        </w:rPr>
        <w:t>履行时间</w:t>
      </w:r>
      <w:r>
        <w:rPr>
          <w:rFonts w:hint="eastAsia" w:hAnsi="宋体"/>
          <w:bCs/>
          <w:color w:val="auto"/>
          <w:sz w:val="22"/>
          <w:szCs w:val="22"/>
          <w:highlight w:val="none"/>
        </w:rPr>
        <w:t>：</w:t>
      </w:r>
      <w:r>
        <w:rPr>
          <w:rFonts w:hint="eastAsia" w:hAnsi="宋体"/>
          <w:color w:val="auto"/>
          <w:sz w:val="22"/>
          <w:szCs w:val="22"/>
          <w:highlight w:val="none"/>
        </w:rPr>
        <w:t>三年。</w:t>
      </w:r>
    </w:p>
    <w:p>
      <w:pPr>
        <w:pStyle w:val="13"/>
        <w:snapToGrid w:val="0"/>
        <w:spacing w:before="120" w:after="120"/>
        <w:rPr>
          <w:rFonts w:hAnsi="宋体"/>
          <w:bCs/>
          <w:color w:val="auto"/>
          <w:sz w:val="22"/>
          <w:szCs w:val="22"/>
          <w:highlight w:val="none"/>
        </w:rPr>
      </w:pPr>
      <w:r>
        <w:rPr>
          <w:rFonts w:hint="eastAsia" w:hAnsi="宋体"/>
          <w:bCs/>
          <w:color w:val="auto"/>
          <w:sz w:val="22"/>
          <w:szCs w:val="22"/>
          <w:highlight w:val="none"/>
        </w:rPr>
        <w:t xml:space="preserve">2. </w:t>
      </w:r>
      <w:r>
        <w:rPr>
          <w:rFonts w:hint="eastAsia" w:hAnsi="宋体"/>
          <w:color w:val="auto"/>
          <w:sz w:val="22"/>
          <w:szCs w:val="22"/>
          <w:highlight w:val="none"/>
        </w:rPr>
        <w:t>履行方式</w:t>
      </w:r>
      <w:r>
        <w:rPr>
          <w:rFonts w:hint="eastAsia" w:hAnsi="宋体"/>
          <w:bCs/>
          <w:color w:val="auto"/>
          <w:sz w:val="22"/>
          <w:szCs w:val="22"/>
          <w:highlight w:val="none"/>
        </w:rPr>
        <w:t>：现场履行。</w:t>
      </w:r>
    </w:p>
    <w:p>
      <w:pPr>
        <w:pStyle w:val="13"/>
        <w:snapToGrid w:val="0"/>
        <w:spacing w:before="120" w:after="120"/>
        <w:rPr>
          <w:rFonts w:hAnsi="宋体"/>
          <w:color w:val="auto"/>
          <w:sz w:val="22"/>
          <w:szCs w:val="22"/>
          <w:highlight w:val="none"/>
        </w:rPr>
      </w:pPr>
      <w:r>
        <w:rPr>
          <w:rFonts w:hint="eastAsia" w:hAnsi="宋体"/>
          <w:bCs/>
          <w:color w:val="auto"/>
          <w:sz w:val="22"/>
          <w:szCs w:val="22"/>
          <w:highlight w:val="none"/>
        </w:rPr>
        <w:t xml:space="preserve">3. </w:t>
      </w:r>
      <w:r>
        <w:rPr>
          <w:rFonts w:hint="eastAsia" w:hAnsi="宋体"/>
          <w:color w:val="auto"/>
          <w:sz w:val="22"/>
          <w:szCs w:val="22"/>
          <w:highlight w:val="none"/>
        </w:rPr>
        <w:t>履行地点</w:t>
      </w:r>
      <w:r>
        <w:rPr>
          <w:rFonts w:hint="eastAsia" w:hAnsi="宋体"/>
          <w:bCs/>
          <w:color w:val="auto"/>
          <w:sz w:val="22"/>
          <w:szCs w:val="22"/>
          <w:highlight w:val="none"/>
        </w:rPr>
        <w:t>：甲方指定地点。</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款项支付</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1.付款方式：本项目服务费根据甲方月度考核结果按季核拨。考核满分为100分，考核内容分为环境卫生保洁、绿化养护、管养、市容秩序辅助管理四个部分，每部分满分均为100分，各部分得分占考核分数比重为50%、10%、20%、20%。</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2.考核月得分在90分及以上的服务费全额发放；月得分在80分（含80分）—90分的服务费按每扣一分扣服务费1000元；月得分在75分（含75分）—80分的服务费按90%发放，月得分在75分以下的服务费按70%发放。每查实一次按扣分标准扣分，上不封顶。区级媒体负面曝光，领导通报批评，一次性扣2分并扣服务费15000元，市级及以上媒体负面曝光，领导通报批评，一次性扣5分并扣25000元，区级媒体正面报道，领导有批示的经验推广类的加2分，奖励10000元，市级媒体正面报道，领导有批示的经验推广类的加5分，奖励20000元。连续两个季度90分以上的增发当季度2%的应发服务费，连续三个季度90分以上的增发当季度3%的应发服务费，连续四个季度90分以上的增发当季度4%的应发服务费。按月结算，从季度拨付款中扣除。</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3.甲方采用定期不定期的方式，对乙方的服务进行检查、考核评议，评议监督考评的内容为乙方的投标承诺、管理指标、管理制度、工作制度等落实情况。</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4.本项目采用包干制。乙方根据有关法规与甲方签定服务管理合同，对本次服务实行管理，自主经营，自负盈亏。对合同服务项目实施服务管理所需的一切劳动力、材料、设备和服务均由乙方自行组织，由此产生的一切费用由乙方承担。</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5.合同期内（包含续签合同期内）服务费用不作调整。承包期内若有新增的服务工作及服务范围，原则上由甲方统一调配并以签证认可的联系单为准，价格不高于投标时的中标单价，产生的费用计入发生期间所对应的月份中。</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6.乙方不得将本项目非法分包或整体转包给任何单位和个人。否则，甲方有权即刻终止合同，并要求乙方赔偿相应损失。</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7.如遇道路施工等情况，道路施工期间内相应保洁养护费用从服务费中扣除不予拨付。</w:t>
      </w:r>
    </w:p>
    <w:p>
      <w:pPr>
        <w:pStyle w:val="13"/>
        <w:snapToGrid w:val="0"/>
        <w:spacing w:before="120" w:after="120"/>
        <w:rPr>
          <w:rFonts w:hint="eastAsia" w:hAnsi="宋体"/>
          <w:bCs/>
          <w:color w:val="auto"/>
          <w:sz w:val="22"/>
          <w:szCs w:val="22"/>
          <w:highlight w:val="none"/>
        </w:rPr>
      </w:pPr>
      <w:r>
        <w:rPr>
          <w:rFonts w:hint="eastAsia" w:hAnsi="宋体"/>
          <w:bCs/>
          <w:color w:val="auto"/>
          <w:sz w:val="22"/>
          <w:szCs w:val="22"/>
          <w:highlight w:val="none"/>
        </w:rPr>
        <w:t>8.若乙方违约导致合同终止，甲方需按承包总经费15%向采购人支付违约金，违约金不足弥补给甲方造成的损失的，甲方有权向乙方提出赔偿要求。</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税费</w:t>
      </w:r>
    </w:p>
    <w:p>
      <w:pPr>
        <w:snapToGrid w:val="0"/>
        <w:spacing w:before="120" w:beforeLines="50" w:after="120" w:afterLines="50"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本合同执行中相关的一切税费均由乙方负担。</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质量保证及后续服务</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1．乙方应按招标文件规定向甲方提供服务。</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2．乙方提供的服务成果在服务质量保证期内发生故障，乙方应负责免费提供后续服务。对达不到要求者，根据实际情况，经双方协商，可按以下办法处理：</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⑴重做：由乙方承担所发生的全部费用。</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⑵贬值处理：由甲乙双方合议定价。</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⑶解除合同。</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3．如在使用过程中发生问题，乙方在接到招标方通知后在△小时内到达甲方现场。</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4．在</w:t>
      </w:r>
      <w:r>
        <w:rPr>
          <w:rFonts w:hint="eastAsia" w:hAnsi="宋体"/>
          <w:b/>
          <w:color w:val="auto"/>
          <w:sz w:val="22"/>
          <w:szCs w:val="22"/>
          <w:highlight w:val="none"/>
        </w:rPr>
        <w:t>服务期</w:t>
      </w:r>
      <w:r>
        <w:rPr>
          <w:rFonts w:hint="eastAsia" w:hAnsi="宋体"/>
          <w:color w:val="auto"/>
          <w:sz w:val="22"/>
          <w:szCs w:val="22"/>
          <w:highlight w:val="none"/>
        </w:rPr>
        <w:t>内，乙方应对出现的质量及安全问题负责处理解决并承担一切费用。</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违约责任</w:t>
      </w:r>
    </w:p>
    <w:p>
      <w:pPr>
        <w:pStyle w:val="13"/>
        <w:snapToGrid w:val="0"/>
        <w:spacing w:before="120" w:after="120"/>
        <w:ind w:left="376" w:hanging="376" w:hangingChars="171"/>
        <w:rPr>
          <w:rFonts w:hint="eastAsia" w:hAnsi="宋体"/>
          <w:color w:val="auto"/>
          <w:sz w:val="22"/>
          <w:szCs w:val="22"/>
          <w:highlight w:val="none"/>
        </w:rPr>
      </w:pPr>
      <w:r>
        <w:rPr>
          <w:rFonts w:hint="eastAsia" w:hAnsi="宋体"/>
          <w:color w:val="auto"/>
          <w:sz w:val="22"/>
          <w:szCs w:val="22"/>
          <w:highlight w:val="none"/>
        </w:rPr>
        <w:t>1．甲方无正当理由拒收接受服务的，甲方向乙方偿付合同款项百分之五作为违约金。</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2．甲方无故逾期验收和办理款项支付手续的,甲方应按逾期付款总额每日万分之五向乙方支付违约金。</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不可抗力事件处理</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1．在合同有效期内，任何一方因不可抗力事件导致不能履行合同，则合同履行期可延长，其延长期与不可抗力影响期相同。</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2．不可抗力事件发生后，应立即通知对方，并寄送有关权威机构出具的证明。</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3．不可抗力事件延续120天以上，双方应通过友好协商，确定是否继续履行合同。</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诉讼</w:t>
      </w:r>
    </w:p>
    <w:p>
      <w:pPr>
        <w:pStyle w:val="13"/>
        <w:snapToGrid w:val="0"/>
        <w:spacing w:before="120" w:after="120"/>
        <w:ind w:firstLine="440" w:firstLineChars="200"/>
        <w:rPr>
          <w:rFonts w:hint="eastAsia" w:hAnsi="宋体"/>
          <w:color w:val="auto"/>
          <w:sz w:val="22"/>
          <w:szCs w:val="22"/>
          <w:highlight w:val="none"/>
        </w:rPr>
      </w:pPr>
      <w:r>
        <w:rPr>
          <w:rFonts w:hint="eastAsia" w:hAnsi="宋体"/>
          <w:color w:val="auto"/>
          <w:sz w:val="22"/>
          <w:szCs w:val="22"/>
          <w:highlight w:val="none"/>
        </w:rPr>
        <w:t>双方在执行合同中所发生的一切争议，应通过协商解决。如协商不成，可向甲方所在地法院起诉。</w:t>
      </w:r>
    </w:p>
    <w:p>
      <w:pPr>
        <w:pStyle w:val="13"/>
        <w:numPr>
          <w:ilvl w:val="0"/>
          <w:numId w:val="11"/>
        </w:numPr>
        <w:snapToGrid w:val="0"/>
        <w:spacing w:before="120" w:after="120"/>
        <w:rPr>
          <w:rFonts w:hint="eastAsia" w:hAnsi="宋体"/>
          <w:b/>
          <w:color w:val="auto"/>
          <w:sz w:val="22"/>
          <w:szCs w:val="22"/>
          <w:highlight w:val="none"/>
        </w:rPr>
      </w:pPr>
      <w:r>
        <w:rPr>
          <w:rFonts w:hint="eastAsia" w:hAnsi="宋体"/>
          <w:b/>
          <w:color w:val="auto"/>
          <w:sz w:val="22"/>
          <w:szCs w:val="22"/>
          <w:highlight w:val="none"/>
        </w:rPr>
        <w:t>合同生效及其它</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1．合同经双方法定代表人或授权代表签字并加盖单位公章后生效。</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2．合同执行中涉及采购资金和采购内容修改或补充的，须经财政部门审批，并签书面补充协议报政府采购监督管理部门备案，方可作为主合同不可分割的一部分。</w:t>
      </w:r>
    </w:p>
    <w:p>
      <w:pPr>
        <w:pStyle w:val="13"/>
        <w:snapToGrid w:val="0"/>
        <w:spacing w:before="120" w:after="120"/>
        <w:ind w:left="440" w:hanging="440" w:hangingChars="200"/>
        <w:rPr>
          <w:rFonts w:hint="eastAsia" w:hAnsi="宋体"/>
          <w:color w:val="auto"/>
          <w:sz w:val="22"/>
          <w:szCs w:val="22"/>
          <w:highlight w:val="none"/>
        </w:rPr>
      </w:pPr>
      <w:r>
        <w:rPr>
          <w:rFonts w:hint="eastAsia" w:hAnsi="宋体"/>
          <w:color w:val="auto"/>
          <w:sz w:val="22"/>
          <w:szCs w:val="22"/>
          <w:highlight w:val="none"/>
        </w:rPr>
        <w:t>3．本合同未尽事宜，遵照《民法典》有关条文执行。</w:t>
      </w:r>
    </w:p>
    <w:p>
      <w:pPr>
        <w:pStyle w:val="13"/>
        <w:snapToGrid w:val="0"/>
        <w:spacing w:before="120" w:after="120"/>
        <w:ind w:left="440" w:hanging="440" w:hangingChars="200"/>
        <w:rPr>
          <w:rFonts w:hint="eastAsia" w:hAnsi="宋体"/>
          <w:color w:val="auto"/>
          <w:sz w:val="22"/>
          <w:szCs w:val="22"/>
          <w:highlight w:val="none"/>
        </w:rPr>
      </w:pPr>
      <w:r>
        <w:rPr>
          <w:rFonts w:hint="eastAsia" w:hAnsi="宋体"/>
          <w:color w:val="auto"/>
          <w:sz w:val="22"/>
          <w:szCs w:val="22"/>
          <w:highlight w:val="none"/>
        </w:rPr>
        <w:t>4．本合同正本一式两份，具有同等法律效力，甲乙双方各执一份；副本</w:t>
      </w:r>
      <w:r>
        <w:rPr>
          <w:rFonts w:hint="eastAsia" w:hAnsi="宋体"/>
          <w:b/>
          <w:color w:val="auto"/>
          <w:sz w:val="22"/>
          <w:szCs w:val="22"/>
          <w:highlight w:val="none"/>
          <w:u w:val="single"/>
        </w:rPr>
        <w:t xml:space="preserve">    </w:t>
      </w:r>
      <w:r>
        <w:rPr>
          <w:rFonts w:hint="eastAsia" w:hAnsi="宋体"/>
          <w:color w:val="auto"/>
          <w:sz w:val="22"/>
          <w:szCs w:val="22"/>
          <w:highlight w:val="none"/>
        </w:rPr>
        <w:t>份，(用途)。</w:t>
      </w:r>
    </w:p>
    <w:p>
      <w:pPr>
        <w:pStyle w:val="13"/>
        <w:snapToGrid w:val="0"/>
        <w:spacing w:before="120" w:after="120"/>
        <w:ind w:left="440" w:hanging="440" w:hangingChars="200"/>
        <w:rPr>
          <w:rFonts w:hint="eastAsia" w:hAnsi="宋体"/>
          <w:color w:val="auto"/>
          <w:sz w:val="22"/>
          <w:szCs w:val="22"/>
          <w:highlight w:val="none"/>
        </w:rPr>
      </w:pPr>
      <w:r>
        <w:rPr>
          <w:rFonts w:hint="eastAsia" w:hAnsi="宋体"/>
          <w:color w:val="auto"/>
          <w:sz w:val="22"/>
          <w:szCs w:val="22"/>
          <w:highlight w:val="none"/>
        </w:rPr>
        <w:t xml:space="preserve">  甲方：                                     乙方： </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 xml:space="preserve">  地址：                                     地址： </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 xml:space="preserve">  法定（授权）代表人：                       法定（授权）代表人：</w:t>
      </w:r>
    </w:p>
    <w:p>
      <w:pPr>
        <w:pStyle w:val="13"/>
        <w:snapToGrid w:val="0"/>
        <w:spacing w:before="120" w:after="120"/>
        <w:rPr>
          <w:rFonts w:hint="eastAsia" w:hAnsi="宋体"/>
          <w:color w:val="auto"/>
          <w:sz w:val="22"/>
          <w:szCs w:val="22"/>
          <w:highlight w:val="none"/>
        </w:rPr>
      </w:pPr>
      <w:r>
        <w:rPr>
          <w:rFonts w:hint="eastAsia" w:hAnsi="宋体"/>
          <w:color w:val="auto"/>
          <w:sz w:val="22"/>
          <w:szCs w:val="22"/>
          <w:highlight w:val="none"/>
        </w:rPr>
        <w:t xml:space="preserve">  签字日期：      年  月  日                 签字日期：      年  月  日</w:t>
      </w:r>
    </w:p>
    <w:p>
      <w:pPr>
        <w:pStyle w:val="13"/>
        <w:snapToGrid w:val="0"/>
        <w:spacing w:before="120" w:after="120"/>
        <w:rPr>
          <w:rFonts w:hint="eastAsia" w:ascii="Times New Roman" w:hAnsi="Times New Roman"/>
          <w:color w:val="auto"/>
          <w:sz w:val="18"/>
          <w:szCs w:val="18"/>
          <w:highlight w:val="none"/>
        </w:rPr>
      </w:pPr>
    </w:p>
    <w:p>
      <w:pPr>
        <w:ind w:right="-617" w:rightChars="-294"/>
        <w:jc w:val="center"/>
        <w:rPr>
          <w:rFonts w:hint="eastAsia" w:ascii="宋体" w:hAnsi="宋体"/>
          <w:iCs/>
          <w:color w:val="auto"/>
          <w:highlight w:val="none"/>
        </w:rPr>
      </w:pPr>
      <w:r>
        <w:rPr>
          <w:rFonts w:hint="eastAsia" w:ascii="黑体" w:hAnsi="宋体" w:eastAsia="黑体"/>
          <w:color w:val="auto"/>
          <w:sz w:val="30"/>
          <w:szCs w:val="30"/>
          <w:highlight w:val="none"/>
        </w:rPr>
        <w:br w:type="page"/>
      </w:r>
      <w:r>
        <w:rPr>
          <w:rFonts w:hint="eastAsia" w:ascii="黑体" w:hAnsi="宋体" w:eastAsia="黑体"/>
          <w:color w:val="auto"/>
          <w:sz w:val="30"/>
          <w:szCs w:val="30"/>
          <w:highlight w:val="none"/>
        </w:rPr>
        <w:t>第六章　投标文件格式</w:t>
      </w:r>
    </w:p>
    <w:p>
      <w:pPr>
        <w:snapToGrid w:val="0"/>
        <w:spacing w:before="50" w:after="50" w:line="440" w:lineRule="exact"/>
        <w:outlineLvl w:val="1"/>
        <w:rPr>
          <w:rFonts w:ascii="宋体" w:hAnsi="宋体"/>
          <w:color w:val="auto"/>
          <w:sz w:val="32"/>
          <w:szCs w:val="20"/>
          <w:highlight w:val="none"/>
        </w:rPr>
      </w:pPr>
    </w:p>
    <w:p>
      <w:pPr>
        <w:snapToGrid w:val="0"/>
        <w:spacing w:before="120" w:beforeLines="50" w:after="50" w:line="440" w:lineRule="exact"/>
        <w:jc w:val="center"/>
        <w:outlineLvl w:val="1"/>
        <w:rPr>
          <w:rFonts w:hint="eastAsia" w:ascii="宋体" w:hAnsi="宋体"/>
          <w:b/>
          <w:bCs/>
          <w:color w:val="auto"/>
          <w:sz w:val="24"/>
          <w:szCs w:val="20"/>
          <w:highlight w:val="none"/>
        </w:rPr>
      </w:pPr>
      <w:r>
        <w:rPr>
          <w:rFonts w:hint="eastAsia" w:ascii="宋体" w:hAnsi="宋体"/>
          <w:b/>
          <w:bCs/>
          <w:color w:val="auto"/>
          <w:sz w:val="24"/>
          <w:highlight w:val="none"/>
        </w:rPr>
        <w:t>一、投标文件外层包装封面格式</w:t>
      </w:r>
    </w:p>
    <w:p>
      <w:pPr>
        <w:snapToGrid w:val="0"/>
        <w:spacing w:before="120" w:beforeLines="50" w:after="50" w:line="440" w:lineRule="exact"/>
        <w:jc w:val="center"/>
        <w:rPr>
          <w:rFonts w:hint="eastAsia" w:ascii="宋体" w:hAnsi="宋体"/>
          <w:color w:val="auto"/>
          <w:highlight w:val="none"/>
        </w:rPr>
      </w:pPr>
    </w:p>
    <w:p>
      <w:pPr>
        <w:snapToGrid w:val="0"/>
        <w:spacing w:before="120" w:beforeLines="50" w:after="50" w:line="44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     投</w:t>
      </w:r>
      <w:r>
        <w:rPr>
          <w:rFonts w:ascii="宋体" w:hAnsi="宋体"/>
          <w:b/>
          <w:bCs/>
          <w:color w:val="auto"/>
          <w:sz w:val="32"/>
          <w:szCs w:val="32"/>
          <w:highlight w:val="none"/>
        </w:rPr>
        <w:t xml:space="preserve"> </w:t>
      </w:r>
      <w:r>
        <w:rPr>
          <w:rFonts w:hint="eastAsia" w:ascii="宋体" w:hAnsi="宋体"/>
          <w:b/>
          <w:bCs/>
          <w:color w:val="auto"/>
          <w:sz w:val="32"/>
          <w:szCs w:val="32"/>
          <w:highlight w:val="none"/>
        </w:rPr>
        <w:t>标</w:t>
      </w:r>
      <w:r>
        <w:rPr>
          <w:rFonts w:ascii="宋体" w:hAnsi="宋体"/>
          <w:b/>
          <w:bCs/>
          <w:color w:val="auto"/>
          <w:sz w:val="32"/>
          <w:szCs w:val="32"/>
          <w:highlight w:val="none"/>
        </w:rPr>
        <w:t xml:space="preserve"> </w:t>
      </w:r>
      <w:r>
        <w:rPr>
          <w:rFonts w:hint="eastAsia" w:ascii="宋体" w:hAnsi="宋体"/>
          <w:b/>
          <w:bCs/>
          <w:color w:val="auto"/>
          <w:sz w:val="32"/>
          <w:szCs w:val="32"/>
          <w:highlight w:val="none"/>
        </w:rPr>
        <w:t>文</w:t>
      </w:r>
      <w:r>
        <w:rPr>
          <w:rFonts w:ascii="宋体" w:hAnsi="宋体"/>
          <w:b/>
          <w:bCs/>
          <w:color w:val="auto"/>
          <w:sz w:val="32"/>
          <w:szCs w:val="32"/>
          <w:highlight w:val="none"/>
        </w:rPr>
        <w:t xml:space="preserve"> </w:t>
      </w:r>
      <w:r>
        <w:rPr>
          <w:rFonts w:hint="eastAsia" w:ascii="宋体" w:hAnsi="宋体"/>
          <w:b/>
          <w:bCs/>
          <w:color w:val="auto"/>
          <w:sz w:val="32"/>
          <w:szCs w:val="32"/>
          <w:highlight w:val="none"/>
        </w:rPr>
        <w:t xml:space="preserve">件        </w:t>
      </w:r>
    </w:p>
    <w:p>
      <w:pPr>
        <w:snapToGrid w:val="0"/>
        <w:spacing w:before="120" w:beforeLines="50" w:after="50" w:line="440" w:lineRule="exact"/>
        <w:rPr>
          <w:rFonts w:ascii="宋体" w:hAnsi="宋体"/>
          <w:bCs/>
          <w:color w:val="auto"/>
          <w:highlight w:val="none"/>
        </w:rPr>
      </w:pPr>
    </w:p>
    <w:p>
      <w:pPr>
        <w:snapToGrid w:val="0"/>
        <w:spacing w:before="120" w:beforeLines="50" w:after="50" w:line="440" w:lineRule="exact"/>
        <w:ind w:firstLine="932" w:firstLineChars="444"/>
        <w:rPr>
          <w:rFonts w:ascii="宋体" w:hAnsi="宋体"/>
          <w:bCs/>
          <w:color w:val="auto"/>
          <w:highlight w:val="none"/>
        </w:rPr>
      </w:pPr>
      <w:r>
        <w:rPr>
          <w:rFonts w:hint="eastAsia" w:ascii="宋体" w:hAnsi="宋体"/>
          <w:bCs/>
          <w:color w:val="auto"/>
          <w:highlight w:val="none"/>
        </w:rPr>
        <w:t>项目名称：</w:t>
      </w:r>
      <w:r>
        <w:rPr>
          <w:rFonts w:ascii="宋体" w:hAnsi="宋体"/>
          <w:bCs/>
          <w:color w:val="auto"/>
          <w:highlight w:val="none"/>
        </w:rPr>
        <w:t xml:space="preserve"> </w:t>
      </w:r>
    </w:p>
    <w:p>
      <w:pPr>
        <w:snapToGrid w:val="0"/>
        <w:spacing w:before="120" w:beforeLines="50" w:after="50" w:line="440" w:lineRule="exact"/>
        <w:ind w:firstLine="932" w:firstLineChars="444"/>
        <w:rPr>
          <w:rFonts w:ascii="宋体" w:hAnsi="宋体"/>
          <w:bCs/>
          <w:color w:val="auto"/>
          <w:highlight w:val="none"/>
        </w:rPr>
      </w:pPr>
      <w:r>
        <w:rPr>
          <w:rFonts w:hint="eastAsia" w:ascii="宋体" w:hAnsi="宋体"/>
          <w:bCs/>
          <w:color w:val="auto"/>
          <w:highlight w:val="none"/>
        </w:rPr>
        <w:t>项目编号：</w:t>
      </w:r>
      <w:r>
        <w:rPr>
          <w:rFonts w:ascii="宋体" w:hAnsi="宋体"/>
          <w:bCs/>
          <w:color w:val="auto"/>
          <w:highlight w:val="none"/>
        </w:rPr>
        <w:t xml:space="preserve"> </w:t>
      </w:r>
    </w:p>
    <w:p>
      <w:pPr>
        <w:snapToGrid w:val="0"/>
        <w:spacing w:before="120" w:beforeLines="50" w:after="50" w:line="440" w:lineRule="exact"/>
        <w:ind w:firstLine="932" w:firstLineChars="444"/>
        <w:rPr>
          <w:rFonts w:hint="eastAsia" w:ascii="宋体" w:hAnsi="宋体"/>
          <w:bCs/>
          <w:color w:val="auto"/>
          <w:highlight w:val="none"/>
        </w:rPr>
      </w:pPr>
      <w:r>
        <w:rPr>
          <w:rFonts w:hint="eastAsia" w:ascii="宋体" w:hAnsi="宋体"/>
          <w:bCs/>
          <w:color w:val="auto"/>
          <w:highlight w:val="none"/>
        </w:rPr>
        <w:t xml:space="preserve">标项号： </w:t>
      </w:r>
    </w:p>
    <w:p>
      <w:pPr>
        <w:snapToGrid w:val="0"/>
        <w:spacing w:before="120" w:beforeLines="50" w:after="50" w:line="440" w:lineRule="exact"/>
        <w:ind w:firstLine="932" w:firstLineChars="444"/>
        <w:rPr>
          <w:rFonts w:ascii="宋体" w:hAnsi="宋体"/>
          <w:bCs/>
          <w:color w:val="auto"/>
          <w:highlight w:val="none"/>
        </w:rPr>
      </w:pPr>
      <w:r>
        <w:rPr>
          <w:rFonts w:hint="eastAsia" w:ascii="宋体" w:hAnsi="宋体"/>
          <w:bCs/>
          <w:color w:val="auto"/>
          <w:highlight w:val="none"/>
        </w:rPr>
        <w:t>投标文件名称：电子备份投标文件</w:t>
      </w:r>
    </w:p>
    <w:p>
      <w:pPr>
        <w:pStyle w:val="5"/>
        <w:snapToGrid w:val="0"/>
        <w:spacing w:before="50" w:after="50" w:line="440" w:lineRule="exact"/>
        <w:ind w:firstLine="932" w:firstLineChars="444"/>
        <w:rPr>
          <w:rFonts w:hint="eastAsia" w:ascii="宋体" w:hAnsi="宋体"/>
          <w:bCs/>
          <w:color w:val="auto"/>
          <w:highlight w:val="none"/>
        </w:rPr>
      </w:pPr>
    </w:p>
    <w:p>
      <w:pPr>
        <w:pStyle w:val="5"/>
        <w:snapToGrid w:val="0"/>
        <w:spacing w:before="50" w:after="50" w:line="440" w:lineRule="exact"/>
        <w:ind w:firstLine="932" w:firstLineChars="444"/>
        <w:rPr>
          <w:rFonts w:ascii="宋体" w:hAnsi="宋体"/>
          <w:bCs/>
          <w:color w:val="auto"/>
          <w:highlight w:val="none"/>
        </w:rPr>
      </w:pPr>
      <w:r>
        <w:rPr>
          <w:rFonts w:hint="eastAsia" w:ascii="宋体" w:hAnsi="宋体"/>
          <w:bCs/>
          <w:color w:val="auto"/>
          <w:highlight w:val="none"/>
        </w:rPr>
        <w:t>投标人名称：</w:t>
      </w:r>
    </w:p>
    <w:p>
      <w:pPr>
        <w:pStyle w:val="5"/>
        <w:snapToGrid w:val="0"/>
        <w:spacing w:before="50" w:after="50" w:line="440" w:lineRule="exact"/>
        <w:ind w:firstLine="932" w:firstLineChars="444"/>
        <w:rPr>
          <w:rFonts w:ascii="宋体" w:hAnsi="宋体"/>
          <w:bCs/>
          <w:color w:val="auto"/>
          <w:highlight w:val="none"/>
        </w:rPr>
      </w:pPr>
      <w:r>
        <w:rPr>
          <w:rFonts w:hint="eastAsia" w:ascii="宋体" w:hAnsi="宋体"/>
          <w:bCs/>
          <w:color w:val="auto"/>
          <w:highlight w:val="none"/>
        </w:rPr>
        <w:t>投标人地址：</w:t>
      </w:r>
    </w:p>
    <w:p>
      <w:pPr>
        <w:pStyle w:val="5"/>
        <w:snapToGrid w:val="0"/>
        <w:spacing w:before="50" w:after="50" w:line="440" w:lineRule="exact"/>
        <w:ind w:firstLine="932" w:firstLineChars="444"/>
        <w:jc w:val="center"/>
        <w:rPr>
          <w:rFonts w:hint="eastAsia" w:ascii="宋体" w:hAnsi="宋体"/>
          <w:bCs/>
          <w:color w:val="auto"/>
          <w:highlight w:val="none"/>
        </w:rPr>
      </w:pPr>
    </w:p>
    <w:p>
      <w:pPr>
        <w:pStyle w:val="5"/>
        <w:snapToGrid w:val="0"/>
        <w:spacing w:before="50" w:after="50" w:line="440" w:lineRule="exact"/>
        <w:ind w:firstLine="932" w:firstLineChars="444"/>
        <w:jc w:val="center"/>
        <w:rPr>
          <w:rFonts w:ascii="宋体" w:hAnsi="宋体"/>
          <w:bCs/>
          <w:color w:val="auto"/>
          <w:highlight w:val="none"/>
        </w:rPr>
      </w:pPr>
      <w:r>
        <w:rPr>
          <w:rFonts w:hint="eastAsia" w:ascii="宋体" w:hAnsi="宋体"/>
          <w:bCs/>
          <w:color w:val="auto"/>
          <w:highlight w:val="none"/>
        </w:rPr>
        <w:t>开标时启封</w:t>
      </w:r>
    </w:p>
    <w:p>
      <w:pPr>
        <w:snapToGrid w:val="0"/>
        <w:spacing w:before="120" w:beforeLines="50" w:after="50" w:line="440" w:lineRule="exact"/>
        <w:ind w:firstLine="3570" w:firstLineChars="1700"/>
        <w:rPr>
          <w:rFonts w:ascii="宋体" w:hAnsi="宋体"/>
          <w:bCs/>
          <w:color w:val="auto"/>
          <w:highlight w:val="none"/>
        </w:rPr>
      </w:pPr>
    </w:p>
    <w:p>
      <w:pPr>
        <w:pStyle w:val="5"/>
        <w:snapToGrid w:val="0"/>
        <w:spacing w:before="50" w:after="50" w:line="440" w:lineRule="exact"/>
        <w:ind w:firstLine="840" w:firstLineChars="400"/>
        <w:rPr>
          <w:rFonts w:ascii="宋体" w:hAnsi="宋体"/>
          <w:bCs/>
          <w:color w:val="auto"/>
          <w:highlight w:val="none"/>
        </w:rPr>
      </w:pPr>
      <w:r>
        <w:rPr>
          <w:rFonts w:ascii="宋体" w:hAnsi="宋体"/>
          <w:bCs/>
          <w:color w:val="auto"/>
          <w:highlight w:val="none"/>
        </w:rPr>
        <w:t xml:space="preserve">                      </w:t>
      </w:r>
    </w:p>
    <w:p>
      <w:pPr>
        <w:pStyle w:val="5"/>
        <w:snapToGrid w:val="0"/>
        <w:spacing w:before="50" w:after="50" w:line="440" w:lineRule="exact"/>
        <w:ind w:firstLine="873" w:firstLineChars="416"/>
        <w:rPr>
          <w:rFonts w:ascii="宋体" w:hAnsi="宋体"/>
          <w:color w:val="auto"/>
          <w:highlight w:val="none"/>
        </w:rPr>
      </w:pPr>
    </w:p>
    <w:p>
      <w:pPr>
        <w:snapToGrid w:val="0"/>
        <w:spacing w:before="120" w:beforeLines="50" w:after="50" w:line="440" w:lineRule="exact"/>
        <w:ind w:firstLine="645"/>
        <w:jc w:val="center"/>
        <w:rPr>
          <w:rFonts w:hint="eastAsia"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投标单位全称（公章）</w:t>
      </w:r>
    </w:p>
    <w:p>
      <w:pPr>
        <w:snapToGrid w:val="0"/>
        <w:spacing w:before="120" w:beforeLines="50" w:after="50" w:line="440" w:lineRule="exact"/>
        <w:ind w:firstLine="645"/>
        <w:jc w:val="cente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napToGrid w:val="0"/>
        <w:spacing w:before="120" w:beforeLines="50" w:after="50"/>
        <w:jc w:val="center"/>
        <w:rPr>
          <w:rFonts w:hint="eastAsia" w:ascii="宋体" w:hAnsi="宋体"/>
          <w:color w:val="auto"/>
          <w:sz w:val="24"/>
          <w:highlight w:val="none"/>
        </w:rPr>
      </w:pPr>
      <w:r>
        <w:rPr>
          <w:color w:val="auto"/>
          <w:highlight w:val="none"/>
        </w:rPr>
        <w:br w:type="page"/>
      </w:r>
      <w:r>
        <w:rPr>
          <w:rFonts w:hint="eastAsia"/>
          <w:color w:val="auto"/>
          <w:sz w:val="24"/>
          <w:highlight w:val="none"/>
        </w:rPr>
        <w:t>二</w:t>
      </w:r>
      <w:r>
        <w:rPr>
          <w:rFonts w:hint="eastAsia"/>
          <w:b/>
          <w:color w:val="auto"/>
          <w:sz w:val="24"/>
          <w:highlight w:val="none"/>
        </w:rPr>
        <w:t>、投标文件封面格式</w:t>
      </w:r>
    </w:p>
    <w:p>
      <w:pPr>
        <w:spacing w:line="300" w:lineRule="auto"/>
        <w:ind w:right="240"/>
        <w:jc w:val="right"/>
        <w:rPr>
          <w:rFonts w:hint="eastAsia" w:ascii="宋体" w:hAnsi="宋体"/>
          <w:color w:val="auto"/>
          <w:sz w:val="24"/>
          <w:highlight w:val="none"/>
        </w:rPr>
      </w:pPr>
      <w:r>
        <w:rPr>
          <w:rFonts w:hint="eastAsia" w:ascii="宋体" w:hAnsi="宋体"/>
          <w:b/>
          <w:bCs/>
          <w:color w:val="auto"/>
          <w:sz w:val="24"/>
          <w:highlight w:val="none"/>
        </w:rPr>
        <w:t>正本/或副本</w:t>
      </w:r>
    </w:p>
    <w:p>
      <w:pPr>
        <w:spacing w:line="300" w:lineRule="auto"/>
        <w:jc w:val="center"/>
        <w:rPr>
          <w:rFonts w:hint="eastAsia" w:ascii="宋体" w:hAnsi="宋体"/>
          <w:color w:val="auto"/>
          <w:highlight w:val="none"/>
        </w:rPr>
      </w:pPr>
    </w:p>
    <w:p>
      <w:pPr>
        <w:spacing w:line="300" w:lineRule="auto"/>
        <w:ind w:firstLine="2951" w:firstLineChars="1050"/>
        <w:rPr>
          <w:rFonts w:hint="eastAsia" w:ascii="宋体" w:hAnsi="宋体"/>
          <w:b/>
          <w:bCs/>
          <w:color w:val="auto"/>
          <w:sz w:val="28"/>
          <w:szCs w:val="28"/>
          <w:highlight w:val="none"/>
        </w:rPr>
      </w:pPr>
    </w:p>
    <w:p>
      <w:pPr>
        <w:spacing w:line="300" w:lineRule="auto"/>
        <w:ind w:firstLine="2249" w:firstLineChars="800"/>
        <w:rPr>
          <w:rFonts w:hint="eastAsia" w:ascii="宋体" w:hAnsi="宋体"/>
          <w:b/>
          <w:color w:val="auto"/>
          <w:sz w:val="28"/>
          <w:szCs w:val="28"/>
          <w:highlight w:val="none"/>
        </w:rPr>
      </w:pPr>
      <w:r>
        <w:rPr>
          <w:rFonts w:hint="eastAsia" w:ascii="宋体" w:hAnsi="宋体"/>
          <w:b/>
          <w:bCs/>
          <w:color w:val="auto"/>
          <w:sz w:val="28"/>
          <w:szCs w:val="28"/>
          <w:highlight w:val="none"/>
        </w:rPr>
        <w:t>资格审查文件/报价文件/技术商务文件</w:t>
      </w:r>
    </w:p>
    <w:p>
      <w:pPr>
        <w:spacing w:line="300" w:lineRule="auto"/>
        <w:ind w:firstLine="1260" w:firstLineChars="600"/>
        <w:rPr>
          <w:rFonts w:hint="eastAsia" w:ascii="宋体" w:hAnsi="宋体"/>
          <w:color w:val="auto"/>
          <w:highlight w:val="none"/>
        </w:rPr>
      </w:pPr>
    </w:p>
    <w:p>
      <w:pPr>
        <w:spacing w:line="300" w:lineRule="auto"/>
        <w:ind w:firstLine="1260" w:firstLineChars="600"/>
        <w:rPr>
          <w:rFonts w:hint="eastAsia" w:ascii="宋体" w:hAnsi="宋体"/>
          <w:color w:val="auto"/>
          <w:highlight w:val="none"/>
        </w:rPr>
      </w:pPr>
      <w:r>
        <w:rPr>
          <w:rFonts w:hint="eastAsia" w:ascii="宋体" w:hAnsi="宋体"/>
          <w:color w:val="auto"/>
          <w:highlight w:val="none"/>
        </w:rPr>
        <w:t>项目名称：</w:t>
      </w:r>
    </w:p>
    <w:p>
      <w:pPr>
        <w:pStyle w:val="10"/>
        <w:rPr>
          <w:rFonts w:hint="eastAsia"/>
          <w:color w:val="auto"/>
          <w:highlight w:val="none"/>
        </w:rPr>
      </w:pPr>
    </w:p>
    <w:p>
      <w:pPr>
        <w:spacing w:line="300" w:lineRule="auto"/>
        <w:ind w:firstLine="1260" w:firstLineChars="600"/>
        <w:rPr>
          <w:rFonts w:hint="eastAsia" w:ascii="宋体" w:hAnsi="宋体"/>
          <w:color w:val="auto"/>
          <w:highlight w:val="none"/>
        </w:rPr>
      </w:pPr>
    </w:p>
    <w:p>
      <w:pPr>
        <w:spacing w:line="300" w:lineRule="auto"/>
        <w:ind w:firstLine="1260" w:firstLineChars="600"/>
        <w:rPr>
          <w:rFonts w:hint="eastAsia" w:ascii="宋体" w:hAnsi="宋体"/>
          <w:color w:val="auto"/>
          <w:highlight w:val="none"/>
        </w:rPr>
      </w:pPr>
      <w:r>
        <w:rPr>
          <w:rFonts w:hint="eastAsia" w:ascii="宋体" w:hAnsi="宋体"/>
          <w:color w:val="auto"/>
          <w:highlight w:val="none"/>
        </w:rPr>
        <w:t>项目编号：</w:t>
      </w:r>
    </w:p>
    <w:p>
      <w:pPr>
        <w:pStyle w:val="10"/>
        <w:rPr>
          <w:rFonts w:hint="eastAsia"/>
          <w:color w:val="auto"/>
          <w:highlight w:val="none"/>
        </w:rPr>
      </w:pPr>
    </w:p>
    <w:p>
      <w:pPr>
        <w:snapToGrid w:val="0"/>
        <w:spacing w:before="120" w:beforeLines="50" w:after="50" w:line="440" w:lineRule="exact"/>
        <w:ind w:firstLine="1241" w:firstLineChars="591"/>
        <w:rPr>
          <w:rFonts w:hint="eastAsia" w:ascii="宋体" w:hAnsi="宋体"/>
          <w:bCs/>
          <w:color w:val="auto"/>
          <w:highlight w:val="none"/>
        </w:rPr>
      </w:pPr>
      <w:r>
        <w:rPr>
          <w:rFonts w:hint="eastAsia" w:ascii="宋体" w:hAnsi="宋体"/>
          <w:bCs/>
          <w:color w:val="auto"/>
          <w:highlight w:val="none"/>
        </w:rPr>
        <w:t xml:space="preserve">标项号： </w:t>
      </w:r>
    </w:p>
    <w:p>
      <w:pPr>
        <w:pStyle w:val="5"/>
        <w:snapToGrid w:val="0"/>
        <w:spacing w:before="50" w:after="50" w:line="440" w:lineRule="exact"/>
        <w:ind w:firstLine="1241" w:firstLineChars="591"/>
        <w:rPr>
          <w:rFonts w:hint="eastAsia" w:ascii="宋体" w:hAnsi="宋体"/>
          <w:bCs/>
          <w:color w:val="auto"/>
          <w:highlight w:val="none"/>
        </w:rPr>
      </w:pPr>
    </w:p>
    <w:p>
      <w:pPr>
        <w:pStyle w:val="5"/>
        <w:snapToGrid w:val="0"/>
        <w:spacing w:before="50" w:after="50" w:line="440" w:lineRule="exact"/>
        <w:ind w:firstLine="1241" w:firstLineChars="591"/>
        <w:rPr>
          <w:rFonts w:hint="eastAsia" w:ascii="宋体" w:hAnsi="宋体"/>
          <w:bCs/>
          <w:color w:val="auto"/>
          <w:highlight w:val="none"/>
        </w:rPr>
      </w:pPr>
      <w:r>
        <w:rPr>
          <w:rFonts w:hint="eastAsia" w:ascii="宋体" w:hAnsi="宋体"/>
          <w:bCs/>
          <w:color w:val="auto"/>
          <w:highlight w:val="none"/>
        </w:rPr>
        <w:t>投标人名称：</w:t>
      </w:r>
    </w:p>
    <w:p>
      <w:pPr>
        <w:rPr>
          <w:color w:val="auto"/>
          <w:highlight w:val="none"/>
        </w:rPr>
      </w:pPr>
    </w:p>
    <w:p>
      <w:pPr>
        <w:spacing w:line="300" w:lineRule="auto"/>
        <w:ind w:firstLine="1260" w:firstLineChars="600"/>
        <w:rPr>
          <w:rFonts w:hint="eastAsia" w:ascii="宋体" w:hAnsi="宋体"/>
          <w:bCs/>
          <w:color w:val="auto"/>
          <w:highlight w:val="none"/>
        </w:rPr>
      </w:pPr>
    </w:p>
    <w:p>
      <w:pPr>
        <w:spacing w:line="300" w:lineRule="auto"/>
        <w:ind w:firstLine="1260" w:firstLineChars="600"/>
        <w:rPr>
          <w:rFonts w:hint="eastAsia" w:ascii="宋体" w:hAnsi="宋体"/>
          <w:color w:val="auto"/>
          <w:highlight w:val="none"/>
        </w:rPr>
      </w:pPr>
      <w:r>
        <w:rPr>
          <w:rFonts w:hint="eastAsia" w:ascii="宋体" w:hAnsi="宋体"/>
          <w:bCs/>
          <w:color w:val="auto"/>
          <w:highlight w:val="none"/>
        </w:rPr>
        <w:t>投标人地址：</w:t>
      </w:r>
    </w:p>
    <w:p>
      <w:pPr>
        <w:spacing w:line="300" w:lineRule="auto"/>
        <w:jc w:val="center"/>
        <w:rPr>
          <w:rFonts w:hint="eastAsia" w:ascii="宋体" w:hAnsi="宋体"/>
          <w:color w:val="auto"/>
          <w:highlight w:val="none"/>
        </w:rPr>
      </w:pPr>
    </w:p>
    <w:p>
      <w:pPr>
        <w:spacing w:line="300" w:lineRule="auto"/>
        <w:jc w:val="center"/>
        <w:rPr>
          <w:rFonts w:hint="eastAsia" w:ascii="宋体" w:hAnsi="宋体"/>
          <w:color w:val="auto"/>
          <w:highlight w:val="none"/>
        </w:rPr>
      </w:pPr>
    </w:p>
    <w:p>
      <w:pPr>
        <w:spacing w:line="300" w:lineRule="auto"/>
        <w:jc w:val="center"/>
        <w:rPr>
          <w:rFonts w:hint="eastAsia" w:ascii="宋体" w:hAnsi="宋体"/>
          <w:color w:val="auto"/>
          <w:highlight w:val="none"/>
        </w:rPr>
      </w:pPr>
    </w:p>
    <w:p>
      <w:pPr>
        <w:spacing w:line="300" w:lineRule="auto"/>
        <w:jc w:val="center"/>
        <w:rPr>
          <w:rFonts w:hint="eastAsia" w:ascii="宋体" w:hAnsi="宋体"/>
          <w:color w:val="auto"/>
          <w:highlight w:val="none"/>
        </w:rPr>
      </w:pPr>
    </w:p>
    <w:p>
      <w:pPr>
        <w:spacing w:line="300" w:lineRule="auto"/>
        <w:jc w:val="center"/>
        <w:rPr>
          <w:rFonts w:hint="eastAsia" w:ascii="宋体" w:hAnsi="宋体"/>
          <w:color w:val="auto"/>
          <w:highlight w:val="none"/>
        </w:rPr>
      </w:pPr>
    </w:p>
    <w:p>
      <w:pPr>
        <w:spacing w:line="300" w:lineRule="auto"/>
        <w:jc w:val="center"/>
        <w:rPr>
          <w:rFonts w:hint="eastAsia" w:ascii="宋体" w:hAnsi="宋体"/>
          <w:color w:val="auto"/>
          <w:highlight w:val="none"/>
        </w:rPr>
      </w:pPr>
      <w:r>
        <w:rPr>
          <w:rFonts w:hint="eastAsia" w:ascii="宋体" w:hAnsi="宋体"/>
          <w:color w:val="auto"/>
          <w:highlight w:val="none"/>
        </w:rPr>
        <w:t xml:space="preserve">     </w:t>
      </w:r>
    </w:p>
    <w:p>
      <w:pPr>
        <w:spacing w:line="300" w:lineRule="auto"/>
        <w:jc w:val="center"/>
        <w:rPr>
          <w:rFonts w:hint="eastAsia" w:ascii="宋体" w:hAnsi="宋体"/>
          <w:color w:val="auto"/>
          <w:highlight w:val="none"/>
        </w:rPr>
      </w:pPr>
      <w:r>
        <w:rPr>
          <w:rFonts w:hint="eastAsia" w:ascii="宋体" w:hAnsi="宋体"/>
          <w:color w:val="auto"/>
          <w:highlight w:val="none"/>
        </w:rPr>
        <w:t xml:space="preserve">     </w:t>
      </w:r>
    </w:p>
    <w:p>
      <w:pPr>
        <w:spacing w:line="480" w:lineRule="auto"/>
        <w:jc w:val="center"/>
        <w:rPr>
          <w:rFonts w:ascii="宋体" w:hAnsi="宋体"/>
          <w:color w:val="auto"/>
          <w:highlight w:val="none"/>
        </w:rPr>
      </w:pPr>
      <w:r>
        <w:rPr>
          <w:rFonts w:hint="eastAsia" w:ascii="宋体" w:hAnsi="宋体"/>
          <w:color w:val="auto"/>
          <w:highlight w:val="none"/>
        </w:rPr>
        <w:t xml:space="preserve">       投标单位全称（盖章）</w:t>
      </w:r>
    </w:p>
    <w:p>
      <w:pPr>
        <w:spacing w:line="480" w:lineRule="auto"/>
        <w:ind w:firstLine="3465" w:firstLineChars="1650"/>
        <w:rPr>
          <w:rFonts w:hint="eastAsia" w:ascii="宋体" w:hAnsi="宋体"/>
          <w:color w:val="auto"/>
          <w:highlight w:val="none"/>
        </w:rPr>
      </w:pPr>
      <w:r>
        <w:rPr>
          <w:rFonts w:hint="eastAsia" w:ascii="宋体" w:hAnsi="宋体"/>
          <w:color w:val="auto"/>
          <w:highlight w:val="none"/>
        </w:rPr>
        <w:t xml:space="preserve">    年  月  日</w:t>
      </w:r>
    </w:p>
    <w:p>
      <w:pPr>
        <w:rPr>
          <w:rFonts w:hint="eastAsia" w:ascii="宋体" w:hAnsi="宋体"/>
          <w:b/>
          <w:color w:val="auto"/>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hAnsi="宋体"/>
          <w:b/>
          <w:bCs/>
          <w:color w:val="auto"/>
          <w:kern w:val="44"/>
          <w:sz w:val="24"/>
          <w:szCs w:val="24"/>
          <w:highlight w:val="none"/>
        </w:rPr>
      </w:pPr>
    </w:p>
    <w:p>
      <w:pPr>
        <w:spacing w:line="360" w:lineRule="auto"/>
        <w:jc w:val="left"/>
        <w:rPr>
          <w:rFonts w:hint="eastAsia" w:ascii="Arial" w:hAnsi="宋体" w:cs="Arial"/>
          <w:b/>
          <w:color w:val="auto"/>
          <w:highlight w:val="none"/>
        </w:rPr>
      </w:pPr>
      <w:r>
        <w:rPr>
          <w:rFonts w:hint="eastAsia" w:hAnsi="宋体"/>
          <w:b/>
          <w:bCs/>
          <w:color w:val="auto"/>
          <w:kern w:val="44"/>
          <w:sz w:val="24"/>
          <w:szCs w:val="24"/>
          <w:highlight w:val="none"/>
        </w:rPr>
        <w:br w:type="page"/>
      </w:r>
      <w:r>
        <w:rPr>
          <w:rFonts w:hint="eastAsia" w:hAnsi="宋体"/>
          <w:b/>
          <w:bCs/>
          <w:color w:val="auto"/>
          <w:kern w:val="44"/>
          <w:sz w:val="24"/>
          <w:szCs w:val="24"/>
          <w:highlight w:val="none"/>
        </w:rPr>
        <w:t>三、</w:t>
      </w:r>
      <w:r>
        <w:rPr>
          <w:rFonts w:hint="eastAsia" w:ascii="Arial" w:hAnsi="宋体" w:cs="Arial"/>
          <w:b/>
          <w:color w:val="auto"/>
          <w:highlight w:val="none"/>
        </w:rPr>
        <w:t>资格审查文件格式（包括但不限于以下内容）：</w:t>
      </w:r>
    </w:p>
    <w:p>
      <w:pPr>
        <w:spacing w:line="360" w:lineRule="auto"/>
        <w:ind w:left="440"/>
        <w:jc w:val="left"/>
        <w:rPr>
          <w:rFonts w:hint="eastAsia" w:ascii="宋体" w:hAnsi="宋体"/>
          <w:color w:val="auto"/>
          <w:highlight w:val="none"/>
        </w:rPr>
      </w:pPr>
      <w:r>
        <w:rPr>
          <w:rFonts w:hint="eastAsia" w:ascii="宋体" w:hAnsi="宋体"/>
          <w:color w:val="auto"/>
          <w:highlight w:val="none"/>
        </w:rPr>
        <w:t>（1）资格自查表；</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（2）关于资格的承诺函；</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（3）有效的企业法人营业执照（或事业法人登记证）、其他组织（个体工商户）的营业执照或者民办非企业单位登记证书复印件加盖供应商公章；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（4）开标截止时间前6个月内任意1个月的财务会计报表复印件加盖供应商公章；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（5）具有履行合同所必需的设备和专业技术能力的声明函；</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（6）开标截止时间前6个月内任意1个月的缴纳税收的证明资料复印件加盖供应商公章；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（7）开标截止时间前6个月内任意1个月的缴纳社保的证明资料复印件加盖供应商公章；</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（8）无重大违法记录的声明函；</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（9） 联合体投标协议书（如为联合体，须提供联合投标协议书）</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（10）供应商认为需要的其他资料（如有需提供）。</w:t>
      </w: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12"/>
        <w:ind w:left="1470" w:right="1470"/>
        <w:rPr>
          <w:rFonts w:hint="eastAsia" w:ascii="宋体" w:hAnsi="宋体"/>
          <w:color w:val="auto"/>
          <w:highlight w:val="none"/>
        </w:rPr>
      </w:pPr>
    </w:p>
    <w:p>
      <w:pPr>
        <w:pStyle w:val="8"/>
        <w:spacing w:line="288" w:lineRule="auto"/>
        <w:jc w:val="center"/>
        <w:rPr>
          <w:color w:val="auto"/>
          <w:highlight w:val="none"/>
        </w:rPr>
      </w:pPr>
      <w:r>
        <w:rPr>
          <w:rFonts w:hint="eastAsia"/>
          <w:color w:val="auto"/>
          <w:highlight w:val="none"/>
        </w:rPr>
        <w:br w:type="page"/>
      </w:r>
      <w:r>
        <w:rPr>
          <w:rFonts w:hint="eastAsia"/>
          <w:color w:val="auto"/>
          <w:highlight w:val="none"/>
        </w:rPr>
        <w:t>（一）资格自查表</w:t>
      </w:r>
    </w:p>
    <w:tbl>
      <w:tblPr>
        <w:tblStyle w:val="2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811"/>
        <w:gridCol w:w="4151"/>
        <w:gridCol w:w="93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序号</w:t>
            </w:r>
          </w:p>
        </w:tc>
        <w:tc>
          <w:tcPr>
            <w:tcW w:w="2811"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资格要求</w:t>
            </w:r>
          </w:p>
        </w:tc>
        <w:tc>
          <w:tcPr>
            <w:tcW w:w="4151"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审查内容</w:t>
            </w:r>
          </w:p>
        </w:tc>
        <w:tc>
          <w:tcPr>
            <w:tcW w:w="932"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符合性</w:t>
            </w:r>
          </w:p>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（符合/不符合）</w:t>
            </w:r>
          </w:p>
        </w:tc>
        <w:tc>
          <w:tcPr>
            <w:tcW w:w="672" w:type="dxa"/>
            <w:noWrap w:val="0"/>
            <w:vAlign w:val="center"/>
          </w:tcPr>
          <w:p>
            <w:pPr>
              <w:spacing w:line="288"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94" w:type="dxa"/>
            <w:vMerge w:val="restart"/>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2811" w:type="dxa"/>
            <w:vMerge w:val="restart"/>
            <w:noWrap w:val="0"/>
            <w:vAlign w:val="center"/>
          </w:tcPr>
          <w:p>
            <w:pPr>
              <w:snapToGrid w:val="0"/>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符合《中华人民共和国政府采购法》第二十二条的一般资格条件的规定：</w:t>
            </w: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（1）关于资格的承诺函；</w:t>
            </w:r>
          </w:p>
        </w:tc>
        <w:tc>
          <w:tcPr>
            <w:tcW w:w="932" w:type="dxa"/>
            <w:noWrap w:val="0"/>
            <w:vAlign w:val="top"/>
          </w:tcPr>
          <w:p>
            <w:pPr>
              <w:spacing w:line="288" w:lineRule="auto"/>
              <w:rPr>
                <w:rFonts w:hint="eastAsia" w:ascii="宋体" w:hAnsi="宋体" w:cs="宋体"/>
                <w:color w:val="auto"/>
                <w:sz w:val="18"/>
                <w:szCs w:val="18"/>
                <w:highlight w:val="none"/>
              </w:rPr>
            </w:pPr>
          </w:p>
        </w:tc>
        <w:tc>
          <w:tcPr>
            <w:tcW w:w="672" w:type="dxa"/>
            <w:noWrap w:val="0"/>
            <w:vAlign w:val="top"/>
          </w:tcPr>
          <w:p>
            <w:pPr>
              <w:spacing w:line="288"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color w:val="auto"/>
                <w:highlight w:val="none"/>
              </w:rPr>
            </w:pPr>
          </w:p>
        </w:tc>
        <w:tc>
          <w:tcPr>
            <w:tcW w:w="2811" w:type="dxa"/>
            <w:vMerge w:val="continue"/>
            <w:noWrap w:val="0"/>
            <w:vAlign w:val="top"/>
          </w:tcPr>
          <w:p>
            <w:pPr>
              <w:snapToGrid w:val="0"/>
              <w:spacing w:line="288" w:lineRule="auto"/>
              <w:rPr>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（2）有效的企业法人营业执照（或事业法人登记证）、其他组织（个体工商户）的营业执照或者民办非企业单位登记证书复印件加盖供应商公章；</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（3）开标截止时间前6个月内任意1个月的财务会计报表复印件加盖供应商公章；</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（4）具有履行合同所必需的设备和专业技术能力的声明函（详见招标文件第六章）；</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（5）开标截止时间前6个月内任意1个月的缴纳税收的证明资料复印件加盖供应商公章；</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（6）开标截止时间前6个月内任意1个月的缴纳社保的证明资料复印件加盖供应商公章；</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4151" w:type="dxa"/>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（7）无重大违法记录的声明函；</w:t>
            </w:r>
          </w:p>
        </w:tc>
        <w:tc>
          <w:tcPr>
            <w:tcW w:w="932" w:type="dxa"/>
            <w:noWrap w:val="0"/>
            <w:vAlign w:val="top"/>
          </w:tcPr>
          <w:p>
            <w:pPr>
              <w:snapToGrid w:val="0"/>
              <w:spacing w:line="288" w:lineRule="auto"/>
              <w:rPr>
                <w:rFonts w:hint="eastAsia"/>
                <w:color w:val="auto"/>
                <w:highlight w:val="none"/>
              </w:rPr>
            </w:pPr>
          </w:p>
        </w:tc>
        <w:tc>
          <w:tcPr>
            <w:tcW w:w="672" w:type="dxa"/>
            <w:noWrap w:val="0"/>
            <w:vAlign w:val="top"/>
          </w:tcPr>
          <w:p>
            <w:pPr>
              <w:snapToGrid w:val="0"/>
              <w:spacing w:line="288"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4" w:type="dxa"/>
            <w:vMerge w:val="continue"/>
            <w:noWrap w:val="0"/>
            <w:vAlign w:val="center"/>
          </w:tcPr>
          <w:p>
            <w:pPr>
              <w:snapToGrid w:val="0"/>
              <w:spacing w:line="288" w:lineRule="auto"/>
              <w:rPr>
                <w:rFonts w:hint="eastAsia"/>
                <w:color w:val="auto"/>
                <w:highlight w:val="none"/>
              </w:rPr>
            </w:pPr>
          </w:p>
        </w:tc>
        <w:tc>
          <w:tcPr>
            <w:tcW w:w="2811" w:type="dxa"/>
            <w:vMerge w:val="continue"/>
            <w:noWrap w:val="0"/>
            <w:vAlign w:val="top"/>
          </w:tcPr>
          <w:p>
            <w:pPr>
              <w:snapToGrid w:val="0"/>
              <w:spacing w:line="288" w:lineRule="auto"/>
              <w:rPr>
                <w:rFonts w:hint="eastAsia"/>
                <w:color w:val="auto"/>
                <w:highlight w:val="none"/>
              </w:rPr>
            </w:pPr>
          </w:p>
        </w:tc>
        <w:tc>
          <w:tcPr>
            <w:tcW w:w="5755" w:type="dxa"/>
            <w:gridSpan w:val="3"/>
            <w:noWrap w:val="0"/>
            <w:vAlign w:val="top"/>
          </w:tcPr>
          <w:p>
            <w:pPr>
              <w:snapToGrid w:val="0"/>
              <w:spacing w:line="288" w:lineRule="auto"/>
              <w:rPr>
                <w:rFonts w:hint="eastAsia"/>
                <w:color w:val="auto"/>
                <w:highlight w:val="none"/>
              </w:rPr>
            </w:pPr>
            <w:r>
              <w:rPr>
                <w:rFonts w:hint="eastAsia" w:ascii="宋体" w:hAnsi="宋体" w:cs="宋体"/>
                <w:color w:val="auto"/>
                <w:sz w:val="18"/>
                <w:szCs w:val="18"/>
                <w:highlight w:val="none"/>
              </w:rPr>
              <w:t>依法免税或不需要缴纳社保的供应商，应提供相应文件证明其依法免税或不需要缴纳社保。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2811" w:type="dxa"/>
            <w:noWrap w:val="0"/>
            <w:vAlign w:val="center"/>
          </w:tcPr>
          <w:p>
            <w:pPr>
              <w:snapToGrid w:val="0"/>
              <w:spacing w:line="288"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未被信用中国网站（</w:t>
            </w:r>
            <w:r>
              <w:rPr>
                <w:rFonts w:hint="eastAsia" w:ascii="宋体" w:hAnsi="宋体" w:cs="宋体"/>
                <w:color w:val="auto"/>
                <w:sz w:val="18"/>
                <w:szCs w:val="18"/>
                <w:highlight w:val="none"/>
              </w:rPr>
              <w:fldChar w:fldCharType="begin"/>
            </w:r>
            <w:r>
              <w:rPr>
                <w:rFonts w:hint="eastAsia" w:ascii="宋体" w:hAnsi="宋体" w:cs="宋体"/>
                <w:color w:val="auto"/>
                <w:sz w:val="18"/>
                <w:szCs w:val="18"/>
                <w:highlight w:val="none"/>
              </w:rPr>
              <w:instrText xml:space="preserve"> HYPERLINK "http://www.creditchina.gov.cn" </w:instrText>
            </w:r>
            <w:r>
              <w:rPr>
                <w:rFonts w:hint="eastAsia" w:ascii="宋体" w:hAnsi="宋体" w:cs="宋体"/>
                <w:color w:val="auto"/>
                <w:sz w:val="18"/>
                <w:szCs w:val="18"/>
                <w:highlight w:val="none"/>
              </w:rPr>
              <w:fldChar w:fldCharType="separate"/>
            </w:r>
            <w:r>
              <w:rPr>
                <w:rFonts w:hint="eastAsia" w:ascii="宋体" w:hAnsi="宋体" w:cs="宋体"/>
                <w:color w:val="auto"/>
                <w:sz w:val="18"/>
                <w:szCs w:val="18"/>
                <w:highlight w:val="none"/>
              </w:rPr>
              <w:t>www.creditchina.gov.cn</w:t>
            </w:r>
            <w:r>
              <w:rPr>
                <w:rFonts w:hint="eastAsia" w:ascii="宋体" w:hAnsi="宋体" w:cs="宋体"/>
                <w:color w:val="auto"/>
                <w:sz w:val="18"/>
                <w:szCs w:val="18"/>
                <w:highlight w:val="none"/>
              </w:rPr>
              <w:fldChar w:fldCharType="end"/>
            </w:r>
            <w:r>
              <w:rPr>
                <w:rFonts w:hint="eastAsia" w:ascii="宋体" w:hAnsi="宋体" w:cs="宋体"/>
                <w:color w:val="auto"/>
                <w:sz w:val="18"/>
                <w:szCs w:val="18"/>
                <w:highlight w:val="none"/>
              </w:rPr>
              <w:t>）列入失信被执行人、重大税收违法案件当事人名单，未被中国政府采购网（www.ccgp.gov.cn）列入政府采购严重违法失信行为记录名单。（以采购代理机构于投标截止日当天在信用中国网站及中国政府采购网查询结果为准，如相关失信记录已失效，投标人需提供相关证明资料）</w:t>
            </w:r>
          </w:p>
        </w:tc>
        <w:tc>
          <w:tcPr>
            <w:tcW w:w="4151" w:type="dxa"/>
            <w:noWrap w:val="0"/>
            <w:vAlign w:val="top"/>
          </w:tcPr>
          <w:p>
            <w:pPr>
              <w:snapToGrid w:val="0"/>
              <w:spacing w:line="288" w:lineRule="auto"/>
              <w:rPr>
                <w:rFonts w:hint="eastAsia" w:ascii="宋体" w:hAnsi="宋体" w:cs="宋体"/>
                <w:color w:val="auto"/>
                <w:sz w:val="18"/>
                <w:szCs w:val="18"/>
                <w:highlight w:val="none"/>
              </w:rPr>
            </w:pPr>
            <w:r>
              <w:rPr>
                <w:rFonts w:hint="eastAsia" w:ascii="宋体" w:hAnsi="宋体" w:cs="宋体"/>
                <w:color w:val="auto"/>
                <w:sz w:val="18"/>
                <w:szCs w:val="18"/>
                <w:highlight w:val="none"/>
              </w:rPr>
              <w:t>采购人、采购代理机构将于投标截止日</w:t>
            </w:r>
            <w:r>
              <w:rPr>
                <w:rFonts w:hint="eastAsia" w:ascii="宋体" w:hAnsi="宋体" w:cs="宋体"/>
                <w:iCs/>
                <w:color w:val="auto"/>
                <w:sz w:val="18"/>
                <w:szCs w:val="18"/>
                <w:highlight w:val="none"/>
              </w:rPr>
              <w:t>当天</w:t>
            </w:r>
            <w:r>
              <w:rPr>
                <w:rFonts w:hint="eastAsia" w:ascii="宋体" w:hAnsi="宋体" w:cs="宋体"/>
                <w:color w:val="auto"/>
                <w:sz w:val="18"/>
                <w:szCs w:val="18"/>
                <w:highlight w:val="none"/>
              </w:rPr>
              <w:t>通过“信用中国”网站（www.creditchina.gov.cn）查询投标人失信被执行人、重大税收违法案件当事人信用记录，通过中国政府采购网（www.ccgp.gov.cn）查询投标人政府采购严重违法失信行为信用记录。</w:t>
            </w:r>
          </w:p>
        </w:tc>
        <w:tc>
          <w:tcPr>
            <w:tcW w:w="932" w:type="dxa"/>
            <w:noWrap w:val="0"/>
            <w:vAlign w:val="top"/>
          </w:tcPr>
          <w:p>
            <w:pPr>
              <w:spacing w:line="288" w:lineRule="auto"/>
              <w:rPr>
                <w:rFonts w:hint="eastAsia" w:ascii="宋体" w:hAnsi="宋体" w:cs="宋体"/>
                <w:color w:val="auto"/>
                <w:sz w:val="18"/>
                <w:szCs w:val="18"/>
                <w:highlight w:val="none"/>
              </w:rPr>
            </w:pPr>
          </w:p>
        </w:tc>
        <w:tc>
          <w:tcPr>
            <w:tcW w:w="672" w:type="dxa"/>
            <w:noWrap w:val="0"/>
            <w:vAlign w:val="top"/>
          </w:tcPr>
          <w:p>
            <w:pPr>
              <w:spacing w:line="288" w:lineRule="auto"/>
              <w:rPr>
                <w:rFonts w:hint="eastAsia"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494"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2811" w:type="dxa"/>
            <w:noWrap w:val="0"/>
            <w:vAlign w:val="top"/>
          </w:tcPr>
          <w:p>
            <w:pPr>
              <w:spacing w:line="288"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特定资格条件：本项目允许联合体投标，若为投标联合体参加投标时必须提供联合投标协议；在联合投标协议中必须明确各联合投标单位的责任和义务，由投标人自行确定联合体主体单位，联合体单位数量不得超过两家；</w:t>
            </w:r>
          </w:p>
        </w:tc>
        <w:tc>
          <w:tcPr>
            <w:tcW w:w="4151" w:type="dxa"/>
            <w:noWrap w:val="0"/>
            <w:vAlign w:val="top"/>
          </w:tcPr>
          <w:p>
            <w:pPr>
              <w:spacing w:line="288"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本项目本项目允许联合体投标，若为投标联合体参加投标时必须提供联合投标协议；在联合投标协议中必须明确各联合投标单位的责任和义务，由投标人自行确定联合体主体单位，联合体单位数量不得超过两家。</w:t>
            </w:r>
          </w:p>
        </w:tc>
        <w:tc>
          <w:tcPr>
            <w:tcW w:w="932" w:type="dxa"/>
            <w:noWrap w:val="0"/>
            <w:vAlign w:val="top"/>
          </w:tcPr>
          <w:p>
            <w:pPr>
              <w:spacing w:line="288" w:lineRule="auto"/>
              <w:rPr>
                <w:rFonts w:hint="eastAsia" w:ascii="宋体" w:hAnsi="宋体" w:cs="宋体"/>
                <w:color w:val="auto"/>
                <w:sz w:val="18"/>
                <w:szCs w:val="18"/>
                <w:highlight w:val="none"/>
              </w:rPr>
            </w:pPr>
          </w:p>
        </w:tc>
        <w:tc>
          <w:tcPr>
            <w:tcW w:w="672" w:type="dxa"/>
            <w:noWrap w:val="0"/>
            <w:vAlign w:val="top"/>
          </w:tcPr>
          <w:p>
            <w:pPr>
              <w:spacing w:line="288"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94" w:type="dxa"/>
            <w:noWrap w:val="0"/>
            <w:vAlign w:val="center"/>
          </w:tcPr>
          <w:p>
            <w:pPr>
              <w:spacing w:line="288" w:lineRule="auto"/>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2811" w:type="dxa"/>
            <w:noWrap w:val="0"/>
            <w:vAlign w:val="center"/>
          </w:tcPr>
          <w:p>
            <w:pPr>
              <w:spacing w:line="288"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本项目接受联合体投标</w:t>
            </w:r>
          </w:p>
        </w:tc>
        <w:tc>
          <w:tcPr>
            <w:tcW w:w="4151" w:type="dxa"/>
            <w:noWrap w:val="0"/>
            <w:vAlign w:val="center"/>
          </w:tcPr>
          <w:p>
            <w:pPr>
              <w:spacing w:line="288"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本项目接受联合体投标（如为联合体投标，须提供联合体投标协议书）</w:t>
            </w:r>
          </w:p>
        </w:tc>
        <w:tc>
          <w:tcPr>
            <w:tcW w:w="932" w:type="dxa"/>
            <w:noWrap w:val="0"/>
            <w:vAlign w:val="top"/>
          </w:tcPr>
          <w:p>
            <w:pPr>
              <w:spacing w:line="288" w:lineRule="auto"/>
              <w:rPr>
                <w:rFonts w:hint="eastAsia" w:ascii="宋体" w:hAnsi="宋体" w:cs="宋体"/>
                <w:color w:val="auto"/>
                <w:sz w:val="18"/>
                <w:szCs w:val="18"/>
                <w:highlight w:val="none"/>
              </w:rPr>
            </w:pPr>
          </w:p>
        </w:tc>
        <w:tc>
          <w:tcPr>
            <w:tcW w:w="672" w:type="dxa"/>
            <w:noWrap w:val="0"/>
            <w:vAlign w:val="top"/>
          </w:tcPr>
          <w:p>
            <w:pPr>
              <w:spacing w:line="288" w:lineRule="auto"/>
              <w:rPr>
                <w:rFonts w:ascii="宋体" w:hAnsi="宋体" w:cs="宋体"/>
                <w:color w:val="auto"/>
                <w:sz w:val="18"/>
                <w:szCs w:val="18"/>
                <w:highlight w:val="none"/>
              </w:rPr>
            </w:pPr>
            <w:r>
              <w:rPr>
                <w:rFonts w:hint="eastAsia" w:ascii="宋体" w:hAnsi="宋体" w:cs="宋体"/>
                <w:color w:val="auto"/>
                <w:sz w:val="18"/>
                <w:szCs w:val="18"/>
                <w:highlight w:val="none"/>
              </w:rPr>
              <w:t>/</w:t>
            </w:r>
          </w:p>
        </w:tc>
      </w:tr>
    </w:tbl>
    <w:p>
      <w:pPr>
        <w:spacing w:line="288" w:lineRule="auto"/>
        <w:rPr>
          <w:rFonts w:hint="eastAsia" w:ascii="宋体" w:hAnsi="宋体"/>
          <w:b/>
          <w:bCs/>
          <w:color w:val="auto"/>
          <w:highlight w:val="none"/>
        </w:rPr>
      </w:pPr>
      <w:r>
        <w:rPr>
          <w:rFonts w:hint="eastAsia"/>
          <w:b/>
          <w:bCs/>
          <w:color w:val="auto"/>
          <w:highlight w:val="none"/>
        </w:rPr>
        <w:t>备注：联合体投标的，联合体成员各方均须提供本项内容相关资料。</w:t>
      </w:r>
    </w:p>
    <w:p>
      <w:pPr>
        <w:spacing w:line="288" w:lineRule="auto"/>
        <w:jc w:val="right"/>
        <w:rPr>
          <w:rFonts w:hint="eastAsia" w:ascii="Arial" w:hAnsi="Arial"/>
          <w:color w:val="auto"/>
          <w:highlight w:val="none"/>
        </w:rPr>
      </w:pPr>
      <w:r>
        <w:rPr>
          <w:rFonts w:hint="eastAsia" w:ascii="Arial" w:hAnsi="Arial"/>
          <w:color w:val="auto"/>
          <w:highlight w:val="none"/>
        </w:rPr>
        <w:t>投标人全称（公章）：</w:t>
      </w:r>
    </w:p>
    <w:p>
      <w:pPr>
        <w:spacing w:line="288" w:lineRule="auto"/>
        <w:jc w:val="right"/>
        <w:rPr>
          <w:rFonts w:hint="eastAsia" w:ascii="Arial" w:hAnsi="Arial"/>
          <w:color w:val="auto"/>
          <w:highlight w:val="none"/>
        </w:rPr>
      </w:pPr>
      <w:r>
        <w:rPr>
          <w:rFonts w:hint="eastAsia" w:ascii="Arial" w:hAnsi="Arial"/>
          <w:color w:val="auto"/>
          <w:highlight w:val="none"/>
        </w:rPr>
        <w:t xml:space="preserve">法定代表人或授权代表（签字或盖章）：                       </w:t>
      </w:r>
    </w:p>
    <w:p>
      <w:pPr>
        <w:tabs>
          <w:tab w:val="left" w:pos="606"/>
        </w:tabs>
        <w:snapToGrid w:val="0"/>
        <w:spacing w:line="288" w:lineRule="auto"/>
        <w:jc w:val="right"/>
        <w:rPr>
          <w:rFonts w:hint="eastAsia"/>
          <w:color w:val="auto"/>
          <w:highlight w:val="none"/>
        </w:rPr>
      </w:pPr>
      <w:r>
        <w:rPr>
          <w:rFonts w:hint="eastAsia" w:ascii="Arial" w:hAnsi="Arial"/>
          <w:color w:val="auto"/>
          <w:highlight w:val="none"/>
        </w:rPr>
        <w:t>日期：</w:t>
      </w:r>
    </w:p>
    <w:p>
      <w:pPr>
        <w:spacing w:line="288" w:lineRule="auto"/>
        <w:jc w:val="center"/>
        <w:rPr>
          <w:rFonts w:ascii="宋体" w:hAnsi="宋体"/>
          <w:b/>
          <w:color w:val="auto"/>
          <w:highlight w:val="none"/>
        </w:rPr>
      </w:pPr>
      <w:r>
        <w:rPr>
          <w:rFonts w:hint="eastAsia" w:ascii="宋体" w:hAnsi="宋体"/>
          <w:b/>
          <w:color w:val="auto"/>
          <w:highlight w:val="none"/>
        </w:rPr>
        <w:br w:type="page"/>
      </w:r>
      <w:r>
        <w:rPr>
          <w:rFonts w:hint="eastAsia" w:ascii="宋体" w:hAnsi="宋体"/>
          <w:b/>
          <w:color w:val="auto"/>
          <w:highlight w:val="none"/>
        </w:rPr>
        <w:t>（二）</w:t>
      </w:r>
      <w:r>
        <w:rPr>
          <w:rStyle w:val="55"/>
          <w:rFonts w:hint="eastAsia" w:ascii="宋体" w:hAnsi="宋体"/>
          <w:color w:val="auto"/>
          <w:sz w:val="21"/>
          <w:highlight w:val="none"/>
        </w:rPr>
        <w:t>关于</w:t>
      </w:r>
      <w:r>
        <w:rPr>
          <w:rFonts w:hint="eastAsia" w:ascii="宋体" w:hAnsi="宋体"/>
          <w:b/>
          <w:color w:val="auto"/>
          <w:highlight w:val="none"/>
        </w:rPr>
        <w:t>资格的承诺函</w:t>
      </w:r>
    </w:p>
    <w:p>
      <w:pPr>
        <w:spacing w:line="400" w:lineRule="exact"/>
        <w:ind w:left="540" w:firstLine="30"/>
        <w:jc w:val="center"/>
        <w:rPr>
          <w:rFonts w:ascii="宋体" w:hAnsi="宋体"/>
          <w:b/>
          <w:color w:val="auto"/>
          <w:highlight w:val="none"/>
        </w:rPr>
      </w:pPr>
    </w:p>
    <w:p>
      <w:pPr>
        <w:snapToGrid w:val="0"/>
        <w:spacing w:before="120" w:beforeLines="50" w:after="50"/>
        <w:rPr>
          <w:rFonts w:ascii="宋体" w:hAnsi="宋体"/>
          <w:color w:val="auto"/>
          <w:highlight w:val="none"/>
        </w:rPr>
      </w:pPr>
      <w:r>
        <w:rPr>
          <w:rFonts w:hint="eastAsia" w:ascii="宋体" w:hAnsi="宋体"/>
          <w:color w:val="auto"/>
          <w:highlight w:val="none"/>
        </w:rPr>
        <w:t xml:space="preserve">致： </w:t>
      </w:r>
      <w:r>
        <w:rPr>
          <w:rFonts w:hint="eastAsia" w:ascii="宋体" w:hAnsi="宋体"/>
          <w:color w:val="auto"/>
          <w:highlight w:val="none"/>
          <w:u w:val="single"/>
        </w:rPr>
        <w:t xml:space="preserve">          </w:t>
      </w:r>
      <w:r>
        <w:rPr>
          <w:rFonts w:hint="eastAsia" w:ascii="宋体" w:hAnsi="宋体"/>
          <w:color w:val="auto"/>
          <w:highlight w:val="none"/>
        </w:rPr>
        <w:t>（采购人名称）：</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（投标人名称）自愿参加项目编号为</w:t>
      </w:r>
      <w:r>
        <w:rPr>
          <w:rFonts w:hint="eastAsia" w:ascii="宋体" w:hAnsi="宋体"/>
          <w:color w:val="auto"/>
          <w:highlight w:val="none"/>
          <w:u w:val="single"/>
        </w:rPr>
        <w:t xml:space="preserve"> （招标编号） </w:t>
      </w:r>
      <w:r>
        <w:rPr>
          <w:rFonts w:hint="eastAsia" w:ascii="宋体" w:hAnsi="宋体"/>
          <w:color w:val="auto"/>
          <w:highlight w:val="none"/>
        </w:rPr>
        <w:t>的</w:t>
      </w:r>
      <w:r>
        <w:rPr>
          <w:rFonts w:hint="eastAsia" w:ascii="宋体" w:hAnsi="宋体"/>
          <w:color w:val="auto"/>
          <w:highlight w:val="none"/>
          <w:u w:val="single"/>
        </w:rPr>
        <w:t>（招标项目名称）</w:t>
      </w:r>
      <w:r>
        <w:rPr>
          <w:rFonts w:hint="eastAsia" w:ascii="宋体" w:hAnsi="宋体"/>
          <w:color w:val="auto"/>
          <w:highlight w:val="none"/>
        </w:rPr>
        <w:t xml:space="preserve">的投标，现就投标人资格声明如下： </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1、我单位为法人/其他组织/自然人。</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2、我单位符合《中华人民共和国政府采购法》第</w:t>
      </w:r>
      <w:r>
        <w:rPr>
          <w:rFonts w:ascii="宋体" w:hAnsi="宋体"/>
          <w:color w:val="auto"/>
          <w:highlight w:val="none"/>
        </w:rPr>
        <w:t>22</w:t>
      </w:r>
      <w:r>
        <w:rPr>
          <w:rFonts w:hint="eastAsia" w:ascii="宋体" w:hAnsi="宋体"/>
          <w:color w:val="auto"/>
          <w:highlight w:val="none"/>
        </w:rPr>
        <w:t>条的一般资格条件的规定：</w:t>
      </w:r>
    </w:p>
    <w:p>
      <w:pPr>
        <w:spacing w:line="400" w:lineRule="exact"/>
        <w:ind w:firstLine="420" w:firstLineChars="200"/>
        <w:rPr>
          <w:rFonts w:ascii="宋体" w:hAnsi="宋体"/>
          <w:color w:val="auto"/>
          <w:highlight w:val="none"/>
        </w:rPr>
      </w:pPr>
      <w:r>
        <w:rPr>
          <w:rFonts w:hint="eastAsia" w:ascii="宋体" w:hAnsi="宋体"/>
          <w:color w:val="auto"/>
          <w:highlight w:val="none"/>
        </w:rPr>
        <w:t>(1)、具有独立承担民事责任的能力；</w:t>
      </w:r>
    </w:p>
    <w:p>
      <w:pPr>
        <w:spacing w:line="400" w:lineRule="exact"/>
        <w:ind w:firstLine="420" w:firstLineChars="200"/>
        <w:rPr>
          <w:rFonts w:ascii="宋体" w:hAnsi="宋体"/>
          <w:color w:val="auto"/>
          <w:highlight w:val="none"/>
        </w:rPr>
      </w:pPr>
      <w:r>
        <w:rPr>
          <w:rFonts w:hint="eastAsia" w:ascii="宋体" w:hAnsi="宋体"/>
          <w:color w:val="auto"/>
          <w:highlight w:val="none"/>
        </w:rPr>
        <w:t>(2)、具有良好的商业信誉和健全的财务会计制度；</w:t>
      </w:r>
    </w:p>
    <w:p>
      <w:pPr>
        <w:spacing w:line="400" w:lineRule="exact"/>
        <w:ind w:firstLine="420" w:firstLineChars="200"/>
        <w:rPr>
          <w:rFonts w:ascii="宋体" w:hAnsi="宋体"/>
          <w:color w:val="auto"/>
          <w:highlight w:val="none"/>
        </w:rPr>
      </w:pPr>
      <w:r>
        <w:rPr>
          <w:rFonts w:hint="eastAsia" w:ascii="宋体" w:hAnsi="宋体"/>
          <w:color w:val="auto"/>
          <w:highlight w:val="none"/>
        </w:rPr>
        <w:t>(3)、具有履行合同所必需的设备和专业技术能力；</w:t>
      </w:r>
    </w:p>
    <w:p>
      <w:pPr>
        <w:spacing w:line="400" w:lineRule="exact"/>
        <w:ind w:firstLine="420" w:firstLineChars="200"/>
        <w:rPr>
          <w:rFonts w:ascii="宋体" w:hAnsi="宋体"/>
          <w:color w:val="auto"/>
          <w:highlight w:val="none"/>
        </w:rPr>
      </w:pPr>
      <w:r>
        <w:rPr>
          <w:rFonts w:hint="eastAsia" w:ascii="宋体" w:hAnsi="宋体"/>
          <w:color w:val="auto"/>
          <w:highlight w:val="none"/>
        </w:rPr>
        <w:t>(4)、有依法缴纳税收和社会保障资金的良好记录；</w:t>
      </w:r>
    </w:p>
    <w:p>
      <w:pPr>
        <w:spacing w:line="400" w:lineRule="exact"/>
        <w:ind w:firstLine="420" w:firstLineChars="200"/>
        <w:rPr>
          <w:rFonts w:ascii="宋体" w:hAnsi="宋体"/>
          <w:color w:val="auto"/>
          <w:highlight w:val="none"/>
        </w:rPr>
      </w:pPr>
      <w:r>
        <w:rPr>
          <w:rFonts w:hint="eastAsia" w:ascii="宋体" w:hAnsi="宋体"/>
          <w:color w:val="auto"/>
          <w:highlight w:val="none"/>
        </w:rPr>
        <w:t>(5)、参加政府采购活动前三年内，在经营活动中没有重大违法记录；</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(6)、法律、行政法规规定的其他条件。</w:t>
      </w:r>
    </w:p>
    <w:p>
      <w:pPr>
        <w:spacing w:line="400" w:lineRule="exact"/>
        <w:ind w:firstLine="420"/>
        <w:rPr>
          <w:rFonts w:hint="eastAsia" w:ascii="宋体" w:hAnsi="宋体"/>
          <w:color w:val="auto"/>
          <w:highlight w:val="none"/>
        </w:rPr>
      </w:pPr>
      <w:r>
        <w:rPr>
          <w:rFonts w:hint="eastAsia" w:ascii="宋体" w:hAnsi="宋体"/>
          <w:color w:val="auto"/>
          <w:highlight w:val="none"/>
        </w:rPr>
        <w:t>3、我单位符合采购文件规定的特定资格条件的要求。</w:t>
      </w:r>
    </w:p>
    <w:p>
      <w:pPr>
        <w:spacing w:line="400" w:lineRule="exact"/>
        <w:ind w:firstLine="420" w:firstLineChars="200"/>
        <w:rPr>
          <w:rFonts w:hint="eastAsia" w:ascii="宋体" w:hAnsi="宋体"/>
          <w:color w:val="auto"/>
          <w:highlight w:val="none"/>
        </w:rPr>
      </w:pPr>
    </w:p>
    <w:p>
      <w:pPr>
        <w:spacing w:line="400" w:lineRule="exact"/>
        <w:ind w:firstLine="420" w:firstLineChars="200"/>
        <w:rPr>
          <w:rFonts w:hint="eastAsia" w:ascii="宋体" w:hAnsi="宋体"/>
          <w:color w:val="auto"/>
          <w:highlight w:val="none"/>
        </w:rPr>
      </w:pPr>
    </w:p>
    <w:p>
      <w:pPr>
        <w:spacing w:line="400" w:lineRule="exact"/>
        <w:ind w:firstLine="420" w:firstLineChars="200"/>
        <w:rPr>
          <w:rFonts w:hint="eastAsia" w:ascii="宋体" w:hAnsi="宋体"/>
          <w:color w:val="auto"/>
          <w:highlight w:val="none"/>
        </w:rPr>
      </w:pPr>
    </w:p>
    <w:p>
      <w:pPr>
        <w:spacing w:line="400" w:lineRule="exact"/>
        <w:ind w:firstLine="420" w:firstLineChars="200"/>
        <w:rPr>
          <w:rFonts w:hint="eastAsia" w:ascii="宋体" w:hAnsi="宋体"/>
          <w:color w:val="auto"/>
          <w:highlight w:val="none"/>
        </w:rPr>
      </w:pPr>
    </w:p>
    <w:p>
      <w:pPr>
        <w:spacing w:line="360" w:lineRule="auto"/>
        <w:jc w:val="right"/>
        <w:rPr>
          <w:rFonts w:hint="eastAsia" w:ascii="Arial" w:hAnsi="Arial"/>
          <w:color w:val="auto"/>
          <w:highlight w:val="none"/>
        </w:rPr>
      </w:pPr>
      <w:r>
        <w:rPr>
          <w:rFonts w:hint="eastAsia" w:ascii="Arial" w:hAnsi="Arial"/>
          <w:color w:val="auto"/>
          <w:highlight w:val="none"/>
        </w:rPr>
        <w:t>投标人全称（公章）：</w:t>
      </w:r>
    </w:p>
    <w:p>
      <w:pPr>
        <w:spacing w:line="360" w:lineRule="auto"/>
        <w:jc w:val="right"/>
        <w:rPr>
          <w:rFonts w:hint="eastAsia" w:ascii="Arial" w:hAnsi="Arial"/>
          <w:color w:val="auto"/>
          <w:highlight w:val="none"/>
        </w:rPr>
      </w:pPr>
      <w:r>
        <w:rPr>
          <w:rFonts w:hint="eastAsia" w:ascii="Arial" w:hAnsi="Arial"/>
          <w:color w:val="auto"/>
          <w:highlight w:val="none"/>
        </w:rPr>
        <w:t xml:space="preserve">法定代表人或授权代表（签字或盖章）：                       </w:t>
      </w:r>
    </w:p>
    <w:p>
      <w:pPr>
        <w:tabs>
          <w:tab w:val="left" w:pos="606"/>
        </w:tabs>
        <w:snapToGrid w:val="0"/>
        <w:spacing w:line="360" w:lineRule="auto"/>
        <w:jc w:val="right"/>
        <w:rPr>
          <w:rFonts w:hint="eastAsia" w:ascii="Arial" w:hAnsi="Arial"/>
          <w:color w:val="auto"/>
          <w:highlight w:val="none"/>
        </w:rPr>
      </w:pPr>
      <w:r>
        <w:rPr>
          <w:rFonts w:hint="eastAsia" w:ascii="Arial" w:hAnsi="Arial"/>
          <w:color w:val="auto"/>
          <w:highlight w:val="none"/>
        </w:rPr>
        <w:t>日期：</w:t>
      </w:r>
    </w:p>
    <w:p>
      <w:pPr>
        <w:snapToGrid w:val="0"/>
        <w:spacing w:line="360" w:lineRule="auto"/>
        <w:rPr>
          <w:rFonts w:hint="eastAsia" w:ascii="宋体" w:hAnsi="宋体" w:cs="Arial"/>
          <w:b/>
          <w:color w:val="auto"/>
          <w:highlight w:val="none"/>
        </w:rPr>
      </w:pPr>
    </w:p>
    <w:p>
      <w:pPr>
        <w:snapToGrid w:val="0"/>
        <w:spacing w:line="360" w:lineRule="auto"/>
        <w:rPr>
          <w:rFonts w:hint="eastAsia" w:ascii="宋体" w:hAnsi="宋体" w:cs="Arial"/>
          <w:b/>
          <w:color w:val="auto"/>
          <w:highlight w:val="none"/>
        </w:rPr>
      </w:pPr>
    </w:p>
    <w:p>
      <w:pPr>
        <w:snapToGrid w:val="0"/>
        <w:spacing w:line="360" w:lineRule="auto"/>
        <w:rPr>
          <w:rFonts w:hint="eastAsia" w:ascii="宋体" w:hAnsi="宋体" w:cs="Arial"/>
          <w:b/>
          <w:color w:val="auto"/>
          <w:highlight w:val="none"/>
        </w:rPr>
      </w:pPr>
      <w:r>
        <w:rPr>
          <w:rFonts w:hint="eastAsia"/>
          <w:b/>
          <w:color w:val="auto"/>
          <w:highlight w:val="none"/>
        </w:rPr>
        <w:t>备注：联合体投标的，联合体成员各方均须提供本项内容相关资料</w:t>
      </w:r>
    </w:p>
    <w:p>
      <w:pPr>
        <w:pStyle w:val="12"/>
        <w:ind w:left="1470" w:right="1470"/>
        <w:rPr>
          <w:rFonts w:hint="eastAsia"/>
          <w:color w:val="auto"/>
          <w:highlight w:val="none"/>
        </w:rPr>
      </w:pPr>
    </w:p>
    <w:p>
      <w:pPr>
        <w:snapToGrid w:val="0"/>
        <w:spacing w:line="360" w:lineRule="auto"/>
        <w:rPr>
          <w:rFonts w:hint="eastAsia" w:ascii="宋体" w:hAnsi="宋体" w:cs="Arial"/>
          <w:b/>
          <w:color w:val="auto"/>
          <w:highlight w:val="none"/>
        </w:rPr>
      </w:pPr>
      <w:r>
        <w:rPr>
          <w:rFonts w:hint="eastAsia" w:ascii="宋体" w:hAnsi="宋体"/>
          <w:color w:val="auto"/>
          <w:highlight w:val="none"/>
        </w:rPr>
        <w:br w:type="page"/>
      </w:r>
      <w:r>
        <w:rPr>
          <w:rFonts w:hint="eastAsia" w:ascii="宋体" w:hAnsi="宋体" w:cs="Arial"/>
          <w:b/>
          <w:color w:val="auto"/>
          <w:highlight w:val="none"/>
        </w:rPr>
        <w:t>（三）有效的企业法人营业执照（或事业法人登记证）、其他组织（个体工商户）的营业执照或者民办非企业单位登记证书复印件加盖供应商公章；（</w:t>
      </w:r>
      <w:r>
        <w:rPr>
          <w:rFonts w:hint="eastAsia"/>
          <w:color w:val="auto"/>
          <w:highlight w:val="none"/>
        </w:rPr>
        <w:t>备注：联合体投标的，联合体成员各方均须提供本项内容相关资料</w:t>
      </w:r>
      <w:r>
        <w:rPr>
          <w:rFonts w:hint="eastAsia" w:ascii="宋体" w:hAnsi="宋体" w:cs="Arial"/>
          <w:b/>
          <w:color w:val="auto"/>
          <w:highlight w:val="none"/>
        </w:rPr>
        <w:t>）</w:t>
      </w:r>
    </w:p>
    <w:p>
      <w:pPr>
        <w:snapToGrid w:val="0"/>
        <w:spacing w:line="360" w:lineRule="auto"/>
        <w:rPr>
          <w:rFonts w:hint="eastAsia" w:ascii="宋体" w:hAnsi="宋体" w:cs="Arial"/>
          <w:b/>
          <w:color w:val="auto"/>
          <w:highlight w:val="none"/>
        </w:rPr>
      </w:pPr>
      <w:r>
        <w:rPr>
          <w:rFonts w:hint="eastAsia" w:ascii="宋体" w:hAnsi="宋体" w:cs="Arial"/>
          <w:b/>
          <w:color w:val="auto"/>
          <w:highlight w:val="none"/>
        </w:rPr>
        <w:t>（四）开标截止时间前6个月内任意1个月的财务会计报表复印件加盖供应商公章；（</w:t>
      </w:r>
      <w:r>
        <w:rPr>
          <w:rFonts w:hint="eastAsia"/>
          <w:color w:val="auto"/>
          <w:highlight w:val="none"/>
        </w:rPr>
        <w:t>备注：联合体投标的，联合体成员各方均须提供本项内容相关资料</w:t>
      </w:r>
      <w:r>
        <w:rPr>
          <w:rFonts w:hint="eastAsia" w:ascii="宋体" w:hAnsi="宋体" w:cs="Arial"/>
          <w:b/>
          <w:color w:val="auto"/>
          <w:highlight w:val="none"/>
        </w:rPr>
        <w:t>）</w:t>
      </w:r>
    </w:p>
    <w:p>
      <w:pPr>
        <w:snapToGrid w:val="0"/>
        <w:spacing w:line="360" w:lineRule="auto"/>
        <w:rPr>
          <w:rFonts w:hint="eastAsia" w:ascii="宋体" w:hAnsi="宋体" w:cs="Arial"/>
          <w:b/>
          <w:color w:val="auto"/>
          <w:highlight w:val="none"/>
        </w:rPr>
      </w:pPr>
    </w:p>
    <w:p>
      <w:pPr>
        <w:snapToGrid w:val="0"/>
        <w:spacing w:line="360" w:lineRule="auto"/>
        <w:rPr>
          <w:rFonts w:ascii="宋体" w:hAnsi="宋体"/>
          <w:color w:val="auto"/>
          <w:highlight w:val="none"/>
        </w:rPr>
      </w:pPr>
      <w:r>
        <w:rPr>
          <w:rFonts w:hint="eastAsia" w:ascii="宋体" w:hAnsi="宋体" w:cs="Arial"/>
          <w:b/>
          <w:color w:val="auto"/>
          <w:highlight w:val="none"/>
        </w:rPr>
        <w:br w:type="page"/>
      </w:r>
    </w:p>
    <w:p>
      <w:pPr>
        <w:spacing w:line="400" w:lineRule="exact"/>
        <w:jc w:val="center"/>
        <w:rPr>
          <w:rFonts w:ascii="宋体" w:hAnsi="宋体"/>
          <w:b/>
          <w:color w:val="auto"/>
          <w:highlight w:val="none"/>
        </w:rPr>
      </w:pPr>
      <w:r>
        <w:rPr>
          <w:rFonts w:hint="eastAsia" w:ascii="宋体" w:hAnsi="宋体"/>
          <w:b/>
          <w:color w:val="auto"/>
          <w:highlight w:val="none"/>
        </w:rPr>
        <w:t>（五）具有履行合同所必需的设备和专业技术能力的声明函</w:t>
      </w:r>
    </w:p>
    <w:p>
      <w:pPr>
        <w:spacing w:line="400" w:lineRule="exact"/>
        <w:jc w:val="center"/>
        <w:rPr>
          <w:rFonts w:ascii="宋体" w:hAnsi="宋体"/>
          <w:b/>
          <w:color w:val="auto"/>
          <w:highlight w:val="none"/>
        </w:rPr>
      </w:pPr>
    </w:p>
    <w:p>
      <w:pPr>
        <w:spacing w:line="400" w:lineRule="exact"/>
        <w:rPr>
          <w:rFonts w:ascii="宋体" w:hAnsi="宋体"/>
          <w:b/>
          <w:color w:val="auto"/>
          <w:highlight w:val="none"/>
        </w:rPr>
      </w:pPr>
      <w:r>
        <w:rPr>
          <w:rFonts w:hint="eastAsia" w:ascii="宋体" w:hAnsi="宋体"/>
          <w:color w:val="auto"/>
          <w:highlight w:val="none"/>
        </w:rPr>
        <w:t>致：</w:t>
      </w:r>
      <w:r>
        <w:rPr>
          <w:rFonts w:hint="eastAsia" w:ascii="宋体" w:hAnsi="宋体"/>
          <w:color w:val="auto"/>
          <w:highlight w:val="none"/>
          <w:u w:val="single"/>
        </w:rPr>
        <w:t xml:space="preserve">（采购人  ） </w:t>
      </w:r>
    </w:p>
    <w:p>
      <w:pPr>
        <w:spacing w:line="400" w:lineRule="exact"/>
        <w:ind w:firstLine="420" w:firstLineChars="200"/>
        <w:rPr>
          <w:rFonts w:ascii="宋体" w:hAnsi="宋体"/>
          <w:color w:val="auto"/>
          <w:highlight w:val="none"/>
        </w:rPr>
      </w:pPr>
      <w:r>
        <w:rPr>
          <w:rFonts w:hint="eastAsia" w:ascii="宋体" w:hAnsi="宋体"/>
          <w:bCs/>
          <w:color w:val="auto"/>
          <w:highlight w:val="none"/>
        </w:rPr>
        <w:t>我单位承诺：</w:t>
      </w:r>
    </w:p>
    <w:p>
      <w:pPr>
        <w:spacing w:line="400" w:lineRule="exact"/>
        <w:ind w:firstLine="420" w:firstLineChars="200"/>
        <w:rPr>
          <w:rFonts w:ascii="宋体" w:hAnsi="宋体"/>
          <w:color w:val="auto"/>
          <w:highlight w:val="none"/>
        </w:rPr>
      </w:pPr>
      <w:r>
        <w:rPr>
          <w:rFonts w:hint="eastAsia" w:ascii="宋体" w:hAnsi="宋体"/>
          <w:color w:val="auto"/>
          <w:highlight w:val="none"/>
        </w:rPr>
        <w:t>我单位具有履行合同所必需的设备和专业技术能力，具体情况介绍如下：</w:t>
      </w:r>
    </w:p>
    <w:p>
      <w:pPr>
        <w:spacing w:line="400" w:lineRule="exact"/>
        <w:ind w:firstLine="420" w:firstLineChars="200"/>
        <w:rPr>
          <w:rFonts w:ascii="宋体" w:hAnsi="宋体"/>
          <w:color w:val="auto"/>
          <w:highlight w:val="none"/>
        </w:rPr>
      </w:pPr>
      <w:r>
        <w:rPr>
          <w:rFonts w:hint="eastAsia" w:ascii="宋体" w:hAnsi="宋体"/>
          <w:color w:val="auto"/>
          <w:highlight w:val="none"/>
        </w:rPr>
        <w:t>（内容包括：主要设备、专业技术人员等）</w:t>
      </w:r>
    </w:p>
    <w:p>
      <w:pPr>
        <w:spacing w:line="400" w:lineRule="exact"/>
        <w:ind w:firstLine="420" w:firstLineChars="200"/>
        <w:rPr>
          <w:rFonts w:ascii="宋体" w:hAnsi="宋体"/>
          <w:color w:val="auto"/>
          <w:highlight w:val="none"/>
        </w:rPr>
      </w:pPr>
    </w:p>
    <w:p>
      <w:pPr>
        <w:spacing w:line="400" w:lineRule="exact"/>
        <w:ind w:firstLine="420" w:firstLineChars="200"/>
        <w:rPr>
          <w:rFonts w:ascii="宋体" w:hAnsi="宋体"/>
          <w:color w:val="auto"/>
          <w:highlight w:val="none"/>
        </w:rPr>
      </w:pPr>
      <w:r>
        <w:rPr>
          <w:rFonts w:hint="eastAsia" w:ascii="宋体" w:hAnsi="宋体"/>
          <w:color w:val="auto"/>
          <w:highlight w:val="none"/>
        </w:rPr>
        <w:t>……</w:t>
      </w:r>
    </w:p>
    <w:p>
      <w:pPr>
        <w:spacing w:line="400" w:lineRule="exact"/>
        <w:ind w:firstLine="420" w:firstLineChars="200"/>
        <w:rPr>
          <w:rFonts w:ascii="宋体" w:hAnsi="宋体"/>
          <w:color w:val="auto"/>
          <w:highlight w:val="none"/>
        </w:rPr>
      </w:pPr>
    </w:p>
    <w:p>
      <w:pPr>
        <w:spacing w:line="400" w:lineRule="exact"/>
        <w:ind w:firstLine="420" w:firstLineChars="200"/>
        <w:rPr>
          <w:rFonts w:ascii="宋体" w:hAnsi="宋体"/>
          <w:color w:val="auto"/>
          <w:highlight w:val="none"/>
        </w:rPr>
      </w:pPr>
      <w:r>
        <w:rPr>
          <w:rFonts w:hint="eastAsia" w:ascii="宋体" w:hAnsi="宋体"/>
          <w:color w:val="auto"/>
          <w:highlight w:val="none"/>
        </w:rPr>
        <w:t>特此承诺。</w:t>
      </w:r>
    </w:p>
    <w:p>
      <w:pPr>
        <w:spacing w:line="400" w:lineRule="exact"/>
        <w:ind w:right="31" w:firstLine="660"/>
        <w:rPr>
          <w:bCs/>
          <w:color w:val="auto"/>
          <w:highlight w:val="none"/>
        </w:rPr>
      </w:pPr>
    </w:p>
    <w:p>
      <w:pPr>
        <w:snapToGrid w:val="0"/>
        <w:spacing w:line="360" w:lineRule="auto"/>
        <w:rPr>
          <w:rFonts w:hint="eastAsia" w:ascii="宋体" w:hAnsi="宋体" w:cs="Arial"/>
          <w:b/>
          <w:bCs/>
          <w:color w:val="auto"/>
          <w:highlight w:val="none"/>
        </w:rPr>
      </w:pPr>
      <w:r>
        <w:rPr>
          <w:rFonts w:hint="eastAsia"/>
          <w:b/>
          <w:bCs/>
          <w:color w:val="auto"/>
          <w:highlight w:val="none"/>
        </w:rPr>
        <w:t>备注：联合体投标的，联合体成员各方均须提供本项内容相关资料</w:t>
      </w:r>
    </w:p>
    <w:p>
      <w:pPr>
        <w:spacing w:line="400" w:lineRule="exact"/>
        <w:ind w:right="31" w:firstLine="660"/>
        <w:rPr>
          <w:bCs/>
          <w:color w:val="auto"/>
          <w:highlight w:val="none"/>
        </w:rPr>
      </w:pPr>
    </w:p>
    <w:p>
      <w:pPr>
        <w:spacing w:line="400" w:lineRule="exact"/>
        <w:rPr>
          <w:rFonts w:ascii="宋体" w:hAnsi="宋体"/>
          <w:color w:val="auto"/>
          <w:kern w:val="0"/>
          <w:highlight w:val="none"/>
        </w:rPr>
      </w:pPr>
    </w:p>
    <w:p>
      <w:pPr>
        <w:spacing w:line="400" w:lineRule="exact"/>
        <w:rPr>
          <w:rFonts w:ascii="宋体" w:hAnsi="宋体"/>
          <w:color w:val="auto"/>
          <w:kern w:val="0"/>
          <w:highlight w:val="none"/>
        </w:rPr>
      </w:pPr>
    </w:p>
    <w:p>
      <w:pPr>
        <w:spacing w:line="400" w:lineRule="exact"/>
        <w:rPr>
          <w:rFonts w:ascii="宋体" w:hAnsi="宋体"/>
          <w:color w:val="auto"/>
          <w:kern w:val="0"/>
          <w:highlight w:val="none"/>
        </w:rPr>
      </w:pPr>
    </w:p>
    <w:p>
      <w:pPr>
        <w:spacing w:line="360" w:lineRule="auto"/>
        <w:jc w:val="right"/>
        <w:rPr>
          <w:rFonts w:hint="eastAsia" w:ascii="Arial" w:hAnsi="Arial"/>
          <w:color w:val="auto"/>
          <w:highlight w:val="none"/>
        </w:rPr>
      </w:pPr>
      <w:r>
        <w:rPr>
          <w:rFonts w:hint="eastAsia" w:ascii="Arial" w:hAnsi="Arial"/>
          <w:color w:val="auto"/>
          <w:highlight w:val="none"/>
        </w:rPr>
        <w:t>投标人全称（公章）：</w:t>
      </w:r>
    </w:p>
    <w:p>
      <w:pPr>
        <w:spacing w:line="360" w:lineRule="auto"/>
        <w:jc w:val="right"/>
        <w:rPr>
          <w:rFonts w:hint="eastAsia" w:ascii="Arial" w:hAnsi="Arial"/>
          <w:color w:val="auto"/>
          <w:highlight w:val="none"/>
        </w:rPr>
      </w:pPr>
      <w:r>
        <w:rPr>
          <w:rFonts w:hint="eastAsia" w:ascii="Arial" w:hAnsi="Arial"/>
          <w:color w:val="auto"/>
          <w:highlight w:val="none"/>
        </w:rPr>
        <w:t xml:space="preserve">法定代表人或授权代表（签字或盖章）：                       </w:t>
      </w:r>
    </w:p>
    <w:p>
      <w:pPr>
        <w:tabs>
          <w:tab w:val="left" w:pos="606"/>
        </w:tabs>
        <w:snapToGrid w:val="0"/>
        <w:spacing w:line="360" w:lineRule="auto"/>
        <w:jc w:val="right"/>
        <w:rPr>
          <w:rFonts w:hint="eastAsia" w:ascii="Arial" w:hAnsi="Arial"/>
          <w:color w:val="auto"/>
          <w:highlight w:val="none"/>
        </w:rPr>
      </w:pPr>
      <w:r>
        <w:rPr>
          <w:rFonts w:hint="eastAsia" w:ascii="Arial" w:hAnsi="Arial"/>
          <w:color w:val="auto"/>
          <w:highlight w:val="none"/>
        </w:rPr>
        <w:t>日期：</w:t>
      </w:r>
    </w:p>
    <w:p>
      <w:pPr>
        <w:pStyle w:val="12"/>
        <w:ind w:left="1470" w:right="1470"/>
        <w:rPr>
          <w:rFonts w:hint="eastAsia"/>
          <w:color w:val="auto"/>
          <w:highlight w:val="none"/>
        </w:rPr>
      </w:pPr>
    </w:p>
    <w:p>
      <w:pPr>
        <w:snapToGrid w:val="0"/>
        <w:spacing w:line="360" w:lineRule="auto"/>
        <w:rPr>
          <w:rFonts w:hint="eastAsia" w:ascii="宋体" w:hAnsi="宋体" w:cs="Arial"/>
          <w:b/>
          <w:color w:val="auto"/>
          <w:highlight w:val="none"/>
        </w:rPr>
      </w:pPr>
      <w:r>
        <w:rPr>
          <w:rFonts w:hint="eastAsia" w:ascii="宋体" w:hAnsi="宋体"/>
          <w:color w:val="auto"/>
          <w:highlight w:val="none"/>
        </w:rPr>
        <w:br w:type="page"/>
      </w:r>
      <w:r>
        <w:rPr>
          <w:rFonts w:hint="eastAsia" w:ascii="宋体" w:hAnsi="宋体"/>
          <w:b/>
          <w:bCs/>
          <w:color w:val="auto"/>
          <w:highlight w:val="none"/>
        </w:rPr>
        <w:t>（六）开标截止时间前6个月内任意1个月的缴纳税收的证明资料复印件加盖供应商公章；</w:t>
      </w:r>
      <w:r>
        <w:rPr>
          <w:rFonts w:hint="eastAsia" w:ascii="宋体" w:hAnsi="宋体" w:cs="Arial"/>
          <w:b/>
          <w:color w:val="auto"/>
          <w:highlight w:val="none"/>
        </w:rPr>
        <w:t>（</w:t>
      </w:r>
      <w:r>
        <w:rPr>
          <w:rFonts w:hint="eastAsia"/>
          <w:color w:val="auto"/>
          <w:highlight w:val="none"/>
        </w:rPr>
        <w:t>备注：联合体投标的，联合体成员各方均须提供本项内容相关资料</w:t>
      </w:r>
      <w:r>
        <w:rPr>
          <w:rFonts w:hint="eastAsia" w:ascii="宋体" w:hAnsi="宋体" w:cs="Arial"/>
          <w:b/>
          <w:color w:val="auto"/>
          <w:highlight w:val="none"/>
        </w:rPr>
        <w:t>）</w:t>
      </w:r>
    </w:p>
    <w:p>
      <w:pPr>
        <w:snapToGrid w:val="0"/>
        <w:spacing w:line="360" w:lineRule="auto"/>
        <w:rPr>
          <w:rFonts w:hint="eastAsia" w:ascii="宋体" w:hAnsi="宋体" w:cs="Arial"/>
          <w:b/>
          <w:color w:val="auto"/>
          <w:highlight w:val="none"/>
        </w:rPr>
      </w:pPr>
    </w:p>
    <w:p>
      <w:pPr>
        <w:spacing w:line="360" w:lineRule="auto"/>
        <w:ind w:firstLine="422" w:firstLineChars="200"/>
        <w:jc w:val="left"/>
        <w:rPr>
          <w:rFonts w:hint="eastAsia" w:ascii="宋体" w:hAnsi="宋体"/>
          <w:b/>
          <w:bCs/>
          <w:color w:val="auto"/>
          <w:highlight w:val="none"/>
        </w:rPr>
      </w:pPr>
    </w:p>
    <w:p>
      <w:pPr>
        <w:snapToGrid w:val="0"/>
        <w:spacing w:line="360" w:lineRule="auto"/>
        <w:rPr>
          <w:rFonts w:hint="eastAsia" w:ascii="宋体" w:hAnsi="宋体" w:cs="Arial"/>
          <w:b/>
          <w:color w:val="auto"/>
          <w:highlight w:val="none"/>
        </w:rPr>
      </w:pPr>
      <w:r>
        <w:rPr>
          <w:rFonts w:hint="eastAsia" w:ascii="宋体" w:hAnsi="宋体"/>
          <w:b/>
          <w:bCs/>
          <w:color w:val="auto"/>
          <w:highlight w:val="none"/>
        </w:rPr>
        <w:t>（七）开标截止时间前6个月内任意1个月的缴纳社保的证明资料复印件加盖供应商公章；</w:t>
      </w:r>
      <w:r>
        <w:rPr>
          <w:rFonts w:hint="eastAsia" w:ascii="宋体" w:hAnsi="宋体" w:cs="Arial"/>
          <w:b/>
          <w:color w:val="auto"/>
          <w:highlight w:val="none"/>
        </w:rPr>
        <w:t>（</w:t>
      </w:r>
      <w:r>
        <w:rPr>
          <w:rFonts w:hint="eastAsia"/>
          <w:color w:val="auto"/>
          <w:highlight w:val="none"/>
        </w:rPr>
        <w:t>备注：联合体投标的，联合体成员各方均须提供本项内容相关资料</w:t>
      </w:r>
      <w:r>
        <w:rPr>
          <w:rFonts w:hint="eastAsia" w:ascii="宋体" w:hAnsi="宋体" w:cs="Arial"/>
          <w:b/>
          <w:color w:val="auto"/>
          <w:highlight w:val="none"/>
        </w:rPr>
        <w:t>）</w:t>
      </w:r>
    </w:p>
    <w:p>
      <w:pPr>
        <w:spacing w:line="360" w:lineRule="auto"/>
        <w:ind w:firstLine="422" w:firstLineChars="200"/>
        <w:jc w:val="left"/>
        <w:rPr>
          <w:rFonts w:hint="eastAsia" w:ascii="宋体" w:hAnsi="宋体"/>
          <w:b/>
          <w:bCs/>
          <w:color w:val="auto"/>
          <w:highlight w:val="none"/>
        </w:rPr>
      </w:pPr>
    </w:p>
    <w:p>
      <w:pPr>
        <w:spacing w:line="400" w:lineRule="exact"/>
        <w:jc w:val="center"/>
        <w:rPr>
          <w:rFonts w:ascii="宋体" w:hAnsi="宋体"/>
          <w:b/>
          <w:color w:val="auto"/>
          <w:highlight w:val="none"/>
        </w:rPr>
      </w:pPr>
      <w:r>
        <w:rPr>
          <w:rFonts w:hint="eastAsia" w:ascii="宋体" w:hAnsi="宋体"/>
          <w:b/>
          <w:bCs/>
          <w:color w:val="auto"/>
          <w:highlight w:val="none"/>
        </w:rPr>
        <w:br w:type="page"/>
      </w:r>
      <w:r>
        <w:rPr>
          <w:rFonts w:hint="eastAsia" w:ascii="宋体" w:hAnsi="宋体"/>
          <w:b/>
          <w:bCs/>
          <w:color w:val="auto"/>
          <w:highlight w:val="none"/>
        </w:rPr>
        <w:t>（八）</w:t>
      </w:r>
      <w:r>
        <w:rPr>
          <w:rFonts w:hint="eastAsia" w:ascii="宋体" w:hAnsi="宋体"/>
          <w:b/>
          <w:color w:val="auto"/>
          <w:highlight w:val="none"/>
        </w:rPr>
        <w:t>无重大违法记录的声明函</w:t>
      </w:r>
    </w:p>
    <w:p>
      <w:pPr>
        <w:spacing w:line="400" w:lineRule="exact"/>
        <w:rPr>
          <w:rFonts w:ascii="宋体" w:hAnsi="宋体"/>
          <w:b/>
          <w:color w:val="auto"/>
          <w:highlight w:val="none"/>
        </w:rPr>
      </w:pPr>
    </w:p>
    <w:p>
      <w:pPr>
        <w:spacing w:line="400" w:lineRule="exact"/>
        <w:rPr>
          <w:rFonts w:ascii="宋体" w:hAnsi="宋体"/>
          <w:b/>
          <w:color w:val="auto"/>
          <w:highlight w:val="none"/>
        </w:rPr>
      </w:pPr>
      <w:r>
        <w:rPr>
          <w:rFonts w:hint="eastAsia" w:ascii="宋体" w:hAnsi="宋体"/>
          <w:color w:val="auto"/>
          <w:highlight w:val="none"/>
        </w:rPr>
        <w:t>致：</w:t>
      </w:r>
      <w:r>
        <w:rPr>
          <w:rFonts w:hint="eastAsia" w:ascii="宋体" w:hAnsi="宋体"/>
          <w:color w:val="auto"/>
          <w:highlight w:val="none"/>
          <w:u w:val="single"/>
        </w:rPr>
        <w:t xml:space="preserve">（采购人  ） </w:t>
      </w:r>
    </w:p>
    <w:p>
      <w:pPr>
        <w:spacing w:line="400" w:lineRule="exact"/>
        <w:ind w:firstLine="420" w:firstLineChars="200"/>
        <w:rPr>
          <w:rFonts w:ascii="宋体" w:hAnsi="宋体"/>
          <w:color w:val="auto"/>
          <w:highlight w:val="none"/>
        </w:rPr>
      </w:pPr>
      <w:r>
        <w:rPr>
          <w:rFonts w:hint="eastAsia" w:ascii="宋体" w:hAnsi="宋体"/>
          <w:bCs/>
          <w:color w:val="auto"/>
          <w:highlight w:val="none"/>
        </w:rPr>
        <w:t>我单位承诺：</w:t>
      </w:r>
    </w:p>
    <w:p>
      <w:pPr>
        <w:spacing w:line="400" w:lineRule="exact"/>
        <w:ind w:firstLine="420" w:firstLineChars="200"/>
        <w:rPr>
          <w:rFonts w:ascii="宋体" w:hAnsi="宋体"/>
          <w:color w:val="auto"/>
          <w:highlight w:val="none"/>
        </w:rPr>
      </w:pPr>
      <w:r>
        <w:rPr>
          <w:rFonts w:hint="eastAsia" w:ascii="宋体" w:hAnsi="宋体"/>
          <w:color w:val="auto"/>
          <w:highlight w:val="none"/>
        </w:rPr>
        <w:t>我单位参与本次采购活动前三年内，在经营活动中没有重大违法记录。</w:t>
      </w:r>
    </w:p>
    <w:p>
      <w:pPr>
        <w:spacing w:line="400" w:lineRule="exact"/>
        <w:ind w:firstLine="420" w:firstLineChars="200"/>
        <w:rPr>
          <w:rFonts w:ascii="宋体" w:hAnsi="宋体"/>
          <w:color w:val="auto"/>
          <w:highlight w:val="none"/>
        </w:rPr>
      </w:pPr>
      <w:r>
        <w:rPr>
          <w:rFonts w:hint="eastAsia" w:ascii="宋体" w:hAnsi="宋体"/>
          <w:color w:val="auto"/>
          <w:highlight w:val="none"/>
        </w:rPr>
        <w:t>我单位对上述声明的真实性负责。如有虚假，将依法承担相应法律责任。</w:t>
      </w:r>
    </w:p>
    <w:p>
      <w:pPr>
        <w:spacing w:line="400" w:lineRule="exact"/>
        <w:ind w:firstLine="420" w:firstLineChars="200"/>
        <w:rPr>
          <w:rFonts w:ascii="宋体" w:hAnsi="宋体"/>
          <w:color w:val="auto"/>
          <w:highlight w:val="none"/>
        </w:rPr>
      </w:pPr>
      <w:r>
        <w:rPr>
          <w:rFonts w:hint="eastAsia" w:ascii="宋体" w:hAnsi="宋体"/>
          <w:color w:val="auto"/>
          <w:highlight w:val="none"/>
        </w:rPr>
        <w:t>特此承诺。</w:t>
      </w:r>
    </w:p>
    <w:p>
      <w:pPr>
        <w:spacing w:line="400" w:lineRule="exact"/>
        <w:ind w:right="31" w:firstLine="660"/>
        <w:rPr>
          <w:bCs/>
          <w:color w:val="auto"/>
          <w:highlight w:val="none"/>
        </w:rPr>
      </w:pPr>
    </w:p>
    <w:p>
      <w:pPr>
        <w:spacing w:line="400" w:lineRule="exact"/>
        <w:ind w:right="31" w:firstLine="660"/>
        <w:rPr>
          <w:b/>
          <w:color w:val="auto"/>
          <w:highlight w:val="none"/>
        </w:rPr>
      </w:pPr>
    </w:p>
    <w:p>
      <w:pPr>
        <w:snapToGrid w:val="0"/>
        <w:spacing w:line="360" w:lineRule="auto"/>
        <w:rPr>
          <w:rFonts w:hint="eastAsia" w:ascii="宋体" w:hAnsi="宋体" w:cs="Arial"/>
          <w:b/>
          <w:color w:val="auto"/>
          <w:highlight w:val="none"/>
        </w:rPr>
      </w:pPr>
      <w:r>
        <w:rPr>
          <w:rFonts w:hint="eastAsia"/>
          <w:b/>
          <w:color w:val="auto"/>
          <w:highlight w:val="none"/>
        </w:rPr>
        <w:t>备注：联合体投标的，联合体成员各方均须提供本项声明函</w:t>
      </w:r>
    </w:p>
    <w:p>
      <w:pPr>
        <w:spacing w:line="400" w:lineRule="exact"/>
        <w:jc w:val="right"/>
        <w:rPr>
          <w:rFonts w:ascii="宋体" w:hAnsi="宋体"/>
          <w:color w:val="auto"/>
          <w:kern w:val="0"/>
          <w:highlight w:val="none"/>
        </w:rPr>
      </w:pPr>
    </w:p>
    <w:p>
      <w:pPr>
        <w:spacing w:line="400" w:lineRule="exact"/>
        <w:rPr>
          <w:rFonts w:ascii="宋体" w:hAnsi="宋体"/>
          <w:color w:val="auto"/>
          <w:kern w:val="0"/>
          <w:highlight w:val="none"/>
        </w:rPr>
      </w:pPr>
    </w:p>
    <w:p>
      <w:pPr>
        <w:spacing w:line="400" w:lineRule="exact"/>
        <w:rPr>
          <w:rFonts w:ascii="宋体" w:hAnsi="宋体"/>
          <w:color w:val="auto"/>
          <w:kern w:val="0"/>
          <w:highlight w:val="none"/>
        </w:rPr>
      </w:pPr>
    </w:p>
    <w:p>
      <w:pPr>
        <w:spacing w:line="360" w:lineRule="auto"/>
        <w:jc w:val="right"/>
        <w:rPr>
          <w:rFonts w:hint="eastAsia" w:ascii="Arial" w:hAnsi="Arial"/>
          <w:color w:val="auto"/>
          <w:highlight w:val="none"/>
        </w:rPr>
      </w:pPr>
      <w:r>
        <w:rPr>
          <w:rFonts w:hint="eastAsia" w:ascii="Arial" w:hAnsi="Arial"/>
          <w:color w:val="auto"/>
          <w:highlight w:val="none"/>
        </w:rPr>
        <w:t>投标人全称（公章）：</w:t>
      </w:r>
    </w:p>
    <w:p>
      <w:pPr>
        <w:spacing w:line="360" w:lineRule="auto"/>
        <w:jc w:val="right"/>
        <w:rPr>
          <w:rFonts w:hint="eastAsia" w:ascii="Arial" w:hAnsi="Arial"/>
          <w:color w:val="auto"/>
          <w:highlight w:val="none"/>
        </w:rPr>
      </w:pPr>
      <w:r>
        <w:rPr>
          <w:rFonts w:hint="eastAsia" w:ascii="Arial" w:hAnsi="Arial"/>
          <w:color w:val="auto"/>
          <w:highlight w:val="none"/>
        </w:rPr>
        <w:t>法定代表人或授权代表（签字或盖章）：</w:t>
      </w:r>
    </w:p>
    <w:p>
      <w:pPr>
        <w:tabs>
          <w:tab w:val="left" w:pos="606"/>
        </w:tabs>
        <w:snapToGrid w:val="0"/>
        <w:spacing w:line="360" w:lineRule="auto"/>
        <w:jc w:val="right"/>
        <w:rPr>
          <w:rFonts w:hint="eastAsia" w:ascii="Arial" w:hAnsi="Arial"/>
          <w:color w:val="auto"/>
          <w:highlight w:val="none"/>
        </w:rPr>
      </w:pPr>
      <w:r>
        <w:rPr>
          <w:rFonts w:hint="eastAsia" w:ascii="Arial" w:hAnsi="Arial"/>
          <w:color w:val="auto"/>
          <w:highlight w:val="none"/>
        </w:rPr>
        <w:t>日期：</w:t>
      </w:r>
    </w:p>
    <w:p>
      <w:pPr>
        <w:spacing w:line="400" w:lineRule="exact"/>
        <w:ind w:right="31" w:firstLine="660"/>
        <w:rPr>
          <w:bCs/>
          <w:color w:val="auto"/>
          <w:highlight w:val="none"/>
        </w:rPr>
      </w:pPr>
    </w:p>
    <w:p>
      <w:pPr>
        <w:spacing w:line="400" w:lineRule="exact"/>
        <w:ind w:right="31" w:firstLine="660"/>
        <w:rPr>
          <w:bCs/>
          <w:color w:val="auto"/>
          <w:highlight w:val="none"/>
        </w:rPr>
      </w:pPr>
    </w:p>
    <w:p>
      <w:pPr>
        <w:spacing w:line="400" w:lineRule="atLeast"/>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、供应商注册成立不足三年的，应就供应商单位成立至参加政府采购活动时段进行承诺。</w:t>
      </w:r>
    </w:p>
    <w:p>
      <w:pPr>
        <w:spacing w:line="400" w:lineRule="atLeast"/>
        <w:rPr>
          <w:rFonts w:ascii="宋体" w:hAnsi="宋体"/>
          <w:color w:val="auto"/>
          <w:highlight w:val="none"/>
        </w:rPr>
      </w:pPr>
      <w:r>
        <w:rPr>
          <w:rFonts w:ascii="宋体" w:hAnsi="宋体"/>
          <w:color w:val="auto"/>
          <w:highlight w:val="none"/>
        </w:rPr>
        <w:t>2</w:t>
      </w:r>
      <w:r>
        <w:rPr>
          <w:rFonts w:hint="eastAsia" w:ascii="宋体" w:hAnsi="宋体"/>
          <w:color w:val="auto"/>
          <w:highlight w:val="none"/>
        </w:rPr>
        <w:t>、政府采购法所称重大违法记录：是指供应商因违法经营受到刑事处罚或者责令停产停业、吊销许可证或者执照、较大数额罚款等行政处罚。</w:t>
      </w:r>
    </w:p>
    <w:p>
      <w:pPr>
        <w:spacing w:line="360" w:lineRule="auto"/>
        <w:rPr>
          <w:rFonts w:hint="eastAsia" w:ascii="宋体" w:hAnsi="宋体"/>
          <w:b/>
          <w:bCs/>
          <w:color w:val="auto"/>
          <w:highlight w:val="none"/>
        </w:rPr>
      </w:pPr>
    </w:p>
    <w:p>
      <w:pPr>
        <w:adjustRightInd w:val="0"/>
        <w:spacing w:line="276" w:lineRule="auto"/>
        <w:jc w:val="center"/>
        <w:rPr>
          <w:rFonts w:hint="eastAsia" w:ascii="宋体" w:hAnsi="宋体" w:cs="宋体"/>
          <w:b/>
          <w:color w:val="auto"/>
          <w:sz w:val="24"/>
          <w:szCs w:val="24"/>
          <w:highlight w:val="none"/>
        </w:rPr>
      </w:pPr>
      <w:r>
        <w:rPr>
          <w:rFonts w:hint="eastAsia" w:ascii="宋体" w:hAnsi="宋体"/>
          <w:b/>
          <w:bCs/>
          <w:color w:val="auto"/>
          <w:highlight w:val="none"/>
        </w:rPr>
        <w:br w:type="page"/>
      </w:r>
      <w:r>
        <w:rPr>
          <w:rFonts w:hint="eastAsia" w:ascii="宋体" w:hAnsi="宋体" w:cs="宋体"/>
          <w:b/>
          <w:color w:val="auto"/>
          <w:sz w:val="24"/>
          <w:szCs w:val="24"/>
          <w:highlight w:val="none"/>
        </w:rPr>
        <w:t>（九）联合体投标协议书</w:t>
      </w:r>
    </w:p>
    <w:p>
      <w:pPr>
        <w:pStyle w:val="12"/>
        <w:spacing w:line="336" w:lineRule="auto"/>
        <w:ind w:left="1470" w:right="1470"/>
        <w:jc w:val="center"/>
        <w:rPr>
          <w:rFonts w:hint="eastAsia"/>
          <w:color w:val="auto"/>
          <w:sz w:val="24"/>
          <w:szCs w:val="24"/>
          <w:highlight w:val="none"/>
        </w:rPr>
      </w:pPr>
      <w:r>
        <w:rPr>
          <w:rFonts w:hint="eastAsia" w:ascii="宋体" w:hAnsi="宋体" w:cs="宋体"/>
          <w:b/>
          <w:color w:val="auto"/>
          <w:sz w:val="24"/>
          <w:szCs w:val="24"/>
          <w:highlight w:val="none"/>
        </w:rPr>
        <w:t>（联合体投标的必须提供）</w:t>
      </w:r>
    </w:p>
    <w:p>
      <w:pPr>
        <w:pStyle w:val="21"/>
        <w:shd w:val="clear" w:color="000000" w:fill="FFFFFF"/>
        <w:spacing w:before="0" w:beforeAutospacing="0" w:after="0" w:afterAutospacing="0" w:line="400" w:lineRule="exact"/>
        <w:ind w:firstLine="525"/>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经各方协商，就参加 </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 xml:space="preserve">项目（项目编号： </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）招标活动联合进行投标事宜，达成以下协议：</w:t>
      </w:r>
    </w:p>
    <w:p>
      <w:pPr>
        <w:pStyle w:val="21"/>
        <w:shd w:val="clear" w:color="000000" w:fill="FFFFFF"/>
        <w:spacing w:before="0" w:beforeAutospacing="0" w:after="0" w:afterAutospacing="0" w:line="400" w:lineRule="exact"/>
        <w:ind w:firstLine="210"/>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1.甲方</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为联合体</w:t>
      </w:r>
      <w:r>
        <w:rPr>
          <w:rFonts w:hint="eastAsia" w:ascii="宋体" w:hAnsi="宋体" w:cs="微软雅黑"/>
          <w:color w:val="auto"/>
          <w:sz w:val="21"/>
          <w:highlight w:val="none"/>
          <w:shd w:val="clear" w:color="auto" w:fill="FFFFFF"/>
        </w:rPr>
        <w:t>主体单位</w:t>
      </w:r>
      <w:r>
        <w:rPr>
          <w:rFonts w:hint="eastAsia" w:cs="微软雅黑"/>
          <w:color w:val="auto"/>
          <w:sz w:val="21"/>
          <w:highlight w:val="none"/>
          <w:shd w:val="clear" w:color="auto" w:fill="FFFFFF"/>
        </w:rPr>
        <w:t>，乙方</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为联合体成员；</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2. 联合体内部有关事项规定如下：</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（1）本次招标过</w:t>
      </w:r>
      <w:r>
        <w:rPr>
          <w:rFonts w:hint="eastAsia" w:ascii="宋体" w:hAnsi="宋体" w:cs="微软雅黑"/>
          <w:color w:val="auto"/>
          <w:sz w:val="21"/>
          <w:highlight w:val="none"/>
          <w:shd w:val="clear" w:color="auto" w:fill="FFFFFF"/>
        </w:rPr>
        <w:t>程中，联合体主体单位负责</w:t>
      </w:r>
      <w:r>
        <w:rPr>
          <w:rFonts w:hint="eastAsia" w:cs="微软雅黑"/>
          <w:color w:val="auto"/>
          <w:sz w:val="21"/>
          <w:highlight w:val="none"/>
          <w:shd w:val="clear" w:color="auto" w:fill="FFFFFF"/>
        </w:rPr>
        <w:t>与招标方联系。</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（2）投标工作由</w:t>
      </w:r>
      <w:r>
        <w:rPr>
          <w:rFonts w:hint="eastAsia" w:ascii="宋体" w:hAnsi="宋体" w:cs="微软雅黑"/>
          <w:color w:val="auto"/>
          <w:sz w:val="21"/>
          <w:highlight w:val="none"/>
          <w:shd w:val="clear" w:color="auto" w:fill="FFFFFF"/>
        </w:rPr>
        <w:t>联合体主体单位负</w:t>
      </w:r>
      <w:r>
        <w:rPr>
          <w:rFonts w:hint="eastAsia" w:cs="微软雅黑"/>
          <w:color w:val="auto"/>
          <w:sz w:val="21"/>
          <w:highlight w:val="none"/>
          <w:shd w:val="clear" w:color="auto" w:fill="FFFFFF"/>
        </w:rPr>
        <w:t>责，由双方组成的投标小组具体实</w:t>
      </w:r>
      <w:r>
        <w:rPr>
          <w:rFonts w:hint="eastAsia" w:ascii="宋体" w:hAnsi="宋体" w:cs="微软雅黑"/>
          <w:color w:val="auto"/>
          <w:sz w:val="21"/>
          <w:highlight w:val="none"/>
          <w:shd w:val="clear" w:color="auto" w:fill="FFFFFF"/>
        </w:rPr>
        <w:t>施；联合体主体单位代</w:t>
      </w:r>
      <w:r>
        <w:rPr>
          <w:rFonts w:hint="eastAsia" w:cs="微软雅黑"/>
          <w:color w:val="auto"/>
          <w:sz w:val="21"/>
          <w:highlight w:val="none"/>
          <w:shd w:val="clear" w:color="auto" w:fill="FFFFFF"/>
        </w:rPr>
        <w:t>表联合体办理投标事宜</w:t>
      </w:r>
      <w:r>
        <w:rPr>
          <w:rFonts w:hint="eastAsia" w:ascii="宋体" w:hAnsi="宋体" w:cs="微软雅黑"/>
          <w:color w:val="auto"/>
          <w:sz w:val="21"/>
          <w:highlight w:val="none"/>
          <w:shd w:val="clear" w:color="auto" w:fill="FFFFFF"/>
        </w:rPr>
        <w:t>，联合体主体单位在投标</w:t>
      </w:r>
      <w:r>
        <w:rPr>
          <w:rFonts w:hint="eastAsia" w:cs="微软雅黑"/>
          <w:color w:val="auto"/>
          <w:sz w:val="21"/>
          <w:highlight w:val="none"/>
          <w:shd w:val="clear" w:color="auto" w:fill="FFFFFF"/>
        </w:rPr>
        <w:t>文件中的所有承诺均代表了联合体各成员。</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（3）联合体将严格按照招标文件的各项要求，递交投标文件，切实执行一切合同文件，共同承担合同规定的一切义务和责任，同时按照内部职责的划分，承担自身所负的责任和风险。</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（4）如中标，联合体内部将遵守以下规定：</w:t>
      </w: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a.</w:t>
      </w:r>
      <w:r>
        <w:rPr>
          <w:rFonts w:hint="eastAsia" w:ascii="宋体" w:hAnsi="宋体" w:cs="微软雅黑"/>
          <w:color w:val="auto"/>
          <w:sz w:val="21"/>
          <w:highlight w:val="none"/>
          <w:shd w:val="clear" w:color="auto" w:fill="FFFFFF"/>
        </w:rPr>
        <w:t>联合体主体单位和成员共同与</w:t>
      </w:r>
      <w:r>
        <w:rPr>
          <w:rFonts w:hint="eastAsia" w:cs="微软雅黑"/>
          <w:color w:val="auto"/>
          <w:sz w:val="21"/>
          <w:highlight w:val="none"/>
          <w:shd w:val="clear" w:color="auto" w:fill="FFFFFF"/>
        </w:rPr>
        <w:t>业主签订合同书，并就中标项目向业主负责有连带的和各自的</w:t>
      </w:r>
      <w:r>
        <w:rPr>
          <w:rFonts w:cs="微软雅黑"/>
          <w:color w:val="auto"/>
          <w:sz w:val="21"/>
          <w:highlight w:val="none"/>
          <w:u w:val="single"/>
          <w:shd w:val="clear" w:color="auto" w:fill="FFFFFF"/>
        </w:rPr>
        <w:fldChar w:fldCharType="begin"/>
      </w:r>
      <w:r>
        <w:rPr>
          <w:rFonts w:cs="微软雅黑"/>
          <w:color w:val="auto"/>
          <w:sz w:val="21"/>
          <w:highlight w:val="none"/>
          <w:u w:val="single"/>
          <w:shd w:val="clear" w:color="auto" w:fill="FFFFFF"/>
        </w:rPr>
        <w:instrText xml:space="preserve"> HYPERLINK "http://www.chinalawedu.com/" </w:instrText>
      </w:r>
      <w:r>
        <w:rPr>
          <w:rFonts w:cs="微软雅黑"/>
          <w:color w:val="auto"/>
          <w:sz w:val="21"/>
          <w:highlight w:val="none"/>
          <w:u w:val="single"/>
          <w:shd w:val="clear" w:color="auto" w:fill="FFFFFF"/>
        </w:rPr>
        <w:fldChar w:fldCharType="separate"/>
      </w:r>
      <w:r>
        <w:rPr>
          <w:rFonts w:hint="eastAsia" w:cs="微软雅黑"/>
          <w:color w:val="auto"/>
          <w:sz w:val="21"/>
          <w:highlight w:val="none"/>
          <w:shd w:val="clear" w:color="auto" w:fill="FFFFFF"/>
        </w:rPr>
        <w:t>法律责任；</w:t>
      </w:r>
      <w:r>
        <w:rPr>
          <w:rFonts w:cs="微软雅黑"/>
          <w:color w:val="auto"/>
          <w:sz w:val="21"/>
          <w:highlight w:val="none"/>
          <w:shd w:val="clear" w:color="auto" w:fill="FFFFFF"/>
        </w:rPr>
        <w:fldChar w:fldCharType="end"/>
      </w:r>
    </w:p>
    <w:p>
      <w:pPr>
        <w:pStyle w:val="21"/>
        <w:shd w:val="clear" w:color="000000" w:fill="FFFFFF"/>
        <w:spacing w:before="0" w:beforeAutospacing="0" w:after="0" w:afterAutospacing="0" w:line="400" w:lineRule="exact"/>
        <w:ind w:firstLine="315"/>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  b.</w:t>
      </w:r>
      <w:r>
        <w:rPr>
          <w:rFonts w:hint="eastAsia" w:ascii="宋体" w:hAnsi="宋体" w:cs="微软雅黑"/>
          <w:color w:val="auto"/>
          <w:sz w:val="21"/>
          <w:highlight w:val="none"/>
          <w:shd w:val="clear" w:color="auto" w:fill="FFFFFF"/>
        </w:rPr>
        <w:t>联合体主体单位代表联合体</w:t>
      </w:r>
      <w:r>
        <w:rPr>
          <w:rFonts w:hint="eastAsia" w:cs="微软雅黑"/>
          <w:color w:val="auto"/>
          <w:sz w:val="21"/>
          <w:highlight w:val="none"/>
          <w:shd w:val="clear" w:color="auto" w:fill="FFFFFF"/>
        </w:rPr>
        <w:t>成员承担责任和接受业主的指令、指示和通知并且在整个合同实施过程中的全部事宜；</w:t>
      </w:r>
    </w:p>
    <w:p>
      <w:pPr>
        <w:pStyle w:val="21"/>
        <w:shd w:val="clear" w:color="000000" w:fill="FFFFFF"/>
        <w:spacing w:before="0" w:beforeAutospacing="0" w:after="0" w:afterAutospacing="0" w:line="400" w:lineRule="exact"/>
        <w:ind w:firstLine="420"/>
        <w:rPr>
          <w:rFonts w:hint="eastAsia" w:cs="微软雅黑"/>
          <w:color w:val="auto"/>
          <w:sz w:val="21"/>
          <w:highlight w:val="none"/>
          <w:shd w:val="clear" w:color="auto" w:fill="FFFFFF"/>
        </w:rPr>
      </w:pPr>
      <w:r>
        <w:rPr>
          <w:rFonts w:hint="eastAsia" w:cs="微软雅黑"/>
          <w:color w:val="auto"/>
          <w:sz w:val="21"/>
          <w:highlight w:val="none"/>
          <w:shd w:val="clear" w:color="auto" w:fill="FFFFFF"/>
        </w:rPr>
        <w:t>（5）投标工作和联合体在中标后工程实施过程中的有关费用按各自承担的工作量分摊。</w:t>
      </w:r>
    </w:p>
    <w:p>
      <w:pPr>
        <w:pStyle w:val="21"/>
        <w:shd w:val="clear" w:color="000000" w:fill="FFFFFF"/>
        <w:spacing w:before="0" w:beforeAutospacing="0" w:after="0" w:afterAutospacing="0" w:line="400" w:lineRule="exact"/>
        <w:ind w:firstLine="420"/>
        <w:rPr>
          <w:rFonts w:hint="eastAsia" w:cs="微软雅黑"/>
          <w:color w:val="auto"/>
          <w:sz w:val="21"/>
          <w:highlight w:val="none"/>
          <w:shd w:val="clear" w:color="auto" w:fill="FFFFFF"/>
        </w:rPr>
      </w:pPr>
      <w:r>
        <w:rPr>
          <w:rFonts w:hint="eastAsia" w:cs="微软雅黑"/>
          <w:color w:val="auto"/>
          <w:sz w:val="21"/>
          <w:highlight w:val="none"/>
          <w:shd w:val="clear" w:color="auto" w:fill="FFFFFF"/>
        </w:rPr>
        <w:t>（6）本次联合体投标中，甲方承担的工作和义务为：</w:t>
      </w:r>
      <w:r>
        <w:rPr>
          <w:rFonts w:hint="eastAsia" w:cs="微软雅黑"/>
          <w:color w:val="auto"/>
          <w:sz w:val="21"/>
          <w:highlight w:val="none"/>
          <w:u w:val="single"/>
          <w:shd w:val="clear" w:color="auto" w:fill="FFFFFF"/>
        </w:rPr>
        <w:t xml:space="preserve">                 ； </w:t>
      </w:r>
      <w:r>
        <w:rPr>
          <w:rFonts w:hint="eastAsia" w:cs="微软雅黑"/>
          <w:color w:val="auto"/>
          <w:sz w:val="21"/>
          <w:highlight w:val="none"/>
          <w:shd w:val="clear" w:color="auto" w:fill="FFFFFF"/>
        </w:rPr>
        <w:t>甲方承担本项目所占金额的比例为</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乙方承担的工作和义务为：</w:t>
      </w:r>
      <w:r>
        <w:rPr>
          <w:rFonts w:hint="eastAsia" w:cs="微软雅黑"/>
          <w:color w:val="auto"/>
          <w:sz w:val="21"/>
          <w:highlight w:val="none"/>
          <w:u w:val="single"/>
          <w:shd w:val="clear" w:color="auto" w:fill="FFFFFF"/>
        </w:rPr>
        <w:t xml:space="preserve">             ；</w:t>
      </w:r>
      <w:r>
        <w:rPr>
          <w:rFonts w:hint="eastAsia" w:cs="微软雅黑"/>
          <w:color w:val="auto"/>
          <w:sz w:val="21"/>
          <w:highlight w:val="none"/>
          <w:shd w:val="clear" w:color="auto" w:fill="FFFFFF"/>
        </w:rPr>
        <w:t>乙方承担本项目所占金额的比例为</w:t>
      </w:r>
      <w:r>
        <w:rPr>
          <w:rFonts w:hint="eastAsia" w:cs="微软雅黑"/>
          <w:color w:val="auto"/>
          <w:sz w:val="21"/>
          <w:highlight w:val="none"/>
          <w:u w:val="single"/>
          <w:shd w:val="clear" w:color="auto" w:fill="FFFFFF"/>
        </w:rPr>
        <w:t xml:space="preserve">                %；</w:t>
      </w:r>
    </w:p>
    <w:p>
      <w:pPr>
        <w:pStyle w:val="21"/>
        <w:shd w:val="clear" w:color="000000" w:fill="FFFFFF"/>
        <w:spacing w:before="0" w:beforeAutospacing="0" w:after="0" w:afterAutospacing="0" w:line="400" w:lineRule="exact"/>
        <w:rPr>
          <w:rFonts w:hint="eastAsia" w:cs="微软雅黑"/>
          <w:color w:val="auto"/>
          <w:sz w:val="21"/>
          <w:highlight w:val="none"/>
          <w:shd w:val="clear" w:color="auto" w:fill="FFFFFF"/>
        </w:rPr>
      </w:pPr>
      <w:r>
        <w:rPr>
          <w:rFonts w:hint="eastAsia" w:cs="微软雅黑"/>
          <w:color w:val="auto"/>
          <w:sz w:val="21"/>
          <w:highlight w:val="none"/>
          <w:shd w:val="clear" w:color="auto" w:fill="FFFFFF"/>
        </w:rPr>
        <w:t xml:space="preserve">    3.本协议书自签署之日起生效，在上述（4）a所述的合同书规定的期限之后自行失效；如中标后，联合体内部另有协议的，联合体主办人应将该协议书送交业主。</w:t>
      </w:r>
    </w:p>
    <w:p>
      <w:pPr>
        <w:pStyle w:val="21"/>
        <w:shd w:val="clear" w:color="000000" w:fill="FFFFFF"/>
        <w:spacing w:before="0" w:beforeAutospacing="0" w:after="0" w:afterAutospacing="0" w:line="400" w:lineRule="exact"/>
        <w:rPr>
          <w:rFonts w:hint="eastAsia" w:cs="微软雅黑"/>
          <w:color w:val="auto"/>
          <w:sz w:val="21"/>
          <w:highlight w:val="none"/>
          <w:shd w:val="clear" w:color="auto" w:fill="FFFFFF"/>
        </w:rPr>
      </w:pPr>
    </w:p>
    <w:p>
      <w:pPr>
        <w:pStyle w:val="21"/>
        <w:shd w:val="clear" w:color="000000" w:fill="FFFFFF"/>
        <w:spacing w:before="0" w:beforeAutospacing="0" w:after="0" w:afterAutospacing="0" w:line="400" w:lineRule="exact"/>
        <w:rPr>
          <w:rFonts w:cs="微软雅黑"/>
          <w:color w:val="auto"/>
          <w:sz w:val="21"/>
          <w:highlight w:val="none"/>
          <w:shd w:val="clear" w:color="auto" w:fill="FFFFFF"/>
        </w:rPr>
      </w:pPr>
      <w:r>
        <w:rPr>
          <w:rFonts w:hint="eastAsia" w:cs="微软雅黑"/>
          <w:color w:val="auto"/>
          <w:sz w:val="21"/>
          <w:highlight w:val="none"/>
          <w:shd w:val="clear" w:color="auto" w:fill="FFFFFF"/>
        </w:rPr>
        <w:t xml:space="preserve">甲公司名称：（盖章）                            乙公司名称：（盖章）                          </w:t>
      </w:r>
    </w:p>
    <w:p>
      <w:pPr>
        <w:pStyle w:val="12"/>
        <w:spacing w:after="0" w:line="400" w:lineRule="exact"/>
        <w:ind w:left="0" w:leftChars="0" w:right="0" w:rightChars="0"/>
        <w:rPr>
          <w:rFonts w:hint="eastAsia" w:cs="微软雅黑"/>
          <w:color w:val="auto"/>
          <w:highlight w:val="none"/>
          <w:shd w:val="clear" w:color="auto" w:fill="FFFFFF"/>
        </w:rPr>
      </w:pPr>
    </w:p>
    <w:p>
      <w:pPr>
        <w:spacing w:line="400" w:lineRule="exact"/>
        <w:rPr>
          <w:rFonts w:cs="微软雅黑"/>
          <w:color w:val="auto"/>
          <w:highlight w:val="none"/>
          <w:shd w:val="clear" w:color="auto" w:fill="FFFFFF"/>
        </w:rPr>
      </w:pPr>
      <w:r>
        <w:rPr>
          <w:rFonts w:hint="eastAsia" w:cs="微软雅黑"/>
          <w:color w:val="auto"/>
          <w:highlight w:val="none"/>
          <w:shd w:val="clear" w:color="auto" w:fill="FFFFFF"/>
        </w:rPr>
        <w:t>甲方法定代表人（签字或盖章）：                  乙方法定代表人（签字或盖章）：</w:t>
      </w:r>
    </w:p>
    <w:p>
      <w:pPr>
        <w:spacing w:line="360" w:lineRule="auto"/>
        <w:rPr>
          <w:rFonts w:hint="eastAsia" w:ascii="宋体" w:hAnsi="宋体"/>
          <w:b/>
          <w:bCs/>
          <w:color w:val="auto"/>
          <w:highlight w:val="none"/>
        </w:rPr>
      </w:pPr>
      <w:r>
        <w:rPr>
          <w:rFonts w:hint="eastAsia" w:ascii="宋体" w:hAnsi="宋体"/>
          <w:b/>
          <w:bCs/>
          <w:color w:val="auto"/>
          <w:highlight w:val="none"/>
        </w:rPr>
        <w:br w:type="page"/>
      </w:r>
      <w:r>
        <w:rPr>
          <w:rFonts w:hint="eastAsia" w:ascii="宋体" w:hAnsi="宋体"/>
          <w:b/>
          <w:bCs/>
          <w:color w:val="auto"/>
          <w:highlight w:val="none"/>
        </w:rPr>
        <w:t>（十）供应商认为需要的其他资料（如有需提供）。</w:t>
      </w:r>
    </w:p>
    <w:p>
      <w:pPr>
        <w:pStyle w:val="12"/>
        <w:ind w:left="1470" w:right="1470"/>
        <w:rPr>
          <w:rFonts w:hint="eastAsia" w:ascii="宋体" w:hAnsi="宋体"/>
          <w:color w:val="auto"/>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p>
    <w:p>
      <w:pPr>
        <w:pStyle w:val="10"/>
        <w:snapToGrid w:val="0"/>
        <w:spacing w:line="440" w:lineRule="exact"/>
        <w:ind w:firstLine="0"/>
        <w:rPr>
          <w:rFonts w:hint="eastAsia" w:hAnsi="宋体"/>
          <w:b/>
          <w:bCs/>
          <w:color w:val="auto"/>
          <w:kern w:val="44"/>
          <w:sz w:val="24"/>
          <w:szCs w:val="24"/>
          <w:highlight w:val="none"/>
        </w:rPr>
      </w:pPr>
      <w:r>
        <w:rPr>
          <w:rFonts w:hint="eastAsia" w:hAnsi="宋体"/>
          <w:b/>
          <w:bCs/>
          <w:color w:val="auto"/>
          <w:kern w:val="44"/>
          <w:sz w:val="24"/>
          <w:szCs w:val="24"/>
          <w:highlight w:val="none"/>
        </w:rPr>
        <w:br w:type="page"/>
      </w:r>
    </w:p>
    <w:p>
      <w:pPr>
        <w:pStyle w:val="10"/>
        <w:snapToGrid w:val="0"/>
        <w:spacing w:line="440" w:lineRule="exact"/>
        <w:ind w:firstLine="0"/>
        <w:rPr>
          <w:rFonts w:hint="eastAsia" w:hAnsi="宋体"/>
          <w:b/>
          <w:bCs/>
          <w:color w:val="auto"/>
          <w:kern w:val="44"/>
          <w:sz w:val="24"/>
          <w:szCs w:val="24"/>
          <w:highlight w:val="none"/>
        </w:rPr>
      </w:pPr>
      <w:r>
        <w:rPr>
          <w:rFonts w:hint="eastAsia" w:hAnsi="宋体"/>
          <w:b/>
          <w:bCs/>
          <w:color w:val="auto"/>
          <w:kern w:val="44"/>
          <w:sz w:val="24"/>
          <w:szCs w:val="24"/>
          <w:highlight w:val="none"/>
        </w:rPr>
        <w:t>四、报价文件格式</w:t>
      </w:r>
    </w:p>
    <w:p>
      <w:pPr>
        <w:spacing w:after="120"/>
        <w:rPr>
          <w:rFonts w:hint="eastAsia" w:ascii="宋体" w:hAnsi="宋体" w:cs="宋体"/>
          <w:color w:val="auto"/>
          <w:spacing w:val="-4"/>
          <w:sz w:val="22"/>
          <w:szCs w:val="22"/>
          <w:highlight w:val="none"/>
        </w:rPr>
      </w:pPr>
      <w:r>
        <w:rPr>
          <w:rFonts w:hint="eastAsia"/>
          <w:color w:val="auto"/>
          <w:spacing w:val="-4"/>
          <w:sz w:val="22"/>
          <w:szCs w:val="22"/>
          <w:highlight w:val="none"/>
        </w:rPr>
        <w:t>（1）</w:t>
      </w:r>
      <w:r>
        <w:rPr>
          <w:rFonts w:hint="eastAsia" w:ascii="宋体" w:hAnsi="宋体" w:cs="宋体"/>
          <w:color w:val="auto"/>
          <w:spacing w:val="-4"/>
          <w:sz w:val="22"/>
          <w:szCs w:val="22"/>
          <w:highlight w:val="none"/>
        </w:rPr>
        <w:t>投标函（</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（2）开标一览表（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（3）报价明细表（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（4）中小企业声明函（</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rPr>
          <w:rFonts w:hint="eastAsia" w:ascii="宋体" w:hAnsi="宋体" w:cs="宋体"/>
          <w:color w:val="auto"/>
          <w:spacing w:val="-4"/>
          <w:sz w:val="22"/>
          <w:szCs w:val="22"/>
          <w:highlight w:val="none"/>
        </w:rPr>
      </w:pPr>
      <w:r>
        <w:rPr>
          <w:rFonts w:hint="eastAsia" w:ascii="宋体" w:hAnsi="宋体" w:cs="宋体"/>
          <w:color w:val="auto"/>
          <w:spacing w:val="-4"/>
          <w:sz w:val="22"/>
          <w:szCs w:val="22"/>
          <w:highlight w:val="none"/>
        </w:rPr>
        <w:t>（5）残疾人福利性单位声明函如适用（</w:t>
      </w:r>
      <w:r>
        <w:rPr>
          <w:rFonts w:hint="eastAsia"/>
          <w:color w:val="auto"/>
          <w:spacing w:val="-4"/>
          <w:sz w:val="22"/>
          <w:szCs w:val="22"/>
          <w:highlight w:val="none"/>
        </w:rPr>
        <w:t>格式见第六章 投标文件格式</w:t>
      </w:r>
      <w:r>
        <w:rPr>
          <w:rFonts w:hint="eastAsia" w:ascii="宋体" w:hAnsi="宋体" w:cs="宋体"/>
          <w:color w:val="auto"/>
          <w:spacing w:val="-4"/>
          <w:sz w:val="22"/>
          <w:szCs w:val="22"/>
          <w:highlight w:val="none"/>
        </w:rPr>
        <w:t>）；</w:t>
      </w:r>
    </w:p>
    <w:p>
      <w:pPr>
        <w:spacing w:after="120"/>
        <w:rPr>
          <w:rFonts w:hint="eastAsia"/>
          <w:color w:val="auto"/>
          <w:spacing w:val="-4"/>
          <w:sz w:val="22"/>
          <w:szCs w:val="22"/>
          <w:highlight w:val="none"/>
        </w:rPr>
      </w:pPr>
      <w:r>
        <w:rPr>
          <w:rFonts w:hint="eastAsia" w:ascii="宋体" w:hAnsi="宋体" w:cs="宋体"/>
          <w:color w:val="auto"/>
          <w:spacing w:val="-4"/>
          <w:sz w:val="22"/>
          <w:szCs w:val="22"/>
          <w:highlight w:val="none"/>
        </w:rPr>
        <w:t>（6）投标人认为需提交的其他文件资料。</w:t>
      </w:r>
    </w:p>
    <w:p>
      <w:pPr>
        <w:pStyle w:val="10"/>
        <w:snapToGrid w:val="0"/>
        <w:spacing w:line="440" w:lineRule="exact"/>
        <w:ind w:firstLine="0"/>
        <w:rPr>
          <w:rFonts w:hint="eastAsia" w:hAnsi="宋体"/>
          <w:b/>
          <w:bCs/>
          <w:color w:val="auto"/>
          <w:kern w:val="44"/>
          <w:sz w:val="24"/>
          <w:szCs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rPr>
          <w:rFonts w:hint="eastAsia" w:ascii="宋体" w:hAnsi="宋体"/>
          <w:color w:val="auto"/>
          <w:sz w:val="24"/>
          <w:highlight w:val="none"/>
        </w:rPr>
      </w:pPr>
    </w:p>
    <w:p>
      <w:pPr>
        <w:snapToGrid w:val="0"/>
        <w:spacing w:before="120" w:beforeLines="50" w:after="50" w:line="440" w:lineRule="exact"/>
        <w:jc w:val="center"/>
        <w:rPr>
          <w:rFonts w:ascii="宋体" w:hAnsi="宋体"/>
          <w:b/>
          <w:color w:val="auto"/>
          <w:sz w:val="24"/>
          <w:szCs w:val="22"/>
          <w:highlight w:val="none"/>
        </w:rPr>
      </w:pPr>
      <w:r>
        <w:rPr>
          <w:rFonts w:hint="eastAsia" w:ascii="宋体" w:hAnsi="宋体"/>
          <w:b/>
          <w:color w:val="auto"/>
          <w:sz w:val="24"/>
          <w:szCs w:val="22"/>
          <w:highlight w:val="none"/>
        </w:rPr>
        <w:br w:type="page"/>
      </w:r>
      <w:r>
        <w:rPr>
          <w:rFonts w:hint="eastAsia" w:ascii="宋体" w:hAnsi="宋体"/>
          <w:b/>
          <w:color w:val="auto"/>
          <w:sz w:val="24"/>
          <w:szCs w:val="22"/>
          <w:highlight w:val="none"/>
        </w:rPr>
        <w:t>（一）投</w:t>
      </w:r>
      <w:r>
        <w:rPr>
          <w:rFonts w:ascii="宋体" w:hAnsi="宋体"/>
          <w:b/>
          <w:color w:val="auto"/>
          <w:sz w:val="24"/>
          <w:szCs w:val="22"/>
          <w:highlight w:val="none"/>
        </w:rPr>
        <w:t xml:space="preserve"> </w:t>
      </w:r>
      <w:r>
        <w:rPr>
          <w:rFonts w:hint="eastAsia" w:ascii="宋体" w:hAnsi="宋体"/>
          <w:b/>
          <w:color w:val="auto"/>
          <w:sz w:val="24"/>
          <w:szCs w:val="22"/>
          <w:highlight w:val="none"/>
        </w:rPr>
        <w:t>标</w:t>
      </w:r>
      <w:r>
        <w:rPr>
          <w:rFonts w:ascii="宋体" w:hAnsi="宋体"/>
          <w:b/>
          <w:color w:val="auto"/>
          <w:sz w:val="24"/>
          <w:szCs w:val="22"/>
          <w:highlight w:val="none"/>
        </w:rPr>
        <w:t xml:space="preserve"> </w:t>
      </w:r>
      <w:r>
        <w:rPr>
          <w:rFonts w:hint="eastAsia" w:ascii="宋体" w:hAnsi="宋体"/>
          <w:b/>
          <w:color w:val="auto"/>
          <w:sz w:val="24"/>
          <w:szCs w:val="22"/>
          <w:highlight w:val="none"/>
        </w:rPr>
        <w:t>函</w:t>
      </w:r>
    </w:p>
    <w:p>
      <w:pPr>
        <w:snapToGrid w:val="0"/>
        <w:spacing w:line="440" w:lineRule="exact"/>
        <w:rPr>
          <w:rFonts w:hint="eastAsia" w:ascii="宋体" w:hAnsi="宋体"/>
          <w:color w:val="auto"/>
          <w:highlight w:val="none"/>
        </w:rPr>
      </w:pPr>
    </w:p>
    <w:p>
      <w:pPr>
        <w:snapToGrid w:val="0"/>
        <w:spacing w:line="440" w:lineRule="exact"/>
        <w:rPr>
          <w:rFonts w:ascii="宋体" w:hAnsi="宋体"/>
          <w:color w:val="auto"/>
          <w:highlight w:val="none"/>
        </w:rPr>
      </w:pPr>
      <w:r>
        <w:rPr>
          <w:rFonts w:hint="eastAsia" w:ascii="宋体" w:hAnsi="宋体"/>
          <w:b/>
          <w:color w:val="auto"/>
          <w:highlight w:val="none"/>
        </w:rPr>
        <w:t>致：</w:t>
      </w:r>
      <w:r>
        <w:rPr>
          <w:rFonts w:hint="eastAsia" w:ascii="宋体" w:hAnsi="宋体"/>
          <w:b/>
          <w:color w:val="auto"/>
          <w:highlight w:val="none"/>
          <w:u w:val="single"/>
        </w:rPr>
        <w:t>采购人</w:t>
      </w:r>
    </w:p>
    <w:p>
      <w:pPr>
        <w:spacing w:line="360" w:lineRule="auto"/>
        <w:rPr>
          <w:rFonts w:ascii="宋体" w:hAnsi="宋体"/>
          <w:color w:val="auto"/>
          <w:highlight w:val="none"/>
        </w:rPr>
      </w:pPr>
      <w:r>
        <w:rPr>
          <w:rFonts w:ascii="宋体" w:hAnsi="宋体"/>
          <w:color w:val="auto"/>
          <w:highlight w:val="none"/>
          <w:u w:val="single"/>
        </w:rPr>
        <w:t>（</w:t>
      </w:r>
      <w:r>
        <w:rPr>
          <w:rFonts w:hint="eastAsia" w:ascii="宋体" w:hAnsi="宋体"/>
          <w:color w:val="auto"/>
          <w:highlight w:val="none"/>
          <w:u w:val="single"/>
        </w:rPr>
        <w:t>供应商全称</w:t>
      </w:r>
      <w:r>
        <w:rPr>
          <w:rFonts w:ascii="宋体" w:hAnsi="宋体"/>
          <w:color w:val="auto"/>
          <w:highlight w:val="none"/>
          <w:u w:val="single"/>
        </w:rPr>
        <w:t>）</w:t>
      </w:r>
      <w:r>
        <w:rPr>
          <w:rFonts w:hint="eastAsia" w:ascii="宋体" w:hAnsi="宋体"/>
          <w:color w:val="auto"/>
          <w:highlight w:val="none"/>
          <w:u w:val="single"/>
        </w:rPr>
        <w:t>　</w:t>
      </w:r>
      <w:r>
        <w:rPr>
          <w:rFonts w:hint="eastAsia" w:ascii="宋体" w:hAnsi="宋体"/>
          <w:color w:val="auto"/>
          <w:highlight w:val="none"/>
        </w:rPr>
        <w:t>授权</w:t>
      </w:r>
      <w:r>
        <w:rPr>
          <w:rFonts w:hint="eastAsia" w:ascii="宋体" w:hAnsi="宋体"/>
          <w:color w:val="auto"/>
          <w:highlight w:val="none"/>
          <w:u w:val="single"/>
        </w:rPr>
        <w:t>（全名、职务）</w:t>
      </w:r>
      <w:r>
        <w:rPr>
          <w:rFonts w:hint="eastAsia" w:ascii="宋体" w:hAnsi="宋体"/>
          <w:color w:val="auto"/>
          <w:highlight w:val="none"/>
        </w:rPr>
        <w:t>为全权代表，参加贵方组织的（</w:t>
      </w:r>
      <w:r>
        <w:rPr>
          <w:rFonts w:hint="eastAsia" w:ascii="宋体" w:hAnsi="宋体"/>
          <w:color w:val="auto"/>
          <w:highlight w:val="none"/>
          <w:u w:val="single"/>
        </w:rPr>
        <w:t>招标项目名称）、（项目编号：）</w:t>
      </w:r>
      <w:r>
        <w:rPr>
          <w:rFonts w:hint="eastAsia" w:ascii="宋体" w:hAnsi="宋体"/>
          <w:color w:val="auto"/>
          <w:highlight w:val="none"/>
        </w:rPr>
        <w:t>招标活动并投标，为便于贵方公正、择优地确定中标供应商及其投标产品和服务，我方就本次投标有关事项郑重声明如下：</w:t>
      </w:r>
    </w:p>
    <w:p>
      <w:pPr>
        <w:snapToGrid w:val="0"/>
        <w:spacing w:line="360" w:lineRule="auto"/>
        <w:ind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、我方向贵方提交的所有投标文件、资料都是准确的和真实的。如有虚假或隐瞒，我方愿意承担一切后果，并不再寻求任何旨在减轻或免除法律责任的辩解。</w:t>
      </w:r>
    </w:p>
    <w:p>
      <w:pPr>
        <w:snapToGrid w:val="0"/>
        <w:spacing w:line="360" w:lineRule="auto"/>
        <w:ind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、我方不是为本项目提供整体设计、规范编制或者项目管理、监理、检测等服务的供应商。</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3、我们已详细审查全部招标文件及有关的澄清/修改文件(若有)，我们完全理解并同意放弃对这方面提出任何异议的权利。</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4、保证遵守招标文件有关条款规定。</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5、本项目的投标报价详见“开标一览表”。</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6、投标文件有效期为自开标之日起</w:t>
      </w:r>
      <w:r>
        <w:rPr>
          <w:rFonts w:hint="eastAsia" w:ascii="宋体" w:hAnsi="宋体"/>
          <w:color w:val="auto"/>
          <w:highlight w:val="none"/>
          <w:u w:val="single"/>
        </w:rPr>
        <w:t xml:space="preserve">     </w:t>
      </w:r>
      <w:r>
        <w:rPr>
          <w:rFonts w:hint="eastAsia" w:ascii="宋体" w:hAnsi="宋体"/>
          <w:color w:val="auto"/>
          <w:highlight w:val="none"/>
        </w:rPr>
        <w:t>个日历日。</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7、保证在中标后忠实地执行与采购人所签署的合同，并承担合同规定的责任义务。</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napToGrid w:val="0"/>
        <w:spacing w:line="440" w:lineRule="exact"/>
        <w:ind w:firstLine="420" w:firstLineChars="200"/>
        <w:rPr>
          <w:rFonts w:ascii="宋体" w:hAnsi="宋体"/>
          <w:color w:val="auto"/>
          <w:highlight w:val="none"/>
        </w:rPr>
      </w:pPr>
      <w:r>
        <w:rPr>
          <w:rFonts w:hint="eastAsia" w:ascii="宋体" w:hAnsi="宋体"/>
          <w:color w:val="auto"/>
          <w:highlight w:val="none"/>
        </w:rPr>
        <w:t>9.与本投标有关的一切正式往来信函请寄：</w:t>
      </w:r>
    </w:p>
    <w:p>
      <w:pPr>
        <w:snapToGrid w:val="0"/>
        <w:spacing w:line="440" w:lineRule="exact"/>
        <w:rPr>
          <w:rFonts w:ascii="宋体" w:hAnsi="宋体"/>
          <w:color w:val="auto"/>
          <w:highlight w:val="none"/>
        </w:rPr>
      </w:pPr>
      <w:r>
        <w:rPr>
          <w:rFonts w:hint="eastAsia" w:ascii="宋体" w:hAnsi="宋体"/>
          <w:color w:val="auto"/>
          <w:highlight w:val="none"/>
        </w:rPr>
        <w:t>地址：</w:t>
      </w:r>
      <w:r>
        <w:rPr>
          <w:rFonts w:ascii="宋体" w:hAnsi="宋体"/>
          <w:color w:val="auto"/>
          <w:highlight w:val="none"/>
        </w:rPr>
        <w:t>__________</w:t>
      </w:r>
      <w:r>
        <w:rPr>
          <w:rFonts w:ascii="宋体" w:hAnsi="宋体"/>
          <w:color w:val="auto"/>
          <w:highlight w:val="none"/>
          <w:u w:val="single"/>
        </w:rPr>
        <w:t xml:space="preserve">        _</w:t>
      </w:r>
      <w:r>
        <w:rPr>
          <w:rFonts w:ascii="宋体" w:hAnsi="宋体"/>
          <w:color w:val="auto"/>
          <w:highlight w:val="none"/>
        </w:rPr>
        <w:t>____</w:t>
      </w:r>
      <w:r>
        <w:rPr>
          <w:rFonts w:hint="eastAsia" w:ascii="宋体" w:hAnsi="宋体"/>
          <w:color w:val="auto"/>
          <w:highlight w:val="none"/>
        </w:rPr>
        <w:t>邮编：</w:t>
      </w:r>
      <w:r>
        <w:rPr>
          <w:rFonts w:ascii="宋体" w:hAnsi="宋体"/>
          <w:color w:val="auto"/>
          <w:highlight w:val="none"/>
        </w:rPr>
        <w:t xml:space="preserve">__________   </w:t>
      </w:r>
      <w:r>
        <w:rPr>
          <w:rFonts w:hint="eastAsia" w:ascii="宋体" w:hAnsi="宋体"/>
          <w:color w:val="auto"/>
          <w:highlight w:val="none"/>
        </w:rPr>
        <w:t>电话：</w:t>
      </w:r>
      <w:r>
        <w:rPr>
          <w:rFonts w:ascii="宋体" w:hAnsi="宋体"/>
          <w:color w:val="auto"/>
          <w:highlight w:val="none"/>
        </w:rPr>
        <w:t>______________</w:t>
      </w:r>
    </w:p>
    <w:p>
      <w:pPr>
        <w:snapToGrid w:val="0"/>
        <w:spacing w:line="440" w:lineRule="exact"/>
        <w:rPr>
          <w:rFonts w:ascii="宋体" w:hAnsi="宋体"/>
          <w:color w:val="auto"/>
          <w:highlight w:val="none"/>
        </w:rPr>
      </w:pPr>
      <w:r>
        <w:rPr>
          <w:rFonts w:hint="eastAsia" w:ascii="宋体" w:hAnsi="宋体"/>
          <w:color w:val="auto"/>
          <w:highlight w:val="none"/>
        </w:rPr>
        <w:t>传真：</w:t>
      </w:r>
      <w:r>
        <w:rPr>
          <w:rFonts w:ascii="宋体" w:hAnsi="宋体"/>
          <w:color w:val="auto"/>
          <w:highlight w:val="none"/>
        </w:rPr>
        <w:t>______________</w:t>
      </w:r>
      <w:r>
        <w:rPr>
          <w:rFonts w:hint="eastAsia" w:ascii="宋体" w:hAnsi="宋体"/>
          <w:color w:val="auto"/>
          <w:highlight w:val="none"/>
        </w:rPr>
        <w:t>投标人代表姓名</w:t>
      </w:r>
      <w:r>
        <w:rPr>
          <w:rFonts w:ascii="宋体" w:hAnsi="宋体"/>
          <w:color w:val="auto"/>
          <w:highlight w:val="none"/>
        </w:rPr>
        <w:t xml:space="preserve"> ___________  </w:t>
      </w:r>
      <w:r>
        <w:rPr>
          <w:rFonts w:hint="eastAsia" w:ascii="宋体" w:hAnsi="宋体"/>
          <w:color w:val="auto"/>
          <w:highlight w:val="none"/>
        </w:rPr>
        <w:t>职务：</w:t>
      </w:r>
      <w:r>
        <w:rPr>
          <w:rFonts w:ascii="宋体" w:hAnsi="宋体"/>
          <w:color w:val="auto"/>
          <w:highlight w:val="none"/>
        </w:rPr>
        <w:t>______</w:t>
      </w:r>
      <w:r>
        <w:rPr>
          <w:rFonts w:ascii="宋体" w:hAnsi="宋体"/>
          <w:color w:val="auto"/>
          <w:highlight w:val="none"/>
          <w:u w:val="single"/>
        </w:rPr>
        <w:t xml:space="preserve"> </w:t>
      </w:r>
      <w:r>
        <w:rPr>
          <w:rFonts w:ascii="宋体" w:hAnsi="宋体"/>
          <w:color w:val="auto"/>
          <w:highlight w:val="none"/>
        </w:rPr>
        <w:t>_______</w:t>
      </w:r>
    </w:p>
    <w:p>
      <w:pPr>
        <w:snapToGrid w:val="0"/>
        <w:spacing w:line="440" w:lineRule="exact"/>
        <w:rPr>
          <w:rFonts w:ascii="宋体" w:hAnsi="宋体"/>
          <w:color w:val="auto"/>
          <w:highlight w:val="none"/>
        </w:rPr>
      </w:pPr>
      <w:r>
        <w:rPr>
          <w:rFonts w:hint="eastAsia" w:ascii="宋体" w:hAnsi="宋体"/>
          <w:color w:val="auto"/>
          <w:highlight w:val="none"/>
        </w:rPr>
        <w:t>投标人名称</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):___________________</w:t>
      </w:r>
    </w:p>
    <w:p>
      <w:pPr>
        <w:snapToGrid w:val="0"/>
        <w:spacing w:line="440" w:lineRule="exact"/>
        <w:rPr>
          <w:rFonts w:ascii="宋体" w:hAnsi="宋体"/>
          <w:color w:val="auto"/>
          <w:highlight w:val="none"/>
        </w:rPr>
      </w:pPr>
      <w:r>
        <w:rPr>
          <w:rFonts w:hint="eastAsia" w:ascii="宋体" w:hAnsi="宋体"/>
          <w:color w:val="auto"/>
          <w:highlight w:val="none"/>
        </w:rPr>
        <w:t>开户银行：</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银行帐号：</w:t>
      </w:r>
      <w:r>
        <w:rPr>
          <w:rFonts w:ascii="宋体" w:hAnsi="宋体"/>
          <w:color w:val="auto"/>
          <w:highlight w:val="none"/>
          <w:u w:val="single"/>
        </w:rPr>
        <w:t xml:space="preserve">                    </w:t>
      </w:r>
      <w:r>
        <w:rPr>
          <w:rFonts w:ascii="宋体" w:hAnsi="宋体"/>
          <w:color w:val="auto"/>
          <w:highlight w:val="none"/>
        </w:rPr>
        <w:t xml:space="preserve"> </w:t>
      </w:r>
    </w:p>
    <w:p>
      <w:pPr>
        <w:snapToGrid w:val="0"/>
        <w:spacing w:line="440" w:lineRule="exact"/>
        <w:rPr>
          <w:rFonts w:ascii="宋体" w:hAnsi="宋体"/>
          <w:color w:val="auto"/>
          <w:highlight w:val="none"/>
        </w:rPr>
      </w:pPr>
      <w:r>
        <w:rPr>
          <w:rFonts w:hint="eastAsia" w:ascii="宋体" w:hAnsi="宋体"/>
          <w:color w:val="auto"/>
          <w:highlight w:val="none"/>
        </w:rPr>
        <w:t>授权代表签字</w:t>
      </w:r>
      <w:r>
        <w:rPr>
          <w:rFonts w:ascii="宋体" w:hAnsi="宋体"/>
          <w:color w:val="auto"/>
          <w:highlight w:val="none"/>
        </w:rPr>
        <w:t xml:space="preserve">:___________                      </w:t>
      </w:r>
      <w:r>
        <w:rPr>
          <w:rFonts w:hint="eastAsia" w:ascii="宋体" w:hAnsi="宋体"/>
          <w:color w:val="auto"/>
          <w:highlight w:val="none"/>
        </w:rPr>
        <w:t>日期</w:t>
      </w:r>
      <w:r>
        <w:rPr>
          <w:rFonts w:ascii="宋体" w:hAnsi="宋体"/>
          <w:color w:val="auto"/>
          <w:highlight w:val="none"/>
        </w:rPr>
        <w:t>:_____</w:t>
      </w:r>
      <w:r>
        <w:rPr>
          <w:rFonts w:hint="eastAsia" w:ascii="宋体" w:hAnsi="宋体"/>
          <w:color w:val="auto"/>
          <w:highlight w:val="none"/>
        </w:rPr>
        <w:t>年</w:t>
      </w:r>
      <w:r>
        <w:rPr>
          <w:rFonts w:ascii="宋体" w:hAnsi="宋体"/>
          <w:color w:val="auto"/>
          <w:highlight w:val="none"/>
        </w:rPr>
        <w:t>___</w:t>
      </w:r>
      <w:r>
        <w:rPr>
          <w:rFonts w:hint="eastAsia" w:ascii="宋体" w:hAnsi="宋体"/>
          <w:color w:val="auto"/>
          <w:highlight w:val="none"/>
        </w:rPr>
        <w:t>月</w:t>
      </w:r>
      <w:r>
        <w:rPr>
          <w:rFonts w:ascii="宋体" w:hAnsi="宋体"/>
          <w:color w:val="auto"/>
          <w:highlight w:val="none"/>
        </w:rPr>
        <w:t>___</w:t>
      </w:r>
      <w:r>
        <w:rPr>
          <w:rFonts w:hint="eastAsia" w:ascii="宋体" w:hAnsi="宋体"/>
          <w:color w:val="auto"/>
          <w:highlight w:val="none"/>
        </w:rPr>
        <w:t>日</w:t>
      </w:r>
    </w:p>
    <w:p>
      <w:pPr>
        <w:snapToGrid w:val="0"/>
        <w:spacing w:before="50" w:after="50" w:line="440" w:lineRule="exact"/>
        <w:jc w:val="center"/>
        <w:rPr>
          <w:rFonts w:ascii="宋体" w:hAnsi="宋体"/>
          <w:b/>
          <w:color w:val="auto"/>
          <w:sz w:val="24"/>
          <w:szCs w:val="22"/>
          <w:highlight w:val="none"/>
        </w:rPr>
      </w:pPr>
      <w:r>
        <w:rPr>
          <w:rFonts w:ascii="宋体" w:hAnsi="宋体"/>
          <w:color w:val="auto"/>
          <w:sz w:val="24"/>
          <w:highlight w:val="none"/>
        </w:rPr>
        <w:br w:type="page"/>
      </w:r>
      <w:r>
        <w:rPr>
          <w:rFonts w:hint="eastAsia" w:ascii="宋体" w:hAnsi="宋体"/>
          <w:color w:val="auto"/>
          <w:sz w:val="24"/>
          <w:highlight w:val="none"/>
        </w:rPr>
        <w:t>（二）</w:t>
      </w:r>
      <w:r>
        <w:rPr>
          <w:rFonts w:hint="eastAsia" w:ascii="宋体" w:hAnsi="宋体"/>
          <w:b/>
          <w:color w:val="auto"/>
          <w:sz w:val="24"/>
          <w:szCs w:val="22"/>
          <w:highlight w:val="none"/>
        </w:rPr>
        <w:t>开标一览表</w:t>
      </w:r>
    </w:p>
    <w:p>
      <w:pPr>
        <w:snapToGrid w:val="0"/>
        <w:spacing w:before="50" w:after="50" w:line="440" w:lineRule="exact"/>
        <w:rPr>
          <w:rFonts w:hint="eastAsia" w:ascii="宋体" w:hAnsi="宋体"/>
          <w:color w:val="auto"/>
          <w:highlight w:val="none"/>
          <w:u w:val="single"/>
        </w:rPr>
      </w:pPr>
      <w:r>
        <w:rPr>
          <w:rFonts w:hint="eastAsia" w:ascii="宋体" w:hAnsi="宋体"/>
          <w:color w:val="auto"/>
          <w:highlight w:val="none"/>
        </w:rPr>
        <w:t>招标编号：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1  </w:t>
      </w:r>
    </w:p>
    <w:p>
      <w:pPr>
        <w:snapToGrid w:val="0"/>
        <w:spacing w:before="50" w:after="50" w:line="440" w:lineRule="exact"/>
        <w:rPr>
          <w:rFonts w:hint="eastAsia"/>
          <w:b/>
          <w:bCs/>
          <w:color w:val="auto"/>
          <w:highlight w:val="none"/>
        </w:rPr>
      </w:pPr>
      <w:r>
        <w:rPr>
          <w:rFonts w:hint="eastAsia" w:ascii="宋体" w:hAnsi="宋体"/>
          <w:color w:val="auto"/>
          <w:highlight w:val="none"/>
        </w:rPr>
        <w:t>投标人名称：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rPr>
        <w:t xml:space="preserve">   </w:t>
      </w:r>
    </w:p>
    <w:p>
      <w:pPr>
        <w:pStyle w:val="14"/>
        <w:ind w:leftChars="0"/>
        <w:rPr>
          <w:rFonts w:hint="eastAsia"/>
          <w:color w:val="auto"/>
          <w:szCs w:val="21"/>
          <w:highlight w:val="none"/>
        </w:rPr>
      </w:pPr>
      <w:r>
        <w:rPr>
          <w:rFonts w:hint="eastAsia" w:eastAsia="宋体"/>
          <w:b/>
          <w:bCs/>
          <w:color w:val="auto"/>
          <w:sz w:val="21"/>
          <w:szCs w:val="21"/>
          <w:highlight w:val="none"/>
        </w:rPr>
        <w:t xml:space="preserve">                                                                    </w:t>
      </w:r>
      <w:r>
        <w:rPr>
          <w:rFonts w:hint="eastAsia" w:ascii="宋体" w:hAnsi="宋体" w:eastAsia="宋体"/>
          <w:color w:val="auto"/>
          <w:sz w:val="21"/>
          <w:szCs w:val="21"/>
          <w:highlight w:val="none"/>
        </w:rPr>
        <w:t>单位：元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项目名称</w:t>
            </w:r>
          </w:p>
        </w:tc>
        <w:tc>
          <w:tcPr>
            <w:tcW w:w="5487" w:type="dxa"/>
            <w:noWrap w:val="0"/>
            <w:vAlign w:val="center"/>
          </w:tcPr>
          <w:p>
            <w:pPr>
              <w:spacing w:line="400" w:lineRule="exact"/>
              <w:jc w:val="center"/>
              <w:rPr>
                <w:rFonts w:hint="eastAsia"/>
                <w:color w:val="auto"/>
                <w:highlight w:val="none"/>
              </w:rPr>
            </w:pPr>
            <w:r>
              <w:rPr>
                <w:rFonts w:hint="eastAsia" w:hAnsi="宋体"/>
                <w:color w:val="auto"/>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s="Arial"/>
                <w:color w:val="auto"/>
                <w:highlight w:val="none"/>
              </w:rPr>
              <w:t>2022年庄桥街道五位一体综合服务外包项目（南片区）</w:t>
            </w:r>
          </w:p>
        </w:tc>
        <w:tc>
          <w:tcPr>
            <w:tcW w:w="5487" w:type="dxa"/>
            <w:noWrap w:val="0"/>
            <w:vAlign w:val="center"/>
          </w:tcPr>
          <w:p>
            <w:pPr>
              <w:spacing w:line="400" w:lineRule="exact"/>
              <w:ind w:firstLine="1050" w:firstLineChars="500"/>
              <w:jc w:val="left"/>
              <w:rPr>
                <w:rFonts w:hint="default" w:eastAsia="宋体"/>
                <w:color w:val="auto"/>
                <w:highlight w:val="none"/>
                <w:lang w:val="en-US" w:eastAsia="zh-CN"/>
              </w:rPr>
            </w:pPr>
            <w:r>
              <w:rPr>
                <w:rFonts w:hint="eastAsia"/>
                <w:color w:val="auto"/>
                <w:highlight w:val="none"/>
              </w:rPr>
              <w:t>小写：</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/年</w:t>
            </w:r>
          </w:p>
          <w:p>
            <w:pPr>
              <w:spacing w:line="400" w:lineRule="exact"/>
              <w:ind w:firstLine="1050" w:firstLineChars="500"/>
              <w:jc w:val="left"/>
              <w:rPr>
                <w:rFonts w:hint="default" w:eastAsia="宋体"/>
                <w:color w:val="auto"/>
                <w:highlight w:val="none"/>
                <w:lang w:val="en-US" w:eastAsia="zh-CN"/>
              </w:rPr>
            </w:pPr>
            <w:r>
              <w:rPr>
                <w:rFonts w:hint="eastAsia"/>
                <w:color w:val="auto"/>
                <w:highlight w:val="none"/>
              </w:rPr>
              <w:t>大写：</w:t>
            </w:r>
            <w:r>
              <w:rPr>
                <w:rFonts w:hint="eastAsia"/>
                <w:color w:val="auto"/>
                <w:highlight w:val="none"/>
                <w:u w:val="single"/>
              </w:rPr>
              <w:t xml:space="preserve">                   </w:t>
            </w:r>
            <w:r>
              <w:rPr>
                <w:rFonts w:hint="eastAsia"/>
                <w:color w:val="auto"/>
                <w:highlight w:val="none"/>
              </w:rPr>
              <w:t>元整</w:t>
            </w:r>
            <w:r>
              <w:rPr>
                <w:rFonts w:hint="eastAsia"/>
                <w:color w:val="auto"/>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投标声明</w:t>
            </w:r>
          </w:p>
        </w:tc>
        <w:tc>
          <w:tcPr>
            <w:tcW w:w="5487" w:type="dxa"/>
            <w:noWrap w:val="0"/>
            <w:vAlign w:val="top"/>
          </w:tcPr>
          <w:p>
            <w:pPr>
              <w:spacing w:line="400" w:lineRule="exact"/>
              <w:rPr>
                <w:rFonts w:hint="default" w:eastAsia="宋体"/>
                <w:color w:val="auto"/>
                <w:highlight w:val="none"/>
                <w:lang w:val="en-US" w:eastAsia="zh-CN"/>
              </w:rPr>
            </w:pPr>
            <w:r>
              <w:rPr>
                <w:rFonts w:hint="eastAsia"/>
                <w:color w:val="auto"/>
                <w:highlight w:val="none"/>
                <w:lang w:val="en-US" w:eastAsia="zh-CN"/>
              </w:rPr>
              <w:t xml:space="preserve">                  </w:t>
            </w:r>
          </w:p>
          <w:p>
            <w:pPr>
              <w:spacing w:line="400" w:lineRule="exact"/>
              <w:jc w:val="center"/>
              <w:rPr>
                <w:rFonts w:hint="eastAsia"/>
                <w:color w:val="auto"/>
                <w:highlight w:val="none"/>
              </w:rPr>
            </w:pPr>
            <w:r>
              <w:rPr>
                <w:rFonts w:hint="eastAsia" w:hAnsi="宋体"/>
                <w:color w:val="auto"/>
                <w:highlight w:val="none"/>
              </w:rPr>
              <w:t>若无，请打</w:t>
            </w:r>
            <w:r>
              <w:rPr>
                <w:rFonts w:hint="eastAsia"/>
                <w:color w:val="auto"/>
                <w:highlight w:val="none"/>
              </w:rPr>
              <w:t>“/”</w:t>
            </w:r>
            <w:r>
              <w:rPr>
                <w:rFonts w:hint="eastAsia" w:hAnsi="宋体"/>
                <w:color w:val="auto"/>
                <w:highlight w:val="none"/>
              </w:rPr>
              <w:t>号</w:t>
            </w:r>
          </w:p>
        </w:tc>
      </w:tr>
    </w:tbl>
    <w:p>
      <w:pPr>
        <w:snapToGrid w:val="0"/>
        <w:spacing w:before="50" w:after="50" w:line="440" w:lineRule="exact"/>
        <w:jc w:val="left"/>
        <w:rPr>
          <w:rFonts w:ascii="宋体"/>
          <w:color w:val="auto"/>
          <w:highlight w:val="none"/>
        </w:rPr>
      </w:pPr>
      <w:r>
        <w:rPr>
          <w:rFonts w:hint="eastAsia" w:ascii="宋体" w:hAnsi="宋体" w:cs="宋体"/>
          <w:color w:val="auto"/>
          <w:highlight w:val="none"/>
        </w:rPr>
        <w:t>注</w:t>
      </w:r>
      <w:r>
        <w:rPr>
          <w:rFonts w:ascii="宋体" w:hAnsi="宋体" w:cs="宋体"/>
          <w:color w:val="auto"/>
          <w:highlight w:val="none"/>
        </w:rPr>
        <w:t>: 1</w:t>
      </w:r>
      <w:r>
        <w:rPr>
          <w:rFonts w:hint="eastAsia" w:ascii="宋体" w:hAnsi="宋体" w:cs="宋体"/>
          <w:color w:val="auto"/>
          <w:highlight w:val="none"/>
        </w:rPr>
        <w:t>、报价一经涂改，应在涂改处加盖单位公章或者由法定代表人或授权委托人签字或盖章，否则其投标作无效标处理。</w:t>
      </w:r>
    </w:p>
    <w:p>
      <w:pPr>
        <w:numPr>
          <w:ilvl w:val="0"/>
          <w:numId w:val="13"/>
        </w:numPr>
        <w:snapToGrid w:val="0"/>
        <w:spacing w:before="50" w:after="50" w:line="440" w:lineRule="exact"/>
        <w:ind w:firstLine="420" w:firstLineChars="200"/>
        <w:jc w:val="left"/>
        <w:rPr>
          <w:rFonts w:ascii="宋体"/>
          <w:color w:val="auto"/>
          <w:highlight w:val="none"/>
        </w:rPr>
      </w:pPr>
      <w:r>
        <w:rPr>
          <w:rFonts w:hint="eastAsia" w:ascii="宋体" w:hAnsi="宋体" w:cs="宋体"/>
          <w:color w:val="auto"/>
          <w:highlight w:val="none"/>
        </w:rPr>
        <w:t>投标报价是履行合同的最终价格，包括但不限于：人员基本工资、各类福利和补贴（如加班补贴、高温补贴、早餐补贴等）、公积金、社保（五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w:t>
      </w:r>
    </w:p>
    <w:p>
      <w:pPr>
        <w:numPr>
          <w:ilvl w:val="0"/>
          <w:numId w:val="13"/>
        </w:numPr>
        <w:snapToGrid w:val="0"/>
        <w:spacing w:before="50" w:after="50" w:line="440" w:lineRule="exact"/>
        <w:ind w:firstLine="420" w:firstLineChars="200"/>
        <w:jc w:val="left"/>
        <w:rPr>
          <w:rFonts w:ascii="宋体"/>
          <w:color w:val="auto"/>
          <w:highlight w:val="none"/>
        </w:rPr>
      </w:pPr>
      <w:r>
        <w:rPr>
          <w:rFonts w:hint="eastAsia" w:ascii="宋体" w:hAnsi="宋体" w:cs="宋体"/>
          <w:color w:val="auto"/>
          <w:highlight w:val="none"/>
        </w:rPr>
        <w:t>以上报价应与“投标报价明细表”中的“合计”金额相一致。</w:t>
      </w:r>
    </w:p>
    <w:p>
      <w:pPr>
        <w:snapToGrid w:val="0"/>
        <w:spacing w:before="50" w:after="50" w:line="440" w:lineRule="exact"/>
        <w:ind w:right="-817" w:rightChars="-389"/>
        <w:rPr>
          <w:rFonts w:hint="eastAsia" w:ascii="宋体" w:hAnsi="宋体"/>
          <w:color w:val="auto"/>
          <w:highlight w:val="none"/>
        </w:rPr>
      </w:pPr>
    </w:p>
    <w:p>
      <w:pPr>
        <w:snapToGrid w:val="0"/>
        <w:spacing w:before="50" w:after="50" w:line="440" w:lineRule="exact"/>
        <w:ind w:right="-817" w:rightChars="-389"/>
        <w:rPr>
          <w:rFonts w:hint="eastAsia" w:ascii="宋体" w:hAnsi="宋体"/>
          <w:color w:val="auto"/>
          <w:highlight w:val="none"/>
        </w:rPr>
      </w:pPr>
    </w:p>
    <w:p>
      <w:pPr>
        <w:snapToGrid w:val="0"/>
        <w:spacing w:before="50" w:after="50" w:line="440" w:lineRule="exact"/>
        <w:ind w:right="-817" w:rightChars="-389"/>
        <w:rPr>
          <w:rFonts w:ascii="宋体" w:hAnsi="宋体"/>
          <w:color w:val="auto"/>
          <w:highlight w:val="none"/>
        </w:rPr>
      </w:pPr>
      <w:r>
        <w:rPr>
          <w:rFonts w:hint="eastAsia" w:ascii="宋体" w:hAnsi="宋体"/>
          <w:color w:val="auto"/>
          <w:highlight w:val="none"/>
        </w:rPr>
        <w:t>法定代表人或授权代表（签字或盖章）：</w:t>
      </w:r>
      <w:r>
        <w:rPr>
          <w:rFonts w:ascii="宋体" w:hAnsi="宋体"/>
          <w:color w:val="auto"/>
          <w:highlight w:val="none"/>
        </w:rPr>
        <w:t xml:space="preserve"> </w:t>
      </w:r>
    </w:p>
    <w:p>
      <w:pPr>
        <w:snapToGrid w:val="0"/>
        <w:spacing w:before="50" w:after="50" w:line="440" w:lineRule="exact"/>
        <w:ind w:right="-817" w:rightChars="-389"/>
        <w:rPr>
          <w:rFonts w:hint="eastAsia" w:ascii="宋体" w:hAnsi="宋体"/>
          <w:color w:val="auto"/>
          <w:highlight w:val="none"/>
        </w:rPr>
      </w:pPr>
      <w:r>
        <w:rPr>
          <w:rFonts w:hint="eastAsia" w:ascii="宋体" w:hAnsi="宋体"/>
          <w:color w:val="auto"/>
          <w:highlight w:val="none"/>
        </w:rPr>
        <w:t>投标人名称（盖章）：</w:t>
      </w:r>
      <w:r>
        <w:rPr>
          <w:rFonts w:ascii="宋体" w:hAnsi="宋体"/>
          <w:color w:val="auto"/>
          <w:highlight w:val="none"/>
        </w:rPr>
        <w:t xml:space="preserve">                                 </w:t>
      </w:r>
    </w:p>
    <w:p>
      <w:pPr>
        <w:snapToGrid w:val="0"/>
        <w:spacing w:before="50" w:after="50" w:line="440" w:lineRule="exact"/>
        <w:ind w:right="-817" w:rightChars="-389"/>
        <w:rPr>
          <w:rFonts w:ascii="宋体" w:hAnsi="宋体"/>
          <w:color w:val="auto"/>
          <w:highlight w:val="none"/>
        </w:rPr>
      </w:pP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napToGrid w:val="0"/>
        <w:spacing w:before="50" w:after="50" w:line="440" w:lineRule="exact"/>
        <w:ind w:left="-21" w:leftChars="-72" w:right="-817" w:rightChars="-389" w:hanging="130" w:hangingChars="62"/>
        <w:rPr>
          <w:rFonts w:hint="eastAsia" w:ascii="宋体" w:hAnsi="宋体"/>
          <w:color w:val="auto"/>
          <w:highlight w:val="none"/>
        </w:rPr>
      </w:pPr>
    </w:p>
    <w:p>
      <w:pPr>
        <w:pStyle w:val="5"/>
        <w:rPr>
          <w:rFonts w:hint="eastAsia"/>
          <w:color w:val="auto"/>
          <w:highlight w:val="none"/>
        </w:rPr>
      </w:pPr>
    </w:p>
    <w:p>
      <w:pPr>
        <w:snapToGrid w:val="0"/>
        <w:spacing w:before="120" w:beforeLines="50" w:after="50" w:line="440" w:lineRule="exact"/>
        <w:jc w:val="center"/>
        <w:rPr>
          <w:rFonts w:ascii="宋体" w:hAnsi="宋体"/>
          <w:b/>
          <w:color w:val="auto"/>
          <w:sz w:val="24"/>
          <w:szCs w:val="22"/>
          <w:highlight w:val="none"/>
        </w:rPr>
      </w:pPr>
      <w:r>
        <w:rPr>
          <w:rFonts w:hint="eastAsia" w:ascii="宋体"/>
          <w:color w:val="auto"/>
          <w:sz w:val="24"/>
          <w:highlight w:val="none"/>
        </w:rPr>
        <w:br w:type="page"/>
      </w:r>
      <w:r>
        <w:rPr>
          <w:rFonts w:hint="eastAsia" w:ascii="宋体" w:hAnsi="宋体"/>
          <w:b/>
          <w:color w:val="auto"/>
          <w:sz w:val="24"/>
          <w:szCs w:val="22"/>
          <w:highlight w:val="none"/>
        </w:rPr>
        <w:t>开标一览表</w:t>
      </w:r>
    </w:p>
    <w:p>
      <w:pPr>
        <w:snapToGrid w:val="0"/>
        <w:spacing w:before="50" w:after="50" w:line="440" w:lineRule="exact"/>
        <w:rPr>
          <w:rFonts w:hint="eastAsia" w:ascii="宋体" w:hAnsi="宋体"/>
          <w:color w:val="auto"/>
          <w:highlight w:val="none"/>
          <w:u w:val="single"/>
        </w:rPr>
      </w:pPr>
      <w:r>
        <w:rPr>
          <w:rFonts w:hint="eastAsia" w:ascii="宋体" w:hAnsi="宋体"/>
          <w:color w:val="auto"/>
          <w:highlight w:val="none"/>
        </w:rPr>
        <w:t>招标编号：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2  </w:t>
      </w:r>
    </w:p>
    <w:p>
      <w:pPr>
        <w:snapToGrid w:val="0"/>
        <w:spacing w:before="50" w:after="50" w:line="440" w:lineRule="exact"/>
        <w:rPr>
          <w:rFonts w:hint="eastAsia"/>
          <w:b/>
          <w:bCs/>
          <w:color w:val="auto"/>
          <w:highlight w:val="none"/>
        </w:rPr>
      </w:pPr>
      <w:r>
        <w:rPr>
          <w:rFonts w:hint="eastAsia" w:ascii="宋体" w:hAnsi="宋体"/>
          <w:color w:val="auto"/>
          <w:highlight w:val="none"/>
        </w:rPr>
        <w:t>投标人名称：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rPr>
        <w:t xml:space="preserve">   </w:t>
      </w:r>
    </w:p>
    <w:p>
      <w:pPr>
        <w:pStyle w:val="14"/>
        <w:ind w:leftChars="0"/>
        <w:rPr>
          <w:rFonts w:hint="eastAsia"/>
          <w:color w:val="auto"/>
          <w:szCs w:val="21"/>
          <w:highlight w:val="none"/>
        </w:rPr>
      </w:pPr>
      <w:r>
        <w:rPr>
          <w:rFonts w:hint="eastAsia" w:eastAsia="宋体"/>
          <w:b/>
          <w:bCs/>
          <w:color w:val="auto"/>
          <w:sz w:val="21"/>
          <w:szCs w:val="21"/>
          <w:highlight w:val="none"/>
        </w:rPr>
        <w:t xml:space="preserve">                                                                    </w:t>
      </w:r>
      <w:r>
        <w:rPr>
          <w:rFonts w:hint="eastAsia" w:ascii="宋体" w:hAnsi="宋体" w:eastAsia="宋体"/>
          <w:color w:val="auto"/>
          <w:sz w:val="21"/>
          <w:szCs w:val="21"/>
          <w:highlight w:val="none"/>
        </w:rPr>
        <w:t>单位：元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项目名称</w:t>
            </w:r>
          </w:p>
        </w:tc>
        <w:tc>
          <w:tcPr>
            <w:tcW w:w="5487" w:type="dxa"/>
            <w:noWrap w:val="0"/>
            <w:vAlign w:val="center"/>
          </w:tcPr>
          <w:p>
            <w:pPr>
              <w:spacing w:line="400" w:lineRule="exact"/>
              <w:jc w:val="center"/>
              <w:rPr>
                <w:rFonts w:hint="eastAsia"/>
                <w:color w:val="auto"/>
                <w:highlight w:val="none"/>
              </w:rPr>
            </w:pPr>
            <w:r>
              <w:rPr>
                <w:rFonts w:hint="eastAsia" w:hAnsi="宋体"/>
                <w:color w:val="auto"/>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s="Arial"/>
                <w:color w:val="auto"/>
                <w:highlight w:val="none"/>
              </w:rPr>
              <w:t>2022年庄桥街道五位一体综合服务外包项目（西片区）</w:t>
            </w:r>
          </w:p>
        </w:tc>
        <w:tc>
          <w:tcPr>
            <w:tcW w:w="5487" w:type="dxa"/>
            <w:noWrap w:val="0"/>
            <w:vAlign w:val="center"/>
          </w:tcPr>
          <w:p>
            <w:pPr>
              <w:spacing w:line="400" w:lineRule="exact"/>
              <w:ind w:firstLine="1050" w:firstLineChars="500"/>
              <w:jc w:val="left"/>
              <w:rPr>
                <w:rFonts w:hint="default" w:eastAsia="宋体"/>
                <w:color w:val="auto"/>
                <w:highlight w:val="none"/>
                <w:lang w:val="en-US" w:eastAsia="zh-CN"/>
              </w:rPr>
            </w:pPr>
            <w:r>
              <w:rPr>
                <w:rFonts w:hint="eastAsia"/>
                <w:color w:val="auto"/>
                <w:highlight w:val="none"/>
              </w:rPr>
              <w:t>小写：</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/年</w:t>
            </w:r>
          </w:p>
          <w:p>
            <w:pPr>
              <w:spacing w:line="400" w:lineRule="exact"/>
              <w:ind w:firstLine="1050" w:firstLineChars="500"/>
              <w:jc w:val="left"/>
              <w:rPr>
                <w:rFonts w:hint="eastAsia"/>
                <w:color w:val="auto"/>
                <w:highlight w:val="none"/>
              </w:rPr>
            </w:pPr>
            <w:r>
              <w:rPr>
                <w:rFonts w:hint="eastAsia"/>
                <w:color w:val="auto"/>
                <w:highlight w:val="none"/>
              </w:rPr>
              <w:t>大写：</w:t>
            </w:r>
            <w:r>
              <w:rPr>
                <w:rFonts w:hint="eastAsia"/>
                <w:color w:val="auto"/>
                <w:highlight w:val="none"/>
                <w:u w:val="single"/>
              </w:rPr>
              <w:t xml:space="preserve">                   </w:t>
            </w:r>
            <w:r>
              <w:rPr>
                <w:rFonts w:hint="eastAsia"/>
                <w:color w:val="auto"/>
                <w:highlight w:val="none"/>
              </w:rPr>
              <w:t>元整</w:t>
            </w:r>
            <w:r>
              <w:rPr>
                <w:rFonts w:hint="eastAsia"/>
                <w:color w:val="auto"/>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投标声明</w:t>
            </w:r>
          </w:p>
        </w:tc>
        <w:tc>
          <w:tcPr>
            <w:tcW w:w="5487" w:type="dxa"/>
            <w:noWrap w:val="0"/>
            <w:vAlign w:val="top"/>
          </w:tcPr>
          <w:p>
            <w:pPr>
              <w:spacing w:line="400" w:lineRule="exact"/>
              <w:rPr>
                <w:rFonts w:hint="eastAsia"/>
                <w:color w:val="auto"/>
                <w:highlight w:val="none"/>
              </w:rPr>
            </w:pPr>
          </w:p>
          <w:p>
            <w:pPr>
              <w:spacing w:line="400" w:lineRule="exact"/>
              <w:jc w:val="center"/>
              <w:rPr>
                <w:rFonts w:hint="eastAsia"/>
                <w:color w:val="auto"/>
                <w:highlight w:val="none"/>
              </w:rPr>
            </w:pPr>
            <w:r>
              <w:rPr>
                <w:rFonts w:hint="eastAsia" w:hAnsi="宋体"/>
                <w:color w:val="auto"/>
                <w:highlight w:val="none"/>
              </w:rPr>
              <w:t>若无，请打</w:t>
            </w:r>
            <w:r>
              <w:rPr>
                <w:rFonts w:hint="eastAsia"/>
                <w:color w:val="auto"/>
                <w:highlight w:val="none"/>
              </w:rPr>
              <w:t>“/”</w:t>
            </w:r>
            <w:r>
              <w:rPr>
                <w:rFonts w:hint="eastAsia" w:hAnsi="宋体"/>
                <w:color w:val="auto"/>
                <w:highlight w:val="none"/>
              </w:rPr>
              <w:t>号</w:t>
            </w:r>
          </w:p>
        </w:tc>
      </w:tr>
    </w:tbl>
    <w:p>
      <w:pPr>
        <w:snapToGrid w:val="0"/>
        <w:spacing w:before="50" w:after="50" w:line="440" w:lineRule="exact"/>
        <w:jc w:val="left"/>
        <w:rPr>
          <w:rFonts w:ascii="宋体"/>
          <w:color w:val="auto"/>
          <w:highlight w:val="none"/>
        </w:rPr>
      </w:pPr>
      <w:r>
        <w:rPr>
          <w:rFonts w:hint="eastAsia" w:ascii="宋体" w:hAnsi="宋体" w:cs="宋体"/>
          <w:color w:val="auto"/>
          <w:highlight w:val="none"/>
        </w:rPr>
        <w:t>注</w:t>
      </w:r>
      <w:r>
        <w:rPr>
          <w:rFonts w:ascii="宋体" w:hAnsi="宋体" w:cs="宋体"/>
          <w:color w:val="auto"/>
          <w:highlight w:val="none"/>
        </w:rPr>
        <w:t>: 1</w:t>
      </w:r>
      <w:r>
        <w:rPr>
          <w:rFonts w:hint="eastAsia" w:ascii="宋体" w:hAnsi="宋体" w:cs="宋体"/>
          <w:color w:val="auto"/>
          <w:highlight w:val="none"/>
        </w:rPr>
        <w:t>、报价一经涂改，应在涂改处加盖单位公章或者由法定代表人或授权委托人签字或盖章，否则其投标作无效标处理。</w:t>
      </w:r>
    </w:p>
    <w:p>
      <w:pPr>
        <w:numPr>
          <w:ilvl w:val="0"/>
          <w:numId w:val="14"/>
        </w:numPr>
        <w:snapToGrid w:val="0"/>
        <w:spacing w:before="50" w:after="50" w:line="440" w:lineRule="exact"/>
        <w:ind w:firstLine="420"/>
        <w:jc w:val="left"/>
        <w:rPr>
          <w:rFonts w:ascii="宋体"/>
          <w:color w:val="auto"/>
          <w:highlight w:val="none"/>
        </w:rPr>
      </w:pPr>
      <w:r>
        <w:rPr>
          <w:rFonts w:hint="eastAsia" w:ascii="宋体" w:hAnsi="宋体" w:cs="宋体"/>
          <w:color w:val="auto"/>
          <w:highlight w:val="none"/>
        </w:rPr>
        <w:t>投标报价是履行合同的最终价格，包括但不限于：人员基本工资、各类福利和补贴（如加班补贴、高温补贴、早餐补贴等）、公积金、社保（五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w:t>
      </w:r>
    </w:p>
    <w:p>
      <w:pPr>
        <w:numPr>
          <w:ilvl w:val="0"/>
          <w:numId w:val="14"/>
        </w:numPr>
        <w:snapToGrid w:val="0"/>
        <w:spacing w:before="50" w:after="50" w:line="440" w:lineRule="exact"/>
        <w:ind w:firstLine="420" w:firstLineChars="200"/>
        <w:jc w:val="left"/>
        <w:rPr>
          <w:rFonts w:ascii="宋体"/>
          <w:color w:val="auto"/>
          <w:highlight w:val="none"/>
        </w:rPr>
      </w:pPr>
      <w:r>
        <w:rPr>
          <w:rFonts w:hint="eastAsia" w:ascii="宋体" w:hAnsi="宋体" w:cs="宋体"/>
          <w:color w:val="auto"/>
          <w:highlight w:val="none"/>
        </w:rPr>
        <w:t>以上报价应与“投标报价明细表”中的“合计”金额相一致。</w:t>
      </w:r>
    </w:p>
    <w:p>
      <w:pPr>
        <w:snapToGrid w:val="0"/>
        <w:spacing w:before="120" w:beforeLines="50" w:after="50" w:line="440" w:lineRule="exact"/>
        <w:jc w:val="center"/>
        <w:rPr>
          <w:rFonts w:ascii="宋体" w:hAnsi="宋体"/>
          <w:b/>
          <w:color w:val="auto"/>
          <w:sz w:val="24"/>
          <w:szCs w:val="22"/>
          <w:highlight w:val="none"/>
        </w:rPr>
      </w:pPr>
      <w:r>
        <w:rPr>
          <w:rFonts w:ascii="宋体" w:hAnsi="宋体"/>
          <w:b/>
          <w:color w:val="auto"/>
          <w:sz w:val="24"/>
          <w:szCs w:val="22"/>
          <w:highlight w:val="none"/>
        </w:rPr>
        <w:br w:type="page"/>
      </w:r>
      <w:r>
        <w:rPr>
          <w:rFonts w:hint="eastAsia" w:ascii="宋体" w:hAnsi="宋体"/>
          <w:b/>
          <w:color w:val="auto"/>
          <w:sz w:val="24"/>
          <w:szCs w:val="22"/>
          <w:highlight w:val="none"/>
        </w:rPr>
        <w:t>开标一览表</w:t>
      </w:r>
    </w:p>
    <w:p>
      <w:pPr>
        <w:snapToGrid w:val="0"/>
        <w:spacing w:before="50" w:after="50" w:line="440" w:lineRule="exact"/>
        <w:rPr>
          <w:rFonts w:hint="eastAsia" w:ascii="宋体" w:hAnsi="宋体"/>
          <w:color w:val="auto"/>
          <w:highlight w:val="none"/>
          <w:u w:val="single"/>
        </w:rPr>
      </w:pPr>
      <w:r>
        <w:rPr>
          <w:rFonts w:hint="eastAsia" w:ascii="宋体" w:hAnsi="宋体"/>
          <w:color w:val="auto"/>
          <w:highlight w:val="none"/>
        </w:rPr>
        <w:t>招标编号：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3  </w:t>
      </w:r>
    </w:p>
    <w:p>
      <w:pPr>
        <w:snapToGrid w:val="0"/>
        <w:spacing w:before="50" w:after="50" w:line="440" w:lineRule="exact"/>
        <w:rPr>
          <w:rFonts w:hint="eastAsia"/>
          <w:b/>
          <w:bCs/>
          <w:color w:val="auto"/>
          <w:highlight w:val="none"/>
        </w:rPr>
      </w:pPr>
      <w:r>
        <w:rPr>
          <w:rFonts w:hint="eastAsia" w:ascii="宋体" w:hAnsi="宋体"/>
          <w:color w:val="auto"/>
          <w:highlight w:val="none"/>
        </w:rPr>
        <w:t>投标人名称：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rPr>
        <w:t xml:space="preserve">   </w:t>
      </w:r>
    </w:p>
    <w:p>
      <w:pPr>
        <w:pStyle w:val="14"/>
        <w:ind w:leftChars="0"/>
        <w:rPr>
          <w:rFonts w:hint="eastAsia"/>
          <w:color w:val="auto"/>
          <w:szCs w:val="21"/>
          <w:highlight w:val="none"/>
        </w:rPr>
      </w:pPr>
      <w:r>
        <w:rPr>
          <w:rFonts w:hint="eastAsia" w:eastAsia="宋体"/>
          <w:b/>
          <w:bCs/>
          <w:color w:val="auto"/>
          <w:sz w:val="21"/>
          <w:szCs w:val="21"/>
          <w:highlight w:val="none"/>
        </w:rPr>
        <w:t xml:space="preserve">                                                                    </w:t>
      </w:r>
      <w:r>
        <w:rPr>
          <w:rFonts w:hint="eastAsia" w:ascii="宋体" w:hAnsi="宋体" w:eastAsia="宋体"/>
          <w:color w:val="auto"/>
          <w:sz w:val="21"/>
          <w:szCs w:val="21"/>
          <w:highlight w:val="none"/>
        </w:rPr>
        <w:t>单位：元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项目名称</w:t>
            </w:r>
          </w:p>
        </w:tc>
        <w:tc>
          <w:tcPr>
            <w:tcW w:w="5487" w:type="dxa"/>
            <w:noWrap w:val="0"/>
            <w:vAlign w:val="center"/>
          </w:tcPr>
          <w:p>
            <w:pPr>
              <w:spacing w:line="400" w:lineRule="exact"/>
              <w:jc w:val="center"/>
              <w:rPr>
                <w:rFonts w:hint="eastAsia"/>
                <w:color w:val="auto"/>
                <w:highlight w:val="none"/>
              </w:rPr>
            </w:pPr>
            <w:r>
              <w:rPr>
                <w:rFonts w:hint="eastAsia" w:hAnsi="宋体"/>
                <w:color w:val="auto"/>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3575" w:type="dxa"/>
            <w:noWrap w:val="0"/>
            <w:vAlign w:val="center"/>
          </w:tcPr>
          <w:p>
            <w:pPr>
              <w:pStyle w:val="13"/>
              <w:snapToGrid w:val="0"/>
              <w:spacing w:beforeLines="0" w:afterLines="0" w:line="360" w:lineRule="auto"/>
              <w:ind w:firstLine="420" w:firstLineChars="200"/>
              <w:rPr>
                <w:rFonts w:hint="eastAsia"/>
                <w:color w:val="auto"/>
                <w:highlight w:val="none"/>
              </w:rPr>
            </w:pPr>
            <w:r>
              <w:rPr>
                <w:rFonts w:hint="eastAsia" w:hAnsi="宋体" w:cs="Arial"/>
                <w:color w:val="auto"/>
                <w:sz w:val="21"/>
                <w:szCs w:val="21"/>
                <w:highlight w:val="none"/>
              </w:rPr>
              <w:t>2022年庄桥街道五位一体综合服务外包项目（工业B区+机扫片）</w:t>
            </w:r>
          </w:p>
        </w:tc>
        <w:tc>
          <w:tcPr>
            <w:tcW w:w="5487" w:type="dxa"/>
            <w:noWrap w:val="0"/>
            <w:vAlign w:val="center"/>
          </w:tcPr>
          <w:p>
            <w:pPr>
              <w:spacing w:line="400" w:lineRule="exact"/>
              <w:ind w:firstLine="1050" w:firstLineChars="500"/>
              <w:jc w:val="left"/>
              <w:rPr>
                <w:rFonts w:hint="default" w:eastAsia="宋体"/>
                <w:color w:val="auto"/>
                <w:highlight w:val="none"/>
                <w:lang w:val="en-US" w:eastAsia="zh-CN"/>
              </w:rPr>
            </w:pPr>
            <w:r>
              <w:rPr>
                <w:rFonts w:hint="eastAsia"/>
                <w:color w:val="auto"/>
                <w:highlight w:val="none"/>
              </w:rPr>
              <w:t>小写：</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/年</w:t>
            </w:r>
          </w:p>
          <w:p>
            <w:pPr>
              <w:spacing w:line="400" w:lineRule="exact"/>
              <w:ind w:firstLine="1050" w:firstLineChars="500"/>
              <w:jc w:val="left"/>
              <w:rPr>
                <w:rFonts w:hint="eastAsia"/>
                <w:color w:val="auto"/>
                <w:highlight w:val="none"/>
              </w:rPr>
            </w:pPr>
            <w:r>
              <w:rPr>
                <w:rFonts w:hint="eastAsia"/>
                <w:color w:val="auto"/>
                <w:highlight w:val="none"/>
              </w:rPr>
              <w:t>大写：</w:t>
            </w:r>
            <w:r>
              <w:rPr>
                <w:rFonts w:hint="eastAsia"/>
                <w:color w:val="auto"/>
                <w:highlight w:val="none"/>
                <w:u w:val="single"/>
              </w:rPr>
              <w:t xml:space="preserve">                   </w:t>
            </w:r>
            <w:r>
              <w:rPr>
                <w:rFonts w:hint="eastAsia"/>
                <w:color w:val="auto"/>
                <w:highlight w:val="none"/>
              </w:rPr>
              <w:t>元整</w:t>
            </w:r>
            <w:r>
              <w:rPr>
                <w:rFonts w:hint="eastAsia"/>
                <w:color w:val="auto"/>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投标声明</w:t>
            </w:r>
          </w:p>
        </w:tc>
        <w:tc>
          <w:tcPr>
            <w:tcW w:w="5487" w:type="dxa"/>
            <w:noWrap w:val="0"/>
            <w:vAlign w:val="top"/>
          </w:tcPr>
          <w:p>
            <w:pPr>
              <w:spacing w:line="400" w:lineRule="exact"/>
              <w:rPr>
                <w:rFonts w:hint="eastAsia"/>
                <w:color w:val="auto"/>
                <w:highlight w:val="none"/>
              </w:rPr>
            </w:pPr>
          </w:p>
          <w:p>
            <w:pPr>
              <w:spacing w:line="400" w:lineRule="exact"/>
              <w:jc w:val="center"/>
              <w:rPr>
                <w:rFonts w:hint="eastAsia"/>
                <w:color w:val="auto"/>
                <w:highlight w:val="none"/>
              </w:rPr>
            </w:pPr>
            <w:r>
              <w:rPr>
                <w:rFonts w:hint="eastAsia" w:hAnsi="宋体"/>
                <w:color w:val="auto"/>
                <w:highlight w:val="none"/>
              </w:rPr>
              <w:t>若无，请打</w:t>
            </w:r>
            <w:r>
              <w:rPr>
                <w:rFonts w:hint="eastAsia"/>
                <w:color w:val="auto"/>
                <w:highlight w:val="none"/>
              </w:rPr>
              <w:t>“/”</w:t>
            </w:r>
            <w:r>
              <w:rPr>
                <w:rFonts w:hint="eastAsia" w:hAnsi="宋体"/>
                <w:color w:val="auto"/>
                <w:highlight w:val="none"/>
              </w:rPr>
              <w:t>号</w:t>
            </w:r>
          </w:p>
        </w:tc>
      </w:tr>
    </w:tbl>
    <w:p>
      <w:pPr>
        <w:snapToGrid w:val="0"/>
        <w:spacing w:before="50" w:after="50" w:line="440" w:lineRule="exact"/>
        <w:jc w:val="left"/>
        <w:rPr>
          <w:rFonts w:ascii="宋体"/>
          <w:color w:val="auto"/>
          <w:highlight w:val="none"/>
        </w:rPr>
      </w:pPr>
      <w:r>
        <w:rPr>
          <w:rFonts w:hint="eastAsia" w:ascii="宋体" w:hAnsi="宋体" w:cs="宋体"/>
          <w:color w:val="auto"/>
          <w:highlight w:val="none"/>
        </w:rPr>
        <w:t>注</w:t>
      </w:r>
      <w:r>
        <w:rPr>
          <w:rFonts w:ascii="宋体" w:hAnsi="宋体" w:cs="宋体"/>
          <w:color w:val="auto"/>
          <w:highlight w:val="none"/>
        </w:rPr>
        <w:t>: 1</w:t>
      </w:r>
      <w:r>
        <w:rPr>
          <w:rFonts w:hint="eastAsia" w:ascii="宋体" w:hAnsi="宋体" w:cs="宋体"/>
          <w:color w:val="auto"/>
          <w:highlight w:val="none"/>
        </w:rPr>
        <w:t>、报价一经涂改，应在涂改处加盖单位公章或者由法定代表人或授权委托人签字或盖章，否则其投标作无效标处理。</w:t>
      </w:r>
    </w:p>
    <w:p>
      <w:pPr>
        <w:numPr>
          <w:ilvl w:val="0"/>
          <w:numId w:val="15"/>
        </w:numPr>
        <w:snapToGrid w:val="0"/>
        <w:spacing w:before="50" w:after="50" w:line="440" w:lineRule="exact"/>
        <w:ind w:firstLine="420"/>
        <w:jc w:val="left"/>
        <w:rPr>
          <w:rFonts w:ascii="宋体"/>
          <w:color w:val="auto"/>
          <w:highlight w:val="none"/>
        </w:rPr>
      </w:pPr>
      <w:r>
        <w:rPr>
          <w:rFonts w:hint="eastAsia" w:ascii="宋体" w:hAnsi="宋体" w:cs="宋体"/>
          <w:color w:val="auto"/>
          <w:highlight w:val="none"/>
        </w:rPr>
        <w:t>投标报价是履行合同的最终价格，包括但不限于：人员基本工资、各类福利和补贴（如加班补贴、高温补贴、早餐补贴等）、公积金、社保（五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w:t>
      </w:r>
    </w:p>
    <w:p>
      <w:pPr>
        <w:numPr>
          <w:ilvl w:val="0"/>
          <w:numId w:val="15"/>
        </w:numPr>
        <w:snapToGrid w:val="0"/>
        <w:spacing w:before="50" w:after="50" w:line="440" w:lineRule="exact"/>
        <w:ind w:firstLine="420" w:firstLineChars="200"/>
        <w:jc w:val="left"/>
        <w:rPr>
          <w:rFonts w:ascii="宋体"/>
          <w:color w:val="auto"/>
          <w:highlight w:val="none"/>
        </w:rPr>
      </w:pPr>
      <w:r>
        <w:rPr>
          <w:rFonts w:hint="eastAsia" w:ascii="宋体" w:hAnsi="宋体" w:cs="宋体"/>
          <w:color w:val="auto"/>
          <w:highlight w:val="none"/>
        </w:rPr>
        <w:t>以上报价应与“投标报价明细表”中的“合计”金额相一致。</w:t>
      </w:r>
    </w:p>
    <w:p>
      <w:pPr>
        <w:snapToGrid w:val="0"/>
        <w:spacing w:before="120" w:beforeLines="50" w:after="50" w:line="440" w:lineRule="exact"/>
        <w:jc w:val="center"/>
        <w:rPr>
          <w:rFonts w:ascii="宋体" w:hAnsi="宋体"/>
          <w:b/>
          <w:color w:val="auto"/>
          <w:sz w:val="24"/>
          <w:szCs w:val="22"/>
          <w:highlight w:val="none"/>
        </w:rPr>
      </w:pPr>
      <w:r>
        <w:rPr>
          <w:rFonts w:ascii="宋体" w:hAnsi="宋体"/>
          <w:b/>
          <w:color w:val="auto"/>
          <w:sz w:val="24"/>
          <w:szCs w:val="22"/>
          <w:highlight w:val="none"/>
        </w:rPr>
        <w:br w:type="page"/>
      </w:r>
      <w:r>
        <w:rPr>
          <w:rFonts w:hint="eastAsia" w:ascii="宋体" w:hAnsi="宋体"/>
          <w:b/>
          <w:color w:val="auto"/>
          <w:sz w:val="24"/>
          <w:szCs w:val="22"/>
          <w:highlight w:val="none"/>
        </w:rPr>
        <w:t>开标一览表</w:t>
      </w:r>
    </w:p>
    <w:p>
      <w:pPr>
        <w:snapToGrid w:val="0"/>
        <w:spacing w:before="50" w:after="50" w:line="440" w:lineRule="exact"/>
        <w:rPr>
          <w:rFonts w:hint="eastAsia" w:ascii="宋体" w:hAnsi="宋体"/>
          <w:color w:val="auto"/>
          <w:highlight w:val="none"/>
          <w:u w:val="single"/>
        </w:rPr>
      </w:pPr>
      <w:r>
        <w:rPr>
          <w:rFonts w:hint="eastAsia" w:ascii="宋体" w:hAnsi="宋体"/>
          <w:color w:val="auto"/>
          <w:highlight w:val="none"/>
        </w:rPr>
        <w:t>招标编号：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 4  </w:t>
      </w:r>
    </w:p>
    <w:p>
      <w:pPr>
        <w:snapToGrid w:val="0"/>
        <w:spacing w:before="50" w:after="50" w:line="440" w:lineRule="exact"/>
        <w:rPr>
          <w:rFonts w:hint="eastAsia"/>
          <w:b/>
          <w:bCs/>
          <w:color w:val="auto"/>
          <w:highlight w:val="none"/>
        </w:rPr>
      </w:pPr>
      <w:r>
        <w:rPr>
          <w:rFonts w:hint="eastAsia" w:ascii="宋体" w:hAnsi="宋体"/>
          <w:color w:val="auto"/>
          <w:highlight w:val="none"/>
        </w:rPr>
        <w:t>投标人名称：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rPr>
        <w:t xml:space="preserve">   </w:t>
      </w:r>
    </w:p>
    <w:p>
      <w:pPr>
        <w:pStyle w:val="14"/>
        <w:ind w:leftChars="0"/>
        <w:rPr>
          <w:rFonts w:hint="eastAsia"/>
          <w:color w:val="auto"/>
          <w:szCs w:val="21"/>
          <w:highlight w:val="none"/>
        </w:rPr>
      </w:pPr>
      <w:r>
        <w:rPr>
          <w:rFonts w:hint="eastAsia" w:eastAsia="宋体"/>
          <w:b/>
          <w:bCs/>
          <w:color w:val="auto"/>
          <w:sz w:val="21"/>
          <w:szCs w:val="21"/>
          <w:highlight w:val="none"/>
        </w:rPr>
        <w:t xml:space="preserve">                                                                    </w:t>
      </w:r>
      <w:r>
        <w:rPr>
          <w:rFonts w:hint="eastAsia" w:ascii="宋体" w:hAnsi="宋体" w:eastAsia="宋体"/>
          <w:color w:val="auto"/>
          <w:sz w:val="21"/>
          <w:szCs w:val="21"/>
          <w:highlight w:val="none"/>
        </w:rPr>
        <w:t>单位：元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项目名称</w:t>
            </w:r>
          </w:p>
        </w:tc>
        <w:tc>
          <w:tcPr>
            <w:tcW w:w="5487" w:type="dxa"/>
            <w:noWrap w:val="0"/>
            <w:vAlign w:val="center"/>
          </w:tcPr>
          <w:p>
            <w:pPr>
              <w:spacing w:line="400" w:lineRule="exact"/>
              <w:jc w:val="center"/>
              <w:rPr>
                <w:rFonts w:hint="eastAsia"/>
                <w:color w:val="auto"/>
                <w:highlight w:val="none"/>
              </w:rPr>
            </w:pPr>
            <w:r>
              <w:rPr>
                <w:rFonts w:hint="eastAsia" w:hAnsi="宋体"/>
                <w:color w:val="auto"/>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s="Arial"/>
                <w:color w:val="auto"/>
                <w:highlight w:val="none"/>
              </w:rPr>
              <w:t>2022年庄桥街道五位一体综合服务外包项目（东片区）</w:t>
            </w:r>
          </w:p>
        </w:tc>
        <w:tc>
          <w:tcPr>
            <w:tcW w:w="5487" w:type="dxa"/>
            <w:noWrap w:val="0"/>
            <w:vAlign w:val="center"/>
          </w:tcPr>
          <w:p>
            <w:pPr>
              <w:spacing w:line="400" w:lineRule="exact"/>
              <w:ind w:firstLine="1050" w:firstLineChars="500"/>
              <w:jc w:val="left"/>
              <w:rPr>
                <w:rFonts w:hint="default" w:eastAsia="宋体"/>
                <w:color w:val="auto"/>
                <w:highlight w:val="none"/>
                <w:lang w:val="en-US" w:eastAsia="zh-CN"/>
              </w:rPr>
            </w:pPr>
            <w:r>
              <w:rPr>
                <w:rFonts w:hint="eastAsia"/>
                <w:color w:val="auto"/>
                <w:highlight w:val="none"/>
              </w:rPr>
              <w:t>小写：</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/年</w:t>
            </w:r>
          </w:p>
          <w:p>
            <w:pPr>
              <w:spacing w:line="400" w:lineRule="exact"/>
              <w:ind w:firstLine="1050" w:firstLineChars="500"/>
              <w:jc w:val="left"/>
              <w:rPr>
                <w:rFonts w:hint="eastAsia"/>
                <w:color w:val="auto"/>
                <w:highlight w:val="none"/>
              </w:rPr>
            </w:pPr>
            <w:r>
              <w:rPr>
                <w:rFonts w:hint="eastAsia"/>
                <w:color w:val="auto"/>
                <w:highlight w:val="none"/>
              </w:rPr>
              <w:t>大写：</w:t>
            </w:r>
            <w:r>
              <w:rPr>
                <w:rFonts w:hint="eastAsia"/>
                <w:color w:val="auto"/>
                <w:highlight w:val="none"/>
                <w:u w:val="single"/>
              </w:rPr>
              <w:t xml:space="preserve">                   </w:t>
            </w:r>
            <w:r>
              <w:rPr>
                <w:rFonts w:hint="eastAsia"/>
                <w:color w:val="auto"/>
                <w:highlight w:val="none"/>
              </w:rPr>
              <w:t>元整</w:t>
            </w:r>
            <w:r>
              <w:rPr>
                <w:rFonts w:hint="eastAsia"/>
                <w:color w:val="auto"/>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75" w:type="dxa"/>
            <w:noWrap w:val="0"/>
            <w:vAlign w:val="center"/>
          </w:tcPr>
          <w:p>
            <w:pPr>
              <w:spacing w:line="400" w:lineRule="exact"/>
              <w:jc w:val="center"/>
              <w:rPr>
                <w:rFonts w:hint="eastAsia"/>
                <w:color w:val="auto"/>
                <w:highlight w:val="none"/>
              </w:rPr>
            </w:pPr>
            <w:r>
              <w:rPr>
                <w:rFonts w:hint="eastAsia" w:hAnsi="宋体"/>
                <w:color w:val="auto"/>
                <w:highlight w:val="none"/>
              </w:rPr>
              <w:t>投标声明</w:t>
            </w:r>
          </w:p>
        </w:tc>
        <w:tc>
          <w:tcPr>
            <w:tcW w:w="5487" w:type="dxa"/>
            <w:noWrap w:val="0"/>
            <w:vAlign w:val="top"/>
          </w:tcPr>
          <w:p>
            <w:pPr>
              <w:spacing w:line="400" w:lineRule="exact"/>
              <w:rPr>
                <w:rFonts w:hint="eastAsia"/>
                <w:color w:val="auto"/>
                <w:highlight w:val="none"/>
              </w:rPr>
            </w:pPr>
          </w:p>
          <w:p>
            <w:pPr>
              <w:spacing w:line="400" w:lineRule="exact"/>
              <w:jc w:val="center"/>
              <w:rPr>
                <w:rFonts w:hint="eastAsia"/>
                <w:color w:val="auto"/>
                <w:highlight w:val="none"/>
              </w:rPr>
            </w:pPr>
            <w:r>
              <w:rPr>
                <w:rFonts w:hint="eastAsia" w:hAnsi="宋体"/>
                <w:color w:val="auto"/>
                <w:highlight w:val="none"/>
              </w:rPr>
              <w:t>若无，请打</w:t>
            </w:r>
            <w:r>
              <w:rPr>
                <w:rFonts w:hint="eastAsia"/>
                <w:color w:val="auto"/>
                <w:highlight w:val="none"/>
              </w:rPr>
              <w:t>“/”</w:t>
            </w:r>
            <w:r>
              <w:rPr>
                <w:rFonts w:hint="eastAsia" w:hAnsi="宋体"/>
                <w:color w:val="auto"/>
                <w:highlight w:val="none"/>
              </w:rPr>
              <w:t>号</w:t>
            </w:r>
          </w:p>
        </w:tc>
      </w:tr>
    </w:tbl>
    <w:p>
      <w:pPr>
        <w:snapToGrid w:val="0"/>
        <w:spacing w:before="50" w:after="50" w:line="440" w:lineRule="exact"/>
        <w:jc w:val="left"/>
        <w:rPr>
          <w:rFonts w:ascii="宋体"/>
          <w:color w:val="auto"/>
          <w:highlight w:val="none"/>
        </w:rPr>
      </w:pPr>
      <w:r>
        <w:rPr>
          <w:rFonts w:hint="eastAsia" w:ascii="宋体" w:hAnsi="宋体" w:cs="宋体"/>
          <w:color w:val="auto"/>
          <w:highlight w:val="none"/>
        </w:rPr>
        <w:t>注</w:t>
      </w:r>
      <w:r>
        <w:rPr>
          <w:rFonts w:ascii="宋体" w:hAnsi="宋体" w:cs="宋体"/>
          <w:color w:val="auto"/>
          <w:highlight w:val="none"/>
        </w:rPr>
        <w:t>: 1</w:t>
      </w:r>
      <w:r>
        <w:rPr>
          <w:rFonts w:hint="eastAsia" w:ascii="宋体" w:hAnsi="宋体" w:cs="宋体"/>
          <w:color w:val="auto"/>
          <w:highlight w:val="none"/>
        </w:rPr>
        <w:t>、报价一经涂改，应在涂改处加盖单位公章或者由法定代表人或授权委托人签字或盖章，否则其投标作无效标处理。</w:t>
      </w:r>
    </w:p>
    <w:p>
      <w:pPr>
        <w:numPr>
          <w:ilvl w:val="0"/>
          <w:numId w:val="16"/>
        </w:numPr>
        <w:snapToGrid w:val="0"/>
        <w:spacing w:before="50" w:after="50" w:line="440" w:lineRule="exact"/>
        <w:ind w:firstLine="420"/>
        <w:jc w:val="left"/>
        <w:rPr>
          <w:rFonts w:ascii="宋体"/>
          <w:color w:val="auto"/>
          <w:highlight w:val="none"/>
        </w:rPr>
      </w:pPr>
      <w:r>
        <w:rPr>
          <w:rFonts w:hint="eastAsia" w:ascii="宋体" w:hAnsi="宋体" w:cs="宋体"/>
          <w:color w:val="auto"/>
          <w:highlight w:val="none"/>
        </w:rPr>
        <w:t>投标报价是履行合同的最终价格，包括但不限于：人员基本工资、各类福利和补贴（如加班补贴、高温补贴、早餐补贴等）、公积金、社保（五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w:t>
      </w:r>
    </w:p>
    <w:p>
      <w:pPr>
        <w:numPr>
          <w:ilvl w:val="0"/>
          <w:numId w:val="16"/>
        </w:numPr>
        <w:snapToGrid w:val="0"/>
        <w:spacing w:before="50" w:after="50" w:line="440" w:lineRule="exact"/>
        <w:ind w:firstLine="420" w:firstLineChars="200"/>
        <w:jc w:val="left"/>
        <w:rPr>
          <w:rFonts w:ascii="宋体"/>
          <w:color w:val="auto"/>
          <w:highlight w:val="none"/>
        </w:rPr>
      </w:pPr>
      <w:r>
        <w:rPr>
          <w:rFonts w:hint="eastAsia" w:ascii="宋体" w:hAnsi="宋体" w:cs="宋体"/>
          <w:color w:val="auto"/>
          <w:highlight w:val="none"/>
        </w:rPr>
        <w:t>以上报价应与“投标报价明细表”中的“合计”金额相一致。</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jc w:val="center"/>
        <w:rPr>
          <w:rFonts w:hint="eastAsia"/>
          <w:b/>
          <w:color w:val="auto"/>
          <w:sz w:val="24"/>
          <w:szCs w:val="24"/>
          <w:highlight w:val="none"/>
        </w:rPr>
      </w:pPr>
      <w:r>
        <w:rPr>
          <w:rFonts w:hint="eastAsia" w:hAnsi="宋体"/>
          <w:b/>
          <w:color w:val="auto"/>
          <w:sz w:val="24"/>
          <w:szCs w:val="24"/>
          <w:highlight w:val="none"/>
          <w:lang w:val="zh-CN" w:bidi="zh-CN"/>
        </w:rPr>
        <w:br w:type="page"/>
      </w:r>
      <w:r>
        <w:rPr>
          <w:rFonts w:hint="eastAsia" w:hAnsi="宋体"/>
          <w:b/>
          <w:color w:val="auto"/>
          <w:sz w:val="24"/>
          <w:szCs w:val="24"/>
          <w:highlight w:val="none"/>
          <w:lang w:val="zh-CN" w:bidi="zh-CN"/>
        </w:rPr>
        <w:t>（</w:t>
      </w:r>
      <w:r>
        <w:rPr>
          <w:rFonts w:hint="eastAsia" w:hAnsi="宋体"/>
          <w:b/>
          <w:color w:val="auto"/>
          <w:sz w:val="24"/>
          <w:szCs w:val="24"/>
          <w:highlight w:val="none"/>
          <w:lang w:bidi="zh-CN"/>
        </w:rPr>
        <w:t>三</w:t>
      </w:r>
      <w:r>
        <w:rPr>
          <w:rFonts w:hint="eastAsia" w:hAnsi="宋体"/>
          <w:b/>
          <w:color w:val="auto"/>
          <w:sz w:val="24"/>
          <w:szCs w:val="24"/>
          <w:highlight w:val="none"/>
          <w:lang w:val="zh-CN" w:bidi="zh-CN"/>
        </w:rPr>
        <w:t>）投标报价明细表</w:t>
      </w:r>
    </w:p>
    <w:p>
      <w:pPr>
        <w:snapToGrid w:val="0"/>
        <w:spacing w:before="120" w:beforeLines="50" w:after="50"/>
        <w:jc w:val="center"/>
        <w:rPr>
          <w:rFonts w:ascii="Calibri" w:hAnsi="Calibri"/>
          <w:b/>
          <w:color w:val="auto"/>
          <w:sz w:val="28"/>
          <w:szCs w:val="28"/>
          <w:highlight w:val="none"/>
        </w:rPr>
      </w:pPr>
      <w:r>
        <w:rPr>
          <w:rFonts w:hint="eastAsia" w:ascii="Calibri" w:hAnsi="Calibri"/>
          <w:b/>
          <w:color w:val="auto"/>
          <w:szCs w:val="28"/>
          <w:highlight w:val="none"/>
        </w:rPr>
        <w:t>（格式仅供参考，可自拟。）</w:t>
      </w:r>
    </w:p>
    <w:p>
      <w:pPr>
        <w:snapToGrid w:val="0"/>
        <w:spacing w:before="50" w:after="50"/>
        <w:rPr>
          <w:rFonts w:hint="eastAsia" w:ascii="Calibri" w:hAnsi="Calibri"/>
          <w:color w:val="auto"/>
          <w:highlight w:val="none"/>
          <w:u w:val="single"/>
        </w:rPr>
      </w:pPr>
      <w:r>
        <w:rPr>
          <w:rFonts w:hint="eastAsia" w:ascii="Calibri" w:hAnsi="Calibri"/>
          <w:color w:val="auto"/>
          <w:highlight w:val="none"/>
        </w:rPr>
        <w:t>项目编号：</w:t>
      </w:r>
      <w:r>
        <w:rPr>
          <w:rFonts w:ascii="Calibri" w:hAnsi="Calibri"/>
          <w:color w:val="auto"/>
          <w:highlight w:val="none"/>
          <w:u w:val="single"/>
        </w:rPr>
        <w:t xml:space="preserve">                  </w:t>
      </w:r>
      <w:r>
        <w:rPr>
          <w:rFonts w:hint="eastAsia" w:ascii="Calibri" w:hAnsi="Calibri"/>
          <w:bCs/>
          <w:color w:val="auto"/>
          <w:highlight w:val="none"/>
        </w:rPr>
        <w:t>项目名称</w:t>
      </w:r>
      <w:r>
        <w:rPr>
          <w:rFonts w:hint="eastAsia" w:ascii="Calibri" w:hAnsi="Calibri"/>
          <w:color w:val="auto"/>
          <w:highlight w:val="none"/>
        </w:rPr>
        <w:t>：</w:t>
      </w:r>
      <w:r>
        <w:rPr>
          <w:rFonts w:ascii="Calibri" w:hAnsi="Calibri"/>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 1  </w:t>
      </w:r>
    </w:p>
    <w:p>
      <w:pPr>
        <w:snapToGrid w:val="0"/>
        <w:spacing w:before="50" w:after="50"/>
        <w:rPr>
          <w:rFonts w:ascii="Calibri" w:hAnsi="Calibri"/>
          <w:color w:val="auto"/>
          <w:highlight w:val="none"/>
        </w:rPr>
      </w:pPr>
      <w:r>
        <w:rPr>
          <w:rFonts w:hint="eastAsia" w:ascii="Calibri" w:hAnsi="Calibri"/>
          <w:color w:val="auto"/>
          <w:highlight w:val="none"/>
        </w:rPr>
        <w:t>单位：元</w:t>
      </w:r>
      <w:r>
        <w:rPr>
          <w:rFonts w:ascii="Calibri" w:hAnsi="Calibri"/>
          <w:color w:val="auto"/>
          <w:highlight w:val="none"/>
        </w:rPr>
        <w:t xml:space="preserve"> </w:t>
      </w:r>
    </w:p>
    <w:tbl>
      <w:tblPr>
        <w:tblStyle w:val="26"/>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984"/>
        <w:gridCol w:w="2553"/>
        <w:gridCol w:w="1275"/>
        <w:gridCol w:w="113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highlight w:val="none"/>
              </w:rPr>
              <w:t>标项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项目名称</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0" w:beforeLines="100" w:after="120" w:line="360" w:lineRule="auto"/>
              <w:jc w:val="center"/>
              <w:rPr>
                <w:rFonts w:ascii="Calibri" w:hAnsi="Calibri"/>
                <w:color w:val="auto"/>
                <w:highlight w:val="none"/>
              </w:rPr>
            </w:pPr>
            <w:r>
              <w:rPr>
                <w:rFonts w:hint="eastAsia" w:ascii="Calibri" w:hAnsi="Calibri"/>
                <w:color w:val="auto"/>
                <w:highlight w:val="none"/>
              </w:rPr>
              <w:t>内容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单位及数量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ascii="Calibri" w:hAnsi="Calibri"/>
                <w:color w:val="auto"/>
                <w:spacing w:val="20"/>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jc w:val="center"/>
              <w:rPr>
                <w:rFonts w:ascii="宋体" w:hAnsi="Calibri"/>
                <w:color w:val="auto"/>
                <w:spacing w:val="20"/>
                <w:kern w:val="0"/>
                <w:sz w:val="18"/>
                <w:highlight w:val="none"/>
              </w:rPr>
            </w:pPr>
            <w:r>
              <w:rPr>
                <w:rFonts w:hint="eastAsia" w:hAnsi="宋体" w:cs="Arial"/>
                <w:color w:val="auto"/>
                <w:highlight w:val="none"/>
              </w:rPr>
              <w:t>2022年庄桥街道五位一体综合服务外包项目（南片区）</w:t>
            </w: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984"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9"/>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r>
              <w:rPr>
                <w:rFonts w:ascii="Calibri" w:hAnsi="Calibri"/>
                <w:color w:val="auto"/>
                <w:szCs w:val="24"/>
                <w:highlight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773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spacing w:val="20"/>
                <w:highlight w:val="none"/>
              </w:rPr>
              <w:t>投标总价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rPr>
                <w:rFonts w:ascii="Calibri" w:hAnsi="Calibri"/>
                <w:color w:val="auto"/>
                <w:spacing w:val="20"/>
                <w:highlight w:val="none"/>
              </w:rPr>
            </w:pPr>
          </w:p>
        </w:tc>
      </w:tr>
    </w:tbl>
    <w:p>
      <w:pPr>
        <w:spacing w:line="360" w:lineRule="auto"/>
        <w:rPr>
          <w:rFonts w:hint="eastAsia" w:ascii="宋体" w:hAnsi="宋体"/>
          <w:color w:val="auto"/>
          <w:spacing w:val="-4"/>
          <w:kern w:val="0"/>
          <w:highlight w:val="none"/>
        </w:rPr>
      </w:pPr>
      <w:r>
        <w:rPr>
          <w:rFonts w:hint="eastAsia" w:ascii="宋体" w:hAnsi="宋体"/>
          <w:color w:val="auto"/>
          <w:spacing w:val="-4"/>
          <w:kern w:val="0"/>
          <w:highlight w:val="none"/>
        </w:rPr>
        <w:t>注：</w:t>
      </w:r>
    </w:p>
    <w:p>
      <w:pPr>
        <w:spacing w:line="360" w:lineRule="auto"/>
        <w:rPr>
          <w:rFonts w:hint="eastAsia"/>
          <w:bCs/>
          <w:color w:val="auto"/>
          <w:highlight w:val="none"/>
        </w:rPr>
      </w:pPr>
      <w:r>
        <w:rPr>
          <w:rFonts w:hint="eastAsia"/>
          <w:bCs/>
          <w:color w:val="auto"/>
          <w:highlight w:val="none"/>
          <w:lang w:val="zh-CN"/>
        </w:rPr>
        <w:t>1、</w:t>
      </w:r>
      <w:r>
        <w:rPr>
          <w:rFonts w:hint="eastAsia"/>
          <w:bCs/>
          <w:color w:val="auto"/>
          <w:highlight w:val="none"/>
        </w:rPr>
        <w:t>合计高于最高限价的，作无效标处理；</w:t>
      </w:r>
    </w:p>
    <w:p>
      <w:pPr>
        <w:spacing w:line="360" w:lineRule="auto"/>
        <w:rPr>
          <w:rFonts w:hint="eastAsia"/>
          <w:bCs/>
          <w:color w:val="auto"/>
          <w:highlight w:val="none"/>
        </w:rPr>
      </w:pPr>
      <w:r>
        <w:rPr>
          <w:rFonts w:hint="eastAsia"/>
          <w:bCs/>
          <w:color w:val="auto"/>
          <w:highlight w:val="none"/>
        </w:rPr>
        <w:t>2、本表中的“合计”金额应与开标一览表的“投标报价”金额一致；</w:t>
      </w:r>
    </w:p>
    <w:p>
      <w:pPr>
        <w:spacing w:line="360" w:lineRule="auto"/>
        <w:rPr>
          <w:rFonts w:hint="eastAsia"/>
          <w:bCs/>
          <w:color w:val="auto"/>
          <w:highlight w:val="none"/>
        </w:rPr>
      </w:pPr>
      <w:r>
        <w:rPr>
          <w:rFonts w:hint="eastAsia"/>
          <w:bCs/>
          <w:color w:val="auto"/>
          <w:highlight w:val="none"/>
        </w:rPr>
        <w:t>3、本表中的单价应为包含该工作内容的全费用综合单价；投标人应根据第二章招标需求的附件内容的明细进行报价详细报价，内容不得遗漏，如有遗漏，也视为全部响应报价，招标人不额外支付费用。</w:t>
      </w:r>
    </w:p>
    <w:p>
      <w:pPr>
        <w:spacing w:line="360" w:lineRule="auto"/>
        <w:rPr>
          <w:rFonts w:hint="eastAsia"/>
          <w:bCs/>
          <w:color w:val="auto"/>
          <w:highlight w:val="none"/>
        </w:rPr>
      </w:pPr>
      <w:r>
        <w:rPr>
          <w:rFonts w:hint="eastAsia"/>
          <w:bCs/>
          <w:color w:val="auto"/>
          <w:highlight w:val="none"/>
        </w:rPr>
        <w:t>4、若投标人尚有其他内容需明列的，请按此表格式扩展。</w:t>
      </w:r>
    </w:p>
    <w:p>
      <w:pPr>
        <w:snapToGrid w:val="0"/>
        <w:spacing w:before="50" w:after="50" w:line="440" w:lineRule="exact"/>
        <w:ind w:left="130" w:hanging="130" w:hangingChars="62"/>
        <w:rPr>
          <w:color w:val="auto"/>
          <w:highlight w:val="none"/>
        </w:rPr>
      </w:pPr>
      <w:r>
        <w:rPr>
          <w:color w:val="auto"/>
          <w:highlight w:val="none"/>
        </w:rPr>
        <w:t xml:space="preserve">法定代表人或授权代表（签字或盖章）：                    </w:t>
      </w:r>
    </w:p>
    <w:p>
      <w:pPr>
        <w:snapToGrid w:val="0"/>
        <w:spacing w:before="50" w:after="50" w:line="440" w:lineRule="exact"/>
        <w:ind w:left="130" w:hanging="130" w:hangingChars="62"/>
        <w:rPr>
          <w:color w:val="auto"/>
          <w:highlight w:val="none"/>
        </w:rPr>
      </w:pPr>
      <w:r>
        <w:rPr>
          <w:color w:val="auto"/>
          <w:highlight w:val="none"/>
        </w:rPr>
        <w:t xml:space="preserve">投标人名称（盖章）：                                              </w:t>
      </w:r>
    </w:p>
    <w:p>
      <w:pPr>
        <w:spacing w:line="400" w:lineRule="exact"/>
        <w:rPr>
          <w:rFonts w:hint="eastAsia" w:ascii="宋体" w:hAnsi="宋体"/>
          <w:b/>
          <w:color w:val="auto"/>
          <w:highlight w:val="none"/>
        </w:rPr>
      </w:pPr>
      <w:r>
        <w:rPr>
          <w:rFonts w:hint="eastAsia" w:ascii="宋体" w:hAnsi="宋体"/>
          <w:bCs/>
          <w:color w:val="auto"/>
          <w:highlight w:val="none"/>
        </w:rPr>
        <w:t xml:space="preserve">日期：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r>
        <w:rPr>
          <w:rFonts w:hint="eastAsia" w:ascii="宋体" w:hAnsi="宋体"/>
          <w:bCs/>
          <w:color w:val="auto"/>
          <w:highlight w:val="none"/>
        </w:rPr>
        <w:t xml:space="preserve">  </w:t>
      </w:r>
      <w:r>
        <w:rPr>
          <w:rFonts w:hint="eastAsia" w:ascii="宋体" w:hAnsi="宋体"/>
          <w:b/>
          <w:color w:val="auto"/>
          <w:highlight w:val="none"/>
        </w:rPr>
        <w:t xml:space="preserve"> </w:t>
      </w:r>
    </w:p>
    <w:p>
      <w:pPr>
        <w:spacing w:line="360" w:lineRule="auto"/>
        <w:jc w:val="center"/>
        <w:rPr>
          <w:rFonts w:hint="eastAsia"/>
          <w:b/>
          <w:color w:val="auto"/>
          <w:sz w:val="24"/>
          <w:szCs w:val="24"/>
          <w:highlight w:val="none"/>
        </w:rPr>
      </w:pPr>
      <w:r>
        <w:rPr>
          <w:rFonts w:hint="eastAsia" w:ascii="宋体" w:hAnsi="宋体"/>
          <w:b/>
          <w:color w:val="auto"/>
          <w:highlight w:val="none"/>
        </w:rPr>
        <w:br w:type="page"/>
      </w:r>
      <w:r>
        <w:rPr>
          <w:rFonts w:hint="eastAsia" w:hAnsi="宋体"/>
          <w:b/>
          <w:color w:val="auto"/>
          <w:sz w:val="24"/>
          <w:szCs w:val="24"/>
          <w:highlight w:val="none"/>
          <w:lang w:val="zh-CN" w:bidi="zh-CN"/>
        </w:rPr>
        <w:t>投标报价明细表</w:t>
      </w:r>
    </w:p>
    <w:p>
      <w:pPr>
        <w:snapToGrid w:val="0"/>
        <w:spacing w:before="120" w:beforeLines="50" w:after="50"/>
        <w:jc w:val="center"/>
        <w:rPr>
          <w:rFonts w:ascii="Calibri" w:hAnsi="Calibri"/>
          <w:b/>
          <w:color w:val="auto"/>
          <w:sz w:val="28"/>
          <w:szCs w:val="28"/>
          <w:highlight w:val="none"/>
        </w:rPr>
      </w:pPr>
      <w:r>
        <w:rPr>
          <w:rFonts w:hint="eastAsia" w:ascii="Calibri" w:hAnsi="Calibri"/>
          <w:b/>
          <w:color w:val="auto"/>
          <w:szCs w:val="28"/>
          <w:highlight w:val="none"/>
        </w:rPr>
        <w:t>（格式仅供参考，可自拟。）</w:t>
      </w:r>
    </w:p>
    <w:p>
      <w:pPr>
        <w:snapToGrid w:val="0"/>
        <w:spacing w:before="50" w:after="50"/>
        <w:rPr>
          <w:rFonts w:hint="eastAsia" w:ascii="Calibri" w:hAnsi="Calibri"/>
          <w:color w:val="auto"/>
          <w:highlight w:val="none"/>
          <w:u w:val="single"/>
        </w:rPr>
      </w:pPr>
      <w:r>
        <w:rPr>
          <w:rFonts w:hint="eastAsia" w:ascii="Calibri" w:hAnsi="Calibri"/>
          <w:color w:val="auto"/>
          <w:highlight w:val="none"/>
        </w:rPr>
        <w:t>项目编号：</w:t>
      </w:r>
      <w:r>
        <w:rPr>
          <w:rFonts w:ascii="Calibri" w:hAnsi="Calibri"/>
          <w:color w:val="auto"/>
          <w:highlight w:val="none"/>
          <w:u w:val="single"/>
        </w:rPr>
        <w:t xml:space="preserve">                  </w:t>
      </w:r>
      <w:r>
        <w:rPr>
          <w:rFonts w:hint="eastAsia" w:ascii="Calibri" w:hAnsi="Calibri"/>
          <w:bCs/>
          <w:color w:val="auto"/>
          <w:highlight w:val="none"/>
        </w:rPr>
        <w:t>项目名称</w:t>
      </w:r>
      <w:r>
        <w:rPr>
          <w:rFonts w:hint="eastAsia" w:ascii="Calibri" w:hAnsi="Calibri"/>
          <w:color w:val="auto"/>
          <w:highlight w:val="none"/>
        </w:rPr>
        <w:t>：</w:t>
      </w:r>
      <w:r>
        <w:rPr>
          <w:rFonts w:ascii="Calibri" w:hAnsi="Calibri"/>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2  </w:t>
      </w:r>
    </w:p>
    <w:p>
      <w:pPr>
        <w:snapToGrid w:val="0"/>
        <w:spacing w:before="50" w:after="50"/>
        <w:rPr>
          <w:rFonts w:ascii="Calibri" w:hAnsi="Calibri"/>
          <w:color w:val="auto"/>
          <w:highlight w:val="none"/>
        </w:rPr>
      </w:pPr>
      <w:r>
        <w:rPr>
          <w:rFonts w:hint="eastAsia" w:ascii="Calibri" w:hAnsi="Calibri"/>
          <w:color w:val="auto"/>
          <w:highlight w:val="none"/>
        </w:rPr>
        <w:t>单位：元</w:t>
      </w:r>
      <w:r>
        <w:rPr>
          <w:rFonts w:ascii="Calibri" w:hAnsi="Calibri"/>
          <w:color w:val="auto"/>
          <w:highlight w:val="none"/>
        </w:rPr>
        <w:t xml:space="preserve"> </w:t>
      </w:r>
    </w:p>
    <w:tbl>
      <w:tblPr>
        <w:tblStyle w:val="26"/>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984"/>
        <w:gridCol w:w="2553"/>
        <w:gridCol w:w="1275"/>
        <w:gridCol w:w="113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highlight w:val="none"/>
              </w:rPr>
              <w:t>标项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项目名称</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0" w:beforeLines="100" w:after="120" w:line="360" w:lineRule="auto"/>
              <w:jc w:val="center"/>
              <w:rPr>
                <w:rFonts w:ascii="Calibri" w:hAnsi="Calibri"/>
                <w:color w:val="auto"/>
                <w:highlight w:val="none"/>
              </w:rPr>
            </w:pPr>
            <w:r>
              <w:rPr>
                <w:rFonts w:hint="eastAsia" w:ascii="Calibri" w:hAnsi="Calibri"/>
                <w:color w:val="auto"/>
                <w:highlight w:val="none"/>
              </w:rPr>
              <w:t>内容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单位及数量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ascii="Calibri" w:hAnsi="Calibri"/>
                <w:color w:val="auto"/>
                <w:spacing w:val="20"/>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jc w:val="center"/>
              <w:rPr>
                <w:rFonts w:ascii="宋体" w:hAnsi="Calibri"/>
                <w:color w:val="auto"/>
                <w:spacing w:val="20"/>
                <w:kern w:val="0"/>
                <w:sz w:val="18"/>
                <w:highlight w:val="none"/>
              </w:rPr>
            </w:pPr>
            <w:r>
              <w:rPr>
                <w:rFonts w:hint="eastAsia" w:hAnsi="宋体" w:cs="Arial"/>
                <w:color w:val="auto"/>
                <w:highlight w:val="none"/>
              </w:rPr>
              <w:t>2022年庄桥街道五位一体综合服务外包项目（西片区）</w:t>
            </w: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984"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9"/>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r>
              <w:rPr>
                <w:rFonts w:ascii="Calibri" w:hAnsi="Calibri"/>
                <w:color w:val="auto"/>
                <w:szCs w:val="24"/>
                <w:highlight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773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spacing w:val="20"/>
                <w:highlight w:val="none"/>
              </w:rPr>
              <w:t>投标总价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rPr>
                <w:rFonts w:ascii="Calibri" w:hAnsi="Calibri"/>
                <w:color w:val="auto"/>
                <w:spacing w:val="20"/>
                <w:highlight w:val="none"/>
              </w:rPr>
            </w:pPr>
          </w:p>
        </w:tc>
      </w:tr>
    </w:tbl>
    <w:p>
      <w:pPr>
        <w:spacing w:line="360" w:lineRule="auto"/>
        <w:rPr>
          <w:rFonts w:hint="eastAsia" w:ascii="宋体" w:hAnsi="宋体"/>
          <w:color w:val="auto"/>
          <w:spacing w:val="-4"/>
          <w:kern w:val="0"/>
          <w:highlight w:val="none"/>
        </w:rPr>
      </w:pPr>
      <w:r>
        <w:rPr>
          <w:rFonts w:hint="eastAsia" w:ascii="宋体" w:hAnsi="宋体"/>
          <w:color w:val="auto"/>
          <w:spacing w:val="-4"/>
          <w:kern w:val="0"/>
          <w:highlight w:val="none"/>
        </w:rPr>
        <w:t>注：</w:t>
      </w:r>
    </w:p>
    <w:p>
      <w:pPr>
        <w:spacing w:line="360" w:lineRule="auto"/>
        <w:rPr>
          <w:rFonts w:hint="eastAsia"/>
          <w:bCs/>
          <w:color w:val="auto"/>
          <w:highlight w:val="none"/>
        </w:rPr>
      </w:pPr>
      <w:r>
        <w:rPr>
          <w:rFonts w:hint="eastAsia"/>
          <w:bCs/>
          <w:color w:val="auto"/>
          <w:highlight w:val="none"/>
          <w:lang w:val="zh-CN"/>
        </w:rPr>
        <w:t>1、</w:t>
      </w:r>
      <w:r>
        <w:rPr>
          <w:rFonts w:hint="eastAsia"/>
          <w:bCs/>
          <w:color w:val="auto"/>
          <w:highlight w:val="none"/>
        </w:rPr>
        <w:t>合计高于最高限价的，作无效标处理；</w:t>
      </w:r>
    </w:p>
    <w:p>
      <w:pPr>
        <w:spacing w:line="360" w:lineRule="auto"/>
        <w:rPr>
          <w:rFonts w:hint="eastAsia"/>
          <w:bCs/>
          <w:color w:val="auto"/>
          <w:highlight w:val="none"/>
        </w:rPr>
      </w:pPr>
      <w:r>
        <w:rPr>
          <w:rFonts w:hint="eastAsia"/>
          <w:bCs/>
          <w:color w:val="auto"/>
          <w:highlight w:val="none"/>
        </w:rPr>
        <w:t>2、本表中的“合计”金额应与开标一览表的“投标报价”金额一致；</w:t>
      </w:r>
    </w:p>
    <w:p>
      <w:pPr>
        <w:spacing w:line="360" w:lineRule="auto"/>
        <w:rPr>
          <w:rFonts w:hint="eastAsia"/>
          <w:bCs/>
          <w:color w:val="auto"/>
          <w:highlight w:val="none"/>
        </w:rPr>
      </w:pPr>
      <w:r>
        <w:rPr>
          <w:rFonts w:hint="eastAsia"/>
          <w:bCs/>
          <w:color w:val="auto"/>
          <w:highlight w:val="none"/>
        </w:rPr>
        <w:t>3、本表中的单价应为包含该工作内容的全费用综合单价；投标人应根据第二章招标需求的附件内容的明细进行报价详细报价，内容不得遗漏，如有遗漏，也视为全部响应报价，招标人不额外支付费用。</w:t>
      </w:r>
    </w:p>
    <w:p>
      <w:pPr>
        <w:spacing w:line="360" w:lineRule="auto"/>
        <w:rPr>
          <w:rFonts w:hint="eastAsia"/>
          <w:bCs/>
          <w:color w:val="auto"/>
          <w:highlight w:val="none"/>
        </w:rPr>
      </w:pPr>
      <w:r>
        <w:rPr>
          <w:rFonts w:hint="eastAsia"/>
          <w:bCs/>
          <w:color w:val="auto"/>
          <w:highlight w:val="none"/>
        </w:rPr>
        <w:t>4、若投标人尚有其他内容需明列的，请按此表格式扩展。</w:t>
      </w:r>
    </w:p>
    <w:p>
      <w:pPr>
        <w:snapToGrid w:val="0"/>
        <w:spacing w:before="50" w:after="50" w:line="440" w:lineRule="exact"/>
        <w:ind w:left="130" w:hanging="130" w:hangingChars="62"/>
        <w:rPr>
          <w:color w:val="auto"/>
          <w:highlight w:val="none"/>
        </w:rPr>
      </w:pPr>
      <w:r>
        <w:rPr>
          <w:color w:val="auto"/>
          <w:highlight w:val="none"/>
        </w:rPr>
        <w:t xml:space="preserve">法定代表人或授权代表（签字或盖章）：                    </w:t>
      </w:r>
    </w:p>
    <w:p>
      <w:pPr>
        <w:snapToGrid w:val="0"/>
        <w:spacing w:before="50" w:after="50" w:line="440" w:lineRule="exact"/>
        <w:ind w:left="130" w:hanging="130" w:hangingChars="62"/>
        <w:rPr>
          <w:color w:val="auto"/>
          <w:highlight w:val="none"/>
        </w:rPr>
      </w:pPr>
      <w:r>
        <w:rPr>
          <w:color w:val="auto"/>
          <w:highlight w:val="none"/>
        </w:rPr>
        <w:t xml:space="preserve">投标人名称（盖章）：                                              </w:t>
      </w:r>
    </w:p>
    <w:p>
      <w:pPr>
        <w:spacing w:line="400" w:lineRule="exact"/>
        <w:rPr>
          <w:rFonts w:hint="eastAsia" w:ascii="宋体" w:hAnsi="宋体"/>
          <w:b/>
          <w:color w:val="auto"/>
          <w:highlight w:val="none"/>
        </w:rPr>
      </w:pPr>
      <w:r>
        <w:rPr>
          <w:rFonts w:hint="eastAsia" w:ascii="宋体" w:hAnsi="宋体"/>
          <w:bCs/>
          <w:color w:val="auto"/>
          <w:highlight w:val="none"/>
        </w:rPr>
        <w:t xml:space="preserve">日期：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r>
        <w:rPr>
          <w:rFonts w:hint="eastAsia" w:ascii="宋体" w:hAnsi="宋体"/>
          <w:bCs/>
          <w:color w:val="auto"/>
          <w:highlight w:val="none"/>
        </w:rPr>
        <w:t xml:space="preserve">  </w:t>
      </w:r>
      <w:r>
        <w:rPr>
          <w:rFonts w:hint="eastAsia" w:ascii="宋体" w:hAnsi="宋体"/>
          <w:b/>
          <w:color w:val="auto"/>
          <w:highlight w:val="none"/>
        </w:rPr>
        <w:t xml:space="preserve"> </w:t>
      </w:r>
    </w:p>
    <w:p>
      <w:pPr>
        <w:spacing w:line="360" w:lineRule="auto"/>
        <w:jc w:val="center"/>
        <w:rPr>
          <w:rFonts w:hint="eastAsia"/>
          <w:b/>
          <w:color w:val="auto"/>
          <w:sz w:val="24"/>
          <w:szCs w:val="24"/>
          <w:highlight w:val="none"/>
        </w:rPr>
      </w:pPr>
      <w:r>
        <w:rPr>
          <w:rFonts w:hAnsi="宋体"/>
          <w:b/>
          <w:color w:val="auto"/>
          <w:szCs w:val="22"/>
          <w:highlight w:val="none"/>
          <w:lang w:val="zh-CN" w:bidi="zh-CN"/>
        </w:rPr>
        <w:br w:type="page"/>
      </w:r>
      <w:r>
        <w:rPr>
          <w:rFonts w:hint="eastAsia" w:hAnsi="宋体"/>
          <w:b/>
          <w:color w:val="auto"/>
          <w:sz w:val="24"/>
          <w:szCs w:val="24"/>
          <w:highlight w:val="none"/>
          <w:lang w:val="zh-CN" w:bidi="zh-CN"/>
        </w:rPr>
        <w:t>投标报价明细表</w:t>
      </w:r>
    </w:p>
    <w:p>
      <w:pPr>
        <w:snapToGrid w:val="0"/>
        <w:spacing w:before="120" w:beforeLines="50" w:after="50"/>
        <w:jc w:val="center"/>
        <w:rPr>
          <w:rFonts w:ascii="Calibri" w:hAnsi="Calibri"/>
          <w:b/>
          <w:color w:val="auto"/>
          <w:sz w:val="28"/>
          <w:szCs w:val="28"/>
          <w:highlight w:val="none"/>
        </w:rPr>
      </w:pPr>
      <w:r>
        <w:rPr>
          <w:rFonts w:hint="eastAsia" w:ascii="Calibri" w:hAnsi="Calibri"/>
          <w:b/>
          <w:color w:val="auto"/>
          <w:szCs w:val="28"/>
          <w:highlight w:val="none"/>
        </w:rPr>
        <w:t>（格式仅供参考，可自拟。）</w:t>
      </w:r>
    </w:p>
    <w:p>
      <w:pPr>
        <w:snapToGrid w:val="0"/>
        <w:spacing w:before="50" w:after="50"/>
        <w:rPr>
          <w:rFonts w:hint="eastAsia" w:ascii="Calibri" w:hAnsi="Calibri"/>
          <w:color w:val="auto"/>
          <w:highlight w:val="none"/>
          <w:u w:val="single"/>
        </w:rPr>
      </w:pPr>
      <w:r>
        <w:rPr>
          <w:rFonts w:hint="eastAsia" w:ascii="Calibri" w:hAnsi="Calibri"/>
          <w:color w:val="auto"/>
          <w:highlight w:val="none"/>
        </w:rPr>
        <w:t>项目编号：</w:t>
      </w:r>
      <w:r>
        <w:rPr>
          <w:rFonts w:ascii="Calibri" w:hAnsi="Calibri"/>
          <w:color w:val="auto"/>
          <w:highlight w:val="none"/>
          <w:u w:val="single"/>
        </w:rPr>
        <w:t xml:space="preserve">                  </w:t>
      </w:r>
      <w:r>
        <w:rPr>
          <w:rFonts w:hint="eastAsia" w:ascii="Calibri" w:hAnsi="Calibri"/>
          <w:bCs/>
          <w:color w:val="auto"/>
          <w:highlight w:val="none"/>
        </w:rPr>
        <w:t>项目名称</w:t>
      </w:r>
      <w:r>
        <w:rPr>
          <w:rFonts w:hint="eastAsia" w:ascii="Calibri" w:hAnsi="Calibri"/>
          <w:color w:val="auto"/>
          <w:highlight w:val="none"/>
        </w:rPr>
        <w:t>：</w:t>
      </w:r>
      <w:r>
        <w:rPr>
          <w:rFonts w:ascii="Calibri" w:hAnsi="Calibri"/>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 3  </w:t>
      </w:r>
    </w:p>
    <w:p>
      <w:pPr>
        <w:snapToGrid w:val="0"/>
        <w:spacing w:before="50" w:after="50"/>
        <w:rPr>
          <w:rFonts w:ascii="Calibri" w:hAnsi="Calibri"/>
          <w:color w:val="auto"/>
          <w:highlight w:val="none"/>
        </w:rPr>
      </w:pPr>
      <w:r>
        <w:rPr>
          <w:rFonts w:hint="eastAsia" w:ascii="Calibri" w:hAnsi="Calibri"/>
          <w:color w:val="auto"/>
          <w:highlight w:val="none"/>
        </w:rPr>
        <w:t>单位：元</w:t>
      </w:r>
      <w:r>
        <w:rPr>
          <w:rFonts w:ascii="Calibri" w:hAnsi="Calibri"/>
          <w:color w:val="auto"/>
          <w:highlight w:val="none"/>
        </w:rPr>
        <w:t xml:space="preserve"> </w:t>
      </w:r>
    </w:p>
    <w:tbl>
      <w:tblPr>
        <w:tblStyle w:val="26"/>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984"/>
        <w:gridCol w:w="2553"/>
        <w:gridCol w:w="1275"/>
        <w:gridCol w:w="113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highlight w:val="none"/>
              </w:rPr>
              <w:t>标项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项目名称</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0" w:beforeLines="100" w:after="120" w:line="360" w:lineRule="auto"/>
              <w:jc w:val="center"/>
              <w:rPr>
                <w:rFonts w:ascii="Calibri" w:hAnsi="Calibri"/>
                <w:color w:val="auto"/>
                <w:highlight w:val="none"/>
              </w:rPr>
            </w:pPr>
            <w:r>
              <w:rPr>
                <w:rFonts w:hint="eastAsia" w:ascii="Calibri" w:hAnsi="Calibri"/>
                <w:color w:val="auto"/>
                <w:highlight w:val="none"/>
              </w:rPr>
              <w:t>内容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单位及数量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ascii="Calibri" w:hAnsi="Calibri"/>
                <w:color w:val="auto"/>
                <w:spacing w:val="20"/>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jc w:val="center"/>
              <w:rPr>
                <w:rFonts w:ascii="宋体" w:hAnsi="Calibri"/>
                <w:color w:val="auto"/>
                <w:spacing w:val="20"/>
                <w:kern w:val="0"/>
                <w:sz w:val="18"/>
                <w:highlight w:val="none"/>
              </w:rPr>
            </w:pPr>
            <w:r>
              <w:rPr>
                <w:rFonts w:hint="eastAsia" w:hAnsi="宋体" w:cs="Arial"/>
                <w:color w:val="auto"/>
                <w:highlight w:val="none"/>
              </w:rPr>
              <w:t>2022年庄桥街道五位一体综合服务外包项目（工业B区+机扫片）</w:t>
            </w: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984"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9"/>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r>
              <w:rPr>
                <w:rFonts w:ascii="Calibri" w:hAnsi="Calibri"/>
                <w:color w:val="auto"/>
                <w:szCs w:val="24"/>
                <w:highlight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773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spacing w:val="20"/>
                <w:highlight w:val="none"/>
              </w:rPr>
              <w:t>投标总价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rPr>
                <w:rFonts w:ascii="Calibri" w:hAnsi="Calibri"/>
                <w:color w:val="auto"/>
                <w:spacing w:val="20"/>
                <w:highlight w:val="none"/>
              </w:rPr>
            </w:pPr>
          </w:p>
        </w:tc>
      </w:tr>
    </w:tbl>
    <w:p>
      <w:pPr>
        <w:spacing w:line="360" w:lineRule="auto"/>
        <w:rPr>
          <w:rFonts w:hint="eastAsia" w:ascii="宋体" w:hAnsi="宋体"/>
          <w:color w:val="auto"/>
          <w:spacing w:val="-4"/>
          <w:kern w:val="0"/>
          <w:highlight w:val="none"/>
        </w:rPr>
      </w:pPr>
      <w:r>
        <w:rPr>
          <w:rFonts w:hint="eastAsia" w:ascii="宋体" w:hAnsi="宋体"/>
          <w:color w:val="auto"/>
          <w:spacing w:val="-4"/>
          <w:kern w:val="0"/>
          <w:highlight w:val="none"/>
        </w:rPr>
        <w:t>注：</w:t>
      </w:r>
    </w:p>
    <w:p>
      <w:pPr>
        <w:spacing w:line="360" w:lineRule="auto"/>
        <w:rPr>
          <w:rFonts w:hint="eastAsia"/>
          <w:bCs/>
          <w:color w:val="auto"/>
          <w:highlight w:val="none"/>
        </w:rPr>
      </w:pPr>
      <w:r>
        <w:rPr>
          <w:rFonts w:hint="eastAsia"/>
          <w:bCs/>
          <w:color w:val="auto"/>
          <w:highlight w:val="none"/>
          <w:lang w:val="zh-CN"/>
        </w:rPr>
        <w:t>1、</w:t>
      </w:r>
      <w:r>
        <w:rPr>
          <w:rFonts w:hint="eastAsia"/>
          <w:bCs/>
          <w:color w:val="auto"/>
          <w:highlight w:val="none"/>
        </w:rPr>
        <w:t>合计高于最高限价的，作无效标处理；</w:t>
      </w:r>
    </w:p>
    <w:p>
      <w:pPr>
        <w:spacing w:line="360" w:lineRule="auto"/>
        <w:rPr>
          <w:rFonts w:hint="eastAsia"/>
          <w:bCs/>
          <w:color w:val="auto"/>
          <w:highlight w:val="none"/>
        </w:rPr>
      </w:pPr>
      <w:r>
        <w:rPr>
          <w:rFonts w:hint="eastAsia"/>
          <w:bCs/>
          <w:color w:val="auto"/>
          <w:highlight w:val="none"/>
        </w:rPr>
        <w:t>2、本表中的“合计”金额应与开标一览表的“投标报价”金额一致；</w:t>
      </w:r>
    </w:p>
    <w:p>
      <w:pPr>
        <w:spacing w:line="360" w:lineRule="auto"/>
        <w:rPr>
          <w:rFonts w:hint="eastAsia"/>
          <w:bCs/>
          <w:color w:val="auto"/>
          <w:highlight w:val="none"/>
        </w:rPr>
      </w:pPr>
      <w:r>
        <w:rPr>
          <w:rFonts w:hint="eastAsia"/>
          <w:bCs/>
          <w:color w:val="auto"/>
          <w:highlight w:val="none"/>
        </w:rPr>
        <w:t>3、本表中的单价应为包含该工作内容的全费用综合单价；投标人应根据第二章招标需求的附件内容的明细进行报价详细报价，内容不得遗漏，如有遗漏，也视为全部响应报价，招标人不额外支付费用。</w:t>
      </w:r>
    </w:p>
    <w:p>
      <w:pPr>
        <w:spacing w:line="360" w:lineRule="auto"/>
        <w:rPr>
          <w:rFonts w:hint="eastAsia"/>
          <w:bCs/>
          <w:color w:val="auto"/>
          <w:highlight w:val="none"/>
        </w:rPr>
      </w:pPr>
      <w:r>
        <w:rPr>
          <w:rFonts w:hint="eastAsia"/>
          <w:bCs/>
          <w:color w:val="auto"/>
          <w:highlight w:val="none"/>
        </w:rPr>
        <w:t>4、若投标人尚有其他内容需明列的，请按此表格式扩展。</w:t>
      </w:r>
    </w:p>
    <w:p>
      <w:pPr>
        <w:snapToGrid w:val="0"/>
        <w:spacing w:before="50" w:after="50" w:line="440" w:lineRule="exact"/>
        <w:ind w:left="130" w:hanging="130" w:hangingChars="62"/>
        <w:rPr>
          <w:color w:val="auto"/>
          <w:highlight w:val="none"/>
        </w:rPr>
      </w:pPr>
      <w:r>
        <w:rPr>
          <w:color w:val="auto"/>
          <w:highlight w:val="none"/>
        </w:rPr>
        <w:t xml:space="preserve">法定代表人或授权代表（签字或盖章）：                    </w:t>
      </w:r>
    </w:p>
    <w:p>
      <w:pPr>
        <w:snapToGrid w:val="0"/>
        <w:spacing w:before="50" w:after="50" w:line="440" w:lineRule="exact"/>
        <w:ind w:left="130" w:hanging="130" w:hangingChars="62"/>
        <w:rPr>
          <w:color w:val="auto"/>
          <w:highlight w:val="none"/>
        </w:rPr>
      </w:pPr>
      <w:r>
        <w:rPr>
          <w:color w:val="auto"/>
          <w:highlight w:val="none"/>
        </w:rPr>
        <w:t xml:space="preserve">投标人名称（盖章）：                                              </w:t>
      </w:r>
    </w:p>
    <w:p>
      <w:pPr>
        <w:spacing w:line="400" w:lineRule="exact"/>
        <w:rPr>
          <w:rFonts w:hint="eastAsia" w:ascii="宋体" w:hAnsi="宋体"/>
          <w:b/>
          <w:color w:val="auto"/>
          <w:highlight w:val="none"/>
        </w:rPr>
      </w:pPr>
      <w:r>
        <w:rPr>
          <w:rFonts w:hint="eastAsia" w:ascii="宋体" w:hAnsi="宋体"/>
          <w:bCs/>
          <w:color w:val="auto"/>
          <w:highlight w:val="none"/>
        </w:rPr>
        <w:t xml:space="preserve">日期：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r>
        <w:rPr>
          <w:rFonts w:hint="eastAsia" w:ascii="宋体" w:hAnsi="宋体"/>
          <w:bCs/>
          <w:color w:val="auto"/>
          <w:highlight w:val="none"/>
        </w:rPr>
        <w:t xml:space="preserve">  </w:t>
      </w:r>
      <w:r>
        <w:rPr>
          <w:rFonts w:hint="eastAsia" w:ascii="宋体" w:hAnsi="宋体"/>
          <w:b/>
          <w:color w:val="auto"/>
          <w:highlight w:val="none"/>
        </w:rPr>
        <w:t xml:space="preserve"> </w:t>
      </w:r>
    </w:p>
    <w:p>
      <w:pPr>
        <w:spacing w:line="360" w:lineRule="auto"/>
        <w:jc w:val="center"/>
        <w:rPr>
          <w:rFonts w:hint="eastAsia"/>
          <w:b/>
          <w:color w:val="auto"/>
          <w:sz w:val="24"/>
          <w:szCs w:val="24"/>
          <w:highlight w:val="none"/>
        </w:rPr>
      </w:pPr>
      <w:r>
        <w:rPr>
          <w:rFonts w:hAnsi="宋体"/>
          <w:b/>
          <w:color w:val="auto"/>
          <w:szCs w:val="22"/>
          <w:highlight w:val="none"/>
          <w:lang w:val="zh-CN" w:bidi="zh-CN"/>
        </w:rPr>
        <w:br w:type="page"/>
      </w:r>
      <w:r>
        <w:rPr>
          <w:rFonts w:hint="eastAsia" w:hAnsi="宋体"/>
          <w:b/>
          <w:color w:val="auto"/>
          <w:sz w:val="24"/>
          <w:szCs w:val="24"/>
          <w:highlight w:val="none"/>
          <w:lang w:val="zh-CN" w:bidi="zh-CN"/>
        </w:rPr>
        <w:t>投标报价明细表</w:t>
      </w:r>
    </w:p>
    <w:p>
      <w:pPr>
        <w:snapToGrid w:val="0"/>
        <w:spacing w:before="120" w:beforeLines="50" w:after="50"/>
        <w:jc w:val="center"/>
        <w:rPr>
          <w:rFonts w:ascii="Calibri" w:hAnsi="Calibri"/>
          <w:b/>
          <w:color w:val="auto"/>
          <w:sz w:val="28"/>
          <w:szCs w:val="28"/>
          <w:highlight w:val="none"/>
        </w:rPr>
      </w:pPr>
      <w:r>
        <w:rPr>
          <w:rFonts w:hint="eastAsia" w:ascii="Calibri" w:hAnsi="Calibri"/>
          <w:b/>
          <w:color w:val="auto"/>
          <w:szCs w:val="28"/>
          <w:highlight w:val="none"/>
        </w:rPr>
        <w:t>（格式仅供参考，可自拟。）</w:t>
      </w:r>
    </w:p>
    <w:p>
      <w:pPr>
        <w:snapToGrid w:val="0"/>
        <w:spacing w:before="50" w:after="50"/>
        <w:rPr>
          <w:rFonts w:hint="eastAsia" w:ascii="Calibri" w:hAnsi="Calibri"/>
          <w:color w:val="auto"/>
          <w:highlight w:val="none"/>
          <w:u w:val="single"/>
        </w:rPr>
      </w:pPr>
      <w:r>
        <w:rPr>
          <w:rFonts w:hint="eastAsia" w:ascii="Calibri" w:hAnsi="Calibri"/>
          <w:color w:val="auto"/>
          <w:highlight w:val="none"/>
        </w:rPr>
        <w:t>项目编号：</w:t>
      </w:r>
      <w:r>
        <w:rPr>
          <w:rFonts w:ascii="Calibri" w:hAnsi="Calibri"/>
          <w:color w:val="auto"/>
          <w:highlight w:val="none"/>
          <w:u w:val="single"/>
        </w:rPr>
        <w:t xml:space="preserve">                  </w:t>
      </w:r>
      <w:r>
        <w:rPr>
          <w:rFonts w:hint="eastAsia" w:ascii="Calibri" w:hAnsi="Calibri"/>
          <w:bCs/>
          <w:color w:val="auto"/>
          <w:highlight w:val="none"/>
        </w:rPr>
        <w:t>项目名称</w:t>
      </w:r>
      <w:r>
        <w:rPr>
          <w:rFonts w:hint="eastAsia" w:ascii="Calibri" w:hAnsi="Calibri"/>
          <w:color w:val="auto"/>
          <w:highlight w:val="none"/>
        </w:rPr>
        <w:t>：</w:t>
      </w:r>
      <w:r>
        <w:rPr>
          <w:rFonts w:ascii="Calibri" w:hAnsi="Calibri"/>
          <w:color w:val="auto"/>
          <w:highlight w:val="none"/>
          <w:u w:val="single"/>
        </w:rPr>
        <w:t xml:space="preserve">                    </w:t>
      </w:r>
      <w:r>
        <w:rPr>
          <w:rFonts w:hint="eastAsia" w:ascii="宋体" w:hAnsi="宋体"/>
          <w:color w:val="auto"/>
          <w:highlight w:val="none"/>
        </w:rPr>
        <w:t>标项：</w:t>
      </w:r>
      <w:r>
        <w:rPr>
          <w:rFonts w:ascii="宋体" w:hAnsi="宋体"/>
          <w:color w:val="auto"/>
          <w:highlight w:val="none"/>
          <w:u w:val="single"/>
        </w:rPr>
        <w:t xml:space="preserve"> </w:t>
      </w:r>
      <w:r>
        <w:rPr>
          <w:rFonts w:hint="eastAsia" w:ascii="宋体" w:hAnsi="宋体"/>
          <w:color w:val="auto"/>
          <w:highlight w:val="none"/>
          <w:u w:val="single"/>
        </w:rPr>
        <w:t xml:space="preserve"> 4  </w:t>
      </w:r>
    </w:p>
    <w:p>
      <w:pPr>
        <w:snapToGrid w:val="0"/>
        <w:spacing w:before="50" w:after="50"/>
        <w:rPr>
          <w:rFonts w:ascii="Calibri" w:hAnsi="Calibri"/>
          <w:color w:val="auto"/>
          <w:highlight w:val="none"/>
        </w:rPr>
      </w:pPr>
      <w:r>
        <w:rPr>
          <w:rFonts w:hint="eastAsia" w:ascii="Calibri" w:hAnsi="Calibri"/>
          <w:color w:val="auto"/>
          <w:highlight w:val="none"/>
        </w:rPr>
        <w:t>单位：元</w:t>
      </w:r>
      <w:r>
        <w:rPr>
          <w:rFonts w:ascii="Calibri" w:hAnsi="Calibri"/>
          <w:color w:val="auto"/>
          <w:highlight w:val="none"/>
        </w:rPr>
        <w:t xml:space="preserve"> </w:t>
      </w:r>
    </w:p>
    <w:tbl>
      <w:tblPr>
        <w:tblStyle w:val="26"/>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984"/>
        <w:gridCol w:w="2553"/>
        <w:gridCol w:w="1275"/>
        <w:gridCol w:w="113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highlight w:val="none"/>
              </w:rPr>
              <w:t>标项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项目名称</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0" w:beforeLines="100" w:after="120" w:line="360" w:lineRule="auto"/>
              <w:jc w:val="center"/>
              <w:rPr>
                <w:rFonts w:ascii="Calibri" w:hAnsi="Calibri"/>
                <w:color w:val="auto"/>
                <w:highlight w:val="none"/>
              </w:rPr>
            </w:pPr>
            <w:r>
              <w:rPr>
                <w:rFonts w:hint="eastAsia" w:ascii="Calibri" w:hAnsi="Calibri"/>
                <w:color w:val="auto"/>
                <w:highlight w:val="none"/>
              </w:rPr>
              <w:t>内容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单位及数量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highlight w:val="none"/>
              </w:rPr>
            </w:pPr>
            <w:r>
              <w:rPr>
                <w:rFonts w:hint="eastAsia" w:ascii="Calibri" w:hAnsi="Calibri"/>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ascii="Calibri" w:hAnsi="Calibri"/>
                <w:color w:val="auto"/>
                <w:spacing w:val="20"/>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jc w:val="center"/>
              <w:rPr>
                <w:rFonts w:ascii="宋体" w:hAnsi="Calibri"/>
                <w:color w:val="auto"/>
                <w:spacing w:val="20"/>
                <w:kern w:val="0"/>
                <w:sz w:val="18"/>
                <w:highlight w:val="none"/>
              </w:rPr>
            </w:pPr>
            <w:r>
              <w:rPr>
                <w:rFonts w:hint="eastAsia" w:hAnsi="宋体" w:cs="Arial"/>
                <w:color w:val="auto"/>
                <w:highlight w:val="none"/>
              </w:rPr>
              <w:t>2022年庄桥街道五位一体综合服务外包项目（东片区）</w:t>
            </w: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1984" w:type="dxa"/>
            <w:vMerge w:val="continue"/>
            <w:tcBorders>
              <w:left w:val="single" w:color="auto" w:sz="4" w:space="0"/>
              <w:right w:val="single" w:color="auto" w:sz="4" w:space="0"/>
            </w:tcBorders>
            <w:noWrap w:val="0"/>
            <w:vAlign w:val="center"/>
          </w:tcPr>
          <w:p>
            <w:pPr>
              <w:widowControl/>
              <w:jc w:val="left"/>
              <w:rPr>
                <w:rFonts w:ascii="Calibri" w:hAnsi="Calibri"/>
                <w:color w:val="auto"/>
                <w:spacing w:val="20"/>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86"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984" w:type="dxa"/>
            <w:vMerge w:val="continue"/>
            <w:tcBorders>
              <w:left w:val="single" w:color="auto" w:sz="4" w:space="0"/>
              <w:bottom w:val="nil"/>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9"/>
                <w:highlight w:val="none"/>
              </w:rPr>
            </w:pPr>
          </w:p>
        </w:tc>
        <w:tc>
          <w:tcPr>
            <w:tcW w:w="2553" w:type="dxa"/>
            <w:tcBorders>
              <w:top w:val="single" w:color="auto" w:sz="4" w:space="0"/>
              <w:left w:val="single" w:color="auto" w:sz="4" w:space="0"/>
              <w:bottom w:val="nil"/>
              <w:right w:val="single" w:color="auto" w:sz="4" w:space="0"/>
            </w:tcBorders>
            <w:noWrap w:val="0"/>
            <w:vAlign w:val="center"/>
          </w:tcPr>
          <w:p>
            <w:pPr>
              <w:spacing w:before="240" w:beforeLines="100"/>
              <w:jc w:val="center"/>
              <w:rPr>
                <w:rFonts w:ascii="Calibri" w:hAnsi="Calibri"/>
                <w:color w:val="auto"/>
                <w:szCs w:val="24"/>
                <w:highlight w:val="none"/>
              </w:rPr>
            </w:pPr>
            <w:r>
              <w:rPr>
                <w:rFonts w:ascii="Calibri" w:hAnsi="Calibri"/>
                <w:color w:val="auto"/>
                <w:szCs w:val="24"/>
                <w:highlight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7732"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jc w:val="center"/>
              <w:rPr>
                <w:rFonts w:ascii="Calibri" w:hAnsi="Calibri"/>
                <w:color w:val="auto"/>
                <w:spacing w:val="20"/>
                <w:highlight w:val="none"/>
              </w:rPr>
            </w:pPr>
            <w:r>
              <w:rPr>
                <w:rFonts w:hint="eastAsia" w:ascii="Calibri" w:hAnsi="Calibri"/>
                <w:color w:val="auto"/>
                <w:spacing w:val="20"/>
                <w:highlight w:val="none"/>
              </w:rPr>
              <w:t>投标总价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240" w:beforeLines="100" w:after="50"/>
              <w:rPr>
                <w:rFonts w:ascii="Calibri" w:hAnsi="Calibri"/>
                <w:color w:val="auto"/>
                <w:spacing w:val="20"/>
                <w:highlight w:val="none"/>
              </w:rPr>
            </w:pPr>
          </w:p>
        </w:tc>
      </w:tr>
    </w:tbl>
    <w:p>
      <w:pPr>
        <w:spacing w:line="360" w:lineRule="auto"/>
        <w:rPr>
          <w:rFonts w:hint="eastAsia" w:ascii="宋体" w:hAnsi="宋体"/>
          <w:color w:val="auto"/>
          <w:spacing w:val="-4"/>
          <w:kern w:val="0"/>
          <w:highlight w:val="none"/>
        </w:rPr>
      </w:pPr>
      <w:r>
        <w:rPr>
          <w:rFonts w:hint="eastAsia" w:ascii="宋体" w:hAnsi="宋体"/>
          <w:color w:val="auto"/>
          <w:spacing w:val="-4"/>
          <w:kern w:val="0"/>
          <w:highlight w:val="none"/>
        </w:rPr>
        <w:t>注：</w:t>
      </w:r>
    </w:p>
    <w:p>
      <w:pPr>
        <w:spacing w:line="360" w:lineRule="auto"/>
        <w:rPr>
          <w:rFonts w:hint="eastAsia"/>
          <w:bCs/>
          <w:color w:val="auto"/>
          <w:highlight w:val="none"/>
        </w:rPr>
      </w:pPr>
      <w:r>
        <w:rPr>
          <w:rFonts w:hint="eastAsia"/>
          <w:bCs/>
          <w:color w:val="auto"/>
          <w:highlight w:val="none"/>
          <w:lang w:val="zh-CN"/>
        </w:rPr>
        <w:t>1、</w:t>
      </w:r>
      <w:r>
        <w:rPr>
          <w:rFonts w:hint="eastAsia"/>
          <w:bCs/>
          <w:color w:val="auto"/>
          <w:highlight w:val="none"/>
        </w:rPr>
        <w:t>合计高于最高限价的，作无效标处理；</w:t>
      </w:r>
    </w:p>
    <w:p>
      <w:pPr>
        <w:spacing w:line="360" w:lineRule="auto"/>
        <w:rPr>
          <w:rFonts w:hint="eastAsia"/>
          <w:bCs/>
          <w:color w:val="auto"/>
          <w:highlight w:val="none"/>
        </w:rPr>
      </w:pPr>
      <w:r>
        <w:rPr>
          <w:rFonts w:hint="eastAsia"/>
          <w:bCs/>
          <w:color w:val="auto"/>
          <w:highlight w:val="none"/>
        </w:rPr>
        <w:t>2、本表中的“合计”金额应与开标一览表的“投标报价”金额一致；</w:t>
      </w:r>
    </w:p>
    <w:p>
      <w:pPr>
        <w:spacing w:line="360" w:lineRule="auto"/>
        <w:rPr>
          <w:rFonts w:hint="eastAsia"/>
          <w:bCs/>
          <w:color w:val="auto"/>
          <w:highlight w:val="none"/>
        </w:rPr>
      </w:pPr>
      <w:r>
        <w:rPr>
          <w:rFonts w:hint="eastAsia"/>
          <w:bCs/>
          <w:color w:val="auto"/>
          <w:highlight w:val="none"/>
        </w:rPr>
        <w:t>3、本表中的单价应为包含该工作内容的全费用综合单价；投标人应根据第二章招标需求的附件内容的明细进行报价详细报价，内容不得遗漏，如有遗漏，也视为全部响应报价，招标人不额外支付费用。</w:t>
      </w:r>
    </w:p>
    <w:p>
      <w:pPr>
        <w:spacing w:line="360" w:lineRule="auto"/>
        <w:rPr>
          <w:rFonts w:hint="eastAsia"/>
          <w:bCs/>
          <w:color w:val="auto"/>
          <w:highlight w:val="none"/>
        </w:rPr>
      </w:pPr>
      <w:r>
        <w:rPr>
          <w:rFonts w:hint="eastAsia"/>
          <w:bCs/>
          <w:color w:val="auto"/>
          <w:highlight w:val="none"/>
        </w:rPr>
        <w:t>4、若投标人尚有其他内容需明列的，请按此表格式扩展。</w:t>
      </w:r>
    </w:p>
    <w:p>
      <w:pPr>
        <w:snapToGrid w:val="0"/>
        <w:spacing w:before="50" w:after="50" w:line="440" w:lineRule="exact"/>
        <w:ind w:left="130" w:hanging="130" w:hangingChars="62"/>
        <w:rPr>
          <w:color w:val="auto"/>
          <w:highlight w:val="none"/>
        </w:rPr>
      </w:pPr>
      <w:r>
        <w:rPr>
          <w:color w:val="auto"/>
          <w:highlight w:val="none"/>
        </w:rPr>
        <w:t xml:space="preserve">法定代表人或授权代表（签字或盖章）：                    </w:t>
      </w:r>
    </w:p>
    <w:p>
      <w:pPr>
        <w:snapToGrid w:val="0"/>
        <w:spacing w:before="50" w:after="50" w:line="440" w:lineRule="exact"/>
        <w:ind w:left="130" w:hanging="130" w:hangingChars="62"/>
        <w:rPr>
          <w:color w:val="auto"/>
          <w:highlight w:val="none"/>
        </w:rPr>
      </w:pPr>
      <w:r>
        <w:rPr>
          <w:color w:val="auto"/>
          <w:highlight w:val="none"/>
        </w:rPr>
        <w:t xml:space="preserve">投标人名称（盖章）：                                              </w:t>
      </w:r>
    </w:p>
    <w:p>
      <w:pPr>
        <w:spacing w:line="400" w:lineRule="exact"/>
        <w:rPr>
          <w:rFonts w:hint="eastAsia" w:ascii="宋体" w:hAnsi="宋体"/>
          <w:b/>
          <w:color w:val="auto"/>
          <w:highlight w:val="none"/>
        </w:rPr>
      </w:pPr>
      <w:r>
        <w:rPr>
          <w:rFonts w:hint="eastAsia" w:ascii="宋体" w:hAnsi="宋体"/>
          <w:bCs/>
          <w:color w:val="auto"/>
          <w:highlight w:val="none"/>
        </w:rPr>
        <w:t xml:space="preserve">日期：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r>
        <w:rPr>
          <w:rFonts w:hint="eastAsia" w:ascii="宋体" w:hAnsi="宋体"/>
          <w:bCs/>
          <w:color w:val="auto"/>
          <w:highlight w:val="none"/>
        </w:rPr>
        <w:t xml:space="preserve">  </w:t>
      </w:r>
      <w:r>
        <w:rPr>
          <w:rFonts w:hint="eastAsia" w:ascii="宋体" w:hAnsi="宋体"/>
          <w:b/>
          <w:color w:val="auto"/>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p>
    <w:p>
      <w:pPr>
        <w:spacing w:line="4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（四）人员人工费用测算表</w:t>
      </w:r>
    </w:p>
    <w:p>
      <w:pPr>
        <w:pStyle w:val="66"/>
        <w:tabs>
          <w:tab w:val="left" w:pos="1418"/>
        </w:tabs>
        <w:snapToGrid w:val="0"/>
        <w:spacing w:before="50" w:after="50" w:line="440" w:lineRule="exact"/>
        <w:ind w:firstLine="422" w:firstLineChars="200"/>
        <w:rPr>
          <w:rFonts w:ascii="宋体" w:hAnsi="宋体"/>
          <w:b/>
          <w:color w:val="auto"/>
          <w:spacing w:val="20"/>
          <w:sz w:val="21"/>
          <w:szCs w:val="21"/>
          <w:highlight w:val="none"/>
        </w:rPr>
      </w:pPr>
      <w:r>
        <w:rPr>
          <w:rFonts w:hint="eastAsia" w:ascii="宋体" w:hAnsi="宋体"/>
          <w:b/>
          <w:color w:val="auto"/>
          <w:sz w:val="21"/>
          <w:szCs w:val="21"/>
          <w:highlight w:val="none"/>
        </w:rPr>
        <w:t>投标人详细列出所投标项的项目各类人工费用（含管理人员、作业人员等各类人员）中的工资、奖金、福利费、保险费、培训费、活动费、服装费及其他补贴等的明细表，表格自制。</w:t>
      </w:r>
    </w:p>
    <w:p>
      <w:pPr>
        <w:snapToGrid w:val="0"/>
        <w:spacing w:before="50" w:after="50" w:line="440" w:lineRule="exact"/>
        <w:rPr>
          <w:rFonts w:hint="eastAsia" w:ascii="宋体" w:hAnsi="宋体"/>
          <w:color w:val="auto"/>
          <w:spacing w:val="20"/>
          <w:highlight w:val="none"/>
        </w:rPr>
      </w:pPr>
    </w:p>
    <w:p>
      <w:pPr>
        <w:snapToGrid w:val="0"/>
        <w:spacing w:before="50" w:after="50" w:line="440" w:lineRule="exact"/>
        <w:ind w:left="-21" w:leftChars="-72" w:right="-817" w:rightChars="-389" w:hanging="130" w:hangingChars="62"/>
        <w:rPr>
          <w:rFonts w:ascii="宋体" w:hAnsi="宋体"/>
          <w:color w:val="auto"/>
          <w:highlight w:val="none"/>
        </w:rPr>
      </w:pPr>
      <w:r>
        <w:rPr>
          <w:rFonts w:hint="eastAsia" w:ascii="宋体" w:hAnsi="宋体"/>
          <w:color w:val="auto"/>
          <w:highlight w:val="none"/>
        </w:rPr>
        <w:t>法定代表人或授权代表（签字或盖章）：</w:t>
      </w:r>
      <w:r>
        <w:rPr>
          <w:rFonts w:ascii="宋体" w:hAnsi="宋体"/>
          <w:color w:val="auto"/>
          <w:highlight w:val="none"/>
        </w:rPr>
        <w:t xml:space="preserve"> </w:t>
      </w:r>
    </w:p>
    <w:p>
      <w:pPr>
        <w:snapToGrid w:val="0"/>
        <w:spacing w:before="50" w:after="50" w:line="440" w:lineRule="exact"/>
        <w:ind w:left="-21" w:leftChars="-72" w:right="-817" w:rightChars="-389" w:hanging="130" w:hangingChars="62"/>
        <w:rPr>
          <w:rFonts w:hint="eastAsia" w:ascii="宋体" w:hAnsi="宋体"/>
          <w:color w:val="auto"/>
          <w:highlight w:val="none"/>
        </w:rPr>
      </w:pPr>
      <w:r>
        <w:rPr>
          <w:rFonts w:hint="eastAsia" w:ascii="宋体" w:hAnsi="宋体"/>
          <w:color w:val="auto"/>
          <w:highlight w:val="none"/>
        </w:rPr>
        <w:t>投标人名称（盖章）：</w:t>
      </w:r>
      <w:r>
        <w:rPr>
          <w:rFonts w:ascii="宋体" w:hAnsi="宋体"/>
          <w:color w:val="auto"/>
          <w:highlight w:val="none"/>
        </w:rPr>
        <w:t xml:space="preserve">                                 </w:t>
      </w:r>
    </w:p>
    <w:p>
      <w:pPr>
        <w:snapToGrid w:val="0"/>
        <w:spacing w:before="50" w:after="50" w:line="440" w:lineRule="exact"/>
        <w:ind w:left="-21" w:leftChars="-72" w:right="-817" w:rightChars="-389" w:hanging="130" w:hangingChars="62"/>
        <w:rPr>
          <w:rFonts w:hint="eastAsia" w:ascii="宋体" w:hAnsi="宋体"/>
          <w:color w:val="auto"/>
          <w:highlight w:val="none"/>
        </w:rPr>
      </w:pPr>
      <w:r>
        <w:rPr>
          <w:rFonts w:hint="eastAsia" w:ascii="宋体" w:hAnsi="宋体"/>
          <w:color w:val="auto"/>
          <w:highlight w:val="none"/>
        </w:rPr>
        <w:t>日期：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napToGrid w:val="0"/>
        <w:spacing w:before="50" w:after="50" w:line="440" w:lineRule="exact"/>
        <w:rPr>
          <w:rFonts w:hint="eastAsia" w:ascii="宋体" w:hAnsi="宋体"/>
          <w:color w:val="auto"/>
          <w:spacing w:val="20"/>
          <w:highlight w:val="none"/>
          <w:u w:val="single"/>
        </w:rPr>
      </w:pPr>
    </w:p>
    <w:p>
      <w:pPr>
        <w:snapToGrid w:val="0"/>
        <w:spacing w:before="50" w:after="50" w:line="440" w:lineRule="exact"/>
        <w:rPr>
          <w:rFonts w:hint="eastAsia" w:ascii="宋体" w:hAnsi="宋体"/>
          <w:color w:val="auto"/>
          <w:spacing w:val="20"/>
          <w:highlight w:val="none"/>
          <w:u w:val="single"/>
        </w:rPr>
      </w:pPr>
    </w:p>
    <w:p>
      <w:pPr>
        <w:snapToGrid w:val="0"/>
        <w:spacing w:before="50" w:after="50" w:line="440" w:lineRule="exact"/>
        <w:rPr>
          <w:rFonts w:hint="eastAsia" w:ascii="宋体" w:hAnsi="宋体"/>
          <w:color w:val="auto"/>
          <w:spacing w:val="20"/>
          <w:highlight w:val="none"/>
          <w:u w:val="singl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r>
        <w:rPr>
          <w:rFonts w:hint="eastAsia" w:hAnsi="宋体"/>
          <w:b/>
          <w:color w:val="auto"/>
          <w:szCs w:val="22"/>
          <w:highlight w:val="none"/>
          <w:lang w:val="zh-CN" w:bidi="zh-CN"/>
        </w:rPr>
        <w:br w:type="page"/>
      </w:r>
      <w:r>
        <w:rPr>
          <w:rFonts w:hint="eastAsia" w:hAnsi="宋体"/>
          <w:b/>
          <w:color w:val="auto"/>
          <w:szCs w:val="22"/>
          <w:highlight w:val="none"/>
          <w:lang w:val="zh-CN" w:bidi="zh-CN"/>
        </w:rPr>
        <w:t>（</w:t>
      </w:r>
      <w:r>
        <w:rPr>
          <w:rFonts w:hint="eastAsia" w:hAnsi="宋体"/>
          <w:b/>
          <w:color w:val="auto"/>
          <w:szCs w:val="22"/>
          <w:highlight w:val="none"/>
          <w:lang w:bidi="zh-CN"/>
        </w:rPr>
        <w:t>五</w:t>
      </w:r>
      <w:r>
        <w:rPr>
          <w:rFonts w:hint="eastAsia" w:hAnsi="宋体"/>
          <w:b/>
          <w:color w:val="auto"/>
          <w:szCs w:val="22"/>
          <w:highlight w:val="none"/>
          <w:lang w:val="zh-CN" w:bidi="zh-CN"/>
        </w:rPr>
        <w:t>）中小企业声明函</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本公司郑重声明，根据《政府采购促进中小企业发展管理办法》（财库﹝2020﹞46 号）的规定，本公司参加</w:t>
      </w:r>
      <w:r>
        <w:rPr>
          <w:rFonts w:hint="eastAsia" w:ascii="宋体" w:hAnsi="宋体" w:cs="宋体"/>
          <w:color w:val="auto"/>
          <w:kern w:val="0"/>
          <w:highlight w:val="none"/>
          <w:u w:val="single"/>
          <w:lang w:bidi="zh-CN"/>
        </w:rPr>
        <w:t xml:space="preserve"> （单位名称） </w:t>
      </w:r>
      <w:r>
        <w:rPr>
          <w:rFonts w:hint="eastAsia" w:ascii="宋体" w:hAnsi="宋体" w:cs="宋体"/>
          <w:color w:val="auto"/>
          <w:kern w:val="0"/>
          <w:highlight w:val="none"/>
          <w:lang w:bidi="zh-CN"/>
        </w:rPr>
        <w:t xml:space="preserve"> 的</w:t>
      </w:r>
      <w:r>
        <w:rPr>
          <w:rFonts w:hint="eastAsia" w:ascii="宋体" w:hAnsi="宋体" w:cs="宋体"/>
          <w:color w:val="auto"/>
          <w:kern w:val="0"/>
          <w:highlight w:val="none"/>
          <w:u w:val="single"/>
          <w:lang w:bidi="zh-CN"/>
        </w:rPr>
        <w:t xml:space="preserve">  （项目名称）  </w:t>
      </w:r>
      <w:r>
        <w:rPr>
          <w:rFonts w:hint="eastAsia" w:ascii="宋体" w:hAnsi="宋体" w:cs="宋体"/>
          <w:color w:val="auto"/>
          <w:kern w:val="0"/>
          <w:highlight w:val="none"/>
          <w:lang w:bidi="zh-CN"/>
        </w:rPr>
        <w:t>采购活动，服务全部由符合政策要求的中小企业承接。相关企业（含联合体中的中小企业、签订分包意向协议的中小企业）的具体情况如下：</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1、</w:t>
      </w:r>
      <w:r>
        <w:rPr>
          <w:rFonts w:hint="eastAsia" w:ascii="宋体" w:hAnsi="宋体" w:cs="宋体"/>
          <w:color w:val="auto"/>
          <w:kern w:val="0"/>
          <w:highlight w:val="none"/>
          <w:u w:val="single"/>
          <w:lang w:bidi="zh-CN"/>
        </w:rPr>
        <w:t xml:space="preserve">（标的名称） </w:t>
      </w:r>
      <w:r>
        <w:rPr>
          <w:rFonts w:hint="eastAsia" w:ascii="宋体" w:hAnsi="宋体" w:cs="宋体"/>
          <w:color w:val="auto"/>
          <w:kern w:val="0"/>
          <w:highlight w:val="none"/>
          <w:lang w:bidi="zh-CN"/>
        </w:rPr>
        <w:t>，属于</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行业；承接企业为</w:t>
      </w:r>
      <w:r>
        <w:rPr>
          <w:rFonts w:hint="eastAsia" w:ascii="宋体" w:hAnsi="宋体" w:cs="宋体"/>
          <w:color w:val="auto"/>
          <w:kern w:val="0"/>
          <w:highlight w:val="none"/>
          <w:u w:val="single"/>
          <w:lang w:bidi="zh-CN"/>
        </w:rPr>
        <w:t>（企业名称）</w:t>
      </w:r>
      <w:r>
        <w:rPr>
          <w:rFonts w:hint="eastAsia" w:ascii="宋体" w:hAnsi="宋体" w:cs="宋体"/>
          <w:color w:val="auto"/>
          <w:kern w:val="0"/>
          <w:highlight w:val="none"/>
          <w:lang w:bidi="zh-CN"/>
        </w:rPr>
        <w:t>，从业人员</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人，营业收入为</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万元，资产总额为</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万元，属于</w:t>
      </w:r>
      <w:r>
        <w:rPr>
          <w:rFonts w:hint="eastAsia" w:ascii="宋体" w:hAnsi="宋体" w:cs="宋体"/>
          <w:color w:val="auto"/>
          <w:kern w:val="0"/>
          <w:highlight w:val="none"/>
          <w:u w:val="single"/>
          <w:lang w:bidi="zh-CN"/>
        </w:rPr>
        <w:t>（中型企业、小型企业、微型企业）</w:t>
      </w:r>
      <w:r>
        <w:rPr>
          <w:rFonts w:hint="eastAsia" w:ascii="宋体" w:hAnsi="宋体" w:cs="宋体"/>
          <w:color w:val="auto"/>
          <w:kern w:val="0"/>
          <w:highlight w:val="none"/>
          <w:lang w:bidi="zh-CN"/>
        </w:rPr>
        <w:t xml:space="preserve">； </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2、</w:t>
      </w:r>
      <w:r>
        <w:rPr>
          <w:rFonts w:hint="eastAsia" w:ascii="宋体" w:hAnsi="宋体" w:cs="宋体"/>
          <w:color w:val="auto"/>
          <w:kern w:val="0"/>
          <w:highlight w:val="none"/>
          <w:u w:val="single"/>
          <w:lang w:bidi="zh-CN"/>
        </w:rPr>
        <w:t xml:space="preserve">（标的名称） </w:t>
      </w:r>
      <w:r>
        <w:rPr>
          <w:rFonts w:hint="eastAsia" w:ascii="宋体" w:hAnsi="宋体" w:cs="宋体"/>
          <w:color w:val="auto"/>
          <w:kern w:val="0"/>
          <w:highlight w:val="none"/>
          <w:lang w:bidi="zh-CN"/>
        </w:rPr>
        <w:t>，属于</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行业；承接企业为</w:t>
      </w:r>
      <w:r>
        <w:rPr>
          <w:rFonts w:hint="eastAsia" w:ascii="宋体" w:hAnsi="宋体" w:cs="宋体"/>
          <w:color w:val="auto"/>
          <w:kern w:val="0"/>
          <w:highlight w:val="none"/>
          <w:u w:val="single"/>
          <w:lang w:bidi="zh-CN"/>
        </w:rPr>
        <w:t>（企业名称）</w:t>
      </w:r>
      <w:r>
        <w:rPr>
          <w:rFonts w:hint="eastAsia" w:ascii="宋体" w:hAnsi="宋体" w:cs="宋体"/>
          <w:color w:val="auto"/>
          <w:kern w:val="0"/>
          <w:highlight w:val="none"/>
          <w:lang w:bidi="zh-CN"/>
        </w:rPr>
        <w:t>，从业人员</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人，营业收入为</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万元，资产总额为</w:t>
      </w:r>
      <w:r>
        <w:rPr>
          <w:rFonts w:hint="eastAsia" w:ascii="宋体" w:hAnsi="宋体" w:cs="宋体"/>
          <w:color w:val="auto"/>
          <w:kern w:val="0"/>
          <w:highlight w:val="none"/>
          <w:u w:val="single"/>
          <w:lang w:bidi="zh-CN"/>
        </w:rPr>
        <w:t xml:space="preserve">     </w:t>
      </w:r>
      <w:r>
        <w:rPr>
          <w:rFonts w:hint="eastAsia" w:ascii="宋体" w:hAnsi="宋体" w:cs="宋体"/>
          <w:color w:val="auto"/>
          <w:kern w:val="0"/>
          <w:highlight w:val="none"/>
          <w:lang w:bidi="zh-CN"/>
        </w:rPr>
        <w:t>万元，属于</w:t>
      </w:r>
      <w:r>
        <w:rPr>
          <w:rFonts w:hint="eastAsia" w:ascii="宋体" w:hAnsi="宋体" w:cs="宋体"/>
          <w:color w:val="auto"/>
          <w:kern w:val="0"/>
          <w:highlight w:val="none"/>
          <w:u w:val="single"/>
          <w:lang w:bidi="zh-CN"/>
        </w:rPr>
        <w:t>（中型企业、小型企业、微型企业）</w:t>
      </w:r>
      <w:r>
        <w:rPr>
          <w:rFonts w:hint="eastAsia" w:ascii="宋体" w:hAnsi="宋体" w:cs="宋体"/>
          <w:color w:val="auto"/>
          <w:kern w:val="0"/>
          <w:highlight w:val="none"/>
          <w:lang w:bidi="zh-CN"/>
        </w:rPr>
        <w:t xml:space="preserve">； </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以上企业，不属于大企业的分支机构，不存在控股股东为大企业的情形，也不存在与大企业的负责人为同一人的情形。</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 xml:space="preserve">本企业对上述声明内容的真实性负责。如有虚假，将依法承担相应责任。 </w:t>
      </w:r>
    </w:p>
    <w:p>
      <w:pPr>
        <w:autoSpaceDE w:val="0"/>
        <w:autoSpaceDN w:val="0"/>
        <w:spacing w:line="400" w:lineRule="exact"/>
        <w:ind w:firstLine="420" w:firstLineChars="200"/>
        <w:jc w:val="center"/>
        <w:rPr>
          <w:rFonts w:hint="eastAsia" w:ascii="宋体" w:hAnsi="宋体" w:cs="宋体"/>
          <w:color w:val="auto"/>
          <w:kern w:val="0"/>
          <w:highlight w:val="none"/>
          <w:lang w:bidi="zh-CN"/>
        </w:rPr>
      </w:pPr>
    </w:p>
    <w:p>
      <w:pPr>
        <w:autoSpaceDE w:val="0"/>
        <w:autoSpaceDN w:val="0"/>
        <w:spacing w:line="400" w:lineRule="exact"/>
        <w:ind w:firstLine="420" w:firstLineChars="200"/>
        <w:jc w:val="center"/>
        <w:rPr>
          <w:rFonts w:hint="eastAsia" w:ascii="宋体" w:hAnsi="宋体" w:cs="宋体"/>
          <w:color w:val="auto"/>
          <w:kern w:val="0"/>
          <w:highlight w:val="none"/>
          <w:lang w:bidi="zh-CN"/>
        </w:rPr>
      </w:pPr>
    </w:p>
    <w:p>
      <w:pPr>
        <w:autoSpaceDE w:val="0"/>
        <w:autoSpaceDN w:val="0"/>
        <w:spacing w:line="400" w:lineRule="exact"/>
        <w:ind w:firstLine="420" w:firstLineChars="200"/>
        <w:jc w:val="center"/>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 xml:space="preserve">           企业名称（盖章）：</w:t>
      </w:r>
    </w:p>
    <w:p>
      <w:pPr>
        <w:autoSpaceDE w:val="0"/>
        <w:autoSpaceDN w:val="0"/>
        <w:spacing w:line="400" w:lineRule="exact"/>
        <w:ind w:firstLine="420" w:firstLineChars="200"/>
        <w:jc w:val="center"/>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日 期：</w:t>
      </w: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p>
    <w:p>
      <w:pPr>
        <w:autoSpaceDE w:val="0"/>
        <w:autoSpaceDN w:val="0"/>
        <w:spacing w:line="400" w:lineRule="exact"/>
        <w:ind w:firstLine="420" w:firstLineChars="200"/>
        <w:jc w:val="left"/>
        <w:rPr>
          <w:rFonts w:hint="eastAsia" w:ascii="宋体" w:hAnsi="宋体" w:cs="宋体"/>
          <w:color w:val="auto"/>
          <w:kern w:val="0"/>
          <w:highlight w:val="none"/>
          <w:lang w:bidi="zh-CN"/>
        </w:rPr>
      </w:pPr>
    </w:p>
    <w:p>
      <w:pPr>
        <w:autoSpaceDE w:val="0"/>
        <w:autoSpaceDN w:val="0"/>
        <w:spacing w:line="400" w:lineRule="exact"/>
        <w:ind w:firstLine="420" w:firstLineChars="200"/>
        <w:jc w:val="left"/>
        <w:rPr>
          <w:rFonts w:hint="eastAsia" w:ascii="宋体" w:hAnsi="宋体" w:cs="宋体"/>
          <w:color w:val="auto"/>
          <w:kern w:val="0"/>
          <w:highlight w:val="none"/>
          <w:lang w:val="zh-CN" w:bidi="zh-CN"/>
        </w:rPr>
      </w:pPr>
      <w:r>
        <w:rPr>
          <w:rFonts w:hint="eastAsia" w:ascii="宋体" w:hAnsi="宋体" w:cs="宋体"/>
          <w:color w:val="auto"/>
          <w:kern w:val="0"/>
          <w:highlight w:val="none"/>
          <w:lang w:bidi="zh-CN"/>
        </w:rPr>
        <w:t>注：1、</w:t>
      </w:r>
      <w:r>
        <w:rPr>
          <w:rFonts w:hint="eastAsia" w:ascii="宋体" w:hAnsi="宋体" w:cs="宋体"/>
          <w:color w:val="auto"/>
          <w:kern w:val="0"/>
          <w:highlight w:val="none"/>
          <w:lang w:val="zh-CN" w:bidi="zh-CN"/>
        </w:rPr>
        <w:t>从业人员、营业收入、资产总额填报上一年度数据，无上一年度数据的新成立企业可不填报。</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kern w:val="0"/>
          <w:highlight w:val="none"/>
          <w:lang w:bidi="zh-CN"/>
        </w:rPr>
        <w:t>2、行业划分参照工信部联企业[2011]300号规定。</w:t>
      </w:r>
    </w:p>
    <w:p>
      <w:pPr>
        <w:pStyle w:val="10"/>
        <w:widowControl/>
        <w:spacing w:line="360" w:lineRule="auto"/>
        <w:ind w:firstLine="0"/>
        <w:jc w:val="center"/>
        <w:rPr>
          <w:rFonts w:hAnsi="宋体"/>
          <w:b/>
          <w:color w:val="auto"/>
          <w:szCs w:val="22"/>
          <w:highlight w:val="none"/>
          <w:lang w:val="zh-CN" w:bidi="zh-CN"/>
        </w:rPr>
      </w:pPr>
      <w:r>
        <w:rPr>
          <w:rFonts w:hint="eastAsia" w:hAnsi="宋体"/>
          <w:b/>
          <w:color w:val="auto"/>
          <w:sz w:val="21"/>
          <w:szCs w:val="21"/>
          <w:highlight w:val="none"/>
        </w:rPr>
        <w:br w:type="page"/>
      </w:r>
      <w:r>
        <w:rPr>
          <w:rFonts w:hint="eastAsia" w:hAnsi="宋体"/>
          <w:b/>
          <w:color w:val="auto"/>
          <w:spacing w:val="0"/>
          <w:sz w:val="24"/>
          <w:szCs w:val="22"/>
          <w:highlight w:val="none"/>
          <w:lang w:val="zh-CN" w:bidi="zh-CN"/>
        </w:rPr>
        <w:t>（</w:t>
      </w:r>
      <w:r>
        <w:rPr>
          <w:rFonts w:hint="eastAsia" w:hAnsi="宋体"/>
          <w:b/>
          <w:color w:val="auto"/>
          <w:spacing w:val="0"/>
          <w:sz w:val="24"/>
          <w:szCs w:val="22"/>
          <w:highlight w:val="none"/>
          <w:lang w:bidi="zh-CN"/>
        </w:rPr>
        <w:t>六</w:t>
      </w:r>
      <w:r>
        <w:rPr>
          <w:rFonts w:hint="eastAsia" w:hAnsi="宋体"/>
          <w:b/>
          <w:color w:val="auto"/>
          <w:spacing w:val="0"/>
          <w:sz w:val="24"/>
          <w:szCs w:val="22"/>
          <w:highlight w:val="none"/>
          <w:lang w:val="zh-CN" w:bidi="zh-CN"/>
        </w:rPr>
        <w:t>）残疾人福利性单位声明函</w:t>
      </w:r>
    </w:p>
    <w:p>
      <w:pPr>
        <w:widowControl/>
        <w:spacing w:line="360" w:lineRule="auto"/>
        <w:jc w:val="left"/>
        <w:rPr>
          <w:color w:val="auto"/>
          <w:kern w:val="0"/>
          <w:highlight w:val="none"/>
        </w:rPr>
      </w:pPr>
    </w:p>
    <w:p>
      <w:pPr>
        <w:widowControl/>
        <w:spacing w:line="360" w:lineRule="auto"/>
        <w:ind w:firstLine="420" w:firstLineChars="200"/>
        <w:jc w:val="left"/>
        <w:rPr>
          <w:color w:val="auto"/>
          <w:kern w:val="0"/>
          <w:highlight w:val="none"/>
        </w:rPr>
      </w:pPr>
      <w:r>
        <w:rPr>
          <w:color w:val="auto"/>
          <w:kern w:val="0"/>
          <w:highlight w:val="none"/>
        </w:rPr>
        <w:t>1</w:t>
      </w:r>
      <w:r>
        <w:rPr>
          <w:rFonts w:hint="eastAsia"/>
          <w:color w:val="auto"/>
          <w:kern w:val="0"/>
          <w:highlight w:val="none"/>
        </w:rPr>
        <w:t>、</w:t>
      </w:r>
      <w:r>
        <w:rPr>
          <w:color w:val="auto"/>
          <w:kern w:val="0"/>
          <w:highlight w:val="none"/>
        </w:rPr>
        <w:t>本单位郑重声明，根据《财政部 民政部 中国残疾人联合会关于促进残疾人就业政府采购政策的通知》（财库〔2017〕141号）的规定，本单位</w:t>
      </w:r>
      <w:r>
        <w:rPr>
          <w:color w:val="auto"/>
          <w:highlight w:val="none"/>
        </w:rPr>
        <w:t>_____（填写：</w:t>
      </w:r>
      <w:r>
        <w:rPr>
          <w:color w:val="auto"/>
          <w:kern w:val="0"/>
          <w:highlight w:val="none"/>
        </w:rPr>
        <w:t>为符合或者不符合</w:t>
      </w:r>
      <w:r>
        <w:rPr>
          <w:color w:val="auto"/>
          <w:highlight w:val="none"/>
        </w:rPr>
        <w:t>）</w:t>
      </w:r>
      <w:r>
        <w:rPr>
          <w:color w:val="auto"/>
          <w:kern w:val="0"/>
          <w:highlight w:val="none"/>
        </w:rPr>
        <w:t>条件的残疾人福利性单位，且本单位参加</w:t>
      </w:r>
      <w:r>
        <w:rPr>
          <w:color w:val="auto"/>
          <w:highlight w:val="none"/>
        </w:rPr>
        <w:t>_____</w:t>
      </w:r>
      <w:r>
        <w:rPr>
          <w:color w:val="auto"/>
          <w:kern w:val="0"/>
          <w:highlight w:val="none"/>
        </w:rPr>
        <w:t>单位的</w:t>
      </w:r>
      <w:r>
        <w:rPr>
          <w:color w:val="auto"/>
          <w:highlight w:val="none"/>
        </w:rPr>
        <w:t>_____</w:t>
      </w:r>
      <w:r>
        <w:rPr>
          <w:color w:val="auto"/>
          <w:kern w:val="0"/>
          <w:highlight w:val="none"/>
        </w:rPr>
        <w:t>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color w:val="auto"/>
          <w:kern w:val="0"/>
          <w:highlight w:val="none"/>
        </w:rPr>
      </w:pPr>
      <w:r>
        <w:rPr>
          <w:color w:val="auto"/>
          <w:kern w:val="0"/>
          <w:highlight w:val="none"/>
        </w:rPr>
        <w:t>2</w:t>
      </w:r>
      <w:r>
        <w:rPr>
          <w:rFonts w:hint="eastAsia"/>
          <w:color w:val="auto"/>
          <w:kern w:val="0"/>
          <w:highlight w:val="none"/>
        </w:rPr>
        <w:t>、</w:t>
      </w:r>
      <w:r>
        <w:rPr>
          <w:color w:val="auto"/>
          <w:kern w:val="0"/>
          <w:highlight w:val="none"/>
        </w:rPr>
        <w:t>本单位对上述声明的真实性负责。如有虚假，将依法承担相应责任。</w:t>
      </w:r>
    </w:p>
    <w:p>
      <w:pPr>
        <w:widowControl/>
        <w:tabs>
          <w:tab w:val="left" w:pos="4860"/>
        </w:tabs>
        <w:spacing w:line="360" w:lineRule="auto"/>
        <w:ind w:right="1560" w:firstLine="420" w:firstLineChars="200"/>
        <w:jc w:val="center"/>
        <w:rPr>
          <w:color w:val="auto"/>
          <w:spacing w:val="6"/>
          <w:highlight w:val="none"/>
        </w:rPr>
      </w:pPr>
      <w:r>
        <w:rPr>
          <w:color w:val="auto"/>
          <w:kern w:val="0"/>
          <w:highlight w:val="none"/>
        </w:rPr>
        <w:t xml:space="preserve">                                       </w:t>
      </w:r>
      <w:r>
        <w:rPr>
          <w:color w:val="auto"/>
          <w:spacing w:val="6"/>
          <w:highlight w:val="none"/>
        </w:rPr>
        <w:t xml:space="preserve">企业名称（盖章）： </w:t>
      </w:r>
    </w:p>
    <w:p>
      <w:pPr>
        <w:spacing w:line="360" w:lineRule="auto"/>
        <w:rPr>
          <w:color w:val="auto"/>
          <w:spacing w:val="6"/>
          <w:highlight w:val="none"/>
        </w:rPr>
      </w:pPr>
      <w:r>
        <w:rPr>
          <w:color w:val="auto"/>
          <w:spacing w:val="6"/>
          <w:highlight w:val="none"/>
        </w:rPr>
        <w:t xml:space="preserve">                                       日  期：</w:t>
      </w:r>
    </w:p>
    <w:p>
      <w:pPr>
        <w:spacing w:line="360" w:lineRule="auto"/>
        <w:rPr>
          <w:b/>
          <w:bCs/>
          <w:color w:val="auto"/>
          <w:highlight w:val="none"/>
        </w:rPr>
      </w:pPr>
    </w:p>
    <w:p>
      <w:pPr>
        <w:spacing w:line="360" w:lineRule="auto"/>
        <w:rPr>
          <w:b/>
          <w:bCs/>
          <w:color w:val="auto"/>
          <w:highlight w:val="none"/>
        </w:rPr>
      </w:pPr>
    </w:p>
    <w:p>
      <w:pPr>
        <w:spacing w:line="360" w:lineRule="auto"/>
        <w:rPr>
          <w:b/>
          <w:bCs/>
          <w:color w:val="auto"/>
          <w:highlight w:val="none"/>
        </w:rPr>
      </w:pPr>
      <w:r>
        <w:rPr>
          <w:b/>
          <w:bCs/>
          <w:color w:val="auto"/>
          <w:highlight w:val="none"/>
        </w:rPr>
        <w:t>投标人如为非残疾人福利性单位的，可不提供本声明函。</w:t>
      </w:r>
    </w:p>
    <w:p>
      <w:pPr>
        <w:widowControl/>
        <w:spacing w:line="360" w:lineRule="auto"/>
        <w:jc w:val="left"/>
        <w:rPr>
          <w:color w:val="auto"/>
          <w:kern w:val="0"/>
          <w:highlight w:val="none"/>
        </w:rPr>
      </w:pPr>
      <w:r>
        <w:rPr>
          <w:color w:val="auto"/>
          <w:kern w:val="0"/>
          <w:highlight w:val="none"/>
        </w:rPr>
        <w:t>注：</w:t>
      </w:r>
    </w:p>
    <w:p>
      <w:pPr>
        <w:widowControl/>
        <w:spacing w:line="360" w:lineRule="auto"/>
        <w:jc w:val="left"/>
        <w:rPr>
          <w:color w:val="auto"/>
          <w:kern w:val="0"/>
          <w:highlight w:val="none"/>
        </w:rPr>
      </w:pPr>
      <w:r>
        <w:rPr>
          <w:color w:val="auto"/>
          <w:kern w:val="0"/>
          <w:highlight w:val="none"/>
        </w:rPr>
        <w:t>1、如投标人为非残疾人福利性单位的可不提供本声明函。</w:t>
      </w:r>
    </w:p>
    <w:p>
      <w:pPr>
        <w:widowControl/>
        <w:spacing w:line="360" w:lineRule="auto"/>
        <w:jc w:val="left"/>
        <w:rPr>
          <w:color w:val="auto"/>
          <w:kern w:val="0"/>
          <w:highlight w:val="none"/>
        </w:rPr>
      </w:pPr>
      <w:r>
        <w:rPr>
          <w:color w:val="auto"/>
          <w:kern w:val="0"/>
          <w:highlight w:val="none"/>
        </w:rPr>
        <w:t>2、享受政府采购支持政策的残疾人福利性单位应当同时满足以下条件：</w:t>
      </w:r>
    </w:p>
    <w:p>
      <w:pPr>
        <w:widowControl/>
        <w:spacing w:line="360" w:lineRule="auto"/>
        <w:jc w:val="left"/>
        <w:rPr>
          <w:color w:val="auto"/>
          <w:kern w:val="0"/>
          <w:highlight w:val="none"/>
        </w:rPr>
      </w:pPr>
      <w:r>
        <w:rPr>
          <w:color w:val="auto"/>
          <w:kern w:val="0"/>
          <w:highlight w:val="none"/>
        </w:rPr>
        <w:t>（一）安置的残疾人占本单位在职职工人数的比例不低于25%（含25%），并且安置的残疾人人数不少于10人（含10人）；</w:t>
      </w:r>
    </w:p>
    <w:p>
      <w:pPr>
        <w:widowControl/>
        <w:spacing w:line="360" w:lineRule="auto"/>
        <w:jc w:val="left"/>
        <w:rPr>
          <w:color w:val="auto"/>
          <w:kern w:val="0"/>
          <w:highlight w:val="none"/>
        </w:rPr>
      </w:pPr>
      <w:r>
        <w:rPr>
          <w:color w:val="auto"/>
          <w:kern w:val="0"/>
          <w:highlight w:val="none"/>
        </w:rPr>
        <w:t>（二）依法与安置的每位残疾人签订了一年以上（含一年）的劳动合同或服务协议；</w:t>
      </w:r>
    </w:p>
    <w:p>
      <w:pPr>
        <w:widowControl/>
        <w:spacing w:line="360" w:lineRule="auto"/>
        <w:jc w:val="left"/>
        <w:rPr>
          <w:color w:val="auto"/>
          <w:kern w:val="0"/>
          <w:highlight w:val="none"/>
        </w:rPr>
      </w:pPr>
      <w:r>
        <w:rPr>
          <w:color w:val="auto"/>
          <w:kern w:val="0"/>
          <w:highlight w:val="none"/>
        </w:rPr>
        <w:t>（三）为安置的每位残疾人按月足额缴纳了基本养老保险、基本医疗保险、失业保险、工伤保险和生育保险等社会保险费；</w:t>
      </w:r>
    </w:p>
    <w:p>
      <w:pPr>
        <w:widowControl/>
        <w:spacing w:line="360" w:lineRule="auto"/>
        <w:jc w:val="left"/>
        <w:rPr>
          <w:color w:val="auto"/>
          <w:kern w:val="0"/>
          <w:highlight w:val="none"/>
        </w:rPr>
      </w:pPr>
      <w:r>
        <w:rPr>
          <w:color w:val="auto"/>
          <w:kern w:val="0"/>
          <w:highlight w:val="none"/>
        </w:rPr>
        <w:t>（四）通过银行等金融机构向安置的每位残疾人，按月支付了不低于单位所在区县适用的经省级人民政府批准的月最低工资标准的工资；</w:t>
      </w:r>
    </w:p>
    <w:p>
      <w:pPr>
        <w:widowControl/>
        <w:spacing w:line="360" w:lineRule="auto"/>
        <w:jc w:val="left"/>
        <w:rPr>
          <w:color w:val="auto"/>
          <w:kern w:val="0"/>
          <w:highlight w:val="none"/>
        </w:rPr>
      </w:pPr>
      <w:r>
        <w:rPr>
          <w:color w:val="auto"/>
          <w:kern w:val="0"/>
          <w:highlight w:val="none"/>
        </w:rPr>
        <w:t>（五）提供本单位制造的货物、承担的工程或者服务（以下简称产品），或者提供其他残疾人福利性单位制造的货物（不包括使用非残疾人福利性单位注册商标的货物）。</w:t>
      </w:r>
    </w:p>
    <w:p>
      <w:pPr>
        <w:spacing w:before="340" w:line="500" w:lineRule="exact"/>
        <w:jc w:val="center"/>
        <w:rPr>
          <w:rFonts w:hint="eastAsia"/>
          <w:color w:val="auto"/>
          <w:highlight w:val="none"/>
        </w:rPr>
      </w:pPr>
      <w:r>
        <w:rPr>
          <w:color w:val="auto"/>
          <w:kern w:val="0"/>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3"/>
        <w:snapToGrid w:val="0"/>
        <w:spacing w:before="295" w:beforeLines="0" w:after="295" w:afterLines="0" w:line="440" w:lineRule="exact"/>
        <w:rPr>
          <w:rFonts w:hint="eastAsia" w:hAnsi="Times New Roman" w:cs="Times New Roman"/>
          <w:color w:val="auto"/>
          <w:szCs w:val="21"/>
          <w:highlight w:val="none"/>
        </w:rPr>
      </w:pPr>
    </w:p>
    <w:p>
      <w:pPr>
        <w:pStyle w:val="13"/>
        <w:snapToGrid w:val="0"/>
        <w:spacing w:before="295" w:beforeLines="0" w:after="295" w:afterLines="0" w:line="440" w:lineRule="exact"/>
        <w:rPr>
          <w:rFonts w:hint="eastAsia" w:hAnsi="Times New Roman" w:cs="Times New Roman"/>
          <w:color w:val="auto"/>
          <w:szCs w:val="21"/>
          <w:highlight w:val="none"/>
        </w:rPr>
      </w:pPr>
    </w:p>
    <w:p>
      <w:pPr>
        <w:spacing w:line="480" w:lineRule="exact"/>
        <w:rPr>
          <w:rFonts w:hint="eastAsia"/>
          <w:color w:val="auto"/>
          <w:sz w:val="24"/>
          <w:highlight w:val="none"/>
        </w:rPr>
      </w:pPr>
      <w:r>
        <w:rPr>
          <w:rFonts w:hint="eastAsia"/>
          <w:color w:val="auto"/>
          <w:sz w:val="24"/>
          <w:highlight w:val="none"/>
        </w:rPr>
        <w:br w:type="page"/>
      </w:r>
      <w:r>
        <w:rPr>
          <w:rFonts w:hint="eastAsia"/>
          <w:color w:val="auto"/>
          <w:sz w:val="24"/>
          <w:highlight w:val="none"/>
        </w:rPr>
        <w:t>五、技术商务文件格式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（1）自评分表（格式见第六章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（2）投标人基本情况表（格式见第六章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（3）营业执照副本复印件；</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w:t>
      </w:r>
      <w:r>
        <w:rPr>
          <w:color w:val="auto"/>
          <w:sz w:val="22"/>
          <w:szCs w:val="22"/>
          <w:highlight w:val="none"/>
        </w:rPr>
        <w:t>4</w:t>
      </w:r>
      <w:r>
        <w:rPr>
          <w:rFonts w:hint="eastAsia"/>
          <w:color w:val="auto"/>
          <w:sz w:val="22"/>
          <w:szCs w:val="22"/>
          <w:highlight w:val="none"/>
        </w:rPr>
        <w:t>）法定代表人身份证明书或附有法定代表人身份证明书的法定代表人授权委托书（格式见第六章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（4）投标人承诺书（格式见第六章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（5）商务条款响应表（格式见第六章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（6）管理方案（格式自拟）；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（7）质量保证措施（格式自拟）；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（8）服务便捷性与应急保障方案（格式自拟）；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（9）项目实施人员情况一览表（格式见第六章 投标文件格式）；</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（10）机械及车辆设备配备表（格式自拟）；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（11）同类项目业绩（格式自拟）；</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（12）招标文件评分标准中需要提供的相关资料；</w:t>
      </w:r>
    </w:p>
    <w:p>
      <w:pPr>
        <w:spacing w:line="360" w:lineRule="auto"/>
        <w:ind w:firstLine="440" w:firstLineChars="200"/>
        <w:rPr>
          <w:rFonts w:hint="eastAsia"/>
          <w:color w:val="auto"/>
          <w:sz w:val="22"/>
          <w:szCs w:val="22"/>
          <w:highlight w:val="none"/>
        </w:rPr>
      </w:pPr>
      <w:r>
        <w:rPr>
          <w:rFonts w:hint="eastAsia"/>
          <w:color w:val="auto"/>
          <w:sz w:val="22"/>
          <w:szCs w:val="22"/>
          <w:highlight w:val="none"/>
        </w:rPr>
        <w:t>（13）其他招标文件要求或投标人认为有必要提供的文件资料。</w:t>
      </w: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1470" w:right="1470"/>
        <w:rPr>
          <w:rFonts w:hint="eastAsia"/>
          <w:color w:val="auto"/>
          <w:highlight w:val="none"/>
        </w:rPr>
      </w:pPr>
    </w:p>
    <w:p>
      <w:pPr>
        <w:pStyle w:val="12"/>
        <w:ind w:left="0" w:leftChars="0" w:right="1470"/>
        <w:rPr>
          <w:rFonts w:hint="eastAsia"/>
          <w:color w:val="auto"/>
          <w:highlight w:val="none"/>
        </w:rPr>
      </w:pPr>
    </w:p>
    <w:p>
      <w:pPr>
        <w:spacing w:line="480" w:lineRule="exact"/>
        <w:jc w:val="center"/>
        <w:rPr>
          <w:rFonts w:hint="eastAsia" w:ascii="宋体" w:hAnsi="宋体" w:cs="宋体"/>
          <w:b/>
          <w:color w:val="auto"/>
          <w:sz w:val="24"/>
          <w:szCs w:val="22"/>
          <w:highlight w:val="none"/>
          <w:lang w:val="zh-CN" w:bidi="zh-CN"/>
        </w:rPr>
      </w:pPr>
      <w:r>
        <w:rPr>
          <w:rFonts w:hint="eastAsia" w:ascii="宋体" w:hAnsi="宋体" w:cs="宋体"/>
          <w:b/>
          <w:color w:val="auto"/>
          <w:sz w:val="24"/>
          <w:szCs w:val="22"/>
          <w:highlight w:val="none"/>
          <w:lang w:val="zh-CN" w:bidi="zh-CN"/>
        </w:rPr>
        <w:br w:type="page"/>
      </w:r>
      <w:r>
        <w:rPr>
          <w:rFonts w:hint="eastAsia" w:ascii="宋体" w:hAnsi="宋体" w:cs="宋体"/>
          <w:b/>
          <w:color w:val="auto"/>
          <w:sz w:val="24"/>
          <w:szCs w:val="22"/>
          <w:highlight w:val="none"/>
          <w:lang w:val="zh-CN" w:bidi="zh-CN"/>
        </w:rPr>
        <w:t>（</w:t>
      </w:r>
      <w:r>
        <w:rPr>
          <w:rFonts w:hint="eastAsia" w:ascii="宋体" w:hAnsi="宋体" w:cs="宋体"/>
          <w:b/>
          <w:color w:val="auto"/>
          <w:sz w:val="24"/>
          <w:szCs w:val="22"/>
          <w:highlight w:val="none"/>
          <w:lang w:bidi="zh-CN"/>
        </w:rPr>
        <w:t>一</w:t>
      </w:r>
      <w:r>
        <w:rPr>
          <w:rFonts w:hint="eastAsia" w:ascii="宋体" w:hAnsi="宋体" w:cs="宋体"/>
          <w:b/>
          <w:color w:val="auto"/>
          <w:sz w:val="24"/>
          <w:szCs w:val="22"/>
          <w:highlight w:val="none"/>
          <w:lang w:val="zh-CN" w:bidi="zh-CN"/>
        </w:rPr>
        <w:t>）自评分表</w:t>
      </w:r>
    </w:p>
    <w:p>
      <w:pPr>
        <w:rPr>
          <w:rFonts w:hint="eastAsia"/>
          <w:color w:val="auto"/>
          <w:highlight w:val="none"/>
        </w:rPr>
      </w:pPr>
    </w:p>
    <w:tbl>
      <w:tblPr>
        <w:tblStyle w:val="26"/>
        <w:tblW w:w="8917" w:type="dxa"/>
        <w:tblInd w:w="93" w:type="dxa"/>
        <w:tblLayout w:type="fixed"/>
        <w:tblCellMar>
          <w:top w:w="0" w:type="dxa"/>
          <w:left w:w="108" w:type="dxa"/>
          <w:bottom w:w="0" w:type="dxa"/>
          <w:right w:w="108" w:type="dxa"/>
        </w:tblCellMar>
      </w:tblPr>
      <w:tblGrid>
        <w:gridCol w:w="606"/>
        <w:gridCol w:w="5227"/>
        <w:gridCol w:w="1543"/>
        <w:gridCol w:w="1541"/>
      </w:tblGrid>
      <w:tr>
        <w:tblPrEx>
          <w:tblCellMar>
            <w:top w:w="0" w:type="dxa"/>
            <w:left w:w="108" w:type="dxa"/>
            <w:bottom w:w="0" w:type="dxa"/>
            <w:right w:w="108" w:type="dxa"/>
          </w:tblCellMar>
        </w:tblPrEx>
        <w:trPr>
          <w:trHeight w:val="61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序号</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评审内容</w:t>
            </w: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证明文件</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自评分</w:t>
            </w:r>
          </w:p>
        </w:tc>
      </w:tr>
      <w:tr>
        <w:tblPrEx>
          <w:tblCellMar>
            <w:top w:w="0" w:type="dxa"/>
            <w:left w:w="108" w:type="dxa"/>
            <w:bottom w:w="0" w:type="dxa"/>
            <w:right w:w="108" w:type="dxa"/>
          </w:tblCellMar>
        </w:tblPrEx>
        <w:trPr>
          <w:trHeight w:val="607" w:hRule="atLeast"/>
        </w:trPr>
        <w:tc>
          <w:tcPr>
            <w:tcW w:w="606"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7" w:hRule="atLeast"/>
        </w:trPr>
        <w:tc>
          <w:tcPr>
            <w:tcW w:w="606"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534" w:hRule="atLeast"/>
        </w:trPr>
        <w:tc>
          <w:tcPr>
            <w:tcW w:w="606"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545" w:hRule="atLeast"/>
        </w:trPr>
        <w:tc>
          <w:tcPr>
            <w:tcW w:w="606"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nil"/>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nil"/>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1"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622"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r>
        <w:tblPrEx>
          <w:tblCellMar>
            <w:top w:w="0" w:type="dxa"/>
            <w:left w:w="108" w:type="dxa"/>
            <w:bottom w:w="0" w:type="dxa"/>
            <w:right w:w="108" w:type="dxa"/>
          </w:tblCellMar>
        </w:tblPrEx>
        <w:trPr>
          <w:trHeight w:val="775"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highlight w:val="none"/>
              </w:rPr>
            </w:pPr>
          </w:p>
        </w:tc>
        <w:tc>
          <w:tcPr>
            <w:tcW w:w="1543"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r>
              <w:rPr>
                <w:rFonts w:hint="eastAsia"/>
                <w:color w:val="auto"/>
                <w:highlight w:val="none"/>
              </w:rPr>
              <w:t>见（  ）页</w:t>
            </w:r>
          </w:p>
        </w:tc>
        <w:tc>
          <w:tcPr>
            <w:tcW w:w="1541" w:type="dxa"/>
            <w:tcBorders>
              <w:top w:val="single" w:color="auto" w:sz="4" w:space="0"/>
              <w:left w:val="nil"/>
              <w:bottom w:val="single" w:color="auto" w:sz="4" w:space="0"/>
              <w:right w:val="single" w:color="auto" w:sz="4" w:space="0"/>
            </w:tcBorders>
            <w:noWrap w:val="0"/>
            <w:vAlign w:val="center"/>
          </w:tcPr>
          <w:p>
            <w:pPr>
              <w:jc w:val="center"/>
              <w:rPr>
                <w:rFonts w:hint="eastAsia"/>
                <w:color w:val="auto"/>
                <w:highlight w:val="none"/>
              </w:rPr>
            </w:pPr>
          </w:p>
        </w:tc>
      </w:tr>
    </w:tbl>
    <w:p>
      <w:pPr>
        <w:rPr>
          <w:rFonts w:hint="eastAsia"/>
          <w:b/>
          <w:color w:val="auto"/>
          <w:highlight w:val="none"/>
        </w:rPr>
      </w:pPr>
      <w:r>
        <w:rPr>
          <w:rFonts w:hint="eastAsia"/>
          <w:b/>
          <w:color w:val="auto"/>
          <w:highlight w:val="none"/>
        </w:rPr>
        <w:t>根据评分标准逐条填写（除价格分外）。</w:t>
      </w:r>
    </w:p>
    <w:p>
      <w:pPr>
        <w:rPr>
          <w:rFonts w:hint="eastAsia"/>
          <w:color w:val="auto"/>
          <w:highlight w:val="none"/>
        </w:rPr>
      </w:pPr>
    </w:p>
    <w:p>
      <w:pPr>
        <w:rPr>
          <w:rFonts w:hint="eastAsia"/>
          <w:color w:val="auto"/>
          <w:highlight w:val="none"/>
        </w:rPr>
      </w:pPr>
    </w:p>
    <w:p>
      <w:pPr>
        <w:snapToGrid w:val="0"/>
        <w:spacing w:before="50" w:after="50" w:line="440" w:lineRule="exact"/>
        <w:ind w:left="-21" w:leftChars="-72" w:right="-817" w:rightChars="-389" w:hanging="130" w:hangingChars="62"/>
        <w:jc w:val="center"/>
        <w:rPr>
          <w:rFonts w:hint="eastAsia" w:ascii="宋体" w:hAnsi="宋体" w:cs="宋体"/>
          <w:color w:val="auto"/>
          <w:highlight w:val="none"/>
        </w:rPr>
      </w:pPr>
      <w:r>
        <w:rPr>
          <w:rFonts w:hint="eastAsia" w:ascii="宋体" w:hAnsi="宋体" w:cs="宋体"/>
          <w:color w:val="auto"/>
          <w:highlight w:val="none"/>
        </w:rPr>
        <w:t xml:space="preserve">       投标人名称（盖章）：</w:t>
      </w:r>
    </w:p>
    <w:p>
      <w:pPr>
        <w:snapToGrid w:val="0"/>
        <w:spacing w:before="50" w:after="50" w:line="440" w:lineRule="exact"/>
        <w:ind w:left="-21" w:leftChars="-72" w:right="-817" w:rightChars="-389" w:hanging="130" w:hangingChars="62"/>
        <w:jc w:val="center"/>
        <w:rPr>
          <w:rFonts w:hint="eastAsia" w:ascii="宋体" w:hAnsi="宋体" w:cs="宋体"/>
          <w:color w:val="auto"/>
          <w:highlight w:val="none"/>
        </w:rPr>
      </w:pPr>
      <w:r>
        <w:rPr>
          <w:rFonts w:hint="eastAsia" w:ascii="宋体" w:hAnsi="宋体" w:cs="宋体"/>
          <w:color w:val="auto"/>
          <w:highlight w:val="none"/>
        </w:rPr>
        <w:t xml:space="preserve">                      法定代表人或授权代表（签字或盖章）：</w:t>
      </w:r>
    </w:p>
    <w:p>
      <w:pPr>
        <w:pStyle w:val="5"/>
        <w:ind w:firstLine="0"/>
        <w:rPr>
          <w:rFonts w:hint="eastAsia"/>
          <w:b/>
          <w:color w:val="auto"/>
          <w:highlight w:val="none"/>
        </w:rPr>
      </w:pPr>
    </w:p>
    <w:p>
      <w:pPr>
        <w:spacing w:line="360" w:lineRule="auto"/>
        <w:ind w:firstLine="4410" w:firstLineChars="2100"/>
        <w:rPr>
          <w:rFonts w:hint="eastAsia" w:cs="Arial"/>
          <w:color w:val="auto"/>
          <w:highlight w:val="none"/>
        </w:rPr>
      </w:pPr>
      <w:r>
        <w:rPr>
          <w:rFonts w:hint="eastAsia" w:cs="Arial"/>
          <w:color w:val="auto"/>
          <w:highlight w:val="none"/>
        </w:rPr>
        <w:t>日期：</w:t>
      </w:r>
    </w:p>
    <w:p>
      <w:pPr>
        <w:pStyle w:val="13"/>
        <w:snapToGrid w:val="0"/>
        <w:spacing w:before="295" w:beforeLines="0" w:after="295" w:afterLines="0" w:line="440" w:lineRule="exact"/>
        <w:rPr>
          <w:rFonts w:hint="eastAsia" w:hAnsi="宋体"/>
          <w:color w:val="auto"/>
          <w:highlight w:val="none"/>
        </w:rPr>
      </w:pPr>
    </w:p>
    <w:p>
      <w:pPr>
        <w:pStyle w:val="13"/>
        <w:snapToGrid w:val="0"/>
        <w:spacing w:before="295" w:beforeLines="0" w:after="295" w:afterLines="0" w:line="440" w:lineRule="exact"/>
        <w:rPr>
          <w:rFonts w:hint="eastAsia" w:hAnsi="宋体"/>
          <w:color w:val="auto"/>
          <w:highlight w:val="none"/>
        </w:rPr>
      </w:pPr>
    </w:p>
    <w:p>
      <w:pPr>
        <w:pStyle w:val="13"/>
        <w:snapToGrid w:val="0"/>
        <w:spacing w:before="295" w:beforeLines="0" w:after="295" w:afterLines="0" w:line="440" w:lineRule="exact"/>
        <w:rPr>
          <w:rFonts w:hint="eastAsia" w:hAnsi="宋体"/>
          <w:color w:val="auto"/>
          <w:highlight w:val="none"/>
        </w:rPr>
      </w:pPr>
    </w:p>
    <w:p>
      <w:pPr>
        <w:spacing w:line="480" w:lineRule="exact"/>
        <w:jc w:val="center"/>
        <w:rPr>
          <w:rFonts w:hint="eastAsia" w:ascii="宋体" w:hAnsi="宋体" w:cs="宋体"/>
          <w:b/>
          <w:color w:val="auto"/>
          <w:sz w:val="24"/>
          <w:szCs w:val="22"/>
          <w:highlight w:val="none"/>
          <w:lang w:val="zh-CN" w:bidi="zh-CN"/>
        </w:rPr>
      </w:pPr>
      <w:r>
        <w:rPr>
          <w:rFonts w:hint="eastAsia" w:ascii="宋体" w:hAnsi="宋体" w:cs="宋体"/>
          <w:b/>
          <w:color w:val="auto"/>
          <w:sz w:val="24"/>
          <w:szCs w:val="22"/>
          <w:highlight w:val="none"/>
          <w:lang w:val="zh-CN" w:bidi="zh-CN"/>
        </w:rPr>
        <w:br w:type="page"/>
      </w:r>
      <w:r>
        <w:rPr>
          <w:rFonts w:hint="eastAsia" w:ascii="宋体" w:hAnsi="宋体" w:cs="宋体"/>
          <w:b/>
          <w:color w:val="auto"/>
          <w:sz w:val="24"/>
          <w:szCs w:val="22"/>
          <w:highlight w:val="none"/>
          <w:lang w:val="zh-CN" w:bidi="zh-CN"/>
        </w:rPr>
        <w:t>（</w:t>
      </w:r>
      <w:r>
        <w:rPr>
          <w:rFonts w:hint="eastAsia" w:ascii="宋体" w:hAnsi="宋体" w:cs="宋体"/>
          <w:b/>
          <w:color w:val="auto"/>
          <w:sz w:val="24"/>
          <w:szCs w:val="22"/>
          <w:highlight w:val="none"/>
          <w:lang w:bidi="zh-CN"/>
        </w:rPr>
        <w:t>二</w:t>
      </w:r>
      <w:r>
        <w:rPr>
          <w:rFonts w:hint="eastAsia" w:ascii="宋体" w:hAnsi="宋体" w:cs="宋体"/>
          <w:b/>
          <w:color w:val="auto"/>
          <w:sz w:val="24"/>
          <w:szCs w:val="22"/>
          <w:highlight w:val="none"/>
          <w:lang w:val="zh-CN" w:bidi="zh-CN"/>
        </w:rPr>
        <w:t>）投标人基本情况表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8"/>
        <w:gridCol w:w="1080"/>
        <w:gridCol w:w="1260"/>
        <w:gridCol w:w="720"/>
        <w:gridCol w:w="540"/>
        <w:gridCol w:w="1260"/>
        <w:gridCol w:w="18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double" w:color="auto" w:sz="4"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投标人名称</w:t>
            </w:r>
          </w:p>
        </w:tc>
        <w:tc>
          <w:tcPr>
            <w:tcW w:w="7380" w:type="dxa"/>
            <w:gridSpan w:val="8"/>
            <w:tcBorders>
              <w:top w:val="double" w:color="auto" w:sz="4"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注册地址</w:t>
            </w:r>
          </w:p>
        </w:tc>
        <w:tc>
          <w:tcPr>
            <w:tcW w:w="3600"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邮政编码</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vMerge w:val="restart"/>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联系方式</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联系人</w:t>
            </w:r>
          </w:p>
        </w:tc>
        <w:tc>
          <w:tcPr>
            <w:tcW w:w="252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  话</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vMerge w:val="continue"/>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传真</w:t>
            </w:r>
          </w:p>
        </w:tc>
        <w:tc>
          <w:tcPr>
            <w:tcW w:w="252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电子邮件</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法定代表人</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姓名</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技术职称</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电话</w:t>
            </w:r>
          </w:p>
        </w:tc>
        <w:tc>
          <w:tcPr>
            <w:tcW w:w="1620"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技术负责人</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姓名</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技术职称</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电话</w:t>
            </w:r>
          </w:p>
        </w:tc>
        <w:tc>
          <w:tcPr>
            <w:tcW w:w="1620"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成立时间</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5040" w:type="dxa"/>
            <w:gridSpan w:val="6"/>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试验检测资质等级</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其中</w:t>
            </w:r>
          </w:p>
        </w:tc>
        <w:tc>
          <w:tcPr>
            <w:tcW w:w="198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高级职称</w:t>
            </w: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计量认证证书号</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98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中级职称</w:t>
            </w: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4"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营业执照（法人证书）号</w:t>
            </w:r>
          </w:p>
        </w:tc>
        <w:tc>
          <w:tcPr>
            <w:tcW w:w="2340" w:type="dxa"/>
            <w:gridSpan w:val="2"/>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p>
        </w:tc>
        <w:tc>
          <w:tcPr>
            <w:tcW w:w="720" w:type="dxa"/>
            <w:vMerge w:val="continue"/>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p>
        </w:tc>
        <w:tc>
          <w:tcPr>
            <w:tcW w:w="1980" w:type="dxa"/>
            <w:gridSpan w:val="3"/>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各类注册人员</w:t>
            </w: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注册资金</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基本帐户开户银行</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9"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基本帐户帐号</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78" w:hRule="atLeast"/>
          <w:jc w:val="center"/>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经营范围</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4" w:hRule="atLeast"/>
          <w:jc w:val="center"/>
        </w:trPr>
        <w:tc>
          <w:tcPr>
            <w:tcW w:w="1828" w:type="dxa"/>
            <w:tcBorders>
              <w:top w:val="single" w:color="auto" w:sz="6" w:space="0"/>
              <w:left w:val="double" w:color="auto" w:sz="4" w:space="0"/>
              <w:bottom w:val="double" w:color="auto" w:sz="4"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备注</w:t>
            </w:r>
          </w:p>
        </w:tc>
        <w:tc>
          <w:tcPr>
            <w:tcW w:w="7380" w:type="dxa"/>
            <w:gridSpan w:val="8"/>
            <w:tcBorders>
              <w:top w:val="single" w:color="auto" w:sz="6" w:space="0"/>
              <w:left w:val="single" w:color="auto" w:sz="6" w:space="0"/>
              <w:bottom w:val="double" w:color="auto" w:sz="4" w:space="0"/>
              <w:right w:val="double" w:color="auto" w:sz="4" w:space="0"/>
            </w:tcBorders>
            <w:noWrap w:val="0"/>
            <w:vAlign w:val="center"/>
          </w:tcPr>
          <w:p>
            <w:pPr>
              <w:spacing w:line="240" w:lineRule="exact"/>
              <w:rPr>
                <w:rFonts w:hint="eastAsia"/>
                <w:color w:val="auto"/>
                <w:highlight w:val="none"/>
              </w:rPr>
            </w:pPr>
          </w:p>
        </w:tc>
      </w:tr>
    </w:tbl>
    <w:p>
      <w:pPr>
        <w:spacing w:line="300" w:lineRule="exact"/>
        <w:ind w:left="945" w:leftChars="200" w:right="-153" w:rightChars="-73" w:hanging="525" w:hangingChars="250"/>
        <w:rPr>
          <w:rFonts w:hint="eastAsia"/>
          <w:color w:val="auto"/>
          <w:highlight w:val="none"/>
        </w:rPr>
      </w:pPr>
    </w:p>
    <w:p>
      <w:pPr>
        <w:snapToGrid w:val="0"/>
        <w:spacing w:before="120" w:beforeLines="50" w:after="50" w:line="440" w:lineRule="exact"/>
        <w:rPr>
          <w:rFonts w:hint="eastAsia" w:ascii="宋体" w:hAnsi="宋体"/>
          <w:color w:val="auto"/>
          <w:highlight w:val="none"/>
        </w:rPr>
      </w:pPr>
      <w:r>
        <w:rPr>
          <w:rFonts w:hint="eastAsia" w:ascii="宋体" w:hAnsi="宋体"/>
          <w:color w:val="auto"/>
          <w:highlight w:val="none"/>
        </w:rPr>
        <w:t>注：在本表后应附企业法人营业执照或事业单位法人证书副本（全本）的复印件、基本账户开户许可证的复印件。上述所有执照、证书复印件均应加盖投标人单位章。联合体投标的，联合体成员各方均需按上述要求提供本表及相关证明文件</w:t>
      </w:r>
    </w:p>
    <w:p>
      <w:pPr>
        <w:pStyle w:val="13"/>
        <w:snapToGrid w:val="0"/>
        <w:spacing w:before="295" w:beforeLines="0" w:after="295" w:afterLines="0" w:line="440" w:lineRule="exact"/>
        <w:rPr>
          <w:rFonts w:hint="eastAsia" w:hAnsi="宋体"/>
          <w:color w:val="auto"/>
          <w:highlight w:val="none"/>
        </w:rPr>
      </w:pPr>
    </w:p>
    <w:p>
      <w:pPr>
        <w:pStyle w:val="13"/>
        <w:snapToGrid w:val="0"/>
        <w:spacing w:before="295" w:beforeLines="0" w:after="295" w:afterLines="0" w:line="440" w:lineRule="exact"/>
        <w:rPr>
          <w:rFonts w:hint="eastAsia" w:hAnsi="宋体"/>
          <w:color w:val="auto"/>
          <w:highlight w:val="none"/>
        </w:rPr>
      </w:pPr>
    </w:p>
    <w:p>
      <w:pPr>
        <w:pStyle w:val="13"/>
        <w:snapToGrid w:val="0"/>
        <w:spacing w:before="295" w:beforeLines="0" w:after="295" w:afterLines="0" w:line="440" w:lineRule="exact"/>
        <w:jc w:val="center"/>
        <w:rPr>
          <w:rFonts w:hint="eastAsia" w:hAnsi="宋体"/>
          <w:b/>
          <w:color w:val="auto"/>
          <w:szCs w:val="22"/>
          <w:highlight w:val="none"/>
          <w:lang w:val="zh-CN" w:bidi="zh-CN"/>
        </w:rPr>
      </w:pPr>
    </w:p>
    <w:p>
      <w:pPr>
        <w:pStyle w:val="13"/>
        <w:snapToGrid w:val="0"/>
        <w:spacing w:before="295" w:beforeLines="0" w:after="295" w:afterLines="0" w:line="440" w:lineRule="exact"/>
        <w:jc w:val="center"/>
        <w:rPr>
          <w:rFonts w:hint="eastAsia" w:hAnsi="宋体"/>
          <w:b/>
          <w:color w:val="auto"/>
          <w:szCs w:val="22"/>
          <w:highlight w:val="none"/>
          <w:lang w:val="zh-CN" w:bidi="zh-CN"/>
        </w:rPr>
      </w:pPr>
      <w:r>
        <w:rPr>
          <w:rFonts w:hint="eastAsia" w:hAnsi="宋体"/>
          <w:b/>
          <w:color w:val="auto"/>
          <w:szCs w:val="22"/>
          <w:highlight w:val="none"/>
          <w:lang w:val="zh-CN" w:bidi="zh-CN"/>
        </w:rPr>
        <w:br w:type="page"/>
      </w:r>
      <w:r>
        <w:rPr>
          <w:rFonts w:hint="eastAsia" w:hAnsi="宋体"/>
          <w:b/>
          <w:color w:val="auto"/>
          <w:szCs w:val="22"/>
          <w:highlight w:val="none"/>
          <w:lang w:val="zh-CN" w:bidi="zh-CN"/>
        </w:rPr>
        <w:t>（</w:t>
      </w:r>
      <w:r>
        <w:rPr>
          <w:rFonts w:hint="eastAsia" w:hAnsi="宋体"/>
          <w:b/>
          <w:color w:val="auto"/>
          <w:szCs w:val="22"/>
          <w:highlight w:val="none"/>
          <w:lang w:bidi="zh-CN"/>
        </w:rPr>
        <w:t>三</w:t>
      </w:r>
      <w:r>
        <w:rPr>
          <w:rFonts w:hint="eastAsia" w:hAnsi="宋体"/>
          <w:b/>
          <w:color w:val="auto"/>
          <w:szCs w:val="22"/>
          <w:highlight w:val="none"/>
          <w:lang w:val="zh-CN" w:bidi="zh-CN"/>
        </w:rPr>
        <w:t>）法定代表人资格证明书</w:t>
      </w:r>
    </w:p>
    <w:p>
      <w:pPr>
        <w:autoSpaceDE w:val="0"/>
        <w:autoSpaceDN w:val="0"/>
        <w:adjustRightInd w:val="0"/>
        <w:spacing w:line="480" w:lineRule="auto"/>
        <w:ind w:firstLine="539" w:firstLineChars="257"/>
        <w:rPr>
          <w:rFonts w:ascii="宋体" w:hAnsi="宋体"/>
          <w:color w:val="auto"/>
          <w:highlight w:val="none"/>
        </w:rPr>
      </w:pPr>
    </w:p>
    <w:p>
      <w:pPr>
        <w:pStyle w:val="10"/>
        <w:spacing w:line="360" w:lineRule="auto"/>
        <w:ind w:firstLine="472" w:firstLineChars="225"/>
        <w:jc w:val="left"/>
        <w:rPr>
          <w:rFonts w:hint="eastAsia" w:hAnsi="宋体"/>
          <w:color w:val="auto"/>
          <w:spacing w:val="0"/>
          <w:sz w:val="21"/>
          <w:szCs w:val="21"/>
          <w:highlight w:val="none"/>
        </w:rPr>
      </w:pPr>
      <w:r>
        <w:rPr>
          <w:rFonts w:hAnsi="宋体"/>
          <w:color w:val="auto"/>
          <w:spacing w:val="0"/>
          <w:sz w:val="21"/>
          <w:szCs w:val="21"/>
          <w:highlight w:val="none"/>
        </w:rPr>
        <w:t>单</w:t>
      </w:r>
      <w:r>
        <w:rPr>
          <w:rFonts w:hint="eastAsia" w:hAnsi="宋体"/>
          <w:color w:val="auto"/>
          <w:spacing w:val="0"/>
          <w:sz w:val="21"/>
          <w:szCs w:val="21"/>
          <w:highlight w:val="none"/>
        </w:rPr>
        <w:t>位名</w:t>
      </w:r>
      <w:r>
        <w:rPr>
          <w:rFonts w:hAnsi="宋体"/>
          <w:color w:val="auto"/>
          <w:spacing w:val="0"/>
          <w:sz w:val="21"/>
          <w:szCs w:val="21"/>
          <w:highlight w:val="none"/>
        </w:rPr>
        <w:t>称</w:t>
      </w:r>
      <w:r>
        <w:rPr>
          <w:rFonts w:hint="eastAsia" w:hAnsi="宋体"/>
          <w:color w:val="auto"/>
          <w:spacing w:val="0"/>
          <w:sz w:val="21"/>
          <w:szCs w:val="21"/>
          <w:highlight w:val="none"/>
        </w:rPr>
        <w:t>：</w:t>
      </w:r>
    </w:p>
    <w:p>
      <w:pPr>
        <w:pStyle w:val="10"/>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地址：</w:t>
      </w:r>
    </w:p>
    <w:p>
      <w:pPr>
        <w:pStyle w:val="10"/>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姓名：</w:t>
      </w:r>
      <w:r>
        <w:rPr>
          <w:rFonts w:hAnsi="宋体"/>
          <w:color w:val="auto"/>
          <w:spacing w:val="0"/>
          <w:sz w:val="21"/>
          <w:szCs w:val="21"/>
          <w:highlight w:val="none"/>
        </w:rPr>
        <w:t xml:space="preserve">          </w:t>
      </w:r>
      <w:r>
        <w:rPr>
          <w:rFonts w:hint="eastAsia" w:hAnsi="宋体"/>
          <w:color w:val="auto"/>
          <w:spacing w:val="0"/>
          <w:sz w:val="21"/>
          <w:szCs w:val="21"/>
          <w:highlight w:val="none"/>
        </w:rPr>
        <w:t>性</w:t>
      </w:r>
      <w:r>
        <w:rPr>
          <w:rFonts w:hAnsi="宋体"/>
          <w:color w:val="auto"/>
          <w:spacing w:val="0"/>
          <w:sz w:val="21"/>
          <w:szCs w:val="21"/>
          <w:highlight w:val="none"/>
        </w:rPr>
        <w:t>别</w:t>
      </w:r>
      <w:r>
        <w:rPr>
          <w:rFonts w:hint="eastAsia" w:hAnsi="宋体"/>
          <w:color w:val="auto"/>
          <w:spacing w:val="0"/>
          <w:sz w:val="21"/>
          <w:szCs w:val="21"/>
          <w:highlight w:val="none"/>
        </w:rPr>
        <w:t>：</w:t>
      </w:r>
      <w:r>
        <w:rPr>
          <w:rFonts w:hAnsi="宋体"/>
          <w:color w:val="auto"/>
          <w:spacing w:val="0"/>
          <w:sz w:val="21"/>
          <w:szCs w:val="21"/>
          <w:highlight w:val="none"/>
        </w:rPr>
        <w:t xml:space="preserve">           </w:t>
      </w:r>
      <w:r>
        <w:rPr>
          <w:rFonts w:hint="eastAsia" w:hAnsi="宋体"/>
          <w:color w:val="auto"/>
          <w:spacing w:val="0"/>
          <w:sz w:val="21"/>
          <w:szCs w:val="21"/>
          <w:highlight w:val="none"/>
        </w:rPr>
        <w:t>年</w:t>
      </w:r>
      <w:r>
        <w:rPr>
          <w:rFonts w:hAnsi="宋体"/>
          <w:color w:val="auto"/>
          <w:spacing w:val="0"/>
          <w:sz w:val="21"/>
          <w:szCs w:val="21"/>
          <w:highlight w:val="none"/>
        </w:rPr>
        <w:t>龄</w:t>
      </w:r>
      <w:r>
        <w:rPr>
          <w:rFonts w:hint="eastAsia" w:hAnsi="宋体"/>
          <w:color w:val="auto"/>
          <w:spacing w:val="0"/>
          <w:sz w:val="21"/>
          <w:szCs w:val="21"/>
          <w:highlight w:val="none"/>
        </w:rPr>
        <w:t>：</w:t>
      </w:r>
      <w:r>
        <w:rPr>
          <w:rFonts w:hAnsi="宋体"/>
          <w:color w:val="auto"/>
          <w:spacing w:val="0"/>
          <w:sz w:val="21"/>
          <w:szCs w:val="21"/>
          <w:highlight w:val="none"/>
        </w:rPr>
        <w:t xml:space="preserve">            职务</w:t>
      </w:r>
      <w:r>
        <w:rPr>
          <w:rFonts w:hint="eastAsia" w:hAnsi="宋体"/>
          <w:color w:val="auto"/>
          <w:spacing w:val="0"/>
          <w:sz w:val="21"/>
          <w:szCs w:val="21"/>
          <w:highlight w:val="none"/>
        </w:rPr>
        <w:t xml:space="preserve">：        </w:t>
      </w:r>
    </w:p>
    <w:p>
      <w:pPr>
        <w:spacing w:before="120" w:beforeLines="50" w:line="360" w:lineRule="auto"/>
        <w:ind w:firstLine="420" w:firstLineChars="200"/>
        <w:rPr>
          <w:rFonts w:hint="eastAsia" w:ascii="宋体" w:hAnsi="宋体"/>
          <w:color w:val="auto"/>
          <w:highlight w:val="none"/>
        </w:rPr>
      </w:pPr>
      <w:r>
        <w:rPr>
          <w:rFonts w:hint="eastAsia" w:ascii="宋体" w:hAnsi="宋体"/>
          <w:color w:val="auto"/>
          <w:highlight w:val="none"/>
        </w:rPr>
        <w:t>本人系</w:t>
      </w:r>
      <w:r>
        <w:rPr>
          <w:rFonts w:ascii="宋体" w:hAnsi="宋体"/>
          <w:color w:val="auto"/>
          <w:highlight w:val="none"/>
          <w:u w:val="single"/>
        </w:rPr>
        <w:t xml:space="preserve">    </w:t>
      </w:r>
      <w:r>
        <w:rPr>
          <w:rFonts w:hint="eastAsia" w:ascii="宋体" w:hAnsi="宋体"/>
          <w:color w:val="auto"/>
          <w:highlight w:val="none"/>
          <w:u w:val="single"/>
        </w:rPr>
        <w:t xml:space="preserve">     &lt;投</w:t>
      </w:r>
      <w:r>
        <w:rPr>
          <w:rFonts w:ascii="宋体" w:hAnsi="宋体"/>
          <w:color w:val="auto"/>
          <w:highlight w:val="none"/>
          <w:u w:val="single"/>
        </w:rPr>
        <w:t>标</w:t>
      </w:r>
      <w:r>
        <w:rPr>
          <w:rFonts w:hint="eastAsia" w:ascii="宋体" w:hAnsi="宋体"/>
          <w:color w:val="auto"/>
          <w:highlight w:val="none"/>
          <w:u w:val="single"/>
        </w:rPr>
        <w:t>人名</w:t>
      </w:r>
      <w:r>
        <w:rPr>
          <w:rFonts w:ascii="宋体" w:hAnsi="宋体"/>
          <w:color w:val="auto"/>
          <w:highlight w:val="none"/>
          <w:u w:val="single"/>
        </w:rPr>
        <w:t>称</w:t>
      </w:r>
      <w:r>
        <w:rPr>
          <w:rFonts w:hint="eastAsia" w:ascii="宋体" w:hAnsi="宋体"/>
          <w:color w:val="auto"/>
          <w:highlight w:val="none"/>
          <w:u w:val="single"/>
        </w:rPr>
        <w:t>&gt;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的法定代表人。</w:t>
      </w:r>
      <w:r>
        <w:rPr>
          <w:rFonts w:ascii="宋体" w:hAnsi="宋体"/>
          <w:color w:val="auto"/>
          <w:highlight w:val="none"/>
        </w:rPr>
        <w:t>为</w:t>
      </w:r>
      <w:r>
        <w:rPr>
          <w:rFonts w:hint="eastAsia" w:ascii="宋体" w:hAnsi="宋体"/>
          <w:color w:val="auto"/>
          <w:highlight w:val="none"/>
        </w:rPr>
        <w:t>你单位</w:t>
      </w:r>
      <w:r>
        <w:rPr>
          <w:rFonts w:ascii="宋体" w:hAnsi="宋体"/>
          <w:color w:val="auto"/>
          <w:highlight w:val="none"/>
        </w:rPr>
        <w:t>组织的</w:t>
      </w:r>
      <w:r>
        <w:rPr>
          <w:rFonts w:hint="eastAsia" w:ascii="宋体" w:hAnsi="宋体"/>
          <w:color w:val="auto"/>
          <w:highlight w:val="none"/>
        </w:rPr>
        <w:t>招</w:t>
      </w:r>
      <w:r>
        <w:rPr>
          <w:rFonts w:ascii="宋体" w:hAnsi="宋体"/>
          <w:color w:val="auto"/>
          <w:highlight w:val="none"/>
        </w:rPr>
        <w:t>标编号为</w:t>
      </w:r>
      <w:r>
        <w:rPr>
          <w:rFonts w:hint="eastAsia" w:ascii="宋体" w:hAnsi="宋体"/>
          <w:color w:val="auto"/>
          <w:highlight w:val="none"/>
          <w:u w:val="single"/>
        </w:rPr>
        <w:t xml:space="preserve">            </w:t>
      </w:r>
      <w:r>
        <w:rPr>
          <w:rFonts w:hint="eastAsia" w:ascii="宋体" w:hAnsi="宋体"/>
          <w:color w:val="auto"/>
          <w:highlight w:val="none"/>
        </w:rPr>
        <w:t>的</w:t>
      </w:r>
      <w:r>
        <w:rPr>
          <w:rFonts w:hint="eastAsia" w:ascii="宋体" w:hAnsi="宋体"/>
          <w:color w:val="auto"/>
          <w:highlight w:val="none"/>
          <w:u w:val="single"/>
        </w:rPr>
        <w:t xml:space="preserve">                              </w:t>
      </w:r>
      <w:r>
        <w:rPr>
          <w:rFonts w:hint="eastAsia" w:ascii="宋体" w:hAnsi="宋体"/>
          <w:color w:val="auto"/>
          <w:highlight w:val="none"/>
        </w:rPr>
        <w:t>政府采购项目，</w:t>
      </w:r>
      <w:r>
        <w:rPr>
          <w:rFonts w:ascii="宋体" w:hAnsi="宋体"/>
          <w:color w:val="auto"/>
          <w:highlight w:val="none"/>
        </w:rPr>
        <w:t>签</w:t>
      </w:r>
      <w:r>
        <w:rPr>
          <w:rFonts w:hint="eastAsia" w:ascii="宋体" w:hAnsi="宋体"/>
          <w:color w:val="auto"/>
          <w:highlight w:val="none"/>
        </w:rPr>
        <w:t>署上</w:t>
      </w:r>
      <w:r>
        <w:rPr>
          <w:rFonts w:ascii="宋体" w:hAnsi="宋体"/>
          <w:color w:val="auto"/>
          <w:highlight w:val="none"/>
        </w:rPr>
        <w:t>述项目</w:t>
      </w:r>
      <w:r>
        <w:rPr>
          <w:rFonts w:hint="eastAsia" w:ascii="宋体" w:hAnsi="宋体"/>
          <w:color w:val="auto"/>
          <w:highlight w:val="none"/>
        </w:rPr>
        <w:t>的</w:t>
      </w:r>
      <w:r>
        <w:rPr>
          <w:rFonts w:ascii="宋体" w:hAnsi="宋体"/>
          <w:color w:val="auto"/>
          <w:highlight w:val="none"/>
        </w:rPr>
        <w:t>投标文件、进行合同谈判、签署合同和处理与之有关的一切事务</w:t>
      </w:r>
      <w:r>
        <w:rPr>
          <w:rFonts w:hint="eastAsia" w:ascii="宋体" w:hAnsi="宋体"/>
          <w:color w:val="auto"/>
          <w:highlight w:val="none"/>
        </w:rPr>
        <w:t>。</w:t>
      </w:r>
    </w:p>
    <w:p>
      <w:pPr>
        <w:pStyle w:val="10"/>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特此</w:t>
      </w:r>
      <w:r>
        <w:rPr>
          <w:rFonts w:hAnsi="宋体"/>
          <w:color w:val="auto"/>
          <w:spacing w:val="0"/>
          <w:sz w:val="21"/>
          <w:szCs w:val="21"/>
          <w:highlight w:val="none"/>
        </w:rPr>
        <w:t>证</w:t>
      </w:r>
      <w:r>
        <w:rPr>
          <w:rFonts w:hint="eastAsia" w:hAnsi="宋体"/>
          <w:color w:val="auto"/>
          <w:spacing w:val="0"/>
          <w:sz w:val="21"/>
          <w:szCs w:val="21"/>
          <w:highlight w:val="none"/>
        </w:rPr>
        <w:t>明。</w:t>
      </w:r>
    </w:p>
    <w:p>
      <w:pPr>
        <w:pStyle w:val="10"/>
        <w:spacing w:line="360" w:lineRule="auto"/>
        <w:ind w:left="-538" w:leftChars="-256" w:firstLine="542" w:firstLineChars="257"/>
        <w:jc w:val="center"/>
        <w:rPr>
          <w:rFonts w:hint="eastAsia" w:hAnsi="宋体"/>
          <w:b/>
          <w:color w:val="auto"/>
          <w:spacing w:val="0"/>
          <w:sz w:val="21"/>
          <w:szCs w:val="21"/>
          <w:highlight w:val="none"/>
        </w:rPr>
      </w:pPr>
      <w:r>
        <w:rPr>
          <w:rFonts w:hint="eastAsia" w:hAnsi="宋体"/>
          <w:b/>
          <w:color w:val="auto"/>
          <w:spacing w:val="0"/>
          <w:sz w:val="21"/>
          <w:szCs w:val="21"/>
          <w:highlight w:val="none"/>
        </w:rPr>
        <w:t>（※此</w:t>
      </w:r>
      <w:r>
        <w:rPr>
          <w:rFonts w:hAnsi="宋体"/>
          <w:b/>
          <w:color w:val="auto"/>
          <w:spacing w:val="0"/>
          <w:sz w:val="21"/>
          <w:szCs w:val="21"/>
          <w:highlight w:val="none"/>
        </w:rPr>
        <w:t>处请</w:t>
      </w:r>
      <w:r>
        <w:rPr>
          <w:rFonts w:hint="eastAsia" w:hAnsi="宋体"/>
          <w:b/>
          <w:color w:val="auto"/>
          <w:spacing w:val="0"/>
          <w:sz w:val="21"/>
          <w:szCs w:val="21"/>
          <w:highlight w:val="none"/>
        </w:rPr>
        <w:t>粘</w:t>
      </w:r>
      <w:r>
        <w:rPr>
          <w:rFonts w:hAnsi="宋体"/>
          <w:b/>
          <w:color w:val="auto"/>
          <w:spacing w:val="0"/>
          <w:sz w:val="21"/>
          <w:szCs w:val="21"/>
          <w:highlight w:val="none"/>
        </w:rPr>
        <w:t>贴</w:t>
      </w:r>
      <w:r>
        <w:rPr>
          <w:rFonts w:hint="eastAsia" w:hAnsi="宋体"/>
          <w:b/>
          <w:color w:val="auto"/>
          <w:spacing w:val="0"/>
          <w:sz w:val="21"/>
          <w:szCs w:val="21"/>
          <w:highlight w:val="none"/>
        </w:rPr>
        <w:t>法定代表人身份</w:t>
      </w:r>
      <w:r>
        <w:rPr>
          <w:rFonts w:hAnsi="宋体"/>
          <w:b/>
          <w:color w:val="auto"/>
          <w:spacing w:val="0"/>
          <w:sz w:val="21"/>
          <w:szCs w:val="21"/>
          <w:highlight w:val="none"/>
        </w:rPr>
        <w:t>证</w:t>
      </w:r>
      <w:r>
        <w:rPr>
          <w:rFonts w:hint="eastAsia" w:hAnsi="宋体"/>
          <w:b/>
          <w:color w:val="auto"/>
          <w:spacing w:val="0"/>
          <w:sz w:val="21"/>
          <w:szCs w:val="21"/>
          <w:highlight w:val="none"/>
        </w:rPr>
        <w:t>正反面</w:t>
      </w:r>
      <w:r>
        <w:rPr>
          <w:rFonts w:hAnsi="宋体"/>
          <w:b/>
          <w:color w:val="auto"/>
          <w:spacing w:val="0"/>
          <w:sz w:val="21"/>
          <w:szCs w:val="21"/>
          <w:highlight w:val="none"/>
        </w:rPr>
        <w:t>复</w:t>
      </w:r>
      <w:r>
        <w:rPr>
          <w:rFonts w:hint="eastAsia" w:hAnsi="宋体"/>
          <w:b/>
          <w:color w:val="auto"/>
          <w:spacing w:val="0"/>
          <w:sz w:val="21"/>
          <w:szCs w:val="21"/>
          <w:highlight w:val="none"/>
        </w:rPr>
        <w:t>印件※）</w:t>
      </w:r>
    </w:p>
    <w:p>
      <w:pPr>
        <w:pStyle w:val="10"/>
        <w:spacing w:line="480" w:lineRule="auto"/>
        <w:ind w:firstLine="472" w:firstLineChars="225"/>
        <w:jc w:val="left"/>
        <w:rPr>
          <w:rFonts w:hint="eastAsia" w:hAnsi="宋体"/>
          <w:color w:val="auto"/>
          <w:spacing w:val="0"/>
          <w:sz w:val="21"/>
          <w:szCs w:val="21"/>
          <w:highlight w:val="none"/>
        </w:rPr>
      </w:pPr>
    </w:p>
    <w:p>
      <w:pPr>
        <w:spacing w:line="480" w:lineRule="auto"/>
        <w:ind w:firstLine="1890" w:firstLineChars="900"/>
        <w:rPr>
          <w:rFonts w:hint="eastAsia" w:ascii="宋体" w:hAnsi="宋体"/>
          <w:color w:val="auto"/>
          <w:highlight w:val="none"/>
        </w:rPr>
      </w:pPr>
      <w:r>
        <w:rPr>
          <w:rFonts w:hint="eastAsia" w:ascii="宋体" w:hAnsi="宋体"/>
          <w:color w:val="auto"/>
          <w:highlight w:val="none"/>
        </w:rPr>
        <w:t>投标人名称（加盖公章）：</w:t>
      </w: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rPr>
        <w:t xml:space="preserve"> </w:t>
      </w:r>
    </w:p>
    <w:p>
      <w:pPr>
        <w:spacing w:line="480" w:lineRule="auto"/>
        <w:ind w:firstLine="1890" w:firstLineChars="900"/>
        <w:rPr>
          <w:rFonts w:hint="eastAsia" w:ascii="宋体" w:hAnsi="宋体"/>
          <w:color w:val="auto"/>
          <w:highlight w:val="none"/>
        </w:rPr>
      </w:pPr>
      <w:r>
        <w:rPr>
          <w:rFonts w:hint="eastAsia" w:ascii="宋体" w:hAnsi="宋体"/>
          <w:color w:val="auto"/>
          <w:highlight w:val="none"/>
        </w:rPr>
        <w:t>法定代表人（签字）：</w:t>
      </w:r>
      <w:r>
        <w:rPr>
          <w:rFonts w:ascii="宋体" w:hAnsi="宋体"/>
          <w:color w:val="auto"/>
          <w:highlight w:val="none"/>
          <w:u w:val="single"/>
        </w:rPr>
        <w:t xml:space="preserve">                          </w:t>
      </w:r>
    </w:p>
    <w:p>
      <w:pPr>
        <w:pStyle w:val="5"/>
        <w:spacing w:before="60" w:line="480" w:lineRule="auto"/>
        <w:ind w:firstLine="1890" w:firstLineChars="900"/>
        <w:rPr>
          <w:rFonts w:ascii="宋体" w:hAnsi="宋体"/>
          <w:color w:val="auto"/>
          <w:highlight w:val="none"/>
        </w:rPr>
      </w:pPr>
      <w:r>
        <w:rPr>
          <w:rFonts w:hint="eastAsia" w:ascii="宋体" w:hAnsi="宋体"/>
          <w:color w:val="auto"/>
          <w:highlight w:val="none"/>
        </w:rPr>
        <w:t>签署日期：</w:t>
      </w: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日</w:t>
      </w:r>
    </w:p>
    <w:p>
      <w:pPr>
        <w:rPr>
          <w:rFonts w:hint="eastAsia"/>
          <w:color w:val="auto"/>
          <w:highlight w:val="none"/>
        </w:rPr>
      </w:pPr>
      <w:bookmarkStart w:id="15" w:name="_4.6__"/>
      <w:bookmarkEnd w:id="15"/>
    </w:p>
    <w:p>
      <w:pPr>
        <w:rPr>
          <w:rFonts w:hint="eastAsia"/>
          <w:color w:val="auto"/>
          <w:highlight w:val="none"/>
        </w:rPr>
      </w:pPr>
    </w:p>
    <w:p>
      <w:pPr>
        <w:spacing w:line="480" w:lineRule="exact"/>
        <w:jc w:val="center"/>
        <w:rPr>
          <w:rFonts w:hint="eastAsia" w:ascii="宋体" w:hAnsi="宋体"/>
          <w:b/>
          <w:color w:val="auto"/>
          <w:kern w:val="12"/>
          <w:highlight w:val="none"/>
        </w:rPr>
      </w:pPr>
    </w:p>
    <w:p>
      <w:pPr>
        <w:ind w:firstLine="316" w:firstLineChars="150"/>
        <w:rPr>
          <w:rFonts w:hint="eastAsia"/>
          <w:color w:val="auto"/>
          <w:highlight w:val="none"/>
        </w:rPr>
      </w:pPr>
      <w:r>
        <w:rPr>
          <w:rFonts w:hint="eastAsia"/>
          <w:b/>
          <w:color w:val="auto"/>
          <w:kern w:val="12"/>
          <w:highlight w:val="none"/>
        </w:rPr>
        <w:t>说明：</w:t>
      </w:r>
      <w:r>
        <w:rPr>
          <w:rFonts w:hint="eastAsia" w:ascii="宋体" w:hAnsi="宋体"/>
          <w:b/>
          <w:color w:val="auto"/>
          <w:kern w:val="12"/>
          <w:highlight w:val="none"/>
        </w:rPr>
        <w:t>法定代表人</w:t>
      </w:r>
      <w:r>
        <w:rPr>
          <w:rFonts w:ascii="宋体" w:hAnsi="宋体"/>
          <w:b/>
          <w:color w:val="auto"/>
          <w:kern w:val="12"/>
          <w:highlight w:val="none"/>
        </w:rPr>
        <w:t>参</w:t>
      </w:r>
      <w:r>
        <w:rPr>
          <w:rFonts w:hint="eastAsia" w:ascii="宋体" w:hAnsi="宋体"/>
          <w:b/>
          <w:color w:val="auto"/>
          <w:kern w:val="12"/>
          <w:highlight w:val="none"/>
        </w:rPr>
        <w:t>加本招</w:t>
      </w:r>
      <w:r>
        <w:rPr>
          <w:rFonts w:ascii="宋体" w:hAnsi="宋体"/>
          <w:b/>
          <w:color w:val="auto"/>
          <w:kern w:val="12"/>
          <w:highlight w:val="none"/>
        </w:rPr>
        <w:t>标项目</w:t>
      </w:r>
      <w:r>
        <w:rPr>
          <w:rFonts w:hint="eastAsia" w:ascii="宋体" w:hAnsi="宋体"/>
          <w:b/>
          <w:color w:val="auto"/>
          <w:kern w:val="12"/>
          <w:highlight w:val="none"/>
        </w:rPr>
        <w:t>投</w:t>
      </w:r>
      <w:r>
        <w:rPr>
          <w:rFonts w:ascii="宋体" w:hAnsi="宋体"/>
          <w:b/>
          <w:color w:val="auto"/>
          <w:kern w:val="12"/>
          <w:highlight w:val="none"/>
        </w:rPr>
        <w:t>标</w:t>
      </w:r>
      <w:r>
        <w:rPr>
          <w:rFonts w:hint="eastAsia" w:ascii="宋体" w:hAnsi="宋体"/>
          <w:b/>
          <w:color w:val="auto"/>
          <w:kern w:val="12"/>
          <w:highlight w:val="none"/>
        </w:rPr>
        <w:t>的，</w:t>
      </w:r>
      <w:r>
        <w:rPr>
          <w:rFonts w:ascii="宋体" w:hAnsi="宋体"/>
          <w:b/>
          <w:color w:val="auto"/>
          <w:kern w:val="12"/>
          <w:highlight w:val="none"/>
        </w:rPr>
        <w:t>仅须</w:t>
      </w:r>
      <w:r>
        <w:rPr>
          <w:rFonts w:hint="eastAsia" w:ascii="宋体" w:hAnsi="宋体"/>
          <w:b/>
          <w:color w:val="auto"/>
          <w:kern w:val="12"/>
          <w:highlight w:val="none"/>
        </w:rPr>
        <w:t>提供此</w:t>
      </w:r>
      <w:r>
        <w:rPr>
          <w:rFonts w:ascii="宋体" w:hAnsi="宋体"/>
          <w:b/>
          <w:color w:val="auto"/>
          <w:kern w:val="12"/>
          <w:highlight w:val="none"/>
        </w:rPr>
        <w:t>证</w:t>
      </w:r>
      <w:r>
        <w:rPr>
          <w:rFonts w:hint="eastAsia" w:ascii="宋体" w:hAnsi="宋体"/>
          <w:b/>
          <w:color w:val="auto"/>
          <w:kern w:val="12"/>
          <w:highlight w:val="none"/>
        </w:rPr>
        <w:t>明</w:t>
      </w:r>
      <w:r>
        <w:rPr>
          <w:rFonts w:ascii="宋体" w:hAnsi="宋体"/>
          <w:b/>
          <w:color w:val="auto"/>
          <w:kern w:val="12"/>
          <w:highlight w:val="none"/>
        </w:rPr>
        <w:t>书</w:t>
      </w:r>
      <w:r>
        <w:rPr>
          <w:rFonts w:hint="eastAsia" w:ascii="宋体" w:hAnsi="宋体"/>
          <w:b/>
          <w:color w:val="auto"/>
          <w:kern w:val="12"/>
          <w:highlight w:val="none"/>
        </w:rPr>
        <w:t>。</w:t>
      </w:r>
    </w:p>
    <w:p>
      <w:pPr>
        <w:spacing w:after="240" w:afterLines="100" w:line="360" w:lineRule="auto"/>
        <w:jc w:val="center"/>
        <w:rPr>
          <w:rFonts w:hint="eastAsia"/>
          <w:b/>
          <w:color w:val="auto"/>
          <w:highlight w:val="none"/>
        </w:rPr>
      </w:pPr>
    </w:p>
    <w:p>
      <w:pPr>
        <w:spacing w:after="240" w:afterLines="100" w:line="360" w:lineRule="auto"/>
        <w:jc w:val="center"/>
        <w:rPr>
          <w:rFonts w:hint="eastAsia"/>
          <w:b/>
          <w:color w:val="auto"/>
          <w:sz w:val="44"/>
          <w:highlight w:val="none"/>
        </w:rPr>
      </w:pPr>
    </w:p>
    <w:p>
      <w:pPr>
        <w:spacing w:after="240" w:afterLines="100" w:line="360" w:lineRule="auto"/>
        <w:jc w:val="center"/>
        <w:rPr>
          <w:rFonts w:hint="eastAsia"/>
          <w:b/>
          <w:color w:val="auto"/>
          <w:sz w:val="44"/>
          <w:highlight w:val="none"/>
        </w:rPr>
      </w:pPr>
    </w:p>
    <w:p>
      <w:pPr>
        <w:spacing w:after="240" w:afterLines="100" w:line="360" w:lineRule="auto"/>
        <w:jc w:val="center"/>
        <w:rPr>
          <w:rFonts w:hint="eastAsia"/>
          <w:b/>
          <w:color w:val="auto"/>
          <w:sz w:val="44"/>
          <w:highlight w:val="none"/>
        </w:rPr>
      </w:pPr>
    </w:p>
    <w:p>
      <w:pPr>
        <w:spacing w:after="240" w:afterLines="100" w:line="360" w:lineRule="auto"/>
        <w:jc w:val="center"/>
        <w:rPr>
          <w:rFonts w:hint="eastAsia" w:ascii="宋体" w:hAnsi="宋体" w:cs="宋体"/>
          <w:b/>
          <w:color w:val="auto"/>
          <w:sz w:val="24"/>
          <w:szCs w:val="22"/>
          <w:highlight w:val="none"/>
          <w:lang w:val="zh-CN" w:bidi="zh-CN"/>
        </w:rPr>
      </w:pPr>
      <w:r>
        <w:rPr>
          <w:b/>
          <w:color w:val="auto"/>
          <w:highlight w:val="none"/>
        </w:rPr>
        <w:br w:type="page"/>
      </w:r>
      <w:r>
        <w:rPr>
          <w:rFonts w:hint="eastAsia"/>
          <w:b/>
          <w:color w:val="auto"/>
          <w:highlight w:val="none"/>
        </w:rPr>
        <w:t>（四）</w:t>
      </w:r>
      <w:r>
        <w:rPr>
          <w:rFonts w:hint="eastAsia" w:ascii="宋体" w:hAnsi="宋体" w:cs="宋体"/>
          <w:b/>
          <w:color w:val="auto"/>
          <w:sz w:val="24"/>
          <w:szCs w:val="22"/>
          <w:highlight w:val="none"/>
          <w:lang w:val="zh-CN" w:bidi="zh-CN"/>
        </w:rPr>
        <w:t>法定代表人授权书</w:t>
      </w:r>
    </w:p>
    <w:p>
      <w:pPr>
        <w:spacing w:line="440" w:lineRule="exact"/>
        <w:rPr>
          <w:rFonts w:hint="eastAsia" w:ascii="宋体" w:hAnsi="宋体"/>
          <w:color w:val="auto"/>
          <w:highlight w:val="none"/>
        </w:rPr>
      </w:pPr>
      <w:r>
        <w:rPr>
          <w:rFonts w:hint="eastAsia" w:ascii="宋体" w:hAnsi="宋体"/>
          <w:color w:val="auto"/>
          <w:highlight w:val="none"/>
          <w:u w:val="single"/>
        </w:rPr>
        <w:t xml:space="preserve">     采购人                </w:t>
      </w:r>
      <w:r>
        <w:rPr>
          <w:rFonts w:hint="eastAsia" w:ascii="宋体" w:hAnsi="宋体"/>
          <w:color w:val="auto"/>
          <w:highlight w:val="none"/>
        </w:rPr>
        <w:t>：</w:t>
      </w:r>
    </w:p>
    <w:p>
      <w:pPr>
        <w:spacing w:line="440" w:lineRule="exact"/>
        <w:rPr>
          <w:rFonts w:hint="eastAsia" w:ascii="宋体" w:hAnsi="宋体"/>
          <w:color w:val="auto"/>
          <w:highlight w:val="none"/>
          <w:u w:val="single"/>
        </w:rPr>
      </w:pPr>
    </w:p>
    <w:p>
      <w:pPr>
        <w:spacing w:line="440" w:lineRule="exact"/>
        <w:ind w:firstLine="525" w:firstLineChars="250"/>
        <w:rPr>
          <w:rFonts w:hint="eastAsia" w:ascii="宋体" w:hAnsi="宋体"/>
          <w:color w:val="auto"/>
          <w:highlight w:val="none"/>
          <w:u w:val="single"/>
        </w:rPr>
      </w:pPr>
      <w:r>
        <w:rPr>
          <w:rFonts w:hint="eastAsia" w:ascii="宋体" w:hAnsi="宋体"/>
          <w:color w:val="auto"/>
          <w:highlight w:val="none"/>
          <w:u w:val="single"/>
        </w:rPr>
        <w:t xml:space="preserve">        （投标人全称）     </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授权本单位</w:t>
      </w:r>
      <w:r>
        <w:rPr>
          <w:rFonts w:hint="eastAsia" w:ascii="宋体" w:hAnsi="宋体"/>
          <w:color w:val="auto"/>
          <w:highlight w:val="none"/>
          <w:u w:val="single"/>
        </w:rPr>
        <w:t xml:space="preserve">     （授权代表任职部门）（授权代表姓名）      </w:t>
      </w:r>
      <w:r>
        <w:rPr>
          <w:rFonts w:hint="eastAsia" w:ascii="宋体" w:hAnsi="宋体"/>
          <w:color w:val="auto"/>
          <w:highlight w:val="none"/>
        </w:rPr>
        <w:t>为本公司的合法授权代表，参加贵处组织的</w:t>
      </w:r>
    </w:p>
    <w:p>
      <w:pPr>
        <w:spacing w:line="440" w:lineRule="exact"/>
        <w:rPr>
          <w:rFonts w:ascii="宋体" w:hAnsi="宋体"/>
          <w:color w:val="auto"/>
          <w:highlight w:val="none"/>
        </w:rPr>
      </w:pPr>
      <w:r>
        <w:rPr>
          <w:rFonts w:hint="eastAsia" w:ascii="宋体" w:hAnsi="宋体"/>
          <w:color w:val="auto"/>
          <w:highlight w:val="none"/>
          <w:u w:val="single"/>
        </w:rPr>
        <w:t xml:space="preserve">                   </w:t>
      </w:r>
      <w:r>
        <w:rPr>
          <w:rFonts w:hint="eastAsia"/>
          <w:color w:val="auto"/>
          <w:highlight w:val="none"/>
          <w:u w:val="single"/>
        </w:rPr>
        <w:t>（项目编号：             ）</w:t>
      </w:r>
      <w:r>
        <w:rPr>
          <w:rFonts w:hint="eastAsia" w:ascii="宋体" w:hAnsi="宋体"/>
          <w:color w:val="auto"/>
          <w:highlight w:val="none"/>
        </w:rPr>
        <w:t>公</w:t>
      </w:r>
      <w:r>
        <w:rPr>
          <w:rFonts w:ascii="宋体" w:hAnsi="宋体"/>
          <w:color w:val="auto"/>
          <w:highlight w:val="none"/>
        </w:rPr>
        <w:t>开</w:t>
      </w:r>
      <w:r>
        <w:rPr>
          <w:rFonts w:hint="eastAsia" w:ascii="宋体" w:hAnsi="宋体"/>
          <w:color w:val="auto"/>
          <w:highlight w:val="none"/>
        </w:rPr>
        <w:t>招</w:t>
      </w:r>
      <w:r>
        <w:rPr>
          <w:rFonts w:ascii="宋体" w:hAnsi="宋体"/>
          <w:color w:val="auto"/>
          <w:highlight w:val="none"/>
        </w:rPr>
        <w:t>标项</w:t>
      </w:r>
      <w:r>
        <w:rPr>
          <w:rFonts w:hint="eastAsia" w:ascii="宋体" w:hAnsi="宋体"/>
          <w:color w:val="auto"/>
          <w:highlight w:val="none"/>
        </w:rPr>
        <w:t>目的投</w:t>
      </w:r>
      <w:r>
        <w:rPr>
          <w:rFonts w:ascii="宋体" w:hAnsi="宋体"/>
          <w:color w:val="auto"/>
          <w:highlight w:val="none"/>
        </w:rPr>
        <w:t>标报价、签订</w:t>
      </w:r>
      <w:r>
        <w:rPr>
          <w:rFonts w:hint="eastAsia" w:ascii="宋体" w:hAnsi="宋体"/>
          <w:color w:val="auto"/>
          <w:highlight w:val="none"/>
        </w:rPr>
        <w:t>合同以及合同的</w:t>
      </w:r>
      <w:r>
        <w:rPr>
          <w:rFonts w:ascii="宋体" w:hAnsi="宋体"/>
          <w:color w:val="auto"/>
          <w:highlight w:val="none"/>
        </w:rPr>
        <w:t>执</w:t>
      </w:r>
      <w:r>
        <w:rPr>
          <w:rFonts w:hint="eastAsia" w:ascii="宋体" w:hAnsi="宋体"/>
          <w:color w:val="auto"/>
          <w:highlight w:val="none"/>
        </w:rPr>
        <w:t>行、完成、服</w:t>
      </w:r>
      <w:r>
        <w:rPr>
          <w:rFonts w:ascii="宋体" w:hAnsi="宋体"/>
          <w:color w:val="auto"/>
          <w:highlight w:val="none"/>
        </w:rPr>
        <w:t>务</w:t>
      </w:r>
      <w:r>
        <w:rPr>
          <w:rFonts w:hint="eastAsia" w:ascii="宋体" w:hAnsi="宋体"/>
          <w:color w:val="auto"/>
          <w:highlight w:val="none"/>
        </w:rPr>
        <w:t>和保修，以本公司名</w:t>
      </w:r>
      <w:r>
        <w:rPr>
          <w:rFonts w:ascii="宋体" w:hAnsi="宋体"/>
          <w:color w:val="auto"/>
          <w:highlight w:val="none"/>
        </w:rPr>
        <w:t>义处</w:t>
      </w:r>
      <w:r>
        <w:rPr>
          <w:rFonts w:hint="eastAsia" w:ascii="宋体" w:hAnsi="宋体"/>
          <w:color w:val="auto"/>
          <w:highlight w:val="none"/>
        </w:rPr>
        <w:t>理一切与之有</w:t>
      </w:r>
      <w:r>
        <w:rPr>
          <w:rFonts w:ascii="宋体" w:hAnsi="宋体"/>
          <w:color w:val="auto"/>
          <w:highlight w:val="none"/>
        </w:rPr>
        <w:t>关的</w:t>
      </w:r>
      <w:r>
        <w:rPr>
          <w:rFonts w:hint="eastAsia" w:ascii="宋体" w:hAnsi="宋体"/>
          <w:color w:val="auto"/>
          <w:highlight w:val="none"/>
        </w:rPr>
        <w:t>事</w:t>
      </w:r>
      <w:r>
        <w:rPr>
          <w:rFonts w:ascii="宋体" w:hAnsi="宋体"/>
          <w:color w:val="auto"/>
          <w:highlight w:val="none"/>
        </w:rPr>
        <w:t>务</w:t>
      </w:r>
      <w:r>
        <w:rPr>
          <w:rFonts w:hint="eastAsia" w:ascii="宋体" w:hAnsi="宋体"/>
          <w:color w:val="auto"/>
          <w:highlight w:val="none"/>
        </w:rPr>
        <w:t>。</w:t>
      </w:r>
    </w:p>
    <w:p>
      <w:pPr>
        <w:spacing w:line="440" w:lineRule="exact"/>
        <w:ind w:firstLine="420" w:firstLineChars="200"/>
        <w:rPr>
          <w:rFonts w:hint="eastAsia" w:ascii="宋体" w:hAnsi="宋体"/>
          <w:color w:val="auto"/>
          <w:highlight w:val="none"/>
        </w:rPr>
      </w:pPr>
      <w:r>
        <w:rPr>
          <w:rFonts w:hint="eastAsia" w:ascii="宋体" w:hAnsi="宋体"/>
          <w:color w:val="auto"/>
          <w:highlight w:val="none"/>
        </w:rPr>
        <w:t>本授</w:t>
      </w:r>
      <w:r>
        <w:rPr>
          <w:rFonts w:ascii="宋体" w:hAnsi="宋体"/>
          <w:color w:val="auto"/>
          <w:highlight w:val="none"/>
        </w:rPr>
        <w:t>权书</w:t>
      </w:r>
      <w:r>
        <w:rPr>
          <w:rFonts w:hint="eastAsia" w:ascii="宋体" w:hAnsi="宋体"/>
          <w:color w:val="auto"/>
          <w:highlight w:val="none"/>
        </w:rPr>
        <w:t>于</w:t>
      </w:r>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日签</w:t>
      </w:r>
      <w:r>
        <w:rPr>
          <w:rFonts w:hint="eastAsia" w:ascii="宋体" w:hAnsi="宋体"/>
          <w:color w:val="auto"/>
          <w:highlight w:val="none"/>
        </w:rPr>
        <w:t>字生效，</w:t>
      </w:r>
      <w:r>
        <w:rPr>
          <w:rFonts w:ascii="宋体" w:hAnsi="宋体"/>
          <w:color w:val="auto"/>
          <w:highlight w:val="none"/>
        </w:rPr>
        <w:t>无转</w:t>
      </w:r>
      <w:r>
        <w:rPr>
          <w:rFonts w:hint="eastAsia" w:ascii="宋体" w:hAnsi="宋体"/>
          <w:color w:val="auto"/>
          <w:highlight w:val="none"/>
        </w:rPr>
        <w:t>委</w:t>
      </w:r>
      <w:r>
        <w:rPr>
          <w:rFonts w:ascii="宋体" w:hAnsi="宋体"/>
          <w:color w:val="auto"/>
          <w:highlight w:val="none"/>
        </w:rPr>
        <w:t>权</w:t>
      </w:r>
      <w:r>
        <w:rPr>
          <w:rFonts w:hint="eastAsia" w:ascii="宋体" w:hAnsi="宋体"/>
          <w:color w:val="auto"/>
          <w:highlight w:val="none"/>
        </w:rPr>
        <w:t>，特此</w:t>
      </w:r>
      <w:r>
        <w:rPr>
          <w:rFonts w:ascii="宋体" w:hAnsi="宋体"/>
          <w:color w:val="auto"/>
          <w:highlight w:val="none"/>
        </w:rPr>
        <w:t>声</w:t>
      </w:r>
      <w:r>
        <w:rPr>
          <w:rFonts w:hint="eastAsia" w:ascii="宋体" w:hAnsi="宋体"/>
          <w:color w:val="auto"/>
          <w:highlight w:val="none"/>
        </w:rPr>
        <w:t>明</w:t>
      </w:r>
      <w:r>
        <w:rPr>
          <w:rFonts w:hint="eastAsia" w:ascii="宋体" w:hAnsi="宋体" w:cs="Arial"/>
          <w:color w:val="auto"/>
          <w:highlight w:val="none"/>
        </w:rPr>
        <w:t>。</w:t>
      </w:r>
    </w:p>
    <w:p>
      <w:pPr>
        <w:spacing w:line="440" w:lineRule="exact"/>
        <w:rPr>
          <w:rFonts w:hint="eastAsia" w:ascii="宋体" w:hAnsi="宋体"/>
          <w:color w:val="auto"/>
          <w:highlight w:val="none"/>
        </w:rPr>
      </w:pPr>
    </w:p>
    <w:p>
      <w:pPr>
        <w:spacing w:line="440" w:lineRule="exact"/>
        <w:rPr>
          <w:rFonts w:hint="eastAsia" w:ascii="宋体" w:hAnsi="宋体"/>
          <w:color w:val="auto"/>
          <w:highlight w:val="none"/>
        </w:rPr>
      </w:pPr>
      <w:r>
        <w:rPr>
          <w:rFonts w:hint="eastAsia" w:ascii="宋体" w:hAnsi="宋体"/>
          <w:color w:val="auto"/>
          <w:highlight w:val="none"/>
        </w:rPr>
        <w:t>投标人全称（加盖公章）</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440" w:lineRule="exact"/>
        <w:rPr>
          <w:rFonts w:hint="eastAsia" w:ascii="宋体" w:hAnsi="宋体"/>
          <w:color w:val="auto"/>
          <w:highlight w:val="none"/>
          <w:u w:val="single"/>
        </w:rPr>
      </w:pPr>
      <w:r>
        <w:rPr>
          <w:rFonts w:hint="eastAsia" w:ascii="宋体" w:hAnsi="宋体"/>
          <w:color w:val="auto"/>
          <w:highlight w:val="none"/>
        </w:rPr>
        <w:t>法定代表人（签字或盖章）</w:t>
      </w:r>
      <w:r>
        <w:rPr>
          <w:rFonts w:hint="eastAsia" w:ascii="宋体" w:hAnsi="宋体"/>
          <w:color w:val="auto"/>
          <w:highlight w:val="none"/>
          <w:u w:val="single"/>
        </w:rPr>
        <w:t xml:space="preserve">                        </w:t>
      </w:r>
    </w:p>
    <w:p>
      <w:pPr>
        <w:spacing w:line="440" w:lineRule="exact"/>
        <w:rPr>
          <w:rFonts w:hint="eastAsia" w:ascii="宋体" w:hAnsi="宋体"/>
          <w:color w:val="auto"/>
          <w:highlight w:val="none"/>
          <w:u w:val="single"/>
        </w:rPr>
      </w:pPr>
      <w:r>
        <w:rPr>
          <w:rFonts w:hint="eastAsia" w:ascii="宋体" w:hAnsi="宋体"/>
          <w:color w:val="auto"/>
          <w:highlight w:val="none"/>
        </w:rPr>
        <w:t>被授权人（签字）</w:t>
      </w:r>
      <w:r>
        <w:rPr>
          <w:rFonts w:hint="eastAsia" w:ascii="宋体" w:hAnsi="宋体"/>
          <w:color w:val="auto"/>
          <w:highlight w:val="none"/>
          <w:u w:val="single"/>
        </w:rPr>
        <w:t xml:space="preserve">                               </w:t>
      </w:r>
    </w:p>
    <w:p>
      <w:pPr>
        <w:spacing w:line="440" w:lineRule="exact"/>
        <w:rPr>
          <w:rFonts w:hint="eastAsia" w:ascii="宋体" w:hAnsi="宋体"/>
          <w:color w:val="auto"/>
          <w:highlight w:val="none"/>
        </w:rPr>
      </w:pPr>
      <w:r>
        <w:rPr>
          <w:rFonts w:hint="eastAsia" w:ascii="宋体" w:hAnsi="宋体"/>
          <w:color w:val="auto"/>
          <w:highlight w:val="none"/>
        </w:rPr>
        <w:t xml:space="preserve">日          期： </w:t>
      </w:r>
      <w:r>
        <w:rPr>
          <w:rFonts w:hint="eastAsia" w:ascii="宋体" w:hAnsi="宋体"/>
          <w:color w:val="auto"/>
          <w:highlight w:val="none"/>
          <w:u w:val="single"/>
        </w:rPr>
        <w:t xml:space="preserve">                                           </w:t>
      </w:r>
    </w:p>
    <w:p>
      <w:pPr>
        <w:spacing w:line="440" w:lineRule="exact"/>
        <w:rPr>
          <w:rFonts w:hint="eastAsia" w:ascii="宋体" w:hAnsi="宋体"/>
          <w:color w:val="auto"/>
          <w:highlight w:val="none"/>
        </w:rPr>
      </w:pPr>
    </w:p>
    <w:p>
      <w:pPr>
        <w:spacing w:line="440" w:lineRule="exact"/>
        <w:rPr>
          <w:rFonts w:hint="eastAsia" w:ascii="宋体" w:hAnsi="宋体"/>
          <w:color w:val="auto"/>
          <w:highlight w:val="none"/>
        </w:rPr>
      </w:pPr>
      <w:r>
        <w:rPr>
          <w:rFonts w:hint="eastAsia" w:ascii="宋体" w:hAnsi="宋体"/>
          <w:color w:val="auto"/>
          <w:highlight w:val="none"/>
        </w:rPr>
        <w:t>附：</w:t>
      </w:r>
    </w:p>
    <w:p>
      <w:pPr>
        <w:pStyle w:val="8"/>
        <w:spacing w:after="0" w:line="440" w:lineRule="exact"/>
        <w:rPr>
          <w:rFonts w:ascii="宋体" w:hAnsi="宋体" w:cs="Arial"/>
          <w:color w:val="auto"/>
          <w:highlight w:val="none"/>
          <w:u w:val="single"/>
        </w:rPr>
      </w:pPr>
      <w:r>
        <w:rPr>
          <w:rFonts w:hint="eastAsia" w:ascii="宋体" w:hAnsi="宋体"/>
          <w:color w:val="auto"/>
          <w:highlight w:val="none"/>
        </w:rPr>
        <w:t>授权代表姓名</w:t>
      </w:r>
      <w:r>
        <w:rPr>
          <w:rFonts w:hint="eastAsia" w:ascii="宋体" w:hAnsi="宋体" w:cs="Arial"/>
          <w:color w:val="auto"/>
          <w:highlight w:val="none"/>
        </w:rPr>
        <w:t>：</w:t>
      </w:r>
      <w:r>
        <w:rPr>
          <w:rFonts w:ascii="宋体" w:hAnsi="宋体" w:cs="Arial"/>
          <w:color w:val="auto"/>
          <w:highlight w:val="none"/>
          <w:u w:val="single"/>
        </w:rPr>
        <w:t xml:space="preserve">                  </w:t>
      </w:r>
      <w:r>
        <w:rPr>
          <w:rFonts w:ascii="宋体" w:hAnsi="宋体" w:cs="Arial"/>
          <w:color w:val="auto"/>
          <w:highlight w:val="none"/>
        </w:rPr>
        <w:t xml:space="preserve"> </w:t>
      </w:r>
      <w:r>
        <w:rPr>
          <w:rFonts w:hint="eastAsia" w:ascii="宋体" w:hAnsi="宋体" w:cs="Arial"/>
          <w:color w:val="auto"/>
          <w:highlight w:val="none"/>
        </w:rPr>
        <w:t>性</w:t>
      </w:r>
      <w:r>
        <w:rPr>
          <w:rFonts w:ascii="宋体" w:hAnsi="宋体" w:cs="Arial"/>
          <w:color w:val="auto"/>
          <w:highlight w:val="none"/>
        </w:rPr>
        <w:t>别</w:t>
      </w:r>
      <w:r>
        <w:rPr>
          <w:rFonts w:hint="eastAsia" w:ascii="宋体" w:hAnsi="宋体" w:cs="Arial"/>
          <w:color w:val="auto"/>
          <w:highlight w:val="none"/>
        </w:rPr>
        <w:t>：</w:t>
      </w:r>
      <w:r>
        <w:rPr>
          <w:rFonts w:ascii="宋体" w:hAnsi="宋体" w:cs="Arial"/>
          <w:color w:val="auto"/>
          <w:highlight w:val="none"/>
          <w:u w:val="single"/>
        </w:rPr>
        <w:t xml:space="preserve">         </w:t>
      </w:r>
      <w:r>
        <w:rPr>
          <w:rFonts w:hint="eastAsia" w:ascii="宋体" w:hAnsi="宋体" w:cs="Arial"/>
          <w:color w:val="auto"/>
          <w:highlight w:val="none"/>
        </w:rPr>
        <w:t>年</w:t>
      </w:r>
      <w:r>
        <w:rPr>
          <w:rFonts w:ascii="宋体" w:hAnsi="宋体" w:cs="Arial"/>
          <w:color w:val="auto"/>
          <w:highlight w:val="none"/>
        </w:rPr>
        <w:t>龄</w:t>
      </w:r>
      <w:r>
        <w:rPr>
          <w:rFonts w:hint="eastAsia" w:ascii="宋体" w:hAnsi="宋体" w:cs="Arial"/>
          <w:color w:val="auto"/>
          <w:highlight w:val="none"/>
        </w:rPr>
        <w:t>：</w:t>
      </w:r>
      <w:r>
        <w:rPr>
          <w:rFonts w:ascii="宋体" w:hAnsi="宋体" w:cs="Arial"/>
          <w:color w:val="auto"/>
          <w:highlight w:val="none"/>
          <w:u w:val="single"/>
        </w:rPr>
        <w:t xml:space="preserve">           </w:t>
      </w:r>
      <w:r>
        <w:rPr>
          <w:rFonts w:hint="eastAsia" w:ascii="宋体" w:hAnsi="宋体" w:cs="Arial"/>
          <w:color w:val="auto"/>
          <w:highlight w:val="none"/>
        </w:rPr>
        <w:t>。</w:t>
      </w:r>
    </w:p>
    <w:p>
      <w:pPr>
        <w:spacing w:line="440" w:lineRule="exact"/>
        <w:rPr>
          <w:rFonts w:hint="eastAsia" w:ascii="宋体" w:hAnsi="宋体"/>
          <w:color w:val="auto"/>
          <w:highlight w:val="none"/>
          <w:u w:val="single"/>
        </w:rPr>
      </w:pPr>
      <w:r>
        <w:rPr>
          <w:rFonts w:ascii="宋体" w:hAnsi="宋体" w:cs="Arial"/>
          <w:color w:val="auto"/>
          <w:highlight w:val="none"/>
        </w:rPr>
        <w:t>部门</w:t>
      </w:r>
      <w:r>
        <w:rPr>
          <w:rFonts w:hint="eastAsia" w:ascii="宋体" w:hAnsi="宋体" w:cs="Arial"/>
          <w:color w:val="auto"/>
          <w:highlight w:val="none"/>
        </w:rPr>
        <w:t>：</w:t>
      </w:r>
      <w:r>
        <w:rPr>
          <w:rFonts w:ascii="宋体" w:hAnsi="宋体" w:cs="Arial"/>
          <w:color w:val="auto"/>
          <w:highlight w:val="none"/>
          <w:u w:val="single"/>
        </w:rPr>
        <w:t xml:space="preserve">    </w:t>
      </w:r>
      <w:r>
        <w:rPr>
          <w:rFonts w:hint="eastAsia" w:ascii="宋体" w:hAnsi="宋体" w:cs="Arial"/>
          <w:color w:val="auto"/>
          <w:highlight w:val="none"/>
          <w:u w:val="single"/>
        </w:rPr>
        <w:t xml:space="preserve">   </w:t>
      </w:r>
      <w:r>
        <w:rPr>
          <w:rFonts w:ascii="宋体" w:hAnsi="宋体" w:cs="Arial"/>
          <w:color w:val="auto"/>
          <w:highlight w:val="none"/>
          <w:u w:val="single"/>
        </w:rPr>
        <w:t xml:space="preserve">     </w:t>
      </w:r>
      <w:r>
        <w:rPr>
          <w:rFonts w:ascii="宋体" w:hAnsi="宋体" w:cs="Arial"/>
          <w:color w:val="auto"/>
          <w:highlight w:val="none"/>
        </w:rPr>
        <w:t>职务</w:t>
      </w:r>
      <w:r>
        <w:rPr>
          <w:rFonts w:hint="eastAsia" w:ascii="宋体" w:hAnsi="宋体" w:cs="Arial"/>
          <w:color w:val="auto"/>
          <w:highlight w:val="none"/>
        </w:rPr>
        <w:t>：</w:t>
      </w:r>
      <w:r>
        <w:rPr>
          <w:rFonts w:ascii="宋体" w:hAnsi="宋体" w:cs="Arial"/>
          <w:color w:val="auto"/>
          <w:highlight w:val="none"/>
          <w:u w:val="single"/>
        </w:rPr>
        <w:t xml:space="preserve">           </w:t>
      </w:r>
      <w:r>
        <w:rPr>
          <w:rFonts w:hint="eastAsia" w:ascii="宋体" w:hAnsi="宋体"/>
          <w:color w:val="auto"/>
          <w:highlight w:val="none"/>
        </w:rPr>
        <w:t xml:space="preserve">联系电话： </w:t>
      </w:r>
      <w:r>
        <w:rPr>
          <w:rFonts w:hint="eastAsia" w:ascii="宋体" w:hAnsi="宋体"/>
          <w:color w:val="auto"/>
          <w:highlight w:val="none"/>
          <w:u w:val="single"/>
        </w:rPr>
        <w:t xml:space="preserve">            </w:t>
      </w:r>
    </w:p>
    <w:p>
      <w:pPr>
        <w:spacing w:line="440" w:lineRule="exact"/>
        <w:rPr>
          <w:rFonts w:hint="eastAsia" w:ascii="宋体" w:hAnsi="宋体"/>
          <w:color w:val="auto"/>
          <w:highlight w:val="none"/>
          <w:u w:val="single"/>
        </w:rPr>
      </w:pPr>
    </w:p>
    <w:p>
      <w:pPr>
        <w:spacing w:line="440" w:lineRule="exact"/>
        <w:rPr>
          <w:rFonts w:hint="eastAsia" w:ascii="宋体" w:hAnsi="宋体"/>
          <w:color w:val="auto"/>
          <w:highlight w:val="none"/>
          <w:u w:val="single"/>
        </w:rPr>
      </w:pPr>
    </w:p>
    <w:p>
      <w:pPr>
        <w:pStyle w:val="10"/>
        <w:spacing w:line="440" w:lineRule="exact"/>
        <w:jc w:val="center"/>
        <w:rPr>
          <w:rFonts w:hAnsi="宋体"/>
          <w:b/>
          <w:color w:val="auto"/>
          <w:spacing w:val="0"/>
          <w:sz w:val="21"/>
          <w:szCs w:val="21"/>
          <w:highlight w:val="none"/>
        </w:rPr>
      </w:pPr>
      <w:r>
        <w:rPr>
          <w:rFonts w:hint="eastAsia" w:hAnsi="宋体"/>
          <w:b/>
          <w:color w:val="auto"/>
          <w:spacing w:val="0"/>
          <w:sz w:val="21"/>
          <w:szCs w:val="21"/>
          <w:highlight w:val="none"/>
        </w:rPr>
        <w:t>（</w:t>
      </w:r>
      <w:r>
        <w:rPr>
          <w:rFonts w:hAnsi="宋体"/>
          <w:b/>
          <w:color w:val="auto"/>
          <w:spacing w:val="0"/>
          <w:sz w:val="21"/>
          <w:szCs w:val="21"/>
          <w:highlight w:val="none"/>
        </w:rPr>
        <w:t>※</w:t>
      </w:r>
      <w:r>
        <w:rPr>
          <w:rFonts w:hint="eastAsia" w:hAnsi="宋体"/>
          <w:b/>
          <w:color w:val="auto"/>
          <w:spacing w:val="0"/>
          <w:sz w:val="21"/>
          <w:szCs w:val="21"/>
          <w:highlight w:val="none"/>
        </w:rPr>
        <w:t>此</w:t>
      </w:r>
      <w:r>
        <w:rPr>
          <w:rFonts w:hAnsi="宋体"/>
          <w:b/>
          <w:color w:val="auto"/>
          <w:spacing w:val="0"/>
          <w:sz w:val="21"/>
          <w:szCs w:val="21"/>
          <w:highlight w:val="none"/>
        </w:rPr>
        <w:t>处请</w:t>
      </w:r>
      <w:r>
        <w:rPr>
          <w:rFonts w:hint="eastAsia" w:hAnsi="宋体"/>
          <w:b/>
          <w:color w:val="auto"/>
          <w:spacing w:val="0"/>
          <w:sz w:val="21"/>
          <w:szCs w:val="21"/>
          <w:highlight w:val="none"/>
        </w:rPr>
        <w:t>粘</w:t>
      </w:r>
      <w:r>
        <w:rPr>
          <w:rFonts w:hAnsi="宋体"/>
          <w:b/>
          <w:color w:val="auto"/>
          <w:spacing w:val="0"/>
          <w:sz w:val="21"/>
          <w:szCs w:val="21"/>
          <w:highlight w:val="none"/>
        </w:rPr>
        <w:t>贴</w:t>
      </w:r>
      <w:r>
        <w:rPr>
          <w:rFonts w:hint="eastAsia" w:hAnsi="宋体"/>
          <w:b/>
          <w:color w:val="auto"/>
          <w:spacing w:val="0"/>
          <w:sz w:val="21"/>
          <w:szCs w:val="21"/>
          <w:highlight w:val="none"/>
        </w:rPr>
        <w:t>被授</w:t>
      </w:r>
      <w:r>
        <w:rPr>
          <w:rFonts w:hAnsi="宋体"/>
          <w:b/>
          <w:color w:val="auto"/>
          <w:spacing w:val="0"/>
          <w:sz w:val="21"/>
          <w:szCs w:val="21"/>
          <w:highlight w:val="none"/>
        </w:rPr>
        <w:t>权人</w:t>
      </w:r>
      <w:r>
        <w:rPr>
          <w:rFonts w:hint="eastAsia" w:hAnsi="宋体"/>
          <w:b/>
          <w:color w:val="auto"/>
          <w:spacing w:val="0"/>
          <w:sz w:val="21"/>
          <w:szCs w:val="21"/>
          <w:highlight w:val="none"/>
        </w:rPr>
        <w:t>身份</w:t>
      </w:r>
      <w:r>
        <w:rPr>
          <w:rFonts w:hAnsi="宋体"/>
          <w:b/>
          <w:color w:val="auto"/>
          <w:spacing w:val="0"/>
          <w:sz w:val="21"/>
          <w:szCs w:val="21"/>
          <w:highlight w:val="none"/>
        </w:rPr>
        <w:t>证</w:t>
      </w:r>
      <w:r>
        <w:rPr>
          <w:rFonts w:hint="eastAsia" w:hAnsi="宋体"/>
          <w:b/>
          <w:color w:val="auto"/>
          <w:spacing w:val="0"/>
          <w:sz w:val="21"/>
          <w:szCs w:val="21"/>
          <w:highlight w:val="none"/>
        </w:rPr>
        <w:t>正反面</w:t>
      </w:r>
      <w:r>
        <w:rPr>
          <w:rFonts w:hAnsi="宋体"/>
          <w:b/>
          <w:color w:val="auto"/>
          <w:spacing w:val="0"/>
          <w:sz w:val="21"/>
          <w:szCs w:val="21"/>
          <w:highlight w:val="none"/>
        </w:rPr>
        <w:t>复</w:t>
      </w:r>
      <w:r>
        <w:rPr>
          <w:rFonts w:hint="eastAsia" w:hAnsi="宋体"/>
          <w:b/>
          <w:color w:val="auto"/>
          <w:spacing w:val="0"/>
          <w:sz w:val="21"/>
          <w:szCs w:val="21"/>
          <w:highlight w:val="none"/>
        </w:rPr>
        <w:t>印件</w:t>
      </w:r>
      <w:r>
        <w:rPr>
          <w:rFonts w:hAnsi="宋体"/>
          <w:b/>
          <w:color w:val="auto"/>
          <w:spacing w:val="0"/>
          <w:sz w:val="21"/>
          <w:szCs w:val="21"/>
          <w:highlight w:val="none"/>
        </w:rPr>
        <w:t>※</w:t>
      </w:r>
      <w:r>
        <w:rPr>
          <w:rFonts w:hint="eastAsia" w:hAnsi="宋体"/>
          <w:b/>
          <w:color w:val="auto"/>
          <w:spacing w:val="0"/>
          <w:sz w:val="21"/>
          <w:szCs w:val="21"/>
          <w:highlight w:val="none"/>
        </w:rPr>
        <w:t>）</w:t>
      </w:r>
    </w:p>
    <w:p>
      <w:pPr>
        <w:spacing w:line="440" w:lineRule="exact"/>
        <w:rPr>
          <w:rFonts w:hint="eastAsia" w:ascii="宋体" w:hAnsi="宋体"/>
          <w:bCs/>
          <w:color w:val="auto"/>
          <w:kern w:val="44"/>
          <w:highlight w:val="none"/>
        </w:rPr>
      </w:pPr>
    </w:p>
    <w:p>
      <w:pPr>
        <w:spacing w:line="440" w:lineRule="exact"/>
        <w:rPr>
          <w:rFonts w:hint="eastAsia" w:ascii="宋体" w:hAnsi="宋体"/>
          <w:bCs/>
          <w:color w:val="auto"/>
          <w:kern w:val="44"/>
          <w:highlight w:val="none"/>
        </w:rPr>
      </w:pPr>
    </w:p>
    <w:p>
      <w:pPr>
        <w:spacing w:line="440" w:lineRule="exact"/>
        <w:rPr>
          <w:rFonts w:hint="eastAsia" w:ascii="宋体" w:hAnsi="宋体"/>
          <w:bCs/>
          <w:color w:val="auto"/>
          <w:kern w:val="44"/>
          <w:highlight w:val="none"/>
        </w:rPr>
      </w:pPr>
    </w:p>
    <w:p>
      <w:pPr>
        <w:spacing w:line="440" w:lineRule="exact"/>
        <w:rPr>
          <w:rFonts w:hint="eastAsia" w:ascii="宋体" w:hAnsi="宋体"/>
          <w:bCs/>
          <w:color w:val="auto"/>
          <w:kern w:val="44"/>
          <w:highlight w:val="none"/>
        </w:rPr>
      </w:pPr>
    </w:p>
    <w:p>
      <w:pPr>
        <w:snapToGrid w:val="0"/>
        <w:spacing w:before="120" w:beforeLines="50" w:after="50" w:line="440" w:lineRule="exact"/>
        <w:rPr>
          <w:rFonts w:hint="eastAsia" w:ascii="宋体" w:hAnsi="宋体"/>
          <w:color w:val="auto"/>
          <w:highlight w:val="none"/>
        </w:rPr>
      </w:pPr>
      <w:r>
        <w:rPr>
          <w:rFonts w:hint="eastAsia" w:ascii="宋体" w:hAnsi="宋体"/>
          <w:b/>
          <w:color w:val="auto"/>
          <w:kern w:val="12"/>
          <w:highlight w:val="none"/>
        </w:rPr>
        <w:t>说明：授权代表</w:t>
      </w:r>
      <w:r>
        <w:rPr>
          <w:rFonts w:ascii="宋体" w:hAnsi="宋体"/>
          <w:b/>
          <w:color w:val="auto"/>
          <w:kern w:val="12"/>
          <w:highlight w:val="none"/>
        </w:rPr>
        <w:t>参</w:t>
      </w:r>
      <w:r>
        <w:rPr>
          <w:rFonts w:hint="eastAsia" w:ascii="宋体" w:hAnsi="宋体"/>
          <w:b/>
          <w:color w:val="auto"/>
          <w:kern w:val="12"/>
          <w:highlight w:val="none"/>
        </w:rPr>
        <w:t>加本招</w:t>
      </w:r>
      <w:r>
        <w:rPr>
          <w:rFonts w:ascii="宋体" w:hAnsi="宋体"/>
          <w:b/>
          <w:color w:val="auto"/>
          <w:kern w:val="12"/>
          <w:highlight w:val="none"/>
        </w:rPr>
        <w:t>标项目</w:t>
      </w:r>
      <w:r>
        <w:rPr>
          <w:rFonts w:hint="eastAsia" w:ascii="宋体" w:hAnsi="宋体"/>
          <w:b/>
          <w:color w:val="auto"/>
          <w:kern w:val="12"/>
          <w:highlight w:val="none"/>
        </w:rPr>
        <w:t>投</w:t>
      </w:r>
      <w:r>
        <w:rPr>
          <w:rFonts w:ascii="宋体" w:hAnsi="宋体"/>
          <w:b/>
          <w:color w:val="auto"/>
          <w:kern w:val="12"/>
          <w:highlight w:val="none"/>
        </w:rPr>
        <w:t>标</w:t>
      </w:r>
      <w:r>
        <w:rPr>
          <w:rFonts w:hint="eastAsia" w:ascii="宋体" w:hAnsi="宋体"/>
          <w:b/>
          <w:color w:val="auto"/>
          <w:kern w:val="12"/>
          <w:highlight w:val="none"/>
        </w:rPr>
        <w:t>的，</w:t>
      </w:r>
      <w:r>
        <w:rPr>
          <w:rFonts w:ascii="宋体" w:hAnsi="宋体"/>
          <w:b/>
          <w:color w:val="auto"/>
          <w:kern w:val="12"/>
          <w:highlight w:val="none"/>
        </w:rPr>
        <w:t>仅须</w:t>
      </w:r>
      <w:r>
        <w:rPr>
          <w:rFonts w:hint="eastAsia" w:ascii="宋体" w:hAnsi="宋体"/>
          <w:b/>
          <w:color w:val="auto"/>
          <w:kern w:val="12"/>
          <w:highlight w:val="none"/>
        </w:rPr>
        <w:t>提供此</w:t>
      </w:r>
      <w:r>
        <w:rPr>
          <w:rFonts w:ascii="宋体" w:hAnsi="宋体"/>
          <w:b/>
          <w:color w:val="auto"/>
          <w:kern w:val="12"/>
          <w:highlight w:val="none"/>
        </w:rPr>
        <w:t>证</w:t>
      </w:r>
      <w:r>
        <w:rPr>
          <w:rFonts w:hint="eastAsia" w:ascii="宋体" w:hAnsi="宋体"/>
          <w:b/>
          <w:color w:val="auto"/>
          <w:kern w:val="12"/>
          <w:highlight w:val="none"/>
        </w:rPr>
        <w:t>明</w:t>
      </w:r>
      <w:r>
        <w:rPr>
          <w:rFonts w:ascii="宋体" w:hAnsi="宋体"/>
          <w:b/>
          <w:color w:val="auto"/>
          <w:kern w:val="12"/>
          <w:highlight w:val="none"/>
        </w:rPr>
        <w:t>书</w:t>
      </w:r>
      <w:r>
        <w:rPr>
          <w:rFonts w:hint="eastAsia" w:ascii="宋体" w:hAnsi="宋体"/>
          <w:b/>
          <w:color w:val="auto"/>
          <w:kern w:val="12"/>
          <w:highlight w:val="none"/>
        </w:rPr>
        <w:t>。</w:t>
      </w:r>
    </w:p>
    <w:p>
      <w:pPr>
        <w:tabs>
          <w:tab w:val="left" w:pos="606"/>
        </w:tabs>
        <w:spacing w:line="440" w:lineRule="exact"/>
        <w:rPr>
          <w:rFonts w:hint="eastAsia" w:ascii="宋体" w:hAnsi="宋体"/>
          <w:b/>
          <w:color w:val="auto"/>
          <w:spacing w:val="20"/>
          <w:sz w:val="24"/>
          <w:highlight w:val="none"/>
        </w:rPr>
      </w:pPr>
    </w:p>
    <w:p>
      <w:pPr>
        <w:tabs>
          <w:tab w:val="left" w:pos="606"/>
        </w:tabs>
        <w:spacing w:line="440" w:lineRule="exact"/>
        <w:rPr>
          <w:rFonts w:hint="eastAsia" w:ascii="宋体" w:hAnsi="宋体"/>
          <w:b/>
          <w:color w:val="auto"/>
          <w:spacing w:val="20"/>
          <w:sz w:val="24"/>
          <w:highlight w:val="none"/>
        </w:rPr>
      </w:pPr>
    </w:p>
    <w:p>
      <w:pPr>
        <w:pStyle w:val="13"/>
        <w:snapToGrid w:val="0"/>
        <w:spacing w:before="295" w:beforeLines="0" w:after="295" w:afterLines="0" w:line="440" w:lineRule="exact"/>
        <w:jc w:val="center"/>
        <w:rPr>
          <w:rFonts w:hint="eastAsia" w:hAnsi="宋体"/>
          <w:b/>
          <w:color w:val="auto"/>
          <w:szCs w:val="22"/>
          <w:highlight w:val="none"/>
          <w:lang w:val="zh-CN" w:bidi="zh-CN"/>
        </w:rPr>
      </w:pPr>
      <w:r>
        <w:rPr>
          <w:rFonts w:hint="eastAsia" w:hAnsi="宋体"/>
          <w:color w:val="auto"/>
          <w:highlight w:val="none"/>
        </w:rPr>
        <w:br w:type="page"/>
      </w:r>
      <w:r>
        <w:rPr>
          <w:rFonts w:hint="eastAsia" w:hAnsi="宋体"/>
          <w:color w:val="auto"/>
          <w:highlight w:val="none"/>
        </w:rPr>
        <w:t>（五）</w:t>
      </w:r>
      <w:r>
        <w:rPr>
          <w:rFonts w:hint="eastAsia" w:hAnsi="宋体"/>
          <w:b/>
          <w:color w:val="auto"/>
          <w:szCs w:val="22"/>
          <w:highlight w:val="none"/>
          <w:lang w:val="zh-CN" w:bidi="zh-CN"/>
        </w:rPr>
        <w:t>投标</w:t>
      </w:r>
      <w:r>
        <w:rPr>
          <w:rFonts w:hint="eastAsia" w:hAnsi="宋体"/>
          <w:b/>
          <w:color w:val="auto"/>
          <w:szCs w:val="22"/>
          <w:highlight w:val="none"/>
          <w:lang w:bidi="zh-CN"/>
        </w:rPr>
        <w:t>人承诺</w:t>
      </w:r>
      <w:r>
        <w:rPr>
          <w:rFonts w:hint="eastAsia" w:hAnsi="宋体"/>
          <w:b/>
          <w:color w:val="auto"/>
          <w:szCs w:val="22"/>
          <w:highlight w:val="none"/>
          <w:lang w:val="zh-CN" w:bidi="zh-CN"/>
        </w:rPr>
        <w:t>书</w:t>
      </w:r>
    </w:p>
    <w:p>
      <w:pPr>
        <w:snapToGrid w:val="0"/>
        <w:spacing w:before="120" w:beforeLines="50" w:after="50"/>
        <w:rPr>
          <w:color w:val="auto"/>
          <w:highlight w:val="none"/>
        </w:rPr>
      </w:pPr>
    </w:p>
    <w:p>
      <w:pPr>
        <w:snapToGrid w:val="0"/>
        <w:spacing w:before="120" w:beforeLines="50" w:after="50"/>
        <w:rPr>
          <w:color w:val="auto"/>
          <w:highlight w:val="none"/>
        </w:rPr>
      </w:pPr>
      <w:r>
        <w:rPr>
          <w:rFonts w:hint="eastAsia"/>
          <w:color w:val="auto"/>
          <w:highlight w:val="none"/>
        </w:rPr>
        <w:t>致：（招标采购单位名称）：</w:t>
      </w:r>
    </w:p>
    <w:p>
      <w:pPr>
        <w:snapToGrid w:val="0"/>
        <w:spacing w:before="120" w:beforeLines="50" w:after="50"/>
        <w:ind w:firstLine="630" w:firstLineChars="300"/>
        <w:rPr>
          <w:color w:val="auto"/>
          <w:highlight w:val="none"/>
        </w:rPr>
      </w:pPr>
      <w:r>
        <w:rPr>
          <w:rFonts w:hint="eastAsia"/>
          <w:color w:val="auto"/>
          <w:highlight w:val="none"/>
          <w:u w:val="single"/>
        </w:rPr>
        <w:t>（投标人名称）</w:t>
      </w:r>
      <w:r>
        <w:rPr>
          <w:rFonts w:hint="eastAsia"/>
          <w:color w:val="auto"/>
          <w:highlight w:val="none"/>
        </w:rPr>
        <w:t>系中华人民共和国合法企业，经营地址</w:t>
      </w:r>
      <w:r>
        <w:rPr>
          <w:rFonts w:hint="eastAsia"/>
          <w:color w:val="auto"/>
          <w:highlight w:val="none"/>
          <w:u w:val="single"/>
        </w:rPr>
        <w:t xml:space="preserve">      </w:t>
      </w:r>
      <w:r>
        <w:rPr>
          <w:rFonts w:hint="eastAsia"/>
          <w:color w:val="auto"/>
          <w:highlight w:val="none"/>
        </w:rPr>
        <w:t>。</w:t>
      </w:r>
    </w:p>
    <w:p>
      <w:pPr>
        <w:snapToGrid w:val="0"/>
        <w:spacing w:before="120" w:beforeLines="50" w:after="50" w:line="360" w:lineRule="auto"/>
        <w:ind w:firstLine="645"/>
        <w:rPr>
          <w:color w:val="auto"/>
          <w:highlight w:val="none"/>
        </w:rPr>
      </w:pPr>
      <w:r>
        <w:rPr>
          <w:rFonts w:hint="eastAsia"/>
          <w:color w:val="auto"/>
          <w:highlight w:val="none"/>
          <w:u w:val="single"/>
        </w:rPr>
        <w:t>（姓名）</w:t>
      </w:r>
      <w:r>
        <w:rPr>
          <w:rFonts w:hint="eastAsia"/>
          <w:color w:val="auto"/>
          <w:highlight w:val="none"/>
        </w:rPr>
        <w:t>系</w:t>
      </w:r>
      <w:r>
        <w:rPr>
          <w:rFonts w:hint="eastAsia"/>
          <w:color w:val="auto"/>
          <w:highlight w:val="none"/>
          <w:u w:val="single"/>
        </w:rPr>
        <w:t>（投标人名称）</w:t>
      </w:r>
      <w:r>
        <w:rPr>
          <w:rFonts w:hint="eastAsia"/>
          <w:color w:val="auto"/>
          <w:highlight w:val="none"/>
        </w:rPr>
        <w:t>的法定代表人，我方愿意参加贵方组织的项目标段的投标，为便于贵方公正、择优地确定中标人及其投标产品和服务，我方就本次投标有关事项郑重承诺如下：</w:t>
      </w:r>
    </w:p>
    <w:p>
      <w:pPr>
        <w:snapToGrid w:val="0"/>
        <w:spacing w:after="40" w:afterLines="17" w:line="360" w:lineRule="auto"/>
        <w:ind w:firstLine="420" w:firstLineChars="200"/>
        <w:rPr>
          <w:color w:val="auto"/>
          <w:highlight w:val="none"/>
        </w:rPr>
      </w:pPr>
      <w:r>
        <w:rPr>
          <w:color w:val="auto"/>
          <w:highlight w:val="none"/>
        </w:rPr>
        <w:t>1.</w:t>
      </w:r>
      <w:r>
        <w:rPr>
          <w:rFonts w:hint="eastAsia"/>
          <w:color w:val="auto"/>
          <w:highlight w:val="none"/>
        </w:rPr>
        <w:t>我方向贵方提交的所有投标文件、资料都是准确的和真实的。</w:t>
      </w:r>
    </w:p>
    <w:p>
      <w:pPr>
        <w:snapToGrid w:val="0"/>
        <w:spacing w:line="360" w:lineRule="auto"/>
        <w:ind w:firstLine="420" w:firstLineChars="200"/>
        <w:rPr>
          <w:color w:val="auto"/>
          <w:highlight w:val="none"/>
        </w:rPr>
      </w:pPr>
      <w:r>
        <w:rPr>
          <w:color w:val="auto"/>
          <w:highlight w:val="none"/>
        </w:rPr>
        <w:t>2.</w:t>
      </w:r>
      <w:r>
        <w:rPr>
          <w:rFonts w:hint="eastAsia"/>
          <w:color w:val="auto"/>
          <w:highlight w:val="none"/>
        </w:rPr>
        <w:t>我方不是招标人的附属机构；在获知本项目采购信息后，与招标人聘请的为此项目提供咨询服务的公司及其附属机构没有任何联系。</w:t>
      </w:r>
    </w:p>
    <w:p>
      <w:pPr>
        <w:snapToGrid w:val="0"/>
        <w:spacing w:line="360" w:lineRule="auto"/>
        <w:ind w:firstLine="420" w:firstLineChars="200"/>
        <w:rPr>
          <w:rFonts w:hint="eastAsia"/>
          <w:color w:val="auto"/>
          <w:highlight w:val="none"/>
        </w:rPr>
      </w:pPr>
      <w:r>
        <w:rPr>
          <w:rFonts w:hint="eastAsia"/>
          <w:color w:val="auto"/>
          <w:highlight w:val="none"/>
        </w:rPr>
        <w:t>3.我方具有履行合同所必需的设备和专业技术能力；</w:t>
      </w:r>
    </w:p>
    <w:p>
      <w:pPr>
        <w:snapToGrid w:val="0"/>
        <w:spacing w:line="360" w:lineRule="auto"/>
        <w:ind w:firstLine="420" w:firstLineChars="200"/>
        <w:rPr>
          <w:rFonts w:hint="eastAsia"/>
          <w:color w:val="auto"/>
          <w:highlight w:val="none"/>
        </w:rPr>
      </w:pPr>
      <w:r>
        <w:rPr>
          <w:rFonts w:hint="eastAsia"/>
          <w:color w:val="auto"/>
          <w:highlight w:val="none"/>
        </w:rPr>
        <w:t>4.我方参加政府采购活动前3年内在经营活动中没有重大违法记录；</w:t>
      </w:r>
    </w:p>
    <w:p>
      <w:pPr>
        <w:snapToGrid w:val="0"/>
        <w:spacing w:line="360" w:lineRule="auto"/>
        <w:ind w:firstLine="420" w:firstLineChars="200"/>
        <w:rPr>
          <w:rFonts w:hint="eastAsia"/>
          <w:color w:val="auto"/>
          <w:highlight w:val="none"/>
        </w:rPr>
      </w:pPr>
      <w:r>
        <w:rPr>
          <w:rFonts w:hint="eastAsia"/>
          <w:color w:val="auto"/>
          <w:highlight w:val="none"/>
        </w:rPr>
        <w:t>5.我单位符合以下条件：</w:t>
      </w:r>
    </w:p>
    <w:p>
      <w:pPr>
        <w:snapToGrid w:val="0"/>
        <w:spacing w:line="360" w:lineRule="auto"/>
        <w:ind w:firstLine="630" w:firstLineChars="300"/>
        <w:rPr>
          <w:rFonts w:hint="eastAsia"/>
          <w:color w:val="auto"/>
          <w:highlight w:val="none"/>
        </w:rPr>
      </w:pPr>
      <w:r>
        <w:rPr>
          <w:rFonts w:hint="eastAsia"/>
          <w:color w:val="auto"/>
          <w:highlight w:val="none"/>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napToGrid w:val="0"/>
        <w:spacing w:line="360" w:lineRule="auto"/>
        <w:ind w:firstLine="630" w:firstLineChars="300"/>
        <w:rPr>
          <w:rFonts w:hint="eastAsia"/>
          <w:color w:val="auto"/>
          <w:highlight w:val="none"/>
        </w:rPr>
      </w:pPr>
      <w:r>
        <w:rPr>
          <w:rFonts w:hint="eastAsia"/>
          <w:color w:val="auto"/>
          <w:highlight w:val="none"/>
        </w:rPr>
        <w:t>2）我单位及我单位法定代表人均无行贿犯罪记录。</w:t>
      </w:r>
    </w:p>
    <w:p>
      <w:pPr>
        <w:snapToGrid w:val="0"/>
        <w:spacing w:line="360" w:lineRule="auto"/>
        <w:ind w:firstLine="420" w:firstLineChars="200"/>
        <w:rPr>
          <w:color w:val="auto"/>
          <w:highlight w:val="none"/>
        </w:rPr>
      </w:pPr>
      <w:r>
        <w:rPr>
          <w:rFonts w:hint="eastAsia"/>
          <w:color w:val="auto"/>
          <w:highlight w:val="none"/>
        </w:rPr>
        <w:t>6</w:t>
      </w:r>
      <w:r>
        <w:rPr>
          <w:color w:val="auto"/>
          <w:highlight w:val="none"/>
        </w:rPr>
        <w:t>.</w:t>
      </w:r>
      <w:r>
        <w:rPr>
          <w:rFonts w:hint="eastAsia"/>
          <w:color w:val="auto"/>
          <w:highlight w:val="none"/>
        </w:rPr>
        <w:t>以上事项如有虚假或隐瞒，我方愿意承担一切后果，并不再寻求任何旨在减轻或免除法律责任的辩解。</w:t>
      </w:r>
    </w:p>
    <w:p>
      <w:pPr>
        <w:pStyle w:val="11"/>
        <w:tabs>
          <w:tab w:val="left" w:pos="939"/>
        </w:tabs>
        <w:snapToGrid w:val="0"/>
        <w:spacing w:line="360" w:lineRule="auto"/>
        <w:ind w:left="716" w:leftChars="150" w:hanging="401" w:hangingChars="191"/>
        <w:rPr>
          <w:color w:val="auto"/>
          <w:highlight w:val="none"/>
        </w:rPr>
      </w:pPr>
    </w:p>
    <w:p>
      <w:pPr>
        <w:pStyle w:val="66"/>
        <w:snapToGrid w:val="0"/>
        <w:spacing w:before="120" w:beforeLines="50" w:line="360" w:lineRule="auto"/>
        <w:ind w:firstLine="200"/>
        <w:rPr>
          <w:rFonts w:ascii="宋体" w:cs="Times New Roman"/>
          <w:color w:val="auto"/>
          <w:sz w:val="21"/>
          <w:szCs w:val="21"/>
          <w:highlight w:val="none"/>
        </w:rPr>
      </w:pPr>
    </w:p>
    <w:p>
      <w:pPr>
        <w:snapToGrid w:val="0"/>
        <w:spacing w:before="50" w:after="50" w:line="440" w:lineRule="exact"/>
        <w:ind w:left="-21" w:leftChars="-72" w:right="-817" w:rightChars="-389" w:hanging="130" w:hangingChars="62"/>
        <w:rPr>
          <w:rFonts w:hint="eastAsia" w:ascii="宋体" w:hAnsi="宋体" w:cs="宋体"/>
          <w:color w:val="auto"/>
          <w:highlight w:val="none"/>
        </w:rPr>
      </w:pPr>
      <w:r>
        <w:rPr>
          <w:rFonts w:hint="eastAsia" w:ascii="宋体" w:hAnsi="宋体" w:cs="宋体"/>
          <w:color w:val="auto"/>
          <w:highlight w:val="none"/>
        </w:rPr>
        <w:t>投标人名称（盖章）：</w:t>
      </w:r>
    </w:p>
    <w:p>
      <w:pPr>
        <w:snapToGrid w:val="0"/>
        <w:spacing w:before="50" w:after="50" w:line="440" w:lineRule="exact"/>
        <w:ind w:left="-21" w:leftChars="-72" w:right="-817" w:rightChars="-389" w:hanging="130" w:hangingChars="62"/>
        <w:rPr>
          <w:rFonts w:hint="eastAsia" w:ascii="宋体" w:hAnsi="宋体" w:cs="宋体"/>
          <w:color w:val="auto"/>
          <w:highlight w:val="none"/>
        </w:rPr>
      </w:pPr>
      <w:r>
        <w:rPr>
          <w:rFonts w:hint="eastAsia" w:ascii="宋体" w:hAnsi="宋体" w:cs="宋体"/>
          <w:color w:val="auto"/>
          <w:highlight w:val="none"/>
        </w:rPr>
        <w:t>法定代表人或授权代表（签字或盖章）：</w:t>
      </w:r>
    </w:p>
    <w:p>
      <w:pPr>
        <w:snapToGrid w:val="0"/>
        <w:spacing w:before="50" w:after="50" w:line="440" w:lineRule="exact"/>
        <w:ind w:left="-21" w:leftChars="-72" w:right="-817" w:rightChars="-389" w:hanging="130" w:hangingChars="62"/>
        <w:rPr>
          <w:rFonts w:hint="eastAsia"/>
          <w:color w:val="auto"/>
          <w:highlight w:val="none"/>
        </w:rPr>
      </w:pPr>
      <w:r>
        <w:rPr>
          <w:rFonts w:hint="eastAsia"/>
          <w:color w:val="auto"/>
          <w:highlight w:val="none"/>
        </w:rPr>
        <w:t>日期：</w:t>
      </w:r>
    </w:p>
    <w:p>
      <w:pPr>
        <w:pStyle w:val="13"/>
        <w:snapToGrid w:val="0"/>
        <w:spacing w:before="295" w:beforeLines="0" w:after="295" w:afterLines="0" w:line="440" w:lineRule="exact"/>
        <w:rPr>
          <w:rFonts w:hint="eastAsia" w:hAnsi="Times New Roman" w:cs="Times New Roman"/>
          <w:color w:val="auto"/>
          <w:szCs w:val="21"/>
          <w:highlight w:val="none"/>
        </w:rPr>
      </w:pPr>
    </w:p>
    <w:p>
      <w:pPr>
        <w:widowControl/>
        <w:spacing w:line="360" w:lineRule="auto"/>
        <w:jc w:val="center"/>
        <w:rPr>
          <w:rFonts w:hint="eastAsia" w:ascii="宋体" w:hAnsi="宋体" w:cs="宋体"/>
          <w:b/>
          <w:color w:val="auto"/>
          <w:sz w:val="24"/>
          <w:szCs w:val="22"/>
          <w:highlight w:val="none"/>
          <w:lang w:val="zh-CN" w:bidi="zh-CN"/>
        </w:rPr>
      </w:pPr>
    </w:p>
    <w:p>
      <w:pPr>
        <w:widowControl/>
        <w:spacing w:line="360" w:lineRule="auto"/>
        <w:jc w:val="center"/>
        <w:rPr>
          <w:rFonts w:hint="eastAsia" w:ascii="宋体" w:hAnsi="宋体" w:cs="宋体"/>
          <w:b/>
          <w:color w:val="auto"/>
          <w:sz w:val="24"/>
          <w:szCs w:val="22"/>
          <w:highlight w:val="none"/>
          <w:lang w:val="zh-CN" w:bidi="zh-CN"/>
        </w:rPr>
      </w:pPr>
    </w:p>
    <w:p>
      <w:pPr>
        <w:widowControl/>
        <w:spacing w:line="360" w:lineRule="auto"/>
        <w:jc w:val="center"/>
        <w:rPr>
          <w:rFonts w:hint="eastAsia" w:ascii="宋体" w:hAnsi="宋体" w:cs="宋体"/>
          <w:b/>
          <w:color w:val="auto"/>
          <w:sz w:val="24"/>
          <w:szCs w:val="22"/>
          <w:highlight w:val="none"/>
          <w:lang w:val="zh-CN" w:bidi="zh-CN"/>
        </w:rPr>
      </w:pPr>
    </w:p>
    <w:p>
      <w:pPr>
        <w:widowControl/>
        <w:spacing w:line="360" w:lineRule="auto"/>
        <w:jc w:val="center"/>
        <w:rPr>
          <w:rFonts w:hint="eastAsia" w:ascii="宋体" w:hAnsi="宋体" w:cs="宋体"/>
          <w:b/>
          <w:color w:val="auto"/>
          <w:sz w:val="24"/>
          <w:szCs w:val="22"/>
          <w:highlight w:val="none"/>
          <w:lang w:val="zh-CN" w:bidi="zh-CN"/>
        </w:rPr>
      </w:pPr>
    </w:p>
    <w:p>
      <w:pPr>
        <w:widowControl/>
        <w:spacing w:line="360" w:lineRule="auto"/>
        <w:jc w:val="center"/>
        <w:rPr>
          <w:rFonts w:hint="eastAsia" w:ascii="宋体" w:hAnsi="宋体" w:cs="宋体"/>
          <w:b/>
          <w:color w:val="auto"/>
          <w:sz w:val="24"/>
          <w:szCs w:val="22"/>
          <w:highlight w:val="none"/>
          <w:lang w:val="zh-CN" w:bidi="zh-CN"/>
        </w:rPr>
      </w:pPr>
      <w:r>
        <w:rPr>
          <w:rFonts w:hint="eastAsia" w:ascii="宋体" w:hAnsi="宋体" w:cs="宋体"/>
          <w:b/>
          <w:color w:val="auto"/>
          <w:sz w:val="24"/>
          <w:szCs w:val="22"/>
          <w:highlight w:val="none"/>
          <w:lang w:val="zh-CN" w:bidi="zh-CN"/>
        </w:rPr>
        <w:br w:type="page"/>
      </w:r>
      <w:r>
        <w:rPr>
          <w:rFonts w:hint="eastAsia" w:ascii="宋体" w:hAnsi="宋体" w:cs="宋体"/>
          <w:b/>
          <w:color w:val="auto"/>
          <w:sz w:val="24"/>
          <w:szCs w:val="22"/>
          <w:highlight w:val="none"/>
          <w:lang w:val="zh-CN" w:bidi="zh-CN"/>
        </w:rPr>
        <w:t>（</w:t>
      </w:r>
      <w:r>
        <w:rPr>
          <w:rFonts w:hint="eastAsia" w:ascii="宋体" w:hAnsi="宋体" w:cs="宋体"/>
          <w:b/>
          <w:color w:val="auto"/>
          <w:sz w:val="24"/>
          <w:szCs w:val="22"/>
          <w:highlight w:val="none"/>
          <w:lang w:bidi="zh-CN"/>
        </w:rPr>
        <w:t>六</w:t>
      </w:r>
      <w:r>
        <w:rPr>
          <w:rFonts w:hint="eastAsia" w:ascii="宋体" w:hAnsi="宋体" w:cs="宋体"/>
          <w:b/>
          <w:color w:val="auto"/>
          <w:sz w:val="24"/>
          <w:szCs w:val="22"/>
          <w:highlight w:val="none"/>
          <w:lang w:val="zh-CN" w:bidi="zh-CN"/>
        </w:rPr>
        <w:t>）商务条款响应偏离表</w:t>
      </w:r>
    </w:p>
    <w:p>
      <w:pPr>
        <w:widowControl/>
        <w:spacing w:line="360" w:lineRule="auto"/>
        <w:rPr>
          <w:rFonts w:ascii="宋体" w:hAnsi="宋体" w:cs="宋体"/>
          <w:color w:val="auto"/>
          <w:kern w:val="1"/>
          <w:sz w:val="24"/>
          <w:highlight w:val="none"/>
        </w:rPr>
      </w:pPr>
      <w:r>
        <w:rPr>
          <w:rFonts w:ascii="宋体" w:hAnsi="宋体" w:cs="宋体"/>
          <w:color w:val="auto"/>
          <w:kern w:val="1"/>
          <w:highlight w:val="none"/>
        </w:rPr>
        <w:t xml:space="preserve"> 项目名称：</w:t>
      </w:r>
      <w:r>
        <w:rPr>
          <w:rFonts w:ascii="宋体" w:hAnsi="宋体" w:cs="宋体"/>
          <w:color w:val="auto"/>
          <w:kern w:val="1"/>
          <w:highlight w:val="none"/>
          <w:u w:val="single"/>
        </w:rPr>
        <w:t xml:space="preserve">                               </w:t>
      </w:r>
      <w:r>
        <w:rPr>
          <w:rFonts w:ascii="宋体" w:hAnsi="宋体" w:cs="宋体"/>
          <w:color w:val="auto"/>
          <w:kern w:val="1"/>
          <w:highlight w:val="none"/>
        </w:rPr>
        <w:t xml:space="preserve"> 项目编号：</w:t>
      </w:r>
      <w:r>
        <w:rPr>
          <w:rFonts w:ascii="宋体" w:hAnsi="宋体" w:cs="宋体"/>
          <w:color w:val="auto"/>
          <w:kern w:val="1"/>
          <w:highlight w:val="none"/>
          <w:u w:val="single"/>
        </w:rPr>
        <w:t xml:space="preserve">          </w:t>
      </w:r>
      <w:r>
        <w:rPr>
          <w:rFonts w:ascii="宋体" w:hAnsi="宋体" w:cs="宋体"/>
          <w:color w:val="auto"/>
          <w:kern w:val="1"/>
          <w:sz w:val="24"/>
          <w:highlight w:val="none"/>
          <w:u w:val="single"/>
        </w:rPr>
        <w:t xml:space="preserve"> </w:t>
      </w:r>
    </w:p>
    <w:tbl>
      <w:tblPr>
        <w:tblStyle w:val="26"/>
        <w:tblW w:w="9958" w:type="dxa"/>
        <w:jc w:val="center"/>
        <w:tblLayout w:type="fixed"/>
        <w:tblCellMar>
          <w:top w:w="0" w:type="dxa"/>
          <w:left w:w="108" w:type="dxa"/>
          <w:bottom w:w="0" w:type="dxa"/>
          <w:right w:w="108" w:type="dxa"/>
        </w:tblCellMar>
      </w:tblPr>
      <w:tblGrid>
        <w:gridCol w:w="1945"/>
        <w:gridCol w:w="4284"/>
        <w:gridCol w:w="2435"/>
        <w:gridCol w:w="1294"/>
      </w:tblGrid>
      <w:tr>
        <w:tblPrEx>
          <w:tblCellMar>
            <w:top w:w="0" w:type="dxa"/>
            <w:left w:w="108" w:type="dxa"/>
            <w:bottom w:w="0" w:type="dxa"/>
            <w:right w:w="108" w:type="dxa"/>
          </w:tblCellMar>
        </w:tblPrEx>
        <w:trPr>
          <w:trHeight w:val="90" w:hRule="atLeast"/>
          <w:jc w:val="center"/>
        </w:trPr>
        <w:tc>
          <w:tcPr>
            <w:tcW w:w="1945" w:type="dxa"/>
            <w:tcBorders>
              <w:top w:val="single" w:color="000000" w:sz="12" w:space="0"/>
              <w:left w:val="single" w:color="000000" w:sz="12" w:space="0"/>
              <w:bottom w:val="single" w:color="000000" w:sz="4" w:space="0"/>
              <w:right w:val="single" w:color="000000" w:sz="4" w:space="0"/>
            </w:tcBorders>
            <w:noWrap w:val="0"/>
            <w:vAlign w:val="center"/>
          </w:tcPr>
          <w:p>
            <w:pPr>
              <w:spacing w:line="400" w:lineRule="exact"/>
              <w:jc w:val="center"/>
              <w:rPr>
                <w:rFonts w:ascii="宋体" w:hAnsi="宋体" w:cs="宋体"/>
                <w:b/>
                <w:color w:val="auto"/>
                <w:kern w:val="1"/>
                <w:highlight w:val="none"/>
              </w:rPr>
            </w:pPr>
            <w:r>
              <w:rPr>
                <w:rFonts w:hint="eastAsia" w:ascii="宋体" w:hAnsi="宋体" w:cs="宋体"/>
                <w:b/>
                <w:color w:val="auto"/>
                <w:kern w:val="1"/>
                <w:highlight w:val="none"/>
              </w:rPr>
              <w:t>项目</w:t>
            </w:r>
          </w:p>
        </w:tc>
        <w:tc>
          <w:tcPr>
            <w:tcW w:w="4284" w:type="dxa"/>
            <w:tcBorders>
              <w:top w:val="single" w:color="000000" w:sz="12"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b/>
                <w:bCs/>
                <w:color w:val="auto"/>
                <w:kern w:val="1"/>
                <w:highlight w:val="none"/>
              </w:rPr>
            </w:pPr>
            <w:r>
              <w:rPr>
                <w:rFonts w:hint="eastAsia" w:ascii="宋体" w:hAnsi="宋体"/>
                <w:b/>
                <w:bCs/>
                <w:color w:val="auto"/>
                <w:highlight w:val="none"/>
              </w:rPr>
              <w:t>招标</w:t>
            </w:r>
            <w:r>
              <w:rPr>
                <w:b/>
                <w:bCs/>
                <w:color w:val="auto"/>
                <w:highlight w:val="none"/>
              </w:rPr>
              <w:t>文件的</w:t>
            </w:r>
            <w:r>
              <w:rPr>
                <w:rFonts w:hint="eastAsia"/>
                <w:b/>
                <w:bCs/>
                <w:color w:val="auto"/>
                <w:highlight w:val="none"/>
              </w:rPr>
              <w:t>商务</w:t>
            </w:r>
            <w:r>
              <w:rPr>
                <w:b/>
                <w:bCs/>
                <w:color w:val="auto"/>
                <w:highlight w:val="none"/>
              </w:rPr>
              <w:t>条款</w:t>
            </w:r>
          </w:p>
        </w:tc>
        <w:tc>
          <w:tcPr>
            <w:tcW w:w="2435" w:type="dxa"/>
            <w:tcBorders>
              <w:top w:val="single" w:color="000000" w:sz="12"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b/>
                <w:bCs/>
                <w:color w:val="auto"/>
                <w:kern w:val="1"/>
                <w:highlight w:val="none"/>
              </w:rPr>
            </w:pPr>
            <w:r>
              <w:rPr>
                <w:b/>
                <w:bCs/>
                <w:color w:val="auto"/>
                <w:highlight w:val="none"/>
              </w:rPr>
              <w:t>响应文件的响应情况</w:t>
            </w:r>
          </w:p>
        </w:tc>
        <w:tc>
          <w:tcPr>
            <w:tcW w:w="1294" w:type="dxa"/>
            <w:tcBorders>
              <w:top w:val="single" w:color="000000" w:sz="12"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b/>
                <w:bCs/>
                <w:color w:val="auto"/>
                <w:kern w:val="1"/>
                <w:highlight w:val="none"/>
              </w:rPr>
            </w:pPr>
            <w:r>
              <w:rPr>
                <w:b/>
                <w:bCs/>
                <w:color w:val="auto"/>
                <w:highlight w:val="none"/>
              </w:rPr>
              <w:t>偏离情况</w:t>
            </w:r>
          </w:p>
        </w:tc>
      </w:tr>
      <w:tr>
        <w:tblPrEx>
          <w:tblCellMar>
            <w:top w:w="0" w:type="dxa"/>
            <w:left w:w="108" w:type="dxa"/>
            <w:bottom w:w="0" w:type="dxa"/>
            <w:right w:w="108" w:type="dxa"/>
          </w:tblCellMar>
        </w:tblPrEx>
        <w:trPr>
          <w:trHeight w:val="676"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ascii="宋体" w:hAnsi="宋体" w:cs="宋体"/>
                <w:color w:val="auto"/>
                <w:kern w:val="1"/>
                <w:highlight w:val="none"/>
              </w:rPr>
            </w:pPr>
            <w:r>
              <w:rPr>
                <w:rFonts w:hint="eastAsia" w:ascii="宋体" w:hAnsi="宋体"/>
                <w:color w:val="auto"/>
                <w:highlight w:val="none"/>
              </w:rPr>
              <w:t>投标有效期</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cs="宋体"/>
                <w:color w:val="auto"/>
                <w:kern w:val="1"/>
                <w:highlight w:val="none"/>
              </w:rPr>
            </w:pPr>
            <w:r>
              <w:rPr>
                <w:rFonts w:hint="eastAsia" w:ascii="宋体" w:hAnsi="宋体"/>
                <w:color w:val="auto"/>
                <w:highlight w:val="none"/>
              </w:rPr>
              <w:t>自投标截止日起90天投标文件应保持有效</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854"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ascii="宋体" w:hAnsi="宋体" w:cs="宋体"/>
                <w:color w:val="auto"/>
                <w:kern w:val="1"/>
                <w:highlight w:val="none"/>
              </w:rPr>
            </w:pPr>
            <w:r>
              <w:rPr>
                <w:rFonts w:hint="eastAsia" w:ascii="宋体" w:hAnsi="宋体"/>
                <w:color w:val="auto"/>
                <w:highlight w:val="none"/>
              </w:rPr>
              <w:t>履约保证金</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highlight w:val="none"/>
              </w:rPr>
            </w:pPr>
            <w:r>
              <w:rPr>
                <w:rFonts w:hint="eastAsia"/>
                <w:color w:val="auto"/>
                <w:highlight w:val="none"/>
              </w:rPr>
              <w:t>1、金额：合同金额的</w:t>
            </w:r>
            <w:r>
              <w:rPr>
                <w:rFonts w:hint="eastAsia"/>
                <w:color w:val="auto"/>
                <w:highlight w:val="none"/>
                <w:lang w:val="en-US" w:eastAsia="zh-CN"/>
              </w:rPr>
              <w:t>2.5</w:t>
            </w:r>
            <w:r>
              <w:rPr>
                <w:rFonts w:hint="eastAsia"/>
                <w:color w:val="auto"/>
                <w:highlight w:val="none"/>
              </w:rPr>
              <w:t>%计收。</w:t>
            </w:r>
          </w:p>
          <w:p>
            <w:pPr>
              <w:rPr>
                <w:rFonts w:ascii="宋体" w:hAnsi="宋体" w:cs="宋体"/>
                <w:color w:val="auto"/>
                <w:kern w:val="1"/>
                <w:highlight w:val="none"/>
              </w:rPr>
            </w:pPr>
            <w:r>
              <w:rPr>
                <w:rFonts w:hint="eastAsia"/>
                <w:color w:val="auto"/>
                <w:highlight w:val="none"/>
              </w:rPr>
              <w:t>2、形式：电汇、网银、银行保函（采购人认可的银行开具的保函）、保险保单等。</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543"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ascii="宋体" w:hAnsi="宋体" w:cs="宋体"/>
                <w:color w:val="auto"/>
                <w:kern w:val="1"/>
                <w:highlight w:val="none"/>
              </w:rPr>
            </w:pPr>
            <w:r>
              <w:rPr>
                <w:rFonts w:hint="eastAsia"/>
                <w:color w:val="auto"/>
                <w:highlight w:val="none"/>
              </w:rPr>
              <w:t>服务</w:t>
            </w:r>
            <w:r>
              <w:rPr>
                <w:rFonts w:hint="eastAsia" w:ascii="宋体" w:hAnsi="宋体"/>
                <w:color w:val="auto"/>
                <w:highlight w:val="none"/>
              </w:rPr>
              <w:t>期限</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auto"/>
                <w:kern w:val="1"/>
                <w:highlight w:val="none"/>
              </w:rPr>
            </w:pPr>
            <w:r>
              <w:rPr>
                <w:rFonts w:hint="eastAsia" w:hAnsi="宋体" w:cs="宋体"/>
                <w:color w:val="auto"/>
                <w:sz w:val="22"/>
                <w:szCs w:val="22"/>
                <w:highlight w:val="none"/>
              </w:rPr>
              <w:t>三年</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1596"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ascii="宋体" w:hAnsi="宋体" w:cs="宋体"/>
                <w:color w:val="auto"/>
                <w:kern w:val="1"/>
                <w:highlight w:val="none"/>
              </w:rPr>
            </w:pPr>
            <w:r>
              <w:rPr>
                <w:rFonts w:hint="eastAsia" w:ascii="宋体" w:hAnsi="宋体"/>
                <w:color w:val="auto"/>
                <w:highlight w:val="none"/>
              </w:rPr>
              <w:t>付款</w:t>
            </w:r>
            <w:r>
              <w:rPr>
                <w:rFonts w:hint="eastAsia"/>
                <w:color w:val="auto"/>
                <w:highlight w:val="none"/>
              </w:rPr>
              <w:t>方式</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color w:val="auto"/>
                <w:kern w:val="1"/>
                <w:highlight w:val="none"/>
              </w:rPr>
            </w:pPr>
            <w:r>
              <w:rPr>
                <w:rFonts w:hint="eastAsia" w:ascii="宋体" w:hAnsi="宋体" w:cs="宋体"/>
                <w:color w:val="auto"/>
                <w:sz w:val="22"/>
                <w:szCs w:val="22"/>
                <w:highlight w:val="none"/>
              </w:rPr>
              <w:t>本项目服务费根据街道月度考核结果按季核拨。考核满分为100分，考核内容分为环境卫生保洁、绿化养护、管养、市容秩序辅助管理四个部分，每部分满分均为100分，各部分得分占考核分数比重为50%、10%、20%、20%。考核月得分在90分及以上的服务费全额发放；月得分在80分（含80分）—90分的服务费按每扣一分扣服务费1000元；月得分在75分（含75分）—80分的服务费按90%发放，月得分在75分以下的服务费按70%发放。每查实一次按扣分标准扣分，上不封顶。区级媒体负面曝光，领导通报批评，一次性扣2分并扣服务费15000元，市级及以上媒体负面曝光，领导通报批评，一次性扣5分并扣25000元，区级媒体正面报道，领导有批示的经验推广类的加2分，奖励10000元，市级媒体正面报道，领导有批示的经验推广类的加5分，奖励20000元。连续两个季度90分以上的增发当季度2%的应发服务费，连续三个季度90分以上的增发当季度3%的应发服务费，连续四个季度90分以上的增发当季度4%的应发服务费。按月结算，从季度拨付款中扣除。</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571"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hint="eastAsia" w:ascii="宋体" w:hAnsi="宋体"/>
                <w:color w:val="auto"/>
                <w:highlight w:val="none"/>
              </w:rPr>
            </w:pPr>
            <w:r>
              <w:rPr>
                <w:rFonts w:hint="eastAsia" w:ascii="宋体" w:hAnsi="宋体" w:cs="宋体"/>
                <w:color w:val="auto"/>
                <w:highlight w:val="none"/>
              </w:rPr>
              <w:t>合同条款</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color w:val="auto"/>
                <w:sz w:val="22"/>
                <w:szCs w:val="22"/>
                <w:highlight w:val="none"/>
              </w:rPr>
            </w:pPr>
            <w:r>
              <w:rPr>
                <w:rFonts w:hint="eastAsia" w:ascii="宋体" w:hAnsi="宋体" w:cs="宋体"/>
                <w:color w:val="auto"/>
                <w:highlight w:val="none"/>
              </w:rPr>
              <w:t>详见招标文件第五章</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571"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hint="eastAsia" w:ascii="宋体" w:hAnsi="宋体" w:cs="宋体"/>
                <w:color w:val="auto"/>
                <w:highlight w:val="none"/>
              </w:rPr>
            </w:pPr>
            <w:r>
              <w:rPr>
                <w:rFonts w:hint="eastAsia" w:ascii="宋体" w:hAnsi="宋体" w:cs="宋体"/>
                <w:color w:val="auto"/>
                <w:highlight w:val="none"/>
              </w:rPr>
              <w:t>合同签订时间</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中标通知书发出之日起30天内签订合同</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r>
        <w:tblPrEx>
          <w:tblCellMar>
            <w:top w:w="0" w:type="dxa"/>
            <w:left w:w="108" w:type="dxa"/>
            <w:bottom w:w="0" w:type="dxa"/>
            <w:right w:w="108" w:type="dxa"/>
          </w:tblCellMar>
        </w:tblPrEx>
        <w:trPr>
          <w:trHeight w:val="614" w:hRule="atLeast"/>
          <w:jc w:val="center"/>
        </w:trPr>
        <w:tc>
          <w:tcPr>
            <w:tcW w:w="1945" w:type="dxa"/>
            <w:tcBorders>
              <w:top w:val="single" w:color="000000" w:sz="4" w:space="0"/>
              <w:left w:val="single" w:color="000000" w:sz="12" w:space="0"/>
              <w:bottom w:val="single" w:color="000000" w:sz="4" w:space="0"/>
              <w:right w:val="single" w:color="000000" w:sz="4" w:space="0"/>
            </w:tcBorders>
            <w:noWrap w:val="0"/>
            <w:vAlign w:val="center"/>
          </w:tcPr>
          <w:p>
            <w:pPr>
              <w:snapToGrid w:val="0"/>
              <w:rPr>
                <w:rFonts w:ascii="宋体" w:hAnsi="宋体" w:cs="宋体"/>
                <w:color w:val="auto"/>
                <w:kern w:val="1"/>
                <w:highlight w:val="none"/>
              </w:rPr>
            </w:pPr>
            <w:r>
              <w:rPr>
                <w:rFonts w:hint="eastAsia" w:ascii="宋体" w:hAnsi="宋体"/>
                <w:color w:val="auto"/>
                <w:highlight w:val="none"/>
              </w:rPr>
              <w:t>其他商务条款</w:t>
            </w:r>
          </w:p>
        </w:tc>
        <w:tc>
          <w:tcPr>
            <w:tcW w:w="428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napToGrid w:val="0"/>
              <w:jc w:val="center"/>
              <w:textAlignment w:val="bottom"/>
              <w:rPr>
                <w:rFonts w:ascii="宋体" w:hAnsi="宋体" w:cs="宋体"/>
                <w:color w:val="auto"/>
                <w:kern w:val="1"/>
                <w:highlight w:val="none"/>
              </w:rPr>
            </w:pPr>
            <w:r>
              <w:rPr>
                <w:rFonts w:ascii="宋体" w:hAnsi="宋体"/>
                <w:color w:val="auto"/>
                <w:highlight w:val="none"/>
              </w:rPr>
              <w:t>符合</w:t>
            </w:r>
            <w:r>
              <w:rPr>
                <w:rFonts w:hint="eastAsia" w:ascii="宋体" w:hAnsi="宋体"/>
                <w:color w:val="auto"/>
                <w:highlight w:val="none"/>
              </w:rPr>
              <w:t>采购文件</w:t>
            </w:r>
            <w:r>
              <w:rPr>
                <w:rFonts w:ascii="宋体" w:hAnsi="宋体"/>
                <w:color w:val="auto"/>
                <w:highlight w:val="none"/>
              </w:rPr>
              <w:t>相应要求</w:t>
            </w:r>
          </w:p>
        </w:tc>
        <w:tc>
          <w:tcPr>
            <w:tcW w:w="243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kern w:val="1"/>
                <w:highlight w:val="none"/>
              </w:rPr>
            </w:pPr>
          </w:p>
        </w:tc>
        <w:tc>
          <w:tcPr>
            <w:tcW w:w="1294" w:type="dxa"/>
            <w:tcBorders>
              <w:top w:val="single" w:color="000000" w:sz="4" w:space="0"/>
              <w:left w:val="single" w:color="000000" w:sz="4" w:space="0"/>
              <w:bottom w:val="single" w:color="000000" w:sz="4" w:space="0"/>
              <w:right w:val="single" w:color="000000" w:sz="12" w:space="0"/>
            </w:tcBorders>
            <w:noWrap w:val="0"/>
            <w:vAlign w:val="center"/>
          </w:tcPr>
          <w:p>
            <w:pPr>
              <w:spacing w:line="400" w:lineRule="exact"/>
              <w:jc w:val="center"/>
              <w:rPr>
                <w:rFonts w:ascii="宋体" w:hAnsi="宋体" w:cs="宋体"/>
                <w:color w:val="auto"/>
                <w:kern w:val="1"/>
                <w:highlight w:val="none"/>
              </w:rPr>
            </w:pPr>
          </w:p>
        </w:tc>
      </w:tr>
    </w:tbl>
    <w:p>
      <w:pPr>
        <w:rPr>
          <w:rFonts w:ascii="宋体" w:hAnsi="宋体" w:cs="宋体"/>
          <w:color w:val="auto"/>
          <w:kern w:val="1"/>
          <w:highlight w:val="none"/>
        </w:rPr>
      </w:pPr>
      <w:r>
        <w:rPr>
          <w:rFonts w:hint="eastAsia" w:ascii="宋体" w:hAnsi="宋体" w:cs="宋体"/>
          <w:color w:val="auto"/>
          <w:kern w:val="1"/>
          <w:highlight w:val="none"/>
        </w:rPr>
        <w:t>注：在“偏离情况”栏注明“正偏离”、“负偏离”或“无偏离”。</w:t>
      </w:r>
    </w:p>
    <w:p>
      <w:pPr>
        <w:rPr>
          <w:rFonts w:ascii="宋体" w:hAnsi="宋体" w:cs="宋体"/>
          <w:color w:val="auto"/>
          <w:kern w:val="1"/>
          <w:highlight w:val="none"/>
        </w:rPr>
      </w:pPr>
    </w:p>
    <w:p>
      <w:pPr>
        <w:snapToGrid w:val="0"/>
        <w:spacing w:before="50" w:after="50" w:line="440" w:lineRule="exact"/>
        <w:ind w:left="-21" w:leftChars="-72" w:right="-817" w:rightChars="-389" w:hanging="130" w:hangingChars="62"/>
        <w:rPr>
          <w:rFonts w:hint="eastAsia" w:ascii="宋体" w:hAnsi="宋体" w:cs="宋体"/>
          <w:color w:val="auto"/>
          <w:highlight w:val="none"/>
        </w:rPr>
      </w:pPr>
      <w:r>
        <w:rPr>
          <w:rFonts w:hint="eastAsia" w:ascii="宋体" w:hAnsi="宋体" w:cs="宋体"/>
          <w:color w:val="auto"/>
          <w:highlight w:val="none"/>
        </w:rPr>
        <w:t>投标人名称（盖章）：</w:t>
      </w:r>
    </w:p>
    <w:p>
      <w:pPr>
        <w:snapToGrid w:val="0"/>
        <w:spacing w:before="50" w:after="50" w:line="440" w:lineRule="exact"/>
        <w:ind w:left="-21" w:leftChars="-72" w:right="-817" w:rightChars="-389" w:hanging="130" w:hangingChars="62"/>
        <w:rPr>
          <w:rFonts w:hint="eastAsia" w:ascii="宋体" w:hAnsi="宋体" w:cs="宋体"/>
          <w:color w:val="auto"/>
          <w:highlight w:val="none"/>
        </w:rPr>
      </w:pPr>
      <w:r>
        <w:rPr>
          <w:rFonts w:hint="eastAsia" w:ascii="宋体" w:hAnsi="宋体" w:cs="宋体"/>
          <w:color w:val="auto"/>
          <w:highlight w:val="none"/>
        </w:rPr>
        <w:t>法定代表人或授权代表（签字或盖章）：</w:t>
      </w:r>
    </w:p>
    <w:p>
      <w:pPr>
        <w:snapToGrid w:val="0"/>
        <w:spacing w:before="50" w:after="50" w:line="440" w:lineRule="exact"/>
        <w:ind w:left="-21" w:leftChars="-72" w:right="-817" w:rightChars="-389" w:hanging="130" w:hangingChars="62"/>
        <w:rPr>
          <w:rFonts w:hint="eastAsia"/>
          <w:color w:val="auto"/>
          <w:highlight w:val="none"/>
        </w:rPr>
      </w:pPr>
      <w:r>
        <w:rPr>
          <w:rFonts w:hint="eastAsia"/>
          <w:color w:val="auto"/>
          <w:highlight w:val="none"/>
        </w:rPr>
        <w:t>日期：</w:t>
      </w:r>
    </w:p>
    <w:p>
      <w:pPr>
        <w:rPr>
          <w:rFonts w:ascii="宋体" w:hAnsi="宋体" w:cs="宋体"/>
          <w:color w:val="auto"/>
          <w:kern w:val="1"/>
          <w:sz w:val="24"/>
          <w:highlight w:val="none"/>
        </w:rPr>
      </w:pPr>
    </w:p>
    <w:p>
      <w:pPr>
        <w:rPr>
          <w:rFonts w:ascii="宋体" w:hAnsi="宋体" w:cs="宋体"/>
          <w:color w:val="auto"/>
          <w:kern w:val="1"/>
          <w:sz w:val="24"/>
          <w:highlight w:val="none"/>
        </w:rPr>
      </w:pPr>
    </w:p>
    <w:p>
      <w:pPr>
        <w:rPr>
          <w:rFonts w:ascii="宋体" w:hAnsi="宋体" w:cs="宋体"/>
          <w:color w:val="auto"/>
          <w:kern w:val="1"/>
          <w:sz w:val="24"/>
          <w:highlight w:val="none"/>
        </w:rPr>
      </w:pPr>
    </w:p>
    <w:p>
      <w:pPr>
        <w:rPr>
          <w:rFonts w:ascii="宋体" w:hAnsi="宋体" w:cs="宋体"/>
          <w:color w:val="auto"/>
          <w:kern w:val="1"/>
          <w:sz w:val="24"/>
          <w:highlight w:val="none"/>
        </w:rPr>
      </w:pPr>
    </w:p>
    <w:p>
      <w:pPr>
        <w:rPr>
          <w:rFonts w:ascii="宋体" w:hAnsi="宋体" w:cs="宋体"/>
          <w:color w:val="auto"/>
          <w:kern w:val="1"/>
          <w:sz w:val="24"/>
          <w:highlight w:val="none"/>
        </w:rPr>
      </w:pPr>
    </w:p>
    <w:p>
      <w:pPr>
        <w:pStyle w:val="13"/>
        <w:snapToGrid w:val="0"/>
        <w:spacing w:before="295" w:beforeLines="0" w:after="295" w:afterLines="0" w:line="440" w:lineRule="exact"/>
        <w:jc w:val="center"/>
        <w:rPr>
          <w:rFonts w:hint="eastAsia" w:hAnsi="宋体"/>
          <w:b/>
          <w:color w:val="auto"/>
          <w:szCs w:val="22"/>
          <w:highlight w:val="none"/>
          <w:lang w:val="zh-CN" w:bidi="zh-CN"/>
        </w:rPr>
      </w:pPr>
      <w:r>
        <w:rPr>
          <w:rFonts w:hint="eastAsia"/>
          <w:b/>
          <w:color w:val="auto"/>
          <w:highlight w:val="none"/>
        </w:rPr>
        <w:br w:type="page"/>
      </w:r>
      <w:r>
        <w:rPr>
          <w:rFonts w:hint="eastAsia"/>
          <w:b/>
          <w:color w:val="auto"/>
          <w:highlight w:val="none"/>
        </w:rPr>
        <w:t>（七）</w:t>
      </w:r>
      <w:r>
        <w:rPr>
          <w:rFonts w:hint="eastAsia" w:hAnsi="宋体"/>
          <w:b/>
          <w:color w:val="auto"/>
          <w:szCs w:val="22"/>
          <w:highlight w:val="none"/>
          <w:lang w:val="zh-CN" w:bidi="zh-CN"/>
        </w:rPr>
        <w:t>项目实施人员情况一览表</w:t>
      </w:r>
    </w:p>
    <w:tbl>
      <w:tblPr>
        <w:tblStyle w:val="26"/>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731"/>
        <w:gridCol w:w="816"/>
        <w:gridCol w:w="959"/>
        <w:gridCol w:w="104"/>
        <w:gridCol w:w="812"/>
        <w:gridCol w:w="917"/>
        <w:gridCol w:w="53"/>
        <w:gridCol w:w="863"/>
        <w:gridCol w:w="71"/>
        <w:gridCol w:w="846"/>
        <w:gridCol w:w="85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8" w:type="dxa"/>
            <w:gridSpan w:val="13"/>
            <w:tcBorders>
              <w:top w:val="double" w:color="auto" w:sz="4" w:space="0"/>
              <w:left w:val="double" w:color="auto" w:sz="4" w:space="0"/>
              <w:bottom w:val="double" w:color="auto" w:sz="4" w:space="0"/>
              <w:righ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一、管理人员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restart"/>
            <w:tcBorders>
              <w:top w:val="double" w:color="auto" w:sz="4" w:space="0"/>
              <w:left w:val="double" w:color="auto" w:sz="4" w:space="0"/>
            </w:tcBorders>
            <w:noWrap w:val="0"/>
            <w:vAlign w:val="center"/>
          </w:tcPr>
          <w:p>
            <w:pPr>
              <w:spacing w:line="400" w:lineRule="exact"/>
              <w:jc w:val="center"/>
              <w:rPr>
                <w:color w:val="auto"/>
                <w:highlight w:val="none"/>
              </w:rPr>
            </w:pPr>
            <w:r>
              <w:rPr>
                <w:rFonts w:hint="eastAsia"/>
                <w:color w:val="auto"/>
                <w:highlight w:val="none"/>
              </w:rPr>
              <w:t>职务</w:t>
            </w:r>
          </w:p>
        </w:tc>
        <w:tc>
          <w:tcPr>
            <w:tcW w:w="731" w:type="dxa"/>
            <w:vMerge w:val="restart"/>
            <w:tcBorders>
              <w:top w:val="double" w:color="auto" w:sz="4" w:space="0"/>
            </w:tcBorders>
            <w:noWrap w:val="0"/>
            <w:vAlign w:val="center"/>
          </w:tcPr>
          <w:p>
            <w:pPr>
              <w:spacing w:line="400" w:lineRule="exact"/>
              <w:jc w:val="center"/>
              <w:rPr>
                <w:color w:val="auto"/>
                <w:highlight w:val="none"/>
              </w:rPr>
            </w:pPr>
            <w:r>
              <w:rPr>
                <w:rFonts w:hint="eastAsia"/>
                <w:color w:val="auto"/>
                <w:highlight w:val="none"/>
              </w:rPr>
              <w:t>姓名</w:t>
            </w:r>
          </w:p>
        </w:tc>
        <w:tc>
          <w:tcPr>
            <w:tcW w:w="816" w:type="dxa"/>
            <w:vMerge w:val="restart"/>
            <w:tcBorders>
              <w:top w:val="double" w:color="auto" w:sz="4" w:space="0"/>
            </w:tcBorders>
            <w:noWrap w:val="0"/>
            <w:vAlign w:val="center"/>
          </w:tcPr>
          <w:p>
            <w:pPr>
              <w:spacing w:line="400" w:lineRule="exact"/>
              <w:jc w:val="center"/>
              <w:rPr>
                <w:color w:val="auto"/>
                <w:highlight w:val="none"/>
              </w:rPr>
            </w:pPr>
            <w:r>
              <w:rPr>
                <w:rFonts w:hint="eastAsia"/>
                <w:color w:val="auto"/>
                <w:highlight w:val="none"/>
              </w:rPr>
              <w:t>职称</w:t>
            </w:r>
          </w:p>
        </w:tc>
        <w:tc>
          <w:tcPr>
            <w:tcW w:w="959" w:type="dxa"/>
            <w:vMerge w:val="restart"/>
            <w:tcBorders>
              <w:top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年龄</w:t>
            </w:r>
          </w:p>
        </w:tc>
        <w:tc>
          <w:tcPr>
            <w:tcW w:w="3666" w:type="dxa"/>
            <w:gridSpan w:val="7"/>
            <w:tcBorders>
              <w:top w:val="double" w:color="auto" w:sz="4" w:space="0"/>
            </w:tcBorders>
            <w:noWrap w:val="0"/>
            <w:vAlign w:val="center"/>
          </w:tcPr>
          <w:p>
            <w:pPr>
              <w:spacing w:line="400" w:lineRule="exact"/>
              <w:jc w:val="center"/>
              <w:rPr>
                <w:color w:val="auto"/>
                <w:highlight w:val="none"/>
              </w:rPr>
            </w:pPr>
            <w:r>
              <w:rPr>
                <w:rFonts w:hint="eastAsia"/>
                <w:color w:val="auto"/>
                <w:highlight w:val="none"/>
              </w:rPr>
              <w:t>上岗资格证明</w:t>
            </w:r>
          </w:p>
        </w:tc>
        <w:tc>
          <w:tcPr>
            <w:tcW w:w="2156" w:type="dxa"/>
            <w:gridSpan w:val="2"/>
            <w:tcBorders>
              <w:top w:val="double" w:color="auto" w:sz="4" w:space="0"/>
              <w:right w:val="double" w:color="auto" w:sz="4" w:space="0"/>
            </w:tcBorders>
            <w:noWrap w:val="0"/>
            <w:vAlign w:val="center"/>
          </w:tcPr>
          <w:p>
            <w:pPr>
              <w:spacing w:line="400" w:lineRule="exact"/>
              <w:jc w:val="center"/>
              <w:rPr>
                <w:color w:val="auto"/>
                <w:highlight w:val="none"/>
              </w:rPr>
            </w:pPr>
            <w:r>
              <w:rPr>
                <w:rFonts w:hint="eastAsia"/>
                <w:color w:val="auto"/>
                <w:highlight w:val="none"/>
              </w:rPr>
              <w:t>已承担服务项目情况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tcBorders>
              <w:left w:val="double" w:color="auto" w:sz="4" w:space="0"/>
            </w:tcBorders>
            <w:noWrap w:val="0"/>
            <w:vAlign w:val="center"/>
          </w:tcPr>
          <w:p>
            <w:pPr>
              <w:widowControl/>
              <w:spacing w:line="400" w:lineRule="exact"/>
              <w:jc w:val="left"/>
              <w:rPr>
                <w:color w:val="auto"/>
                <w:highlight w:val="none"/>
              </w:rPr>
            </w:pPr>
          </w:p>
        </w:tc>
        <w:tc>
          <w:tcPr>
            <w:tcW w:w="731" w:type="dxa"/>
            <w:vMerge w:val="continue"/>
            <w:noWrap w:val="0"/>
            <w:vAlign w:val="center"/>
          </w:tcPr>
          <w:p>
            <w:pPr>
              <w:widowControl/>
              <w:spacing w:line="400" w:lineRule="exact"/>
              <w:jc w:val="left"/>
              <w:rPr>
                <w:color w:val="auto"/>
                <w:highlight w:val="none"/>
              </w:rPr>
            </w:pPr>
          </w:p>
        </w:tc>
        <w:tc>
          <w:tcPr>
            <w:tcW w:w="816" w:type="dxa"/>
            <w:vMerge w:val="continue"/>
            <w:noWrap w:val="0"/>
            <w:vAlign w:val="center"/>
          </w:tcPr>
          <w:p>
            <w:pPr>
              <w:widowControl/>
              <w:spacing w:line="400" w:lineRule="exact"/>
              <w:jc w:val="left"/>
              <w:rPr>
                <w:color w:val="auto"/>
                <w:highlight w:val="none"/>
              </w:rPr>
            </w:pPr>
          </w:p>
        </w:tc>
        <w:tc>
          <w:tcPr>
            <w:tcW w:w="959" w:type="dxa"/>
            <w:vMerge w:val="continue"/>
            <w:noWrap w:val="0"/>
            <w:vAlign w:val="center"/>
          </w:tcPr>
          <w:p>
            <w:pPr>
              <w:widowControl/>
              <w:spacing w:line="400" w:lineRule="exact"/>
              <w:jc w:val="left"/>
              <w:rPr>
                <w:color w:val="auto"/>
                <w:highlight w:val="none"/>
              </w:rPr>
            </w:pPr>
          </w:p>
        </w:tc>
        <w:tc>
          <w:tcPr>
            <w:tcW w:w="916" w:type="dxa"/>
            <w:gridSpan w:val="2"/>
            <w:noWrap w:val="0"/>
            <w:vAlign w:val="center"/>
          </w:tcPr>
          <w:p>
            <w:pPr>
              <w:spacing w:line="400" w:lineRule="exact"/>
              <w:jc w:val="center"/>
              <w:rPr>
                <w:rFonts w:hint="eastAsia"/>
                <w:color w:val="auto"/>
                <w:highlight w:val="none"/>
              </w:rPr>
            </w:pPr>
            <w:r>
              <w:rPr>
                <w:rFonts w:hint="eastAsia"/>
                <w:color w:val="auto"/>
                <w:highlight w:val="none"/>
              </w:rPr>
              <w:t>证书</w:t>
            </w:r>
          </w:p>
          <w:p>
            <w:pPr>
              <w:spacing w:line="400" w:lineRule="exact"/>
              <w:jc w:val="center"/>
              <w:rPr>
                <w:color w:val="auto"/>
                <w:highlight w:val="none"/>
              </w:rPr>
            </w:pPr>
            <w:r>
              <w:rPr>
                <w:rFonts w:hint="eastAsia"/>
                <w:color w:val="auto"/>
                <w:highlight w:val="none"/>
              </w:rPr>
              <w:t>名称</w:t>
            </w:r>
          </w:p>
        </w:tc>
        <w:tc>
          <w:tcPr>
            <w:tcW w:w="917" w:type="dxa"/>
            <w:noWrap w:val="0"/>
            <w:vAlign w:val="center"/>
          </w:tcPr>
          <w:p>
            <w:pPr>
              <w:spacing w:line="400" w:lineRule="exact"/>
              <w:jc w:val="center"/>
              <w:rPr>
                <w:color w:val="auto"/>
                <w:highlight w:val="none"/>
              </w:rPr>
            </w:pPr>
            <w:r>
              <w:rPr>
                <w:rFonts w:hint="eastAsia"/>
                <w:color w:val="auto"/>
                <w:highlight w:val="none"/>
              </w:rPr>
              <w:t>级别</w:t>
            </w:r>
          </w:p>
        </w:tc>
        <w:tc>
          <w:tcPr>
            <w:tcW w:w="916" w:type="dxa"/>
            <w:gridSpan w:val="2"/>
            <w:noWrap w:val="0"/>
            <w:vAlign w:val="center"/>
          </w:tcPr>
          <w:p>
            <w:pPr>
              <w:spacing w:line="400" w:lineRule="exact"/>
              <w:jc w:val="center"/>
              <w:rPr>
                <w:color w:val="auto"/>
                <w:highlight w:val="none"/>
              </w:rPr>
            </w:pPr>
            <w:r>
              <w:rPr>
                <w:rFonts w:hint="eastAsia"/>
                <w:color w:val="auto"/>
                <w:highlight w:val="none"/>
              </w:rPr>
              <w:t>证号</w:t>
            </w:r>
          </w:p>
        </w:tc>
        <w:tc>
          <w:tcPr>
            <w:tcW w:w="917" w:type="dxa"/>
            <w:gridSpan w:val="2"/>
            <w:noWrap w:val="0"/>
            <w:vAlign w:val="center"/>
          </w:tcPr>
          <w:p>
            <w:pPr>
              <w:spacing w:line="400" w:lineRule="exact"/>
              <w:jc w:val="center"/>
              <w:rPr>
                <w:color w:val="auto"/>
                <w:highlight w:val="none"/>
              </w:rPr>
            </w:pPr>
            <w:r>
              <w:rPr>
                <w:rFonts w:hint="eastAsia"/>
                <w:color w:val="auto"/>
                <w:highlight w:val="none"/>
              </w:rPr>
              <w:t>专业</w:t>
            </w:r>
          </w:p>
        </w:tc>
        <w:tc>
          <w:tcPr>
            <w:tcW w:w="850" w:type="dxa"/>
            <w:noWrap w:val="0"/>
            <w:vAlign w:val="center"/>
          </w:tcPr>
          <w:p>
            <w:pPr>
              <w:spacing w:line="400" w:lineRule="exact"/>
              <w:jc w:val="center"/>
              <w:rPr>
                <w:color w:val="auto"/>
                <w:highlight w:val="none"/>
              </w:rPr>
            </w:pPr>
            <w:r>
              <w:rPr>
                <w:rFonts w:hint="eastAsia"/>
                <w:color w:val="auto"/>
                <w:highlight w:val="none"/>
              </w:rPr>
              <w:t>项目数</w:t>
            </w:r>
          </w:p>
        </w:tc>
        <w:tc>
          <w:tcPr>
            <w:tcW w:w="1306" w:type="dxa"/>
            <w:tcBorders>
              <w:right w:val="double" w:color="auto" w:sz="4" w:space="0"/>
            </w:tcBorders>
            <w:noWrap w:val="0"/>
            <w:vAlign w:val="center"/>
          </w:tcPr>
          <w:p>
            <w:pPr>
              <w:spacing w:line="400" w:lineRule="exact"/>
              <w:jc w:val="center"/>
              <w:rPr>
                <w:color w:val="auto"/>
                <w:highlight w:val="none"/>
              </w:rPr>
            </w:pPr>
            <w:r>
              <w:rPr>
                <w:rFonts w:hint="eastAsia"/>
                <w:color w:val="auto"/>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项目负</w:t>
            </w:r>
          </w:p>
          <w:p>
            <w:pPr>
              <w:spacing w:line="400" w:lineRule="exact"/>
              <w:jc w:val="center"/>
              <w:rPr>
                <w:color w:val="auto"/>
                <w:highlight w:val="none"/>
              </w:rPr>
            </w:pPr>
            <w:r>
              <w:rPr>
                <w:rFonts w:hint="eastAsia"/>
                <w:color w:val="auto"/>
                <w:highlight w:val="none"/>
              </w:rPr>
              <w:t>责人</w:t>
            </w:r>
          </w:p>
        </w:tc>
        <w:tc>
          <w:tcPr>
            <w:tcW w:w="731" w:type="dxa"/>
            <w:noWrap w:val="0"/>
            <w:vAlign w:val="center"/>
          </w:tcPr>
          <w:p>
            <w:pPr>
              <w:spacing w:line="400" w:lineRule="exact"/>
              <w:jc w:val="center"/>
              <w:rPr>
                <w:color w:val="auto"/>
                <w:highlight w:val="none"/>
              </w:rPr>
            </w:pPr>
          </w:p>
        </w:tc>
        <w:tc>
          <w:tcPr>
            <w:tcW w:w="816" w:type="dxa"/>
            <w:noWrap w:val="0"/>
            <w:vAlign w:val="center"/>
          </w:tcPr>
          <w:p>
            <w:pPr>
              <w:spacing w:line="400" w:lineRule="exact"/>
              <w:jc w:val="center"/>
              <w:rPr>
                <w:color w:val="auto"/>
                <w:highlight w:val="none"/>
              </w:rPr>
            </w:pPr>
          </w:p>
        </w:tc>
        <w:tc>
          <w:tcPr>
            <w:tcW w:w="959"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gridSpan w:val="2"/>
            <w:noWrap w:val="0"/>
            <w:vAlign w:val="center"/>
          </w:tcPr>
          <w:p>
            <w:pPr>
              <w:spacing w:line="400" w:lineRule="exact"/>
              <w:jc w:val="center"/>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color w:val="auto"/>
                <w:highlight w:val="none"/>
              </w:rPr>
            </w:pPr>
            <w:r>
              <w:rPr>
                <w:rFonts w:hint="eastAsia"/>
                <w:color w:val="auto"/>
                <w:highlight w:val="none"/>
              </w:rPr>
              <w:t>项目管理人员</w:t>
            </w:r>
          </w:p>
        </w:tc>
        <w:tc>
          <w:tcPr>
            <w:tcW w:w="731" w:type="dxa"/>
            <w:noWrap w:val="0"/>
            <w:vAlign w:val="center"/>
          </w:tcPr>
          <w:p>
            <w:pPr>
              <w:spacing w:line="400" w:lineRule="exact"/>
              <w:jc w:val="center"/>
              <w:rPr>
                <w:color w:val="auto"/>
                <w:highlight w:val="none"/>
              </w:rPr>
            </w:pPr>
          </w:p>
        </w:tc>
        <w:tc>
          <w:tcPr>
            <w:tcW w:w="816" w:type="dxa"/>
            <w:noWrap w:val="0"/>
            <w:vAlign w:val="center"/>
          </w:tcPr>
          <w:p>
            <w:pPr>
              <w:spacing w:line="400" w:lineRule="exact"/>
              <w:jc w:val="center"/>
              <w:rPr>
                <w:color w:val="auto"/>
                <w:highlight w:val="none"/>
              </w:rPr>
            </w:pPr>
          </w:p>
        </w:tc>
        <w:tc>
          <w:tcPr>
            <w:tcW w:w="959"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gridSpan w:val="2"/>
            <w:noWrap w:val="0"/>
            <w:vAlign w:val="center"/>
          </w:tcPr>
          <w:p>
            <w:pPr>
              <w:spacing w:line="400" w:lineRule="exact"/>
              <w:jc w:val="center"/>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项目管理人员</w:t>
            </w:r>
          </w:p>
        </w:tc>
        <w:tc>
          <w:tcPr>
            <w:tcW w:w="731" w:type="dxa"/>
            <w:noWrap w:val="0"/>
            <w:vAlign w:val="center"/>
          </w:tcPr>
          <w:p>
            <w:pPr>
              <w:spacing w:line="400" w:lineRule="exact"/>
              <w:jc w:val="center"/>
              <w:rPr>
                <w:color w:val="auto"/>
                <w:highlight w:val="none"/>
              </w:rPr>
            </w:pPr>
          </w:p>
        </w:tc>
        <w:tc>
          <w:tcPr>
            <w:tcW w:w="816" w:type="dxa"/>
            <w:noWrap w:val="0"/>
            <w:vAlign w:val="center"/>
          </w:tcPr>
          <w:p>
            <w:pPr>
              <w:spacing w:line="400" w:lineRule="exact"/>
              <w:jc w:val="center"/>
              <w:rPr>
                <w:color w:val="auto"/>
                <w:highlight w:val="none"/>
              </w:rPr>
            </w:pPr>
          </w:p>
        </w:tc>
        <w:tc>
          <w:tcPr>
            <w:tcW w:w="959"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noWrap w:val="0"/>
            <w:vAlign w:val="center"/>
          </w:tcPr>
          <w:p>
            <w:pPr>
              <w:spacing w:line="400" w:lineRule="exact"/>
              <w:jc w:val="center"/>
              <w:rPr>
                <w:color w:val="auto"/>
                <w:highlight w:val="none"/>
              </w:rPr>
            </w:pPr>
          </w:p>
        </w:tc>
        <w:tc>
          <w:tcPr>
            <w:tcW w:w="916" w:type="dxa"/>
            <w:gridSpan w:val="2"/>
            <w:noWrap w:val="0"/>
            <w:vAlign w:val="center"/>
          </w:tcPr>
          <w:p>
            <w:pPr>
              <w:spacing w:line="400" w:lineRule="exact"/>
              <w:jc w:val="center"/>
              <w:rPr>
                <w:color w:val="auto"/>
                <w:highlight w:val="none"/>
              </w:rPr>
            </w:pPr>
          </w:p>
        </w:tc>
        <w:tc>
          <w:tcPr>
            <w:tcW w:w="917" w:type="dxa"/>
            <w:gridSpan w:val="2"/>
            <w:noWrap w:val="0"/>
            <w:vAlign w:val="center"/>
          </w:tcPr>
          <w:p>
            <w:pPr>
              <w:spacing w:line="400" w:lineRule="exact"/>
              <w:jc w:val="center"/>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8" w:type="dxa"/>
            <w:gridSpan w:val="13"/>
            <w:tcBorders>
              <w:left w:val="double" w:color="auto" w:sz="4" w:space="0"/>
              <w:righ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二、保洁</w:t>
            </w:r>
            <w:r>
              <w:rPr>
                <w:color w:val="auto"/>
                <w:highlight w:val="none"/>
              </w:rPr>
              <w:t>和</w:t>
            </w:r>
            <w:r>
              <w:rPr>
                <w:rFonts w:hint="eastAsia"/>
                <w:color w:val="auto"/>
                <w:highlight w:val="none"/>
              </w:rPr>
              <w:t>绿化</w:t>
            </w:r>
            <w:r>
              <w:rPr>
                <w:color w:val="auto"/>
                <w:highlight w:val="none"/>
              </w:rPr>
              <w:t>养护</w:t>
            </w:r>
            <w:r>
              <w:rPr>
                <w:rFonts w:hint="eastAsia"/>
                <w:color w:val="auto"/>
                <w:highlight w:val="none"/>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姓名</w:t>
            </w:r>
          </w:p>
        </w:tc>
        <w:tc>
          <w:tcPr>
            <w:tcW w:w="731" w:type="dxa"/>
            <w:noWrap w:val="0"/>
            <w:vAlign w:val="center"/>
          </w:tcPr>
          <w:p>
            <w:pPr>
              <w:spacing w:line="400" w:lineRule="exact"/>
              <w:jc w:val="center"/>
              <w:rPr>
                <w:color w:val="auto"/>
                <w:highlight w:val="none"/>
              </w:rPr>
            </w:pPr>
            <w:r>
              <w:rPr>
                <w:rFonts w:hint="eastAsia"/>
                <w:color w:val="auto"/>
                <w:highlight w:val="none"/>
              </w:rPr>
              <w:t>性别</w:t>
            </w:r>
          </w:p>
        </w:tc>
        <w:tc>
          <w:tcPr>
            <w:tcW w:w="816" w:type="dxa"/>
            <w:noWrap w:val="0"/>
            <w:vAlign w:val="center"/>
          </w:tcPr>
          <w:p>
            <w:pPr>
              <w:spacing w:line="400" w:lineRule="exact"/>
              <w:jc w:val="center"/>
              <w:rPr>
                <w:color w:val="auto"/>
                <w:highlight w:val="none"/>
              </w:rPr>
            </w:pPr>
            <w:r>
              <w:rPr>
                <w:rFonts w:hint="eastAsia"/>
                <w:color w:val="auto"/>
                <w:highlight w:val="none"/>
              </w:rPr>
              <w:t>年龄</w:t>
            </w:r>
          </w:p>
        </w:tc>
        <w:tc>
          <w:tcPr>
            <w:tcW w:w="959" w:type="dxa"/>
            <w:noWrap w:val="0"/>
            <w:vAlign w:val="center"/>
          </w:tcPr>
          <w:p>
            <w:pPr>
              <w:spacing w:line="400" w:lineRule="exact"/>
              <w:jc w:val="center"/>
              <w:rPr>
                <w:color w:val="auto"/>
                <w:highlight w:val="none"/>
              </w:rPr>
            </w:pPr>
            <w:r>
              <w:rPr>
                <w:rFonts w:hint="eastAsia"/>
                <w:color w:val="auto"/>
                <w:highlight w:val="none"/>
              </w:rPr>
              <w:t>工作年限</w:t>
            </w:r>
          </w:p>
        </w:tc>
        <w:tc>
          <w:tcPr>
            <w:tcW w:w="916" w:type="dxa"/>
            <w:gridSpan w:val="2"/>
            <w:noWrap w:val="0"/>
            <w:vAlign w:val="center"/>
          </w:tcPr>
          <w:p>
            <w:pPr>
              <w:spacing w:line="400" w:lineRule="exact"/>
              <w:jc w:val="center"/>
              <w:rPr>
                <w:color w:val="auto"/>
                <w:highlight w:val="none"/>
              </w:rPr>
            </w:pPr>
            <w:r>
              <w:rPr>
                <w:rFonts w:hint="eastAsia"/>
                <w:color w:val="auto"/>
                <w:highlight w:val="none"/>
              </w:rPr>
              <w:t>备注</w:t>
            </w:r>
          </w:p>
        </w:tc>
        <w:tc>
          <w:tcPr>
            <w:tcW w:w="917" w:type="dxa"/>
            <w:noWrap w:val="0"/>
            <w:vAlign w:val="top"/>
          </w:tcPr>
          <w:p>
            <w:pPr>
              <w:spacing w:line="400" w:lineRule="exact"/>
              <w:rPr>
                <w:color w:val="auto"/>
                <w:highlight w:val="none"/>
              </w:rPr>
            </w:pPr>
          </w:p>
        </w:tc>
        <w:tc>
          <w:tcPr>
            <w:tcW w:w="916" w:type="dxa"/>
            <w:gridSpan w:val="2"/>
            <w:noWrap w:val="0"/>
            <w:vAlign w:val="top"/>
          </w:tcPr>
          <w:p>
            <w:pPr>
              <w:spacing w:line="400" w:lineRule="exact"/>
              <w:rPr>
                <w:color w:val="auto"/>
                <w:highlight w:val="none"/>
              </w:rPr>
            </w:pPr>
          </w:p>
        </w:tc>
        <w:tc>
          <w:tcPr>
            <w:tcW w:w="917" w:type="dxa"/>
            <w:gridSpan w:val="2"/>
            <w:noWrap w:val="0"/>
            <w:vAlign w:val="top"/>
          </w:tcPr>
          <w:p>
            <w:pPr>
              <w:spacing w:line="400" w:lineRule="exact"/>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rFonts w:hint="eastAsia"/>
                <w:color w:val="auto"/>
                <w:highlight w:val="none"/>
              </w:rPr>
            </w:pPr>
          </w:p>
        </w:tc>
        <w:tc>
          <w:tcPr>
            <w:tcW w:w="731" w:type="dxa"/>
            <w:noWrap w:val="0"/>
            <w:vAlign w:val="center"/>
          </w:tcPr>
          <w:p>
            <w:pPr>
              <w:spacing w:line="400" w:lineRule="exact"/>
              <w:jc w:val="center"/>
              <w:rPr>
                <w:rFonts w:hint="eastAsia"/>
                <w:color w:val="auto"/>
                <w:highlight w:val="none"/>
              </w:rPr>
            </w:pPr>
          </w:p>
        </w:tc>
        <w:tc>
          <w:tcPr>
            <w:tcW w:w="816" w:type="dxa"/>
            <w:noWrap w:val="0"/>
            <w:vAlign w:val="center"/>
          </w:tcPr>
          <w:p>
            <w:pPr>
              <w:spacing w:line="400" w:lineRule="exact"/>
              <w:jc w:val="center"/>
              <w:rPr>
                <w:rFonts w:hint="eastAsia"/>
                <w:color w:val="auto"/>
                <w:highlight w:val="none"/>
              </w:rPr>
            </w:pPr>
          </w:p>
        </w:tc>
        <w:tc>
          <w:tcPr>
            <w:tcW w:w="959" w:type="dxa"/>
            <w:noWrap w:val="0"/>
            <w:vAlign w:val="center"/>
          </w:tcPr>
          <w:p>
            <w:pPr>
              <w:spacing w:line="400" w:lineRule="exact"/>
              <w:jc w:val="center"/>
              <w:rPr>
                <w:rFonts w:hint="eastAsia"/>
                <w:color w:val="auto"/>
                <w:highlight w:val="none"/>
              </w:rPr>
            </w:pPr>
          </w:p>
        </w:tc>
        <w:tc>
          <w:tcPr>
            <w:tcW w:w="916" w:type="dxa"/>
            <w:gridSpan w:val="2"/>
            <w:noWrap w:val="0"/>
            <w:vAlign w:val="center"/>
          </w:tcPr>
          <w:p>
            <w:pPr>
              <w:spacing w:line="400" w:lineRule="exact"/>
              <w:jc w:val="center"/>
              <w:rPr>
                <w:rFonts w:hint="eastAsia"/>
                <w:color w:val="auto"/>
                <w:highlight w:val="none"/>
              </w:rPr>
            </w:pPr>
          </w:p>
        </w:tc>
        <w:tc>
          <w:tcPr>
            <w:tcW w:w="917" w:type="dxa"/>
            <w:noWrap w:val="0"/>
            <w:vAlign w:val="top"/>
          </w:tcPr>
          <w:p>
            <w:pPr>
              <w:spacing w:line="400" w:lineRule="exact"/>
              <w:rPr>
                <w:color w:val="auto"/>
                <w:highlight w:val="none"/>
              </w:rPr>
            </w:pPr>
          </w:p>
        </w:tc>
        <w:tc>
          <w:tcPr>
            <w:tcW w:w="916" w:type="dxa"/>
            <w:gridSpan w:val="2"/>
            <w:noWrap w:val="0"/>
            <w:vAlign w:val="top"/>
          </w:tcPr>
          <w:p>
            <w:pPr>
              <w:spacing w:line="400" w:lineRule="exact"/>
              <w:rPr>
                <w:color w:val="auto"/>
                <w:highlight w:val="none"/>
              </w:rPr>
            </w:pPr>
          </w:p>
        </w:tc>
        <w:tc>
          <w:tcPr>
            <w:tcW w:w="917" w:type="dxa"/>
            <w:gridSpan w:val="2"/>
            <w:noWrap w:val="0"/>
            <w:vAlign w:val="top"/>
          </w:tcPr>
          <w:p>
            <w:pPr>
              <w:spacing w:line="400" w:lineRule="exact"/>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rFonts w:hint="eastAsia"/>
                <w:color w:val="auto"/>
                <w:highlight w:val="none"/>
              </w:rPr>
            </w:pPr>
          </w:p>
        </w:tc>
        <w:tc>
          <w:tcPr>
            <w:tcW w:w="731" w:type="dxa"/>
            <w:noWrap w:val="0"/>
            <w:vAlign w:val="center"/>
          </w:tcPr>
          <w:p>
            <w:pPr>
              <w:spacing w:line="400" w:lineRule="exact"/>
              <w:jc w:val="center"/>
              <w:rPr>
                <w:rFonts w:hint="eastAsia"/>
                <w:color w:val="auto"/>
                <w:highlight w:val="none"/>
              </w:rPr>
            </w:pPr>
          </w:p>
        </w:tc>
        <w:tc>
          <w:tcPr>
            <w:tcW w:w="816" w:type="dxa"/>
            <w:noWrap w:val="0"/>
            <w:vAlign w:val="center"/>
          </w:tcPr>
          <w:p>
            <w:pPr>
              <w:spacing w:line="400" w:lineRule="exact"/>
              <w:jc w:val="center"/>
              <w:rPr>
                <w:rFonts w:hint="eastAsia"/>
                <w:color w:val="auto"/>
                <w:highlight w:val="none"/>
              </w:rPr>
            </w:pPr>
          </w:p>
        </w:tc>
        <w:tc>
          <w:tcPr>
            <w:tcW w:w="959" w:type="dxa"/>
            <w:noWrap w:val="0"/>
            <w:vAlign w:val="center"/>
          </w:tcPr>
          <w:p>
            <w:pPr>
              <w:spacing w:line="400" w:lineRule="exact"/>
              <w:jc w:val="center"/>
              <w:rPr>
                <w:rFonts w:hint="eastAsia"/>
                <w:color w:val="auto"/>
                <w:highlight w:val="none"/>
              </w:rPr>
            </w:pPr>
          </w:p>
        </w:tc>
        <w:tc>
          <w:tcPr>
            <w:tcW w:w="916" w:type="dxa"/>
            <w:gridSpan w:val="2"/>
            <w:noWrap w:val="0"/>
            <w:vAlign w:val="center"/>
          </w:tcPr>
          <w:p>
            <w:pPr>
              <w:spacing w:line="400" w:lineRule="exact"/>
              <w:jc w:val="center"/>
              <w:rPr>
                <w:rFonts w:hint="eastAsia"/>
                <w:color w:val="auto"/>
                <w:highlight w:val="none"/>
              </w:rPr>
            </w:pPr>
          </w:p>
        </w:tc>
        <w:tc>
          <w:tcPr>
            <w:tcW w:w="917" w:type="dxa"/>
            <w:noWrap w:val="0"/>
            <w:vAlign w:val="top"/>
          </w:tcPr>
          <w:p>
            <w:pPr>
              <w:spacing w:line="400" w:lineRule="exact"/>
              <w:rPr>
                <w:color w:val="auto"/>
                <w:highlight w:val="none"/>
              </w:rPr>
            </w:pPr>
          </w:p>
        </w:tc>
        <w:tc>
          <w:tcPr>
            <w:tcW w:w="916" w:type="dxa"/>
            <w:gridSpan w:val="2"/>
            <w:noWrap w:val="0"/>
            <w:vAlign w:val="top"/>
          </w:tcPr>
          <w:p>
            <w:pPr>
              <w:spacing w:line="400" w:lineRule="exact"/>
              <w:rPr>
                <w:color w:val="auto"/>
                <w:highlight w:val="none"/>
              </w:rPr>
            </w:pPr>
          </w:p>
        </w:tc>
        <w:tc>
          <w:tcPr>
            <w:tcW w:w="917" w:type="dxa"/>
            <w:gridSpan w:val="2"/>
            <w:noWrap w:val="0"/>
            <w:vAlign w:val="top"/>
          </w:tcPr>
          <w:p>
            <w:pPr>
              <w:spacing w:line="400" w:lineRule="exact"/>
              <w:rPr>
                <w:color w:val="auto"/>
                <w:highlight w:val="none"/>
              </w:rPr>
            </w:pPr>
          </w:p>
        </w:tc>
        <w:tc>
          <w:tcPr>
            <w:tcW w:w="850" w:type="dxa"/>
            <w:noWrap w:val="0"/>
            <w:vAlign w:val="center"/>
          </w:tcPr>
          <w:p>
            <w:pPr>
              <w:spacing w:line="400" w:lineRule="exact"/>
              <w:jc w:val="center"/>
              <w:rPr>
                <w:color w:val="auto"/>
                <w:highlight w:val="none"/>
              </w:rPr>
            </w:pPr>
          </w:p>
        </w:tc>
        <w:tc>
          <w:tcPr>
            <w:tcW w:w="1306" w:type="dxa"/>
            <w:tcBorders>
              <w:right w:val="double" w:color="auto" w:sz="4" w:space="0"/>
            </w:tcBorders>
            <w:noWrap w:val="0"/>
            <w:vAlign w:val="center"/>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8" w:type="dxa"/>
            <w:gridSpan w:val="13"/>
            <w:tcBorders>
              <w:left w:val="double" w:color="auto" w:sz="4" w:space="0"/>
              <w:right w:val="double" w:color="auto" w:sz="4" w:space="0"/>
            </w:tcBorders>
            <w:noWrap w:val="0"/>
            <w:vAlign w:val="center"/>
          </w:tcPr>
          <w:p>
            <w:pPr>
              <w:spacing w:line="400" w:lineRule="exact"/>
              <w:jc w:val="center"/>
              <w:rPr>
                <w:color w:val="auto"/>
                <w:highlight w:val="none"/>
              </w:rPr>
            </w:pPr>
            <w:r>
              <w:rPr>
                <w:rFonts w:hint="eastAsia"/>
                <w:color w:val="auto"/>
                <w:highlight w:val="none"/>
              </w:rPr>
              <w:t>三</w:t>
            </w:r>
            <w:r>
              <w:rPr>
                <w:color w:val="auto"/>
                <w:highlight w:val="none"/>
              </w:rPr>
              <w:t>、</w:t>
            </w:r>
            <w:r>
              <w:rPr>
                <w:rFonts w:hint="eastAsia"/>
                <w:color w:val="auto"/>
                <w:highlight w:val="none"/>
              </w:rPr>
              <w:t>闸门、泵站管养人员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tcBorders>
              <w:left w:val="double" w:color="auto" w:sz="4" w:space="0"/>
            </w:tcBorders>
            <w:noWrap w:val="0"/>
            <w:vAlign w:val="center"/>
          </w:tcPr>
          <w:p>
            <w:pPr>
              <w:spacing w:line="400" w:lineRule="exact"/>
              <w:jc w:val="center"/>
              <w:rPr>
                <w:color w:val="auto"/>
                <w:highlight w:val="none"/>
              </w:rPr>
            </w:pPr>
            <w:r>
              <w:rPr>
                <w:rFonts w:hint="eastAsia"/>
                <w:color w:val="auto"/>
                <w:highlight w:val="none"/>
              </w:rPr>
              <w:t>姓名</w:t>
            </w:r>
          </w:p>
        </w:tc>
        <w:tc>
          <w:tcPr>
            <w:tcW w:w="731" w:type="dxa"/>
            <w:noWrap w:val="0"/>
            <w:vAlign w:val="center"/>
          </w:tcPr>
          <w:p>
            <w:pPr>
              <w:spacing w:line="400" w:lineRule="exact"/>
              <w:jc w:val="center"/>
              <w:rPr>
                <w:color w:val="auto"/>
                <w:highlight w:val="none"/>
              </w:rPr>
            </w:pPr>
            <w:r>
              <w:rPr>
                <w:rFonts w:hint="eastAsia"/>
                <w:color w:val="auto"/>
                <w:highlight w:val="none"/>
              </w:rPr>
              <w:t>性别</w:t>
            </w:r>
          </w:p>
        </w:tc>
        <w:tc>
          <w:tcPr>
            <w:tcW w:w="816" w:type="dxa"/>
            <w:noWrap w:val="0"/>
            <w:vAlign w:val="center"/>
          </w:tcPr>
          <w:p>
            <w:pPr>
              <w:spacing w:line="400" w:lineRule="exact"/>
              <w:jc w:val="center"/>
              <w:rPr>
                <w:color w:val="auto"/>
                <w:highlight w:val="none"/>
              </w:rPr>
            </w:pPr>
            <w:r>
              <w:rPr>
                <w:rFonts w:hint="eastAsia"/>
                <w:color w:val="auto"/>
                <w:highlight w:val="none"/>
              </w:rPr>
              <w:t>年龄</w:t>
            </w:r>
          </w:p>
        </w:tc>
        <w:tc>
          <w:tcPr>
            <w:tcW w:w="1063" w:type="dxa"/>
            <w:gridSpan w:val="2"/>
            <w:noWrap w:val="0"/>
            <w:vAlign w:val="center"/>
          </w:tcPr>
          <w:p>
            <w:pPr>
              <w:spacing w:line="400" w:lineRule="exact"/>
              <w:jc w:val="center"/>
              <w:rPr>
                <w:rFonts w:hint="eastAsia"/>
                <w:color w:val="auto"/>
                <w:highlight w:val="none"/>
              </w:rPr>
            </w:pPr>
            <w:r>
              <w:rPr>
                <w:rFonts w:hint="eastAsia"/>
                <w:color w:val="auto"/>
                <w:highlight w:val="none"/>
              </w:rPr>
              <w:t>从事保洁</w:t>
            </w:r>
          </w:p>
          <w:p>
            <w:pPr>
              <w:spacing w:line="400" w:lineRule="exact"/>
              <w:jc w:val="center"/>
              <w:rPr>
                <w:color w:val="auto"/>
                <w:highlight w:val="none"/>
              </w:rPr>
            </w:pPr>
            <w:r>
              <w:rPr>
                <w:rFonts w:hint="eastAsia"/>
                <w:color w:val="auto"/>
                <w:highlight w:val="none"/>
              </w:rPr>
              <w:t>工作年限</w:t>
            </w:r>
          </w:p>
        </w:tc>
        <w:tc>
          <w:tcPr>
            <w:tcW w:w="1782" w:type="dxa"/>
            <w:gridSpan w:val="3"/>
            <w:noWrap w:val="0"/>
            <w:vAlign w:val="center"/>
          </w:tcPr>
          <w:p>
            <w:pPr>
              <w:spacing w:line="400" w:lineRule="exact"/>
              <w:jc w:val="center"/>
              <w:rPr>
                <w:color w:val="auto"/>
                <w:highlight w:val="none"/>
              </w:rPr>
            </w:pPr>
            <w:r>
              <w:rPr>
                <w:rFonts w:hint="eastAsia"/>
                <w:color w:val="auto"/>
                <w:highlight w:val="none"/>
              </w:rPr>
              <w:t>备注</w:t>
            </w:r>
          </w:p>
        </w:tc>
        <w:tc>
          <w:tcPr>
            <w:tcW w:w="1780" w:type="dxa"/>
            <w:gridSpan w:val="3"/>
            <w:noWrap w:val="0"/>
            <w:vAlign w:val="top"/>
          </w:tcPr>
          <w:p>
            <w:pPr>
              <w:spacing w:line="400" w:lineRule="exact"/>
              <w:rPr>
                <w:color w:val="auto"/>
                <w:highlight w:val="none"/>
              </w:rPr>
            </w:pPr>
          </w:p>
        </w:tc>
        <w:tc>
          <w:tcPr>
            <w:tcW w:w="850" w:type="dxa"/>
            <w:noWrap w:val="0"/>
            <w:vAlign w:val="top"/>
          </w:tcPr>
          <w:p>
            <w:pPr>
              <w:spacing w:line="400" w:lineRule="exact"/>
              <w:rPr>
                <w:color w:val="auto"/>
                <w:highlight w:val="none"/>
              </w:rPr>
            </w:pPr>
          </w:p>
        </w:tc>
        <w:tc>
          <w:tcPr>
            <w:tcW w:w="1306" w:type="dxa"/>
            <w:tcBorders>
              <w:right w:val="double" w:color="auto" w:sz="4" w:space="0"/>
            </w:tcBorders>
            <w:noWrap w:val="0"/>
            <w:vAlign w:val="top"/>
          </w:tcPr>
          <w:p>
            <w:pPr>
              <w:spacing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50" w:type="dxa"/>
            <w:tcBorders>
              <w:left w:val="double" w:color="auto" w:sz="4" w:space="0"/>
            </w:tcBorders>
            <w:noWrap w:val="0"/>
            <w:vAlign w:val="top"/>
          </w:tcPr>
          <w:p>
            <w:pPr>
              <w:spacing w:line="400" w:lineRule="exact"/>
              <w:rPr>
                <w:color w:val="auto"/>
                <w:highlight w:val="none"/>
              </w:rPr>
            </w:pPr>
          </w:p>
        </w:tc>
        <w:tc>
          <w:tcPr>
            <w:tcW w:w="731" w:type="dxa"/>
            <w:noWrap w:val="0"/>
            <w:vAlign w:val="top"/>
          </w:tcPr>
          <w:p>
            <w:pPr>
              <w:spacing w:line="400" w:lineRule="exact"/>
              <w:rPr>
                <w:color w:val="auto"/>
                <w:highlight w:val="none"/>
              </w:rPr>
            </w:pPr>
          </w:p>
        </w:tc>
        <w:tc>
          <w:tcPr>
            <w:tcW w:w="816" w:type="dxa"/>
            <w:noWrap w:val="0"/>
            <w:vAlign w:val="top"/>
          </w:tcPr>
          <w:p>
            <w:pPr>
              <w:spacing w:line="400" w:lineRule="exact"/>
              <w:rPr>
                <w:color w:val="auto"/>
                <w:highlight w:val="none"/>
              </w:rPr>
            </w:pPr>
          </w:p>
        </w:tc>
        <w:tc>
          <w:tcPr>
            <w:tcW w:w="1063" w:type="dxa"/>
            <w:gridSpan w:val="2"/>
            <w:noWrap w:val="0"/>
            <w:vAlign w:val="top"/>
          </w:tcPr>
          <w:p>
            <w:pPr>
              <w:spacing w:line="400" w:lineRule="exact"/>
              <w:rPr>
                <w:color w:val="auto"/>
                <w:highlight w:val="none"/>
              </w:rPr>
            </w:pPr>
          </w:p>
        </w:tc>
        <w:tc>
          <w:tcPr>
            <w:tcW w:w="1782" w:type="dxa"/>
            <w:gridSpan w:val="3"/>
            <w:noWrap w:val="0"/>
            <w:vAlign w:val="top"/>
          </w:tcPr>
          <w:p>
            <w:pPr>
              <w:spacing w:line="400" w:lineRule="exact"/>
              <w:jc w:val="center"/>
              <w:rPr>
                <w:color w:val="auto"/>
                <w:highlight w:val="none"/>
              </w:rPr>
            </w:pPr>
          </w:p>
        </w:tc>
        <w:tc>
          <w:tcPr>
            <w:tcW w:w="1780" w:type="dxa"/>
            <w:gridSpan w:val="3"/>
            <w:noWrap w:val="0"/>
            <w:vAlign w:val="top"/>
          </w:tcPr>
          <w:p>
            <w:pPr>
              <w:spacing w:line="400" w:lineRule="exact"/>
              <w:rPr>
                <w:color w:val="auto"/>
                <w:highlight w:val="none"/>
              </w:rPr>
            </w:pPr>
          </w:p>
        </w:tc>
        <w:tc>
          <w:tcPr>
            <w:tcW w:w="850" w:type="dxa"/>
            <w:noWrap w:val="0"/>
            <w:vAlign w:val="top"/>
          </w:tcPr>
          <w:p>
            <w:pPr>
              <w:spacing w:line="400" w:lineRule="exact"/>
              <w:rPr>
                <w:color w:val="auto"/>
                <w:highlight w:val="none"/>
              </w:rPr>
            </w:pPr>
          </w:p>
        </w:tc>
        <w:tc>
          <w:tcPr>
            <w:tcW w:w="1306" w:type="dxa"/>
            <w:tcBorders>
              <w:right w:val="double" w:color="auto" w:sz="4" w:space="0"/>
            </w:tcBorders>
            <w:noWrap w:val="0"/>
            <w:vAlign w:val="top"/>
          </w:tcPr>
          <w:p>
            <w:pPr>
              <w:spacing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50" w:type="dxa"/>
            <w:tcBorders>
              <w:left w:val="double" w:color="auto" w:sz="4" w:space="0"/>
            </w:tcBorders>
            <w:noWrap w:val="0"/>
            <w:vAlign w:val="top"/>
          </w:tcPr>
          <w:p>
            <w:pPr>
              <w:spacing w:line="400" w:lineRule="exact"/>
              <w:rPr>
                <w:color w:val="auto"/>
                <w:highlight w:val="none"/>
              </w:rPr>
            </w:pPr>
          </w:p>
        </w:tc>
        <w:tc>
          <w:tcPr>
            <w:tcW w:w="731" w:type="dxa"/>
            <w:noWrap w:val="0"/>
            <w:vAlign w:val="top"/>
          </w:tcPr>
          <w:p>
            <w:pPr>
              <w:spacing w:line="400" w:lineRule="exact"/>
              <w:rPr>
                <w:color w:val="auto"/>
                <w:highlight w:val="none"/>
              </w:rPr>
            </w:pPr>
          </w:p>
        </w:tc>
        <w:tc>
          <w:tcPr>
            <w:tcW w:w="816" w:type="dxa"/>
            <w:noWrap w:val="0"/>
            <w:vAlign w:val="top"/>
          </w:tcPr>
          <w:p>
            <w:pPr>
              <w:spacing w:line="400" w:lineRule="exact"/>
              <w:rPr>
                <w:color w:val="auto"/>
                <w:highlight w:val="none"/>
              </w:rPr>
            </w:pPr>
          </w:p>
        </w:tc>
        <w:tc>
          <w:tcPr>
            <w:tcW w:w="1063" w:type="dxa"/>
            <w:gridSpan w:val="2"/>
            <w:noWrap w:val="0"/>
            <w:vAlign w:val="top"/>
          </w:tcPr>
          <w:p>
            <w:pPr>
              <w:spacing w:line="400" w:lineRule="exact"/>
              <w:rPr>
                <w:color w:val="auto"/>
                <w:highlight w:val="none"/>
              </w:rPr>
            </w:pPr>
          </w:p>
        </w:tc>
        <w:tc>
          <w:tcPr>
            <w:tcW w:w="1782" w:type="dxa"/>
            <w:gridSpan w:val="3"/>
            <w:noWrap w:val="0"/>
            <w:vAlign w:val="top"/>
          </w:tcPr>
          <w:p>
            <w:pPr>
              <w:spacing w:line="400" w:lineRule="exact"/>
              <w:jc w:val="center"/>
              <w:rPr>
                <w:color w:val="auto"/>
                <w:highlight w:val="none"/>
              </w:rPr>
            </w:pPr>
          </w:p>
        </w:tc>
        <w:tc>
          <w:tcPr>
            <w:tcW w:w="1780" w:type="dxa"/>
            <w:gridSpan w:val="3"/>
            <w:noWrap w:val="0"/>
            <w:vAlign w:val="top"/>
          </w:tcPr>
          <w:p>
            <w:pPr>
              <w:spacing w:line="400" w:lineRule="exact"/>
              <w:rPr>
                <w:color w:val="auto"/>
                <w:highlight w:val="none"/>
              </w:rPr>
            </w:pPr>
          </w:p>
        </w:tc>
        <w:tc>
          <w:tcPr>
            <w:tcW w:w="850" w:type="dxa"/>
            <w:noWrap w:val="0"/>
            <w:vAlign w:val="top"/>
          </w:tcPr>
          <w:p>
            <w:pPr>
              <w:spacing w:line="400" w:lineRule="exact"/>
              <w:rPr>
                <w:color w:val="auto"/>
                <w:highlight w:val="none"/>
              </w:rPr>
            </w:pPr>
          </w:p>
        </w:tc>
        <w:tc>
          <w:tcPr>
            <w:tcW w:w="1306" w:type="dxa"/>
            <w:tcBorders>
              <w:right w:val="double" w:color="auto" w:sz="4" w:space="0"/>
            </w:tcBorders>
            <w:noWrap w:val="0"/>
            <w:vAlign w:val="top"/>
          </w:tcPr>
          <w:p>
            <w:pPr>
              <w:spacing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8" w:type="dxa"/>
            <w:gridSpan w:val="13"/>
            <w:tcBorders>
              <w:left w:val="double" w:color="auto" w:sz="4" w:space="0"/>
              <w:bottom w:val="single" w:color="auto" w:sz="4" w:space="0"/>
              <w:right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四</w:t>
            </w:r>
            <w:r>
              <w:rPr>
                <w:color w:val="auto"/>
                <w:highlight w:val="none"/>
              </w:rPr>
              <w:t>、</w:t>
            </w:r>
            <w:r>
              <w:rPr>
                <w:rFonts w:hint="eastAsia"/>
                <w:color w:val="auto"/>
                <w:highlight w:val="none"/>
              </w:rPr>
              <w:t>区域市容秩序辅助管理人员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restart"/>
            <w:tcBorders>
              <w:left w:val="double" w:color="auto" w:sz="4" w:space="0"/>
              <w:bottom w:val="single" w:color="auto" w:sz="4" w:space="0"/>
            </w:tcBorders>
            <w:noWrap w:val="0"/>
            <w:vAlign w:val="center"/>
          </w:tcPr>
          <w:p>
            <w:pPr>
              <w:spacing w:line="400" w:lineRule="exact"/>
              <w:jc w:val="center"/>
              <w:rPr>
                <w:color w:val="auto"/>
                <w:highlight w:val="none"/>
              </w:rPr>
            </w:pPr>
            <w:r>
              <w:rPr>
                <w:rFonts w:hint="eastAsia"/>
                <w:color w:val="auto"/>
                <w:highlight w:val="none"/>
              </w:rPr>
              <w:t>职务</w:t>
            </w:r>
          </w:p>
        </w:tc>
        <w:tc>
          <w:tcPr>
            <w:tcW w:w="731" w:type="dxa"/>
            <w:vMerge w:val="restart"/>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姓名</w:t>
            </w:r>
          </w:p>
        </w:tc>
        <w:tc>
          <w:tcPr>
            <w:tcW w:w="816" w:type="dxa"/>
            <w:vMerge w:val="restart"/>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职称</w:t>
            </w:r>
          </w:p>
        </w:tc>
        <w:tc>
          <w:tcPr>
            <w:tcW w:w="1063" w:type="dxa"/>
            <w:gridSpan w:val="2"/>
            <w:vMerge w:val="restart"/>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年龄</w:t>
            </w:r>
          </w:p>
        </w:tc>
        <w:tc>
          <w:tcPr>
            <w:tcW w:w="3562" w:type="dxa"/>
            <w:gridSpan w:val="6"/>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上岗资格证明</w:t>
            </w:r>
          </w:p>
        </w:tc>
        <w:tc>
          <w:tcPr>
            <w:tcW w:w="2156" w:type="dxa"/>
            <w:gridSpan w:val="2"/>
            <w:tcBorders>
              <w:bottom w:val="single" w:color="auto" w:sz="4" w:space="0"/>
              <w:right w:val="double" w:color="auto" w:sz="4" w:space="0"/>
            </w:tcBorders>
            <w:noWrap w:val="0"/>
            <w:vAlign w:val="center"/>
          </w:tcPr>
          <w:p>
            <w:pPr>
              <w:spacing w:line="400" w:lineRule="exact"/>
              <w:jc w:val="center"/>
              <w:rPr>
                <w:color w:val="auto"/>
                <w:highlight w:val="none"/>
              </w:rPr>
            </w:pPr>
            <w:r>
              <w:rPr>
                <w:rFonts w:hint="eastAsia"/>
                <w:color w:val="auto"/>
                <w:highlight w:val="none"/>
              </w:rPr>
              <w:t>已承担服务项目情况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50" w:type="dxa"/>
            <w:vMerge w:val="continue"/>
            <w:tcBorders>
              <w:left w:val="double" w:color="auto" w:sz="4" w:space="0"/>
              <w:bottom w:val="single" w:color="auto" w:sz="4" w:space="0"/>
            </w:tcBorders>
            <w:noWrap w:val="0"/>
            <w:vAlign w:val="center"/>
          </w:tcPr>
          <w:p>
            <w:pPr>
              <w:widowControl/>
              <w:spacing w:line="400" w:lineRule="exact"/>
              <w:jc w:val="left"/>
              <w:rPr>
                <w:rFonts w:hint="eastAsia"/>
                <w:color w:val="auto"/>
                <w:highlight w:val="none"/>
              </w:rPr>
            </w:pPr>
          </w:p>
        </w:tc>
        <w:tc>
          <w:tcPr>
            <w:tcW w:w="731" w:type="dxa"/>
            <w:vMerge w:val="continue"/>
            <w:tcBorders>
              <w:bottom w:val="single" w:color="auto" w:sz="4" w:space="0"/>
            </w:tcBorders>
            <w:noWrap w:val="0"/>
            <w:vAlign w:val="center"/>
          </w:tcPr>
          <w:p>
            <w:pPr>
              <w:widowControl/>
              <w:spacing w:line="400" w:lineRule="exact"/>
              <w:jc w:val="left"/>
              <w:rPr>
                <w:rFonts w:hint="eastAsia"/>
                <w:color w:val="auto"/>
                <w:highlight w:val="none"/>
              </w:rPr>
            </w:pPr>
          </w:p>
        </w:tc>
        <w:tc>
          <w:tcPr>
            <w:tcW w:w="816" w:type="dxa"/>
            <w:vMerge w:val="continue"/>
            <w:tcBorders>
              <w:bottom w:val="single" w:color="auto" w:sz="4" w:space="0"/>
            </w:tcBorders>
            <w:noWrap w:val="0"/>
            <w:vAlign w:val="center"/>
          </w:tcPr>
          <w:p>
            <w:pPr>
              <w:widowControl/>
              <w:spacing w:line="400" w:lineRule="exact"/>
              <w:jc w:val="left"/>
              <w:rPr>
                <w:rFonts w:hint="eastAsia"/>
                <w:color w:val="auto"/>
                <w:highlight w:val="none"/>
              </w:rPr>
            </w:pPr>
          </w:p>
        </w:tc>
        <w:tc>
          <w:tcPr>
            <w:tcW w:w="1063" w:type="dxa"/>
            <w:gridSpan w:val="2"/>
            <w:vMerge w:val="continue"/>
            <w:tcBorders>
              <w:bottom w:val="single" w:color="auto" w:sz="4" w:space="0"/>
            </w:tcBorders>
            <w:noWrap w:val="0"/>
            <w:vAlign w:val="center"/>
          </w:tcPr>
          <w:p>
            <w:pPr>
              <w:widowControl/>
              <w:spacing w:line="400" w:lineRule="exact"/>
              <w:jc w:val="left"/>
              <w:rPr>
                <w:rFonts w:hint="eastAsia"/>
                <w:color w:val="auto"/>
                <w:highlight w:val="none"/>
              </w:rPr>
            </w:pPr>
          </w:p>
        </w:tc>
        <w:tc>
          <w:tcPr>
            <w:tcW w:w="812" w:type="dxa"/>
            <w:tcBorders>
              <w:bottom w:val="single" w:color="auto" w:sz="4" w:space="0"/>
            </w:tcBorders>
            <w:noWrap w:val="0"/>
            <w:vAlign w:val="center"/>
          </w:tcPr>
          <w:p>
            <w:pPr>
              <w:spacing w:line="400" w:lineRule="exact"/>
              <w:jc w:val="center"/>
              <w:rPr>
                <w:rFonts w:hint="eastAsia"/>
                <w:color w:val="auto"/>
                <w:highlight w:val="none"/>
              </w:rPr>
            </w:pPr>
            <w:r>
              <w:rPr>
                <w:rFonts w:hint="eastAsia"/>
                <w:color w:val="auto"/>
                <w:highlight w:val="none"/>
              </w:rPr>
              <w:t>证书</w:t>
            </w:r>
          </w:p>
          <w:p>
            <w:pPr>
              <w:spacing w:line="400" w:lineRule="exact"/>
              <w:jc w:val="center"/>
              <w:rPr>
                <w:rFonts w:hint="eastAsia"/>
                <w:color w:val="auto"/>
                <w:highlight w:val="none"/>
              </w:rPr>
            </w:pPr>
            <w:r>
              <w:rPr>
                <w:rFonts w:hint="eastAsia"/>
                <w:color w:val="auto"/>
                <w:highlight w:val="none"/>
              </w:rPr>
              <w:t>名称</w:t>
            </w:r>
          </w:p>
        </w:tc>
        <w:tc>
          <w:tcPr>
            <w:tcW w:w="970" w:type="dxa"/>
            <w:gridSpan w:val="2"/>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级别</w:t>
            </w:r>
          </w:p>
        </w:tc>
        <w:tc>
          <w:tcPr>
            <w:tcW w:w="934" w:type="dxa"/>
            <w:gridSpan w:val="2"/>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证号</w:t>
            </w:r>
          </w:p>
        </w:tc>
        <w:tc>
          <w:tcPr>
            <w:tcW w:w="846" w:type="dxa"/>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专业</w:t>
            </w:r>
          </w:p>
        </w:tc>
        <w:tc>
          <w:tcPr>
            <w:tcW w:w="850" w:type="dxa"/>
            <w:tcBorders>
              <w:bottom w:val="single" w:color="auto" w:sz="4" w:space="0"/>
            </w:tcBorders>
            <w:noWrap w:val="0"/>
            <w:vAlign w:val="center"/>
          </w:tcPr>
          <w:p>
            <w:pPr>
              <w:spacing w:line="400" w:lineRule="exact"/>
              <w:jc w:val="center"/>
              <w:rPr>
                <w:color w:val="auto"/>
                <w:highlight w:val="none"/>
              </w:rPr>
            </w:pPr>
            <w:r>
              <w:rPr>
                <w:rFonts w:hint="eastAsia"/>
                <w:color w:val="auto"/>
                <w:highlight w:val="none"/>
              </w:rPr>
              <w:t>项目数</w:t>
            </w:r>
          </w:p>
        </w:tc>
        <w:tc>
          <w:tcPr>
            <w:tcW w:w="1306" w:type="dxa"/>
            <w:tcBorders>
              <w:bottom w:val="single" w:color="auto" w:sz="4" w:space="0"/>
              <w:right w:val="double" w:color="auto" w:sz="4" w:space="0"/>
            </w:tcBorders>
            <w:noWrap w:val="0"/>
            <w:vAlign w:val="center"/>
          </w:tcPr>
          <w:p>
            <w:pPr>
              <w:spacing w:line="400" w:lineRule="exact"/>
              <w:jc w:val="center"/>
              <w:rPr>
                <w:color w:val="auto"/>
                <w:highlight w:val="none"/>
              </w:rPr>
            </w:pPr>
            <w:r>
              <w:rPr>
                <w:rFonts w:hint="eastAsia"/>
                <w:color w:val="auto"/>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50" w:type="dxa"/>
            <w:tcBorders>
              <w:left w:val="double" w:color="auto" w:sz="4" w:space="0"/>
              <w:bottom w:val="single" w:color="auto" w:sz="4" w:space="0"/>
            </w:tcBorders>
            <w:noWrap w:val="0"/>
            <w:vAlign w:val="center"/>
          </w:tcPr>
          <w:p>
            <w:pPr>
              <w:spacing w:line="400" w:lineRule="exact"/>
              <w:jc w:val="center"/>
              <w:rPr>
                <w:rFonts w:hint="eastAsia"/>
                <w:color w:val="auto"/>
                <w:highlight w:val="none"/>
              </w:rPr>
            </w:pPr>
          </w:p>
        </w:tc>
        <w:tc>
          <w:tcPr>
            <w:tcW w:w="731" w:type="dxa"/>
            <w:tcBorders>
              <w:bottom w:val="single" w:color="auto" w:sz="4" w:space="0"/>
            </w:tcBorders>
            <w:noWrap w:val="0"/>
            <w:vAlign w:val="center"/>
          </w:tcPr>
          <w:p>
            <w:pPr>
              <w:spacing w:line="400" w:lineRule="exact"/>
              <w:jc w:val="center"/>
              <w:rPr>
                <w:rFonts w:hint="eastAsia"/>
                <w:color w:val="auto"/>
                <w:highlight w:val="none"/>
              </w:rPr>
            </w:pPr>
          </w:p>
        </w:tc>
        <w:tc>
          <w:tcPr>
            <w:tcW w:w="816" w:type="dxa"/>
            <w:tcBorders>
              <w:bottom w:val="single" w:color="auto" w:sz="4" w:space="0"/>
            </w:tcBorders>
            <w:noWrap w:val="0"/>
            <w:vAlign w:val="center"/>
          </w:tcPr>
          <w:p>
            <w:pPr>
              <w:spacing w:line="400" w:lineRule="exact"/>
              <w:jc w:val="center"/>
              <w:rPr>
                <w:rFonts w:hint="eastAsia"/>
                <w:color w:val="auto"/>
                <w:highlight w:val="none"/>
              </w:rPr>
            </w:pPr>
          </w:p>
        </w:tc>
        <w:tc>
          <w:tcPr>
            <w:tcW w:w="1063" w:type="dxa"/>
            <w:gridSpan w:val="2"/>
            <w:tcBorders>
              <w:bottom w:val="single" w:color="auto" w:sz="4" w:space="0"/>
            </w:tcBorders>
            <w:noWrap w:val="0"/>
            <w:vAlign w:val="center"/>
          </w:tcPr>
          <w:p>
            <w:pPr>
              <w:spacing w:line="400" w:lineRule="exact"/>
              <w:jc w:val="center"/>
              <w:rPr>
                <w:rFonts w:hint="eastAsia"/>
                <w:color w:val="auto"/>
                <w:highlight w:val="none"/>
              </w:rPr>
            </w:pPr>
          </w:p>
        </w:tc>
        <w:tc>
          <w:tcPr>
            <w:tcW w:w="812" w:type="dxa"/>
            <w:tcBorders>
              <w:bottom w:val="single" w:color="auto" w:sz="4" w:space="0"/>
            </w:tcBorders>
            <w:noWrap w:val="0"/>
            <w:vAlign w:val="center"/>
          </w:tcPr>
          <w:p>
            <w:pPr>
              <w:spacing w:line="400" w:lineRule="exact"/>
              <w:jc w:val="center"/>
              <w:rPr>
                <w:rFonts w:hint="eastAsia"/>
                <w:color w:val="auto"/>
                <w:highlight w:val="none"/>
              </w:rPr>
            </w:pPr>
          </w:p>
        </w:tc>
        <w:tc>
          <w:tcPr>
            <w:tcW w:w="970" w:type="dxa"/>
            <w:gridSpan w:val="2"/>
            <w:tcBorders>
              <w:bottom w:val="single" w:color="auto" w:sz="4" w:space="0"/>
            </w:tcBorders>
            <w:noWrap w:val="0"/>
            <w:vAlign w:val="center"/>
          </w:tcPr>
          <w:p>
            <w:pPr>
              <w:spacing w:line="400" w:lineRule="exact"/>
              <w:jc w:val="center"/>
              <w:rPr>
                <w:rFonts w:hint="eastAsia"/>
                <w:color w:val="auto"/>
                <w:highlight w:val="none"/>
              </w:rPr>
            </w:pPr>
          </w:p>
        </w:tc>
        <w:tc>
          <w:tcPr>
            <w:tcW w:w="934" w:type="dxa"/>
            <w:gridSpan w:val="2"/>
            <w:tcBorders>
              <w:bottom w:val="single" w:color="auto" w:sz="4" w:space="0"/>
            </w:tcBorders>
            <w:noWrap w:val="0"/>
            <w:vAlign w:val="top"/>
          </w:tcPr>
          <w:p>
            <w:pPr>
              <w:spacing w:line="400" w:lineRule="exact"/>
              <w:rPr>
                <w:color w:val="auto"/>
                <w:highlight w:val="none"/>
              </w:rPr>
            </w:pPr>
          </w:p>
        </w:tc>
        <w:tc>
          <w:tcPr>
            <w:tcW w:w="846" w:type="dxa"/>
            <w:tcBorders>
              <w:bottom w:val="single" w:color="auto" w:sz="4" w:space="0"/>
            </w:tcBorders>
            <w:noWrap w:val="0"/>
            <w:vAlign w:val="top"/>
          </w:tcPr>
          <w:p>
            <w:pPr>
              <w:spacing w:line="400" w:lineRule="exact"/>
              <w:rPr>
                <w:color w:val="auto"/>
                <w:highlight w:val="none"/>
              </w:rPr>
            </w:pPr>
          </w:p>
        </w:tc>
        <w:tc>
          <w:tcPr>
            <w:tcW w:w="850" w:type="dxa"/>
            <w:tcBorders>
              <w:bottom w:val="single" w:color="auto" w:sz="4" w:space="0"/>
            </w:tcBorders>
            <w:noWrap w:val="0"/>
            <w:vAlign w:val="top"/>
          </w:tcPr>
          <w:p>
            <w:pPr>
              <w:spacing w:line="400" w:lineRule="exact"/>
              <w:rPr>
                <w:color w:val="auto"/>
                <w:highlight w:val="none"/>
              </w:rPr>
            </w:pPr>
          </w:p>
        </w:tc>
        <w:tc>
          <w:tcPr>
            <w:tcW w:w="1306" w:type="dxa"/>
            <w:tcBorders>
              <w:bottom w:val="single" w:color="auto" w:sz="4" w:space="0"/>
              <w:right w:val="double" w:color="auto" w:sz="4" w:space="0"/>
            </w:tcBorders>
            <w:noWrap w:val="0"/>
            <w:vAlign w:val="top"/>
          </w:tcPr>
          <w:p>
            <w:pPr>
              <w:spacing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50" w:type="dxa"/>
            <w:tcBorders>
              <w:left w:val="double" w:color="auto" w:sz="4" w:space="0"/>
              <w:bottom w:val="double" w:color="auto" w:sz="4" w:space="0"/>
            </w:tcBorders>
            <w:noWrap w:val="0"/>
            <w:vAlign w:val="center"/>
          </w:tcPr>
          <w:p>
            <w:pPr>
              <w:spacing w:line="400" w:lineRule="exact"/>
              <w:jc w:val="center"/>
              <w:rPr>
                <w:color w:val="auto"/>
                <w:highlight w:val="none"/>
              </w:rPr>
            </w:pPr>
            <w:r>
              <w:rPr>
                <w:rFonts w:hint="eastAsia"/>
                <w:color w:val="auto"/>
                <w:highlight w:val="none"/>
              </w:rPr>
              <w:t>……</w:t>
            </w:r>
          </w:p>
        </w:tc>
        <w:tc>
          <w:tcPr>
            <w:tcW w:w="731" w:type="dxa"/>
            <w:tcBorders>
              <w:bottom w:val="double" w:color="auto" w:sz="4" w:space="0"/>
            </w:tcBorders>
            <w:noWrap w:val="0"/>
            <w:vAlign w:val="center"/>
          </w:tcPr>
          <w:p>
            <w:pPr>
              <w:spacing w:line="400" w:lineRule="exact"/>
              <w:jc w:val="center"/>
              <w:rPr>
                <w:color w:val="auto"/>
                <w:highlight w:val="none"/>
              </w:rPr>
            </w:pPr>
            <w:r>
              <w:rPr>
                <w:rFonts w:hint="eastAsia"/>
                <w:color w:val="auto"/>
                <w:highlight w:val="none"/>
              </w:rPr>
              <w:t>……</w:t>
            </w:r>
          </w:p>
        </w:tc>
        <w:tc>
          <w:tcPr>
            <w:tcW w:w="816" w:type="dxa"/>
            <w:tcBorders>
              <w:bottom w:val="double" w:color="auto" w:sz="4" w:space="0"/>
            </w:tcBorders>
            <w:noWrap w:val="0"/>
            <w:vAlign w:val="center"/>
          </w:tcPr>
          <w:p>
            <w:pPr>
              <w:spacing w:line="400" w:lineRule="exact"/>
              <w:jc w:val="center"/>
              <w:rPr>
                <w:color w:val="auto"/>
                <w:highlight w:val="none"/>
              </w:rPr>
            </w:pPr>
            <w:r>
              <w:rPr>
                <w:rFonts w:hint="eastAsia"/>
                <w:color w:val="auto"/>
                <w:highlight w:val="none"/>
              </w:rPr>
              <w:t>……</w:t>
            </w:r>
          </w:p>
        </w:tc>
        <w:tc>
          <w:tcPr>
            <w:tcW w:w="1063" w:type="dxa"/>
            <w:gridSpan w:val="2"/>
            <w:tcBorders>
              <w:bottom w:val="double" w:color="auto" w:sz="4" w:space="0"/>
            </w:tcBorders>
            <w:noWrap w:val="0"/>
            <w:vAlign w:val="center"/>
          </w:tcPr>
          <w:p>
            <w:pPr>
              <w:spacing w:line="400" w:lineRule="exact"/>
              <w:jc w:val="center"/>
              <w:rPr>
                <w:color w:val="auto"/>
                <w:highlight w:val="none"/>
              </w:rPr>
            </w:pPr>
            <w:r>
              <w:rPr>
                <w:rFonts w:hint="eastAsia"/>
                <w:color w:val="auto"/>
                <w:highlight w:val="none"/>
              </w:rPr>
              <w:t>……</w:t>
            </w:r>
          </w:p>
        </w:tc>
        <w:tc>
          <w:tcPr>
            <w:tcW w:w="812" w:type="dxa"/>
            <w:tcBorders>
              <w:bottom w:val="double" w:color="auto" w:sz="4" w:space="0"/>
            </w:tcBorders>
            <w:noWrap w:val="0"/>
            <w:vAlign w:val="center"/>
          </w:tcPr>
          <w:p>
            <w:pPr>
              <w:spacing w:line="400" w:lineRule="exact"/>
              <w:jc w:val="center"/>
              <w:rPr>
                <w:color w:val="auto"/>
                <w:highlight w:val="none"/>
              </w:rPr>
            </w:pPr>
            <w:r>
              <w:rPr>
                <w:rFonts w:hint="eastAsia"/>
                <w:color w:val="auto"/>
                <w:highlight w:val="none"/>
              </w:rPr>
              <w:t>……</w:t>
            </w:r>
          </w:p>
        </w:tc>
        <w:tc>
          <w:tcPr>
            <w:tcW w:w="970" w:type="dxa"/>
            <w:gridSpan w:val="2"/>
            <w:tcBorders>
              <w:bottom w:val="double" w:color="auto" w:sz="4" w:space="0"/>
            </w:tcBorders>
            <w:noWrap w:val="0"/>
            <w:vAlign w:val="center"/>
          </w:tcPr>
          <w:p>
            <w:pPr>
              <w:spacing w:line="400" w:lineRule="exact"/>
              <w:jc w:val="center"/>
              <w:rPr>
                <w:rFonts w:hint="eastAsia"/>
                <w:color w:val="auto"/>
                <w:highlight w:val="none"/>
              </w:rPr>
            </w:pPr>
            <w:r>
              <w:rPr>
                <w:rFonts w:hint="eastAsia"/>
                <w:color w:val="auto"/>
                <w:highlight w:val="none"/>
              </w:rPr>
              <w:t>……</w:t>
            </w:r>
          </w:p>
        </w:tc>
        <w:tc>
          <w:tcPr>
            <w:tcW w:w="934" w:type="dxa"/>
            <w:gridSpan w:val="2"/>
            <w:tcBorders>
              <w:bottom w:val="double" w:color="auto" w:sz="4" w:space="0"/>
            </w:tcBorders>
            <w:noWrap w:val="0"/>
            <w:vAlign w:val="top"/>
          </w:tcPr>
          <w:p>
            <w:pPr>
              <w:spacing w:line="400" w:lineRule="exact"/>
              <w:jc w:val="center"/>
              <w:rPr>
                <w:color w:val="auto"/>
                <w:highlight w:val="none"/>
              </w:rPr>
            </w:pPr>
            <w:r>
              <w:rPr>
                <w:rFonts w:hint="eastAsia"/>
                <w:color w:val="auto"/>
                <w:highlight w:val="none"/>
              </w:rPr>
              <w:t>……</w:t>
            </w:r>
          </w:p>
        </w:tc>
        <w:tc>
          <w:tcPr>
            <w:tcW w:w="846" w:type="dxa"/>
            <w:tcBorders>
              <w:bottom w:val="double" w:color="auto" w:sz="4" w:space="0"/>
            </w:tcBorders>
            <w:noWrap w:val="0"/>
            <w:vAlign w:val="top"/>
          </w:tcPr>
          <w:p>
            <w:pPr>
              <w:spacing w:line="400" w:lineRule="exact"/>
              <w:jc w:val="center"/>
              <w:rPr>
                <w:color w:val="auto"/>
                <w:highlight w:val="none"/>
              </w:rPr>
            </w:pPr>
            <w:r>
              <w:rPr>
                <w:rFonts w:hint="eastAsia"/>
                <w:color w:val="auto"/>
                <w:highlight w:val="none"/>
              </w:rPr>
              <w:t>……</w:t>
            </w:r>
          </w:p>
        </w:tc>
        <w:tc>
          <w:tcPr>
            <w:tcW w:w="850" w:type="dxa"/>
            <w:tcBorders>
              <w:bottom w:val="double" w:color="auto" w:sz="4" w:space="0"/>
            </w:tcBorders>
            <w:noWrap w:val="0"/>
            <w:vAlign w:val="top"/>
          </w:tcPr>
          <w:p>
            <w:pPr>
              <w:spacing w:line="400" w:lineRule="exact"/>
              <w:rPr>
                <w:color w:val="auto"/>
                <w:highlight w:val="none"/>
              </w:rPr>
            </w:pPr>
          </w:p>
        </w:tc>
        <w:tc>
          <w:tcPr>
            <w:tcW w:w="1306" w:type="dxa"/>
            <w:tcBorders>
              <w:bottom w:val="double" w:color="auto" w:sz="4" w:space="0"/>
              <w:right w:val="double" w:color="auto" w:sz="4" w:space="0"/>
            </w:tcBorders>
            <w:noWrap w:val="0"/>
            <w:vAlign w:val="top"/>
          </w:tcPr>
          <w:p>
            <w:pPr>
              <w:spacing w:line="400" w:lineRule="exact"/>
              <w:rPr>
                <w:color w:val="auto"/>
                <w:highlight w:val="none"/>
              </w:rPr>
            </w:pPr>
          </w:p>
        </w:tc>
      </w:tr>
    </w:tbl>
    <w:p>
      <w:pPr>
        <w:spacing w:line="400" w:lineRule="exact"/>
        <w:ind w:firstLine="420" w:firstLineChars="200"/>
        <w:rPr>
          <w:rFonts w:hint="eastAsia"/>
          <w:color w:val="auto"/>
          <w:highlight w:val="none"/>
        </w:rPr>
      </w:pPr>
      <w:r>
        <w:rPr>
          <w:rFonts w:hint="eastAsia"/>
          <w:color w:val="auto"/>
          <w:highlight w:val="none"/>
        </w:rPr>
        <w:t>注：1、保洁和</w:t>
      </w:r>
      <w:r>
        <w:rPr>
          <w:color w:val="auto"/>
          <w:highlight w:val="none"/>
        </w:rPr>
        <w:t>养护人员</w:t>
      </w:r>
      <w:r>
        <w:rPr>
          <w:rFonts w:hint="eastAsia"/>
          <w:color w:val="auto"/>
          <w:highlight w:val="none"/>
        </w:rPr>
        <w:t>、闸门、泵站管养人员及区域市容秩序辅助管理人员可以中标后再提供详细名单，但在投标时需以文字说明拟投入人员数量、年龄分布等。</w:t>
      </w:r>
    </w:p>
    <w:p>
      <w:pPr>
        <w:spacing w:line="400" w:lineRule="exact"/>
        <w:ind w:firstLine="840" w:firstLineChars="400"/>
        <w:rPr>
          <w:rFonts w:hint="eastAsia"/>
          <w:b/>
          <w:bCs/>
          <w:color w:val="auto"/>
          <w:highlight w:val="none"/>
        </w:rPr>
      </w:pPr>
      <w:r>
        <w:rPr>
          <w:rFonts w:hint="eastAsia"/>
          <w:color w:val="auto"/>
          <w:highlight w:val="none"/>
        </w:rPr>
        <w:t>2、提供项目负责人、项目管理人员资格证书、社保证明、劳动合同复印件等资料；</w:t>
      </w:r>
    </w:p>
    <w:p>
      <w:pPr>
        <w:spacing w:line="400" w:lineRule="exact"/>
        <w:jc w:val="center"/>
        <w:rPr>
          <w:rFonts w:hint="eastAsia"/>
          <w:b/>
          <w:color w:val="auto"/>
          <w:highlight w:val="none"/>
        </w:rPr>
      </w:pPr>
    </w:p>
    <w:p>
      <w:pPr>
        <w:spacing w:line="400" w:lineRule="exact"/>
        <w:rPr>
          <w:rFonts w:hint="eastAsia"/>
          <w:color w:val="auto"/>
          <w:highlight w:val="none"/>
          <w:u w:val="single"/>
        </w:rPr>
      </w:pPr>
      <w:r>
        <w:rPr>
          <w:rFonts w:hint="eastAsia"/>
          <w:color w:val="auto"/>
          <w:highlight w:val="none"/>
        </w:rPr>
        <w:t>投标人全称：</w:t>
      </w:r>
      <w:r>
        <w:rPr>
          <w:rFonts w:hint="eastAsia"/>
          <w:color w:val="auto"/>
          <w:highlight w:val="none"/>
          <w:u w:val="single"/>
        </w:rPr>
        <w:t xml:space="preserve">              （公章）      </w:t>
      </w:r>
    </w:p>
    <w:p>
      <w:pPr>
        <w:snapToGrid w:val="0"/>
        <w:spacing w:before="50" w:after="156" w:line="440" w:lineRule="exact"/>
        <w:ind w:left="57" w:right="-817" w:rightChars="-389" w:hanging="57"/>
        <w:rPr>
          <w:rFonts w:hint="eastAsia"/>
          <w:color w:val="auto"/>
          <w:sz w:val="24"/>
          <w:highlight w:val="none"/>
        </w:rPr>
      </w:pPr>
      <w:r>
        <w:rPr>
          <w:rFonts w:hint="eastAsia" w:ascii="宋体" w:hAnsi="宋体" w:cs="宋体"/>
          <w:color w:val="auto"/>
          <w:highlight w:val="none"/>
        </w:rPr>
        <w:t>法定代表人或授权代表（签字或盖章）：</w:t>
      </w:r>
      <w:r>
        <w:rPr>
          <w:rFonts w:hint="eastAsia" w:ascii="宋体" w:hAnsi="宋体" w:cs="宋体"/>
          <w:color w:val="auto"/>
          <w:highlight w:val="none"/>
          <w:u w:val="single"/>
        </w:rPr>
        <w:t xml:space="preserve">          </w:t>
      </w:r>
      <w:r>
        <w:rPr>
          <w:rFonts w:hint="eastAsia"/>
          <w:color w:val="auto"/>
          <w:sz w:val="24"/>
          <w:highlight w:val="none"/>
        </w:rPr>
        <w:t xml:space="preserve"> </w:t>
      </w:r>
    </w:p>
    <w:p>
      <w:pPr>
        <w:pStyle w:val="13"/>
        <w:snapToGrid w:val="0"/>
        <w:spacing w:beforeLines="0" w:after="295" w:afterLines="0" w:line="440" w:lineRule="exact"/>
        <w:rPr>
          <w:b/>
          <w:color w:val="auto"/>
          <w:highlight w:val="none"/>
        </w:rPr>
      </w:pPr>
      <w:r>
        <w:rPr>
          <w:rFonts w:hint="eastAsia"/>
          <w:color w:val="auto"/>
          <w:highlight w:val="none"/>
        </w:rPr>
        <w:t xml:space="preserve">日期： </w:t>
      </w:r>
      <w:r>
        <w:rPr>
          <w:rFonts w:hint="eastAsia"/>
          <w:color w:val="auto"/>
          <w:highlight w:val="none"/>
          <w:u w:val="single"/>
        </w:rPr>
        <w:t xml:space="preserve">                   </w:t>
      </w:r>
      <w:r>
        <w:rPr>
          <w:rFonts w:hint="eastAsia"/>
          <w:b/>
          <w:color w:val="auto"/>
          <w:highlight w:val="none"/>
        </w:rPr>
        <w:t xml:space="preserve"> </w:t>
      </w:r>
      <w:r>
        <w:rPr>
          <w:b/>
          <w:color w:val="auto"/>
          <w:highlight w:val="none"/>
        </w:rPr>
        <w:t xml:space="preserve"> </w:t>
      </w:r>
    </w:p>
    <w:p>
      <w:pPr>
        <w:pStyle w:val="13"/>
        <w:snapToGrid w:val="0"/>
        <w:spacing w:beforeLines="0" w:after="295" w:afterLines="0" w:line="440" w:lineRule="exact"/>
        <w:rPr>
          <w:b/>
          <w:color w:val="auto"/>
          <w:highlight w:val="none"/>
        </w:rPr>
      </w:pPr>
    </w:p>
    <w:p>
      <w:pPr>
        <w:pStyle w:val="13"/>
        <w:snapToGrid w:val="0"/>
        <w:spacing w:beforeLines="0" w:after="295" w:afterLines="0" w:line="440" w:lineRule="exact"/>
        <w:rPr>
          <w:b/>
          <w:color w:val="auto"/>
          <w:highlight w:val="none"/>
        </w:rPr>
      </w:pPr>
    </w:p>
    <w:p>
      <w:pPr>
        <w:pStyle w:val="13"/>
        <w:snapToGrid w:val="0"/>
        <w:spacing w:beforeLines="0" w:after="295" w:afterLines="0" w:line="440" w:lineRule="exact"/>
        <w:rPr>
          <w:rFonts w:hint="eastAsia"/>
          <w:b/>
          <w:color w:val="auto"/>
          <w:highlight w:val="none"/>
        </w:rPr>
        <w:sectPr>
          <w:headerReference r:id="rId3" w:type="default"/>
          <w:footerReference r:id="rId4" w:type="default"/>
          <w:pgSz w:w="11906" w:h="16838"/>
          <w:pgMar w:top="1020" w:right="649" w:bottom="1440" w:left="1797" w:header="431" w:footer="992" w:gutter="0"/>
          <w:pgNumType w:start="1"/>
          <w:cols w:space="720" w:num="1"/>
          <w:docGrid w:linePitch="312" w:charSpace="0"/>
        </w:sectPr>
      </w:pPr>
    </w:p>
    <w:tbl>
      <w:tblPr>
        <w:tblStyle w:val="26"/>
        <w:tblW w:w="14562" w:type="dxa"/>
        <w:jc w:val="center"/>
        <w:tblLayout w:type="fixed"/>
        <w:tblCellMar>
          <w:top w:w="0" w:type="dxa"/>
          <w:left w:w="108" w:type="dxa"/>
          <w:bottom w:w="0" w:type="dxa"/>
          <w:right w:w="108" w:type="dxa"/>
        </w:tblCellMar>
      </w:tblPr>
      <w:tblGrid>
        <w:gridCol w:w="1620"/>
        <w:gridCol w:w="1498"/>
        <w:gridCol w:w="1899"/>
        <w:gridCol w:w="1910"/>
        <w:gridCol w:w="1280"/>
        <w:gridCol w:w="1500"/>
        <w:gridCol w:w="1480"/>
        <w:gridCol w:w="1120"/>
        <w:gridCol w:w="1150"/>
        <w:gridCol w:w="1105"/>
      </w:tblGrid>
      <w:tr>
        <w:tblPrEx>
          <w:tblCellMar>
            <w:top w:w="0" w:type="dxa"/>
            <w:left w:w="108" w:type="dxa"/>
            <w:bottom w:w="0" w:type="dxa"/>
            <w:right w:w="108" w:type="dxa"/>
          </w:tblCellMar>
        </w:tblPrEx>
        <w:trPr>
          <w:trHeight w:val="680" w:hRule="atLeast"/>
          <w:jc w:val="center"/>
        </w:trPr>
        <w:tc>
          <w:tcPr>
            <w:tcW w:w="14562" w:type="dxa"/>
            <w:gridSpan w:val="10"/>
            <w:tcBorders>
              <w:top w:val="nil"/>
              <w:left w:val="nil"/>
              <w:bottom w:val="single" w:color="auto" w:sz="4" w:space="0"/>
              <w:right w:val="nil"/>
            </w:tcBorders>
            <w:noWrap w:val="0"/>
            <w:vAlign w:val="center"/>
          </w:tcPr>
          <w:p>
            <w:pPr>
              <w:widowControl/>
              <w:spacing w:line="360" w:lineRule="auto"/>
              <w:jc w:val="center"/>
              <w:rPr>
                <w:rFonts w:hint="eastAsia" w:ascii="宋体" w:hAnsi="宋体" w:cs="宋体"/>
                <w:b/>
                <w:bCs/>
                <w:color w:val="auto"/>
                <w:kern w:val="0"/>
                <w:highlight w:val="none"/>
              </w:rPr>
            </w:pPr>
            <w:r>
              <w:rPr>
                <w:rFonts w:hint="eastAsia" w:ascii="宋体" w:hAnsi="宋体" w:cs="宋体"/>
                <w:b/>
                <w:bCs/>
                <w:color w:val="auto"/>
                <w:kern w:val="0"/>
                <w:highlight w:val="none"/>
              </w:rPr>
              <w:t>中小微行业划型标准规定（根据工信部联企业〔2011〕300号制定）</w:t>
            </w:r>
          </w:p>
        </w:tc>
      </w:tr>
      <w:tr>
        <w:tblPrEx>
          <w:tblCellMar>
            <w:top w:w="0" w:type="dxa"/>
            <w:left w:w="108" w:type="dxa"/>
            <w:bottom w:w="0" w:type="dxa"/>
            <w:right w:w="108" w:type="dxa"/>
          </w:tblCellMar>
        </w:tblPrEx>
        <w:trPr>
          <w:trHeight w:val="465"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auto"/>
                <w:kern w:val="0"/>
                <w:highlight w:val="none"/>
              </w:rPr>
            </w:pPr>
            <w:r>
              <w:rPr>
                <w:rFonts w:hint="eastAsia" w:ascii="宋体" w:hAnsi="宋体" w:cs="宋体"/>
                <w:b/>
                <w:bCs/>
                <w:color w:val="auto"/>
                <w:kern w:val="0"/>
                <w:highlight w:val="none"/>
              </w:rPr>
              <w:t>行业</w:t>
            </w:r>
          </w:p>
        </w:tc>
        <w:tc>
          <w:tcPr>
            <w:tcW w:w="53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auto"/>
                <w:kern w:val="0"/>
                <w:highlight w:val="none"/>
              </w:rPr>
            </w:pPr>
            <w:r>
              <w:rPr>
                <w:rFonts w:hint="eastAsia" w:ascii="宋体" w:hAnsi="宋体" w:cs="宋体"/>
                <w:b/>
                <w:bCs/>
                <w:color w:val="auto"/>
                <w:kern w:val="0"/>
                <w:highlight w:val="none"/>
              </w:rPr>
              <w:t>中型企业</w:t>
            </w:r>
          </w:p>
        </w:tc>
        <w:tc>
          <w:tcPr>
            <w:tcW w:w="42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auto"/>
                <w:kern w:val="0"/>
                <w:highlight w:val="none"/>
              </w:rPr>
            </w:pPr>
            <w:r>
              <w:rPr>
                <w:rFonts w:hint="eastAsia" w:ascii="宋体" w:hAnsi="宋体" w:cs="宋体"/>
                <w:b/>
                <w:bCs/>
                <w:color w:val="auto"/>
                <w:kern w:val="0"/>
                <w:highlight w:val="none"/>
              </w:rPr>
              <w:t>小型企业</w:t>
            </w:r>
          </w:p>
        </w:tc>
        <w:tc>
          <w:tcPr>
            <w:tcW w:w="33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auto"/>
                <w:kern w:val="0"/>
                <w:highlight w:val="none"/>
              </w:rPr>
            </w:pPr>
            <w:r>
              <w:rPr>
                <w:rFonts w:hint="eastAsia" w:ascii="宋体" w:hAnsi="宋体" w:cs="宋体"/>
                <w:b/>
                <w:bCs/>
                <w:color w:val="auto"/>
                <w:kern w:val="0"/>
                <w:highlight w:val="none"/>
              </w:rPr>
              <w:t>微型企业</w:t>
            </w:r>
          </w:p>
        </w:tc>
      </w:tr>
      <w:tr>
        <w:tblPrEx>
          <w:tblCellMar>
            <w:top w:w="0" w:type="dxa"/>
            <w:left w:w="108" w:type="dxa"/>
            <w:bottom w:w="0" w:type="dxa"/>
            <w:right w:w="108" w:type="dxa"/>
          </w:tblCellMar>
        </w:tblPrEx>
        <w:trPr>
          <w:trHeight w:val="525" w:hRule="atLeast"/>
          <w:jc w:val="center"/>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auto"/>
                <w:kern w:val="0"/>
                <w:highlight w:val="none"/>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从业人员X（人）</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营业收入Y</w:t>
            </w:r>
          </w:p>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（万元）</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资产总额Z</w:t>
            </w:r>
          </w:p>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（万元）</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从业人员X（人）</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营业收入Y</w:t>
            </w:r>
          </w:p>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（万元）</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资产总额Z</w:t>
            </w:r>
          </w:p>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（万元）</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从业人员X（人）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营业收入Y（万元）</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资产总额Z（万元）</w:t>
            </w: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1、农林牧渔业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500≤Y＜20000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50≤Y＜500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Y＜50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2、工业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300≤X＜1000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2000≤Y＜40000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20≤X＜300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300≤Y＜2000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X＜20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Y＜300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3、建筑业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6000≤Y＜80000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5000≤Z＜80000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300≤Y＜6000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300≤Z＜5000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Y＜300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Z＜300</w:t>
            </w: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4、批发业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20≤X＜200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5000≤Y＜40000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5≤X＜20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1000≤Y＜5000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X＜5</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5、零售业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500≤Y＜20000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10≤X＜50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100≤Y＜500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6、交通运输业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300≤X＜1000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3000≤Y＜30000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20≤X＜300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200≤Y＜3000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X＜20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V＜200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7、仓储业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100≤X＜200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1000≤Y＜30000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100≤Y＜1000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X＜20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8、邮政业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300≤X＜1000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2000≤Y＜30000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20≤X＜300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100≤Y＜2000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X＜20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9、住宿业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2000≤Y＜10000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100≤Y＜2000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10、餐饮业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2000≤Y＜10000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100≤Y＜2000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V＜100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524"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11、信息传输业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100≤X＜2000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1000≤Y＜100000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100≤Y＜1000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12、软件和信息技术服务业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1000≤Y＜10000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50≤Y＜1000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Y＜50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13、房地产开发经营</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1000≤Y＜200000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5000≤Z＜10000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100≤Y＜1000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2000≤Z＜5000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Y＜100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Z＜2000</w:t>
            </w: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14、物业管理</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300≤X＜1000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1000≤Y＜5000</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500≤Y＜1000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Y＜500</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15、租赁和商务服务业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8000≤Z＜120000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100≤Z＜8000</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Z＜100</w:t>
            </w:r>
          </w:p>
        </w:tc>
      </w:tr>
      <w:tr>
        <w:tblPrEx>
          <w:tblCellMar>
            <w:top w:w="0" w:type="dxa"/>
            <w:left w:w="108" w:type="dxa"/>
            <w:bottom w:w="0" w:type="dxa"/>
            <w:right w:w="108" w:type="dxa"/>
          </w:tblCellMar>
        </w:tblPrEx>
        <w:trPr>
          <w:trHeight w:val="36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16、其他未列明行业</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100≤X＜300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10≤X＜100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r>
              <w:rPr>
                <w:rFonts w:hint="eastAsia" w:ascii="宋体" w:hAnsi="宋体" w:cs="宋体"/>
                <w:color w:val="auto"/>
                <w:kern w:val="0"/>
                <w:highlight w:val="none"/>
              </w:rPr>
              <w:t>X＜10</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highlight w:val="none"/>
              </w:rPr>
            </w:pPr>
          </w:p>
        </w:tc>
      </w:tr>
      <w:tr>
        <w:tblPrEx>
          <w:tblCellMar>
            <w:top w:w="0" w:type="dxa"/>
            <w:left w:w="108" w:type="dxa"/>
            <w:bottom w:w="0" w:type="dxa"/>
            <w:right w:w="108" w:type="dxa"/>
          </w:tblCellMar>
        </w:tblPrEx>
        <w:trPr>
          <w:trHeight w:val="285" w:hRule="atLeast"/>
          <w:jc w:val="center"/>
        </w:trPr>
        <w:tc>
          <w:tcPr>
            <w:tcW w:w="14562" w:type="dxa"/>
            <w:gridSpan w:val="10"/>
            <w:tcBorders>
              <w:top w:val="single" w:color="auto" w:sz="4" w:space="0"/>
              <w:left w:val="nil"/>
              <w:bottom w:val="nil"/>
              <w:right w:val="nil"/>
            </w:tcBorders>
            <w:noWrap w:val="0"/>
            <w:vAlign w:val="center"/>
          </w:tcPr>
          <w:p>
            <w:pPr>
              <w:widowControl/>
              <w:spacing w:line="360" w:lineRule="auto"/>
              <w:jc w:val="left"/>
              <w:rPr>
                <w:rFonts w:hint="eastAsia" w:ascii="宋体" w:hAnsi="宋体" w:cs="宋体"/>
                <w:color w:val="auto"/>
                <w:kern w:val="0"/>
                <w:highlight w:val="none"/>
              </w:rPr>
            </w:pPr>
            <w:r>
              <w:rPr>
                <w:rFonts w:hint="eastAsia" w:ascii="宋体" w:hAnsi="宋体" w:cs="宋体"/>
                <w:color w:val="auto"/>
                <w:kern w:val="0"/>
                <w:highlight w:val="none"/>
              </w:rPr>
              <w:t>说明：1、企业类型的划分以统计部门的统计数据为依据。</w:t>
            </w:r>
          </w:p>
          <w:p>
            <w:pPr>
              <w:widowControl/>
              <w:spacing w:line="360" w:lineRule="auto"/>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2、个体工商户和本规定以外的行业，参照本规定进行划型。</w:t>
            </w:r>
          </w:p>
          <w:p>
            <w:pPr>
              <w:widowControl/>
              <w:spacing w:line="360" w:lineRule="auto"/>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3、本规定的中型企业标准上限即为大型企业标准的下限。</w:t>
            </w:r>
          </w:p>
        </w:tc>
      </w:tr>
    </w:tbl>
    <w:p>
      <w:pPr>
        <w:pStyle w:val="13"/>
        <w:snapToGrid w:val="0"/>
        <w:spacing w:beforeLines="0" w:after="295" w:afterLines="0" w:line="440" w:lineRule="exact"/>
        <w:rPr>
          <w:rFonts w:hint="eastAsia"/>
          <w:b/>
          <w:color w:val="auto"/>
          <w:highlight w:val="none"/>
        </w:rPr>
      </w:pPr>
    </w:p>
    <w:sectPr>
      <w:pgSz w:w="16838" w:h="11906" w:orient="landscape"/>
      <w:pgMar w:top="1797"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11</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9Kf18kBAACZAwAADgAAAGRycy9lMm9Eb2MueG1srVPNjtMwEL6vxDtY vlNnK4G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1S4rjFgZ9//jj/ejw/fCdv sj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z0p/X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6DEF8"/>
    <w:multiLevelType w:val="singleLevel"/>
    <w:tmpl w:val="BED6DEF8"/>
    <w:lvl w:ilvl="0" w:tentative="0">
      <w:start w:val="1"/>
      <w:numFmt w:val="decimal"/>
      <w:suff w:val="nothing"/>
      <w:lvlText w:val="%1、"/>
      <w:lvlJc w:val="left"/>
    </w:lvl>
  </w:abstractNum>
  <w:abstractNum w:abstractNumId="1">
    <w:nsid w:val="E43B9AC7"/>
    <w:multiLevelType w:val="singleLevel"/>
    <w:tmpl w:val="E43B9AC7"/>
    <w:lvl w:ilvl="0" w:tentative="0">
      <w:start w:val="1"/>
      <w:numFmt w:val="decimal"/>
      <w:lvlText w:val="%1."/>
      <w:lvlJc w:val="left"/>
      <w:pPr>
        <w:tabs>
          <w:tab w:val="left" w:pos="312"/>
        </w:tabs>
      </w:pPr>
    </w:lvl>
  </w:abstractNum>
  <w:abstractNum w:abstractNumId="2">
    <w:nsid w:val="EADE7BDB"/>
    <w:multiLevelType w:val="singleLevel"/>
    <w:tmpl w:val="EADE7BDB"/>
    <w:lvl w:ilvl="0" w:tentative="0">
      <w:start w:val="1"/>
      <w:numFmt w:val="decimal"/>
      <w:suff w:val="nothing"/>
      <w:lvlText w:val="%1、"/>
      <w:lvlJc w:val="left"/>
    </w:lvl>
  </w:abstractNum>
  <w:abstractNum w:abstractNumId="3">
    <w:nsid w:val="F01D529E"/>
    <w:multiLevelType w:val="singleLevel"/>
    <w:tmpl w:val="F01D529E"/>
    <w:lvl w:ilvl="0" w:tentative="0">
      <w:start w:val="1"/>
      <w:numFmt w:val="chineseCounting"/>
      <w:suff w:val="space"/>
      <w:lvlText w:val="（%1）"/>
      <w:lvlJc w:val="left"/>
      <w:rPr>
        <w:rFonts w:hint="eastAsia"/>
      </w:rPr>
    </w:lvl>
  </w:abstractNum>
  <w:abstractNum w:abstractNumId="4">
    <w:nsid w:val="F1747CD7"/>
    <w:multiLevelType w:val="singleLevel"/>
    <w:tmpl w:val="F1747CD7"/>
    <w:lvl w:ilvl="0" w:tentative="0">
      <w:start w:val="1"/>
      <w:numFmt w:val="decimal"/>
      <w:suff w:val="nothing"/>
      <w:lvlText w:val="%1、"/>
      <w:lvlJc w:val="left"/>
    </w:lvl>
  </w:abstractNum>
  <w:abstractNum w:abstractNumId="5">
    <w:nsid w:val="0000000B"/>
    <w:multiLevelType w:val="multilevel"/>
    <w:tmpl w:val="0000000B"/>
    <w:lvl w:ilvl="0" w:tentative="0">
      <w:start w:val="1"/>
      <w:numFmt w:val="decimal"/>
      <w:lvlText w:val="%1."/>
      <w:lvlJc w:val="left"/>
      <w:pPr>
        <w:tabs>
          <w:tab w:val="left" w:pos="816"/>
        </w:tabs>
        <w:ind w:left="816" w:hanging="420"/>
      </w:pPr>
    </w:lvl>
    <w:lvl w:ilvl="1" w:tentative="0">
      <w:start w:val="1"/>
      <w:numFmt w:val="lowerLetter"/>
      <w:lvlText w:val="%2)"/>
      <w:lvlJc w:val="left"/>
      <w:pPr>
        <w:tabs>
          <w:tab w:val="left" w:pos="1236"/>
        </w:tabs>
        <w:ind w:left="1236" w:hanging="420"/>
      </w:pPr>
    </w:lvl>
    <w:lvl w:ilvl="2" w:tentative="0">
      <w:start w:val="1"/>
      <w:numFmt w:val="lowerRoman"/>
      <w:lvlText w:val="%3."/>
      <w:lvlJc w:val="right"/>
      <w:pPr>
        <w:tabs>
          <w:tab w:val="left" w:pos="1656"/>
        </w:tabs>
        <w:ind w:left="1656" w:hanging="420"/>
      </w:pPr>
    </w:lvl>
    <w:lvl w:ilvl="3" w:tentative="0">
      <w:start w:val="1"/>
      <w:numFmt w:val="decimal"/>
      <w:lvlText w:val="%4."/>
      <w:lvlJc w:val="left"/>
      <w:pPr>
        <w:tabs>
          <w:tab w:val="left" w:pos="2076"/>
        </w:tabs>
        <w:ind w:left="2076" w:hanging="420"/>
      </w:pPr>
    </w:lvl>
    <w:lvl w:ilvl="4" w:tentative="0">
      <w:start w:val="1"/>
      <w:numFmt w:val="lowerLetter"/>
      <w:lvlText w:val="%5)"/>
      <w:lvlJc w:val="left"/>
      <w:pPr>
        <w:tabs>
          <w:tab w:val="left" w:pos="2496"/>
        </w:tabs>
        <w:ind w:left="2496" w:hanging="420"/>
      </w:pPr>
    </w:lvl>
    <w:lvl w:ilvl="5" w:tentative="0">
      <w:start w:val="1"/>
      <w:numFmt w:val="lowerRoman"/>
      <w:lvlText w:val="%6."/>
      <w:lvlJc w:val="right"/>
      <w:pPr>
        <w:tabs>
          <w:tab w:val="left" w:pos="2916"/>
        </w:tabs>
        <w:ind w:left="2916" w:hanging="420"/>
      </w:pPr>
    </w:lvl>
    <w:lvl w:ilvl="6" w:tentative="0">
      <w:start w:val="1"/>
      <w:numFmt w:val="decimal"/>
      <w:lvlText w:val="%7."/>
      <w:lvlJc w:val="left"/>
      <w:pPr>
        <w:tabs>
          <w:tab w:val="left" w:pos="3336"/>
        </w:tabs>
        <w:ind w:left="3336" w:hanging="420"/>
      </w:pPr>
    </w:lvl>
    <w:lvl w:ilvl="7" w:tentative="0">
      <w:start w:val="1"/>
      <w:numFmt w:val="lowerLetter"/>
      <w:lvlText w:val="%8)"/>
      <w:lvlJc w:val="left"/>
      <w:pPr>
        <w:tabs>
          <w:tab w:val="left" w:pos="3756"/>
        </w:tabs>
        <w:ind w:left="3756" w:hanging="420"/>
      </w:pPr>
    </w:lvl>
    <w:lvl w:ilvl="8" w:tentative="0">
      <w:start w:val="1"/>
      <w:numFmt w:val="lowerRoman"/>
      <w:lvlText w:val="%9."/>
      <w:lvlJc w:val="right"/>
      <w:pPr>
        <w:tabs>
          <w:tab w:val="left" w:pos="4176"/>
        </w:tabs>
        <w:ind w:left="4176" w:hanging="420"/>
      </w:pPr>
    </w:lvl>
  </w:abstractNum>
  <w:abstractNum w:abstractNumId="6">
    <w:nsid w:val="0405CF76"/>
    <w:multiLevelType w:val="singleLevel"/>
    <w:tmpl w:val="0405CF76"/>
    <w:lvl w:ilvl="0" w:tentative="0">
      <w:start w:val="1"/>
      <w:numFmt w:val="decimal"/>
      <w:pStyle w:val="6"/>
      <w:lvlText w:val="%1."/>
      <w:lvlJc w:val="left"/>
      <w:pPr>
        <w:tabs>
          <w:tab w:val="left" w:pos="360"/>
        </w:tabs>
        <w:ind w:left="360" w:hanging="360"/>
      </w:pPr>
    </w:lvl>
  </w:abstractNum>
  <w:abstractNum w:abstractNumId="7">
    <w:nsid w:val="045F8F00"/>
    <w:multiLevelType w:val="singleLevel"/>
    <w:tmpl w:val="045F8F00"/>
    <w:lvl w:ilvl="0" w:tentative="0">
      <w:start w:val="1"/>
      <w:numFmt w:val="decimal"/>
      <w:lvlText w:val="%1."/>
      <w:lvlJc w:val="left"/>
      <w:pPr>
        <w:tabs>
          <w:tab w:val="left" w:pos="312"/>
        </w:tabs>
      </w:pPr>
    </w:lvl>
  </w:abstractNum>
  <w:abstractNum w:abstractNumId="8">
    <w:nsid w:val="23791318"/>
    <w:multiLevelType w:val="singleLevel"/>
    <w:tmpl w:val="23791318"/>
    <w:lvl w:ilvl="0" w:tentative="0">
      <w:start w:val="2"/>
      <w:numFmt w:val="chineseCounting"/>
      <w:suff w:val="space"/>
      <w:lvlText w:val="第%1章"/>
      <w:lvlJc w:val="left"/>
      <w:rPr>
        <w:rFonts w:hint="eastAsia"/>
      </w:rPr>
    </w:lvl>
  </w:abstractNum>
  <w:abstractNum w:abstractNumId="9">
    <w:nsid w:val="27BF085B"/>
    <w:multiLevelType w:val="singleLevel"/>
    <w:tmpl w:val="27BF085B"/>
    <w:lvl w:ilvl="0" w:tentative="0">
      <w:start w:val="2"/>
      <w:numFmt w:val="decimal"/>
      <w:suff w:val="nothing"/>
      <w:lvlText w:val="%1、"/>
      <w:lvlJc w:val="left"/>
    </w:lvl>
  </w:abstractNum>
  <w:abstractNum w:abstractNumId="10">
    <w:nsid w:val="5AB1F75C"/>
    <w:multiLevelType w:val="singleLevel"/>
    <w:tmpl w:val="5AB1F75C"/>
    <w:lvl w:ilvl="0" w:tentative="0">
      <w:start w:val="1"/>
      <w:numFmt w:val="chineseCounting"/>
      <w:suff w:val="nothing"/>
      <w:lvlText w:val="%1、"/>
      <w:lvlJc w:val="left"/>
    </w:lvl>
  </w:abstractNum>
  <w:abstractNum w:abstractNumId="11">
    <w:nsid w:val="5BCEDD64"/>
    <w:multiLevelType w:val="singleLevel"/>
    <w:tmpl w:val="5BCEDD64"/>
    <w:lvl w:ilvl="0" w:tentative="0">
      <w:start w:val="2"/>
      <w:numFmt w:val="decimal"/>
      <w:suff w:val="nothing"/>
      <w:lvlText w:val="%1、"/>
      <w:lvlJc w:val="left"/>
    </w:lvl>
  </w:abstractNum>
  <w:abstractNum w:abstractNumId="12">
    <w:nsid w:val="5DC266E9"/>
    <w:multiLevelType w:val="singleLevel"/>
    <w:tmpl w:val="5DC266E9"/>
    <w:lvl w:ilvl="0" w:tentative="0">
      <w:start w:val="1"/>
      <w:numFmt w:val="chineseCounting"/>
      <w:suff w:val="nothing"/>
      <w:lvlText w:val="%1、"/>
      <w:lvlJc w:val="left"/>
      <w:rPr>
        <w:rFonts w:hint="eastAsia"/>
      </w:rPr>
    </w:lvl>
  </w:abstractNum>
  <w:abstractNum w:abstractNumId="13">
    <w:nsid w:val="61B11AC7"/>
    <w:multiLevelType w:val="singleLevel"/>
    <w:tmpl w:val="61B11AC7"/>
    <w:lvl w:ilvl="0" w:tentative="0">
      <w:start w:val="2"/>
      <w:numFmt w:val="decimal"/>
      <w:suff w:val="nothing"/>
      <w:lvlText w:val="%1、"/>
      <w:lvlJc w:val="left"/>
    </w:lvl>
  </w:abstractNum>
  <w:abstractNum w:abstractNumId="14">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5">
    <w:nsid w:val="77067815"/>
    <w:multiLevelType w:val="singleLevel"/>
    <w:tmpl w:val="77067815"/>
    <w:lvl w:ilvl="0" w:tentative="0">
      <w:start w:val="2"/>
      <w:numFmt w:val="decimal"/>
      <w:suff w:val="nothing"/>
      <w:lvlText w:val="%1、"/>
      <w:lvlJc w:val="left"/>
    </w:lvl>
  </w:abstractNum>
  <w:num w:numId="1">
    <w:abstractNumId w:val="6"/>
  </w:num>
  <w:num w:numId="2">
    <w:abstractNumId w:val="14"/>
    <w:lvlOverride w:ilvl="0">
      <w:startOverride w:val="1"/>
    </w:lvlOverride>
  </w:num>
  <w:num w:numId="3">
    <w:abstractNumId w:val="12"/>
  </w:num>
  <w:num w:numId="4">
    <w:abstractNumId w:val="7"/>
  </w:num>
  <w:num w:numId="5">
    <w:abstractNumId w:val="8"/>
  </w:num>
  <w:num w:numId="6">
    <w:abstractNumId w:val="3"/>
  </w:num>
  <w:num w:numId="7">
    <w:abstractNumId w:val="0"/>
  </w:num>
  <w:num w:numId="8">
    <w:abstractNumId w:val="5"/>
  </w:num>
  <w:num w:numId="9">
    <w:abstractNumId w:val="4"/>
  </w:num>
  <w:num w:numId="10">
    <w:abstractNumId w:val="2"/>
  </w:num>
  <w:num w:numId="11">
    <w:abstractNumId w:val="10"/>
  </w:num>
  <w:num w:numId="12">
    <w:abstractNumId w:val="1"/>
  </w:num>
  <w:num w:numId="13">
    <w:abstractNumId w:val="11"/>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849AB"/>
    <w:rsid w:val="0000491A"/>
    <w:rsid w:val="00007A5C"/>
    <w:rsid w:val="0001435E"/>
    <w:rsid w:val="00020D1A"/>
    <w:rsid w:val="0002135D"/>
    <w:rsid w:val="00021D35"/>
    <w:rsid w:val="000243F6"/>
    <w:rsid w:val="000369A0"/>
    <w:rsid w:val="00036ACC"/>
    <w:rsid w:val="000373E2"/>
    <w:rsid w:val="000435A6"/>
    <w:rsid w:val="00044890"/>
    <w:rsid w:val="000454EF"/>
    <w:rsid w:val="00052815"/>
    <w:rsid w:val="00055DA6"/>
    <w:rsid w:val="00064B0C"/>
    <w:rsid w:val="00064DBC"/>
    <w:rsid w:val="0007778B"/>
    <w:rsid w:val="000A32E9"/>
    <w:rsid w:val="000A439B"/>
    <w:rsid w:val="000A5373"/>
    <w:rsid w:val="000A59B5"/>
    <w:rsid w:val="000A6251"/>
    <w:rsid w:val="000A6EFD"/>
    <w:rsid w:val="000A7203"/>
    <w:rsid w:val="000A7863"/>
    <w:rsid w:val="000C10EE"/>
    <w:rsid w:val="000C7D1E"/>
    <w:rsid w:val="000D420B"/>
    <w:rsid w:val="000D4DE8"/>
    <w:rsid w:val="000D551D"/>
    <w:rsid w:val="000D587F"/>
    <w:rsid w:val="000E75BE"/>
    <w:rsid w:val="000F03CC"/>
    <w:rsid w:val="000F2825"/>
    <w:rsid w:val="000F31AF"/>
    <w:rsid w:val="000F4EAD"/>
    <w:rsid w:val="00103D0A"/>
    <w:rsid w:val="0010453C"/>
    <w:rsid w:val="00107FA3"/>
    <w:rsid w:val="001107B1"/>
    <w:rsid w:val="0011725C"/>
    <w:rsid w:val="00120D70"/>
    <w:rsid w:val="0012289C"/>
    <w:rsid w:val="0014725F"/>
    <w:rsid w:val="00162462"/>
    <w:rsid w:val="00163A24"/>
    <w:rsid w:val="0016712B"/>
    <w:rsid w:val="00172812"/>
    <w:rsid w:val="001833B8"/>
    <w:rsid w:val="00183D93"/>
    <w:rsid w:val="0018550F"/>
    <w:rsid w:val="00185865"/>
    <w:rsid w:val="00186225"/>
    <w:rsid w:val="00187A90"/>
    <w:rsid w:val="001A619C"/>
    <w:rsid w:val="001A6248"/>
    <w:rsid w:val="001B34AB"/>
    <w:rsid w:val="001B663F"/>
    <w:rsid w:val="001C1484"/>
    <w:rsid w:val="001D3AE7"/>
    <w:rsid w:val="001D3B55"/>
    <w:rsid w:val="001E6A13"/>
    <w:rsid w:val="001F4F75"/>
    <w:rsid w:val="0020604C"/>
    <w:rsid w:val="002148BA"/>
    <w:rsid w:val="00216662"/>
    <w:rsid w:val="0022229E"/>
    <w:rsid w:val="002247B7"/>
    <w:rsid w:val="00225A4A"/>
    <w:rsid w:val="0022664D"/>
    <w:rsid w:val="00233E71"/>
    <w:rsid w:val="00243F91"/>
    <w:rsid w:val="0029167B"/>
    <w:rsid w:val="002921F2"/>
    <w:rsid w:val="002A2010"/>
    <w:rsid w:val="002A7753"/>
    <w:rsid w:val="002B04D8"/>
    <w:rsid w:val="002B06D1"/>
    <w:rsid w:val="002B2BC3"/>
    <w:rsid w:val="002B6BDC"/>
    <w:rsid w:val="002B74B0"/>
    <w:rsid w:val="002E0DD1"/>
    <w:rsid w:val="002E0ED6"/>
    <w:rsid w:val="002E15B6"/>
    <w:rsid w:val="002E76B2"/>
    <w:rsid w:val="003044A0"/>
    <w:rsid w:val="003153E3"/>
    <w:rsid w:val="003270FA"/>
    <w:rsid w:val="00332110"/>
    <w:rsid w:val="00335E90"/>
    <w:rsid w:val="0033617E"/>
    <w:rsid w:val="00340DF7"/>
    <w:rsid w:val="00341F2A"/>
    <w:rsid w:val="00343F27"/>
    <w:rsid w:val="00352E9C"/>
    <w:rsid w:val="0035417B"/>
    <w:rsid w:val="00363383"/>
    <w:rsid w:val="00374D55"/>
    <w:rsid w:val="00385889"/>
    <w:rsid w:val="00390C3A"/>
    <w:rsid w:val="00391462"/>
    <w:rsid w:val="003B2FC3"/>
    <w:rsid w:val="003B470D"/>
    <w:rsid w:val="003B47D7"/>
    <w:rsid w:val="003B6610"/>
    <w:rsid w:val="003C5E40"/>
    <w:rsid w:val="003D03C7"/>
    <w:rsid w:val="003D6717"/>
    <w:rsid w:val="003E6E23"/>
    <w:rsid w:val="003F03FE"/>
    <w:rsid w:val="004001CE"/>
    <w:rsid w:val="00401407"/>
    <w:rsid w:val="00410359"/>
    <w:rsid w:val="00416DA6"/>
    <w:rsid w:val="00421A2D"/>
    <w:rsid w:val="00421D62"/>
    <w:rsid w:val="0042307E"/>
    <w:rsid w:val="004232A0"/>
    <w:rsid w:val="00430C8E"/>
    <w:rsid w:val="004347FF"/>
    <w:rsid w:val="00440151"/>
    <w:rsid w:val="00447E8A"/>
    <w:rsid w:val="00455846"/>
    <w:rsid w:val="00455F95"/>
    <w:rsid w:val="00457113"/>
    <w:rsid w:val="00462113"/>
    <w:rsid w:val="0046348F"/>
    <w:rsid w:val="00485444"/>
    <w:rsid w:val="00487356"/>
    <w:rsid w:val="004914D3"/>
    <w:rsid w:val="004935F7"/>
    <w:rsid w:val="004949BA"/>
    <w:rsid w:val="004960B2"/>
    <w:rsid w:val="004A7F87"/>
    <w:rsid w:val="004C218C"/>
    <w:rsid w:val="004C2901"/>
    <w:rsid w:val="004C37FB"/>
    <w:rsid w:val="004D0BFF"/>
    <w:rsid w:val="004E1753"/>
    <w:rsid w:val="004E2242"/>
    <w:rsid w:val="004E354A"/>
    <w:rsid w:val="004E6626"/>
    <w:rsid w:val="004F15EE"/>
    <w:rsid w:val="005068B0"/>
    <w:rsid w:val="00507839"/>
    <w:rsid w:val="00520878"/>
    <w:rsid w:val="00525D52"/>
    <w:rsid w:val="005409ED"/>
    <w:rsid w:val="00543F5E"/>
    <w:rsid w:val="0056263D"/>
    <w:rsid w:val="00563734"/>
    <w:rsid w:val="00565520"/>
    <w:rsid w:val="00576B9D"/>
    <w:rsid w:val="00582918"/>
    <w:rsid w:val="00597E65"/>
    <w:rsid w:val="005B719D"/>
    <w:rsid w:val="005C33EA"/>
    <w:rsid w:val="005C460E"/>
    <w:rsid w:val="005D0671"/>
    <w:rsid w:val="005D2E04"/>
    <w:rsid w:val="005D71B2"/>
    <w:rsid w:val="005F45BD"/>
    <w:rsid w:val="005F6CB0"/>
    <w:rsid w:val="00605354"/>
    <w:rsid w:val="00610C84"/>
    <w:rsid w:val="006208C6"/>
    <w:rsid w:val="006229C7"/>
    <w:rsid w:val="00623322"/>
    <w:rsid w:val="00625946"/>
    <w:rsid w:val="00634DAB"/>
    <w:rsid w:val="00650AE8"/>
    <w:rsid w:val="00664451"/>
    <w:rsid w:val="00664634"/>
    <w:rsid w:val="00682DFC"/>
    <w:rsid w:val="00684885"/>
    <w:rsid w:val="00685D8F"/>
    <w:rsid w:val="00693F58"/>
    <w:rsid w:val="006A1658"/>
    <w:rsid w:val="006A4092"/>
    <w:rsid w:val="006A7D76"/>
    <w:rsid w:val="006B0C29"/>
    <w:rsid w:val="006B5A93"/>
    <w:rsid w:val="006C077B"/>
    <w:rsid w:val="006C29BF"/>
    <w:rsid w:val="006C5F7D"/>
    <w:rsid w:val="006C6186"/>
    <w:rsid w:val="006C6C02"/>
    <w:rsid w:val="006D1E31"/>
    <w:rsid w:val="006D5D78"/>
    <w:rsid w:val="006E2A2E"/>
    <w:rsid w:val="006E471D"/>
    <w:rsid w:val="006E76BA"/>
    <w:rsid w:val="006F7ABB"/>
    <w:rsid w:val="00704CAA"/>
    <w:rsid w:val="0070614C"/>
    <w:rsid w:val="0070735C"/>
    <w:rsid w:val="00714E12"/>
    <w:rsid w:val="0073237B"/>
    <w:rsid w:val="00750536"/>
    <w:rsid w:val="0075477E"/>
    <w:rsid w:val="007558FE"/>
    <w:rsid w:val="0076244D"/>
    <w:rsid w:val="00765B3D"/>
    <w:rsid w:val="00784AF3"/>
    <w:rsid w:val="00791151"/>
    <w:rsid w:val="00792A25"/>
    <w:rsid w:val="00796F4E"/>
    <w:rsid w:val="007A1D76"/>
    <w:rsid w:val="007A5B5B"/>
    <w:rsid w:val="007A68F7"/>
    <w:rsid w:val="007B0162"/>
    <w:rsid w:val="007B61DC"/>
    <w:rsid w:val="007D50DD"/>
    <w:rsid w:val="007E671C"/>
    <w:rsid w:val="007F262F"/>
    <w:rsid w:val="007F613B"/>
    <w:rsid w:val="0080171A"/>
    <w:rsid w:val="008057EE"/>
    <w:rsid w:val="00805A95"/>
    <w:rsid w:val="00807E37"/>
    <w:rsid w:val="00812390"/>
    <w:rsid w:val="00812B6A"/>
    <w:rsid w:val="00813026"/>
    <w:rsid w:val="0081625F"/>
    <w:rsid w:val="0082565E"/>
    <w:rsid w:val="00831102"/>
    <w:rsid w:val="0083608F"/>
    <w:rsid w:val="008374B5"/>
    <w:rsid w:val="00845532"/>
    <w:rsid w:val="00853DB9"/>
    <w:rsid w:val="008608FD"/>
    <w:rsid w:val="008610B5"/>
    <w:rsid w:val="00861DAB"/>
    <w:rsid w:val="008812C6"/>
    <w:rsid w:val="00887ED3"/>
    <w:rsid w:val="008A202C"/>
    <w:rsid w:val="008A2386"/>
    <w:rsid w:val="008A2DD9"/>
    <w:rsid w:val="008A635C"/>
    <w:rsid w:val="008B0C80"/>
    <w:rsid w:val="008B112F"/>
    <w:rsid w:val="008B36A0"/>
    <w:rsid w:val="008E6D09"/>
    <w:rsid w:val="00903DCD"/>
    <w:rsid w:val="00915DF6"/>
    <w:rsid w:val="00917BAE"/>
    <w:rsid w:val="00922B8D"/>
    <w:rsid w:val="0092459B"/>
    <w:rsid w:val="00950E1F"/>
    <w:rsid w:val="00952E3A"/>
    <w:rsid w:val="00952FD0"/>
    <w:rsid w:val="0096109E"/>
    <w:rsid w:val="00961C19"/>
    <w:rsid w:val="00963327"/>
    <w:rsid w:val="009672A9"/>
    <w:rsid w:val="00967B6D"/>
    <w:rsid w:val="0097387C"/>
    <w:rsid w:val="009756F9"/>
    <w:rsid w:val="00981892"/>
    <w:rsid w:val="009858B0"/>
    <w:rsid w:val="009862C3"/>
    <w:rsid w:val="009A60DE"/>
    <w:rsid w:val="009A6907"/>
    <w:rsid w:val="009B235B"/>
    <w:rsid w:val="009D620E"/>
    <w:rsid w:val="009E24EE"/>
    <w:rsid w:val="009F647D"/>
    <w:rsid w:val="009F7D44"/>
    <w:rsid w:val="00A136F5"/>
    <w:rsid w:val="00A14C86"/>
    <w:rsid w:val="00A1549E"/>
    <w:rsid w:val="00A201F9"/>
    <w:rsid w:val="00A21432"/>
    <w:rsid w:val="00A21649"/>
    <w:rsid w:val="00A26351"/>
    <w:rsid w:val="00A33B80"/>
    <w:rsid w:val="00A426FC"/>
    <w:rsid w:val="00A47FE4"/>
    <w:rsid w:val="00A50654"/>
    <w:rsid w:val="00A552C5"/>
    <w:rsid w:val="00A55EC7"/>
    <w:rsid w:val="00A70571"/>
    <w:rsid w:val="00A719EA"/>
    <w:rsid w:val="00A763A6"/>
    <w:rsid w:val="00A77ED2"/>
    <w:rsid w:val="00A84DD2"/>
    <w:rsid w:val="00A90256"/>
    <w:rsid w:val="00A91E6A"/>
    <w:rsid w:val="00A93A99"/>
    <w:rsid w:val="00AA1006"/>
    <w:rsid w:val="00AA1090"/>
    <w:rsid w:val="00AA50F6"/>
    <w:rsid w:val="00AA5B67"/>
    <w:rsid w:val="00AB7E03"/>
    <w:rsid w:val="00AC18EB"/>
    <w:rsid w:val="00AC562C"/>
    <w:rsid w:val="00AD4083"/>
    <w:rsid w:val="00AD79C5"/>
    <w:rsid w:val="00AE429D"/>
    <w:rsid w:val="00B00790"/>
    <w:rsid w:val="00B17A82"/>
    <w:rsid w:val="00B252F2"/>
    <w:rsid w:val="00B436DA"/>
    <w:rsid w:val="00B46377"/>
    <w:rsid w:val="00B52BB7"/>
    <w:rsid w:val="00B60359"/>
    <w:rsid w:val="00B676E3"/>
    <w:rsid w:val="00B82938"/>
    <w:rsid w:val="00B83A87"/>
    <w:rsid w:val="00B83C3E"/>
    <w:rsid w:val="00B916F5"/>
    <w:rsid w:val="00B96352"/>
    <w:rsid w:val="00B96760"/>
    <w:rsid w:val="00BA3177"/>
    <w:rsid w:val="00BB10E1"/>
    <w:rsid w:val="00BC1E82"/>
    <w:rsid w:val="00BC25D8"/>
    <w:rsid w:val="00BC7665"/>
    <w:rsid w:val="00BD2176"/>
    <w:rsid w:val="00BD30DE"/>
    <w:rsid w:val="00BD4420"/>
    <w:rsid w:val="00BE5590"/>
    <w:rsid w:val="00BF30D9"/>
    <w:rsid w:val="00BF739C"/>
    <w:rsid w:val="00C21A0B"/>
    <w:rsid w:val="00C235CC"/>
    <w:rsid w:val="00C41A0E"/>
    <w:rsid w:val="00C476FA"/>
    <w:rsid w:val="00C50C63"/>
    <w:rsid w:val="00C66660"/>
    <w:rsid w:val="00C77A31"/>
    <w:rsid w:val="00C92619"/>
    <w:rsid w:val="00C93E31"/>
    <w:rsid w:val="00C96C23"/>
    <w:rsid w:val="00CA04D8"/>
    <w:rsid w:val="00CB0AD9"/>
    <w:rsid w:val="00CB11DF"/>
    <w:rsid w:val="00CB15F8"/>
    <w:rsid w:val="00CB3327"/>
    <w:rsid w:val="00CB4F78"/>
    <w:rsid w:val="00CC05DE"/>
    <w:rsid w:val="00CC6DA0"/>
    <w:rsid w:val="00CD3F71"/>
    <w:rsid w:val="00CD466B"/>
    <w:rsid w:val="00CD5CB0"/>
    <w:rsid w:val="00CE37C0"/>
    <w:rsid w:val="00CE4EFB"/>
    <w:rsid w:val="00D0148A"/>
    <w:rsid w:val="00D0259E"/>
    <w:rsid w:val="00D05B70"/>
    <w:rsid w:val="00D0735A"/>
    <w:rsid w:val="00D24F5D"/>
    <w:rsid w:val="00D27A78"/>
    <w:rsid w:val="00D442A4"/>
    <w:rsid w:val="00D53625"/>
    <w:rsid w:val="00D63474"/>
    <w:rsid w:val="00D65787"/>
    <w:rsid w:val="00D73496"/>
    <w:rsid w:val="00D73E12"/>
    <w:rsid w:val="00D74C70"/>
    <w:rsid w:val="00D75AA5"/>
    <w:rsid w:val="00D80B6C"/>
    <w:rsid w:val="00D820C0"/>
    <w:rsid w:val="00D82188"/>
    <w:rsid w:val="00D85186"/>
    <w:rsid w:val="00D903CE"/>
    <w:rsid w:val="00D90EF6"/>
    <w:rsid w:val="00D9334D"/>
    <w:rsid w:val="00DB2D83"/>
    <w:rsid w:val="00DB4F9F"/>
    <w:rsid w:val="00DB77A7"/>
    <w:rsid w:val="00DB7E8A"/>
    <w:rsid w:val="00DC7EA6"/>
    <w:rsid w:val="00DE22B2"/>
    <w:rsid w:val="00DE4502"/>
    <w:rsid w:val="00DE5C03"/>
    <w:rsid w:val="00DF14B4"/>
    <w:rsid w:val="00E12DF8"/>
    <w:rsid w:val="00E24E9C"/>
    <w:rsid w:val="00E32F1C"/>
    <w:rsid w:val="00E417A7"/>
    <w:rsid w:val="00E50CA6"/>
    <w:rsid w:val="00E70091"/>
    <w:rsid w:val="00E71AED"/>
    <w:rsid w:val="00E760CA"/>
    <w:rsid w:val="00E82670"/>
    <w:rsid w:val="00E87518"/>
    <w:rsid w:val="00E87DFC"/>
    <w:rsid w:val="00E910BE"/>
    <w:rsid w:val="00E97507"/>
    <w:rsid w:val="00E975EF"/>
    <w:rsid w:val="00EA00B4"/>
    <w:rsid w:val="00EA598C"/>
    <w:rsid w:val="00EA75FF"/>
    <w:rsid w:val="00EB6650"/>
    <w:rsid w:val="00EC215D"/>
    <w:rsid w:val="00EF3C62"/>
    <w:rsid w:val="00EF512B"/>
    <w:rsid w:val="00F004DE"/>
    <w:rsid w:val="00F119DB"/>
    <w:rsid w:val="00F11AE5"/>
    <w:rsid w:val="00F23F5C"/>
    <w:rsid w:val="00F26063"/>
    <w:rsid w:val="00F362B7"/>
    <w:rsid w:val="00F371A8"/>
    <w:rsid w:val="00F377B1"/>
    <w:rsid w:val="00F45A9C"/>
    <w:rsid w:val="00F53CD0"/>
    <w:rsid w:val="00F7650D"/>
    <w:rsid w:val="00F82333"/>
    <w:rsid w:val="00FA6FB9"/>
    <w:rsid w:val="00FB6B3C"/>
    <w:rsid w:val="00FC4667"/>
    <w:rsid w:val="00FD3D27"/>
    <w:rsid w:val="00FD7E41"/>
    <w:rsid w:val="00FE0B0A"/>
    <w:rsid w:val="00FE5E95"/>
    <w:rsid w:val="00FE63EA"/>
    <w:rsid w:val="00FF31D7"/>
    <w:rsid w:val="00FF6AC1"/>
    <w:rsid w:val="010F1DA1"/>
    <w:rsid w:val="017B51B0"/>
    <w:rsid w:val="021A2C80"/>
    <w:rsid w:val="02712785"/>
    <w:rsid w:val="02F96864"/>
    <w:rsid w:val="034074D4"/>
    <w:rsid w:val="03416FF0"/>
    <w:rsid w:val="0381194A"/>
    <w:rsid w:val="066343DC"/>
    <w:rsid w:val="06F8581C"/>
    <w:rsid w:val="07521F93"/>
    <w:rsid w:val="078A1990"/>
    <w:rsid w:val="07EE658E"/>
    <w:rsid w:val="07FC1127"/>
    <w:rsid w:val="089F41B4"/>
    <w:rsid w:val="0909497D"/>
    <w:rsid w:val="099E3CC2"/>
    <w:rsid w:val="09B44BDA"/>
    <w:rsid w:val="09C55AC9"/>
    <w:rsid w:val="0A0C3321"/>
    <w:rsid w:val="0A305D6B"/>
    <w:rsid w:val="0B0A5CE7"/>
    <w:rsid w:val="0B2A0F29"/>
    <w:rsid w:val="0B8E420A"/>
    <w:rsid w:val="0BC913D7"/>
    <w:rsid w:val="0C3747B1"/>
    <w:rsid w:val="0CCA74C4"/>
    <w:rsid w:val="0D135BA2"/>
    <w:rsid w:val="0D88347B"/>
    <w:rsid w:val="0DC71928"/>
    <w:rsid w:val="0E9128F5"/>
    <w:rsid w:val="0EB27003"/>
    <w:rsid w:val="0EBA5CB8"/>
    <w:rsid w:val="0EF56F5A"/>
    <w:rsid w:val="0F20786F"/>
    <w:rsid w:val="0F212139"/>
    <w:rsid w:val="0FA4644A"/>
    <w:rsid w:val="0FA73596"/>
    <w:rsid w:val="10337AA3"/>
    <w:rsid w:val="103F5AB4"/>
    <w:rsid w:val="11173599"/>
    <w:rsid w:val="11421D8B"/>
    <w:rsid w:val="11421DE4"/>
    <w:rsid w:val="11765AA0"/>
    <w:rsid w:val="117748B7"/>
    <w:rsid w:val="11FD5C45"/>
    <w:rsid w:val="12E10FDC"/>
    <w:rsid w:val="12FF79D7"/>
    <w:rsid w:val="13060846"/>
    <w:rsid w:val="13293D5F"/>
    <w:rsid w:val="1340403C"/>
    <w:rsid w:val="13681151"/>
    <w:rsid w:val="138E6C81"/>
    <w:rsid w:val="13D84274"/>
    <w:rsid w:val="140771D8"/>
    <w:rsid w:val="14F00E68"/>
    <w:rsid w:val="15DA6210"/>
    <w:rsid w:val="161517B0"/>
    <w:rsid w:val="164D5B29"/>
    <w:rsid w:val="166276F9"/>
    <w:rsid w:val="1681565B"/>
    <w:rsid w:val="168B7CE0"/>
    <w:rsid w:val="1713058C"/>
    <w:rsid w:val="17157CEB"/>
    <w:rsid w:val="175C4869"/>
    <w:rsid w:val="17784DB4"/>
    <w:rsid w:val="17B63D86"/>
    <w:rsid w:val="18FD2593"/>
    <w:rsid w:val="190313E8"/>
    <w:rsid w:val="190A4FEC"/>
    <w:rsid w:val="191E097B"/>
    <w:rsid w:val="192148C8"/>
    <w:rsid w:val="1931699C"/>
    <w:rsid w:val="197265AC"/>
    <w:rsid w:val="199C3482"/>
    <w:rsid w:val="19A57F6F"/>
    <w:rsid w:val="19B10455"/>
    <w:rsid w:val="19E06744"/>
    <w:rsid w:val="19ED7F3C"/>
    <w:rsid w:val="1A3D4D92"/>
    <w:rsid w:val="1AB51123"/>
    <w:rsid w:val="1BB668D1"/>
    <w:rsid w:val="1C5D7A0C"/>
    <w:rsid w:val="1C704AA1"/>
    <w:rsid w:val="1C9417DB"/>
    <w:rsid w:val="1CB84732"/>
    <w:rsid w:val="1CC02C68"/>
    <w:rsid w:val="1D1C78C7"/>
    <w:rsid w:val="1D2E40EE"/>
    <w:rsid w:val="1D5F0C59"/>
    <w:rsid w:val="1DAC27BE"/>
    <w:rsid w:val="1DDA6C0B"/>
    <w:rsid w:val="1DE35786"/>
    <w:rsid w:val="1DFA5803"/>
    <w:rsid w:val="1EB03242"/>
    <w:rsid w:val="1EB4768C"/>
    <w:rsid w:val="20234FEE"/>
    <w:rsid w:val="203707D5"/>
    <w:rsid w:val="20624F93"/>
    <w:rsid w:val="20781BCB"/>
    <w:rsid w:val="208A4B48"/>
    <w:rsid w:val="20A00CED"/>
    <w:rsid w:val="20A11A59"/>
    <w:rsid w:val="20B211F5"/>
    <w:rsid w:val="2207424B"/>
    <w:rsid w:val="22323BBC"/>
    <w:rsid w:val="22380FD7"/>
    <w:rsid w:val="22763123"/>
    <w:rsid w:val="227E248B"/>
    <w:rsid w:val="229C0058"/>
    <w:rsid w:val="22B578FD"/>
    <w:rsid w:val="23180503"/>
    <w:rsid w:val="231B417D"/>
    <w:rsid w:val="23263096"/>
    <w:rsid w:val="23682C23"/>
    <w:rsid w:val="23D352BC"/>
    <w:rsid w:val="23D700A4"/>
    <w:rsid w:val="23EC72EC"/>
    <w:rsid w:val="240348F7"/>
    <w:rsid w:val="2496024F"/>
    <w:rsid w:val="2501253F"/>
    <w:rsid w:val="26B972D5"/>
    <w:rsid w:val="26E85F55"/>
    <w:rsid w:val="26EC15EB"/>
    <w:rsid w:val="274E1D6C"/>
    <w:rsid w:val="27886DD5"/>
    <w:rsid w:val="283867A7"/>
    <w:rsid w:val="28745BEF"/>
    <w:rsid w:val="28763C02"/>
    <w:rsid w:val="28A569C3"/>
    <w:rsid w:val="28B46523"/>
    <w:rsid w:val="28E904E7"/>
    <w:rsid w:val="29C849AB"/>
    <w:rsid w:val="29D222A8"/>
    <w:rsid w:val="2A497822"/>
    <w:rsid w:val="2B481888"/>
    <w:rsid w:val="2B6B1DBC"/>
    <w:rsid w:val="2C025EDA"/>
    <w:rsid w:val="2C8D59A4"/>
    <w:rsid w:val="2CD2116D"/>
    <w:rsid w:val="2D1F486A"/>
    <w:rsid w:val="2DE1006A"/>
    <w:rsid w:val="2E0E25CA"/>
    <w:rsid w:val="2E165C6D"/>
    <w:rsid w:val="2E387ABB"/>
    <w:rsid w:val="2E441F38"/>
    <w:rsid w:val="2E5A351F"/>
    <w:rsid w:val="2E731123"/>
    <w:rsid w:val="2F4D332A"/>
    <w:rsid w:val="2F6D7B0F"/>
    <w:rsid w:val="2F8934FA"/>
    <w:rsid w:val="2FB7522E"/>
    <w:rsid w:val="2FD9120D"/>
    <w:rsid w:val="2FFC43C7"/>
    <w:rsid w:val="30570DDA"/>
    <w:rsid w:val="30DD04E8"/>
    <w:rsid w:val="31073BE7"/>
    <w:rsid w:val="310B4584"/>
    <w:rsid w:val="312A12A5"/>
    <w:rsid w:val="31743FD0"/>
    <w:rsid w:val="31826F27"/>
    <w:rsid w:val="31F04A98"/>
    <w:rsid w:val="32952754"/>
    <w:rsid w:val="32F3657D"/>
    <w:rsid w:val="335870A0"/>
    <w:rsid w:val="33F23BCA"/>
    <w:rsid w:val="33F85ED1"/>
    <w:rsid w:val="342F1837"/>
    <w:rsid w:val="343420C4"/>
    <w:rsid w:val="34360777"/>
    <w:rsid w:val="343A116E"/>
    <w:rsid w:val="348D63C4"/>
    <w:rsid w:val="34C13319"/>
    <w:rsid w:val="34F77860"/>
    <w:rsid w:val="35D51312"/>
    <w:rsid w:val="366D2E67"/>
    <w:rsid w:val="36890788"/>
    <w:rsid w:val="36E5561F"/>
    <w:rsid w:val="37045D54"/>
    <w:rsid w:val="373C45FC"/>
    <w:rsid w:val="379A587A"/>
    <w:rsid w:val="37B76864"/>
    <w:rsid w:val="37FA215C"/>
    <w:rsid w:val="38022573"/>
    <w:rsid w:val="38966D65"/>
    <w:rsid w:val="389E4CEF"/>
    <w:rsid w:val="39305BEA"/>
    <w:rsid w:val="394D4456"/>
    <w:rsid w:val="395C5CA8"/>
    <w:rsid w:val="39E53FAC"/>
    <w:rsid w:val="39EB2068"/>
    <w:rsid w:val="3A414072"/>
    <w:rsid w:val="3A662AE1"/>
    <w:rsid w:val="3AB716DA"/>
    <w:rsid w:val="3B037682"/>
    <w:rsid w:val="3B0A0908"/>
    <w:rsid w:val="3B973C45"/>
    <w:rsid w:val="3BE112ED"/>
    <w:rsid w:val="3BF75330"/>
    <w:rsid w:val="3C554194"/>
    <w:rsid w:val="3CDB3E63"/>
    <w:rsid w:val="3D083B22"/>
    <w:rsid w:val="3D45573D"/>
    <w:rsid w:val="3D6B0A72"/>
    <w:rsid w:val="3D94558F"/>
    <w:rsid w:val="3E3363C7"/>
    <w:rsid w:val="3E467E91"/>
    <w:rsid w:val="3E782701"/>
    <w:rsid w:val="3E7A1B53"/>
    <w:rsid w:val="3F345DBE"/>
    <w:rsid w:val="3F346061"/>
    <w:rsid w:val="3FB06A0C"/>
    <w:rsid w:val="401135E7"/>
    <w:rsid w:val="401F52AF"/>
    <w:rsid w:val="40300E10"/>
    <w:rsid w:val="40E905D8"/>
    <w:rsid w:val="41140732"/>
    <w:rsid w:val="41487A27"/>
    <w:rsid w:val="41D57D41"/>
    <w:rsid w:val="41F40576"/>
    <w:rsid w:val="421B1BD8"/>
    <w:rsid w:val="42407FBF"/>
    <w:rsid w:val="424D05EF"/>
    <w:rsid w:val="42685900"/>
    <w:rsid w:val="42CE6929"/>
    <w:rsid w:val="42EF3DB6"/>
    <w:rsid w:val="4335626F"/>
    <w:rsid w:val="439F5261"/>
    <w:rsid w:val="43AA5615"/>
    <w:rsid w:val="44DD1BBC"/>
    <w:rsid w:val="45456FB2"/>
    <w:rsid w:val="45E00BE3"/>
    <w:rsid w:val="46453144"/>
    <w:rsid w:val="46503FBA"/>
    <w:rsid w:val="466975DB"/>
    <w:rsid w:val="466A1D7F"/>
    <w:rsid w:val="46741C23"/>
    <w:rsid w:val="46C5069F"/>
    <w:rsid w:val="471768A2"/>
    <w:rsid w:val="473232DB"/>
    <w:rsid w:val="47F21BDE"/>
    <w:rsid w:val="47FA2D23"/>
    <w:rsid w:val="48C2276C"/>
    <w:rsid w:val="48E11855"/>
    <w:rsid w:val="49287F12"/>
    <w:rsid w:val="4A6A3AC7"/>
    <w:rsid w:val="4A7E62C5"/>
    <w:rsid w:val="4AFB1FCC"/>
    <w:rsid w:val="4B2444D5"/>
    <w:rsid w:val="4B2F2866"/>
    <w:rsid w:val="4B4D06A1"/>
    <w:rsid w:val="4BAB281F"/>
    <w:rsid w:val="4C2F5821"/>
    <w:rsid w:val="4C8A0D9D"/>
    <w:rsid w:val="4CA36975"/>
    <w:rsid w:val="4D5F5B00"/>
    <w:rsid w:val="4D6C5694"/>
    <w:rsid w:val="4D862070"/>
    <w:rsid w:val="4DA222EA"/>
    <w:rsid w:val="4DE11FC4"/>
    <w:rsid w:val="4E157F95"/>
    <w:rsid w:val="4EA672AF"/>
    <w:rsid w:val="4EAF62F4"/>
    <w:rsid w:val="4ED00BA1"/>
    <w:rsid w:val="4F1E6DBC"/>
    <w:rsid w:val="4F2D362E"/>
    <w:rsid w:val="4FE97940"/>
    <w:rsid w:val="50537D32"/>
    <w:rsid w:val="509E4038"/>
    <w:rsid w:val="50A51724"/>
    <w:rsid w:val="50F30FDE"/>
    <w:rsid w:val="51B15013"/>
    <w:rsid w:val="51D53806"/>
    <w:rsid w:val="51ED0106"/>
    <w:rsid w:val="522E717A"/>
    <w:rsid w:val="525B32AE"/>
    <w:rsid w:val="52B471BF"/>
    <w:rsid w:val="52E53CDC"/>
    <w:rsid w:val="536C4ECF"/>
    <w:rsid w:val="53A037EB"/>
    <w:rsid w:val="54071A89"/>
    <w:rsid w:val="544D66D8"/>
    <w:rsid w:val="54562342"/>
    <w:rsid w:val="545E5552"/>
    <w:rsid w:val="54CF09EC"/>
    <w:rsid w:val="54DC5847"/>
    <w:rsid w:val="565215A6"/>
    <w:rsid w:val="567447EA"/>
    <w:rsid w:val="56824DE3"/>
    <w:rsid w:val="56BF47E4"/>
    <w:rsid w:val="56CC4D76"/>
    <w:rsid w:val="57116485"/>
    <w:rsid w:val="572002B7"/>
    <w:rsid w:val="57216575"/>
    <w:rsid w:val="57376624"/>
    <w:rsid w:val="574A6675"/>
    <w:rsid w:val="57672CEB"/>
    <w:rsid w:val="57CD1F9A"/>
    <w:rsid w:val="57CF27C3"/>
    <w:rsid w:val="58570F50"/>
    <w:rsid w:val="593C0653"/>
    <w:rsid w:val="597852F2"/>
    <w:rsid w:val="598B6C60"/>
    <w:rsid w:val="59AB7B90"/>
    <w:rsid w:val="59B555C8"/>
    <w:rsid w:val="5A596D43"/>
    <w:rsid w:val="5A5F069E"/>
    <w:rsid w:val="5AA85455"/>
    <w:rsid w:val="5B581C6D"/>
    <w:rsid w:val="5B6D486F"/>
    <w:rsid w:val="5BB55204"/>
    <w:rsid w:val="5BCF4B95"/>
    <w:rsid w:val="5BF67032"/>
    <w:rsid w:val="5C3B6A5E"/>
    <w:rsid w:val="5C5B500F"/>
    <w:rsid w:val="5C61311E"/>
    <w:rsid w:val="5C7368BB"/>
    <w:rsid w:val="5C974299"/>
    <w:rsid w:val="5D317F73"/>
    <w:rsid w:val="5D327BF3"/>
    <w:rsid w:val="5D7F14DA"/>
    <w:rsid w:val="5E5B2B6D"/>
    <w:rsid w:val="5E6D7144"/>
    <w:rsid w:val="5E723E03"/>
    <w:rsid w:val="5E7C3F11"/>
    <w:rsid w:val="604C3CB7"/>
    <w:rsid w:val="60881DDC"/>
    <w:rsid w:val="60D14BE6"/>
    <w:rsid w:val="60DA41F1"/>
    <w:rsid w:val="60DB1C73"/>
    <w:rsid w:val="60E41122"/>
    <w:rsid w:val="60F4061E"/>
    <w:rsid w:val="6142619F"/>
    <w:rsid w:val="61AC4A2C"/>
    <w:rsid w:val="61C763F8"/>
    <w:rsid w:val="61FB2499"/>
    <w:rsid w:val="6295229F"/>
    <w:rsid w:val="63370DC0"/>
    <w:rsid w:val="636E3D35"/>
    <w:rsid w:val="637047CE"/>
    <w:rsid w:val="63A10BF2"/>
    <w:rsid w:val="64163705"/>
    <w:rsid w:val="64494913"/>
    <w:rsid w:val="64846B9B"/>
    <w:rsid w:val="64F813A9"/>
    <w:rsid w:val="64FD39BC"/>
    <w:rsid w:val="65670581"/>
    <w:rsid w:val="65AB2320"/>
    <w:rsid w:val="661F6D48"/>
    <w:rsid w:val="662D5327"/>
    <w:rsid w:val="66396032"/>
    <w:rsid w:val="66A8147D"/>
    <w:rsid w:val="66D200BF"/>
    <w:rsid w:val="6712317C"/>
    <w:rsid w:val="6739419F"/>
    <w:rsid w:val="673954E5"/>
    <w:rsid w:val="68B03FED"/>
    <w:rsid w:val="68D978C8"/>
    <w:rsid w:val="68E06D62"/>
    <w:rsid w:val="69183C67"/>
    <w:rsid w:val="69B30239"/>
    <w:rsid w:val="69C064B2"/>
    <w:rsid w:val="6A1D3E0C"/>
    <w:rsid w:val="6A6E07ED"/>
    <w:rsid w:val="6A7A3035"/>
    <w:rsid w:val="6ABB78CE"/>
    <w:rsid w:val="6B154A74"/>
    <w:rsid w:val="6B7B0918"/>
    <w:rsid w:val="6B981494"/>
    <w:rsid w:val="6BAB3AA6"/>
    <w:rsid w:val="6BE537F9"/>
    <w:rsid w:val="6BE66E12"/>
    <w:rsid w:val="6C2A3767"/>
    <w:rsid w:val="6C5E43B3"/>
    <w:rsid w:val="6C7A503E"/>
    <w:rsid w:val="6CB71DEE"/>
    <w:rsid w:val="6D0C5B2F"/>
    <w:rsid w:val="6E665D56"/>
    <w:rsid w:val="6EA27F90"/>
    <w:rsid w:val="6ECE7F63"/>
    <w:rsid w:val="6FF21B6F"/>
    <w:rsid w:val="70115BE8"/>
    <w:rsid w:val="706445D1"/>
    <w:rsid w:val="70CF2B23"/>
    <w:rsid w:val="71265794"/>
    <w:rsid w:val="71AB3669"/>
    <w:rsid w:val="71C669B4"/>
    <w:rsid w:val="72170FD8"/>
    <w:rsid w:val="72192C03"/>
    <w:rsid w:val="723C4CEB"/>
    <w:rsid w:val="728C62FC"/>
    <w:rsid w:val="72BA43E6"/>
    <w:rsid w:val="72DD00D4"/>
    <w:rsid w:val="734C547A"/>
    <w:rsid w:val="736C596A"/>
    <w:rsid w:val="749F136A"/>
    <w:rsid w:val="75034787"/>
    <w:rsid w:val="75966E3F"/>
    <w:rsid w:val="75BA637C"/>
    <w:rsid w:val="75E8263B"/>
    <w:rsid w:val="76565E41"/>
    <w:rsid w:val="76AF7FDA"/>
    <w:rsid w:val="76B47D64"/>
    <w:rsid w:val="771222E8"/>
    <w:rsid w:val="772B5411"/>
    <w:rsid w:val="772F6015"/>
    <w:rsid w:val="77332D7F"/>
    <w:rsid w:val="77573AF6"/>
    <w:rsid w:val="778B2EAC"/>
    <w:rsid w:val="78E9058D"/>
    <w:rsid w:val="79291653"/>
    <w:rsid w:val="79847B78"/>
    <w:rsid w:val="799E7093"/>
    <w:rsid w:val="799F3069"/>
    <w:rsid w:val="79BD101C"/>
    <w:rsid w:val="79F80A27"/>
    <w:rsid w:val="7A707655"/>
    <w:rsid w:val="7AAF2356"/>
    <w:rsid w:val="7AC371F6"/>
    <w:rsid w:val="7AEF6D75"/>
    <w:rsid w:val="7B276F1B"/>
    <w:rsid w:val="7BD77DB7"/>
    <w:rsid w:val="7BEF6963"/>
    <w:rsid w:val="7C5A6013"/>
    <w:rsid w:val="7CA83B93"/>
    <w:rsid w:val="7CE51858"/>
    <w:rsid w:val="7D2E186E"/>
    <w:rsid w:val="7D35249A"/>
    <w:rsid w:val="7DAA1BBC"/>
    <w:rsid w:val="7DCC1471"/>
    <w:rsid w:val="7DEE6429"/>
    <w:rsid w:val="7E133546"/>
    <w:rsid w:val="7E46233B"/>
    <w:rsid w:val="7E9F7D51"/>
    <w:rsid w:val="7EA50156"/>
    <w:rsid w:val="7F8D4850"/>
    <w:rsid w:val="7FBE66A4"/>
    <w:rsid w:val="7FCD3C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5"/>
    <w:link w:val="34"/>
    <w:qFormat/>
    <w:uiPriority w:val="0"/>
    <w:pPr>
      <w:keepNext/>
      <w:keepLines/>
      <w:spacing w:before="280" w:after="290" w:line="372" w:lineRule="auto"/>
      <w:outlineLvl w:val="3"/>
    </w:pPr>
    <w:rPr>
      <w:rFonts w:ascii="Arial" w:hAnsi="Arial" w:eastAsia="黑体" w:cs="Arial"/>
      <w:b/>
      <w:bCs/>
      <w:sz w:val="28"/>
      <w:szCs w:val="28"/>
    </w:rPr>
  </w:style>
  <w:style w:type="character" w:default="1" w:styleId="27">
    <w:name w:val="Default Paragraph Font"/>
    <w:semiHidden/>
    <w:uiPriority w:val="0"/>
  </w:style>
  <w:style w:type="table" w:default="1" w:styleId="26">
    <w:name w:val="Normal Table"/>
    <w:semiHidden/>
    <w:uiPriority w:val="0"/>
    <w:tblPr>
      <w:tblStyle w:val="26"/>
      <w:tblCellMar>
        <w:top w:w="0" w:type="dxa"/>
        <w:left w:w="108" w:type="dxa"/>
        <w:bottom w:w="0" w:type="dxa"/>
        <w:right w:w="108" w:type="dxa"/>
      </w:tblCellMar>
    </w:tblPr>
  </w:style>
  <w:style w:type="paragraph" w:styleId="5">
    <w:name w:val="Normal Indent"/>
    <w:basedOn w:val="1"/>
    <w:next w:val="1"/>
    <w:link w:val="35"/>
    <w:qFormat/>
    <w:uiPriority w:val="0"/>
    <w:pPr>
      <w:ind w:firstLine="420"/>
    </w:pPr>
    <w:rPr>
      <w:kern w:val="0"/>
    </w:rPr>
  </w:style>
  <w:style w:type="paragraph" w:styleId="6">
    <w:name w:val="List Number"/>
    <w:basedOn w:val="1"/>
    <w:uiPriority w:val="0"/>
    <w:pPr>
      <w:numPr>
        <w:ilvl w:val="0"/>
        <w:numId w:val="1"/>
      </w:numPr>
    </w:pPr>
  </w:style>
  <w:style w:type="paragraph" w:styleId="7">
    <w:name w:val="annotation text"/>
    <w:basedOn w:val="1"/>
    <w:uiPriority w:val="0"/>
    <w:pPr>
      <w:jc w:val="left"/>
    </w:pPr>
  </w:style>
  <w:style w:type="paragraph" w:styleId="8">
    <w:name w:val="Body Text"/>
    <w:basedOn w:val="1"/>
    <w:next w:val="9"/>
    <w:uiPriority w:val="0"/>
    <w:pPr>
      <w:spacing w:after="120"/>
    </w:pPr>
  </w:style>
  <w:style w:type="paragraph" w:customStyle="1" w:styleId="9">
    <w:name w:val="自动更正"/>
    <w:qFormat/>
    <w:uiPriority w:val="0"/>
    <w:pPr>
      <w:widowControl w:val="0"/>
      <w:jc w:val="both"/>
    </w:pPr>
    <w:rPr>
      <w:kern w:val="2"/>
      <w:sz w:val="21"/>
      <w:szCs w:val="24"/>
      <w:lang w:val="en-US" w:eastAsia="zh-CN" w:bidi="ar-SA"/>
    </w:rPr>
  </w:style>
  <w:style w:type="paragraph" w:styleId="10">
    <w:name w:val="Body Text Indent"/>
    <w:basedOn w:val="1"/>
    <w:link w:val="36"/>
    <w:qFormat/>
    <w:uiPriority w:val="0"/>
    <w:pPr>
      <w:spacing w:line="200" w:lineRule="exact"/>
      <w:ind w:firstLine="301"/>
    </w:pPr>
    <w:rPr>
      <w:rFonts w:ascii="宋体" w:hAnsi="Courier New" w:cs="宋体"/>
      <w:spacing w:val="-4"/>
      <w:sz w:val="18"/>
      <w:szCs w:val="18"/>
    </w:rPr>
  </w:style>
  <w:style w:type="paragraph" w:styleId="11">
    <w:name w:val="List 2"/>
    <w:basedOn w:val="1"/>
    <w:uiPriority w:val="0"/>
    <w:pPr>
      <w:ind w:left="100" w:leftChars="200" w:hanging="200" w:hangingChars="200"/>
    </w:pPr>
  </w:style>
  <w:style w:type="paragraph" w:styleId="12">
    <w:name w:val="Block Text"/>
    <w:basedOn w:val="1"/>
    <w:unhideWhenUsed/>
    <w:uiPriority w:val="99"/>
    <w:pPr>
      <w:spacing w:after="120"/>
      <w:ind w:left="1440" w:leftChars="700" w:right="1440" w:rightChars="700"/>
    </w:pPr>
  </w:style>
  <w:style w:type="paragraph" w:styleId="13">
    <w:name w:val="Plain Text"/>
    <w:basedOn w:val="1"/>
    <w:link w:val="37"/>
    <w:qFormat/>
    <w:uiPriority w:val="0"/>
    <w:pPr>
      <w:spacing w:beforeLines="50" w:afterLines="50" w:line="400" w:lineRule="exact"/>
    </w:pPr>
    <w:rPr>
      <w:rFonts w:ascii="宋体" w:hAnsi="Courier New" w:cs="宋体"/>
      <w:sz w:val="24"/>
      <w:szCs w:val="24"/>
    </w:rPr>
  </w:style>
  <w:style w:type="paragraph" w:styleId="14">
    <w:name w:val="Date"/>
    <w:basedOn w:val="1"/>
    <w:next w:val="1"/>
    <w:qFormat/>
    <w:uiPriority w:val="0"/>
    <w:pPr>
      <w:ind w:leftChars="2500"/>
    </w:pPr>
    <w:rPr>
      <w:rFonts w:eastAsia="楷体_GB2312"/>
      <w:sz w:val="32"/>
      <w:szCs w:val="20"/>
    </w:rPr>
  </w:style>
  <w:style w:type="paragraph" w:styleId="15">
    <w:name w:val="Body Text Indent 2"/>
    <w:basedOn w:val="1"/>
    <w:uiPriority w:val="0"/>
    <w:pPr>
      <w:spacing w:after="120" w:line="480" w:lineRule="auto"/>
      <w:ind w:left="420" w:leftChars="200"/>
    </w:pPr>
  </w:style>
  <w:style w:type="paragraph" w:styleId="16">
    <w:name w:val="Balloon Text"/>
    <w:basedOn w:val="1"/>
    <w:link w:val="38"/>
    <w:semiHidden/>
    <w:uiPriority w:val="0"/>
    <w:rPr>
      <w:sz w:val="18"/>
      <w:szCs w:val="18"/>
    </w:rPr>
  </w:style>
  <w:style w:type="paragraph" w:styleId="17">
    <w:name w:val="footer"/>
    <w:basedOn w:val="1"/>
    <w:link w:val="39"/>
    <w:qFormat/>
    <w:uiPriority w:val="0"/>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Body Text Indent 3"/>
    <w:basedOn w:val="1"/>
    <w:qFormat/>
    <w:uiPriority w:val="99"/>
    <w:pPr>
      <w:snapToGrid w:val="0"/>
      <w:ind w:firstLine="480" w:firstLineChars="200"/>
      <w:jc w:val="left"/>
    </w:pPr>
    <w:rPr>
      <w:rFonts w:ascii="仿宋_GB2312" w:hAnsi="宋体" w:eastAsia="仿宋_GB2312" w:cs="仿宋_GB2312"/>
      <w:color w:val="000000"/>
      <w:sz w:val="24"/>
      <w:szCs w:val="24"/>
    </w:rPr>
  </w:style>
  <w:style w:type="paragraph" w:styleId="20">
    <w:name w:val="Body Text 2"/>
    <w:basedOn w:val="1"/>
    <w:qFormat/>
    <w:uiPriority w:val="99"/>
    <w:pPr>
      <w:widowControl/>
      <w:snapToGrid w:val="0"/>
      <w:spacing w:before="50" w:afterLines="50" w:line="400" w:lineRule="exact"/>
      <w:jc w:val="left"/>
    </w:pPr>
    <w:rPr>
      <w:rFonts w:ascii="宋体" w:hAnsi="宋体" w:cs="宋体"/>
      <w:color w:val="000000"/>
      <w:sz w:val="24"/>
      <w:szCs w:val="24"/>
    </w:rPr>
  </w:style>
  <w:style w:type="paragraph" w:styleId="21">
    <w:name w:val="Normal (Web)"/>
    <w:basedOn w:val="1"/>
    <w:uiPriority w:val="0"/>
    <w:pPr>
      <w:spacing w:before="100" w:beforeAutospacing="1" w:after="100" w:afterAutospacing="1"/>
      <w:ind w:left="0" w:right="0"/>
      <w:jc w:val="left"/>
    </w:pPr>
    <w:rPr>
      <w:kern w:val="0"/>
      <w:sz w:val="24"/>
      <w:lang w:val="en-US" w:eastAsia="zh-CN" w:bidi="ar"/>
    </w:rPr>
  </w:style>
  <w:style w:type="paragraph" w:styleId="22">
    <w:name w:val="Title"/>
    <w:basedOn w:val="1"/>
    <w:next w:val="1"/>
    <w:qFormat/>
    <w:uiPriority w:val="0"/>
    <w:pPr>
      <w:spacing w:before="240" w:beforeLines="0" w:after="60" w:afterLines="0"/>
      <w:jc w:val="center"/>
      <w:outlineLvl w:val="0"/>
    </w:pPr>
    <w:rPr>
      <w:rFonts w:ascii="Cambria" w:hAnsi="Cambria"/>
      <w:b/>
      <w:sz w:val="32"/>
      <w:szCs w:val="20"/>
    </w:rPr>
  </w:style>
  <w:style w:type="paragraph" w:styleId="23">
    <w:name w:val="annotation subject"/>
    <w:basedOn w:val="7"/>
    <w:next w:val="7"/>
    <w:semiHidden/>
    <w:uiPriority w:val="0"/>
    <w:rPr>
      <w:b/>
      <w:bCs/>
    </w:rPr>
  </w:style>
  <w:style w:type="paragraph" w:styleId="24">
    <w:name w:val="Body Text First Indent"/>
    <w:basedOn w:val="8"/>
    <w:qFormat/>
    <w:uiPriority w:val="99"/>
    <w:pPr>
      <w:spacing w:after="120"/>
      <w:ind w:firstLine="420" w:firstLineChars="100"/>
    </w:pPr>
    <w:rPr>
      <w:i/>
      <w:kern w:val="2"/>
      <w:sz w:val="24"/>
    </w:rPr>
  </w:style>
  <w:style w:type="paragraph" w:styleId="25">
    <w:name w:val="Body Text First Indent 2"/>
    <w:basedOn w:val="10"/>
    <w:link w:val="41"/>
    <w:uiPriority w:val="0"/>
    <w:pPr>
      <w:spacing w:after="120" w:line="240" w:lineRule="auto"/>
      <w:ind w:left="420" w:leftChars="200" w:firstLine="420" w:firstLineChars="200"/>
    </w:pPr>
    <w:rPr>
      <w:sz w:val="21"/>
      <w:szCs w:val="21"/>
    </w:rPr>
  </w:style>
  <w:style w:type="character" w:styleId="28">
    <w:name w:val="Strong"/>
    <w:qFormat/>
    <w:uiPriority w:val="0"/>
    <w:rPr>
      <w:b/>
    </w:rPr>
  </w:style>
  <w:style w:type="character" w:styleId="29">
    <w:name w:val="page number"/>
    <w:basedOn w:val="27"/>
    <w:qFormat/>
    <w:uiPriority w:val="99"/>
  </w:style>
  <w:style w:type="character" w:styleId="30">
    <w:name w:val="Hyperlink"/>
    <w:unhideWhenUsed/>
    <w:qFormat/>
    <w:uiPriority w:val="99"/>
    <w:rPr>
      <w:color w:val="3D3D3D"/>
      <w:u w:val="none"/>
    </w:rPr>
  </w:style>
  <w:style w:type="character" w:styleId="31">
    <w:name w:val="annotation reference"/>
    <w:semiHidden/>
    <w:uiPriority w:val="0"/>
    <w:rPr>
      <w:sz w:val="21"/>
      <w:szCs w:val="21"/>
    </w:rPr>
  </w:style>
  <w:style w:type="character" w:customStyle="1" w:styleId="32">
    <w:name w:val="标题 1 Char1"/>
    <w:link w:val="2"/>
    <w:locked/>
    <w:uiPriority w:val="0"/>
    <w:rPr>
      <w:rFonts w:eastAsia="宋体"/>
      <w:b/>
      <w:bCs/>
      <w:kern w:val="44"/>
      <w:sz w:val="44"/>
      <w:szCs w:val="44"/>
      <w:lang w:val="en-US" w:eastAsia="zh-CN" w:bidi="ar-SA"/>
    </w:rPr>
  </w:style>
  <w:style w:type="character" w:customStyle="1" w:styleId="33">
    <w:name w:val="标题 2 Char1"/>
    <w:link w:val="3"/>
    <w:uiPriority w:val="0"/>
    <w:rPr>
      <w:rFonts w:ascii="Arial" w:hAnsi="Arial" w:eastAsia="黑体"/>
      <w:b/>
      <w:bCs/>
      <w:kern w:val="2"/>
      <w:sz w:val="32"/>
      <w:szCs w:val="32"/>
      <w:lang w:val="en-US" w:eastAsia="zh-CN" w:bidi="ar-SA"/>
    </w:rPr>
  </w:style>
  <w:style w:type="character" w:customStyle="1" w:styleId="34">
    <w:name w:val="标题 4 Char"/>
    <w:link w:val="4"/>
    <w:qFormat/>
    <w:locked/>
    <w:uiPriority w:val="0"/>
    <w:rPr>
      <w:rFonts w:ascii="Arial" w:hAnsi="Arial" w:eastAsia="黑体" w:cs="Arial"/>
      <w:b/>
      <w:bCs/>
      <w:kern w:val="2"/>
      <w:sz w:val="28"/>
      <w:szCs w:val="28"/>
      <w:lang w:val="en-US" w:eastAsia="zh-CN" w:bidi="ar-SA"/>
    </w:rPr>
  </w:style>
  <w:style w:type="character" w:customStyle="1" w:styleId="35">
    <w:name w:val="正文缩进 Char1"/>
    <w:link w:val="5"/>
    <w:uiPriority w:val="0"/>
    <w:rPr>
      <w:rFonts w:eastAsia="宋体"/>
      <w:sz w:val="21"/>
      <w:szCs w:val="21"/>
      <w:lang w:val="en-US" w:eastAsia="zh-CN" w:bidi="ar-SA"/>
    </w:rPr>
  </w:style>
  <w:style w:type="character" w:customStyle="1" w:styleId="36">
    <w:name w:val="正文文本缩进 Char"/>
    <w:link w:val="10"/>
    <w:qFormat/>
    <w:locked/>
    <w:uiPriority w:val="0"/>
    <w:rPr>
      <w:rFonts w:ascii="宋体" w:hAnsi="Courier New" w:eastAsia="宋体" w:cs="宋体"/>
      <w:spacing w:val="-4"/>
      <w:kern w:val="2"/>
      <w:sz w:val="18"/>
      <w:szCs w:val="18"/>
      <w:lang w:val="en-US" w:eastAsia="zh-CN" w:bidi="ar-SA"/>
    </w:rPr>
  </w:style>
  <w:style w:type="character" w:customStyle="1" w:styleId="37">
    <w:name w:val="纯文本 Char2"/>
    <w:link w:val="13"/>
    <w:locked/>
    <w:uiPriority w:val="0"/>
    <w:rPr>
      <w:rFonts w:ascii="宋体" w:hAnsi="Courier New" w:eastAsia="宋体" w:cs="宋体"/>
      <w:kern w:val="2"/>
      <w:sz w:val="24"/>
      <w:szCs w:val="24"/>
      <w:lang w:val="en-US" w:eastAsia="zh-CN" w:bidi="ar-SA"/>
    </w:rPr>
  </w:style>
  <w:style w:type="character" w:customStyle="1" w:styleId="38">
    <w:name w:val="批注框文本 Char"/>
    <w:link w:val="16"/>
    <w:uiPriority w:val="0"/>
    <w:rPr>
      <w:rFonts w:eastAsia="宋体"/>
      <w:kern w:val="2"/>
      <w:sz w:val="18"/>
      <w:szCs w:val="18"/>
      <w:lang w:val="en-US" w:eastAsia="zh-CN" w:bidi="ar-SA"/>
    </w:rPr>
  </w:style>
  <w:style w:type="character" w:customStyle="1" w:styleId="39">
    <w:name w:val="页脚 Char"/>
    <w:link w:val="17"/>
    <w:qFormat/>
    <w:locked/>
    <w:uiPriority w:val="0"/>
    <w:rPr>
      <w:rFonts w:eastAsia="宋体"/>
      <w:kern w:val="2"/>
      <w:sz w:val="18"/>
      <w:szCs w:val="18"/>
      <w:lang w:val="en-US" w:eastAsia="zh-CN" w:bidi="ar-SA"/>
    </w:rPr>
  </w:style>
  <w:style w:type="character" w:customStyle="1" w:styleId="40">
    <w:name w:val="页眉 Char"/>
    <w:link w:val="18"/>
    <w:qFormat/>
    <w:locked/>
    <w:uiPriority w:val="0"/>
    <w:rPr>
      <w:rFonts w:eastAsia="宋体"/>
      <w:kern w:val="2"/>
      <w:sz w:val="18"/>
      <w:szCs w:val="18"/>
      <w:lang w:val="en-US" w:eastAsia="zh-CN" w:bidi="ar-SA"/>
    </w:rPr>
  </w:style>
  <w:style w:type="character" w:customStyle="1" w:styleId="41">
    <w:name w:val="正文首行缩进 2 Char"/>
    <w:link w:val="25"/>
    <w:uiPriority w:val="0"/>
    <w:rPr>
      <w:rFonts w:ascii="宋体" w:hAnsi="Courier New" w:eastAsia="宋体" w:cs="宋体"/>
      <w:spacing w:val="-4"/>
      <w:kern w:val="2"/>
      <w:sz w:val="21"/>
      <w:szCs w:val="21"/>
      <w:lang w:val="en-US" w:eastAsia="zh-CN" w:bidi="ar-SA"/>
    </w:rPr>
  </w:style>
  <w:style w:type="character" w:customStyle="1" w:styleId="42">
    <w:name w:val="纯文本 字符"/>
    <w:uiPriority w:val="0"/>
    <w:rPr>
      <w:rFonts w:ascii="宋体" w:hAnsi="Courier New" w:eastAsia="宋体"/>
      <w:kern w:val="2"/>
      <w:sz w:val="24"/>
      <w:szCs w:val="24"/>
      <w:lang w:val="en-US" w:eastAsia="zh-CN" w:bidi="ar-SA"/>
    </w:rPr>
  </w:style>
  <w:style w:type="character" w:customStyle="1" w:styleId="43">
    <w:name w:val=" Char Char7"/>
    <w:qFormat/>
    <w:uiPriority w:val="0"/>
    <w:rPr>
      <w:rFonts w:ascii="宋体" w:hAnsi="Courier New" w:eastAsia="宋体"/>
      <w:kern w:val="2"/>
      <w:sz w:val="24"/>
      <w:szCs w:val="24"/>
      <w:lang w:val="en-US" w:eastAsia="zh-CN" w:bidi="ar-SA"/>
    </w:rPr>
  </w:style>
  <w:style w:type="character" w:customStyle="1" w:styleId="44">
    <w:name w:val="font61"/>
    <w:basedOn w:val="27"/>
    <w:uiPriority w:val="0"/>
    <w:rPr>
      <w:rFonts w:hint="eastAsia" w:ascii="宋体" w:hAnsi="宋体" w:eastAsia="宋体" w:cs="宋体"/>
      <w:color w:val="000000"/>
      <w:sz w:val="22"/>
      <w:szCs w:val="22"/>
      <w:u w:val="none"/>
    </w:rPr>
  </w:style>
  <w:style w:type="character" w:customStyle="1" w:styleId="45">
    <w:name w:val="纯文本 Char1"/>
    <w:aliases w:val="普通文字 Char Char1,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7 Char"/>
    <w:uiPriority w:val="0"/>
    <w:rPr>
      <w:rFonts w:ascii="宋体" w:hAnsi="Courier New"/>
      <w:kern w:val="2"/>
      <w:sz w:val="24"/>
      <w:szCs w:val="24"/>
    </w:rPr>
  </w:style>
  <w:style w:type="character" w:customStyle="1" w:styleId="46">
    <w:name w:val=" Char Char3"/>
    <w:uiPriority w:val="0"/>
    <w:rPr>
      <w:kern w:val="2"/>
      <w:sz w:val="18"/>
    </w:rPr>
  </w:style>
  <w:style w:type="character" w:customStyle="1" w:styleId="47">
    <w:name w:val="标题 1 Char"/>
    <w:uiPriority w:val="0"/>
    <w:rPr>
      <w:rFonts w:hint="default" w:ascii="Times New Roman" w:eastAsia="宋体"/>
      <w:b/>
      <w:spacing w:val="-2"/>
      <w:sz w:val="24"/>
      <w:lang w:val="en-US" w:eastAsia="zh-CN"/>
    </w:rPr>
  </w:style>
  <w:style w:type="character" w:customStyle="1" w:styleId="48">
    <w:name w:val="font21"/>
    <w:basedOn w:val="27"/>
    <w:uiPriority w:val="0"/>
    <w:rPr>
      <w:rFonts w:hint="eastAsia" w:ascii="宋体" w:hAnsi="宋体" w:eastAsia="宋体" w:cs="宋体"/>
      <w:color w:val="000000"/>
      <w:sz w:val="18"/>
      <w:szCs w:val="18"/>
      <w:u w:val="none"/>
    </w:rPr>
  </w:style>
  <w:style w:type="character" w:customStyle="1" w:styleId="49">
    <w:name w:val="font41"/>
    <w:basedOn w:val="27"/>
    <w:uiPriority w:val="0"/>
    <w:rPr>
      <w:rFonts w:hint="eastAsia" w:ascii="宋体" w:hAnsi="宋体" w:eastAsia="宋体" w:cs="宋体"/>
      <w:color w:val="000000"/>
      <w:sz w:val="21"/>
      <w:szCs w:val="21"/>
      <w:u w:val="none"/>
    </w:rPr>
  </w:style>
  <w:style w:type="character" w:customStyle="1" w:styleId="50">
    <w:name w:val="标题 2 Char"/>
    <w:qFormat/>
    <w:uiPriority w:val="0"/>
    <w:rPr>
      <w:rFonts w:ascii="Arial" w:hAnsi="Arial" w:eastAsia="黑体"/>
      <w:b/>
      <w:kern w:val="2"/>
      <w:sz w:val="32"/>
      <w:lang w:val="en-US" w:eastAsia="zh-CN"/>
    </w:rPr>
  </w:style>
  <w:style w:type="character" w:customStyle="1" w:styleId="51">
    <w:name w:val="正文缩进 Char"/>
    <w:qFormat/>
    <w:locked/>
    <w:uiPriority w:val="0"/>
    <w:rPr>
      <w:rFonts w:ascii="Times New Roman" w:hAnsi="Times New Roman" w:eastAsia="宋体" w:cs="Times New Roman"/>
      <w:sz w:val="21"/>
      <w:szCs w:val="21"/>
    </w:rPr>
  </w:style>
  <w:style w:type="character" w:customStyle="1" w:styleId="52">
    <w:name w:val=" Char Char2"/>
    <w:uiPriority w:val="0"/>
    <w:rPr>
      <w:kern w:val="2"/>
      <w:sz w:val="18"/>
    </w:rPr>
  </w:style>
  <w:style w:type="character" w:customStyle="1" w:styleId="53">
    <w:name w:val="font11"/>
    <w:basedOn w:val="27"/>
    <w:uiPriority w:val="0"/>
    <w:rPr>
      <w:rFonts w:hint="eastAsia" w:ascii="宋体" w:hAnsi="宋体" w:eastAsia="宋体" w:cs="宋体"/>
      <w:color w:val="FF0000"/>
      <w:sz w:val="21"/>
      <w:szCs w:val="21"/>
      <w:u w:val="none"/>
    </w:rPr>
  </w:style>
  <w:style w:type="character" w:customStyle="1" w:styleId="54">
    <w:name w:val="纯文本 Char"/>
    <w:qFormat/>
    <w:locked/>
    <w:uiPriority w:val="0"/>
    <w:rPr>
      <w:rFonts w:ascii="宋体" w:hAnsi="Courier New" w:eastAsia="宋体" w:cs="宋体"/>
      <w:kern w:val="2"/>
      <w:sz w:val="24"/>
      <w:szCs w:val="24"/>
    </w:rPr>
  </w:style>
  <w:style w:type="character" w:customStyle="1" w:styleId="55">
    <w:name w:val="标题 1 Char Char"/>
    <w:qFormat/>
    <w:uiPriority w:val="0"/>
    <w:rPr>
      <w:rFonts w:eastAsia="宋体"/>
      <w:b/>
      <w:spacing w:val="-2"/>
      <w:sz w:val="24"/>
      <w:lang w:val="en-US" w:eastAsia="zh-CN"/>
    </w:rPr>
  </w:style>
  <w:style w:type="character" w:customStyle="1" w:styleId="56">
    <w:name w:val=" Char Char13"/>
    <w:qFormat/>
    <w:locked/>
    <w:uiPriority w:val="0"/>
    <w:rPr>
      <w:rFonts w:ascii="宋体" w:hAnsi="Courier New" w:eastAsia="宋体" w:cs="宋体"/>
      <w:sz w:val="24"/>
      <w:szCs w:val="24"/>
    </w:rPr>
  </w:style>
  <w:style w:type="character" w:customStyle="1" w:styleId="57">
    <w:name w:val=" Char Char10"/>
    <w:locked/>
    <w:uiPriority w:val="0"/>
    <w:rPr>
      <w:rFonts w:ascii="宋体" w:hAnsi="Courier New" w:eastAsia="宋体" w:cs="宋体"/>
      <w:lang w:val="en-US" w:eastAsia="zh-CN"/>
    </w:rPr>
  </w:style>
  <w:style w:type="character" w:customStyle="1" w:styleId="58">
    <w:name w:val="font31"/>
    <w:basedOn w:val="27"/>
    <w:uiPriority w:val="0"/>
    <w:rPr>
      <w:rFonts w:hint="eastAsia" w:ascii="宋体" w:hAnsi="宋体" w:eastAsia="宋体" w:cs="宋体"/>
      <w:color w:val="FF0000"/>
      <w:sz w:val="18"/>
      <w:szCs w:val="18"/>
      <w:u w:val="none"/>
    </w:rPr>
  </w:style>
  <w:style w:type="character" w:customStyle="1" w:styleId="59">
    <w:name w:val="font01"/>
    <w:basedOn w:val="27"/>
    <w:uiPriority w:val="0"/>
    <w:rPr>
      <w:rFonts w:hint="eastAsia" w:ascii="宋体" w:hAnsi="宋体" w:eastAsia="宋体" w:cs="宋体"/>
      <w:color w:val="000000"/>
      <w:sz w:val="22"/>
      <w:szCs w:val="22"/>
      <w:u w:val="none"/>
    </w:rPr>
  </w:style>
  <w:style w:type="paragraph" w:customStyle="1" w:styleId="60">
    <w:name w:val="Normal"/>
    <w:uiPriority w:val="0"/>
    <w:pPr>
      <w:widowControl w:val="0"/>
      <w:jc w:val="both"/>
    </w:pPr>
    <w:rPr>
      <w:rFonts w:hint="eastAsia"/>
      <w:kern w:val="2"/>
      <w:sz w:val="21"/>
      <w:lang w:val="en-US" w:eastAsia="zh-CN" w:bidi="ar-SA"/>
    </w:rPr>
  </w:style>
  <w:style w:type="paragraph" w:customStyle="1" w:styleId="61">
    <w:name w:val="p0"/>
    <w:basedOn w:val="1"/>
    <w:qFormat/>
    <w:uiPriority w:val="0"/>
    <w:pPr>
      <w:widowControl/>
    </w:pPr>
    <w:rPr>
      <w:kern w:val="0"/>
    </w:rPr>
  </w:style>
  <w:style w:type="paragraph" w:customStyle="1" w:styleId="62">
    <w:name w:val="Table Paragraph"/>
    <w:basedOn w:val="1"/>
    <w:qFormat/>
    <w:uiPriority w:val="1"/>
    <w:rPr>
      <w:rFonts w:ascii="宋体" w:hAnsi="宋体" w:eastAsia="宋体" w:cs="宋体"/>
      <w:lang w:val="zh-CN" w:eastAsia="zh-CN" w:bidi="zh-CN"/>
    </w:rPr>
  </w:style>
  <w:style w:type="paragraph" w:customStyle="1" w:styleId="63">
    <w:name w:val="列出段落1"/>
    <w:basedOn w:val="1"/>
    <w:uiPriority w:val="0"/>
    <w:pPr>
      <w:ind w:firstLine="200" w:firstLineChars="200"/>
    </w:pPr>
    <w:rPr>
      <w:rFonts w:ascii="Calibri" w:hAnsi="Calibri" w:cs="Arial"/>
      <w:szCs w:val="24"/>
    </w:rPr>
  </w:style>
  <w:style w:type="paragraph" w:customStyle="1" w:styleId="64">
    <w:name w:val="List Paragraph"/>
    <w:basedOn w:val="1"/>
    <w:uiPriority w:val="0"/>
    <w:pPr>
      <w:ind w:firstLine="420" w:firstLineChars="200"/>
    </w:pPr>
  </w:style>
  <w:style w:type="paragraph" w:customStyle="1" w:styleId="65">
    <w:name w:val=" Char Char Char Char Char Char Char"/>
    <w:basedOn w:val="1"/>
    <w:uiPriority w:val="0"/>
    <w:pPr>
      <w:ind w:firstLine="200" w:firstLineChars="200"/>
    </w:pPr>
    <w:rPr>
      <w:rFonts w:ascii="Tahoma" w:hAnsi="Tahoma"/>
      <w:sz w:val="24"/>
    </w:rPr>
  </w:style>
  <w:style w:type="paragraph" w:customStyle="1" w:styleId="66">
    <w:name w:val="默认段落字体 Para Char Char Char Char Char Char Char Char Char1 Char Char Char Char"/>
    <w:basedOn w:val="1"/>
    <w:qFormat/>
    <w:uiPriority w:val="0"/>
    <w:rPr>
      <w:rFonts w:ascii="Tahoma" w:hAnsi="Tahoma" w:cs="Tahoma"/>
      <w:sz w:val="24"/>
      <w:szCs w:val="24"/>
    </w:rPr>
  </w:style>
  <w:style w:type="paragraph" w:customStyle="1" w:styleId="67">
    <w:name w:val="默认段落字体 Para Char Char Char Char"/>
    <w:basedOn w:val="1"/>
    <w:uiPriority w:val="0"/>
    <w:pPr>
      <w:adjustRightInd w:val="0"/>
      <w:spacing w:line="360" w:lineRule="auto"/>
    </w:pPr>
    <w:rPr>
      <w:kern w:val="0"/>
      <w:sz w:val="24"/>
      <w:szCs w:val="20"/>
    </w:rPr>
  </w:style>
  <w:style w:type="paragraph" w:styleId="68">
    <w:name w:val="List Paragraph"/>
    <w:basedOn w:val="1"/>
    <w:qFormat/>
    <w:uiPriority w:val="0"/>
    <w:pPr>
      <w:ind w:firstLine="420" w:firstLineChars="200"/>
    </w:pPr>
    <w:rPr>
      <w:rFonts w:ascii="Calibri" w:hAnsi="Calibri"/>
      <w:szCs w:val="24"/>
    </w:rPr>
  </w:style>
  <w:style w:type="paragraph" w:customStyle="1" w:styleId="69">
    <w:name w:val="Plain Text"/>
    <w:basedOn w:val="60"/>
    <w:uiPriority w:val="0"/>
    <w:pPr>
      <w:widowControl/>
      <w:jc w:val="left"/>
    </w:pPr>
    <w:rPr>
      <w:rFonts w:ascii="宋体" w:hAnsi="Courier New"/>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jpeg" Type="http://schemas.openxmlformats.org/officeDocument/2006/relationships/imag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106</Pages>
  <Words>58236</Words>
  <Characters>61875</Characters>
  <Lines>488</Lines>
  <Paragraphs>137</Paragraphs>
  <TotalTime>1</TotalTime>
  <ScaleCrop>false</ScaleCrop>
  <LinksUpToDate>false</LinksUpToDate>
  <CharactersWithSpaces>65236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2022-02-16T04:07:00Z</dcterms:created>
  <dc:creator>醉人</dc:creator>
  <cp:lastModifiedBy>WPS_1701756769</cp:lastModifiedBy>
  <cp:lastPrinted>2022-04-14T00:58:58Z</cp:lastPrinted>
  <dcterms:modified xsi:type="dcterms:W3CDTF">2024-02-26T02:06:14Z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9A23AEE0EE1646C280EEC5F4F98BE694_13</vt:lpwstr>
  </property>
</Properties>
</file>