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before="120" w:beforeLines="50"/>
        <w:jc w:val="right"/>
        <w:rPr>
          <w:rFonts w:ascii="宋体" w:hAnsi="宋体"/>
          <w:sz w:val="30"/>
          <w:szCs w:val="30"/>
        </w:rPr>
      </w:pPr>
      <w:r>
        <w:rPr>
          <w:sz w:val="32"/>
        </w:rPr>
        <w:t xml:space="preserve">      </w:t>
      </w:r>
      <w:r>
        <w:rPr>
          <w:rFonts w:hint="eastAsia" w:ascii="宋体" w:hAnsi="宋体"/>
          <w:sz w:val="30"/>
          <w:szCs w:val="30"/>
        </w:rPr>
        <w:t xml:space="preserve"> </w:t>
      </w:r>
    </w:p>
    <w:p>
      <w:pPr>
        <w:spacing w:before="120" w:beforeLines="50"/>
        <w:jc w:val="right"/>
        <w:rPr>
          <w:rFonts w:ascii="宋体" w:hAnsi="宋体"/>
          <w:sz w:val="30"/>
          <w:szCs w:val="30"/>
        </w:rPr>
      </w:pPr>
      <w:r>
        <w:rPr>
          <w:rFonts w:ascii="仿宋_GB2312" w:eastAsia="仿宋_GB2312"/>
          <w:b/>
          <w:bCs/>
          <w:spacing w:val="-20"/>
          <w:kern w:val="0"/>
          <w:sz w:val="48"/>
          <w:szCs w:val="48"/>
          <w:u w:val="single"/>
        </w:rPr>
        <w:drawing>
          <wp:anchor distT="0" distB="0" distL="114300" distR="114300" simplePos="0" relativeHeight="251659264" behindDoc="0" locked="0" layoutInCell="1" allowOverlap="1">
            <wp:simplePos x="0" y="0"/>
            <wp:positionH relativeFrom="column">
              <wp:posOffset>-130810</wp:posOffset>
            </wp:positionH>
            <wp:positionV relativeFrom="paragraph">
              <wp:posOffset>298450</wp:posOffset>
            </wp:positionV>
            <wp:extent cx="1537335" cy="989965"/>
            <wp:effectExtent l="0" t="0" r="1905" b="635"/>
            <wp:wrapSquare wrapText="bothSides"/>
            <wp:docPr id="2" name="图片 1" descr="C:\Users\DELL\AppData\Local\Temp\WeChat Files\eac2354c04163b3af708a5e41b819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DELL\AppData\Local\Temp\WeChat Files\eac2354c04163b3af708a5e41b81978.png"/>
                    <pic:cNvPicPr>
                      <a:picLocks noChangeAspect="1"/>
                    </pic:cNvPicPr>
                  </pic:nvPicPr>
                  <pic:blipFill>
                    <a:blip r:embed="rId13"/>
                    <a:stretch>
                      <a:fillRect/>
                    </a:stretch>
                  </pic:blipFill>
                  <pic:spPr>
                    <a:xfrm>
                      <a:off x="0" y="0"/>
                      <a:ext cx="1537335" cy="989965"/>
                    </a:xfrm>
                    <a:prstGeom prst="rect">
                      <a:avLst/>
                    </a:prstGeom>
                    <a:noFill/>
                    <a:ln>
                      <a:noFill/>
                    </a:ln>
                  </pic:spPr>
                </pic:pic>
              </a:graphicData>
            </a:graphic>
          </wp:anchor>
        </w:drawing>
      </w:r>
    </w:p>
    <w:p>
      <w:pPr>
        <w:widowControl/>
        <w:spacing w:before="120" w:after="120" w:line="440" w:lineRule="exact"/>
        <w:jc w:val="center"/>
        <w:rPr>
          <w:rFonts w:ascii="仿宋" w:hAnsi="仿宋" w:eastAsia="仿宋"/>
          <w:sz w:val="28"/>
          <w:szCs w:val="28"/>
        </w:rPr>
      </w:pPr>
      <w:r>
        <w:rPr>
          <w:rFonts w:hint="eastAsia" w:ascii="仿宋" w:hAnsi="仿宋" w:eastAsia="仿宋"/>
          <w:sz w:val="28"/>
          <w:szCs w:val="28"/>
        </w:rPr>
        <w:t xml:space="preserve">                                 </w:t>
      </w:r>
    </w:p>
    <w:p>
      <w:pPr>
        <w:widowControl/>
        <w:spacing w:before="120" w:after="120"/>
        <w:jc w:val="center"/>
        <w:rPr>
          <w:rFonts w:ascii="仿宋" w:hAnsi="仿宋" w:eastAsia="仿宋"/>
          <w:sz w:val="84"/>
          <w:szCs w:val="84"/>
        </w:rPr>
      </w:pPr>
    </w:p>
    <w:p>
      <w:pPr>
        <w:widowControl/>
        <w:spacing w:before="120" w:after="120"/>
        <w:jc w:val="center"/>
        <w:rPr>
          <w:rFonts w:ascii="仿宋" w:hAnsi="仿宋" w:eastAsia="仿宋"/>
          <w:sz w:val="84"/>
          <w:szCs w:val="84"/>
        </w:rPr>
      </w:pPr>
      <w:r>
        <w:rPr>
          <w:rFonts w:hint="eastAsia" w:ascii="仿宋" w:hAnsi="仿宋" w:eastAsia="仿宋"/>
          <w:sz w:val="84"/>
          <w:szCs w:val="84"/>
        </w:rPr>
        <w:t>公开招标采购文件</w:t>
      </w:r>
    </w:p>
    <w:p>
      <w:pPr>
        <w:widowControl/>
        <w:spacing w:before="120" w:after="120"/>
        <w:jc w:val="center"/>
        <w:rPr>
          <w:rFonts w:ascii="仿宋" w:hAnsi="仿宋" w:eastAsia="仿宋"/>
          <w:sz w:val="72"/>
          <w:szCs w:val="72"/>
        </w:rPr>
      </w:pPr>
    </w:p>
    <w:p>
      <w:pPr>
        <w:widowControl/>
        <w:spacing w:before="120" w:after="120" w:line="440" w:lineRule="exact"/>
        <w:jc w:val="center"/>
        <w:rPr>
          <w:rFonts w:ascii="仿宋" w:hAnsi="仿宋" w:eastAsia="仿宋"/>
          <w:sz w:val="36"/>
          <w:szCs w:val="36"/>
        </w:rPr>
      </w:pPr>
      <w:r>
        <w:rPr>
          <w:rFonts w:hint="eastAsia" w:ascii="仿宋" w:hAnsi="仿宋" w:eastAsia="仿宋"/>
          <w:sz w:val="36"/>
          <w:szCs w:val="36"/>
        </w:rPr>
        <w:t>项目编号：</w:t>
      </w:r>
      <w:r>
        <w:rPr>
          <w:rFonts w:hint="eastAsia" w:ascii="仿宋" w:hAnsi="仿宋" w:eastAsia="仿宋"/>
          <w:sz w:val="36"/>
          <w:szCs w:val="36"/>
          <w:lang w:eastAsia="zh-CN"/>
        </w:rPr>
        <w:t>HX-2024-1023</w:t>
      </w:r>
      <w:r>
        <w:rPr>
          <w:rFonts w:hint="eastAsia" w:ascii="仿宋" w:hAnsi="仿宋" w:eastAsia="仿宋"/>
          <w:sz w:val="36"/>
          <w:szCs w:val="36"/>
        </w:rPr>
        <w:t xml:space="preserve"> </w:t>
      </w:r>
    </w:p>
    <w:p>
      <w:pPr>
        <w:widowControl/>
        <w:spacing w:before="120" w:after="120" w:line="440" w:lineRule="exact"/>
        <w:jc w:val="center"/>
        <w:rPr>
          <w:rFonts w:ascii="仿宋" w:hAnsi="仿宋" w:eastAsia="仿宋"/>
          <w:sz w:val="36"/>
          <w:szCs w:val="36"/>
        </w:rPr>
      </w:pPr>
    </w:p>
    <w:p>
      <w:pPr>
        <w:widowControl/>
        <w:spacing w:before="120" w:after="120" w:line="440" w:lineRule="exact"/>
        <w:jc w:val="center"/>
        <w:rPr>
          <w:rFonts w:ascii="创艺简标宋" w:hAnsi="宋体" w:eastAsia="创艺简标宋"/>
          <w:sz w:val="36"/>
          <w:szCs w:val="36"/>
        </w:rPr>
      </w:pPr>
    </w:p>
    <w:p>
      <w:pPr>
        <w:widowControl/>
        <w:spacing w:before="120" w:after="120" w:line="440" w:lineRule="exact"/>
        <w:rPr>
          <w:rFonts w:ascii="宋体" w:hAnsi="宋体" w:cs="宋体"/>
          <w:sz w:val="32"/>
          <w:szCs w:val="32"/>
        </w:rPr>
      </w:pPr>
    </w:p>
    <w:p>
      <w:pPr>
        <w:widowControl/>
        <w:spacing w:before="120" w:after="120" w:line="440" w:lineRule="exact"/>
        <w:rPr>
          <w:rFonts w:ascii="宋体" w:hAnsi="宋体" w:cs="宋体"/>
          <w:sz w:val="32"/>
          <w:szCs w:val="32"/>
        </w:rPr>
      </w:pPr>
      <w:r>
        <w:rPr>
          <w:rFonts w:hint="eastAsia" w:ascii="宋体" w:hAnsi="宋体" w:cs="宋体"/>
          <w:sz w:val="32"/>
          <w:szCs w:val="32"/>
        </w:rPr>
        <w:t>项目名称：</w:t>
      </w:r>
      <w:r>
        <w:rPr>
          <w:rFonts w:hint="eastAsia" w:ascii="宋体" w:hAnsi="宋体" w:cs="宋体"/>
          <w:sz w:val="30"/>
          <w:szCs w:val="30"/>
        </w:rPr>
        <w:t>2024年宁波市镇海区交通运输管理中心数字公路运维项目</w:t>
      </w:r>
    </w:p>
    <w:p>
      <w:pPr>
        <w:widowControl/>
        <w:spacing w:before="120" w:after="120" w:line="440" w:lineRule="exact"/>
        <w:rPr>
          <w:rFonts w:ascii="宋体" w:hAnsi="宋体" w:cs="宋体"/>
          <w:sz w:val="32"/>
          <w:szCs w:val="32"/>
        </w:rPr>
      </w:pPr>
    </w:p>
    <w:p>
      <w:pPr>
        <w:widowControl/>
        <w:spacing w:before="120" w:after="120" w:line="440" w:lineRule="exact"/>
        <w:rPr>
          <w:rFonts w:ascii="宋体" w:hAnsi="宋体" w:cs="宋体"/>
          <w:sz w:val="32"/>
          <w:szCs w:val="32"/>
        </w:rPr>
      </w:pPr>
    </w:p>
    <w:p>
      <w:pPr>
        <w:widowControl/>
        <w:spacing w:before="120" w:after="120" w:line="440" w:lineRule="exact"/>
        <w:rPr>
          <w:rFonts w:ascii="宋体" w:hAnsi="宋体" w:cs="宋体"/>
          <w:sz w:val="30"/>
          <w:szCs w:val="30"/>
        </w:rPr>
      </w:pPr>
    </w:p>
    <w:p>
      <w:pPr>
        <w:widowControl/>
        <w:spacing w:before="120" w:after="120" w:line="440" w:lineRule="exact"/>
        <w:rPr>
          <w:rFonts w:ascii="宋体" w:hAnsi="宋体" w:cs="宋体"/>
          <w:sz w:val="30"/>
          <w:szCs w:val="30"/>
        </w:rPr>
      </w:pPr>
      <w:r>
        <w:rPr>
          <w:rFonts w:hint="eastAsia" w:ascii="宋体" w:hAnsi="宋体" w:cs="宋体"/>
          <w:sz w:val="30"/>
          <w:szCs w:val="30"/>
        </w:rPr>
        <w:t>采购单位：宁波市镇海区交通运输管理中心</w:t>
      </w:r>
    </w:p>
    <w:p>
      <w:pPr>
        <w:widowControl/>
        <w:spacing w:before="120" w:after="120" w:line="440" w:lineRule="exact"/>
        <w:rPr>
          <w:rFonts w:ascii="宋体" w:hAnsi="宋体" w:cs="宋体"/>
          <w:sz w:val="30"/>
          <w:szCs w:val="30"/>
        </w:rPr>
      </w:pPr>
    </w:p>
    <w:p>
      <w:pPr>
        <w:widowControl/>
        <w:spacing w:before="120" w:after="120" w:line="440" w:lineRule="exact"/>
        <w:rPr>
          <w:rFonts w:ascii="宋体" w:hAnsi="宋体" w:cs="宋体"/>
          <w:sz w:val="30"/>
          <w:szCs w:val="30"/>
        </w:rPr>
      </w:pPr>
    </w:p>
    <w:p>
      <w:pPr>
        <w:widowControl/>
        <w:spacing w:before="120" w:after="120" w:line="440" w:lineRule="exact"/>
        <w:rPr>
          <w:rFonts w:ascii="宋体" w:hAnsi="宋体" w:cs="宋体"/>
          <w:sz w:val="30"/>
          <w:szCs w:val="30"/>
        </w:rPr>
      </w:pPr>
    </w:p>
    <w:p>
      <w:pPr>
        <w:widowControl/>
        <w:spacing w:before="120" w:after="120" w:line="440" w:lineRule="exact"/>
        <w:rPr>
          <w:rFonts w:ascii="宋体" w:hAnsi="宋体" w:cs="宋体"/>
          <w:sz w:val="30"/>
          <w:szCs w:val="30"/>
        </w:rPr>
      </w:pPr>
      <w:r>
        <w:rPr>
          <w:rFonts w:hint="eastAsia" w:ascii="宋体" w:hAnsi="宋体" w:cs="宋体"/>
          <w:sz w:val="30"/>
          <w:szCs w:val="30"/>
        </w:rPr>
        <w:t>招标代理机构：宁波华欣建设项目管理有限公司</w:t>
      </w:r>
    </w:p>
    <w:p>
      <w:pPr>
        <w:widowControl/>
        <w:spacing w:before="120" w:after="120" w:line="440" w:lineRule="exact"/>
        <w:jc w:val="center"/>
        <w:rPr>
          <w:rFonts w:ascii="仿宋" w:hAnsi="仿宋" w:eastAsia="仿宋"/>
          <w:sz w:val="30"/>
          <w:szCs w:val="30"/>
        </w:rPr>
      </w:pPr>
    </w:p>
    <w:p>
      <w:pPr>
        <w:widowControl/>
        <w:spacing w:before="120" w:after="120" w:line="440" w:lineRule="exact"/>
        <w:jc w:val="center"/>
        <w:rPr>
          <w:rFonts w:ascii="仿宋" w:hAnsi="仿宋" w:eastAsia="仿宋"/>
          <w:sz w:val="30"/>
          <w:szCs w:val="30"/>
        </w:rPr>
      </w:pPr>
    </w:p>
    <w:p>
      <w:pPr>
        <w:pStyle w:val="10"/>
        <w:snapToGrid w:val="0"/>
        <w:spacing w:before="120" w:after="120" w:line="360" w:lineRule="auto"/>
        <w:jc w:val="center"/>
        <w:rPr>
          <w:rFonts w:hAnsi="宋体"/>
          <w:b/>
          <w:bCs/>
          <w:w w:val="95"/>
          <w:sz w:val="30"/>
          <w:szCs w:val="30"/>
        </w:rPr>
      </w:pPr>
      <w:r>
        <w:rPr>
          <w:rFonts w:hint="eastAsia" w:ascii="仿宋" w:hAnsi="仿宋" w:eastAsia="仿宋"/>
          <w:sz w:val="30"/>
          <w:szCs w:val="30"/>
        </w:rPr>
        <w:t>2024年</w:t>
      </w:r>
      <w:r>
        <w:rPr>
          <w:rFonts w:hint="eastAsia" w:ascii="仿宋" w:hAnsi="仿宋" w:eastAsia="仿宋"/>
          <w:sz w:val="30"/>
          <w:szCs w:val="30"/>
          <w:lang w:val="en-US" w:eastAsia="zh-CN"/>
        </w:rPr>
        <w:t>3</w:t>
      </w:r>
      <w:r>
        <w:rPr>
          <w:rFonts w:hint="eastAsia" w:ascii="仿宋" w:hAnsi="仿宋" w:eastAsia="仿宋"/>
          <w:sz w:val="30"/>
          <w:szCs w:val="30"/>
        </w:rPr>
        <w:t>月</w:t>
      </w:r>
    </w:p>
    <w:p>
      <w:pPr>
        <w:spacing w:before="120" w:beforeLines="50"/>
        <w:ind w:right="420" w:firstLine="4620" w:firstLineChars="2200"/>
        <w:rPr>
          <w:rFonts w:hAnsi="宋体"/>
        </w:rPr>
      </w:pPr>
    </w:p>
    <w:p>
      <w:pPr>
        <w:spacing w:line="480" w:lineRule="auto"/>
        <w:jc w:val="center"/>
        <w:rPr>
          <w:rFonts w:ascii="宋体" w:hAnsi="宋体"/>
          <w:b/>
          <w:sz w:val="52"/>
          <w:szCs w:val="52"/>
        </w:rPr>
      </w:pPr>
    </w:p>
    <w:p>
      <w:pPr>
        <w:spacing w:line="1200" w:lineRule="exact"/>
        <w:jc w:val="center"/>
        <w:rPr>
          <w:rFonts w:ascii="宋体" w:hAnsi="宋体"/>
          <w:b/>
          <w:sz w:val="72"/>
          <w:szCs w:val="72"/>
        </w:rPr>
      </w:pPr>
      <w:r>
        <w:rPr>
          <w:rFonts w:hint="eastAsia" w:ascii="宋体" w:hAnsi="宋体"/>
          <w:b/>
          <w:sz w:val="72"/>
          <w:szCs w:val="72"/>
        </w:rPr>
        <w:t>温馨提醒</w:t>
      </w:r>
    </w:p>
    <w:p>
      <w:pPr>
        <w:spacing w:line="1200" w:lineRule="exact"/>
        <w:jc w:val="center"/>
        <w:rPr>
          <w:rFonts w:ascii="宋体" w:hAnsi="宋体"/>
          <w:b/>
          <w:sz w:val="52"/>
          <w:szCs w:val="52"/>
        </w:rPr>
      </w:pPr>
    </w:p>
    <w:p>
      <w:pPr>
        <w:spacing w:line="1000" w:lineRule="exact"/>
        <w:jc w:val="left"/>
        <w:rPr>
          <w:rFonts w:ascii="宋体" w:hAnsi="宋体"/>
          <w:b/>
          <w:sz w:val="30"/>
          <w:szCs w:val="30"/>
        </w:rPr>
      </w:pPr>
      <w:r>
        <w:rPr>
          <w:rFonts w:ascii="宋体" w:hAnsi="宋体"/>
          <w:b/>
          <w:sz w:val="30"/>
          <w:szCs w:val="30"/>
        </w:rPr>
        <w:t>1</w:t>
      </w:r>
      <w:r>
        <w:rPr>
          <w:rFonts w:hint="eastAsia" w:ascii="宋体" w:hAnsi="宋体"/>
          <w:b/>
          <w:sz w:val="30"/>
          <w:szCs w:val="30"/>
        </w:rPr>
        <w:t>、投标文件应按招标文件要求将“资格文件”、“商务技术文件”、“报价文件”分别编制。</w:t>
      </w:r>
    </w:p>
    <w:p>
      <w:pPr>
        <w:spacing w:line="1000" w:lineRule="exact"/>
        <w:jc w:val="left"/>
        <w:rPr>
          <w:rFonts w:ascii="宋体" w:hAnsi="宋体"/>
          <w:b/>
          <w:sz w:val="30"/>
          <w:szCs w:val="30"/>
        </w:rPr>
      </w:pPr>
      <w:r>
        <w:rPr>
          <w:rFonts w:hint="eastAsia" w:ascii="宋体" w:hAnsi="宋体"/>
          <w:b/>
          <w:sz w:val="30"/>
          <w:szCs w:val="30"/>
        </w:rPr>
        <w:t>2、采购人可以对已发出的招标文件进行必要的澄清或者修改，将以“更正公告”的形式发布在政采云平台，供应商应及时登录政采云平台，进行浏览并下载，未及时浏览下载的责任自负。</w:t>
      </w:r>
    </w:p>
    <w:p>
      <w:pPr>
        <w:spacing w:line="1000" w:lineRule="exact"/>
        <w:jc w:val="left"/>
        <w:rPr>
          <w:rFonts w:ascii="宋体" w:hAnsi="宋体"/>
          <w:b/>
          <w:sz w:val="30"/>
          <w:szCs w:val="30"/>
        </w:rPr>
      </w:pPr>
      <w:r>
        <w:rPr>
          <w:rFonts w:hint="eastAsia" w:ascii="宋体" w:hAnsi="宋体"/>
          <w:b/>
          <w:sz w:val="30"/>
          <w:szCs w:val="30"/>
        </w:rPr>
        <w:t>3、建议供应商自带电脑，以便于开标现场解密投标文件。</w:t>
      </w:r>
    </w:p>
    <w:p>
      <w:pPr>
        <w:jc w:val="center"/>
        <w:outlineLvl w:val="0"/>
        <w:rPr>
          <w:rFonts w:ascii="宋体" w:hAnsi="宋体"/>
          <w:b/>
          <w:bCs/>
          <w:sz w:val="32"/>
          <w:szCs w:val="32"/>
        </w:rPr>
      </w:pPr>
    </w:p>
    <w:p>
      <w:pPr>
        <w:tabs>
          <w:tab w:val="center" w:pos="4365"/>
        </w:tabs>
        <w:spacing w:line="480" w:lineRule="auto"/>
        <w:jc w:val="center"/>
        <w:rPr>
          <w:rFonts w:ascii="宋体" w:hAnsi="宋体"/>
          <w:b/>
          <w:bCs/>
          <w:sz w:val="32"/>
          <w:szCs w:val="32"/>
        </w:rPr>
      </w:pPr>
      <w:r>
        <w:rPr>
          <w:rFonts w:ascii="宋体" w:hAnsi="宋体"/>
          <w:b/>
          <w:bCs/>
          <w:sz w:val="32"/>
          <w:szCs w:val="32"/>
        </w:rPr>
        <w:br w:type="page"/>
      </w:r>
    </w:p>
    <w:p>
      <w:pPr>
        <w:tabs>
          <w:tab w:val="center" w:pos="4365"/>
        </w:tabs>
        <w:spacing w:line="480" w:lineRule="auto"/>
        <w:jc w:val="center"/>
        <w:rPr>
          <w:rFonts w:ascii="宋体" w:hAnsi="宋体"/>
          <w:b/>
          <w:sz w:val="52"/>
          <w:szCs w:val="52"/>
        </w:rPr>
      </w:pPr>
      <w:r>
        <w:rPr>
          <w:rFonts w:hint="eastAsia" w:ascii="宋体" w:hAnsi="宋体"/>
          <w:b/>
          <w:sz w:val="52"/>
          <w:szCs w:val="52"/>
        </w:rPr>
        <w:t>目</w:t>
      </w:r>
      <w:r>
        <w:rPr>
          <w:rFonts w:ascii="宋体" w:hAnsi="宋体"/>
          <w:b/>
          <w:sz w:val="52"/>
          <w:szCs w:val="52"/>
        </w:rPr>
        <w:t xml:space="preserve">  </w:t>
      </w:r>
      <w:r>
        <w:rPr>
          <w:rFonts w:hint="eastAsia" w:ascii="宋体" w:hAnsi="宋体"/>
          <w:b/>
          <w:sz w:val="52"/>
          <w:szCs w:val="52"/>
        </w:rPr>
        <w:t>录</w:t>
      </w:r>
    </w:p>
    <w:p>
      <w:pPr>
        <w:pStyle w:val="14"/>
        <w:tabs>
          <w:tab w:val="right" w:leader="dot" w:pos="8731"/>
          <w:tab w:val="clear" w:pos="8721"/>
        </w:tabs>
        <w:rPr>
          <w:color w:val="auto"/>
        </w:rPr>
      </w:pPr>
      <w:r>
        <w:rPr>
          <w:color w:val="auto"/>
        </w:rPr>
        <w:fldChar w:fldCharType="begin"/>
      </w:r>
      <w:r>
        <w:rPr>
          <w:color w:val="auto"/>
        </w:rPr>
        <w:instrText xml:space="preserve"> TOC \o "1-3" \h \z \u </w:instrText>
      </w:r>
      <w:r>
        <w:rPr>
          <w:color w:val="auto"/>
        </w:rPr>
        <w:fldChar w:fldCharType="separate"/>
      </w:r>
      <w:r>
        <w:fldChar w:fldCharType="begin"/>
      </w:r>
      <w:r>
        <w:instrText xml:space="preserve"> HYPERLINK \l "_Toc18651" </w:instrText>
      </w:r>
      <w:r>
        <w:fldChar w:fldCharType="separate"/>
      </w:r>
      <w:r>
        <w:rPr>
          <w:rFonts w:hint="eastAsia"/>
          <w:color w:val="auto"/>
        </w:rPr>
        <w:t>第一章</w:t>
      </w:r>
      <w:r>
        <w:rPr>
          <w:color w:val="auto"/>
        </w:rPr>
        <w:t xml:space="preserve">  </w:t>
      </w:r>
      <w:r>
        <w:rPr>
          <w:rFonts w:hint="eastAsia"/>
          <w:color w:val="auto"/>
        </w:rPr>
        <w:t>招标公告</w:t>
      </w:r>
      <w:r>
        <w:rPr>
          <w:color w:val="auto"/>
        </w:rPr>
        <w:tab/>
      </w:r>
      <w:r>
        <w:rPr>
          <w:color w:val="auto"/>
        </w:rPr>
        <w:fldChar w:fldCharType="begin"/>
      </w:r>
      <w:r>
        <w:rPr>
          <w:color w:val="auto"/>
        </w:rPr>
        <w:instrText xml:space="preserve"> PAGEREF _Toc18651 \h </w:instrText>
      </w:r>
      <w:r>
        <w:rPr>
          <w:color w:val="auto"/>
        </w:rPr>
        <w:fldChar w:fldCharType="separate"/>
      </w:r>
      <w:r>
        <w:rPr>
          <w:color w:val="auto"/>
        </w:rPr>
        <w:t>4</w:t>
      </w:r>
      <w:r>
        <w:rPr>
          <w:color w:val="auto"/>
        </w:rPr>
        <w:fldChar w:fldCharType="end"/>
      </w:r>
      <w:r>
        <w:rPr>
          <w:color w:val="auto"/>
        </w:rPr>
        <w:fldChar w:fldCharType="end"/>
      </w:r>
    </w:p>
    <w:p>
      <w:pPr>
        <w:pStyle w:val="14"/>
        <w:tabs>
          <w:tab w:val="right" w:leader="dot" w:pos="8731"/>
          <w:tab w:val="clear" w:pos="8721"/>
        </w:tabs>
        <w:rPr>
          <w:color w:val="auto"/>
        </w:rPr>
      </w:pPr>
      <w:r>
        <w:fldChar w:fldCharType="begin"/>
      </w:r>
      <w:r>
        <w:instrText xml:space="preserve"> HYPERLINK \l "_Toc15084" </w:instrText>
      </w:r>
      <w:r>
        <w:fldChar w:fldCharType="separate"/>
      </w:r>
      <w:r>
        <w:rPr>
          <w:rFonts w:hint="eastAsia"/>
          <w:color w:val="auto"/>
          <w:szCs w:val="30"/>
        </w:rPr>
        <w:t>第二章  招标需求</w:t>
      </w:r>
      <w:r>
        <w:rPr>
          <w:color w:val="auto"/>
        </w:rPr>
        <w:tab/>
      </w:r>
      <w:r>
        <w:rPr>
          <w:color w:val="auto"/>
        </w:rPr>
        <w:fldChar w:fldCharType="begin"/>
      </w:r>
      <w:r>
        <w:rPr>
          <w:color w:val="auto"/>
        </w:rPr>
        <w:instrText xml:space="preserve"> PAGEREF _Toc15084 \h </w:instrText>
      </w:r>
      <w:r>
        <w:rPr>
          <w:color w:val="auto"/>
        </w:rPr>
        <w:fldChar w:fldCharType="separate"/>
      </w:r>
      <w:r>
        <w:rPr>
          <w:color w:val="auto"/>
        </w:rPr>
        <w:t>9</w:t>
      </w:r>
      <w:r>
        <w:rPr>
          <w:color w:val="auto"/>
        </w:rPr>
        <w:fldChar w:fldCharType="end"/>
      </w:r>
      <w:r>
        <w:rPr>
          <w:color w:val="auto"/>
        </w:rPr>
        <w:fldChar w:fldCharType="end"/>
      </w:r>
    </w:p>
    <w:p>
      <w:pPr>
        <w:pStyle w:val="14"/>
        <w:tabs>
          <w:tab w:val="right" w:leader="dot" w:pos="8731"/>
          <w:tab w:val="clear" w:pos="8721"/>
        </w:tabs>
        <w:rPr>
          <w:color w:val="auto"/>
        </w:rPr>
      </w:pPr>
      <w:r>
        <w:fldChar w:fldCharType="begin"/>
      </w:r>
      <w:r>
        <w:instrText xml:space="preserve"> HYPERLINK \l "_Toc1518" </w:instrText>
      </w:r>
      <w:r>
        <w:fldChar w:fldCharType="separate"/>
      </w:r>
      <w:r>
        <w:rPr>
          <w:rFonts w:hint="eastAsia"/>
          <w:color w:val="auto"/>
          <w:szCs w:val="30"/>
        </w:rPr>
        <w:t>第三章 投标须知</w:t>
      </w:r>
      <w:r>
        <w:rPr>
          <w:color w:val="auto"/>
        </w:rPr>
        <w:tab/>
      </w:r>
      <w:r>
        <w:rPr>
          <w:color w:val="auto"/>
        </w:rPr>
        <w:fldChar w:fldCharType="begin"/>
      </w:r>
      <w:r>
        <w:rPr>
          <w:color w:val="auto"/>
        </w:rPr>
        <w:instrText xml:space="preserve"> PAGEREF _Toc1518 \h </w:instrText>
      </w:r>
      <w:r>
        <w:rPr>
          <w:color w:val="auto"/>
        </w:rPr>
        <w:fldChar w:fldCharType="separate"/>
      </w:r>
      <w:r>
        <w:rPr>
          <w:color w:val="auto"/>
        </w:rPr>
        <w:t>19</w:t>
      </w:r>
      <w:r>
        <w:rPr>
          <w:color w:val="auto"/>
        </w:rPr>
        <w:fldChar w:fldCharType="end"/>
      </w:r>
      <w:r>
        <w:rPr>
          <w:color w:val="auto"/>
        </w:rPr>
        <w:fldChar w:fldCharType="end"/>
      </w:r>
    </w:p>
    <w:p>
      <w:pPr>
        <w:pStyle w:val="14"/>
        <w:tabs>
          <w:tab w:val="right" w:leader="dot" w:pos="8731"/>
          <w:tab w:val="clear" w:pos="8721"/>
        </w:tabs>
        <w:rPr>
          <w:color w:val="auto"/>
        </w:rPr>
      </w:pPr>
      <w:r>
        <w:fldChar w:fldCharType="begin"/>
      </w:r>
      <w:r>
        <w:instrText xml:space="preserve"> HYPERLINK \l "_Toc10858" </w:instrText>
      </w:r>
      <w:r>
        <w:fldChar w:fldCharType="separate"/>
      </w:r>
      <w:r>
        <w:rPr>
          <w:rFonts w:hint="eastAsia"/>
          <w:color w:val="auto"/>
          <w:szCs w:val="30"/>
        </w:rPr>
        <w:t>第四章</w:t>
      </w:r>
      <w:r>
        <w:rPr>
          <w:color w:val="auto"/>
          <w:szCs w:val="30"/>
        </w:rPr>
        <w:t xml:space="preserve">  </w:t>
      </w:r>
      <w:r>
        <w:rPr>
          <w:rFonts w:hint="eastAsia"/>
          <w:color w:val="auto"/>
          <w:szCs w:val="30"/>
        </w:rPr>
        <w:t>评标办法及评分标准</w:t>
      </w:r>
      <w:r>
        <w:rPr>
          <w:color w:val="auto"/>
        </w:rPr>
        <w:tab/>
      </w:r>
      <w:r>
        <w:rPr>
          <w:color w:val="auto"/>
        </w:rPr>
        <w:fldChar w:fldCharType="begin"/>
      </w:r>
      <w:r>
        <w:rPr>
          <w:color w:val="auto"/>
        </w:rPr>
        <w:instrText xml:space="preserve"> PAGEREF _Toc10858 \h </w:instrText>
      </w:r>
      <w:r>
        <w:rPr>
          <w:color w:val="auto"/>
        </w:rPr>
        <w:fldChar w:fldCharType="separate"/>
      </w:r>
      <w:r>
        <w:rPr>
          <w:color w:val="auto"/>
        </w:rPr>
        <w:t>31</w:t>
      </w:r>
      <w:r>
        <w:rPr>
          <w:color w:val="auto"/>
        </w:rPr>
        <w:fldChar w:fldCharType="end"/>
      </w:r>
      <w:r>
        <w:rPr>
          <w:color w:val="auto"/>
        </w:rPr>
        <w:fldChar w:fldCharType="end"/>
      </w:r>
    </w:p>
    <w:p>
      <w:pPr>
        <w:pStyle w:val="14"/>
        <w:tabs>
          <w:tab w:val="right" w:leader="dot" w:pos="8731"/>
          <w:tab w:val="clear" w:pos="8721"/>
        </w:tabs>
        <w:rPr>
          <w:color w:val="auto"/>
        </w:rPr>
      </w:pPr>
      <w:r>
        <w:fldChar w:fldCharType="begin"/>
      </w:r>
      <w:r>
        <w:instrText xml:space="preserve"> HYPERLINK \l "_Toc26627" </w:instrText>
      </w:r>
      <w:r>
        <w:fldChar w:fldCharType="separate"/>
      </w:r>
      <w:r>
        <w:rPr>
          <w:rFonts w:hint="eastAsia"/>
          <w:color w:val="auto"/>
        </w:rPr>
        <w:t>第五章</w:t>
      </w:r>
      <w:r>
        <w:rPr>
          <w:color w:val="auto"/>
        </w:rPr>
        <w:t xml:space="preserve">  </w:t>
      </w:r>
      <w:r>
        <w:rPr>
          <w:rFonts w:hint="eastAsia"/>
          <w:color w:val="auto"/>
        </w:rPr>
        <w:t>采购合同样本</w:t>
      </w:r>
      <w:r>
        <w:rPr>
          <w:color w:val="auto"/>
        </w:rPr>
        <w:tab/>
      </w:r>
      <w:r>
        <w:rPr>
          <w:color w:val="auto"/>
        </w:rPr>
        <w:fldChar w:fldCharType="begin"/>
      </w:r>
      <w:r>
        <w:rPr>
          <w:color w:val="auto"/>
        </w:rPr>
        <w:instrText xml:space="preserve"> PAGEREF _Toc26627 \h </w:instrText>
      </w:r>
      <w:r>
        <w:rPr>
          <w:color w:val="auto"/>
        </w:rPr>
        <w:fldChar w:fldCharType="separate"/>
      </w:r>
      <w:r>
        <w:rPr>
          <w:color w:val="auto"/>
        </w:rPr>
        <w:t>41</w:t>
      </w:r>
      <w:r>
        <w:rPr>
          <w:color w:val="auto"/>
        </w:rPr>
        <w:fldChar w:fldCharType="end"/>
      </w:r>
      <w:r>
        <w:rPr>
          <w:color w:val="auto"/>
        </w:rPr>
        <w:fldChar w:fldCharType="end"/>
      </w:r>
    </w:p>
    <w:p>
      <w:pPr>
        <w:pStyle w:val="14"/>
        <w:tabs>
          <w:tab w:val="right" w:leader="dot" w:pos="8731"/>
          <w:tab w:val="clear" w:pos="8721"/>
        </w:tabs>
        <w:rPr>
          <w:color w:val="auto"/>
        </w:rPr>
      </w:pPr>
      <w:r>
        <w:fldChar w:fldCharType="begin"/>
      </w:r>
      <w:r>
        <w:instrText xml:space="preserve"> HYPERLINK \l "_Toc1544" </w:instrText>
      </w:r>
      <w:r>
        <w:fldChar w:fldCharType="separate"/>
      </w:r>
      <w:r>
        <w:rPr>
          <w:rFonts w:hint="eastAsia"/>
          <w:color w:val="auto"/>
          <w:szCs w:val="30"/>
        </w:rPr>
        <w:t>第六章　投标文件格式</w:t>
      </w:r>
      <w:r>
        <w:rPr>
          <w:color w:val="auto"/>
        </w:rPr>
        <w:tab/>
      </w:r>
      <w:r>
        <w:rPr>
          <w:color w:val="auto"/>
        </w:rPr>
        <w:fldChar w:fldCharType="begin"/>
      </w:r>
      <w:r>
        <w:rPr>
          <w:color w:val="auto"/>
        </w:rPr>
        <w:instrText xml:space="preserve"> PAGEREF _Toc1544 \h </w:instrText>
      </w:r>
      <w:r>
        <w:rPr>
          <w:color w:val="auto"/>
        </w:rPr>
        <w:fldChar w:fldCharType="separate"/>
      </w:r>
      <w:r>
        <w:rPr>
          <w:color w:val="auto"/>
        </w:rPr>
        <w:t>45</w:t>
      </w:r>
      <w:r>
        <w:rPr>
          <w:color w:val="auto"/>
        </w:rPr>
        <w:fldChar w:fldCharType="end"/>
      </w:r>
      <w:r>
        <w:rPr>
          <w:color w:val="auto"/>
        </w:rPr>
        <w:fldChar w:fldCharType="end"/>
      </w:r>
    </w:p>
    <w:p>
      <w:pPr>
        <w:pStyle w:val="14"/>
        <w:tabs>
          <w:tab w:val="right" w:leader="dot" w:pos="8731"/>
          <w:tab w:val="clear" w:pos="8721"/>
        </w:tabs>
        <w:rPr>
          <w:color w:val="auto"/>
        </w:rPr>
      </w:pPr>
    </w:p>
    <w:p>
      <w:pPr>
        <w:spacing w:line="1000" w:lineRule="exact"/>
        <w:jc w:val="center"/>
        <w:rPr>
          <w:rFonts w:ascii="宋体" w:hAnsi="宋体"/>
          <w:b/>
          <w:sz w:val="32"/>
        </w:rPr>
      </w:pPr>
      <w:r>
        <w:rPr>
          <w:rFonts w:ascii="宋体" w:hAnsi="宋体"/>
        </w:rPr>
        <w:fldChar w:fldCharType="end"/>
      </w:r>
    </w:p>
    <w:p>
      <w:pPr>
        <w:spacing w:line="400" w:lineRule="exact"/>
        <w:jc w:val="center"/>
        <w:rPr>
          <w:rFonts w:ascii="宋体" w:hAnsi="宋体"/>
          <w:b/>
          <w:sz w:val="32"/>
        </w:rPr>
        <w:sectPr>
          <w:headerReference r:id="rId3" w:type="default"/>
          <w:footerReference r:id="rId4" w:type="default"/>
          <w:pgSz w:w="11907" w:h="16840"/>
          <w:pgMar w:top="1135" w:right="1134" w:bottom="854" w:left="1134" w:header="569" w:footer="700" w:gutter="0"/>
          <w:pgNumType w:start="1"/>
          <w:cols w:space="720" w:num="1"/>
          <w:docGrid w:linePitch="285" w:charSpace="0"/>
        </w:sectPr>
      </w:pPr>
    </w:p>
    <w:p>
      <w:pPr>
        <w:spacing w:line="400" w:lineRule="exact"/>
        <w:jc w:val="center"/>
        <w:outlineLvl w:val="0"/>
        <w:rPr>
          <w:rFonts w:ascii="宋体" w:hAnsi="宋体"/>
          <w:b/>
          <w:sz w:val="32"/>
        </w:rPr>
      </w:pPr>
      <w:bookmarkStart w:id="0" w:name="_Toc18651"/>
      <w:r>
        <w:rPr>
          <w:rFonts w:hint="eastAsia" w:ascii="宋体" w:hAnsi="宋体"/>
          <w:b/>
          <w:sz w:val="32"/>
        </w:rPr>
        <w:t>第一章</w:t>
      </w:r>
      <w:r>
        <w:rPr>
          <w:rFonts w:ascii="宋体" w:hAnsi="宋体"/>
          <w:b/>
          <w:sz w:val="32"/>
        </w:rPr>
        <w:t xml:space="preserve">  </w:t>
      </w:r>
      <w:r>
        <w:rPr>
          <w:rFonts w:hint="eastAsia" w:ascii="宋体" w:hAnsi="宋体"/>
          <w:b/>
          <w:sz w:val="32"/>
        </w:rPr>
        <w:t>招标公告</w:t>
      </w:r>
      <w:bookmarkEnd w:id="0"/>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keepNext w:val="0"/>
              <w:keepLines w:val="0"/>
              <w:pageBreakBefore w:val="0"/>
              <w:kinsoku/>
              <w:overflowPunct/>
              <w:topLinePunct w:val="0"/>
              <w:autoSpaceDE/>
              <w:autoSpaceDN/>
              <w:bidi w:val="0"/>
              <w:adjustRightInd/>
              <w:spacing w:line="360" w:lineRule="auto"/>
              <w:ind w:left="0" w:leftChars="0"/>
              <w:textAlignment w:val="auto"/>
              <w:rPr>
                <w:rFonts w:ascii="宋体" w:hAnsi="宋体" w:cs="宋体"/>
                <w:b/>
                <w:szCs w:val="21"/>
              </w:rPr>
            </w:pPr>
            <w:r>
              <w:rPr>
                <w:rFonts w:hint="eastAsia" w:ascii="宋体" w:hAnsi="宋体" w:cs="宋体"/>
                <w:b/>
                <w:szCs w:val="21"/>
              </w:rPr>
              <w:t>项目概况</w:t>
            </w:r>
          </w:p>
          <w:p>
            <w:pPr>
              <w:keepNext w:val="0"/>
              <w:keepLines w:val="0"/>
              <w:pageBreakBefore w:val="0"/>
              <w:kinsoku/>
              <w:overflowPunct/>
              <w:topLinePunct w:val="0"/>
              <w:autoSpaceDE/>
              <w:autoSpaceDN/>
              <w:bidi w:val="0"/>
              <w:adjustRightInd/>
              <w:spacing w:line="360" w:lineRule="auto"/>
              <w:ind w:left="0" w:leftChars="0" w:firstLine="420" w:firstLineChars="200"/>
              <w:textAlignment w:val="auto"/>
              <w:rPr>
                <w:rFonts w:ascii="宋体" w:hAnsi="宋体" w:cs="宋体"/>
                <w:szCs w:val="21"/>
              </w:rPr>
            </w:pPr>
            <w:r>
              <w:rPr>
                <w:rFonts w:hint="eastAsia" w:ascii="宋体" w:hAnsi="宋体" w:cs="宋体"/>
                <w:szCs w:val="21"/>
              </w:rPr>
              <w:t xml:space="preserve">2024年宁波市镇海区交通运输管理中心数字公路运维项目招标项目的潜在投标人应在政府采购云平台（www.zcygov.cn）获取（下载）招标文件，并于 </w:t>
            </w:r>
            <w:r>
              <w:rPr>
                <w:rFonts w:hint="eastAsia" w:ascii="宋体" w:hAnsi="宋体" w:cs="宋体"/>
                <w:b/>
                <w:bCs/>
                <w:color w:val="FF0000"/>
                <w:szCs w:val="21"/>
              </w:rPr>
              <w:t>2024年</w:t>
            </w:r>
            <w:r>
              <w:rPr>
                <w:rFonts w:hint="eastAsia" w:ascii="宋体" w:hAnsi="宋体" w:cs="宋体"/>
                <w:b/>
                <w:bCs/>
                <w:color w:val="FF0000"/>
                <w:szCs w:val="21"/>
                <w:lang w:val="en-US" w:eastAsia="zh-CN"/>
              </w:rPr>
              <w:t>3</w:t>
            </w:r>
            <w:r>
              <w:rPr>
                <w:rFonts w:hint="eastAsia" w:ascii="宋体" w:hAnsi="宋体" w:cs="宋体"/>
                <w:b/>
                <w:bCs/>
                <w:color w:val="FF0000"/>
                <w:szCs w:val="21"/>
              </w:rPr>
              <w:t>月</w:t>
            </w:r>
            <w:r>
              <w:rPr>
                <w:rFonts w:hint="eastAsia" w:ascii="宋体" w:hAnsi="宋体" w:cs="宋体"/>
                <w:b/>
                <w:bCs/>
                <w:color w:val="FF0000"/>
                <w:szCs w:val="21"/>
                <w:lang w:val="en-US" w:eastAsia="zh-CN"/>
              </w:rPr>
              <w:t>28</w:t>
            </w:r>
            <w:r>
              <w:rPr>
                <w:rFonts w:hint="eastAsia" w:ascii="宋体" w:hAnsi="宋体" w:cs="宋体"/>
                <w:b/>
                <w:bCs/>
                <w:color w:val="FF0000"/>
                <w:szCs w:val="21"/>
              </w:rPr>
              <w:t>日14:00</w:t>
            </w:r>
            <w:r>
              <w:rPr>
                <w:rFonts w:hint="eastAsia" w:ascii="宋体" w:hAnsi="宋体" w:cs="宋体"/>
                <w:szCs w:val="21"/>
              </w:rPr>
              <w:t xml:space="preserve"> （北京时间）前递交（上传）投标文件。</w:t>
            </w:r>
          </w:p>
        </w:tc>
      </w:tr>
    </w:tbl>
    <w:p>
      <w:pPr>
        <w:keepNext w:val="0"/>
        <w:keepLines w:val="0"/>
        <w:pageBreakBefore w:val="0"/>
        <w:widowControl/>
        <w:kinsoku/>
        <w:overflowPunct/>
        <w:topLinePunct w:val="0"/>
        <w:autoSpaceDE/>
        <w:autoSpaceDN/>
        <w:bidi w:val="0"/>
        <w:adjustRightInd/>
        <w:spacing w:line="360" w:lineRule="auto"/>
        <w:ind w:left="0" w:leftChars="0"/>
        <w:textAlignment w:val="auto"/>
        <w:rPr>
          <w:rFonts w:ascii="宋体" w:hAnsi="宋体" w:cs="宋体"/>
          <w:b/>
          <w:bCs/>
          <w:kern w:val="0"/>
          <w:szCs w:val="21"/>
        </w:rPr>
      </w:pPr>
    </w:p>
    <w:p>
      <w:pPr>
        <w:keepNext w:val="0"/>
        <w:keepLines w:val="0"/>
        <w:pageBreakBefore w:val="0"/>
        <w:widowControl/>
        <w:kinsoku/>
        <w:overflowPunct/>
        <w:topLinePunct w:val="0"/>
        <w:autoSpaceDE/>
        <w:autoSpaceDN/>
        <w:bidi w:val="0"/>
        <w:adjustRightInd/>
        <w:spacing w:line="360" w:lineRule="auto"/>
        <w:ind w:left="0" w:leftChars="0"/>
        <w:textAlignment w:val="auto"/>
        <w:rPr>
          <w:rFonts w:ascii="宋体" w:hAnsi="宋体" w:cs="宋体"/>
          <w:kern w:val="0"/>
          <w:szCs w:val="21"/>
        </w:rPr>
      </w:pPr>
      <w:r>
        <w:rPr>
          <w:rFonts w:hint="eastAsia" w:ascii="宋体" w:hAnsi="宋体" w:cs="宋体"/>
          <w:b/>
          <w:bCs/>
          <w:kern w:val="0"/>
          <w:szCs w:val="21"/>
        </w:rPr>
        <w:t>一、项目基本情况</w:t>
      </w:r>
      <w:r>
        <w:rPr>
          <w:rFonts w:hint="eastAsia" w:ascii="宋体" w:hAnsi="宋体" w:cs="宋体"/>
          <w:kern w:val="0"/>
          <w:szCs w:val="21"/>
        </w:rPr>
        <w:t>                                            </w:t>
      </w:r>
    </w:p>
    <w:p>
      <w:pPr>
        <w:pStyle w:val="15"/>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项目编号：</w:t>
      </w:r>
      <w:r>
        <w:rPr>
          <w:rFonts w:hint="eastAsia" w:ascii="宋体" w:hAnsi="宋体" w:cs="宋体"/>
          <w:sz w:val="21"/>
          <w:szCs w:val="21"/>
          <w:lang w:eastAsia="zh-CN"/>
        </w:rPr>
        <w:t>HX-2024-1023</w:t>
      </w:r>
      <w:r>
        <w:rPr>
          <w:rFonts w:hint="eastAsia" w:ascii="宋体" w:hAnsi="宋体" w:cs="宋体"/>
          <w:sz w:val="21"/>
          <w:szCs w:val="21"/>
        </w:rPr>
        <w:t xml:space="preserve">  </w:t>
      </w:r>
    </w:p>
    <w:p>
      <w:pPr>
        <w:pStyle w:val="15"/>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项目名称：2024年宁波市镇海区交通运输管理中心数字公路运维项目</w:t>
      </w:r>
    </w:p>
    <w:p>
      <w:pPr>
        <w:pStyle w:val="15"/>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pacing w:line="360" w:lineRule="auto"/>
        <w:ind w:left="0" w:leftChars="0" w:firstLine="420" w:firstLineChars="200"/>
        <w:textAlignment w:val="auto"/>
        <w:rPr>
          <w:rFonts w:ascii="宋体" w:hAnsi="宋体" w:cs="宋体"/>
          <w:color w:val="auto"/>
          <w:sz w:val="21"/>
          <w:szCs w:val="21"/>
        </w:rPr>
      </w:pPr>
      <w:r>
        <w:rPr>
          <w:rFonts w:hint="eastAsia" w:ascii="宋体" w:hAnsi="宋体" w:cs="宋体"/>
          <w:color w:val="auto"/>
          <w:sz w:val="21"/>
          <w:szCs w:val="21"/>
        </w:rPr>
        <w:t>预算金额（元）：1</w:t>
      </w:r>
      <w:r>
        <w:rPr>
          <w:rFonts w:ascii="宋体" w:hAnsi="宋体" w:cs="宋体"/>
          <w:color w:val="auto"/>
          <w:sz w:val="21"/>
          <w:szCs w:val="21"/>
        </w:rPr>
        <w:t>400000</w:t>
      </w:r>
      <w:r>
        <w:rPr>
          <w:rFonts w:hint="eastAsia" w:ascii="宋体" w:hAnsi="宋体" w:cs="宋体"/>
          <w:color w:val="auto"/>
          <w:sz w:val="21"/>
          <w:szCs w:val="21"/>
          <w:lang w:val="en-US" w:eastAsia="zh-CN"/>
        </w:rPr>
        <w:t>.00</w:t>
      </w:r>
      <w:r>
        <w:rPr>
          <w:rFonts w:hint="eastAsia" w:ascii="宋体" w:hAnsi="宋体" w:cs="宋体"/>
          <w:color w:val="auto"/>
          <w:sz w:val="21"/>
          <w:szCs w:val="21"/>
        </w:rPr>
        <w:t>元</w:t>
      </w:r>
      <w:r>
        <w:rPr>
          <w:rFonts w:hint="eastAsia" w:ascii="宋体" w:hAnsi="宋体" w:cs="宋体"/>
          <w:color w:val="auto"/>
          <w:sz w:val="21"/>
          <w:szCs w:val="21"/>
          <w:lang w:val="en-US" w:eastAsia="zh-CN"/>
        </w:rPr>
        <w:t>/2年，</w:t>
      </w:r>
      <w:r>
        <w:rPr>
          <w:rFonts w:hint="eastAsia" w:ascii="宋体" w:hAnsi="宋体" w:cs="宋体"/>
          <w:color w:val="auto"/>
          <w:sz w:val="21"/>
          <w:szCs w:val="21"/>
        </w:rPr>
        <w:t>（</w:t>
      </w:r>
      <w:r>
        <w:rPr>
          <w:rFonts w:ascii="宋体" w:hAnsi="宋体" w:cs="宋体"/>
          <w:color w:val="auto"/>
          <w:sz w:val="21"/>
          <w:szCs w:val="21"/>
        </w:rPr>
        <w:t>700000</w:t>
      </w:r>
      <w:r>
        <w:rPr>
          <w:rFonts w:hint="eastAsia" w:ascii="宋体" w:hAnsi="宋体" w:cs="宋体"/>
          <w:color w:val="auto"/>
          <w:sz w:val="21"/>
          <w:szCs w:val="21"/>
          <w:lang w:val="en-US" w:eastAsia="zh-CN"/>
        </w:rPr>
        <w:t>.00</w:t>
      </w:r>
      <w:r>
        <w:rPr>
          <w:rFonts w:hint="eastAsia" w:ascii="宋体" w:hAnsi="宋体" w:cs="宋体"/>
          <w:color w:val="auto"/>
          <w:sz w:val="21"/>
          <w:szCs w:val="21"/>
        </w:rPr>
        <w:t>元/年）</w:t>
      </w:r>
    </w:p>
    <w:p>
      <w:pPr>
        <w:pStyle w:val="15"/>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pacing w:line="360" w:lineRule="auto"/>
        <w:ind w:left="0" w:leftChars="0" w:firstLine="420" w:firstLineChars="200"/>
        <w:textAlignment w:val="auto"/>
        <w:rPr>
          <w:rFonts w:hint="default" w:ascii="宋体" w:hAnsi="宋体" w:cs="宋体"/>
          <w:color w:val="auto"/>
          <w:sz w:val="21"/>
          <w:szCs w:val="21"/>
          <w:lang w:val="en-US"/>
        </w:rPr>
      </w:pPr>
      <w:r>
        <w:rPr>
          <w:rFonts w:hint="eastAsia" w:ascii="宋体" w:hAnsi="宋体" w:cs="宋体"/>
          <w:color w:val="auto"/>
          <w:sz w:val="21"/>
          <w:szCs w:val="21"/>
        </w:rPr>
        <w:t>最高限价（元）：</w:t>
      </w:r>
      <w:r>
        <w:rPr>
          <w:rFonts w:hint="eastAsia" w:ascii="宋体" w:hAnsi="宋体" w:cs="宋体"/>
          <w:color w:val="auto"/>
          <w:sz w:val="21"/>
          <w:szCs w:val="21"/>
          <w:lang w:val="en-US" w:eastAsia="zh-CN"/>
        </w:rPr>
        <w:t>标项1：880000.00元/2年（440000</w:t>
      </w:r>
      <w:r>
        <w:rPr>
          <w:rFonts w:hint="eastAsia" w:ascii="宋体" w:hAnsi="宋体" w:cs="宋体"/>
          <w:color w:val="auto"/>
          <w:sz w:val="21"/>
          <w:szCs w:val="21"/>
          <w:lang w:val="en-US" w:eastAsia="zh-CN"/>
        </w:rPr>
        <w:t>.00元/年</w:t>
      </w:r>
      <w:r>
        <w:rPr>
          <w:rFonts w:hint="eastAsia" w:ascii="宋体" w:hAnsi="宋体" w:cs="宋体"/>
          <w:color w:val="auto"/>
          <w:sz w:val="21"/>
          <w:szCs w:val="21"/>
          <w:lang w:val="en-US" w:eastAsia="zh-CN"/>
        </w:rPr>
        <w:t>）；标项2：520000.00元/2年（260000.00元/年）</w:t>
      </w:r>
    </w:p>
    <w:p>
      <w:pPr>
        <w:pStyle w:val="15"/>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采购需求：</w:t>
      </w:r>
    </w:p>
    <w:p>
      <w:pPr>
        <w:keepNext w:val="0"/>
        <w:keepLines w:val="0"/>
        <w:pageBreakBefore w:val="0"/>
        <w:widowControl/>
        <w:tabs>
          <w:tab w:val="left" w:pos="0"/>
        </w:tabs>
        <w:kinsoku/>
        <w:overflowPunct/>
        <w:topLinePunct w:val="0"/>
        <w:autoSpaceDE/>
        <w:autoSpaceDN/>
        <w:bidi w:val="0"/>
        <w:adjustRightInd/>
        <w:spacing w:line="360" w:lineRule="auto"/>
        <w:ind w:left="0" w:leftChars="0" w:firstLine="210" w:firstLineChars="100"/>
        <w:textAlignment w:val="auto"/>
        <w:rPr>
          <w:rFonts w:ascii="宋体" w:hAnsi="宋体" w:cs="宋体"/>
          <w:kern w:val="0"/>
          <w:szCs w:val="21"/>
        </w:rPr>
      </w:pPr>
      <w:r>
        <w:rPr>
          <w:rFonts w:hint="eastAsia" w:ascii="宋体" w:hAnsi="宋体" w:cs="宋体"/>
          <w:kern w:val="0"/>
          <w:szCs w:val="21"/>
        </w:rPr>
        <w:t>标项一：</w:t>
      </w:r>
    </w:p>
    <w:p>
      <w:pPr>
        <w:keepNext w:val="0"/>
        <w:keepLines w:val="0"/>
        <w:pageBreakBefore w:val="0"/>
        <w:widowControl/>
        <w:tabs>
          <w:tab w:val="left" w:pos="0"/>
        </w:tabs>
        <w:kinsoku/>
        <w:overflowPunct/>
        <w:topLinePunct w:val="0"/>
        <w:autoSpaceDE/>
        <w:autoSpaceDN/>
        <w:bidi w:val="0"/>
        <w:adjustRightInd/>
        <w:spacing w:line="360" w:lineRule="auto"/>
        <w:ind w:left="0" w:leftChars="0" w:firstLine="210" w:firstLineChars="100"/>
        <w:textAlignment w:val="auto"/>
        <w:rPr>
          <w:rFonts w:ascii="宋体" w:hAnsi="宋体" w:cs="宋体"/>
          <w:kern w:val="0"/>
          <w:szCs w:val="21"/>
        </w:rPr>
      </w:pPr>
      <w:r>
        <w:rPr>
          <w:rFonts w:hint="eastAsia" w:ascii="宋体" w:hAnsi="宋体" w:cs="宋体"/>
          <w:kern w:val="0"/>
          <w:szCs w:val="21"/>
        </w:rPr>
        <w:t>标项名称：镇海区国省道数字公路运维项目</w:t>
      </w:r>
    </w:p>
    <w:p>
      <w:pPr>
        <w:keepNext w:val="0"/>
        <w:keepLines w:val="0"/>
        <w:pageBreakBefore w:val="0"/>
        <w:widowControl/>
        <w:tabs>
          <w:tab w:val="left" w:pos="0"/>
        </w:tabs>
        <w:kinsoku/>
        <w:overflowPunct/>
        <w:topLinePunct w:val="0"/>
        <w:autoSpaceDE/>
        <w:autoSpaceDN/>
        <w:bidi w:val="0"/>
        <w:adjustRightInd/>
        <w:spacing w:line="360" w:lineRule="auto"/>
        <w:ind w:left="0" w:leftChars="0" w:firstLine="210" w:firstLineChars="100"/>
        <w:textAlignment w:val="auto"/>
        <w:rPr>
          <w:rFonts w:ascii="宋体" w:hAnsi="宋体" w:cs="宋体"/>
          <w:kern w:val="0"/>
          <w:szCs w:val="21"/>
        </w:rPr>
      </w:pPr>
      <w:r>
        <w:rPr>
          <w:rFonts w:hint="eastAsia" w:ascii="宋体" w:hAnsi="宋体" w:cs="宋体"/>
          <w:kern w:val="0"/>
          <w:szCs w:val="21"/>
        </w:rPr>
        <w:t>数量：1</w:t>
      </w:r>
    </w:p>
    <w:p>
      <w:pPr>
        <w:keepNext w:val="0"/>
        <w:keepLines w:val="0"/>
        <w:pageBreakBefore w:val="0"/>
        <w:widowControl/>
        <w:tabs>
          <w:tab w:val="left" w:pos="0"/>
        </w:tabs>
        <w:kinsoku/>
        <w:overflowPunct/>
        <w:topLinePunct w:val="0"/>
        <w:autoSpaceDE/>
        <w:autoSpaceDN/>
        <w:bidi w:val="0"/>
        <w:adjustRightInd/>
        <w:spacing w:line="360" w:lineRule="auto"/>
        <w:ind w:left="0" w:leftChars="0" w:firstLine="210" w:firstLineChars="100"/>
        <w:textAlignment w:val="auto"/>
        <w:rPr>
          <w:rFonts w:ascii="宋体" w:hAnsi="宋体" w:cs="宋体"/>
          <w:kern w:val="0"/>
          <w:szCs w:val="21"/>
        </w:rPr>
      </w:pPr>
      <w:r>
        <w:rPr>
          <w:rFonts w:hint="eastAsia" w:ascii="宋体" w:hAnsi="宋体" w:cs="宋体"/>
          <w:kern w:val="0"/>
          <w:szCs w:val="21"/>
          <w:lang w:val="en-US" w:eastAsia="zh-CN"/>
        </w:rPr>
        <w:t>预算金额（元）：</w:t>
      </w:r>
      <w:r>
        <w:rPr>
          <w:rFonts w:hint="eastAsia" w:ascii="宋体" w:hAnsi="宋体" w:cs="宋体"/>
          <w:kern w:val="0"/>
          <w:szCs w:val="21"/>
        </w:rPr>
        <w:t>人民币</w:t>
      </w:r>
      <w:r>
        <w:rPr>
          <w:rFonts w:hint="eastAsia" w:ascii="宋体" w:hAnsi="宋体" w:cs="宋体"/>
          <w:kern w:val="0"/>
          <w:szCs w:val="21"/>
          <w:lang w:val="en-US" w:eastAsia="zh-CN"/>
        </w:rPr>
        <w:t>880000.00元/2年；（</w:t>
      </w:r>
      <w:r>
        <w:rPr>
          <w:rFonts w:ascii="宋体" w:hAnsi="宋体" w:cs="宋体"/>
          <w:kern w:val="0"/>
          <w:szCs w:val="21"/>
        </w:rPr>
        <w:t>44</w:t>
      </w:r>
      <w:r>
        <w:rPr>
          <w:rFonts w:hint="eastAsia" w:ascii="宋体" w:hAnsi="宋体" w:cs="宋体"/>
          <w:kern w:val="0"/>
          <w:szCs w:val="21"/>
        </w:rPr>
        <w:t>0000</w:t>
      </w:r>
      <w:r>
        <w:rPr>
          <w:rFonts w:hint="eastAsia" w:ascii="宋体" w:hAnsi="宋体" w:cs="宋体"/>
          <w:kern w:val="0"/>
          <w:szCs w:val="21"/>
          <w:lang w:val="en-US" w:eastAsia="zh-CN"/>
        </w:rPr>
        <w:t>.00</w:t>
      </w:r>
      <w:r>
        <w:rPr>
          <w:rFonts w:hint="eastAsia" w:ascii="宋体" w:hAnsi="宋体" w:cs="宋体"/>
          <w:kern w:val="0"/>
          <w:szCs w:val="21"/>
        </w:rPr>
        <w:t>元/年</w:t>
      </w:r>
      <w:r>
        <w:rPr>
          <w:rFonts w:hint="eastAsia" w:ascii="宋体" w:hAnsi="宋体" w:cs="宋体"/>
          <w:kern w:val="0"/>
          <w:szCs w:val="21"/>
          <w:lang w:val="en-US" w:eastAsia="zh-CN"/>
        </w:rPr>
        <w:t>）</w:t>
      </w:r>
    </w:p>
    <w:p>
      <w:pPr>
        <w:keepNext w:val="0"/>
        <w:keepLines w:val="0"/>
        <w:pageBreakBefore w:val="0"/>
        <w:widowControl/>
        <w:tabs>
          <w:tab w:val="left" w:pos="0"/>
        </w:tabs>
        <w:kinsoku/>
        <w:overflowPunct/>
        <w:topLinePunct w:val="0"/>
        <w:autoSpaceDE/>
        <w:autoSpaceDN/>
        <w:bidi w:val="0"/>
        <w:adjustRightInd/>
        <w:spacing w:line="360" w:lineRule="auto"/>
        <w:ind w:left="0" w:leftChars="0" w:firstLine="210" w:firstLineChars="100"/>
        <w:textAlignment w:val="auto"/>
        <w:rPr>
          <w:rFonts w:ascii="宋体" w:hAnsi="宋体" w:cs="宋体"/>
          <w:kern w:val="0"/>
          <w:szCs w:val="21"/>
        </w:rPr>
      </w:pPr>
      <w:r>
        <w:rPr>
          <w:rFonts w:hint="eastAsia" w:ascii="宋体" w:hAnsi="宋体" w:cs="宋体"/>
          <w:kern w:val="0"/>
          <w:szCs w:val="21"/>
        </w:rPr>
        <w:t>最高限价（元）：人民币</w:t>
      </w:r>
      <w:r>
        <w:rPr>
          <w:rFonts w:hint="eastAsia" w:ascii="宋体" w:hAnsi="宋体" w:cs="宋体"/>
          <w:kern w:val="0"/>
          <w:szCs w:val="21"/>
          <w:lang w:val="en-US" w:eastAsia="zh-CN"/>
        </w:rPr>
        <w:t>880000.00元/2年；</w:t>
      </w:r>
      <w:bookmarkStart w:id="27" w:name="_GoBack"/>
      <w:bookmarkEnd w:id="27"/>
      <w:r>
        <w:rPr>
          <w:rFonts w:hint="eastAsia" w:ascii="宋体" w:hAnsi="宋体" w:cs="宋体"/>
          <w:kern w:val="0"/>
          <w:szCs w:val="21"/>
          <w:lang w:val="en-US" w:eastAsia="zh-CN"/>
        </w:rPr>
        <w:t>（</w:t>
      </w:r>
      <w:r>
        <w:rPr>
          <w:rFonts w:ascii="宋体" w:hAnsi="宋体" w:cs="宋体"/>
          <w:kern w:val="0"/>
          <w:szCs w:val="21"/>
        </w:rPr>
        <w:t>44</w:t>
      </w:r>
      <w:r>
        <w:rPr>
          <w:rFonts w:hint="eastAsia" w:ascii="宋体" w:hAnsi="宋体" w:cs="宋体"/>
          <w:kern w:val="0"/>
          <w:szCs w:val="21"/>
        </w:rPr>
        <w:t>0000</w:t>
      </w:r>
      <w:r>
        <w:rPr>
          <w:rFonts w:hint="eastAsia" w:ascii="宋体" w:hAnsi="宋体" w:cs="宋体"/>
          <w:kern w:val="0"/>
          <w:szCs w:val="21"/>
          <w:lang w:val="en-US" w:eastAsia="zh-CN"/>
        </w:rPr>
        <w:t>.00</w:t>
      </w:r>
      <w:r>
        <w:rPr>
          <w:rFonts w:hint="eastAsia" w:ascii="宋体" w:hAnsi="宋体" w:cs="宋体"/>
          <w:kern w:val="0"/>
          <w:szCs w:val="21"/>
        </w:rPr>
        <w:t>元/年</w:t>
      </w:r>
      <w:r>
        <w:rPr>
          <w:rFonts w:hint="eastAsia" w:ascii="宋体" w:hAnsi="宋体" w:cs="宋体"/>
          <w:kern w:val="0"/>
          <w:szCs w:val="21"/>
          <w:lang w:val="en-US" w:eastAsia="zh-CN"/>
        </w:rPr>
        <w:t>）</w:t>
      </w:r>
    </w:p>
    <w:p>
      <w:pPr>
        <w:keepNext w:val="0"/>
        <w:keepLines w:val="0"/>
        <w:pageBreakBefore w:val="0"/>
        <w:widowControl/>
        <w:tabs>
          <w:tab w:val="left" w:pos="0"/>
        </w:tabs>
        <w:kinsoku/>
        <w:overflowPunct/>
        <w:topLinePunct w:val="0"/>
        <w:autoSpaceDE/>
        <w:autoSpaceDN/>
        <w:bidi w:val="0"/>
        <w:adjustRightInd/>
        <w:spacing w:line="360" w:lineRule="auto"/>
        <w:ind w:left="0" w:leftChars="0" w:firstLine="210" w:firstLineChars="100"/>
        <w:textAlignment w:val="auto"/>
        <w:rPr>
          <w:rFonts w:ascii="宋体" w:hAnsi="宋体" w:cs="宋体"/>
          <w:kern w:val="0"/>
          <w:szCs w:val="21"/>
        </w:rPr>
      </w:pPr>
      <w:r>
        <w:rPr>
          <w:rFonts w:hint="eastAsia" w:ascii="宋体" w:hAnsi="宋体" w:cs="宋体"/>
          <w:kern w:val="0"/>
          <w:szCs w:val="21"/>
        </w:rPr>
        <w:t>简要规格描述或项目基本概况介绍、用途：</w:t>
      </w:r>
      <w:r>
        <w:rPr>
          <w:rFonts w:hint="eastAsia" w:ascii="宋体" w:hAnsi="宋体" w:cs="宋体"/>
          <w:szCs w:val="21"/>
        </w:rPr>
        <w:t>本次运维服务内容包含镇海区数字公路国省道外场设备运维服务、故障诊断服务、现场巡检服务；内场运维、情报板改造等</w:t>
      </w:r>
      <w:r>
        <w:rPr>
          <w:rFonts w:hint="eastAsia" w:ascii="宋体" w:hAnsi="宋体" w:cs="宋体"/>
          <w:kern w:val="0"/>
          <w:szCs w:val="21"/>
        </w:rPr>
        <w:t>。具体内容</w:t>
      </w:r>
      <w:r>
        <w:rPr>
          <w:rFonts w:hint="eastAsia" w:ascii="宋体" w:hAnsi="宋体" w:cs="宋体"/>
          <w:kern w:val="0"/>
          <w:szCs w:val="21"/>
          <w:lang w:val="en-US" w:eastAsia="zh-CN"/>
        </w:rPr>
        <w:t>可</w:t>
      </w:r>
      <w:r>
        <w:rPr>
          <w:rFonts w:hint="eastAsia" w:ascii="宋体" w:hAnsi="宋体" w:cs="宋体"/>
          <w:kern w:val="0"/>
          <w:szCs w:val="21"/>
        </w:rPr>
        <w:t>见招标文件“第二章 招标需求”。</w:t>
      </w:r>
    </w:p>
    <w:p>
      <w:pPr>
        <w:keepNext w:val="0"/>
        <w:keepLines w:val="0"/>
        <w:pageBreakBefore w:val="0"/>
        <w:widowControl/>
        <w:tabs>
          <w:tab w:val="left" w:pos="0"/>
        </w:tabs>
        <w:kinsoku/>
        <w:overflowPunct/>
        <w:topLinePunct w:val="0"/>
        <w:autoSpaceDE/>
        <w:autoSpaceDN/>
        <w:bidi w:val="0"/>
        <w:adjustRightInd/>
        <w:spacing w:line="360" w:lineRule="auto"/>
        <w:ind w:left="0" w:leftChars="0" w:firstLine="210" w:firstLineChars="100"/>
        <w:textAlignment w:val="auto"/>
        <w:rPr>
          <w:rFonts w:ascii="宋体" w:hAnsi="宋体" w:cs="宋体"/>
          <w:kern w:val="0"/>
          <w:szCs w:val="21"/>
        </w:rPr>
      </w:pPr>
      <w:r>
        <w:rPr>
          <w:rFonts w:hint="eastAsia" w:ascii="宋体" w:hAnsi="宋体" w:cs="宋体"/>
          <w:kern w:val="0"/>
          <w:szCs w:val="21"/>
        </w:rPr>
        <w:t>备注：投标人可就上述一个标项进行投标，也可二个标项同时投标，同时中标。</w:t>
      </w:r>
    </w:p>
    <w:p>
      <w:pPr>
        <w:keepNext w:val="0"/>
        <w:keepLines w:val="0"/>
        <w:pageBreakBefore w:val="0"/>
        <w:widowControl/>
        <w:tabs>
          <w:tab w:val="left" w:pos="0"/>
        </w:tabs>
        <w:kinsoku/>
        <w:overflowPunct/>
        <w:topLinePunct w:val="0"/>
        <w:autoSpaceDE/>
        <w:autoSpaceDN/>
        <w:bidi w:val="0"/>
        <w:adjustRightInd/>
        <w:spacing w:line="360" w:lineRule="auto"/>
        <w:ind w:left="0" w:leftChars="0" w:firstLine="210" w:firstLineChars="100"/>
        <w:textAlignment w:val="auto"/>
        <w:rPr>
          <w:rFonts w:ascii="宋体" w:hAnsi="宋体" w:cs="宋体"/>
          <w:kern w:val="0"/>
          <w:szCs w:val="21"/>
        </w:rPr>
      </w:pPr>
      <w:r>
        <w:rPr>
          <w:rFonts w:hint="eastAsia" w:ascii="宋体" w:hAnsi="宋体" w:cs="宋体"/>
          <w:kern w:val="0"/>
          <w:szCs w:val="21"/>
        </w:rPr>
        <w:t>标项二：</w:t>
      </w:r>
    </w:p>
    <w:p>
      <w:pPr>
        <w:keepNext w:val="0"/>
        <w:keepLines w:val="0"/>
        <w:pageBreakBefore w:val="0"/>
        <w:widowControl/>
        <w:tabs>
          <w:tab w:val="left" w:pos="0"/>
        </w:tabs>
        <w:kinsoku/>
        <w:overflowPunct/>
        <w:topLinePunct w:val="0"/>
        <w:autoSpaceDE/>
        <w:autoSpaceDN/>
        <w:bidi w:val="0"/>
        <w:adjustRightInd/>
        <w:spacing w:line="360" w:lineRule="auto"/>
        <w:ind w:left="0" w:leftChars="0" w:firstLine="210" w:firstLineChars="100"/>
        <w:textAlignment w:val="auto"/>
        <w:rPr>
          <w:rFonts w:ascii="宋体" w:hAnsi="宋体" w:cs="宋体"/>
          <w:kern w:val="0"/>
          <w:szCs w:val="21"/>
        </w:rPr>
      </w:pPr>
      <w:r>
        <w:rPr>
          <w:rFonts w:hint="eastAsia" w:ascii="宋体" w:hAnsi="宋体" w:cs="宋体"/>
          <w:kern w:val="0"/>
          <w:szCs w:val="21"/>
        </w:rPr>
        <w:t>标项名称：镇海区县乡道数字公路运维项目</w:t>
      </w:r>
    </w:p>
    <w:p>
      <w:pPr>
        <w:keepNext w:val="0"/>
        <w:keepLines w:val="0"/>
        <w:pageBreakBefore w:val="0"/>
        <w:widowControl/>
        <w:tabs>
          <w:tab w:val="left" w:pos="0"/>
        </w:tabs>
        <w:kinsoku/>
        <w:overflowPunct/>
        <w:topLinePunct w:val="0"/>
        <w:autoSpaceDE/>
        <w:autoSpaceDN/>
        <w:bidi w:val="0"/>
        <w:adjustRightInd/>
        <w:spacing w:line="360" w:lineRule="auto"/>
        <w:ind w:left="0" w:leftChars="0" w:firstLine="210" w:firstLineChars="100"/>
        <w:textAlignment w:val="auto"/>
        <w:rPr>
          <w:rFonts w:ascii="宋体" w:hAnsi="宋体" w:cs="宋体"/>
          <w:kern w:val="0"/>
          <w:szCs w:val="21"/>
        </w:rPr>
      </w:pPr>
      <w:r>
        <w:rPr>
          <w:rFonts w:hint="eastAsia" w:ascii="宋体" w:hAnsi="宋体" w:cs="宋体"/>
          <w:kern w:val="0"/>
          <w:szCs w:val="21"/>
        </w:rPr>
        <w:t>数量：1</w:t>
      </w:r>
    </w:p>
    <w:p>
      <w:pPr>
        <w:keepNext w:val="0"/>
        <w:keepLines w:val="0"/>
        <w:pageBreakBefore w:val="0"/>
        <w:widowControl/>
        <w:tabs>
          <w:tab w:val="left" w:pos="0"/>
        </w:tabs>
        <w:kinsoku/>
        <w:overflowPunct/>
        <w:topLinePunct w:val="0"/>
        <w:autoSpaceDE/>
        <w:autoSpaceDN/>
        <w:bidi w:val="0"/>
        <w:adjustRightInd/>
        <w:spacing w:line="360" w:lineRule="auto"/>
        <w:ind w:left="0" w:leftChars="0" w:firstLine="210" w:firstLineChars="100"/>
        <w:textAlignment w:val="auto"/>
        <w:rPr>
          <w:rFonts w:hint="default" w:ascii="宋体" w:hAnsi="宋体" w:eastAsia="宋体" w:cs="宋体"/>
          <w:kern w:val="0"/>
          <w:szCs w:val="21"/>
          <w:lang w:val="en-US" w:eastAsia="zh-CN"/>
        </w:rPr>
      </w:pPr>
      <w:r>
        <w:rPr>
          <w:rFonts w:hint="eastAsia" w:ascii="宋体" w:hAnsi="宋体" w:cs="宋体"/>
          <w:kern w:val="0"/>
          <w:szCs w:val="21"/>
          <w:lang w:val="en-US" w:eastAsia="zh-CN"/>
        </w:rPr>
        <w:t>预算金额</w:t>
      </w:r>
      <w:r>
        <w:rPr>
          <w:rFonts w:hint="eastAsia" w:ascii="宋体" w:hAnsi="宋体" w:cs="宋体"/>
          <w:kern w:val="0"/>
          <w:szCs w:val="21"/>
        </w:rPr>
        <w:t>（元）</w:t>
      </w:r>
      <w:r>
        <w:rPr>
          <w:rFonts w:hint="eastAsia" w:ascii="宋体" w:hAnsi="宋体" w:cs="宋体"/>
          <w:kern w:val="0"/>
          <w:szCs w:val="21"/>
          <w:lang w:val="en-US" w:eastAsia="zh-CN"/>
        </w:rPr>
        <w:t>：</w:t>
      </w:r>
      <w:r>
        <w:rPr>
          <w:rFonts w:hint="eastAsia" w:ascii="宋体" w:hAnsi="宋体" w:cs="宋体"/>
          <w:kern w:val="0"/>
          <w:szCs w:val="21"/>
        </w:rPr>
        <w:t>人民币</w:t>
      </w:r>
      <w:r>
        <w:rPr>
          <w:rFonts w:hint="eastAsia" w:ascii="宋体" w:hAnsi="宋体" w:cs="宋体"/>
          <w:kern w:val="0"/>
          <w:szCs w:val="21"/>
          <w:lang w:val="en-US" w:eastAsia="zh-CN"/>
        </w:rPr>
        <w:t>520000.00元/2年，（</w:t>
      </w:r>
      <w:r>
        <w:rPr>
          <w:rFonts w:ascii="宋体" w:hAnsi="宋体" w:cs="宋体"/>
          <w:kern w:val="0"/>
          <w:szCs w:val="21"/>
        </w:rPr>
        <w:t>26</w:t>
      </w:r>
      <w:r>
        <w:rPr>
          <w:rFonts w:hint="eastAsia" w:ascii="宋体" w:hAnsi="宋体" w:cs="宋体"/>
          <w:kern w:val="0"/>
          <w:szCs w:val="21"/>
        </w:rPr>
        <w:t>0000</w:t>
      </w:r>
      <w:r>
        <w:rPr>
          <w:rFonts w:hint="eastAsia" w:ascii="宋体" w:hAnsi="宋体" w:cs="宋体"/>
          <w:kern w:val="0"/>
          <w:szCs w:val="21"/>
          <w:lang w:val="en-US" w:eastAsia="zh-CN"/>
        </w:rPr>
        <w:t>.00</w:t>
      </w:r>
      <w:r>
        <w:rPr>
          <w:rFonts w:hint="eastAsia" w:ascii="宋体" w:hAnsi="宋体" w:cs="宋体"/>
          <w:kern w:val="0"/>
          <w:szCs w:val="21"/>
        </w:rPr>
        <w:t>元/年</w:t>
      </w:r>
      <w:r>
        <w:rPr>
          <w:rFonts w:hint="eastAsia" w:ascii="宋体" w:hAnsi="宋体" w:cs="宋体"/>
          <w:kern w:val="0"/>
          <w:szCs w:val="21"/>
          <w:lang w:val="en-US" w:eastAsia="zh-CN"/>
        </w:rPr>
        <w:t>）</w:t>
      </w:r>
    </w:p>
    <w:p>
      <w:pPr>
        <w:keepNext w:val="0"/>
        <w:keepLines w:val="0"/>
        <w:pageBreakBefore w:val="0"/>
        <w:widowControl/>
        <w:tabs>
          <w:tab w:val="left" w:pos="0"/>
        </w:tabs>
        <w:kinsoku/>
        <w:overflowPunct/>
        <w:topLinePunct w:val="0"/>
        <w:autoSpaceDE/>
        <w:autoSpaceDN/>
        <w:bidi w:val="0"/>
        <w:adjustRightInd/>
        <w:spacing w:line="360" w:lineRule="auto"/>
        <w:ind w:left="0" w:leftChars="0" w:firstLine="210" w:firstLineChars="100"/>
        <w:textAlignment w:val="auto"/>
        <w:rPr>
          <w:rFonts w:ascii="宋体" w:hAnsi="宋体" w:cs="宋体"/>
          <w:kern w:val="0"/>
          <w:szCs w:val="21"/>
        </w:rPr>
      </w:pPr>
      <w:r>
        <w:rPr>
          <w:rFonts w:hint="eastAsia" w:ascii="宋体" w:hAnsi="宋体" w:cs="宋体"/>
          <w:kern w:val="0"/>
          <w:szCs w:val="21"/>
        </w:rPr>
        <w:t>最高限价（元）：人民币</w:t>
      </w:r>
      <w:r>
        <w:rPr>
          <w:rFonts w:hint="eastAsia" w:ascii="宋体" w:hAnsi="宋体" w:cs="宋体"/>
          <w:kern w:val="0"/>
          <w:szCs w:val="21"/>
          <w:lang w:val="en-US" w:eastAsia="zh-CN"/>
        </w:rPr>
        <w:t>520000.00元/2年，（</w:t>
      </w:r>
      <w:r>
        <w:rPr>
          <w:rFonts w:ascii="宋体" w:hAnsi="宋体" w:cs="宋体"/>
          <w:kern w:val="0"/>
          <w:szCs w:val="21"/>
        </w:rPr>
        <w:t>26</w:t>
      </w:r>
      <w:r>
        <w:rPr>
          <w:rFonts w:hint="eastAsia" w:ascii="宋体" w:hAnsi="宋体" w:cs="宋体"/>
          <w:kern w:val="0"/>
          <w:szCs w:val="21"/>
        </w:rPr>
        <w:t>0000</w:t>
      </w:r>
      <w:r>
        <w:rPr>
          <w:rFonts w:hint="eastAsia" w:ascii="宋体" w:hAnsi="宋体" w:cs="宋体"/>
          <w:kern w:val="0"/>
          <w:szCs w:val="21"/>
          <w:lang w:val="en-US" w:eastAsia="zh-CN"/>
        </w:rPr>
        <w:t>.00</w:t>
      </w:r>
      <w:r>
        <w:rPr>
          <w:rFonts w:hint="eastAsia" w:ascii="宋体" w:hAnsi="宋体" w:cs="宋体"/>
          <w:kern w:val="0"/>
          <w:szCs w:val="21"/>
        </w:rPr>
        <w:t>元/年</w:t>
      </w:r>
      <w:r>
        <w:rPr>
          <w:rFonts w:hint="eastAsia" w:ascii="宋体" w:hAnsi="宋体" w:cs="宋体"/>
          <w:kern w:val="0"/>
          <w:szCs w:val="21"/>
          <w:lang w:val="en-US" w:eastAsia="zh-CN"/>
        </w:rPr>
        <w:t>）</w:t>
      </w:r>
    </w:p>
    <w:p>
      <w:pPr>
        <w:keepNext w:val="0"/>
        <w:keepLines w:val="0"/>
        <w:pageBreakBefore w:val="0"/>
        <w:widowControl/>
        <w:tabs>
          <w:tab w:val="left" w:pos="0"/>
        </w:tabs>
        <w:kinsoku/>
        <w:overflowPunct/>
        <w:topLinePunct w:val="0"/>
        <w:autoSpaceDE/>
        <w:autoSpaceDN/>
        <w:bidi w:val="0"/>
        <w:adjustRightInd/>
        <w:spacing w:line="360" w:lineRule="auto"/>
        <w:ind w:left="0" w:leftChars="0" w:firstLine="210" w:firstLineChars="100"/>
        <w:textAlignment w:val="auto"/>
        <w:rPr>
          <w:rFonts w:ascii="宋体" w:hAnsi="宋体" w:cs="宋体"/>
          <w:kern w:val="0"/>
          <w:szCs w:val="21"/>
        </w:rPr>
      </w:pPr>
      <w:r>
        <w:rPr>
          <w:rFonts w:hint="eastAsia" w:ascii="宋体" w:hAnsi="宋体" w:cs="宋体"/>
          <w:kern w:val="0"/>
          <w:szCs w:val="21"/>
        </w:rPr>
        <w:t>简要规格描述或项目基本概况介绍、用途：</w:t>
      </w:r>
      <w:r>
        <w:rPr>
          <w:rFonts w:hint="eastAsia" w:ascii="宋体" w:hAnsi="宋体" w:cs="宋体"/>
          <w:szCs w:val="21"/>
        </w:rPr>
        <w:t>本次运维服务内容包含镇海区数字公路县乡道外场设备运维服务、故障诊断服务、现场巡检服务、情报板改造等。</w:t>
      </w:r>
      <w:r>
        <w:rPr>
          <w:rFonts w:hint="eastAsia" w:ascii="宋体" w:hAnsi="宋体" w:cs="宋体"/>
          <w:kern w:val="0"/>
          <w:szCs w:val="21"/>
        </w:rPr>
        <w:t>具体内容</w:t>
      </w:r>
      <w:r>
        <w:rPr>
          <w:rFonts w:hint="eastAsia" w:ascii="宋体" w:hAnsi="宋体" w:cs="宋体"/>
          <w:kern w:val="0"/>
          <w:szCs w:val="21"/>
          <w:lang w:val="en-US" w:eastAsia="zh-CN"/>
        </w:rPr>
        <w:t>可</w:t>
      </w:r>
      <w:r>
        <w:rPr>
          <w:rFonts w:hint="eastAsia" w:ascii="宋体" w:hAnsi="宋体" w:cs="宋体"/>
          <w:kern w:val="0"/>
          <w:szCs w:val="21"/>
        </w:rPr>
        <w:t>见招标文件“第二章 招标需求”。</w:t>
      </w:r>
    </w:p>
    <w:p>
      <w:pPr>
        <w:keepNext w:val="0"/>
        <w:keepLines w:val="0"/>
        <w:pageBreakBefore w:val="0"/>
        <w:widowControl/>
        <w:tabs>
          <w:tab w:val="left" w:pos="0"/>
        </w:tabs>
        <w:kinsoku/>
        <w:overflowPunct/>
        <w:topLinePunct w:val="0"/>
        <w:autoSpaceDE/>
        <w:autoSpaceDN/>
        <w:bidi w:val="0"/>
        <w:adjustRightInd/>
        <w:spacing w:line="360" w:lineRule="auto"/>
        <w:ind w:left="0" w:leftChars="0" w:firstLine="210" w:firstLineChars="100"/>
        <w:textAlignment w:val="auto"/>
        <w:rPr>
          <w:rFonts w:ascii="宋体" w:hAnsi="宋体" w:cs="宋体"/>
          <w:kern w:val="0"/>
          <w:szCs w:val="21"/>
        </w:rPr>
      </w:pPr>
      <w:r>
        <w:rPr>
          <w:rFonts w:hint="eastAsia" w:ascii="宋体" w:hAnsi="宋体" w:cs="宋体"/>
          <w:kern w:val="0"/>
          <w:szCs w:val="21"/>
        </w:rPr>
        <w:t>备注：投标人可就上述一个标项进行投标，也可二个标项同时投标，同时中标。</w:t>
      </w:r>
    </w:p>
    <w:p>
      <w:pPr>
        <w:pStyle w:val="15"/>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pacing w:line="360" w:lineRule="auto"/>
        <w:ind w:left="0" w:leftChars="0" w:firstLine="420" w:firstLineChars="200"/>
        <w:textAlignment w:val="auto"/>
        <w:rPr>
          <w:rFonts w:hint="eastAsia" w:ascii="宋体" w:hAnsi="宋体" w:cs="宋体"/>
          <w:color w:val="auto"/>
          <w:sz w:val="21"/>
          <w:szCs w:val="21"/>
        </w:rPr>
      </w:pPr>
    </w:p>
    <w:p>
      <w:pPr>
        <w:pStyle w:val="15"/>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pacing w:line="360" w:lineRule="auto"/>
        <w:ind w:firstLine="420" w:firstLineChars="200"/>
        <w:textAlignment w:val="auto"/>
        <w:rPr>
          <w:rFonts w:ascii="宋体" w:hAnsi="宋体" w:cs="宋体"/>
          <w:color w:val="auto"/>
          <w:sz w:val="21"/>
          <w:szCs w:val="21"/>
        </w:rPr>
      </w:pPr>
      <w:r>
        <w:rPr>
          <w:rFonts w:hint="eastAsia" w:ascii="宋体" w:hAnsi="宋体" w:cs="宋体"/>
          <w:color w:val="auto"/>
          <w:sz w:val="21"/>
          <w:szCs w:val="21"/>
        </w:rPr>
        <w:t>合同履行期限（即服务期限）：（适用标项1,2）自合同签订生效之日起一年；一年期满后经采购人审核后，合同可续签一次，续签的合同期限为一年。后续合同的签订以采购人根据中标人在上一年度的合同履约及考核情况决定是否续签。</w:t>
      </w:r>
    </w:p>
    <w:p>
      <w:pPr>
        <w:pStyle w:val="15"/>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本项目（不）接受联合体投标。</w:t>
      </w:r>
    </w:p>
    <w:p>
      <w:pPr>
        <w:keepNext w:val="0"/>
        <w:keepLines w:val="0"/>
        <w:pageBreakBefore w:val="0"/>
        <w:widowControl/>
        <w:kinsoku/>
        <w:overflowPunct/>
        <w:topLinePunct w:val="0"/>
        <w:autoSpaceDE/>
        <w:autoSpaceDN/>
        <w:bidi w:val="0"/>
        <w:adjustRightInd/>
        <w:spacing w:line="360" w:lineRule="auto"/>
        <w:ind w:left="0" w:leftChars="0"/>
        <w:textAlignment w:val="auto"/>
        <w:rPr>
          <w:rFonts w:ascii="宋体" w:hAnsi="宋体" w:cs="宋体"/>
          <w:b/>
          <w:bCs/>
          <w:kern w:val="0"/>
          <w:szCs w:val="21"/>
        </w:rPr>
      </w:pPr>
      <w:r>
        <w:rPr>
          <w:rFonts w:hint="eastAsia" w:ascii="宋体" w:hAnsi="宋体" w:cs="宋体"/>
          <w:b/>
          <w:bCs/>
          <w:kern w:val="0"/>
          <w:szCs w:val="21"/>
        </w:rPr>
        <w:t>二、申请人的资格要求（适用标项1,2）：</w:t>
      </w:r>
    </w:p>
    <w:p>
      <w:pPr>
        <w:pStyle w:val="15"/>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1、符合《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kinsoku/>
        <w:overflowPunct/>
        <w:topLinePunct w:val="0"/>
        <w:autoSpaceDE/>
        <w:autoSpaceDN/>
        <w:bidi w:val="0"/>
        <w:adjustRightInd/>
        <w:spacing w:line="360" w:lineRule="auto"/>
        <w:ind w:left="0" w:leftChars="0" w:firstLine="785" w:firstLineChars="374"/>
        <w:textAlignment w:val="auto"/>
        <w:rPr>
          <w:rFonts w:ascii="宋体" w:hAnsi="宋体" w:cs="宋体"/>
          <w:szCs w:val="21"/>
        </w:rPr>
      </w:pPr>
      <w:r>
        <w:rPr>
          <w:rFonts w:hint="eastAsia" w:ascii="宋体" w:hAnsi="宋体" w:cs="宋体"/>
          <w:szCs w:val="21"/>
        </w:rPr>
        <w:t>2、落实政府采购政策需满足的资格要求：</w:t>
      </w:r>
      <w:r>
        <w:rPr>
          <w:rFonts w:hint="eastAsia" w:ascii="宋体" w:hAnsi="宋体" w:cs="宋体"/>
          <w:kern w:val="0"/>
          <w:szCs w:val="21"/>
        </w:rPr>
        <w:t>专</w:t>
      </w:r>
      <w:r>
        <w:rPr>
          <w:rFonts w:hint="eastAsia" w:ascii="宋体" w:hAnsi="宋体" w:cs="宋体"/>
          <w:szCs w:val="21"/>
        </w:rPr>
        <w:t>门面向中小企业，服务全部由符合政策要求的</w:t>
      </w:r>
      <w:r>
        <w:rPr>
          <w:rFonts w:hint="eastAsia" w:ascii="宋体" w:hAnsi="宋体" w:cs="宋体"/>
          <w:b/>
          <w:bCs/>
          <w:color w:val="FF0000"/>
          <w:szCs w:val="21"/>
        </w:rPr>
        <w:t>中小/小微企业承接</w:t>
      </w:r>
      <w:r>
        <w:rPr>
          <w:rFonts w:hint="eastAsia" w:ascii="宋体" w:hAnsi="宋体" w:cs="宋体"/>
          <w:szCs w:val="21"/>
        </w:rPr>
        <w:t>，提供中小企业声明函；</w:t>
      </w:r>
    </w:p>
    <w:p>
      <w:pPr>
        <w:pStyle w:val="15"/>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topLinePunct w:val="0"/>
        <w:autoSpaceDE/>
        <w:autoSpaceDN/>
        <w:bidi w:val="0"/>
        <w:adjustRightInd/>
        <w:spacing w:line="360" w:lineRule="auto"/>
        <w:ind w:left="0" w:leftChars="0" w:firstLine="420" w:firstLineChars="200"/>
        <w:textAlignment w:val="auto"/>
        <w:rPr>
          <w:rFonts w:ascii="宋体" w:hAnsi="宋体" w:cs="宋体"/>
          <w:sz w:val="21"/>
          <w:szCs w:val="21"/>
        </w:rPr>
      </w:pPr>
      <w:r>
        <w:rPr>
          <w:rFonts w:hint="eastAsia" w:ascii="宋体" w:hAnsi="宋体" w:cs="宋体"/>
          <w:sz w:val="21"/>
          <w:szCs w:val="21"/>
        </w:rPr>
        <w:t>3、本项目的特定资格要求：无</w:t>
      </w:r>
    </w:p>
    <w:p>
      <w:pPr>
        <w:keepNext w:val="0"/>
        <w:keepLines w:val="0"/>
        <w:pageBreakBefore w:val="0"/>
        <w:widowControl/>
        <w:kinsoku/>
        <w:overflowPunct/>
        <w:topLinePunct w:val="0"/>
        <w:autoSpaceDE/>
        <w:autoSpaceDN/>
        <w:bidi w:val="0"/>
        <w:adjustRightInd/>
        <w:spacing w:line="360" w:lineRule="auto"/>
        <w:ind w:left="0" w:leftChars="0"/>
        <w:textAlignment w:val="auto"/>
        <w:rPr>
          <w:rFonts w:ascii="宋体" w:hAnsi="宋体" w:cs="宋体"/>
          <w:kern w:val="0"/>
          <w:szCs w:val="21"/>
        </w:rPr>
      </w:pPr>
      <w:r>
        <w:rPr>
          <w:rFonts w:hint="eastAsia" w:ascii="宋体" w:hAnsi="宋体" w:cs="宋体"/>
          <w:b/>
          <w:bCs/>
          <w:kern w:val="0"/>
          <w:szCs w:val="21"/>
        </w:rPr>
        <w:t>三、获取招标文件</w:t>
      </w:r>
      <w:r>
        <w:rPr>
          <w:rFonts w:hint="eastAsia" w:ascii="宋体" w:hAnsi="宋体" w:cs="宋体"/>
          <w:kern w:val="0"/>
          <w:szCs w:val="21"/>
        </w:rPr>
        <w:t> </w:t>
      </w:r>
    </w:p>
    <w:p>
      <w:pPr>
        <w:keepNext w:val="0"/>
        <w:keepLines w:val="0"/>
        <w:pageBreakBefore w:val="0"/>
        <w:widowControl/>
        <w:kinsoku/>
        <w:overflowPunct/>
        <w:topLinePunct w:val="0"/>
        <w:autoSpaceDE/>
        <w:autoSpaceDN/>
        <w:bidi w:val="0"/>
        <w:adjustRightInd/>
        <w:spacing w:line="360" w:lineRule="auto"/>
        <w:ind w:left="0" w:leftChars="0" w:firstLine="420" w:firstLineChars="200"/>
        <w:jc w:val="left"/>
        <w:textAlignment w:val="auto"/>
        <w:rPr>
          <w:rFonts w:ascii="宋体" w:hAnsi="宋体" w:cs="宋体"/>
          <w:kern w:val="0"/>
          <w:szCs w:val="21"/>
        </w:rPr>
      </w:pPr>
      <w:r>
        <w:rPr>
          <w:rFonts w:hint="eastAsia" w:ascii="宋体" w:hAnsi="宋体" w:cs="宋体"/>
          <w:kern w:val="0"/>
          <w:szCs w:val="21"/>
        </w:rPr>
        <w:t>时间：/至</w:t>
      </w:r>
      <w:r>
        <w:rPr>
          <w:rFonts w:hint="eastAsia" w:ascii="宋体" w:hAnsi="宋体" w:cs="宋体"/>
          <w:b/>
          <w:bCs/>
          <w:color w:val="FF0000"/>
          <w:szCs w:val="21"/>
        </w:rPr>
        <w:t>2024年</w:t>
      </w:r>
      <w:r>
        <w:rPr>
          <w:rFonts w:hint="eastAsia" w:ascii="宋体" w:hAnsi="宋体" w:cs="宋体"/>
          <w:b/>
          <w:bCs/>
          <w:color w:val="FF0000"/>
          <w:szCs w:val="21"/>
          <w:lang w:val="en-US" w:eastAsia="zh-CN"/>
        </w:rPr>
        <w:t>3</w:t>
      </w:r>
      <w:r>
        <w:rPr>
          <w:rFonts w:hint="eastAsia" w:ascii="宋体" w:hAnsi="宋体" w:cs="宋体"/>
          <w:b/>
          <w:bCs/>
          <w:color w:val="FF0000"/>
          <w:szCs w:val="21"/>
        </w:rPr>
        <w:t>月</w:t>
      </w:r>
      <w:r>
        <w:rPr>
          <w:rFonts w:hint="eastAsia" w:ascii="宋体" w:hAnsi="宋体" w:cs="宋体"/>
          <w:b/>
          <w:bCs/>
          <w:color w:val="FF0000"/>
          <w:szCs w:val="21"/>
          <w:lang w:val="en-US" w:eastAsia="zh-CN"/>
        </w:rPr>
        <w:t>14</w:t>
      </w:r>
      <w:r>
        <w:rPr>
          <w:rFonts w:hint="eastAsia" w:ascii="宋体" w:hAnsi="宋体" w:cs="宋体"/>
          <w:b/>
          <w:bCs/>
          <w:color w:val="FF0000"/>
          <w:szCs w:val="21"/>
        </w:rPr>
        <w:t>日</w:t>
      </w:r>
      <w:r>
        <w:rPr>
          <w:rFonts w:hint="eastAsia" w:ascii="宋体" w:hAnsi="宋体" w:cs="宋体"/>
          <w:b/>
          <w:bCs/>
          <w:color w:val="FF0000"/>
          <w:szCs w:val="21"/>
          <w:lang w:val="en-US" w:eastAsia="zh-CN"/>
        </w:rPr>
        <w:t>24</w:t>
      </w:r>
      <w:r>
        <w:rPr>
          <w:rFonts w:hint="eastAsia" w:ascii="宋体" w:hAnsi="宋体" w:cs="宋体"/>
          <w:b/>
          <w:bCs/>
          <w:color w:val="FF0000"/>
          <w:kern w:val="0"/>
          <w:szCs w:val="21"/>
        </w:rPr>
        <w:t>:00</w:t>
      </w:r>
      <w:r>
        <w:rPr>
          <w:rFonts w:hint="eastAsia" w:ascii="宋体" w:hAnsi="宋体" w:cs="宋体"/>
          <w:kern w:val="0"/>
          <w:szCs w:val="21"/>
        </w:rPr>
        <w:t>，每天上午00:00至12:00 ，下午12:00至23:59（北京时间，线上获取法定节假日均可，线下获取文件法定节假日除外）</w:t>
      </w:r>
    </w:p>
    <w:p>
      <w:pPr>
        <w:keepNext w:val="0"/>
        <w:keepLines w:val="0"/>
        <w:pageBreakBefore w:val="0"/>
        <w:widowControl/>
        <w:kinsoku/>
        <w:overflowPunct/>
        <w:topLinePunct w:val="0"/>
        <w:autoSpaceDE/>
        <w:autoSpaceDN/>
        <w:bidi w:val="0"/>
        <w:adjustRightInd/>
        <w:spacing w:line="360" w:lineRule="auto"/>
        <w:ind w:left="0" w:leftChars="0" w:firstLine="420" w:firstLineChars="200"/>
        <w:jc w:val="left"/>
        <w:textAlignment w:val="auto"/>
        <w:rPr>
          <w:rFonts w:ascii="宋体" w:hAnsi="宋体" w:cs="宋体"/>
          <w:kern w:val="0"/>
          <w:szCs w:val="21"/>
        </w:rPr>
      </w:pPr>
      <w:r>
        <w:rPr>
          <w:rFonts w:hint="eastAsia" w:ascii="宋体" w:hAnsi="宋体" w:cs="宋体"/>
          <w:kern w:val="0"/>
          <w:szCs w:val="21"/>
        </w:rPr>
        <w:t>地点（网址）：政府采购云平台（http://www.zcygov.cn/）  </w:t>
      </w:r>
    </w:p>
    <w:p>
      <w:pPr>
        <w:keepNext w:val="0"/>
        <w:keepLines w:val="0"/>
        <w:pageBreakBefore w:val="0"/>
        <w:widowControl/>
        <w:kinsoku/>
        <w:overflowPunct/>
        <w:topLinePunct w:val="0"/>
        <w:autoSpaceDE/>
        <w:autoSpaceDN/>
        <w:bidi w:val="0"/>
        <w:adjustRightInd/>
        <w:spacing w:line="360" w:lineRule="auto"/>
        <w:ind w:left="0" w:leftChars="0" w:firstLine="420" w:firstLineChars="200"/>
        <w:jc w:val="left"/>
        <w:textAlignment w:val="auto"/>
        <w:rPr>
          <w:rFonts w:ascii="宋体" w:hAnsi="宋体" w:cs="宋体"/>
          <w:kern w:val="0"/>
          <w:szCs w:val="21"/>
        </w:rPr>
      </w:pPr>
      <w:r>
        <w:rPr>
          <w:rFonts w:hint="eastAsia" w:ascii="宋体" w:hAnsi="宋体" w:cs="宋体"/>
          <w:kern w:val="0"/>
          <w:szCs w:val="21"/>
        </w:rPr>
        <w:t>方式：供应商登录政府采购云平台（www.zcygov.cn）的注册账号后，进入政采云系统“项目采购”模块“获取采购文件”菜单，进行网上获取招标文件。如有疑问请及时咨询网站客服，咨询电话：4008817190。获取招标文件前，供应商应按照《浙江省政府采购供应商注册及诚信管理暂行办法》的规定在“浙江政府采购网（zfcg.czt.zj.gov.cn）”上进行供应商注册申请，并通过财政部门的终审后登记加入到“浙江省政府采购供应商库”。中标供应商必须注册并登记加入“浙江省政府采购供应商库”。具体要求及注册申请流程详见《浙江省政府采购供应商注册及诚信管理暂行办法》（浙财采监字{2009}28号）和浙江政府采购网“网上办事指南”的“供应商注册申请”。注册咨询电话：4008817190，如未注册的供应商，请注意注册所需时间。本招标公告附件中的招标文件仅供阅览使用，供应商应在规定的招标文件提供期限内在政采云平台登录上述供应商注册的账号后获取招标文件，未在规定的招标文件提供期限内或未按上述方式获取招标文件的，其投标均视为无效，并不得对招标文件提起质疑投诉。 </w:t>
      </w:r>
    </w:p>
    <w:p>
      <w:pPr>
        <w:keepNext w:val="0"/>
        <w:keepLines w:val="0"/>
        <w:pageBreakBefore w:val="0"/>
        <w:widowControl/>
        <w:kinsoku/>
        <w:overflowPunct/>
        <w:topLinePunct w:val="0"/>
        <w:autoSpaceDE/>
        <w:autoSpaceDN/>
        <w:bidi w:val="0"/>
        <w:adjustRightInd/>
        <w:spacing w:line="360" w:lineRule="auto"/>
        <w:ind w:left="0" w:leftChars="0" w:firstLine="420" w:firstLineChars="200"/>
        <w:jc w:val="left"/>
        <w:textAlignment w:val="auto"/>
        <w:rPr>
          <w:rFonts w:ascii="宋体" w:hAnsi="宋体" w:cs="宋体"/>
          <w:kern w:val="0"/>
          <w:szCs w:val="21"/>
        </w:rPr>
      </w:pPr>
      <w:r>
        <w:rPr>
          <w:rFonts w:hint="eastAsia" w:ascii="宋体" w:hAnsi="宋体" w:cs="宋体"/>
          <w:kern w:val="0"/>
          <w:szCs w:val="21"/>
        </w:rPr>
        <w:t>售价（元）：0 </w:t>
      </w:r>
    </w:p>
    <w:p>
      <w:pPr>
        <w:keepNext w:val="0"/>
        <w:keepLines w:val="0"/>
        <w:pageBreakBefore w:val="0"/>
        <w:widowControl/>
        <w:kinsoku/>
        <w:overflowPunct/>
        <w:topLinePunct w:val="0"/>
        <w:autoSpaceDE/>
        <w:autoSpaceDN/>
        <w:bidi w:val="0"/>
        <w:adjustRightInd/>
        <w:spacing w:line="360" w:lineRule="auto"/>
        <w:ind w:left="0" w:leftChars="0"/>
        <w:textAlignment w:val="auto"/>
        <w:rPr>
          <w:rFonts w:ascii="宋体" w:hAnsi="宋体" w:cs="宋体"/>
          <w:kern w:val="0"/>
          <w:szCs w:val="21"/>
        </w:rPr>
      </w:pPr>
      <w:r>
        <w:rPr>
          <w:rFonts w:hint="eastAsia" w:ascii="宋体" w:hAnsi="宋体" w:cs="宋体"/>
          <w:b/>
          <w:bCs/>
          <w:kern w:val="0"/>
          <w:szCs w:val="21"/>
        </w:rPr>
        <w:t>四、提交投标文件截止时间、开标时间和地点</w:t>
      </w:r>
    </w:p>
    <w:p>
      <w:pPr>
        <w:keepNext w:val="0"/>
        <w:keepLines w:val="0"/>
        <w:pageBreakBefore w:val="0"/>
        <w:widowControl/>
        <w:kinsoku/>
        <w:overflowPunct/>
        <w:topLinePunct w:val="0"/>
        <w:autoSpaceDE/>
        <w:autoSpaceDN/>
        <w:bidi w:val="0"/>
        <w:adjustRightInd/>
        <w:spacing w:line="360" w:lineRule="auto"/>
        <w:ind w:left="0" w:leftChars="0" w:firstLine="420" w:firstLineChars="200"/>
        <w:jc w:val="left"/>
        <w:textAlignment w:val="auto"/>
        <w:rPr>
          <w:rFonts w:ascii="宋体" w:hAnsi="宋体" w:cs="宋体"/>
          <w:kern w:val="0"/>
          <w:szCs w:val="21"/>
        </w:rPr>
      </w:pPr>
      <w:r>
        <w:rPr>
          <w:rFonts w:hint="eastAsia" w:ascii="宋体" w:hAnsi="宋体" w:cs="宋体"/>
          <w:kern w:val="0"/>
          <w:szCs w:val="21"/>
        </w:rPr>
        <w:t>提交投标文件截止时间：</w:t>
      </w:r>
      <w:r>
        <w:rPr>
          <w:rFonts w:hint="eastAsia" w:ascii="宋体" w:hAnsi="宋体" w:cs="宋体"/>
          <w:b/>
          <w:bCs/>
          <w:color w:val="FF0000"/>
          <w:szCs w:val="21"/>
        </w:rPr>
        <w:t>2024年</w:t>
      </w:r>
      <w:r>
        <w:rPr>
          <w:rFonts w:hint="eastAsia" w:ascii="宋体" w:hAnsi="宋体" w:cs="宋体"/>
          <w:b/>
          <w:bCs/>
          <w:color w:val="FF0000"/>
          <w:szCs w:val="21"/>
          <w:lang w:val="en-US" w:eastAsia="zh-CN"/>
        </w:rPr>
        <w:t>3</w:t>
      </w:r>
      <w:r>
        <w:rPr>
          <w:rFonts w:hint="eastAsia" w:ascii="宋体" w:hAnsi="宋体" w:cs="宋体"/>
          <w:b/>
          <w:bCs/>
          <w:color w:val="FF0000"/>
          <w:szCs w:val="21"/>
        </w:rPr>
        <w:t>月</w:t>
      </w:r>
      <w:r>
        <w:rPr>
          <w:rFonts w:hint="eastAsia" w:ascii="宋体" w:hAnsi="宋体" w:cs="宋体"/>
          <w:b/>
          <w:bCs/>
          <w:color w:val="FF0000"/>
          <w:szCs w:val="21"/>
          <w:lang w:val="en-US" w:eastAsia="zh-CN"/>
        </w:rPr>
        <w:t>28</w:t>
      </w:r>
      <w:r>
        <w:rPr>
          <w:rFonts w:hint="eastAsia" w:ascii="宋体" w:hAnsi="宋体" w:cs="宋体"/>
          <w:b/>
          <w:bCs/>
          <w:color w:val="FF0000"/>
          <w:szCs w:val="21"/>
        </w:rPr>
        <w:t>日</w:t>
      </w:r>
      <w:r>
        <w:rPr>
          <w:rFonts w:hint="eastAsia" w:ascii="宋体" w:hAnsi="宋体" w:cs="宋体"/>
          <w:b/>
          <w:bCs/>
          <w:color w:val="FF0000"/>
          <w:kern w:val="0"/>
          <w:szCs w:val="21"/>
        </w:rPr>
        <w:t>14:00</w:t>
      </w:r>
      <w:r>
        <w:rPr>
          <w:rFonts w:hint="eastAsia" w:ascii="宋体" w:hAnsi="宋体" w:cs="宋体"/>
          <w:kern w:val="0"/>
          <w:szCs w:val="21"/>
        </w:rPr>
        <w:t>（北京时间）</w:t>
      </w:r>
    </w:p>
    <w:p>
      <w:pPr>
        <w:keepNext w:val="0"/>
        <w:keepLines w:val="0"/>
        <w:pageBreakBefore w:val="0"/>
        <w:widowControl/>
        <w:kinsoku/>
        <w:overflowPunct/>
        <w:topLinePunct w:val="0"/>
        <w:autoSpaceDE/>
        <w:autoSpaceDN/>
        <w:bidi w:val="0"/>
        <w:adjustRightInd/>
        <w:spacing w:line="360" w:lineRule="auto"/>
        <w:ind w:left="0" w:leftChars="0" w:firstLine="420" w:firstLineChars="200"/>
        <w:jc w:val="left"/>
        <w:textAlignment w:val="auto"/>
        <w:rPr>
          <w:rFonts w:ascii="宋体" w:hAnsi="宋体" w:cs="宋体"/>
          <w:kern w:val="0"/>
          <w:szCs w:val="21"/>
        </w:rPr>
      </w:pPr>
      <w:r>
        <w:rPr>
          <w:rFonts w:hint="eastAsia" w:ascii="宋体" w:hAnsi="宋体" w:cs="宋体"/>
          <w:kern w:val="0"/>
          <w:szCs w:val="21"/>
        </w:rPr>
        <w:t>开标时间：</w:t>
      </w:r>
      <w:r>
        <w:rPr>
          <w:rFonts w:hint="eastAsia" w:ascii="宋体" w:hAnsi="宋体" w:cs="宋体"/>
          <w:b/>
          <w:bCs/>
          <w:color w:val="FF0000"/>
          <w:szCs w:val="21"/>
        </w:rPr>
        <w:t>2024年</w:t>
      </w:r>
      <w:r>
        <w:rPr>
          <w:rFonts w:hint="eastAsia" w:ascii="宋体" w:hAnsi="宋体" w:cs="宋体"/>
          <w:b/>
          <w:bCs/>
          <w:color w:val="FF0000"/>
          <w:szCs w:val="21"/>
          <w:lang w:val="en-US" w:eastAsia="zh-CN"/>
        </w:rPr>
        <w:t>3</w:t>
      </w:r>
      <w:r>
        <w:rPr>
          <w:rFonts w:hint="eastAsia" w:ascii="宋体" w:hAnsi="宋体" w:cs="宋体"/>
          <w:b/>
          <w:bCs/>
          <w:color w:val="FF0000"/>
          <w:szCs w:val="21"/>
        </w:rPr>
        <w:t>月</w:t>
      </w:r>
      <w:r>
        <w:rPr>
          <w:rFonts w:hint="eastAsia" w:ascii="宋体" w:hAnsi="宋体" w:cs="宋体"/>
          <w:b/>
          <w:bCs/>
          <w:color w:val="FF0000"/>
          <w:szCs w:val="21"/>
          <w:lang w:val="en-US" w:eastAsia="zh-CN"/>
        </w:rPr>
        <w:t>28</w:t>
      </w:r>
      <w:r>
        <w:rPr>
          <w:rFonts w:hint="eastAsia" w:ascii="宋体" w:hAnsi="宋体" w:cs="宋体"/>
          <w:b/>
          <w:bCs/>
          <w:color w:val="FF0000"/>
          <w:szCs w:val="21"/>
        </w:rPr>
        <w:t>日</w:t>
      </w:r>
      <w:r>
        <w:rPr>
          <w:rFonts w:hint="eastAsia" w:ascii="宋体" w:hAnsi="宋体" w:cs="宋体"/>
          <w:b/>
          <w:bCs/>
          <w:color w:val="FF0000"/>
          <w:kern w:val="0"/>
          <w:szCs w:val="21"/>
        </w:rPr>
        <w:t>14:00</w:t>
      </w:r>
      <w:r>
        <w:rPr>
          <w:rFonts w:hint="eastAsia" w:ascii="宋体" w:hAnsi="宋体" w:cs="宋体"/>
          <w:kern w:val="0"/>
          <w:szCs w:val="21"/>
        </w:rPr>
        <w:t xml:space="preserve"> （北京时间）</w:t>
      </w:r>
    </w:p>
    <w:p>
      <w:pPr>
        <w:keepNext w:val="0"/>
        <w:keepLines w:val="0"/>
        <w:pageBreakBefore w:val="0"/>
        <w:widowControl/>
        <w:kinsoku/>
        <w:overflowPunct/>
        <w:topLinePunct w:val="0"/>
        <w:autoSpaceDE/>
        <w:autoSpaceDN/>
        <w:bidi w:val="0"/>
        <w:adjustRightInd/>
        <w:spacing w:line="360" w:lineRule="auto"/>
        <w:ind w:left="0" w:leftChars="0" w:firstLine="420" w:firstLineChars="200"/>
        <w:jc w:val="left"/>
        <w:textAlignment w:val="auto"/>
        <w:rPr>
          <w:rFonts w:ascii="宋体" w:hAnsi="宋体" w:cs="宋体"/>
          <w:szCs w:val="21"/>
        </w:rPr>
      </w:pPr>
      <w:r>
        <w:rPr>
          <w:rFonts w:hint="eastAsia" w:ascii="宋体" w:hAnsi="宋体" w:cs="宋体"/>
          <w:kern w:val="0"/>
          <w:szCs w:val="21"/>
        </w:rPr>
        <w:t>开标地点（网址）：镇海区公共资源交易中心开标室（镇海骆驼街道金华南路55号三楼开标厅），（本项目通过“政府采购云平台（www.zcygov.cn）”实行在线制作并提交投标文件（电子投标）； </w:t>
      </w:r>
      <w:r>
        <w:rPr>
          <w:rFonts w:hint="eastAsia" w:ascii="宋体" w:hAnsi="宋体" w:cs="宋体"/>
          <w:szCs w:val="21"/>
        </w:rPr>
        <w:t> </w:t>
      </w:r>
    </w:p>
    <w:p>
      <w:pPr>
        <w:keepNext w:val="0"/>
        <w:keepLines w:val="0"/>
        <w:pageBreakBefore w:val="0"/>
        <w:widowControl/>
        <w:kinsoku/>
        <w:overflowPunct/>
        <w:topLinePunct w:val="0"/>
        <w:autoSpaceDE/>
        <w:autoSpaceDN/>
        <w:bidi w:val="0"/>
        <w:adjustRightInd/>
        <w:spacing w:line="360" w:lineRule="auto"/>
        <w:ind w:left="0" w:leftChars="0"/>
        <w:textAlignment w:val="auto"/>
        <w:rPr>
          <w:rFonts w:ascii="宋体" w:hAnsi="宋体" w:cs="宋体"/>
          <w:kern w:val="0"/>
          <w:szCs w:val="21"/>
        </w:rPr>
      </w:pPr>
      <w:r>
        <w:rPr>
          <w:rFonts w:hint="eastAsia" w:ascii="宋体" w:hAnsi="宋体" w:cs="宋体"/>
          <w:b/>
          <w:bCs/>
          <w:kern w:val="0"/>
          <w:szCs w:val="21"/>
        </w:rPr>
        <w:t>五、公告期限</w:t>
      </w:r>
      <w:r>
        <w:rPr>
          <w:rFonts w:hint="eastAsia" w:ascii="宋体" w:hAnsi="宋体" w:cs="宋体"/>
          <w:kern w:val="0"/>
          <w:szCs w:val="21"/>
        </w:rPr>
        <w:t> </w:t>
      </w:r>
    </w:p>
    <w:p>
      <w:pPr>
        <w:keepNext w:val="0"/>
        <w:keepLines w:val="0"/>
        <w:pageBreakBefore w:val="0"/>
        <w:widowControl/>
        <w:kinsoku/>
        <w:overflowPunct/>
        <w:topLinePunct w:val="0"/>
        <w:autoSpaceDE/>
        <w:autoSpaceDN/>
        <w:bidi w:val="0"/>
        <w:adjustRightInd/>
        <w:spacing w:line="360" w:lineRule="auto"/>
        <w:ind w:left="0" w:leftChars="0" w:firstLine="315" w:firstLineChars="150"/>
        <w:jc w:val="left"/>
        <w:textAlignment w:val="auto"/>
        <w:rPr>
          <w:rFonts w:ascii="宋体" w:hAnsi="宋体" w:cs="宋体"/>
          <w:kern w:val="0"/>
          <w:szCs w:val="21"/>
        </w:rPr>
      </w:pPr>
      <w:r>
        <w:rPr>
          <w:rFonts w:hint="eastAsia" w:ascii="宋体" w:hAnsi="宋体" w:cs="宋体"/>
          <w:kern w:val="0"/>
          <w:szCs w:val="21"/>
        </w:rPr>
        <w:t xml:space="preserve"> 自本公告发布之日起5个工作日。</w:t>
      </w:r>
    </w:p>
    <w:p>
      <w:pPr>
        <w:keepNext w:val="0"/>
        <w:keepLines w:val="0"/>
        <w:pageBreakBefore w:val="0"/>
        <w:widowControl/>
        <w:kinsoku/>
        <w:overflowPunct/>
        <w:topLinePunct w:val="0"/>
        <w:autoSpaceDE/>
        <w:autoSpaceDN/>
        <w:bidi w:val="0"/>
        <w:adjustRightInd/>
        <w:spacing w:line="360" w:lineRule="auto"/>
        <w:ind w:left="0" w:leftChars="0"/>
        <w:textAlignment w:val="auto"/>
        <w:rPr>
          <w:rFonts w:ascii="宋体" w:hAnsi="宋体" w:cs="宋体"/>
          <w:kern w:val="0"/>
          <w:szCs w:val="21"/>
        </w:rPr>
      </w:pPr>
      <w:r>
        <w:rPr>
          <w:rFonts w:hint="eastAsia" w:ascii="宋体" w:hAnsi="宋体" w:cs="宋体"/>
          <w:b/>
          <w:bCs/>
          <w:kern w:val="0"/>
          <w:szCs w:val="21"/>
        </w:rPr>
        <w:t>六、其他补充事宜</w:t>
      </w:r>
    </w:p>
    <w:p>
      <w:pPr>
        <w:keepNext w:val="0"/>
        <w:keepLines w:val="0"/>
        <w:pageBreakBefore w:val="0"/>
        <w:kinsoku/>
        <w:wordWrap w:val="0"/>
        <w:overflowPunct/>
        <w:topLinePunct w:val="0"/>
        <w:autoSpaceDE/>
        <w:autoSpaceDN/>
        <w:bidi w:val="0"/>
        <w:adjustRightInd/>
        <w:spacing w:line="360" w:lineRule="auto"/>
        <w:ind w:left="0" w:leftChars="0" w:firstLine="420" w:firstLineChars="200"/>
        <w:textAlignment w:val="auto"/>
        <w:rPr>
          <w:rFonts w:ascii="宋体" w:hAnsi="宋体" w:cs="宋体"/>
          <w:szCs w:val="21"/>
        </w:rPr>
      </w:pPr>
      <w:r>
        <w:rPr>
          <w:rFonts w:hint="eastAsia" w:ascii="宋体" w:hAnsi="宋体" w:cs="宋体"/>
          <w:szCs w:val="21"/>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val="0"/>
        <w:overflowPunct/>
        <w:topLinePunct w:val="0"/>
        <w:autoSpaceDE/>
        <w:autoSpaceDN/>
        <w:bidi w:val="0"/>
        <w:adjustRightInd/>
        <w:spacing w:line="360" w:lineRule="auto"/>
        <w:ind w:left="0" w:leftChars="0" w:firstLine="420"/>
        <w:textAlignment w:val="auto"/>
        <w:rPr>
          <w:rFonts w:ascii="宋体" w:hAnsi="宋体" w:cs="宋体"/>
          <w:szCs w:val="21"/>
        </w:rPr>
      </w:pPr>
      <w:r>
        <w:rPr>
          <w:rFonts w:hint="eastAsia" w:ascii="宋体" w:hAnsi="宋体" w:cs="宋体"/>
          <w:szCs w:val="21"/>
        </w:rPr>
        <w:t>2、其他事项：(1)单位负责人为同一人或者存在直接控股、管理关系的不同供应商，不得参加同一标项号的投标。(2)为本项目提供整体设计、规范编制或者项目管理、监理、检测等服务的供应商，不得再参加本项目的投标。(3)落实的政策：《关于促进残疾人就业政府采购政策的通知》（财库[2017]141号）、《政府采购促进中小企业发展管理办法》（财库〔2020〕46号）、《关于政府采购支持监狱企业发展有关问题的通知》(财库[2014]68号)、《关于环境标志产品政府采购实施的意见》（财库〔2006〕90号、《节能产品政府采购实施意见》的通知（财库〔2004〕185号）。</w:t>
      </w:r>
    </w:p>
    <w:p>
      <w:pPr>
        <w:keepNext w:val="0"/>
        <w:keepLines w:val="0"/>
        <w:pageBreakBefore w:val="0"/>
        <w:kinsoku/>
        <w:wordWrap w:val="0"/>
        <w:overflowPunct/>
        <w:topLinePunct w:val="0"/>
        <w:autoSpaceDE/>
        <w:autoSpaceDN/>
        <w:bidi w:val="0"/>
        <w:adjustRightInd/>
        <w:spacing w:line="360" w:lineRule="auto"/>
        <w:ind w:left="0" w:leftChars="0" w:firstLine="420" w:firstLineChars="200"/>
        <w:textAlignment w:val="auto"/>
        <w:rPr>
          <w:rFonts w:ascii="宋体" w:hAnsi="宋体" w:cs="宋体"/>
          <w:b/>
          <w:bCs/>
          <w:szCs w:val="21"/>
        </w:rPr>
      </w:pPr>
      <w:r>
        <w:rPr>
          <w:rFonts w:hint="eastAsia" w:ascii="宋体" w:hAnsi="宋体" w:cs="宋体"/>
          <w:szCs w:val="21"/>
        </w:rPr>
        <w:t>3.供应商应于提交投标文件截止时间前将电子投标文件上传到政府采购云平台，并于提交投标文件截止时间前，将以U盘或光盘存储的电子备份投标文件密封后送至开标地点：</w:t>
      </w:r>
      <w:r>
        <w:rPr>
          <w:rFonts w:hint="eastAsia" w:ascii="宋体" w:hAnsi="宋体" w:cs="宋体"/>
          <w:kern w:val="0"/>
          <w:szCs w:val="21"/>
        </w:rPr>
        <w:t>镇海区公共资源交易中心（镇海骆驼街道金华南路55号三楼开标厅）</w:t>
      </w:r>
      <w:r>
        <w:rPr>
          <w:rFonts w:hint="eastAsia" w:ascii="宋体" w:hAnsi="宋体" w:cs="宋体"/>
          <w:szCs w:val="21"/>
        </w:rPr>
        <w:t>。</w:t>
      </w:r>
      <w:r>
        <w:rPr>
          <w:rFonts w:hint="eastAsia" w:ascii="宋体" w:hAnsi="宋体" w:cs="宋体"/>
          <w:b/>
          <w:bCs/>
          <w:szCs w:val="21"/>
        </w:rPr>
        <w:t>【注：电子备份投标文件自愿提供】</w:t>
      </w:r>
    </w:p>
    <w:p>
      <w:pPr>
        <w:pStyle w:val="16"/>
        <w:keepNext w:val="0"/>
        <w:keepLines w:val="0"/>
        <w:pageBreakBefore w:val="0"/>
        <w:kinsoku/>
        <w:overflowPunct/>
        <w:topLinePunct w:val="0"/>
        <w:autoSpaceDE/>
        <w:autoSpaceDN/>
        <w:bidi w:val="0"/>
        <w:adjustRightInd/>
        <w:spacing w:before="0" w:beforeAutospacing="0" w:after="0" w:afterAutospacing="0" w:line="360" w:lineRule="auto"/>
        <w:ind w:left="0" w:leftChars="0" w:firstLine="420" w:firstLineChars="200"/>
        <w:textAlignment w:val="auto"/>
        <w:rPr>
          <w:sz w:val="21"/>
          <w:szCs w:val="21"/>
        </w:rPr>
      </w:pPr>
      <w:r>
        <w:rPr>
          <w:rFonts w:hint="eastAsia"/>
          <w:sz w:val="21"/>
          <w:szCs w:val="21"/>
        </w:rPr>
        <w:t>电子备份投标文件递交可采用现场递交或快递邮寄送达的方式。</w:t>
      </w:r>
    </w:p>
    <w:p>
      <w:pPr>
        <w:pStyle w:val="16"/>
        <w:keepNext w:val="0"/>
        <w:keepLines w:val="0"/>
        <w:pageBreakBefore w:val="0"/>
        <w:kinsoku/>
        <w:overflowPunct/>
        <w:topLinePunct w:val="0"/>
        <w:autoSpaceDE/>
        <w:autoSpaceDN/>
        <w:bidi w:val="0"/>
        <w:adjustRightInd/>
        <w:spacing w:before="0" w:beforeAutospacing="0" w:after="0" w:afterAutospacing="0" w:line="360" w:lineRule="auto"/>
        <w:ind w:left="0" w:leftChars="0" w:firstLine="422" w:firstLineChars="200"/>
        <w:textAlignment w:val="auto"/>
        <w:rPr>
          <w:b/>
          <w:bCs/>
          <w:sz w:val="21"/>
          <w:szCs w:val="21"/>
        </w:rPr>
      </w:pPr>
      <w:r>
        <w:rPr>
          <w:rFonts w:hint="eastAsia"/>
          <w:b/>
          <w:bCs/>
          <w:sz w:val="21"/>
          <w:szCs w:val="21"/>
        </w:rPr>
        <w:t>方式一：现场递交方式</w:t>
      </w:r>
      <w:r>
        <w:rPr>
          <w:rFonts w:hint="eastAsia"/>
          <w:sz w:val="21"/>
          <w:szCs w:val="21"/>
        </w:rPr>
        <w:t>，供应商可安排一名授权代表在投标截止时间前将电子备份投标文件送至宁波市镇海区公共资源交易中心开标室（镇海骆驼街道金华南路55号三楼开标厅）。</w:t>
      </w:r>
    </w:p>
    <w:p>
      <w:pPr>
        <w:pStyle w:val="16"/>
        <w:keepNext w:val="0"/>
        <w:keepLines w:val="0"/>
        <w:pageBreakBefore w:val="0"/>
        <w:kinsoku/>
        <w:overflowPunct/>
        <w:topLinePunct w:val="0"/>
        <w:autoSpaceDE/>
        <w:autoSpaceDN/>
        <w:bidi w:val="0"/>
        <w:adjustRightInd/>
        <w:spacing w:before="0" w:beforeAutospacing="0" w:after="0" w:afterAutospacing="0" w:line="360" w:lineRule="auto"/>
        <w:ind w:left="0" w:leftChars="0" w:firstLine="422" w:firstLineChars="200"/>
        <w:textAlignment w:val="auto"/>
      </w:pPr>
      <w:r>
        <w:rPr>
          <w:rFonts w:hint="eastAsia"/>
          <w:b/>
          <w:bCs/>
          <w:sz w:val="21"/>
          <w:szCs w:val="21"/>
        </w:rPr>
        <w:t>方式二：快递邮寄送达（推荐），</w:t>
      </w:r>
      <w:r>
        <w:rPr>
          <w:rFonts w:hint="eastAsia"/>
          <w:sz w:val="21"/>
          <w:szCs w:val="21"/>
        </w:rPr>
        <w:t>供应商可以通过快递邮寄送达电子备份投标文件（邮寄时须同时邮寄送达地址：宁波华欣建设项目管理有限公司 （宁波市江北区长兴路715号恒凯大厦603室），联系方式：唐佳萍 0574-88228780,13056742230。</w:t>
      </w:r>
      <w:r>
        <w:fldChar w:fldCharType="begin"/>
      </w:r>
      <w:r>
        <w:instrText xml:space="preserve">HYPERLINK "mailto:1285588203@qq.com），以便采购代理机构查询物流记录。各供应商应当确保投标文件的密封包装在邮寄过程保持完好，并在邮寄包裹上注明项目名称，因邮寄造成投标文件密封破损而不符合招标文件对投标文件的密封要求、或邮寄过程中导致投标文件未按时送达的，代理机构将拒绝其投标文件。各供应商自行考虑邮寄在途时间，投标文件送达时间以采购代理机构工作人员实际签收时间为准。电子投标文件邮寄送达截止时间2021年7月"</w:instrText>
      </w:r>
      <w:r>
        <w:fldChar w:fldCharType="separate"/>
      </w:r>
      <w:r>
        <w:rPr>
          <w:rFonts w:hint="eastAsia"/>
          <w:szCs w:val="21"/>
        </w:rPr>
        <w:t>各供应商应当确保投标文件按照招标文件要求密封且密封包装在邮寄过程保持完好，并必须在邮寄包裹上注明项目名称。因邮寄造成投标文件密封破损而不符合招标文件对投标文件的密封要求、或邮寄过程中导致投标文件未按时送达的，代理机构将拒绝其投标文件。各供应商自行考虑邮寄在途时间，电子备份投标文件送达时间以采购代理机构工作人员实际签收时间为准。</w:t>
      </w:r>
      <w:r>
        <w:rPr>
          <w:rFonts w:hint="eastAsia"/>
          <w:b/>
          <w:bCs/>
          <w:szCs w:val="21"/>
        </w:rPr>
        <w:t>电子备份投标文件邮寄送达截止时间：投标截止时间前一个工作日的15:00前。</w:t>
      </w:r>
      <w:r>
        <w:rPr>
          <w:b/>
          <w:bCs/>
          <w:szCs w:val="21"/>
        </w:rPr>
        <w:fldChar w:fldCharType="end"/>
      </w:r>
    </w:p>
    <w:p>
      <w:pPr>
        <w:keepNext w:val="0"/>
        <w:keepLines w:val="0"/>
        <w:pageBreakBefore w:val="0"/>
        <w:kinsoku/>
        <w:wordWrap w:val="0"/>
        <w:overflowPunct/>
        <w:topLinePunct w:val="0"/>
        <w:autoSpaceDE/>
        <w:autoSpaceDN/>
        <w:bidi w:val="0"/>
        <w:adjustRightInd/>
        <w:spacing w:line="360" w:lineRule="auto"/>
        <w:ind w:left="0" w:leftChars="0" w:firstLine="420" w:firstLineChars="200"/>
        <w:textAlignment w:val="auto"/>
        <w:rPr>
          <w:rFonts w:ascii="宋体" w:hAnsi="宋体" w:cs="宋体"/>
          <w:szCs w:val="21"/>
        </w:rPr>
      </w:pPr>
      <w:r>
        <w:rPr>
          <w:rFonts w:hint="eastAsia" w:ascii="宋体" w:hAnsi="宋体" w:cs="宋体"/>
          <w:szCs w:val="21"/>
        </w:rPr>
        <w:t>4.开标时间后</w:t>
      </w:r>
      <w:r>
        <w:rPr>
          <w:rFonts w:hint="eastAsia" w:ascii="宋体" w:hAnsi="宋体" w:cs="宋体"/>
          <w:b/>
          <w:bCs/>
          <w:color w:val="FF0000"/>
          <w:szCs w:val="21"/>
        </w:rPr>
        <w:t>半小时</w:t>
      </w:r>
      <w:r>
        <w:rPr>
          <w:rFonts w:hint="eastAsia" w:ascii="宋体" w:hAnsi="宋体" w:cs="宋体"/>
          <w:szCs w:val="21"/>
        </w:rPr>
        <w:t>内供应商可以登录政府采购云平台，用“项目采购-开标评标”功能进行解密投标文件。供应商按时在线解密投标文件的，以在线解密的投标文件作为评审依据，若供应商在规定时间内无法解密或解密失败，则以备份电子投标文件作为评审依据（若备份电子投标文件与政采云平台上传的投标文件被识别为不一致，仍以备份电子投标文件作为评审依据）。如因系统或部分电子响应文件无法解密，供应商在截止时间前未提交电子备份响应文件的，视为供应商放弃投标。无论是否启用备份电子投标文件，均不退还供应商。</w:t>
      </w:r>
    </w:p>
    <w:p>
      <w:pPr>
        <w:keepNext w:val="0"/>
        <w:keepLines w:val="0"/>
        <w:pageBreakBefore w:val="0"/>
        <w:kinsoku/>
        <w:wordWrap w:val="0"/>
        <w:overflowPunct/>
        <w:topLinePunct w:val="0"/>
        <w:autoSpaceDE/>
        <w:autoSpaceDN/>
        <w:bidi w:val="0"/>
        <w:adjustRightInd/>
        <w:spacing w:line="360" w:lineRule="auto"/>
        <w:ind w:left="0" w:leftChars="0" w:firstLine="420" w:firstLineChars="200"/>
        <w:textAlignment w:val="auto"/>
        <w:rPr>
          <w:rFonts w:ascii="宋体" w:hAnsi="宋体" w:cs="宋体"/>
          <w:szCs w:val="21"/>
        </w:rPr>
      </w:pPr>
      <w:r>
        <w:rPr>
          <w:rFonts w:hint="eastAsia" w:ascii="宋体" w:hAnsi="宋体" w:cs="宋体"/>
          <w:szCs w:val="21"/>
        </w:rPr>
        <w:t>5.本项目实行网上投标，采用电子投标文件。若供应商参与投标，自行承担投标一切费用。</w:t>
      </w:r>
    </w:p>
    <w:p>
      <w:pPr>
        <w:keepNext w:val="0"/>
        <w:keepLines w:val="0"/>
        <w:pageBreakBefore w:val="0"/>
        <w:kinsoku/>
        <w:wordWrap w:val="0"/>
        <w:overflowPunct/>
        <w:topLinePunct w:val="0"/>
        <w:autoSpaceDE/>
        <w:autoSpaceDN/>
        <w:bidi w:val="0"/>
        <w:adjustRightInd/>
        <w:spacing w:line="360" w:lineRule="auto"/>
        <w:ind w:left="0" w:leftChars="0" w:firstLine="420" w:firstLineChars="200"/>
        <w:textAlignment w:val="auto"/>
        <w:rPr>
          <w:rFonts w:ascii="宋体" w:hAnsi="宋体" w:cs="宋体"/>
          <w:szCs w:val="21"/>
        </w:rPr>
      </w:pPr>
      <w:r>
        <w:rPr>
          <w:rFonts w:hint="eastAsia" w:ascii="宋体" w:hAnsi="宋体" w:cs="宋体"/>
          <w:szCs w:val="21"/>
        </w:rPr>
        <w:t>6.开标前准备：各供应商应在投标截止时间前确保成为浙江政府采购网正式注册入库供应商，并完成CA数字证书办理。因未注册入库、未办理CA数字证书等原因造成无法投标或投标失败等后果由供应商自行承担。供应商CA申领操作指南（help.zcygov.cn/web/site_2/2018/11-29/2452.html），完成CA数字证书办理预计一周左右，请供应商自行把握时间。</w:t>
      </w:r>
    </w:p>
    <w:p>
      <w:pPr>
        <w:keepNext w:val="0"/>
        <w:keepLines w:val="0"/>
        <w:pageBreakBefore w:val="0"/>
        <w:kinsoku/>
        <w:wordWrap w:val="0"/>
        <w:overflowPunct/>
        <w:topLinePunct w:val="0"/>
        <w:autoSpaceDE/>
        <w:autoSpaceDN/>
        <w:bidi w:val="0"/>
        <w:adjustRightInd/>
        <w:spacing w:line="360" w:lineRule="auto"/>
        <w:ind w:left="0" w:leftChars="0" w:firstLine="420" w:firstLineChars="200"/>
        <w:textAlignment w:val="auto"/>
        <w:rPr>
          <w:rFonts w:ascii="宋体" w:hAnsi="宋体" w:cs="宋体"/>
          <w:szCs w:val="21"/>
        </w:rPr>
      </w:pPr>
      <w:r>
        <w:rPr>
          <w:rFonts w:hint="eastAsia" w:ascii="宋体" w:hAnsi="宋体" w:cs="宋体"/>
          <w:szCs w:val="21"/>
        </w:rPr>
        <w:t>7.投标文件制作：（1）应按照本项目采购文件和政府采购云平台的要求编制、加密并递交投标文件。供应商在使用系统进行投标的过程中遇到涉及平台使用的任何问题，可致电政府采购云平台技术支持热线咨询，联系方式：</w:t>
      </w:r>
      <w:r>
        <w:rPr>
          <w:rFonts w:hint="eastAsia" w:ascii="宋体" w:hAnsi="宋体" w:cs="宋体"/>
          <w:szCs w:val="21"/>
          <w:lang w:val="en-US" w:eastAsia="zh-CN"/>
        </w:rPr>
        <w:t>95763</w:t>
      </w:r>
      <w:r>
        <w:rPr>
          <w:rFonts w:hint="eastAsia" w:ascii="宋体" w:hAnsi="宋体" w:cs="宋体"/>
          <w:szCs w:val="21"/>
        </w:rPr>
        <w:t>。（2）供应商通过政府采购云平台电子投标工具制作投标文件。电子投标工具请供应商自行前往浙江政府采购网下载并安装（zfcg.czt.zj.gov.cn/bidClientTemplate/2019-05-27/12946.html）。供应商投标文件制作及电子交易操作指南详见：①政府采购项目电子交易管理操作指南（视频）：service.zcygov.cn/#/knowledges/CW1EtGwBFdiHxlNd6I3m/7GyLXW0BXgMSmLUuYuPM（电脑登录账号观看）；②政府采购项目电子交易管理操作指南（文本）：service.zcygov.cn/#/knowledges/CW1EtGwBFdiHxlNd6I3m/6IMVAG0BFdiHxlNdQ8Na（电脑登录账号浏览）。（3）以U盘或光盘存储的电子备份投标文件1份</w:t>
      </w:r>
      <w:r>
        <w:rPr>
          <w:rFonts w:hint="eastAsia" w:ascii="宋体" w:hAnsi="宋体" w:cs="宋体"/>
          <w:b/>
          <w:bCs/>
          <w:szCs w:val="21"/>
        </w:rPr>
        <w:t>（自愿提供）</w:t>
      </w:r>
      <w:r>
        <w:rPr>
          <w:rFonts w:hint="eastAsia" w:ascii="宋体" w:hAnsi="宋体" w:cs="宋体"/>
          <w:szCs w:val="21"/>
        </w:rPr>
        <w:t>，即按“项目采购-电子招投标操作指南”制作的电子备份文件，以用于异常情况处理。</w:t>
      </w:r>
    </w:p>
    <w:p>
      <w:pPr>
        <w:keepNext w:val="0"/>
        <w:keepLines w:val="0"/>
        <w:pageBreakBefore w:val="0"/>
        <w:kinsoku/>
        <w:wordWrap w:val="0"/>
        <w:overflowPunct/>
        <w:topLinePunct w:val="0"/>
        <w:autoSpaceDE/>
        <w:autoSpaceDN/>
        <w:bidi w:val="0"/>
        <w:adjustRightInd/>
        <w:spacing w:line="360" w:lineRule="auto"/>
        <w:ind w:left="0" w:leftChars="0" w:firstLine="420" w:firstLineChars="200"/>
        <w:textAlignment w:val="auto"/>
        <w:rPr>
          <w:rFonts w:ascii="宋体" w:hAnsi="宋体" w:cs="宋体"/>
          <w:szCs w:val="21"/>
        </w:rPr>
      </w:pPr>
      <w:r>
        <w:rPr>
          <w:rFonts w:hint="eastAsia" w:ascii="宋体" w:hAnsi="宋体" w:cs="宋体"/>
          <w:szCs w:val="21"/>
        </w:rPr>
        <w:t>8本次政府采购活动有关信息在“浙江政府采购网”、“</w:t>
      </w:r>
      <w:r>
        <w:rPr>
          <w:rFonts w:hint="eastAsia" w:ascii="宋体" w:hAnsi="宋体" w:cs="宋体"/>
          <w:szCs w:val="21"/>
          <w:lang w:val="en"/>
        </w:rPr>
        <w:t>宁波政府采购网</w:t>
      </w:r>
      <w:r>
        <w:rPr>
          <w:rFonts w:hint="eastAsia" w:ascii="宋体" w:hAnsi="宋体" w:cs="宋体"/>
          <w:szCs w:val="21"/>
        </w:rPr>
        <w:t>”、“宁波市公共资源交易网（镇海分区分网）”、“宁波华欣建设项目管理有限公司”网站上公布，公布信息视同送达所有潜在竞标人，不再采用其它方式传达相关信息，若因未能及时了解到上述网站上发布的相关信息而导致的一切后果自行承担。</w:t>
      </w:r>
    </w:p>
    <w:p>
      <w:pPr>
        <w:keepNext w:val="0"/>
        <w:keepLines w:val="0"/>
        <w:pageBreakBefore w:val="0"/>
        <w:widowControl/>
        <w:kinsoku/>
        <w:overflowPunct/>
        <w:topLinePunct w:val="0"/>
        <w:autoSpaceDE/>
        <w:autoSpaceDN/>
        <w:bidi w:val="0"/>
        <w:adjustRightInd/>
        <w:spacing w:line="360" w:lineRule="auto"/>
        <w:ind w:left="0" w:leftChars="0"/>
        <w:textAlignment w:val="auto"/>
        <w:rPr>
          <w:rFonts w:ascii="宋体" w:hAnsi="宋体" w:cs="宋体"/>
          <w:kern w:val="0"/>
          <w:szCs w:val="21"/>
        </w:rPr>
      </w:pPr>
      <w:r>
        <w:rPr>
          <w:rFonts w:hint="eastAsia" w:ascii="宋体" w:hAnsi="宋体" w:cs="宋体"/>
          <w:b/>
          <w:bCs/>
          <w:kern w:val="0"/>
          <w:szCs w:val="21"/>
        </w:rPr>
        <w:t>七、对本次采购提出询问、质疑、投诉，请按以下方式联系</w:t>
      </w:r>
    </w:p>
    <w:p>
      <w:pPr>
        <w:keepNext w:val="0"/>
        <w:keepLines w:val="0"/>
        <w:pageBreakBefore w:val="0"/>
        <w:widowControl/>
        <w:kinsoku/>
        <w:overflowPunct/>
        <w:topLinePunct w:val="0"/>
        <w:autoSpaceDE/>
        <w:autoSpaceDN/>
        <w:bidi w:val="0"/>
        <w:adjustRightInd/>
        <w:spacing w:line="360" w:lineRule="auto"/>
        <w:ind w:left="0" w:leftChars="0"/>
        <w:jc w:val="left"/>
        <w:textAlignment w:val="auto"/>
        <w:rPr>
          <w:rFonts w:ascii="宋体" w:hAnsi="宋体" w:cs="宋体"/>
          <w:kern w:val="0"/>
          <w:szCs w:val="21"/>
        </w:rPr>
      </w:pPr>
      <w:r>
        <w:rPr>
          <w:rFonts w:hint="eastAsia" w:ascii="宋体" w:hAnsi="宋体" w:cs="宋体"/>
          <w:kern w:val="0"/>
          <w:szCs w:val="21"/>
        </w:rPr>
        <w:t>    1.采购人信息</w:t>
      </w:r>
    </w:p>
    <w:p>
      <w:pPr>
        <w:keepNext w:val="0"/>
        <w:keepLines w:val="0"/>
        <w:pageBreakBefore w:val="0"/>
        <w:widowControl/>
        <w:kinsoku/>
        <w:overflowPunct/>
        <w:topLinePunct w:val="0"/>
        <w:autoSpaceDE/>
        <w:autoSpaceDN/>
        <w:bidi w:val="0"/>
        <w:adjustRightInd/>
        <w:spacing w:line="360" w:lineRule="auto"/>
        <w:ind w:left="0" w:leftChars="0"/>
        <w:jc w:val="left"/>
        <w:textAlignment w:val="auto"/>
        <w:rPr>
          <w:rFonts w:ascii="宋体" w:hAnsi="宋体" w:cs="宋体"/>
          <w:kern w:val="0"/>
          <w:szCs w:val="21"/>
        </w:rPr>
      </w:pPr>
      <w:r>
        <w:rPr>
          <w:rFonts w:hint="eastAsia" w:ascii="宋体" w:hAnsi="宋体" w:cs="宋体"/>
          <w:kern w:val="0"/>
          <w:szCs w:val="21"/>
        </w:rPr>
        <w:t>    名    称：</w:t>
      </w:r>
      <w:r>
        <w:rPr>
          <w:rFonts w:hint="eastAsia" w:ascii="宋体" w:hAnsi="宋体" w:cs="宋体"/>
          <w:szCs w:val="21"/>
        </w:rPr>
        <w:t>宁波市镇海区交通运输管理中心</w:t>
      </w:r>
      <w:r>
        <w:rPr>
          <w:rFonts w:hint="eastAsia" w:ascii="宋体" w:hAnsi="宋体" w:cs="宋体"/>
          <w:kern w:val="0"/>
          <w:szCs w:val="21"/>
        </w:rPr>
        <w:t> </w:t>
      </w:r>
    </w:p>
    <w:p>
      <w:pPr>
        <w:keepNext w:val="0"/>
        <w:keepLines w:val="0"/>
        <w:pageBreakBefore w:val="0"/>
        <w:widowControl/>
        <w:kinsoku/>
        <w:overflowPunct/>
        <w:topLinePunct w:val="0"/>
        <w:autoSpaceDE/>
        <w:autoSpaceDN/>
        <w:bidi w:val="0"/>
        <w:adjustRightInd/>
        <w:spacing w:line="360" w:lineRule="auto"/>
        <w:ind w:left="0" w:leftChars="0"/>
        <w:jc w:val="left"/>
        <w:textAlignment w:val="auto"/>
        <w:rPr>
          <w:rFonts w:ascii="宋体" w:hAnsi="宋体" w:cs="宋体"/>
          <w:kern w:val="0"/>
          <w:szCs w:val="21"/>
        </w:rPr>
      </w:pPr>
      <w:r>
        <w:rPr>
          <w:rFonts w:hint="eastAsia" w:ascii="宋体" w:hAnsi="宋体" w:cs="宋体"/>
          <w:kern w:val="0"/>
          <w:szCs w:val="21"/>
        </w:rPr>
        <w:t>    地    址：</w:t>
      </w:r>
      <w:r>
        <w:rPr>
          <w:rFonts w:hint="eastAsia" w:ascii="宋体" w:hAnsi="宋体" w:cs="宋体"/>
          <w:szCs w:val="21"/>
        </w:rPr>
        <w:t>镇海区骆驼街道慈海北路1066号</w:t>
      </w:r>
      <w:r>
        <w:rPr>
          <w:rFonts w:hint="eastAsia" w:ascii="宋体" w:hAnsi="宋体" w:cs="宋体"/>
          <w:kern w:val="0"/>
          <w:szCs w:val="21"/>
        </w:rPr>
        <w:t> </w:t>
      </w:r>
    </w:p>
    <w:p>
      <w:pPr>
        <w:keepNext w:val="0"/>
        <w:keepLines w:val="0"/>
        <w:pageBreakBefore w:val="0"/>
        <w:widowControl/>
        <w:kinsoku/>
        <w:overflowPunct/>
        <w:topLinePunct w:val="0"/>
        <w:autoSpaceDE/>
        <w:autoSpaceDN/>
        <w:bidi w:val="0"/>
        <w:adjustRightInd/>
        <w:spacing w:line="360" w:lineRule="auto"/>
        <w:ind w:left="0" w:leftChars="0"/>
        <w:jc w:val="left"/>
        <w:textAlignment w:val="auto"/>
        <w:rPr>
          <w:rFonts w:ascii="宋体" w:hAnsi="宋体" w:cs="宋体"/>
          <w:kern w:val="0"/>
          <w:szCs w:val="21"/>
        </w:rPr>
      </w:pPr>
      <w:r>
        <w:rPr>
          <w:rFonts w:hint="eastAsia" w:ascii="宋体" w:hAnsi="宋体" w:cs="宋体"/>
          <w:kern w:val="0"/>
          <w:szCs w:val="21"/>
        </w:rPr>
        <w:t>    传    真：/  </w:t>
      </w:r>
    </w:p>
    <w:p>
      <w:pPr>
        <w:keepNext w:val="0"/>
        <w:keepLines w:val="0"/>
        <w:pageBreakBefore w:val="0"/>
        <w:widowControl/>
        <w:kinsoku/>
        <w:overflowPunct/>
        <w:topLinePunct w:val="0"/>
        <w:autoSpaceDE/>
        <w:autoSpaceDN/>
        <w:bidi w:val="0"/>
        <w:adjustRightInd/>
        <w:spacing w:line="360" w:lineRule="auto"/>
        <w:ind w:left="0" w:leftChars="0"/>
        <w:jc w:val="left"/>
        <w:textAlignment w:val="auto"/>
        <w:rPr>
          <w:rFonts w:ascii="宋体" w:hAnsi="宋体" w:cs="宋体"/>
          <w:kern w:val="0"/>
          <w:szCs w:val="21"/>
        </w:rPr>
      </w:pPr>
      <w:r>
        <w:rPr>
          <w:rFonts w:hint="eastAsia" w:ascii="宋体" w:hAnsi="宋体" w:cs="宋体"/>
          <w:kern w:val="0"/>
          <w:szCs w:val="21"/>
        </w:rPr>
        <w:t>    项目联系人（询问）：甘老师  </w:t>
      </w:r>
    </w:p>
    <w:p>
      <w:pPr>
        <w:keepNext w:val="0"/>
        <w:keepLines w:val="0"/>
        <w:pageBreakBefore w:val="0"/>
        <w:widowControl/>
        <w:kinsoku/>
        <w:overflowPunct/>
        <w:topLinePunct w:val="0"/>
        <w:autoSpaceDE/>
        <w:autoSpaceDN/>
        <w:bidi w:val="0"/>
        <w:adjustRightInd/>
        <w:spacing w:line="360" w:lineRule="auto"/>
        <w:ind w:left="0" w:leftChars="0"/>
        <w:jc w:val="left"/>
        <w:textAlignment w:val="auto"/>
        <w:rPr>
          <w:rFonts w:ascii="宋体" w:hAnsi="宋体" w:cs="宋体"/>
          <w:kern w:val="0"/>
          <w:szCs w:val="21"/>
        </w:rPr>
      </w:pPr>
      <w:r>
        <w:rPr>
          <w:rFonts w:hint="eastAsia" w:ascii="宋体" w:hAnsi="宋体" w:cs="宋体"/>
          <w:kern w:val="0"/>
          <w:szCs w:val="21"/>
        </w:rPr>
        <w:t>    项目联系方式（询问）：0574-86285220 </w:t>
      </w:r>
    </w:p>
    <w:p>
      <w:pPr>
        <w:keepNext w:val="0"/>
        <w:keepLines w:val="0"/>
        <w:pageBreakBefore w:val="0"/>
        <w:widowControl/>
        <w:kinsoku/>
        <w:overflowPunct/>
        <w:topLinePunct w:val="0"/>
        <w:autoSpaceDE/>
        <w:autoSpaceDN/>
        <w:bidi w:val="0"/>
        <w:adjustRightInd/>
        <w:spacing w:line="360" w:lineRule="auto"/>
        <w:ind w:left="0" w:leftChars="0"/>
        <w:jc w:val="left"/>
        <w:textAlignment w:val="auto"/>
        <w:rPr>
          <w:rFonts w:ascii="宋体" w:hAnsi="宋体" w:cs="宋体"/>
          <w:kern w:val="0"/>
          <w:szCs w:val="21"/>
        </w:rPr>
      </w:pPr>
      <w:r>
        <w:rPr>
          <w:rFonts w:hint="eastAsia" w:ascii="宋体" w:hAnsi="宋体" w:cs="宋体"/>
          <w:kern w:val="0"/>
          <w:szCs w:val="21"/>
        </w:rPr>
        <w:t>    质疑联系人：余工    </w:t>
      </w:r>
    </w:p>
    <w:p>
      <w:pPr>
        <w:keepNext w:val="0"/>
        <w:keepLines w:val="0"/>
        <w:pageBreakBefore w:val="0"/>
        <w:widowControl/>
        <w:kinsoku/>
        <w:overflowPunct/>
        <w:topLinePunct w:val="0"/>
        <w:autoSpaceDE/>
        <w:autoSpaceDN/>
        <w:bidi w:val="0"/>
        <w:adjustRightInd/>
        <w:spacing w:line="360" w:lineRule="auto"/>
        <w:ind w:left="0" w:leftChars="0"/>
        <w:jc w:val="left"/>
        <w:textAlignment w:val="auto"/>
        <w:rPr>
          <w:rFonts w:ascii="宋体" w:hAnsi="宋体" w:cs="宋体"/>
          <w:kern w:val="0"/>
          <w:szCs w:val="21"/>
        </w:rPr>
      </w:pPr>
      <w:r>
        <w:rPr>
          <w:rFonts w:hint="eastAsia" w:ascii="宋体" w:hAnsi="宋体" w:cs="宋体"/>
          <w:kern w:val="0"/>
          <w:szCs w:val="21"/>
        </w:rPr>
        <w:t>    质疑联系方式：</w:t>
      </w:r>
      <w:r>
        <w:rPr>
          <w:rFonts w:hint="eastAsia" w:ascii="宋体" w:hAnsi="宋体" w:cs="宋体"/>
          <w:szCs w:val="21"/>
        </w:rPr>
        <w:t>0574-86285219</w:t>
      </w:r>
      <w:r>
        <w:rPr>
          <w:rFonts w:hint="eastAsia" w:ascii="宋体" w:hAnsi="宋体" w:cs="宋体"/>
          <w:kern w:val="0"/>
          <w:szCs w:val="21"/>
        </w:rPr>
        <w:t> </w:t>
      </w:r>
    </w:p>
    <w:p>
      <w:pPr>
        <w:keepNext w:val="0"/>
        <w:keepLines w:val="0"/>
        <w:pageBreakBefore w:val="0"/>
        <w:widowControl/>
        <w:kinsoku/>
        <w:overflowPunct/>
        <w:topLinePunct w:val="0"/>
        <w:autoSpaceDE/>
        <w:autoSpaceDN/>
        <w:bidi w:val="0"/>
        <w:adjustRightInd/>
        <w:spacing w:line="360" w:lineRule="auto"/>
        <w:ind w:left="0" w:leftChars="0"/>
        <w:jc w:val="left"/>
        <w:textAlignment w:val="auto"/>
        <w:rPr>
          <w:rFonts w:ascii="宋体" w:hAnsi="宋体" w:cs="宋体"/>
          <w:kern w:val="0"/>
          <w:szCs w:val="21"/>
        </w:rPr>
      </w:pPr>
      <w:r>
        <w:rPr>
          <w:rFonts w:hint="eastAsia" w:ascii="宋体" w:hAnsi="宋体" w:cs="宋体"/>
          <w:kern w:val="0"/>
          <w:szCs w:val="21"/>
        </w:rPr>
        <w:t>    </w:t>
      </w:r>
    </w:p>
    <w:p>
      <w:pPr>
        <w:keepNext w:val="0"/>
        <w:keepLines w:val="0"/>
        <w:pageBreakBefore w:val="0"/>
        <w:widowControl/>
        <w:kinsoku/>
        <w:overflowPunct/>
        <w:topLinePunct w:val="0"/>
        <w:autoSpaceDE/>
        <w:autoSpaceDN/>
        <w:bidi w:val="0"/>
        <w:adjustRightInd/>
        <w:spacing w:line="360" w:lineRule="auto"/>
        <w:ind w:left="0" w:leftChars="0"/>
        <w:jc w:val="left"/>
        <w:textAlignment w:val="auto"/>
        <w:rPr>
          <w:rFonts w:ascii="宋体" w:hAnsi="宋体" w:cs="宋体"/>
          <w:kern w:val="0"/>
          <w:szCs w:val="21"/>
        </w:rPr>
      </w:pPr>
      <w:r>
        <w:rPr>
          <w:rFonts w:hint="eastAsia" w:ascii="宋体" w:hAnsi="宋体" w:cs="宋体"/>
          <w:kern w:val="0"/>
          <w:szCs w:val="21"/>
        </w:rPr>
        <w:t>    2.采购代理机构信息            </w:t>
      </w:r>
    </w:p>
    <w:p>
      <w:pPr>
        <w:keepNext w:val="0"/>
        <w:keepLines w:val="0"/>
        <w:pageBreakBefore w:val="0"/>
        <w:widowControl/>
        <w:kinsoku/>
        <w:overflowPunct/>
        <w:topLinePunct w:val="0"/>
        <w:autoSpaceDE/>
        <w:autoSpaceDN/>
        <w:bidi w:val="0"/>
        <w:adjustRightInd/>
        <w:spacing w:line="360" w:lineRule="auto"/>
        <w:ind w:left="0" w:leftChars="0"/>
        <w:jc w:val="left"/>
        <w:textAlignment w:val="auto"/>
        <w:rPr>
          <w:rFonts w:ascii="宋体" w:hAnsi="宋体" w:cs="宋体"/>
          <w:kern w:val="0"/>
          <w:szCs w:val="21"/>
        </w:rPr>
      </w:pPr>
      <w:r>
        <w:rPr>
          <w:rFonts w:hint="eastAsia" w:ascii="宋体" w:hAnsi="宋体" w:cs="宋体"/>
          <w:kern w:val="0"/>
          <w:szCs w:val="21"/>
        </w:rPr>
        <w:t>    名    称：宁波华欣建设项目管理有限公司             </w:t>
      </w:r>
    </w:p>
    <w:p>
      <w:pPr>
        <w:keepNext w:val="0"/>
        <w:keepLines w:val="0"/>
        <w:pageBreakBefore w:val="0"/>
        <w:widowControl/>
        <w:kinsoku/>
        <w:overflowPunct/>
        <w:topLinePunct w:val="0"/>
        <w:autoSpaceDE/>
        <w:autoSpaceDN/>
        <w:bidi w:val="0"/>
        <w:adjustRightInd/>
        <w:spacing w:line="360" w:lineRule="auto"/>
        <w:ind w:left="0" w:leftChars="0"/>
        <w:jc w:val="left"/>
        <w:textAlignment w:val="auto"/>
        <w:rPr>
          <w:rFonts w:ascii="宋体" w:hAnsi="宋体" w:cs="宋体"/>
          <w:kern w:val="0"/>
          <w:szCs w:val="21"/>
        </w:rPr>
      </w:pPr>
      <w:r>
        <w:rPr>
          <w:rFonts w:hint="eastAsia" w:ascii="宋体" w:hAnsi="宋体" w:cs="宋体"/>
          <w:kern w:val="0"/>
          <w:szCs w:val="21"/>
        </w:rPr>
        <w:t>    地    址：宁波市江北区长兴路715号恒凯大厦60</w:t>
      </w:r>
      <w:r>
        <w:rPr>
          <w:rFonts w:hint="eastAsia" w:ascii="宋体" w:hAnsi="宋体" w:cs="宋体"/>
          <w:kern w:val="0"/>
          <w:szCs w:val="21"/>
          <w:lang w:val="en-US" w:eastAsia="zh-CN"/>
        </w:rPr>
        <w:t>3</w:t>
      </w:r>
      <w:r>
        <w:rPr>
          <w:rFonts w:hint="eastAsia" w:ascii="宋体" w:hAnsi="宋体" w:cs="宋体"/>
          <w:kern w:val="0"/>
          <w:szCs w:val="21"/>
        </w:rPr>
        <w:t>室</w:t>
      </w:r>
    </w:p>
    <w:p>
      <w:pPr>
        <w:keepNext w:val="0"/>
        <w:keepLines w:val="0"/>
        <w:pageBreakBefore w:val="0"/>
        <w:widowControl/>
        <w:kinsoku/>
        <w:overflowPunct/>
        <w:topLinePunct w:val="0"/>
        <w:autoSpaceDE/>
        <w:autoSpaceDN/>
        <w:bidi w:val="0"/>
        <w:adjustRightInd/>
        <w:spacing w:line="360" w:lineRule="auto"/>
        <w:ind w:left="0" w:leftChars="0"/>
        <w:jc w:val="left"/>
        <w:textAlignment w:val="auto"/>
        <w:rPr>
          <w:rFonts w:ascii="宋体" w:hAnsi="宋体" w:cs="宋体"/>
          <w:kern w:val="0"/>
          <w:szCs w:val="21"/>
        </w:rPr>
      </w:pPr>
      <w:r>
        <w:rPr>
          <w:rFonts w:hint="eastAsia" w:ascii="宋体" w:hAnsi="宋体" w:cs="宋体"/>
          <w:kern w:val="0"/>
          <w:szCs w:val="21"/>
        </w:rPr>
        <w:t>    传    真：/             </w:t>
      </w:r>
    </w:p>
    <w:p>
      <w:pPr>
        <w:keepNext w:val="0"/>
        <w:keepLines w:val="0"/>
        <w:pageBreakBefore w:val="0"/>
        <w:widowControl/>
        <w:kinsoku/>
        <w:overflowPunct/>
        <w:topLinePunct w:val="0"/>
        <w:autoSpaceDE/>
        <w:autoSpaceDN/>
        <w:bidi w:val="0"/>
        <w:adjustRightInd/>
        <w:spacing w:line="360" w:lineRule="auto"/>
        <w:ind w:left="0" w:leftChars="0"/>
        <w:jc w:val="left"/>
        <w:textAlignment w:val="auto"/>
        <w:rPr>
          <w:rFonts w:ascii="宋体" w:hAnsi="宋体" w:cs="宋体"/>
          <w:kern w:val="0"/>
          <w:szCs w:val="21"/>
        </w:rPr>
      </w:pPr>
      <w:r>
        <w:rPr>
          <w:rFonts w:hint="eastAsia" w:ascii="宋体" w:hAnsi="宋体" w:cs="宋体"/>
          <w:kern w:val="0"/>
          <w:szCs w:val="21"/>
        </w:rPr>
        <w:t>    项目联系人（询问）：</w:t>
      </w:r>
      <w:r>
        <w:rPr>
          <w:rFonts w:hint="eastAsia" w:cs="Arial" w:asciiTheme="minorEastAsia" w:hAnsiTheme="minorEastAsia" w:eastAsiaTheme="minorEastAsia"/>
          <w:color w:val="auto"/>
          <w:sz w:val="21"/>
          <w:szCs w:val="21"/>
          <w:highlight w:val="none"/>
          <w:lang w:val="en-US" w:eastAsia="zh-CN"/>
        </w:rPr>
        <w:t>唐佳萍</w:t>
      </w:r>
      <w:r>
        <w:rPr>
          <w:rFonts w:hint="eastAsia" w:cs="Arial" w:asciiTheme="minorEastAsia" w:hAnsiTheme="minorEastAsia" w:eastAsiaTheme="minorEastAsia"/>
          <w:color w:val="auto"/>
          <w:sz w:val="21"/>
          <w:szCs w:val="21"/>
          <w:highlight w:val="none"/>
        </w:rPr>
        <w:t>、王静、田恬</w:t>
      </w:r>
      <w:r>
        <w:rPr>
          <w:rFonts w:hint="eastAsia" w:cs="Arial" w:asciiTheme="minorEastAsia" w:hAnsiTheme="minorEastAsia" w:eastAsiaTheme="minorEastAsia"/>
          <w:color w:val="auto"/>
          <w:sz w:val="21"/>
          <w:szCs w:val="21"/>
          <w:highlight w:val="none"/>
          <w:lang w:eastAsia="zh-CN"/>
        </w:rPr>
        <w:t>、</w:t>
      </w:r>
      <w:r>
        <w:rPr>
          <w:rFonts w:hint="eastAsia" w:cs="Arial" w:asciiTheme="minorEastAsia" w:hAnsiTheme="minorEastAsia" w:eastAsiaTheme="minorEastAsia"/>
          <w:color w:val="auto"/>
          <w:sz w:val="21"/>
          <w:szCs w:val="21"/>
          <w:highlight w:val="none"/>
        </w:rPr>
        <w:t>王波、虞礼周</w:t>
      </w:r>
      <w:r>
        <w:rPr>
          <w:rFonts w:hint="eastAsia" w:ascii="宋体" w:hAnsi="宋体" w:cs="宋体"/>
          <w:kern w:val="0"/>
          <w:szCs w:val="21"/>
        </w:rPr>
        <w:t>              </w:t>
      </w:r>
    </w:p>
    <w:p>
      <w:pPr>
        <w:keepNext w:val="0"/>
        <w:keepLines w:val="0"/>
        <w:pageBreakBefore w:val="0"/>
        <w:widowControl/>
        <w:kinsoku/>
        <w:overflowPunct/>
        <w:topLinePunct w:val="0"/>
        <w:autoSpaceDE/>
        <w:autoSpaceDN/>
        <w:bidi w:val="0"/>
        <w:adjustRightInd/>
        <w:spacing w:line="360" w:lineRule="auto"/>
        <w:ind w:left="0" w:leftChars="0"/>
        <w:jc w:val="left"/>
        <w:textAlignment w:val="auto"/>
        <w:rPr>
          <w:rFonts w:ascii="宋体" w:hAnsi="宋体" w:cs="宋体"/>
          <w:kern w:val="0"/>
          <w:szCs w:val="21"/>
        </w:rPr>
      </w:pPr>
      <w:r>
        <w:rPr>
          <w:rFonts w:hint="eastAsia" w:ascii="宋体" w:hAnsi="宋体" w:cs="宋体"/>
          <w:kern w:val="0"/>
          <w:szCs w:val="21"/>
        </w:rPr>
        <w:t>    项目联系方式（询问）：0574-88228780 </w:t>
      </w:r>
    </w:p>
    <w:p>
      <w:pPr>
        <w:keepNext w:val="0"/>
        <w:keepLines w:val="0"/>
        <w:pageBreakBefore w:val="0"/>
        <w:widowControl/>
        <w:kinsoku/>
        <w:overflowPunct/>
        <w:topLinePunct w:val="0"/>
        <w:autoSpaceDE/>
        <w:autoSpaceDN/>
        <w:bidi w:val="0"/>
        <w:adjustRightInd/>
        <w:spacing w:line="360" w:lineRule="auto"/>
        <w:ind w:left="0" w:leftChars="0"/>
        <w:jc w:val="left"/>
        <w:textAlignment w:val="auto"/>
        <w:rPr>
          <w:rFonts w:ascii="宋体" w:hAnsi="宋体" w:cs="宋体"/>
          <w:kern w:val="0"/>
          <w:szCs w:val="21"/>
        </w:rPr>
      </w:pPr>
      <w:r>
        <w:rPr>
          <w:rFonts w:hint="eastAsia" w:ascii="宋体" w:hAnsi="宋体" w:cs="宋体"/>
          <w:kern w:val="0"/>
          <w:szCs w:val="21"/>
        </w:rPr>
        <w:t>    质疑联系人：</w:t>
      </w:r>
      <w:r>
        <w:rPr>
          <w:rFonts w:hint="eastAsia" w:ascii="宋体" w:hAnsi="宋体" w:cs="宋体"/>
          <w:szCs w:val="21"/>
        </w:rPr>
        <w:t>陈佳妮</w:t>
      </w:r>
      <w:r>
        <w:rPr>
          <w:rFonts w:hint="eastAsia" w:ascii="宋体" w:hAnsi="宋体" w:cs="宋体"/>
          <w:kern w:val="0"/>
          <w:szCs w:val="21"/>
        </w:rPr>
        <w:t>             </w:t>
      </w:r>
    </w:p>
    <w:p>
      <w:pPr>
        <w:keepNext w:val="0"/>
        <w:keepLines w:val="0"/>
        <w:pageBreakBefore w:val="0"/>
        <w:widowControl/>
        <w:kinsoku/>
        <w:overflowPunct/>
        <w:topLinePunct w:val="0"/>
        <w:autoSpaceDE/>
        <w:autoSpaceDN/>
        <w:bidi w:val="0"/>
        <w:adjustRightInd/>
        <w:spacing w:line="360" w:lineRule="auto"/>
        <w:ind w:left="0" w:leftChars="0"/>
        <w:jc w:val="left"/>
        <w:textAlignment w:val="auto"/>
        <w:rPr>
          <w:rFonts w:ascii="宋体" w:hAnsi="宋体" w:cs="宋体"/>
          <w:kern w:val="0"/>
          <w:szCs w:val="21"/>
        </w:rPr>
      </w:pPr>
      <w:r>
        <w:rPr>
          <w:rFonts w:hint="eastAsia" w:ascii="宋体" w:hAnsi="宋体" w:cs="宋体"/>
          <w:kern w:val="0"/>
          <w:szCs w:val="21"/>
        </w:rPr>
        <w:t>    质疑联系方式：0574-88228779 </w:t>
      </w:r>
    </w:p>
    <w:p>
      <w:pPr>
        <w:keepNext w:val="0"/>
        <w:keepLines w:val="0"/>
        <w:pageBreakBefore w:val="0"/>
        <w:widowControl/>
        <w:kinsoku/>
        <w:overflowPunct/>
        <w:topLinePunct w:val="0"/>
        <w:autoSpaceDE/>
        <w:autoSpaceDN/>
        <w:bidi w:val="0"/>
        <w:adjustRightInd/>
        <w:spacing w:line="360" w:lineRule="auto"/>
        <w:ind w:left="0" w:leftChars="0"/>
        <w:jc w:val="left"/>
        <w:textAlignment w:val="auto"/>
        <w:rPr>
          <w:rFonts w:ascii="宋体" w:hAnsi="宋体" w:cs="宋体"/>
          <w:kern w:val="0"/>
          <w:szCs w:val="21"/>
        </w:rPr>
      </w:pPr>
      <w:r>
        <w:rPr>
          <w:rFonts w:hint="eastAsia" w:ascii="宋体" w:hAnsi="宋体" w:cs="宋体"/>
          <w:kern w:val="0"/>
          <w:szCs w:val="21"/>
        </w:rPr>
        <w:t>    </w:t>
      </w:r>
    </w:p>
    <w:p>
      <w:pPr>
        <w:keepNext w:val="0"/>
        <w:keepLines w:val="0"/>
        <w:pageBreakBefore w:val="0"/>
        <w:widowControl/>
        <w:kinsoku/>
        <w:overflowPunct/>
        <w:topLinePunct w:val="0"/>
        <w:autoSpaceDE/>
        <w:autoSpaceDN/>
        <w:bidi w:val="0"/>
        <w:adjustRightInd/>
        <w:spacing w:line="360" w:lineRule="auto"/>
        <w:ind w:left="0" w:leftChars="0"/>
        <w:jc w:val="left"/>
        <w:textAlignment w:val="auto"/>
        <w:rPr>
          <w:rFonts w:ascii="宋体" w:hAnsi="宋体" w:cs="宋体"/>
          <w:kern w:val="0"/>
          <w:szCs w:val="21"/>
        </w:rPr>
      </w:pPr>
      <w:r>
        <w:rPr>
          <w:rFonts w:hint="eastAsia" w:ascii="宋体" w:hAnsi="宋体" w:cs="宋体"/>
          <w:kern w:val="0"/>
          <w:szCs w:val="21"/>
        </w:rPr>
        <w:t>    3.同级政府采购监督管理部门            </w:t>
      </w:r>
    </w:p>
    <w:p>
      <w:pPr>
        <w:keepNext w:val="0"/>
        <w:keepLines w:val="0"/>
        <w:pageBreakBefore w:val="0"/>
        <w:widowControl/>
        <w:kinsoku/>
        <w:overflowPunct/>
        <w:topLinePunct w:val="0"/>
        <w:autoSpaceDE/>
        <w:autoSpaceDN/>
        <w:bidi w:val="0"/>
        <w:adjustRightInd/>
        <w:spacing w:line="360" w:lineRule="auto"/>
        <w:ind w:left="0" w:leftChars="0"/>
        <w:jc w:val="left"/>
        <w:textAlignment w:val="auto"/>
        <w:rPr>
          <w:rFonts w:ascii="宋体" w:hAnsi="宋体" w:cs="宋体"/>
          <w:kern w:val="0"/>
          <w:szCs w:val="21"/>
        </w:rPr>
      </w:pPr>
      <w:r>
        <w:rPr>
          <w:rFonts w:hint="eastAsia" w:ascii="宋体" w:hAnsi="宋体" w:cs="宋体"/>
          <w:kern w:val="0"/>
          <w:szCs w:val="21"/>
        </w:rPr>
        <w:t>    名    称：</w:t>
      </w:r>
      <w:r>
        <w:rPr>
          <w:rFonts w:hint="eastAsia" w:ascii="宋体" w:hAnsi="宋体" w:cs="宋体"/>
          <w:szCs w:val="21"/>
        </w:rPr>
        <w:t>宁波市镇海区财政局政府采购办公室</w:t>
      </w:r>
    </w:p>
    <w:p>
      <w:pPr>
        <w:keepNext w:val="0"/>
        <w:keepLines w:val="0"/>
        <w:pageBreakBefore w:val="0"/>
        <w:widowControl/>
        <w:kinsoku/>
        <w:overflowPunct/>
        <w:topLinePunct w:val="0"/>
        <w:autoSpaceDE/>
        <w:autoSpaceDN/>
        <w:bidi w:val="0"/>
        <w:adjustRightInd/>
        <w:spacing w:line="360" w:lineRule="auto"/>
        <w:ind w:left="0" w:leftChars="0" w:firstLine="630" w:firstLineChars="300"/>
        <w:jc w:val="left"/>
        <w:textAlignment w:val="auto"/>
        <w:rPr>
          <w:rFonts w:ascii="宋体" w:hAnsi="宋体" w:cs="宋体"/>
          <w:kern w:val="0"/>
          <w:szCs w:val="21"/>
        </w:rPr>
      </w:pPr>
      <w:r>
        <w:rPr>
          <w:rFonts w:hint="eastAsia" w:ascii="宋体" w:hAnsi="宋体" w:cs="宋体"/>
          <w:kern w:val="0"/>
          <w:szCs w:val="21"/>
        </w:rPr>
        <w:t>地    址：</w:t>
      </w:r>
      <w:r>
        <w:rPr>
          <w:rFonts w:hint="eastAsia" w:ascii="宋体" w:hAnsi="宋体" w:cs="宋体"/>
          <w:szCs w:val="21"/>
        </w:rPr>
        <w:t>宁波市镇海区骆驼街道民和路569号</w:t>
      </w:r>
    </w:p>
    <w:p>
      <w:pPr>
        <w:keepNext w:val="0"/>
        <w:keepLines w:val="0"/>
        <w:pageBreakBefore w:val="0"/>
        <w:widowControl/>
        <w:kinsoku/>
        <w:overflowPunct/>
        <w:topLinePunct w:val="0"/>
        <w:autoSpaceDE/>
        <w:autoSpaceDN/>
        <w:bidi w:val="0"/>
        <w:adjustRightInd/>
        <w:spacing w:line="360" w:lineRule="auto"/>
        <w:ind w:left="0" w:leftChars="0" w:firstLine="630" w:firstLineChars="300"/>
        <w:jc w:val="left"/>
        <w:textAlignment w:val="auto"/>
        <w:rPr>
          <w:rFonts w:ascii="宋体" w:hAnsi="宋体" w:cs="宋体"/>
          <w:kern w:val="0"/>
          <w:szCs w:val="21"/>
        </w:rPr>
      </w:pPr>
      <w:r>
        <w:rPr>
          <w:rFonts w:hint="eastAsia" w:ascii="宋体" w:hAnsi="宋体" w:cs="宋体"/>
          <w:kern w:val="0"/>
          <w:szCs w:val="21"/>
        </w:rPr>
        <w:t xml:space="preserve">传    真：/             </w:t>
      </w:r>
    </w:p>
    <w:p>
      <w:pPr>
        <w:keepNext w:val="0"/>
        <w:keepLines w:val="0"/>
        <w:pageBreakBefore w:val="0"/>
        <w:widowControl/>
        <w:kinsoku/>
        <w:overflowPunct/>
        <w:topLinePunct w:val="0"/>
        <w:autoSpaceDE/>
        <w:autoSpaceDN/>
        <w:bidi w:val="0"/>
        <w:adjustRightInd/>
        <w:spacing w:line="360" w:lineRule="auto"/>
        <w:ind w:left="0" w:leftChars="0" w:firstLine="630" w:firstLineChars="300"/>
        <w:jc w:val="left"/>
        <w:textAlignment w:val="auto"/>
        <w:rPr>
          <w:rFonts w:hint="eastAsia" w:ascii="宋体" w:hAnsi="宋体" w:eastAsia="宋体" w:cs="宋体"/>
          <w:kern w:val="0"/>
          <w:szCs w:val="21"/>
          <w:lang w:val="en-US" w:eastAsia="zh-CN"/>
        </w:rPr>
      </w:pPr>
      <w:r>
        <w:rPr>
          <w:rFonts w:hint="eastAsia" w:ascii="宋体" w:hAnsi="宋体" w:cs="宋体"/>
          <w:kern w:val="0"/>
          <w:szCs w:val="21"/>
        </w:rPr>
        <w:t>联系人 ：</w:t>
      </w:r>
      <w:r>
        <w:rPr>
          <w:rFonts w:hint="eastAsia" w:ascii="宋体" w:hAnsi="宋体" w:cs="宋体"/>
          <w:szCs w:val="21"/>
        </w:rPr>
        <w:t>金</w:t>
      </w:r>
      <w:r>
        <w:rPr>
          <w:rFonts w:hint="eastAsia" w:ascii="宋体" w:hAnsi="宋体" w:cs="宋体"/>
          <w:szCs w:val="21"/>
          <w:lang w:val="en-US" w:eastAsia="zh-CN"/>
        </w:rPr>
        <w:t>老师</w:t>
      </w:r>
    </w:p>
    <w:p>
      <w:pPr>
        <w:keepNext w:val="0"/>
        <w:keepLines w:val="0"/>
        <w:pageBreakBefore w:val="0"/>
        <w:widowControl/>
        <w:kinsoku/>
        <w:overflowPunct/>
        <w:topLinePunct w:val="0"/>
        <w:autoSpaceDE/>
        <w:autoSpaceDN/>
        <w:bidi w:val="0"/>
        <w:adjustRightInd/>
        <w:spacing w:line="360" w:lineRule="auto"/>
        <w:ind w:left="0" w:leftChars="0" w:firstLine="630" w:firstLineChars="300"/>
        <w:jc w:val="left"/>
        <w:textAlignment w:val="auto"/>
        <w:rPr>
          <w:rFonts w:ascii="宋体" w:hAnsi="宋体" w:cs="宋体"/>
          <w:kern w:val="0"/>
          <w:szCs w:val="21"/>
        </w:rPr>
      </w:pPr>
      <w:r>
        <w:rPr>
          <w:rFonts w:hint="eastAsia" w:ascii="宋体" w:hAnsi="宋体" w:cs="宋体"/>
          <w:kern w:val="0"/>
          <w:szCs w:val="21"/>
        </w:rPr>
        <w:t>监督投诉电话：</w:t>
      </w:r>
      <w:r>
        <w:rPr>
          <w:rFonts w:hint="eastAsia" w:ascii="宋体" w:hAnsi="宋体" w:cs="宋体"/>
          <w:szCs w:val="21"/>
        </w:rPr>
        <w:t>0574-89389666</w:t>
      </w:r>
      <w:r>
        <w:rPr>
          <w:rFonts w:hint="eastAsia" w:ascii="宋体" w:hAnsi="宋体" w:cs="宋体"/>
          <w:kern w:val="0"/>
          <w:szCs w:val="21"/>
        </w:rPr>
        <w:t xml:space="preserve">          </w:t>
      </w:r>
    </w:p>
    <w:p>
      <w:pPr>
        <w:keepNext w:val="0"/>
        <w:keepLines w:val="0"/>
        <w:pageBreakBefore w:val="0"/>
        <w:widowControl/>
        <w:kinsoku/>
        <w:overflowPunct/>
        <w:topLinePunct w:val="0"/>
        <w:autoSpaceDE/>
        <w:autoSpaceDN/>
        <w:bidi w:val="0"/>
        <w:adjustRightInd/>
        <w:spacing w:line="360" w:lineRule="auto"/>
        <w:ind w:left="0" w:leftChars="0"/>
        <w:jc w:val="left"/>
        <w:textAlignment w:val="auto"/>
        <w:rPr>
          <w:rFonts w:ascii="宋体" w:hAnsi="宋体" w:cs="宋体"/>
          <w:kern w:val="0"/>
          <w:szCs w:val="21"/>
        </w:rPr>
      </w:pPr>
      <w:r>
        <w:rPr>
          <w:rFonts w:hint="eastAsia" w:ascii="宋体" w:hAnsi="宋体" w:cs="宋体"/>
          <w:kern w:val="0"/>
          <w:szCs w:val="21"/>
        </w:rPr>
        <w:t>         </w:t>
      </w:r>
    </w:p>
    <w:p>
      <w:pPr>
        <w:keepNext w:val="0"/>
        <w:keepLines w:val="0"/>
        <w:pageBreakBefore w:val="0"/>
        <w:widowControl/>
        <w:kinsoku/>
        <w:overflowPunct/>
        <w:topLinePunct w:val="0"/>
        <w:autoSpaceDE/>
        <w:autoSpaceDN/>
        <w:bidi w:val="0"/>
        <w:adjustRightInd/>
        <w:spacing w:line="360" w:lineRule="auto"/>
        <w:ind w:left="0" w:leftChars="0"/>
        <w:jc w:val="left"/>
        <w:textAlignment w:val="auto"/>
        <w:rPr>
          <w:rFonts w:ascii="宋体" w:hAnsi="宋体" w:cs="宋体"/>
          <w:kern w:val="0"/>
          <w:szCs w:val="21"/>
        </w:rPr>
      </w:pPr>
    </w:p>
    <w:p>
      <w:pPr>
        <w:keepNext w:val="0"/>
        <w:keepLines w:val="0"/>
        <w:pageBreakBefore w:val="0"/>
        <w:widowControl/>
        <w:kinsoku/>
        <w:overflowPunct/>
        <w:topLinePunct w:val="0"/>
        <w:autoSpaceDE/>
        <w:autoSpaceDN/>
        <w:bidi w:val="0"/>
        <w:adjustRightInd/>
        <w:spacing w:line="360" w:lineRule="auto"/>
        <w:ind w:left="0" w:leftChars="0" w:firstLine="420" w:firstLineChars="200"/>
        <w:jc w:val="left"/>
        <w:textAlignment w:val="auto"/>
        <w:rPr>
          <w:rFonts w:ascii="宋体" w:hAnsi="宋体" w:cs="宋体"/>
          <w:kern w:val="0"/>
          <w:szCs w:val="21"/>
        </w:rPr>
      </w:pPr>
      <w:r>
        <w:rPr>
          <w:rFonts w:hint="eastAsia" w:ascii="宋体" w:hAnsi="宋体" w:cs="宋体"/>
          <w:kern w:val="0"/>
          <w:szCs w:val="21"/>
        </w:rPr>
        <w:t>若对项目采购电子交易系统操作有疑问，可登录政采云（https://www.zcygov.cn/），点击右侧咨询小采，获取采小蜜智能服务管家帮助，或拨打政采云服务热线</w:t>
      </w:r>
      <w:r>
        <w:rPr>
          <w:rFonts w:hint="eastAsia" w:ascii="仿宋" w:hAnsi="仿宋" w:eastAsia="仿宋" w:cs="仿宋"/>
          <w:color w:val="auto"/>
          <w:sz w:val="24"/>
          <w:highlight w:val="none"/>
          <w:lang w:val="en-US" w:eastAsia="zh-CN"/>
        </w:rPr>
        <w:t>95763</w:t>
      </w:r>
      <w:r>
        <w:rPr>
          <w:rFonts w:hint="eastAsia" w:ascii="宋体" w:hAnsi="宋体" w:cs="宋体"/>
          <w:kern w:val="0"/>
          <w:szCs w:val="21"/>
        </w:rPr>
        <w:t>获取热线服务帮助。       </w:t>
      </w:r>
    </w:p>
    <w:p>
      <w:pPr>
        <w:keepNext w:val="0"/>
        <w:keepLines w:val="0"/>
        <w:pageBreakBefore w:val="0"/>
        <w:widowControl/>
        <w:kinsoku/>
        <w:overflowPunct/>
        <w:topLinePunct w:val="0"/>
        <w:autoSpaceDE/>
        <w:autoSpaceDN/>
        <w:bidi w:val="0"/>
        <w:adjustRightInd/>
        <w:spacing w:line="360" w:lineRule="auto"/>
        <w:ind w:left="0" w:leftChars="0" w:firstLine="420" w:firstLineChars="200"/>
        <w:jc w:val="left"/>
        <w:textAlignment w:val="auto"/>
        <w:rPr>
          <w:rFonts w:ascii="宋体" w:hAnsi="宋体" w:cs="宋体"/>
          <w:kern w:val="0"/>
          <w:szCs w:val="21"/>
        </w:rPr>
      </w:pPr>
      <w:r>
        <w:rPr>
          <w:rFonts w:hint="eastAsia" w:ascii="宋体" w:hAnsi="宋体" w:cs="宋体"/>
          <w:kern w:val="0"/>
          <w:szCs w:val="21"/>
        </w:rPr>
        <w:t>CA问题联系电话（人工）：汇信CA 400-888-4636；天谷CA 400-087-8198。</w:t>
      </w:r>
    </w:p>
    <w:p>
      <w:pPr>
        <w:pStyle w:val="26"/>
        <w:ind w:firstLine="0" w:firstLineChars="0"/>
      </w:pPr>
    </w:p>
    <w:p>
      <w:pPr>
        <w:pStyle w:val="2"/>
        <w:rPr>
          <w:sz w:val="28"/>
          <w:szCs w:val="28"/>
        </w:rPr>
      </w:pPr>
      <w:r>
        <w:rPr>
          <w:rFonts w:cs="宋体"/>
          <w:kern w:val="0"/>
          <w:szCs w:val="21"/>
        </w:rPr>
        <w:br w:type="page"/>
      </w:r>
      <w:bookmarkStart w:id="1" w:name="_Toc15084"/>
      <w:bookmarkStart w:id="2" w:name="_Toc32218"/>
      <w:r>
        <w:rPr>
          <w:rFonts w:hint="eastAsia"/>
          <w:sz w:val="30"/>
          <w:szCs w:val="30"/>
        </w:rPr>
        <w:t>第二章  招标需求</w:t>
      </w:r>
      <w:bookmarkEnd w:id="1"/>
      <w:bookmarkEnd w:id="2"/>
    </w:p>
    <w:p>
      <w:pPr>
        <w:keepNext w:val="0"/>
        <w:keepLines w:val="0"/>
        <w:pageBreakBefore w:val="0"/>
        <w:widowControl/>
        <w:kinsoku/>
        <w:wordWrap/>
        <w:overflowPunct/>
        <w:topLinePunct w:val="0"/>
        <w:bidi w:val="0"/>
        <w:spacing w:line="360" w:lineRule="auto"/>
        <w:ind w:left="0" w:leftChars="0" w:right="0" w:rightChars="0" w:firstLine="420" w:firstLineChars="200"/>
        <w:rPr>
          <w:rFonts w:ascii="宋体" w:hAnsi="宋体" w:cs="宋体"/>
          <w:kern w:val="0"/>
          <w:szCs w:val="21"/>
        </w:rPr>
      </w:pPr>
    </w:p>
    <w:p>
      <w:pPr>
        <w:keepNext w:val="0"/>
        <w:keepLines w:val="0"/>
        <w:pageBreakBefore w:val="0"/>
        <w:kinsoku/>
        <w:wordWrap/>
        <w:overflowPunct/>
        <w:topLinePunct w:val="0"/>
        <w:bidi w:val="0"/>
        <w:spacing w:line="360" w:lineRule="auto"/>
        <w:ind w:left="0" w:leftChars="0" w:right="0" w:rightChars="0"/>
        <w:rPr>
          <w:rFonts w:ascii="宋体" w:hAnsi="宋体" w:cs="宋体"/>
          <w:b/>
          <w:szCs w:val="21"/>
        </w:rPr>
      </w:pPr>
      <w:r>
        <w:rPr>
          <w:rFonts w:hint="eastAsia" w:ascii="宋体" w:hAnsi="宋体" w:cs="宋体"/>
          <w:b/>
          <w:szCs w:val="21"/>
        </w:rPr>
        <w:t>一、招标内容</w:t>
      </w:r>
    </w:p>
    <w:tbl>
      <w:tblPr>
        <w:tblStyle w:val="1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26"/>
        <w:gridCol w:w="79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szCs w:val="21"/>
              </w:rPr>
              <w:t>标项</w:t>
            </w:r>
          </w:p>
        </w:tc>
        <w:tc>
          <w:tcPr>
            <w:tcW w:w="79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szCs w:val="21"/>
              </w:rPr>
              <w:t>2个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1526"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bCs/>
                <w:szCs w:val="21"/>
                <w:shd w:val="clear" w:color="auto" w:fill="FFFFFF"/>
              </w:rPr>
              <w:t>采购需求</w:t>
            </w:r>
          </w:p>
        </w:tc>
        <w:tc>
          <w:tcPr>
            <w:tcW w:w="79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rPr>
                <w:rFonts w:ascii="宋体" w:hAnsi="宋体" w:cs="宋体"/>
                <w:bCs/>
                <w:szCs w:val="21"/>
              </w:rPr>
            </w:pPr>
            <w:r>
              <w:rPr>
                <w:rFonts w:hint="eastAsia" w:ascii="宋体" w:hAnsi="宋体" w:cs="宋体"/>
                <w:szCs w:val="21"/>
              </w:rPr>
              <w:t>项目名称：202</w:t>
            </w:r>
            <w:r>
              <w:rPr>
                <w:rFonts w:ascii="宋体" w:hAnsi="宋体" w:cs="宋体"/>
                <w:szCs w:val="21"/>
              </w:rPr>
              <w:t>4</w:t>
            </w:r>
            <w:r>
              <w:rPr>
                <w:rFonts w:hint="eastAsia" w:ascii="宋体" w:hAnsi="宋体" w:cs="宋体"/>
                <w:szCs w:val="21"/>
              </w:rPr>
              <w:t>年宁波市镇海区交通运输管理中心数字公路运维项目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152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rPr>
                <w:rFonts w:ascii="宋体" w:hAnsi="宋体" w:cs="宋体"/>
                <w:szCs w:val="21"/>
                <w:shd w:val="clear" w:color="auto" w:fill="FFFFFF"/>
              </w:rPr>
            </w:pPr>
          </w:p>
        </w:tc>
        <w:tc>
          <w:tcPr>
            <w:tcW w:w="79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szCs w:val="21"/>
              </w:rPr>
              <w:t>标项1：本次运维服务内容包含镇海区数字公路国省道外场设备运维服务、故障诊断服务、现场巡检服务；内场运维、情报板改造等。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1526"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rPr>
                <w:rFonts w:ascii="宋体" w:hAnsi="宋体" w:cs="宋体"/>
                <w:szCs w:val="21"/>
                <w:shd w:val="clear" w:color="auto" w:fill="FFFFFF"/>
              </w:rPr>
            </w:pPr>
          </w:p>
        </w:tc>
        <w:tc>
          <w:tcPr>
            <w:tcW w:w="79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szCs w:val="21"/>
              </w:rPr>
              <w:t>标项2：本次运维服务内容包含镇海区数字公路县乡道外场设备运维服务、故障诊断服务、现场巡检服务、情报板改造等。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szCs w:val="21"/>
              </w:rPr>
              <w:t>技术规格</w:t>
            </w:r>
          </w:p>
        </w:tc>
        <w:tc>
          <w:tcPr>
            <w:tcW w:w="79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rPr>
                <w:rFonts w:ascii="宋体" w:hAnsi="宋体" w:cs="宋体"/>
                <w:bCs/>
                <w:szCs w:val="21"/>
              </w:rPr>
            </w:pPr>
            <w:r>
              <w:rPr>
                <w:rFonts w:hint="eastAsia" w:ascii="宋体" w:hAnsi="宋体" w:cs="宋体"/>
                <w:bCs/>
                <w:szCs w:val="21"/>
              </w:rPr>
              <w:t>详见技术需求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bCs/>
                <w:szCs w:val="21"/>
              </w:rPr>
              <w:t>*最高限价</w:t>
            </w:r>
          </w:p>
        </w:tc>
        <w:tc>
          <w:tcPr>
            <w:tcW w:w="79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rPr>
                <w:rFonts w:ascii="宋体" w:hAnsi="宋体" w:cs="宋体"/>
                <w:bCs/>
                <w:szCs w:val="21"/>
              </w:rPr>
            </w:pPr>
            <w:r>
              <w:rPr>
                <w:rFonts w:hint="eastAsia" w:ascii="宋体" w:hAnsi="宋体" w:cs="宋体"/>
                <w:bCs/>
                <w:szCs w:val="21"/>
              </w:rPr>
              <w:t>最高</w:t>
            </w:r>
            <w:r>
              <w:rPr>
                <w:rFonts w:hint="eastAsia" w:ascii="宋体" w:hAnsi="宋体" w:cs="宋体"/>
                <w:bCs/>
                <w:szCs w:val="21"/>
                <w:lang w:val="en-US" w:eastAsia="zh-CN"/>
              </w:rPr>
              <w:t>总</w:t>
            </w:r>
            <w:r>
              <w:rPr>
                <w:rFonts w:hint="eastAsia" w:ascii="宋体" w:hAnsi="宋体" w:cs="宋体"/>
                <w:bCs/>
                <w:szCs w:val="21"/>
              </w:rPr>
              <w:t>限价为人民币</w:t>
            </w:r>
            <w:r>
              <w:rPr>
                <w:rFonts w:ascii="宋体" w:hAnsi="宋体" w:cs="宋体"/>
                <w:bCs/>
                <w:szCs w:val="21"/>
              </w:rPr>
              <w:t>70</w:t>
            </w:r>
            <w:r>
              <w:rPr>
                <w:rFonts w:hint="eastAsia" w:ascii="宋体" w:hAnsi="宋体" w:cs="宋体"/>
                <w:bCs/>
                <w:szCs w:val="21"/>
              </w:rPr>
              <w:t>0000</w:t>
            </w:r>
            <w:r>
              <w:rPr>
                <w:rFonts w:hint="eastAsia" w:ascii="宋体" w:hAnsi="宋体" w:cs="宋体"/>
                <w:bCs/>
                <w:szCs w:val="21"/>
                <w:lang w:val="en-US" w:eastAsia="zh-CN"/>
              </w:rPr>
              <w:t>.00</w:t>
            </w:r>
            <w:r>
              <w:rPr>
                <w:rFonts w:hint="eastAsia" w:ascii="宋体" w:hAnsi="宋体" w:cs="宋体"/>
                <w:bCs/>
                <w:szCs w:val="21"/>
              </w:rPr>
              <w:t>元</w:t>
            </w:r>
            <w:r>
              <w:rPr>
                <w:rFonts w:hint="eastAsia" w:ascii="宋体" w:hAnsi="宋体" w:cs="宋体"/>
                <w:bCs/>
                <w:szCs w:val="21"/>
                <w:lang w:val="en-US" w:eastAsia="zh-CN"/>
              </w:rPr>
              <w:t>/年</w:t>
            </w:r>
            <w:r>
              <w:rPr>
                <w:rFonts w:hint="eastAsia" w:ascii="宋体" w:hAnsi="宋体" w:cs="宋体"/>
                <w:bCs/>
                <w:szCs w:val="21"/>
              </w:rPr>
              <w:t>，其中</w:t>
            </w:r>
            <w:r>
              <w:rPr>
                <w:rFonts w:hint="eastAsia" w:ascii="宋体" w:hAnsi="宋体" w:cs="宋体"/>
                <w:szCs w:val="21"/>
              </w:rPr>
              <w:t>标项1</w:t>
            </w:r>
            <w:r>
              <w:rPr>
                <w:rFonts w:hint="eastAsia" w:ascii="宋体" w:hAnsi="宋体" w:cs="宋体"/>
                <w:bCs/>
                <w:szCs w:val="21"/>
              </w:rPr>
              <w:t>：人民币</w:t>
            </w:r>
            <w:r>
              <w:rPr>
                <w:rFonts w:ascii="宋体" w:hAnsi="宋体" w:cs="宋体"/>
                <w:bCs/>
                <w:szCs w:val="21"/>
              </w:rPr>
              <w:t>44</w:t>
            </w:r>
            <w:r>
              <w:rPr>
                <w:rFonts w:hint="eastAsia" w:ascii="宋体" w:hAnsi="宋体" w:cs="宋体"/>
                <w:bCs/>
                <w:szCs w:val="21"/>
              </w:rPr>
              <w:t>0000</w:t>
            </w:r>
            <w:r>
              <w:rPr>
                <w:rFonts w:hint="eastAsia" w:ascii="宋体" w:hAnsi="宋体" w:cs="宋体"/>
                <w:bCs/>
                <w:szCs w:val="21"/>
                <w:lang w:val="en-US" w:eastAsia="zh-CN"/>
              </w:rPr>
              <w:t>.00</w:t>
            </w:r>
            <w:r>
              <w:rPr>
                <w:rFonts w:hint="eastAsia" w:ascii="宋体" w:hAnsi="宋体" w:cs="宋体"/>
                <w:bCs/>
                <w:szCs w:val="21"/>
              </w:rPr>
              <w:t>元</w:t>
            </w:r>
            <w:r>
              <w:rPr>
                <w:rFonts w:hint="eastAsia" w:ascii="宋体" w:hAnsi="宋体" w:cs="宋体"/>
                <w:bCs/>
                <w:szCs w:val="21"/>
                <w:lang w:val="en-US" w:eastAsia="zh-CN"/>
              </w:rPr>
              <w:t>/年</w:t>
            </w:r>
            <w:r>
              <w:rPr>
                <w:rFonts w:hint="eastAsia" w:ascii="宋体" w:hAnsi="宋体" w:cs="宋体"/>
                <w:bCs/>
                <w:szCs w:val="21"/>
              </w:rPr>
              <w:t>；</w:t>
            </w:r>
            <w:r>
              <w:rPr>
                <w:rFonts w:hint="eastAsia" w:ascii="宋体" w:hAnsi="宋体" w:cs="宋体"/>
                <w:szCs w:val="21"/>
              </w:rPr>
              <w:t>标项2</w:t>
            </w:r>
            <w:r>
              <w:rPr>
                <w:rFonts w:hint="eastAsia" w:ascii="宋体" w:hAnsi="宋体" w:cs="宋体"/>
                <w:bCs/>
                <w:szCs w:val="21"/>
              </w:rPr>
              <w:t>：人民币</w:t>
            </w:r>
            <w:r>
              <w:rPr>
                <w:rFonts w:ascii="宋体" w:hAnsi="宋体" w:cs="宋体"/>
                <w:bCs/>
                <w:szCs w:val="21"/>
              </w:rPr>
              <w:t>26</w:t>
            </w:r>
            <w:r>
              <w:rPr>
                <w:rFonts w:hint="eastAsia" w:ascii="宋体" w:hAnsi="宋体" w:cs="宋体"/>
                <w:bCs/>
                <w:szCs w:val="21"/>
              </w:rPr>
              <w:t>0000</w:t>
            </w:r>
            <w:r>
              <w:rPr>
                <w:rFonts w:hint="eastAsia" w:ascii="宋体" w:hAnsi="宋体" w:cs="宋体"/>
                <w:bCs/>
                <w:szCs w:val="21"/>
                <w:lang w:val="en-US" w:eastAsia="zh-CN"/>
              </w:rPr>
              <w:t>.00</w:t>
            </w:r>
            <w:r>
              <w:rPr>
                <w:rFonts w:hint="eastAsia" w:ascii="宋体" w:hAnsi="宋体" w:cs="宋体"/>
                <w:bCs/>
                <w:szCs w:val="21"/>
              </w:rPr>
              <w:t>元</w:t>
            </w:r>
            <w:r>
              <w:rPr>
                <w:rFonts w:hint="eastAsia" w:ascii="宋体" w:hAnsi="宋体" w:cs="宋体"/>
                <w:bCs/>
                <w:szCs w:val="21"/>
                <w:lang w:val="en-US" w:eastAsia="zh-CN"/>
              </w:rPr>
              <w:t>/年</w:t>
            </w:r>
            <w:r>
              <w:rPr>
                <w:rFonts w:hint="eastAsia" w:ascii="宋体" w:hAnsi="宋体" w:cs="宋体"/>
                <w:bCs/>
                <w:szCs w:val="21"/>
              </w:rPr>
              <w:t>；投标报价超过最高</w:t>
            </w:r>
            <w:r>
              <w:rPr>
                <w:rFonts w:hint="eastAsia" w:ascii="宋体" w:hAnsi="宋体" w:cs="宋体"/>
                <w:bCs/>
                <w:szCs w:val="21"/>
                <w:lang w:val="en-US" w:eastAsia="zh-CN"/>
              </w:rPr>
              <w:t>总</w:t>
            </w:r>
            <w:r>
              <w:rPr>
                <w:rFonts w:hint="eastAsia" w:ascii="宋体" w:hAnsi="宋体" w:cs="宋体"/>
                <w:bCs/>
                <w:szCs w:val="21"/>
              </w:rPr>
              <w:t>限价</w:t>
            </w:r>
            <w:r>
              <w:rPr>
                <w:rFonts w:hint="eastAsia" w:ascii="宋体" w:hAnsi="宋体" w:cs="宋体"/>
                <w:bCs/>
                <w:szCs w:val="21"/>
                <w:lang w:val="en-US" w:eastAsia="zh-CN"/>
              </w:rPr>
              <w:t>或任一标项</w:t>
            </w:r>
            <w:r>
              <w:rPr>
                <w:rFonts w:hint="eastAsia" w:ascii="宋体" w:hAnsi="宋体" w:cs="宋体"/>
                <w:bCs/>
                <w:szCs w:val="21"/>
              </w:rPr>
              <w:t>最高限价的作无效标处理。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rPr>
                <w:rFonts w:ascii="宋体" w:hAnsi="宋体" w:cs="宋体"/>
                <w:bCs/>
                <w:szCs w:val="21"/>
              </w:rPr>
            </w:pPr>
            <w:r>
              <w:rPr>
                <w:rFonts w:hint="eastAsia" w:ascii="宋体" w:hAnsi="宋体" w:cs="宋体"/>
                <w:bCs/>
                <w:szCs w:val="21"/>
              </w:rPr>
              <w:t>采购单位</w:t>
            </w:r>
          </w:p>
        </w:tc>
        <w:tc>
          <w:tcPr>
            <w:tcW w:w="79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jc w:val="left"/>
              <w:rPr>
                <w:rFonts w:ascii="宋体" w:hAnsi="宋体" w:cs="宋体"/>
                <w:bCs/>
                <w:szCs w:val="21"/>
              </w:rPr>
            </w:pPr>
            <w:r>
              <w:rPr>
                <w:rFonts w:hint="eastAsia" w:ascii="宋体" w:hAnsi="宋体" w:cs="宋体"/>
                <w:bCs/>
                <w:szCs w:val="21"/>
              </w:rPr>
              <w:t xml:space="preserve">宁波市镇海区交通运输管理中心 </w:t>
            </w:r>
          </w:p>
        </w:tc>
      </w:tr>
    </w:tbl>
    <w:p>
      <w:pPr>
        <w:keepNext w:val="0"/>
        <w:keepLines w:val="0"/>
        <w:pageBreakBefore w:val="0"/>
        <w:kinsoku/>
        <w:wordWrap/>
        <w:overflowPunct/>
        <w:topLinePunct w:val="0"/>
        <w:bidi w:val="0"/>
        <w:spacing w:line="360" w:lineRule="auto"/>
        <w:ind w:left="0" w:leftChars="0" w:right="0" w:rightChars="0"/>
        <w:rPr>
          <w:rFonts w:ascii="宋体" w:hAnsi="宋体" w:cs="宋体"/>
          <w:szCs w:val="21"/>
        </w:rPr>
      </w:pPr>
    </w:p>
    <w:p>
      <w:pPr>
        <w:keepNext w:val="0"/>
        <w:keepLines w:val="0"/>
        <w:pageBreakBefore w:val="0"/>
        <w:kinsoku/>
        <w:wordWrap/>
        <w:overflowPunct/>
        <w:topLinePunct w:val="0"/>
        <w:bidi w:val="0"/>
        <w:spacing w:line="360" w:lineRule="auto"/>
        <w:ind w:left="0" w:leftChars="0" w:right="0" w:rightChars="0"/>
        <w:rPr>
          <w:rFonts w:ascii="宋体" w:hAnsi="宋体" w:cs="宋体"/>
          <w:b/>
          <w:szCs w:val="21"/>
        </w:rPr>
      </w:pPr>
      <w:r>
        <w:rPr>
          <w:rFonts w:hint="eastAsia" w:ascii="宋体" w:hAnsi="宋体" w:cs="宋体"/>
          <w:b/>
          <w:szCs w:val="21"/>
        </w:rPr>
        <w:t>二、商务要求表</w:t>
      </w:r>
      <w:r>
        <w:rPr>
          <w:rFonts w:hint="eastAsia" w:ascii="宋体" w:hAnsi="宋体" w:cs="宋体"/>
          <w:szCs w:val="21"/>
        </w:rPr>
        <w:t>（适用标项1,2）</w:t>
      </w:r>
    </w:p>
    <w:tbl>
      <w:tblPr>
        <w:tblStyle w:val="19"/>
        <w:tblW w:w="956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7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rPr>
                <w:rFonts w:ascii="宋体" w:hAnsi="宋体" w:cs="宋体"/>
                <w:color w:val="auto"/>
                <w:szCs w:val="21"/>
              </w:rPr>
            </w:pPr>
            <w:r>
              <w:rPr>
                <w:rFonts w:hint="eastAsia" w:ascii="宋体" w:hAnsi="宋体" w:cs="宋体"/>
                <w:color w:val="auto"/>
                <w:szCs w:val="21"/>
              </w:rPr>
              <w:t>*服务期限</w:t>
            </w:r>
          </w:p>
        </w:tc>
        <w:tc>
          <w:tcPr>
            <w:tcW w:w="7997"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360" w:lineRule="auto"/>
              <w:ind w:left="0" w:leftChars="0" w:right="0" w:rightChars="0"/>
              <w:rPr>
                <w:rFonts w:ascii="宋体" w:hAnsi="宋体" w:cs="宋体"/>
                <w:color w:val="auto"/>
                <w:sz w:val="21"/>
                <w:szCs w:val="21"/>
              </w:rPr>
            </w:pPr>
            <w:r>
              <w:rPr>
                <w:rFonts w:hint="eastAsia" w:ascii="宋体" w:hAnsi="宋体" w:cs="宋体"/>
                <w:color w:val="auto"/>
                <w:sz w:val="21"/>
                <w:szCs w:val="21"/>
              </w:rPr>
              <w:t>自合同签订生效之日起一年；一年期满后经采购人审核后，合同可续签一次，续签的合同期限为一年。后续合同的签订以采购人根据中标人在上一年度的合同履约及考核情况决定是否续签。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szCs w:val="21"/>
              </w:rPr>
              <w:t>*付款方式</w:t>
            </w:r>
          </w:p>
        </w:tc>
        <w:tc>
          <w:tcPr>
            <w:tcW w:w="7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pacing w:line="360" w:lineRule="auto"/>
              <w:ind w:left="0" w:leftChars="0" w:right="0" w:rightChars="0"/>
              <w:jc w:val="left"/>
              <w:rPr>
                <w:rFonts w:ascii="宋体" w:hAnsi="宋体" w:cs="宋体"/>
                <w:bCs/>
                <w:szCs w:val="21"/>
              </w:rPr>
            </w:pPr>
            <w:r>
              <w:rPr>
                <w:rFonts w:hint="eastAsia" w:ascii="宋体" w:hAnsi="宋体" w:cs="宋体"/>
                <w:bCs/>
                <w:szCs w:val="21"/>
              </w:rPr>
              <w:t>1、预付款：合同签订后7个工作日内支付至合同总价的40%。</w:t>
            </w:r>
          </w:p>
          <w:p>
            <w:pPr>
              <w:keepNext w:val="0"/>
              <w:keepLines w:val="0"/>
              <w:pageBreakBefore w:val="0"/>
              <w:widowControl/>
              <w:kinsoku/>
              <w:wordWrap/>
              <w:overflowPunct/>
              <w:topLinePunct w:val="0"/>
              <w:autoSpaceDE w:val="0"/>
              <w:autoSpaceDN w:val="0"/>
              <w:bidi w:val="0"/>
              <w:adjustRightInd w:val="0"/>
              <w:spacing w:line="360" w:lineRule="auto"/>
              <w:ind w:left="0" w:leftChars="0" w:right="0" w:rightChars="0"/>
              <w:jc w:val="left"/>
              <w:rPr>
                <w:rFonts w:ascii="宋体" w:hAnsi="宋体" w:cs="宋体"/>
                <w:bCs/>
                <w:szCs w:val="21"/>
              </w:rPr>
            </w:pPr>
            <w:r>
              <w:rPr>
                <w:rFonts w:hint="eastAsia" w:ascii="宋体" w:hAnsi="宋体" w:cs="宋体"/>
                <w:bCs/>
                <w:szCs w:val="21"/>
              </w:rPr>
              <w:t>2、合同签订后，每个季度末月25日之前支付合同总价的10% 。</w:t>
            </w:r>
          </w:p>
          <w:p>
            <w:pPr>
              <w:keepNext w:val="0"/>
              <w:keepLines w:val="0"/>
              <w:pageBreakBefore w:val="0"/>
              <w:widowControl/>
              <w:kinsoku/>
              <w:wordWrap/>
              <w:overflowPunct/>
              <w:topLinePunct w:val="0"/>
              <w:autoSpaceDE w:val="0"/>
              <w:autoSpaceDN w:val="0"/>
              <w:bidi w:val="0"/>
              <w:adjustRightInd w:val="0"/>
              <w:spacing w:line="360" w:lineRule="auto"/>
              <w:ind w:left="0" w:leftChars="0" w:right="0" w:rightChars="0"/>
              <w:jc w:val="left"/>
              <w:rPr>
                <w:rFonts w:ascii="宋体" w:hAnsi="宋体" w:cs="宋体"/>
                <w:szCs w:val="21"/>
              </w:rPr>
            </w:pPr>
            <w:r>
              <w:rPr>
                <w:rFonts w:hint="eastAsia" w:ascii="宋体" w:hAnsi="宋体" w:cs="宋体"/>
                <w:bCs/>
                <w:szCs w:val="21"/>
              </w:rPr>
              <w:t>3、尾款支付：运维服务期满后15个工作日内，支付剩余合同总价扣除考核总扣款金额后的款项。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szCs w:val="21"/>
              </w:rPr>
              <w:t>履约担保</w:t>
            </w:r>
          </w:p>
        </w:tc>
        <w:tc>
          <w:tcPr>
            <w:tcW w:w="7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val="0"/>
              <w:bidi w:val="0"/>
              <w:adjustRightInd w:val="0"/>
              <w:spacing w:line="360" w:lineRule="auto"/>
              <w:ind w:left="0" w:leftChars="0" w:right="0" w:rightChars="0"/>
              <w:jc w:val="left"/>
              <w:rPr>
                <w:rFonts w:ascii="宋体" w:hAnsi="宋体" w:cs="宋体"/>
                <w:szCs w:val="21"/>
              </w:rPr>
            </w:pPr>
            <w:r>
              <w:rPr>
                <w:rFonts w:hint="eastAsia" w:ascii="宋体" w:hAnsi="宋体" w:cs="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szCs w:val="21"/>
              </w:rPr>
              <w:t>培训</w:t>
            </w:r>
          </w:p>
        </w:tc>
        <w:tc>
          <w:tcPr>
            <w:tcW w:w="7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szCs w:val="21"/>
              </w:rPr>
              <w:t>要求供应商免费提供设备使用、运行维护的培训。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szCs w:val="21"/>
              </w:rPr>
              <w:t>服务要求</w:t>
            </w:r>
          </w:p>
        </w:tc>
        <w:tc>
          <w:tcPr>
            <w:tcW w:w="7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szCs w:val="21"/>
              </w:rPr>
              <w:t>服务的响应速度要求维修响应时间为投标人</w:t>
            </w:r>
            <w:r>
              <w:rPr>
                <w:rFonts w:hint="eastAsia" w:ascii="宋体" w:hAnsi="宋体" w:cs="宋体"/>
                <w:b/>
                <w:bCs/>
                <w:szCs w:val="21"/>
              </w:rPr>
              <w:t>接到采购方报修电话后，1小时内响应，维修工程师2小时内到达故障现场，一般故障4小时内解决。</w:t>
            </w:r>
            <w:r>
              <w:rPr>
                <w:rFonts w:hint="eastAsia" w:ascii="宋体" w:hAnsi="宋体" w:cs="宋体"/>
                <w:bCs/>
                <w:szCs w:val="21"/>
              </w:rPr>
              <w:t>否则投标人应提供相同设</w:t>
            </w:r>
            <w:r>
              <w:rPr>
                <w:rFonts w:hint="eastAsia" w:ascii="宋体" w:hAnsi="宋体" w:cs="宋体"/>
                <w:szCs w:val="21"/>
              </w:rPr>
              <w:t>备或不低于故障设备规格档次的备用设备供买方使用，直至故障设备修复；如果逾期未作出响应，采购方将自行采取必要的措施，投标人应承担由于故障所造成的全部损失，并由此产生风险和费用由采购人承担。</w:t>
            </w:r>
          </w:p>
        </w:tc>
      </w:tr>
    </w:tbl>
    <w:p>
      <w:pPr>
        <w:keepNext w:val="0"/>
        <w:keepLines w:val="0"/>
        <w:pageBreakBefore w:val="0"/>
        <w:widowControl/>
        <w:tabs>
          <w:tab w:val="left" w:pos="0"/>
        </w:tabs>
        <w:kinsoku/>
        <w:wordWrap/>
        <w:overflowPunct/>
        <w:topLinePunct w:val="0"/>
        <w:autoSpaceDE w:val="0"/>
        <w:autoSpaceDN w:val="0"/>
        <w:bidi w:val="0"/>
        <w:spacing w:line="360" w:lineRule="auto"/>
        <w:ind w:left="0" w:leftChars="0" w:right="0" w:rightChars="0"/>
        <w:textAlignment w:val="bottom"/>
        <w:rPr>
          <w:rFonts w:ascii="宋体" w:hAnsi="宋体" w:cs="宋体"/>
          <w:b/>
          <w:szCs w:val="21"/>
          <w:lang w:bidi="ar"/>
        </w:rPr>
      </w:pPr>
    </w:p>
    <w:p>
      <w:pPr>
        <w:keepNext w:val="0"/>
        <w:keepLines w:val="0"/>
        <w:pageBreakBefore w:val="0"/>
        <w:widowControl/>
        <w:numPr>
          <w:ilvl w:val="0"/>
          <w:numId w:val="1"/>
        </w:numPr>
        <w:tabs>
          <w:tab w:val="left" w:pos="0"/>
        </w:tabs>
        <w:kinsoku/>
        <w:wordWrap/>
        <w:overflowPunct/>
        <w:topLinePunct w:val="0"/>
        <w:autoSpaceDE w:val="0"/>
        <w:autoSpaceDN w:val="0"/>
        <w:bidi w:val="0"/>
        <w:spacing w:line="360" w:lineRule="auto"/>
        <w:ind w:left="0" w:leftChars="0" w:right="0" w:rightChars="0"/>
        <w:textAlignment w:val="bottom"/>
        <w:rPr>
          <w:rFonts w:ascii="宋体" w:hAnsi="宋体" w:cs="宋体"/>
          <w:b/>
          <w:szCs w:val="21"/>
          <w:lang w:bidi="ar"/>
        </w:rPr>
      </w:pPr>
      <w:r>
        <w:rPr>
          <w:rFonts w:hint="eastAsia" w:ascii="宋体" w:hAnsi="宋体" w:cs="宋体"/>
          <w:b/>
          <w:szCs w:val="21"/>
          <w:lang w:bidi="ar"/>
        </w:rPr>
        <w:t>招标需求（技术需求）</w:t>
      </w:r>
    </w:p>
    <w:p>
      <w:pPr>
        <w:pStyle w:val="10"/>
        <w:keepNext w:val="0"/>
        <w:keepLines w:val="0"/>
        <w:pageBreakBefore w:val="0"/>
        <w:kinsoku/>
        <w:wordWrap/>
        <w:overflowPunct/>
        <w:topLinePunct w:val="0"/>
        <w:bidi w:val="0"/>
        <w:snapToGrid w:val="0"/>
        <w:spacing w:before="0" w:beforeAutospacing="0" w:after="0" w:afterAutospacing="0" w:line="360" w:lineRule="auto"/>
        <w:ind w:left="0" w:leftChars="0" w:right="0" w:rightChars="0"/>
        <w:outlineLvl w:val="0"/>
        <w:rPr>
          <w:rFonts w:hAnsi="宋体" w:cs="宋体"/>
          <w:b/>
          <w:sz w:val="21"/>
          <w:szCs w:val="21"/>
        </w:rPr>
      </w:pPr>
      <w:r>
        <w:rPr>
          <w:rFonts w:hint="eastAsia" w:hAnsi="宋体" w:cs="宋体"/>
          <w:b/>
          <w:sz w:val="21"/>
          <w:szCs w:val="21"/>
        </w:rPr>
        <w:t xml:space="preserve">标项1：镇海区国省道数字公路运维项目招标需求 </w:t>
      </w:r>
    </w:p>
    <w:p>
      <w:pPr>
        <w:keepNext w:val="0"/>
        <w:keepLines w:val="0"/>
        <w:pageBreakBefore w:val="0"/>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szCs w:val="21"/>
        </w:rPr>
        <w:t>一、项目概况</w:t>
      </w:r>
    </w:p>
    <w:p>
      <w:pPr>
        <w:keepNext w:val="0"/>
        <w:keepLines w:val="0"/>
        <w:pageBreakBefore w:val="0"/>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szCs w:val="21"/>
        </w:rPr>
        <w:t>本次运维服务包含镇海区数字公路国省道外场设备运维、数字公路内场运维等。</w:t>
      </w:r>
    </w:p>
    <w:p>
      <w:pPr>
        <w:keepNext w:val="0"/>
        <w:keepLines w:val="0"/>
        <w:pageBreakBefore w:val="0"/>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szCs w:val="21"/>
        </w:rPr>
        <w:t>二、服务内容及要求</w:t>
      </w:r>
    </w:p>
    <w:p>
      <w:pPr>
        <w:keepNext w:val="0"/>
        <w:keepLines w:val="0"/>
        <w:pageBreakBefore w:val="0"/>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szCs w:val="21"/>
        </w:rPr>
        <w:t>本次运维服务内容包含镇海区数字公路国省道到期的外场设备运维服务、故障诊断服务、现场巡检服务、交调</w:t>
      </w:r>
      <w:r>
        <w:rPr>
          <w:rFonts w:ascii="宋体" w:hAnsi="宋体" w:cs="宋体"/>
          <w:szCs w:val="21"/>
        </w:rPr>
        <w:t>设备校对</w:t>
      </w:r>
      <w:r>
        <w:rPr>
          <w:rFonts w:hint="eastAsia" w:ascii="宋体" w:hAnsi="宋体" w:cs="宋体"/>
          <w:szCs w:val="21"/>
        </w:rPr>
        <w:t>等；内场运维、情报板改造等。</w:t>
      </w:r>
    </w:p>
    <w:p>
      <w:pPr>
        <w:keepNext w:val="0"/>
        <w:keepLines w:val="0"/>
        <w:pageBreakBefore w:val="0"/>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szCs w:val="21"/>
        </w:rPr>
        <w:t>（一）数量清单</w:t>
      </w:r>
    </w:p>
    <w:tbl>
      <w:tblPr>
        <w:tblStyle w:val="19"/>
        <w:tblW w:w="8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5673"/>
        <w:gridCol w:w="1211"/>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060" w:type="dxa"/>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b/>
                <w:szCs w:val="21"/>
              </w:rPr>
            </w:pPr>
            <w:r>
              <w:rPr>
                <w:rFonts w:hint="eastAsia" w:ascii="宋体" w:hAnsi="宋体" w:cs="宋体"/>
                <w:b/>
                <w:szCs w:val="21"/>
              </w:rPr>
              <w:t>序号</w:t>
            </w:r>
          </w:p>
        </w:tc>
        <w:tc>
          <w:tcPr>
            <w:tcW w:w="5673" w:type="dxa"/>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b/>
                <w:szCs w:val="21"/>
              </w:rPr>
            </w:pPr>
            <w:r>
              <w:rPr>
                <w:rFonts w:hint="eastAsia" w:ascii="宋体" w:hAnsi="宋体" w:cs="宋体"/>
                <w:b/>
                <w:szCs w:val="21"/>
              </w:rPr>
              <w:t>名称</w:t>
            </w:r>
          </w:p>
        </w:tc>
        <w:tc>
          <w:tcPr>
            <w:tcW w:w="1211" w:type="dxa"/>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b/>
                <w:szCs w:val="21"/>
              </w:rPr>
            </w:pPr>
            <w:r>
              <w:rPr>
                <w:rFonts w:hint="eastAsia" w:ascii="宋体" w:hAnsi="宋体" w:cs="宋体"/>
                <w:b/>
                <w:szCs w:val="21"/>
              </w:rPr>
              <w:t>数量</w:t>
            </w:r>
          </w:p>
        </w:tc>
        <w:tc>
          <w:tcPr>
            <w:tcW w:w="914" w:type="dxa"/>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b/>
                <w:szCs w:val="21"/>
              </w:rPr>
            </w:pPr>
            <w:r>
              <w:rPr>
                <w:rFonts w:hint="eastAsia" w:ascii="宋体" w:hAnsi="宋体" w:cs="宋体"/>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1060" w:type="dxa"/>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Cs w:val="21"/>
              </w:rPr>
            </w:pPr>
            <w:r>
              <w:rPr>
                <w:rFonts w:hint="eastAsia" w:ascii="宋体" w:hAnsi="宋体" w:cs="宋体"/>
                <w:szCs w:val="21"/>
              </w:rPr>
              <w:t>1</w:t>
            </w:r>
          </w:p>
        </w:tc>
        <w:tc>
          <w:tcPr>
            <w:tcW w:w="5673" w:type="dxa"/>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Cs w:val="21"/>
              </w:rPr>
            </w:pPr>
            <w:r>
              <w:rPr>
                <w:rFonts w:hint="eastAsia" w:ascii="宋体" w:hAnsi="宋体" w:cs="宋体"/>
                <w:szCs w:val="21"/>
              </w:rPr>
              <w:t>数字公路（国省道）外场设施及系统运维</w:t>
            </w:r>
          </w:p>
        </w:tc>
        <w:tc>
          <w:tcPr>
            <w:tcW w:w="1211" w:type="dxa"/>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Cs w:val="21"/>
              </w:rPr>
            </w:pPr>
            <w:r>
              <w:rPr>
                <w:rFonts w:hint="eastAsia" w:ascii="宋体" w:hAnsi="宋体" w:cs="宋体"/>
                <w:szCs w:val="21"/>
              </w:rPr>
              <w:t>1</w:t>
            </w:r>
          </w:p>
        </w:tc>
        <w:tc>
          <w:tcPr>
            <w:tcW w:w="914" w:type="dxa"/>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Cs w:val="21"/>
              </w:rPr>
            </w:pPr>
            <w:r>
              <w:rPr>
                <w:rFonts w:hint="eastAsia" w:ascii="宋体" w:hAnsi="宋体" w:cs="宋体"/>
                <w:szCs w:val="21"/>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jc w:val="center"/>
        </w:trPr>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Cs w:val="21"/>
              </w:rPr>
            </w:pPr>
            <w:r>
              <w:rPr>
                <w:rFonts w:hint="eastAsia" w:ascii="宋体" w:hAnsi="宋体" w:cs="宋体"/>
                <w:szCs w:val="21"/>
              </w:rPr>
              <w:t>2</w:t>
            </w:r>
          </w:p>
        </w:tc>
        <w:tc>
          <w:tcPr>
            <w:tcW w:w="5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Cs w:val="21"/>
              </w:rPr>
            </w:pPr>
            <w:r>
              <w:rPr>
                <w:rFonts w:hint="eastAsia" w:ascii="宋体" w:hAnsi="宋体" w:cs="宋体"/>
                <w:szCs w:val="21"/>
              </w:rPr>
              <w:t>数字公路内场设施及系统运维</w:t>
            </w:r>
          </w:p>
        </w:tc>
        <w:tc>
          <w:tcPr>
            <w:tcW w:w="12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Cs w:val="21"/>
              </w:rPr>
            </w:pPr>
            <w:r>
              <w:rPr>
                <w:rFonts w:hint="eastAsia" w:ascii="宋体" w:hAnsi="宋体" w:cs="宋体"/>
                <w:szCs w:val="21"/>
              </w:rPr>
              <w:t>1</w:t>
            </w:r>
          </w:p>
        </w:tc>
        <w:tc>
          <w:tcPr>
            <w:tcW w:w="9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Cs w:val="21"/>
              </w:rPr>
            </w:pPr>
            <w:r>
              <w:rPr>
                <w:rFonts w:hint="eastAsia" w:ascii="宋体" w:hAnsi="宋体" w:cs="宋体"/>
                <w:szCs w:val="21"/>
              </w:rPr>
              <w:t>批</w:t>
            </w:r>
          </w:p>
        </w:tc>
      </w:tr>
    </w:tbl>
    <w:p>
      <w:pPr>
        <w:keepNext w:val="0"/>
        <w:keepLines w:val="0"/>
        <w:pageBreakBefore w:val="0"/>
        <w:kinsoku/>
        <w:wordWrap/>
        <w:overflowPunct/>
        <w:topLinePunct w:val="0"/>
        <w:bidi w:val="0"/>
        <w:spacing w:line="360" w:lineRule="auto"/>
        <w:ind w:left="0" w:leftChars="0" w:right="0" w:rightChars="0"/>
        <w:rPr>
          <w:rFonts w:ascii="宋体" w:hAnsi="宋体" w:cs="宋体"/>
          <w:szCs w:val="21"/>
        </w:rPr>
      </w:pPr>
    </w:p>
    <w:p>
      <w:pPr>
        <w:keepNext w:val="0"/>
        <w:keepLines w:val="0"/>
        <w:pageBreakBefore w:val="0"/>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szCs w:val="21"/>
        </w:rPr>
        <w:t>（二）</w:t>
      </w:r>
      <w:r>
        <w:rPr>
          <w:rFonts w:hint="eastAsia" w:ascii="宋体" w:hAnsi="宋体" w:cs="宋体"/>
          <w:bCs/>
          <w:szCs w:val="21"/>
        </w:rPr>
        <w:t>宁波市镇海区交通运输管理中心国省道</w:t>
      </w:r>
      <w:r>
        <w:rPr>
          <w:rFonts w:hint="eastAsia" w:ascii="宋体" w:hAnsi="宋体" w:cs="宋体"/>
          <w:szCs w:val="21"/>
        </w:rPr>
        <w:t>外场设施</w:t>
      </w:r>
    </w:p>
    <w:tbl>
      <w:tblPr>
        <w:tblStyle w:val="19"/>
        <w:tblW w:w="9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27"/>
        <w:gridCol w:w="1745"/>
        <w:gridCol w:w="4696"/>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4" w:hRule="atLeast"/>
          <w:jc w:val="center"/>
        </w:trPr>
        <w:tc>
          <w:tcPr>
            <w:tcW w:w="1127"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序号</w:t>
            </w:r>
          </w:p>
        </w:tc>
        <w:tc>
          <w:tcPr>
            <w:tcW w:w="1745"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线路名称</w:t>
            </w:r>
          </w:p>
        </w:tc>
        <w:tc>
          <w:tcPr>
            <w:tcW w:w="4696"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桩号及位置</w:t>
            </w:r>
          </w:p>
        </w:tc>
        <w:tc>
          <w:tcPr>
            <w:tcW w:w="151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设备类别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jc w:val="center"/>
        </w:trPr>
        <w:tc>
          <w:tcPr>
            <w:tcW w:w="1127" w:type="dxa"/>
            <w:shd w:val="clear" w:color="auto" w:fill="auto"/>
            <w:vAlign w:val="center"/>
          </w:tcPr>
          <w:p>
            <w:pPr>
              <w:pStyle w:val="24"/>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kern w:val="0"/>
                <w:sz w:val="21"/>
                <w:szCs w:val="21"/>
              </w:rPr>
            </w:pPr>
          </w:p>
        </w:tc>
        <w:tc>
          <w:tcPr>
            <w:tcW w:w="174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rPr>
              <w:t>S307北上线</w:t>
            </w:r>
          </w:p>
        </w:tc>
        <w:tc>
          <w:tcPr>
            <w:tcW w:w="46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rPr>
              <w:t>S307北上线48K+230(镇海区蛟川街道禾丰村)</w:t>
            </w:r>
          </w:p>
        </w:tc>
        <w:tc>
          <w:tcPr>
            <w:tcW w:w="1519"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固定监控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S306镇萧线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S306镇萧线0K+670（镇海区骆驼街道尚志村）</w:t>
            </w:r>
          </w:p>
        </w:tc>
        <w:tc>
          <w:tcPr>
            <w:tcW w:w="151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固定监控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S307北上线46K+230（镇海区蛟川街道迎周村）</w:t>
            </w:r>
          </w:p>
        </w:tc>
        <w:tc>
          <w:tcPr>
            <w:tcW w:w="151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固定监控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S307北上线43K+530（镇海区蛟川街道石塘下村）</w:t>
            </w:r>
          </w:p>
        </w:tc>
        <w:tc>
          <w:tcPr>
            <w:tcW w:w="151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固定监控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G329舟鲁线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G329舟鲁线151k+700（镇海区九龙湖镇五墓园）</w:t>
            </w:r>
          </w:p>
        </w:tc>
        <w:tc>
          <w:tcPr>
            <w:tcW w:w="151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固定监控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G329舟鲁线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G329舟鲁线150k+400（镇海区九龙湖镇勤山村）</w:t>
            </w:r>
          </w:p>
        </w:tc>
        <w:tc>
          <w:tcPr>
            <w:tcW w:w="151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固定监控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G329舟鲁线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G329舟鲁线144k+000（镇海区骆驼街道胜光村）</w:t>
            </w:r>
          </w:p>
        </w:tc>
        <w:tc>
          <w:tcPr>
            <w:tcW w:w="1519"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固定监控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G329舟鲁线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G329舟鲁线149k+500(镇海区九龙湖镇河头村)</w:t>
            </w:r>
          </w:p>
        </w:tc>
        <w:tc>
          <w:tcPr>
            <w:tcW w:w="151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固定监控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S307北上线57K+130(镇海区九龙湖镇田胡村)</w:t>
            </w:r>
          </w:p>
        </w:tc>
        <w:tc>
          <w:tcPr>
            <w:tcW w:w="151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固定监控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S307北上线55K+530（镇海区骆驼街道骆驼村）</w:t>
            </w:r>
          </w:p>
        </w:tc>
        <w:tc>
          <w:tcPr>
            <w:tcW w:w="151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固定监控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S307北上线58K+430（镇海区九龙湖镇邵家汇村）</w:t>
            </w:r>
          </w:p>
        </w:tc>
        <w:tc>
          <w:tcPr>
            <w:tcW w:w="151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固定监控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S307北上线41K+830(镇海区招宝山街道涨鑑碶村)</w:t>
            </w:r>
          </w:p>
        </w:tc>
        <w:tc>
          <w:tcPr>
            <w:tcW w:w="151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固定监控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S307北上线40K+830(北仑区小港街道衙门前村)</w:t>
            </w:r>
          </w:p>
        </w:tc>
        <w:tc>
          <w:tcPr>
            <w:tcW w:w="151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固定监控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S306镇萧线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S306镇萧线2k+200（镇海区骆驼街道清水湖）</w:t>
            </w:r>
          </w:p>
        </w:tc>
        <w:tc>
          <w:tcPr>
            <w:tcW w:w="151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固定监控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S307北上线44K+430(镇海区蛟川街道中一村)</w:t>
            </w:r>
          </w:p>
        </w:tc>
        <w:tc>
          <w:tcPr>
            <w:tcW w:w="151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固定监控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S307北上线43K+330(镇海区蛟川街道中一村)</w:t>
            </w:r>
          </w:p>
        </w:tc>
        <w:tc>
          <w:tcPr>
            <w:tcW w:w="151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固定监控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S202嘉象线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S202嘉象线171K+900（镇海区蛟川街道禾丰村）</w:t>
            </w:r>
          </w:p>
        </w:tc>
        <w:tc>
          <w:tcPr>
            <w:tcW w:w="151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固定监控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G329舟鲁线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G329舟鲁线142k+800(镇海区骆驼街道胜光村)</w:t>
            </w:r>
          </w:p>
        </w:tc>
        <w:tc>
          <w:tcPr>
            <w:tcW w:w="151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固定监控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S307北上线57K+800（镇海区九龙湖镇邵家汇村）</w:t>
            </w:r>
          </w:p>
        </w:tc>
        <w:tc>
          <w:tcPr>
            <w:tcW w:w="151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固定监控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sz w:val="21"/>
                <w:szCs w:val="21"/>
              </w:rPr>
            </w:pPr>
            <w:r>
              <w:rPr>
                <w:rFonts w:hint="eastAsia" w:ascii="宋体" w:hAnsi="宋体" w:eastAsia="宋体" w:cs="宋体"/>
                <w:color w:val="000000"/>
                <w:sz w:val="21"/>
                <w:szCs w:val="21"/>
              </w:rPr>
              <w:t>S306镇萧线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S306镇萧线6k+700(镇海区蟹浦镇余严村)</w:t>
            </w:r>
          </w:p>
        </w:tc>
        <w:tc>
          <w:tcPr>
            <w:tcW w:w="151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固定监控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sz w:val="21"/>
                <w:szCs w:val="21"/>
              </w:rPr>
            </w:pPr>
            <w:r>
              <w:rPr>
                <w:rFonts w:hint="eastAsia" w:ascii="宋体" w:hAnsi="宋体" w:eastAsia="宋体" w:cs="宋体"/>
                <w:color w:val="000000"/>
                <w:sz w:val="21"/>
                <w:szCs w:val="21"/>
              </w:rPr>
              <w:t>S306镇萧线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S306镇萧线2k+200（镇海区骆驼街道清水湖）</w:t>
            </w:r>
          </w:p>
        </w:tc>
        <w:tc>
          <w:tcPr>
            <w:tcW w:w="151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rPr>
              <w:t>情报板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S307北上线52K+930(镇海区骆驼街道董家畈村)</w:t>
            </w:r>
          </w:p>
        </w:tc>
        <w:tc>
          <w:tcPr>
            <w:tcW w:w="1519"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情报板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S307北上线44K+330(镇海区蛟川街道石塘下村)</w:t>
            </w:r>
          </w:p>
        </w:tc>
        <w:tc>
          <w:tcPr>
            <w:tcW w:w="1519"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情报板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S307北上线43K+530(镇海区蛟川街道石塘下村)</w:t>
            </w:r>
          </w:p>
        </w:tc>
        <w:tc>
          <w:tcPr>
            <w:tcW w:w="1519"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情报板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G329舟鲁线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G329舟鲁线151k+600（镇海区九龙湖镇五墓园）</w:t>
            </w:r>
          </w:p>
        </w:tc>
        <w:tc>
          <w:tcPr>
            <w:tcW w:w="1519"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情报板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S202嘉象线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S202嘉象线171K+900(镇海区蛟川街道陈家村)</w:t>
            </w:r>
          </w:p>
        </w:tc>
        <w:tc>
          <w:tcPr>
            <w:tcW w:w="1519"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情报板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G329舟鲁线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G329舟鲁线142k+800（镇海区九龙湖镇田胡村）</w:t>
            </w:r>
          </w:p>
        </w:tc>
        <w:tc>
          <w:tcPr>
            <w:tcW w:w="1519"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情报板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S307北上线57K+800(镇海区九龙湖镇田胡村)</w:t>
            </w:r>
          </w:p>
        </w:tc>
        <w:tc>
          <w:tcPr>
            <w:tcW w:w="1519"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情报板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sz w:val="21"/>
                <w:szCs w:val="21"/>
              </w:rPr>
            </w:pPr>
            <w:r>
              <w:rPr>
                <w:rFonts w:hint="eastAsia" w:ascii="宋体" w:hAnsi="宋体" w:eastAsia="宋体" w:cs="宋体"/>
                <w:color w:val="000000"/>
                <w:sz w:val="21"/>
                <w:szCs w:val="21"/>
              </w:rPr>
              <w:t>G329舟鲁线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G329舟鲁线149k+800</w:t>
            </w:r>
          </w:p>
        </w:tc>
        <w:tc>
          <w:tcPr>
            <w:tcW w:w="1519"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交调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sz w:val="21"/>
                <w:szCs w:val="21"/>
              </w:rPr>
            </w:pPr>
            <w:r>
              <w:rPr>
                <w:rFonts w:hint="eastAsia" w:ascii="宋体" w:hAnsi="宋体" w:eastAsia="宋体" w:cs="宋体"/>
                <w:color w:val="000000"/>
                <w:sz w:val="21"/>
                <w:szCs w:val="21"/>
              </w:rPr>
              <w:t>G329舟鲁线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G329舟鲁线142k+800</w:t>
            </w:r>
          </w:p>
        </w:tc>
        <w:tc>
          <w:tcPr>
            <w:tcW w:w="1519"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交调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S307北上线52K+800</w:t>
            </w:r>
          </w:p>
        </w:tc>
        <w:tc>
          <w:tcPr>
            <w:tcW w:w="1519"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交调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sz w:val="21"/>
                <w:szCs w:val="21"/>
              </w:rPr>
            </w:pPr>
            <w:r>
              <w:rPr>
                <w:rFonts w:hint="eastAsia" w:ascii="宋体" w:hAnsi="宋体" w:eastAsia="宋体" w:cs="宋体"/>
                <w:color w:val="000000"/>
                <w:sz w:val="21"/>
                <w:szCs w:val="21"/>
              </w:rPr>
              <w:t>S307北上线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S307北上线43K+530</w:t>
            </w:r>
          </w:p>
        </w:tc>
        <w:tc>
          <w:tcPr>
            <w:tcW w:w="1519"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交调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sz w:val="21"/>
                <w:szCs w:val="21"/>
              </w:rPr>
            </w:pPr>
            <w:r>
              <w:rPr>
                <w:rFonts w:hint="eastAsia" w:ascii="宋体" w:hAnsi="宋体" w:eastAsia="宋体" w:cs="宋体"/>
                <w:color w:val="000000"/>
                <w:sz w:val="21"/>
                <w:szCs w:val="21"/>
              </w:rPr>
              <w:t>S307北上线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S307北上线40K+900</w:t>
            </w:r>
          </w:p>
        </w:tc>
        <w:tc>
          <w:tcPr>
            <w:tcW w:w="1519"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交调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sz w:val="21"/>
                <w:szCs w:val="21"/>
              </w:rPr>
            </w:pPr>
            <w:r>
              <w:rPr>
                <w:rFonts w:hint="eastAsia" w:ascii="宋体" w:hAnsi="宋体" w:eastAsia="宋体" w:cs="宋体"/>
                <w:color w:val="000000"/>
                <w:sz w:val="21"/>
                <w:szCs w:val="21"/>
              </w:rPr>
              <w:t>S307北上线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S307北上线48K+800</w:t>
            </w:r>
          </w:p>
        </w:tc>
        <w:tc>
          <w:tcPr>
            <w:tcW w:w="1519"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交调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sz w:val="21"/>
                <w:szCs w:val="21"/>
              </w:rPr>
            </w:pPr>
            <w:r>
              <w:rPr>
                <w:rFonts w:hint="eastAsia" w:ascii="宋体" w:hAnsi="宋体" w:eastAsia="宋体" w:cs="宋体"/>
                <w:color w:val="000000"/>
                <w:sz w:val="21"/>
                <w:szCs w:val="21"/>
              </w:rPr>
              <w:t>S307北上线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S307北上线57K+800</w:t>
            </w:r>
          </w:p>
        </w:tc>
        <w:tc>
          <w:tcPr>
            <w:tcW w:w="1519"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交调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jc w:val="center"/>
        </w:trPr>
        <w:tc>
          <w:tcPr>
            <w:tcW w:w="1127" w:type="dxa"/>
            <w:shd w:val="clear" w:color="auto" w:fill="auto"/>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S202嘉象线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S202嘉象线171K+100</w:t>
            </w:r>
          </w:p>
        </w:tc>
        <w:tc>
          <w:tcPr>
            <w:tcW w:w="1519"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交调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9" w:hRule="atLeast"/>
          <w:jc w:val="center"/>
        </w:trPr>
        <w:tc>
          <w:tcPr>
            <w:tcW w:w="1127" w:type="dxa"/>
            <w:shd w:val="clear" w:color="000000" w:fill="FFFFFF"/>
            <w:vAlign w:val="center"/>
          </w:tcPr>
          <w:p>
            <w:pPr>
              <w:pStyle w:val="24"/>
              <w:keepNext w:val="0"/>
              <w:keepLines w:val="0"/>
              <w:pageBreakBefore w:val="0"/>
              <w:numPr>
                <w:ilvl w:val="0"/>
                <w:numId w:val="2"/>
              </w:numPr>
              <w:kinsoku/>
              <w:wordWrap/>
              <w:overflowPunct/>
              <w:topLinePunct w:val="0"/>
              <w:autoSpaceDE/>
              <w:autoSpaceDN/>
              <w:bidi w:val="0"/>
              <w:adjustRightInd/>
              <w:snapToGrid/>
              <w:spacing w:line="360" w:lineRule="auto"/>
              <w:ind w:left="0" w:leftChars="0" w:right="0" w:rightChars="0" w:firstLineChars="0"/>
              <w:jc w:val="center"/>
              <w:rPr>
                <w:rFonts w:hint="eastAsia" w:ascii="宋体" w:hAnsi="宋体" w:eastAsia="宋体" w:cs="宋体"/>
                <w:color w:val="000000"/>
                <w:sz w:val="21"/>
                <w:szCs w:val="21"/>
              </w:rPr>
            </w:pPr>
          </w:p>
        </w:tc>
        <w:tc>
          <w:tcPr>
            <w:tcW w:w="1745" w:type="dxa"/>
            <w:shd w:val="clear" w:color="000000" w:fill="FFFFFF"/>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sz w:val="21"/>
                <w:szCs w:val="21"/>
              </w:rPr>
            </w:pPr>
            <w:r>
              <w:rPr>
                <w:rFonts w:hint="eastAsia" w:ascii="宋体" w:hAnsi="宋体" w:eastAsia="宋体" w:cs="宋体"/>
                <w:color w:val="000000"/>
                <w:sz w:val="21"/>
                <w:szCs w:val="21"/>
              </w:rPr>
              <w:t>S306镇萧线</w:t>
            </w:r>
          </w:p>
        </w:tc>
        <w:tc>
          <w:tcPr>
            <w:tcW w:w="4696"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S306镇萧线5k+800</w:t>
            </w:r>
          </w:p>
        </w:tc>
        <w:tc>
          <w:tcPr>
            <w:tcW w:w="1519" w:type="dxa"/>
            <w:shd w:val="clear" w:color="000000" w:fill="FFFFFF"/>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rPr>
              <w:t>交调</w:t>
            </w:r>
          </w:p>
        </w:tc>
      </w:tr>
    </w:tbl>
    <w:p>
      <w:pPr>
        <w:keepNext w:val="0"/>
        <w:keepLines w:val="0"/>
        <w:pageBreakBefore w:val="0"/>
        <w:widowControl/>
        <w:kinsoku/>
        <w:wordWrap/>
        <w:overflowPunct/>
        <w:topLinePunct w:val="0"/>
        <w:bidi w:val="0"/>
        <w:spacing w:line="360" w:lineRule="auto"/>
        <w:ind w:left="0" w:leftChars="0" w:right="0" w:rightChars="0" w:firstLine="315" w:firstLineChars="150"/>
        <w:jc w:val="left"/>
        <w:textAlignment w:val="center"/>
        <w:rPr>
          <w:rFonts w:hint="eastAsia" w:ascii="宋体" w:hAnsi="宋体" w:cs="宋体"/>
          <w:szCs w:val="21"/>
        </w:rPr>
      </w:pPr>
    </w:p>
    <w:p>
      <w:pPr>
        <w:keepNext w:val="0"/>
        <w:keepLines w:val="0"/>
        <w:pageBreakBefore w:val="0"/>
        <w:widowControl/>
        <w:kinsoku/>
        <w:wordWrap/>
        <w:overflowPunct/>
        <w:topLinePunct w:val="0"/>
        <w:bidi w:val="0"/>
        <w:spacing w:line="360" w:lineRule="auto"/>
        <w:ind w:left="0" w:leftChars="0" w:right="0" w:rightChars="0"/>
        <w:jc w:val="left"/>
        <w:textAlignment w:val="center"/>
        <w:rPr>
          <w:rFonts w:ascii="宋体" w:hAnsi="宋体" w:cs="宋体"/>
          <w:b/>
          <w:kern w:val="0"/>
          <w:szCs w:val="21"/>
        </w:rPr>
      </w:pPr>
      <w:r>
        <w:rPr>
          <w:rFonts w:hint="eastAsia" w:ascii="宋体" w:hAnsi="宋体" w:cs="宋体"/>
          <w:szCs w:val="21"/>
        </w:rPr>
        <w:t>（三）数字公路内场设施</w:t>
      </w:r>
    </w:p>
    <w:tbl>
      <w:tblPr>
        <w:tblStyle w:val="27"/>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4492"/>
        <w:gridCol w:w="1049"/>
        <w:gridCol w:w="1404"/>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013"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b/>
                <w:kern w:val="0"/>
                <w:szCs w:val="21"/>
              </w:rPr>
            </w:pPr>
            <w:r>
              <w:rPr>
                <w:rFonts w:hint="eastAsia" w:ascii="宋体" w:hAnsi="宋体" w:cs="宋体"/>
                <w:b/>
                <w:kern w:val="0"/>
                <w:szCs w:val="21"/>
              </w:rPr>
              <w:t>序号</w:t>
            </w:r>
          </w:p>
        </w:tc>
        <w:tc>
          <w:tcPr>
            <w:tcW w:w="4492"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b/>
                <w:kern w:val="0"/>
                <w:szCs w:val="21"/>
              </w:rPr>
            </w:pPr>
            <w:r>
              <w:rPr>
                <w:rFonts w:hint="eastAsia" w:ascii="宋体" w:hAnsi="宋体" w:cs="宋体"/>
                <w:b/>
                <w:kern w:val="0"/>
                <w:szCs w:val="21"/>
              </w:rPr>
              <w:t>产品名称</w:t>
            </w:r>
          </w:p>
        </w:tc>
        <w:tc>
          <w:tcPr>
            <w:tcW w:w="1049"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b/>
                <w:kern w:val="0"/>
                <w:szCs w:val="21"/>
              </w:rPr>
            </w:pPr>
            <w:r>
              <w:rPr>
                <w:rFonts w:hint="eastAsia" w:ascii="宋体" w:hAnsi="宋体" w:cs="宋体"/>
                <w:b/>
                <w:kern w:val="0"/>
                <w:szCs w:val="21"/>
              </w:rPr>
              <w:t>数量</w:t>
            </w:r>
          </w:p>
        </w:tc>
        <w:tc>
          <w:tcPr>
            <w:tcW w:w="1404"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b/>
                <w:kern w:val="0"/>
                <w:szCs w:val="21"/>
              </w:rPr>
            </w:pPr>
            <w:r>
              <w:rPr>
                <w:rFonts w:hint="eastAsia" w:ascii="宋体" w:hAnsi="宋体" w:cs="宋体"/>
                <w:b/>
                <w:kern w:val="0"/>
                <w:szCs w:val="21"/>
              </w:rPr>
              <w:t>单位</w:t>
            </w:r>
          </w:p>
        </w:tc>
        <w:tc>
          <w:tcPr>
            <w:tcW w:w="1045"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13"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1</w:t>
            </w:r>
          </w:p>
        </w:tc>
        <w:tc>
          <w:tcPr>
            <w:tcW w:w="4492"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海康液晶拼接显示单元</w:t>
            </w:r>
          </w:p>
        </w:tc>
        <w:tc>
          <w:tcPr>
            <w:tcW w:w="1049"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12</w:t>
            </w:r>
          </w:p>
        </w:tc>
        <w:tc>
          <w:tcPr>
            <w:tcW w:w="1404"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套</w:t>
            </w:r>
          </w:p>
        </w:tc>
        <w:tc>
          <w:tcPr>
            <w:tcW w:w="1045"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13"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2</w:t>
            </w:r>
          </w:p>
        </w:tc>
        <w:tc>
          <w:tcPr>
            <w:tcW w:w="4492"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海康综合高清数字矩阵平台</w:t>
            </w:r>
          </w:p>
        </w:tc>
        <w:tc>
          <w:tcPr>
            <w:tcW w:w="1049"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1</w:t>
            </w:r>
          </w:p>
        </w:tc>
        <w:tc>
          <w:tcPr>
            <w:tcW w:w="1404"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套</w:t>
            </w:r>
          </w:p>
        </w:tc>
        <w:tc>
          <w:tcPr>
            <w:tcW w:w="1045"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13"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3</w:t>
            </w:r>
          </w:p>
        </w:tc>
        <w:tc>
          <w:tcPr>
            <w:tcW w:w="4492"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控制键盘</w:t>
            </w:r>
          </w:p>
        </w:tc>
        <w:tc>
          <w:tcPr>
            <w:tcW w:w="1049"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1</w:t>
            </w:r>
          </w:p>
        </w:tc>
        <w:tc>
          <w:tcPr>
            <w:tcW w:w="1404"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套</w:t>
            </w:r>
          </w:p>
        </w:tc>
        <w:tc>
          <w:tcPr>
            <w:tcW w:w="1045"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13"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4</w:t>
            </w:r>
          </w:p>
        </w:tc>
        <w:tc>
          <w:tcPr>
            <w:tcW w:w="4492"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海康视频资源管理平台软件</w:t>
            </w:r>
          </w:p>
        </w:tc>
        <w:tc>
          <w:tcPr>
            <w:tcW w:w="1049"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1</w:t>
            </w:r>
          </w:p>
        </w:tc>
        <w:tc>
          <w:tcPr>
            <w:tcW w:w="1404"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套</w:t>
            </w:r>
          </w:p>
        </w:tc>
        <w:tc>
          <w:tcPr>
            <w:tcW w:w="1045"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13"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5</w:t>
            </w:r>
          </w:p>
        </w:tc>
        <w:tc>
          <w:tcPr>
            <w:tcW w:w="4492"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管理控制计算机</w:t>
            </w:r>
          </w:p>
        </w:tc>
        <w:tc>
          <w:tcPr>
            <w:tcW w:w="1049"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6</w:t>
            </w:r>
          </w:p>
        </w:tc>
        <w:tc>
          <w:tcPr>
            <w:tcW w:w="1404"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台</w:t>
            </w:r>
          </w:p>
        </w:tc>
        <w:tc>
          <w:tcPr>
            <w:tcW w:w="1045"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13"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6</w:t>
            </w:r>
          </w:p>
        </w:tc>
        <w:tc>
          <w:tcPr>
            <w:tcW w:w="4492"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管理笔记本电脑</w:t>
            </w:r>
          </w:p>
        </w:tc>
        <w:tc>
          <w:tcPr>
            <w:tcW w:w="1049"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4</w:t>
            </w:r>
          </w:p>
        </w:tc>
        <w:tc>
          <w:tcPr>
            <w:tcW w:w="1404"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台</w:t>
            </w:r>
          </w:p>
        </w:tc>
        <w:tc>
          <w:tcPr>
            <w:tcW w:w="1045"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13"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7</w:t>
            </w:r>
          </w:p>
        </w:tc>
        <w:tc>
          <w:tcPr>
            <w:tcW w:w="4492"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室内双基色显示屏</w:t>
            </w:r>
          </w:p>
        </w:tc>
        <w:tc>
          <w:tcPr>
            <w:tcW w:w="1049"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1</w:t>
            </w:r>
          </w:p>
        </w:tc>
        <w:tc>
          <w:tcPr>
            <w:tcW w:w="1404"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套</w:t>
            </w:r>
          </w:p>
        </w:tc>
        <w:tc>
          <w:tcPr>
            <w:tcW w:w="1045"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13"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8</w:t>
            </w:r>
          </w:p>
        </w:tc>
        <w:tc>
          <w:tcPr>
            <w:tcW w:w="4492"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室内双基色显示屏</w:t>
            </w:r>
          </w:p>
        </w:tc>
        <w:tc>
          <w:tcPr>
            <w:tcW w:w="1049"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2</w:t>
            </w:r>
          </w:p>
        </w:tc>
        <w:tc>
          <w:tcPr>
            <w:tcW w:w="1404"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套</w:t>
            </w:r>
          </w:p>
        </w:tc>
        <w:tc>
          <w:tcPr>
            <w:tcW w:w="1045"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13"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9</w:t>
            </w:r>
          </w:p>
        </w:tc>
        <w:tc>
          <w:tcPr>
            <w:tcW w:w="4492"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UPS不间断供电系统</w:t>
            </w:r>
          </w:p>
        </w:tc>
        <w:tc>
          <w:tcPr>
            <w:tcW w:w="1049"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1</w:t>
            </w:r>
          </w:p>
        </w:tc>
        <w:tc>
          <w:tcPr>
            <w:tcW w:w="1404"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套</w:t>
            </w:r>
          </w:p>
        </w:tc>
        <w:tc>
          <w:tcPr>
            <w:tcW w:w="1045"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13"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10</w:t>
            </w:r>
          </w:p>
        </w:tc>
        <w:tc>
          <w:tcPr>
            <w:tcW w:w="4492"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精密空调</w:t>
            </w:r>
          </w:p>
        </w:tc>
        <w:tc>
          <w:tcPr>
            <w:tcW w:w="1049"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1</w:t>
            </w:r>
          </w:p>
        </w:tc>
        <w:tc>
          <w:tcPr>
            <w:tcW w:w="1404"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台</w:t>
            </w:r>
          </w:p>
        </w:tc>
        <w:tc>
          <w:tcPr>
            <w:tcW w:w="1045"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13"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11</w:t>
            </w:r>
          </w:p>
        </w:tc>
        <w:tc>
          <w:tcPr>
            <w:tcW w:w="4492"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流媒体服务器</w:t>
            </w:r>
          </w:p>
        </w:tc>
        <w:tc>
          <w:tcPr>
            <w:tcW w:w="1049"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1</w:t>
            </w:r>
          </w:p>
        </w:tc>
        <w:tc>
          <w:tcPr>
            <w:tcW w:w="1404"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台</w:t>
            </w:r>
          </w:p>
        </w:tc>
        <w:tc>
          <w:tcPr>
            <w:tcW w:w="1045"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13"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12</w:t>
            </w:r>
          </w:p>
        </w:tc>
        <w:tc>
          <w:tcPr>
            <w:tcW w:w="4492"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KVM</w:t>
            </w:r>
          </w:p>
        </w:tc>
        <w:tc>
          <w:tcPr>
            <w:tcW w:w="1049"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1</w:t>
            </w:r>
          </w:p>
        </w:tc>
        <w:tc>
          <w:tcPr>
            <w:tcW w:w="1404"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台</w:t>
            </w:r>
          </w:p>
        </w:tc>
        <w:tc>
          <w:tcPr>
            <w:tcW w:w="1045"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13"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13</w:t>
            </w:r>
          </w:p>
        </w:tc>
        <w:tc>
          <w:tcPr>
            <w:tcW w:w="4492"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中心集中式视频存储</w:t>
            </w:r>
          </w:p>
        </w:tc>
        <w:tc>
          <w:tcPr>
            <w:tcW w:w="1049"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1</w:t>
            </w:r>
          </w:p>
        </w:tc>
        <w:tc>
          <w:tcPr>
            <w:tcW w:w="1404"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台</w:t>
            </w:r>
          </w:p>
        </w:tc>
        <w:tc>
          <w:tcPr>
            <w:tcW w:w="1045"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13"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14</w:t>
            </w:r>
          </w:p>
        </w:tc>
        <w:tc>
          <w:tcPr>
            <w:tcW w:w="4492"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企业级存储硬盘</w:t>
            </w:r>
          </w:p>
        </w:tc>
        <w:tc>
          <w:tcPr>
            <w:tcW w:w="1049"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48</w:t>
            </w:r>
          </w:p>
        </w:tc>
        <w:tc>
          <w:tcPr>
            <w:tcW w:w="1404"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块</w:t>
            </w:r>
          </w:p>
        </w:tc>
        <w:tc>
          <w:tcPr>
            <w:tcW w:w="1045"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13"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15</w:t>
            </w:r>
          </w:p>
        </w:tc>
        <w:tc>
          <w:tcPr>
            <w:tcW w:w="4492"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核心交换机</w:t>
            </w:r>
          </w:p>
        </w:tc>
        <w:tc>
          <w:tcPr>
            <w:tcW w:w="1049"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1</w:t>
            </w:r>
          </w:p>
        </w:tc>
        <w:tc>
          <w:tcPr>
            <w:tcW w:w="1404"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台</w:t>
            </w:r>
          </w:p>
        </w:tc>
        <w:tc>
          <w:tcPr>
            <w:tcW w:w="1045"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13"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16</w:t>
            </w:r>
          </w:p>
        </w:tc>
        <w:tc>
          <w:tcPr>
            <w:tcW w:w="4492"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接入交换机</w:t>
            </w:r>
          </w:p>
        </w:tc>
        <w:tc>
          <w:tcPr>
            <w:tcW w:w="1049"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ascii="宋体" w:hAnsi="宋体" w:cs="宋体"/>
                <w:kern w:val="0"/>
                <w:szCs w:val="21"/>
              </w:rPr>
              <w:t>2</w:t>
            </w:r>
          </w:p>
        </w:tc>
        <w:tc>
          <w:tcPr>
            <w:tcW w:w="1404"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台</w:t>
            </w:r>
          </w:p>
        </w:tc>
        <w:tc>
          <w:tcPr>
            <w:tcW w:w="1045"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13"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17</w:t>
            </w:r>
          </w:p>
        </w:tc>
        <w:tc>
          <w:tcPr>
            <w:tcW w:w="4492"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安全网关设备</w:t>
            </w:r>
          </w:p>
        </w:tc>
        <w:tc>
          <w:tcPr>
            <w:tcW w:w="1049"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1</w:t>
            </w:r>
          </w:p>
        </w:tc>
        <w:tc>
          <w:tcPr>
            <w:tcW w:w="1404"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台</w:t>
            </w:r>
          </w:p>
        </w:tc>
        <w:tc>
          <w:tcPr>
            <w:tcW w:w="1045"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13"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18</w:t>
            </w:r>
          </w:p>
        </w:tc>
        <w:tc>
          <w:tcPr>
            <w:tcW w:w="4492"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视频</w:t>
            </w:r>
            <w:r>
              <w:rPr>
                <w:rFonts w:ascii="宋体" w:hAnsi="宋体" w:cs="宋体"/>
                <w:kern w:val="0"/>
                <w:szCs w:val="21"/>
              </w:rPr>
              <w:t>会议</w:t>
            </w:r>
            <w:r>
              <w:rPr>
                <w:rFonts w:hint="eastAsia" w:ascii="宋体" w:hAnsi="宋体" w:cs="宋体"/>
                <w:kern w:val="0"/>
                <w:szCs w:val="21"/>
              </w:rPr>
              <w:t>设备</w:t>
            </w:r>
          </w:p>
        </w:tc>
        <w:tc>
          <w:tcPr>
            <w:tcW w:w="1049"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1</w:t>
            </w:r>
          </w:p>
        </w:tc>
        <w:tc>
          <w:tcPr>
            <w:tcW w:w="1404"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套</w:t>
            </w:r>
          </w:p>
        </w:tc>
        <w:tc>
          <w:tcPr>
            <w:tcW w:w="1045"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13"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19</w:t>
            </w:r>
          </w:p>
        </w:tc>
        <w:tc>
          <w:tcPr>
            <w:tcW w:w="4492"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气体灭火装置</w:t>
            </w:r>
          </w:p>
        </w:tc>
        <w:tc>
          <w:tcPr>
            <w:tcW w:w="1049"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1</w:t>
            </w:r>
          </w:p>
        </w:tc>
        <w:tc>
          <w:tcPr>
            <w:tcW w:w="1404"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套</w:t>
            </w:r>
          </w:p>
        </w:tc>
        <w:tc>
          <w:tcPr>
            <w:tcW w:w="1045"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13"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20</w:t>
            </w:r>
          </w:p>
        </w:tc>
        <w:tc>
          <w:tcPr>
            <w:tcW w:w="4492"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机房视频监控</w:t>
            </w:r>
          </w:p>
        </w:tc>
        <w:tc>
          <w:tcPr>
            <w:tcW w:w="1049"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ascii="宋体" w:hAnsi="宋体" w:cs="宋体"/>
                <w:kern w:val="0"/>
                <w:szCs w:val="21"/>
              </w:rPr>
              <w:t>3</w:t>
            </w:r>
          </w:p>
        </w:tc>
        <w:tc>
          <w:tcPr>
            <w:tcW w:w="1404"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套</w:t>
            </w:r>
          </w:p>
        </w:tc>
        <w:tc>
          <w:tcPr>
            <w:tcW w:w="1045"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013"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21</w:t>
            </w:r>
          </w:p>
        </w:tc>
        <w:tc>
          <w:tcPr>
            <w:tcW w:w="4492"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日志</w:t>
            </w:r>
            <w:r>
              <w:rPr>
                <w:rFonts w:ascii="宋体" w:hAnsi="宋体" w:cs="宋体"/>
                <w:kern w:val="0"/>
                <w:szCs w:val="21"/>
              </w:rPr>
              <w:t>审计设备</w:t>
            </w:r>
          </w:p>
        </w:tc>
        <w:tc>
          <w:tcPr>
            <w:tcW w:w="1049"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1</w:t>
            </w:r>
          </w:p>
        </w:tc>
        <w:tc>
          <w:tcPr>
            <w:tcW w:w="1404"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r>
              <w:rPr>
                <w:rFonts w:hint="eastAsia" w:ascii="宋体" w:hAnsi="宋体" w:cs="宋体"/>
                <w:kern w:val="0"/>
                <w:szCs w:val="21"/>
              </w:rPr>
              <w:t>台</w:t>
            </w:r>
          </w:p>
        </w:tc>
        <w:tc>
          <w:tcPr>
            <w:tcW w:w="1045"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ascii="宋体" w:hAnsi="宋体" w:cs="宋体"/>
                <w:kern w:val="0"/>
                <w:szCs w:val="21"/>
              </w:rPr>
            </w:pPr>
          </w:p>
        </w:tc>
      </w:tr>
    </w:tbl>
    <w:p>
      <w:pPr>
        <w:keepNext w:val="0"/>
        <w:keepLines w:val="0"/>
        <w:pageBreakBefore w:val="0"/>
        <w:widowControl/>
        <w:kinsoku/>
        <w:wordWrap/>
        <w:overflowPunct/>
        <w:topLinePunct w:val="0"/>
        <w:bidi w:val="0"/>
        <w:spacing w:line="360" w:lineRule="auto"/>
        <w:ind w:left="0" w:leftChars="0" w:right="0" w:rightChars="0" w:firstLine="315" w:firstLineChars="150"/>
        <w:jc w:val="left"/>
        <w:textAlignment w:val="center"/>
        <w:rPr>
          <w:rFonts w:ascii="宋体" w:hAnsi="宋体" w:cs="宋体"/>
          <w:szCs w:val="21"/>
        </w:rPr>
      </w:pPr>
    </w:p>
    <w:p>
      <w:pPr>
        <w:keepNext w:val="0"/>
        <w:keepLines w:val="0"/>
        <w:pageBreakBefore w:val="0"/>
        <w:widowControl/>
        <w:kinsoku/>
        <w:wordWrap/>
        <w:overflowPunct/>
        <w:topLinePunct w:val="0"/>
        <w:bidi w:val="0"/>
        <w:spacing w:line="360" w:lineRule="auto"/>
        <w:ind w:left="0" w:leftChars="0" w:right="0" w:rightChars="0"/>
        <w:jc w:val="left"/>
        <w:textAlignment w:val="center"/>
        <w:rPr>
          <w:rFonts w:ascii="宋体" w:hAnsi="宋体" w:cs="宋体"/>
          <w:szCs w:val="21"/>
        </w:rPr>
      </w:pPr>
      <w:r>
        <w:rPr>
          <w:rFonts w:hint="eastAsia" w:ascii="宋体" w:hAnsi="宋体" w:cs="宋体"/>
          <w:szCs w:val="21"/>
        </w:rPr>
        <w:t>（四）主要维护内容</w:t>
      </w:r>
    </w:p>
    <w:p>
      <w:pPr>
        <w:keepNext w:val="0"/>
        <w:keepLines w:val="0"/>
        <w:pageBreakBefore w:val="0"/>
        <w:widowControl/>
        <w:kinsoku/>
        <w:wordWrap/>
        <w:overflowPunct/>
        <w:topLinePunct w:val="0"/>
        <w:bidi w:val="0"/>
        <w:spacing w:line="360" w:lineRule="auto"/>
        <w:ind w:left="0" w:leftChars="0" w:right="0" w:rightChars="0" w:firstLine="315" w:firstLineChars="150"/>
        <w:jc w:val="left"/>
        <w:textAlignment w:val="center"/>
        <w:rPr>
          <w:rFonts w:ascii="宋体" w:hAnsi="宋体" w:cs="宋体"/>
          <w:szCs w:val="21"/>
        </w:rPr>
      </w:pPr>
      <w:r>
        <w:rPr>
          <w:rFonts w:hint="eastAsia" w:ascii="宋体" w:hAnsi="宋体" w:cs="宋体"/>
          <w:szCs w:val="21"/>
        </w:rPr>
        <w:t>1、数字公路（国省道）外场设施及系统</w:t>
      </w:r>
    </w:p>
    <w:tbl>
      <w:tblPr>
        <w:tblStyle w:val="19"/>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2271"/>
        <w:gridCol w:w="4383"/>
        <w:gridCol w:w="1137"/>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37" w:type="dxa"/>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 w:val="18"/>
                <w:szCs w:val="18"/>
              </w:rPr>
            </w:pPr>
            <w:r>
              <w:rPr>
                <w:rFonts w:hint="eastAsia" w:ascii="宋体" w:hAnsi="宋体" w:cs="宋体"/>
                <w:sz w:val="18"/>
                <w:szCs w:val="18"/>
              </w:rPr>
              <w:t>序号</w:t>
            </w:r>
          </w:p>
        </w:tc>
        <w:tc>
          <w:tcPr>
            <w:tcW w:w="2271" w:type="dxa"/>
            <w:vAlign w:val="center"/>
          </w:tcPr>
          <w:p>
            <w:pPr>
              <w:keepNext w:val="0"/>
              <w:keepLines w:val="0"/>
              <w:pageBreakBefore w:val="0"/>
              <w:widowControl/>
              <w:kinsoku/>
              <w:wordWrap/>
              <w:overflowPunct/>
              <w:topLinePunct w:val="0"/>
              <w:bidi w:val="0"/>
              <w:spacing w:line="360" w:lineRule="auto"/>
              <w:ind w:left="0" w:leftChars="0" w:right="0" w:rightChars="0"/>
              <w:jc w:val="center"/>
              <w:rPr>
                <w:rFonts w:ascii="宋体" w:hAnsi="宋体" w:cs="宋体"/>
                <w:sz w:val="18"/>
                <w:szCs w:val="18"/>
              </w:rPr>
            </w:pPr>
            <w:r>
              <w:rPr>
                <w:rFonts w:hint="eastAsia" w:ascii="宋体" w:hAnsi="宋体" w:cs="宋体"/>
                <w:sz w:val="18"/>
                <w:szCs w:val="18"/>
              </w:rPr>
              <w:t>名称</w:t>
            </w:r>
          </w:p>
        </w:tc>
        <w:tc>
          <w:tcPr>
            <w:tcW w:w="4383" w:type="dxa"/>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 w:val="18"/>
                <w:szCs w:val="18"/>
              </w:rPr>
            </w:pPr>
            <w:r>
              <w:rPr>
                <w:rFonts w:hint="eastAsia" w:ascii="宋体" w:hAnsi="宋体" w:cs="宋体"/>
                <w:sz w:val="18"/>
                <w:szCs w:val="18"/>
                <w:lang w:val="zh-CN"/>
              </w:rPr>
              <w:t>主要维护内容</w:t>
            </w:r>
          </w:p>
        </w:tc>
        <w:tc>
          <w:tcPr>
            <w:tcW w:w="1137" w:type="dxa"/>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 w:val="18"/>
                <w:szCs w:val="18"/>
              </w:rPr>
            </w:pPr>
            <w:r>
              <w:rPr>
                <w:rFonts w:hint="eastAsia" w:ascii="宋体" w:hAnsi="宋体" w:cs="宋体"/>
                <w:sz w:val="18"/>
                <w:szCs w:val="18"/>
              </w:rPr>
              <w:t>数量</w:t>
            </w:r>
          </w:p>
        </w:tc>
        <w:tc>
          <w:tcPr>
            <w:tcW w:w="810" w:type="dxa"/>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 w:val="18"/>
                <w:szCs w:val="18"/>
              </w:rPr>
            </w:pPr>
            <w:r>
              <w:rPr>
                <w:rFonts w:hint="eastAsia" w:ascii="宋体" w:hAnsi="宋体" w:cs="宋体"/>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37" w:type="dxa"/>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 w:val="18"/>
                <w:szCs w:val="18"/>
              </w:rPr>
            </w:pPr>
            <w:r>
              <w:rPr>
                <w:rFonts w:hint="eastAsia" w:ascii="宋体" w:hAnsi="宋体" w:cs="宋体"/>
                <w:sz w:val="18"/>
                <w:szCs w:val="18"/>
              </w:rPr>
              <w:t>1</w:t>
            </w:r>
          </w:p>
        </w:tc>
        <w:tc>
          <w:tcPr>
            <w:tcW w:w="2271" w:type="dxa"/>
            <w:vAlign w:val="center"/>
          </w:tcPr>
          <w:p>
            <w:pPr>
              <w:keepNext w:val="0"/>
              <w:keepLines w:val="0"/>
              <w:pageBreakBefore w:val="0"/>
              <w:widowControl/>
              <w:kinsoku/>
              <w:wordWrap/>
              <w:overflowPunct/>
              <w:topLinePunct w:val="0"/>
              <w:bidi w:val="0"/>
              <w:spacing w:line="360" w:lineRule="auto"/>
              <w:ind w:left="0" w:leftChars="0" w:right="0" w:rightChars="0"/>
              <w:rPr>
                <w:rFonts w:ascii="宋体" w:hAnsi="宋体" w:cs="宋体"/>
                <w:sz w:val="18"/>
                <w:szCs w:val="18"/>
              </w:rPr>
            </w:pPr>
            <w:r>
              <w:rPr>
                <w:rFonts w:hint="eastAsia" w:ascii="宋体" w:hAnsi="宋体" w:cs="宋体"/>
                <w:sz w:val="18"/>
                <w:szCs w:val="18"/>
              </w:rPr>
              <w:t>固定视频监控</w:t>
            </w:r>
          </w:p>
        </w:tc>
        <w:tc>
          <w:tcPr>
            <w:tcW w:w="4383" w:type="dxa"/>
            <w:vAlign w:val="center"/>
          </w:tcPr>
          <w:p>
            <w:pPr>
              <w:keepNext w:val="0"/>
              <w:keepLines w:val="0"/>
              <w:pageBreakBefore w:val="0"/>
              <w:kinsoku/>
              <w:wordWrap/>
              <w:overflowPunct/>
              <w:topLinePunct w:val="0"/>
              <w:bidi w:val="0"/>
              <w:adjustRightInd w:val="0"/>
              <w:spacing w:line="360" w:lineRule="auto"/>
              <w:ind w:left="0" w:leftChars="0" w:right="0" w:rightChars="0"/>
              <w:textAlignment w:val="baseline"/>
              <w:rPr>
                <w:rFonts w:ascii="宋体" w:hAnsi="宋体" w:cs="宋体"/>
                <w:sz w:val="18"/>
                <w:szCs w:val="18"/>
              </w:rPr>
            </w:pPr>
            <w:r>
              <w:rPr>
                <w:rFonts w:hint="eastAsia" w:ascii="宋体" w:hAnsi="宋体" w:cs="宋体"/>
                <w:sz w:val="18"/>
                <w:szCs w:val="18"/>
              </w:rPr>
              <w:t>定期清洁摄像头镜头及周围环境；</w:t>
            </w:r>
          </w:p>
          <w:p>
            <w:pPr>
              <w:keepNext w:val="0"/>
              <w:keepLines w:val="0"/>
              <w:pageBreakBefore w:val="0"/>
              <w:kinsoku/>
              <w:wordWrap/>
              <w:overflowPunct/>
              <w:topLinePunct w:val="0"/>
              <w:bidi w:val="0"/>
              <w:adjustRightInd w:val="0"/>
              <w:spacing w:line="360" w:lineRule="auto"/>
              <w:ind w:left="0" w:leftChars="0" w:right="0" w:rightChars="0"/>
              <w:textAlignment w:val="baseline"/>
              <w:rPr>
                <w:rFonts w:ascii="宋体" w:hAnsi="宋体" w:cs="宋体"/>
                <w:sz w:val="18"/>
                <w:szCs w:val="18"/>
              </w:rPr>
            </w:pPr>
            <w:r>
              <w:rPr>
                <w:rFonts w:hint="eastAsia" w:ascii="宋体" w:hAnsi="宋体" w:cs="宋体"/>
                <w:sz w:val="18"/>
                <w:szCs w:val="18"/>
              </w:rPr>
              <w:t>定期检查摄像头功能；</w:t>
            </w:r>
          </w:p>
          <w:p>
            <w:pPr>
              <w:keepNext w:val="0"/>
              <w:keepLines w:val="0"/>
              <w:pageBreakBefore w:val="0"/>
              <w:kinsoku/>
              <w:wordWrap/>
              <w:overflowPunct/>
              <w:topLinePunct w:val="0"/>
              <w:bidi w:val="0"/>
              <w:adjustRightInd w:val="0"/>
              <w:spacing w:line="360" w:lineRule="auto"/>
              <w:ind w:left="0" w:leftChars="0" w:right="0" w:rightChars="0"/>
              <w:textAlignment w:val="baseline"/>
              <w:rPr>
                <w:rFonts w:ascii="宋体" w:hAnsi="宋体" w:cs="宋体"/>
                <w:sz w:val="18"/>
                <w:szCs w:val="18"/>
              </w:rPr>
            </w:pPr>
            <w:r>
              <w:rPr>
                <w:rFonts w:hint="eastAsia" w:ascii="宋体" w:hAnsi="宋体" w:cs="宋体"/>
                <w:sz w:val="18"/>
                <w:szCs w:val="18"/>
              </w:rPr>
              <w:t>定期检查电源及网络设备；</w:t>
            </w:r>
          </w:p>
          <w:p>
            <w:pPr>
              <w:keepNext w:val="0"/>
              <w:keepLines w:val="0"/>
              <w:pageBreakBefore w:val="0"/>
              <w:kinsoku/>
              <w:wordWrap/>
              <w:overflowPunct/>
              <w:topLinePunct w:val="0"/>
              <w:bidi w:val="0"/>
              <w:adjustRightInd w:val="0"/>
              <w:spacing w:line="360" w:lineRule="auto"/>
              <w:ind w:left="0" w:leftChars="0" w:right="0" w:rightChars="0"/>
              <w:textAlignment w:val="baseline"/>
              <w:rPr>
                <w:rFonts w:ascii="宋体" w:hAnsi="宋体" w:cs="宋体"/>
                <w:sz w:val="18"/>
                <w:szCs w:val="18"/>
              </w:rPr>
            </w:pPr>
            <w:r>
              <w:rPr>
                <w:rFonts w:hint="eastAsia" w:ascii="宋体" w:hAnsi="宋体" w:cs="宋体"/>
                <w:sz w:val="18"/>
                <w:szCs w:val="18"/>
              </w:rPr>
              <w:t>定期检查防雷和防雨措施；</w:t>
            </w:r>
            <w:r>
              <w:rPr>
                <w:rFonts w:ascii="宋体" w:hAnsi="宋体" w:cs="宋体"/>
                <w:sz w:val="18"/>
                <w:szCs w:val="18"/>
              </w:rPr>
              <w:br w:type="textWrapping"/>
            </w:r>
            <w:r>
              <w:rPr>
                <w:rFonts w:hint="eastAsia" w:ascii="宋体" w:hAnsi="宋体" w:cs="宋体"/>
                <w:sz w:val="18"/>
                <w:szCs w:val="18"/>
              </w:rPr>
              <w:t>每日检查前端与路网指挥中心网络联通；</w:t>
            </w:r>
          </w:p>
        </w:tc>
        <w:tc>
          <w:tcPr>
            <w:tcW w:w="1137" w:type="dxa"/>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 w:val="18"/>
                <w:szCs w:val="18"/>
              </w:rPr>
            </w:pPr>
            <w:r>
              <w:rPr>
                <w:rFonts w:ascii="宋体" w:hAnsi="宋体" w:cs="宋体"/>
                <w:sz w:val="18"/>
                <w:szCs w:val="18"/>
              </w:rPr>
              <w:t>20</w:t>
            </w:r>
          </w:p>
        </w:tc>
        <w:tc>
          <w:tcPr>
            <w:tcW w:w="810" w:type="dxa"/>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 w:val="18"/>
                <w:szCs w:val="18"/>
              </w:rPr>
            </w:pPr>
            <w:r>
              <w:rPr>
                <w:rFonts w:hint="eastAsia" w:ascii="宋体" w:hAnsi="宋体" w:cs="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 w:val="18"/>
                <w:szCs w:val="18"/>
              </w:rPr>
            </w:pPr>
            <w:r>
              <w:rPr>
                <w:rFonts w:hint="eastAsia" w:ascii="宋体" w:hAnsi="宋体" w:cs="宋体"/>
                <w:sz w:val="18"/>
                <w:szCs w:val="18"/>
              </w:rPr>
              <w:t>2</w:t>
            </w:r>
          </w:p>
        </w:tc>
        <w:tc>
          <w:tcPr>
            <w:tcW w:w="22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ind w:left="0" w:leftChars="0" w:right="0" w:rightChars="0"/>
              <w:rPr>
                <w:rFonts w:ascii="宋体" w:hAnsi="宋体" w:cs="宋体"/>
                <w:sz w:val="18"/>
                <w:szCs w:val="18"/>
              </w:rPr>
            </w:pPr>
            <w:r>
              <w:rPr>
                <w:rFonts w:hint="eastAsia" w:ascii="宋体" w:hAnsi="宋体" w:cs="宋体"/>
                <w:sz w:val="18"/>
                <w:szCs w:val="18"/>
              </w:rPr>
              <w:t>可变情报板</w:t>
            </w:r>
          </w:p>
        </w:tc>
        <w:tc>
          <w:tcPr>
            <w:tcW w:w="4383" w:type="dxa"/>
            <w:vAlign w:val="center"/>
          </w:tcPr>
          <w:p>
            <w:pPr>
              <w:keepNext w:val="0"/>
              <w:keepLines w:val="0"/>
              <w:pageBreakBefore w:val="0"/>
              <w:kinsoku/>
              <w:wordWrap/>
              <w:overflowPunct/>
              <w:topLinePunct w:val="0"/>
              <w:bidi w:val="0"/>
              <w:adjustRightInd w:val="0"/>
              <w:spacing w:line="360" w:lineRule="auto"/>
              <w:ind w:left="0" w:leftChars="0" w:right="0" w:rightChars="0"/>
              <w:textAlignment w:val="baseline"/>
              <w:rPr>
                <w:rFonts w:ascii="宋体" w:hAnsi="宋体" w:cs="宋体"/>
                <w:sz w:val="18"/>
                <w:szCs w:val="18"/>
              </w:rPr>
            </w:pPr>
            <w:r>
              <w:rPr>
                <w:rFonts w:hint="eastAsia" w:ascii="宋体" w:hAnsi="宋体" w:cs="宋体"/>
                <w:sz w:val="18"/>
                <w:szCs w:val="18"/>
              </w:rPr>
              <w:t>前端设备定期巡检；</w:t>
            </w:r>
          </w:p>
          <w:p>
            <w:pPr>
              <w:keepNext w:val="0"/>
              <w:keepLines w:val="0"/>
              <w:pageBreakBefore w:val="0"/>
              <w:kinsoku/>
              <w:wordWrap/>
              <w:overflowPunct/>
              <w:topLinePunct w:val="0"/>
              <w:bidi w:val="0"/>
              <w:adjustRightInd w:val="0"/>
              <w:spacing w:line="360" w:lineRule="auto"/>
              <w:ind w:left="0" w:leftChars="0" w:right="0" w:rightChars="0"/>
              <w:textAlignment w:val="baseline"/>
              <w:rPr>
                <w:rFonts w:ascii="宋体" w:hAnsi="宋体" w:cs="宋体"/>
                <w:sz w:val="18"/>
                <w:szCs w:val="18"/>
              </w:rPr>
            </w:pPr>
            <w:r>
              <w:rPr>
                <w:rFonts w:hint="eastAsia" w:ascii="宋体" w:hAnsi="宋体" w:cs="宋体"/>
                <w:sz w:val="18"/>
                <w:szCs w:val="18"/>
              </w:rPr>
              <w:t>检查防雷和防雨措施；</w:t>
            </w:r>
          </w:p>
          <w:p>
            <w:pPr>
              <w:keepNext w:val="0"/>
              <w:keepLines w:val="0"/>
              <w:pageBreakBefore w:val="0"/>
              <w:kinsoku/>
              <w:wordWrap/>
              <w:overflowPunct/>
              <w:topLinePunct w:val="0"/>
              <w:bidi w:val="0"/>
              <w:adjustRightInd w:val="0"/>
              <w:spacing w:line="360" w:lineRule="auto"/>
              <w:ind w:left="0" w:leftChars="0" w:right="0" w:rightChars="0"/>
              <w:textAlignment w:val="baseline"/>
              <w:rPr>
                <w:rFonts w:ascii="宋体" w:hAnsi="宋体" w:cs="宋体"/>
                <w:sz w:val="18"/>
                <w:szCs w:val="18"/>
              </w:rPr>
            </w:pPr>
            <w:r>
              <w:rPr>
                <w:rFonts w:hint="eastAsia" w:ascii="宋体" w:hAnsi="宋体" w:cs="宋体"/>
                <w:sz w:val="18"/>
                <w:szCs w:val="18"/>
              </w:rPr>
              <w:t>定期做情报板面板清洁；</w:t>
            </w:r>
          </w:p>
          <w:p>
            <w:pPr>
              <w:keepNext w:val="0"/>
              <w:keepLines w:val="0"/>
              <w:pageBreakBefore w:val="0"/>
              <w:kinsoku/>
              <w:wordWrap/>
              <w:overflowPunct/>
              <w:topLinePunct w:val="0"/>
              <w:bidi w:val="0"/>
              <w:adjustRightInd w:val="0"/>
              <w:spacing w:line="360" w:lineRule="auto"/>
              <w:ind w:left="0" w:leftChars="0" w:right="0" w:rightChars="0"/>
              <w:textAlignment w:val="baseline"/>
              <w:rPr>
                <w:rFonts w:ascii="宋体" w:hAnsi="宋体" w:cs="宋体"/>
                <w:sz w:val="18"/>
                <w:szCs w:val="18"/>
              </w:rPr>
            </w:pPr>
            <w:r>
              <w:rPr>
                <w:rFonts w:hint="eastAsia" w:ascii="宋体" w:hAnsi="宋体" w:cs="宋体"/>
                <w:sz w:val="18"/>
                <w:szCs w:val="18"/>
              </w:rPr>
              <w:t>定期检查屏体线路；</w:t>
            </w:r>
          </w:p>
          <w:p>
            <w:pPr>
              <w:keepNext w:val="0"/>
              <w:keepLines w:val="0"/>
              <w:pageBreakBefore w:val="0"/>
              <w:kinsoku/>
              <w:wordWrap/>
              <w:overflowPunct/>
              <w:topLinePunct w:val="0"/>
              <w:bidi w:val="0"/>
              <w:adjustRightInd w:val="0"/>
              <w:spacing w:line="360" w:lineRule="auto"/>
              <w:ind w:left="0" w:leftChars="0" w:right="0" w:rightChars="0"/>
              <w:textAlignment w:val="baseline"/>
              <w:rPr>
                <w:rFonts w:ascii="宋体" w:hAnsi="宋体" w:cs="宋体"/>
                <w:sz w:val="18"/>
                <w:szCs w:val="18"/>
              </w:rPr>
            </w:pPr>
            <w:r>
              <w:rPr>
                <w:rFonts w:hint="eastAsia" w:ascii="宋体" w:hAnsi="宋体" w:cs="宋体"/>
                <w:sz w:val="18"/>
                <w:szCs w:val="18"/>
              </w:rPr>
              <w:t xml:space="preserve">每天检查路网指挥中心跟情报板网络联通，信息发布是否正常；                       </w:t>
            </w:r>
          </w:p>
          <w:p>
            <w:pPr>
              <w:keepNext w:val="0"/>
              <w:keepLines w:val="0"/>
              <w:pageBreakBefore w:val="0"/>
              <w:kinsoku/>
              <w:wordWrap/>
              <w:overflowPunct/>
              <w:topLinePunct w:val="0"/>
              <w:bidi w:val="0"/>
              <w:adjustRightInd w:val="0"/>
              <w:spacing w:line="360" w:lineRule="auto"/>
              <w:ind w:left="0" w:leftChars="0" w:right="0" w:rightChars="0"/>
              <w:textAlignment w:val="baseline"/>
              <w:rPr>
                <w:rFonts w:ascii="宋体" w:hAnsi="宋体" w:cs="宋体"/>
                <w:sz w:val="18"/>
                <w:szCs w:val="18"/>
              </w:rPr>
            </w:pPr>
            <w:r>
              <w:rPr>
                <w:rFonts w:hint="eastAsia" w:ascii="宋体" w:hAnsi="宋体" w:cs="宋体"/>
                <w:sz w:val="18"/>
                <w:szCs w:val="18"/>
              </w:rPr>
              <w:t xml:space="preserve">按照宁波市公路运输中心要求对可变情报板做好改造工作 </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 w:val="18"/>
                <w:szCs w:val="18"/>
              </w:rPr>
            </w:pPr>
            <w:r>
              <w:rPr>
                <w:rFonts w:ascii="宋体" w:hAnsi="宋体" w:cs="宋体"/>
                <w:sz w:val="18"/>
                <w:szCs w:val="18"/>
              </w:rPr>
              <w:t>8</w:t>
            </w: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 w:val="18"/>
                <w:szCs w:val="18"/>
              </w:rPr>
            </w:pPr>
            <w:r>
              <w:rPr>
                <w:rFonts w:hint="eastAsia" w:ascii="宋体" w:hAnsi="宋体" w:cs="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 w:val="18"/>
                <w:szCs w:val="18"/>
              </w:rPr>
            </w:pPr>
            <w:r>
              <w:rPr>
                <w:rFonts w:hint="eastAsia" w:ascii="宋体" w:hAnsi="宋体" w:cs="宋体"/>
                <w:sz w:val="18"/>
                <w:szCs w:val="18"/>
              </w:rPr>
              <w:t>3</w:t>
            </w:r>
          </w:p>
        </w:tc>
        <w:tc>
          <w:tcPr>
            <w:tcW w:w="22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ind w:left="0" w:leftChars="0" w:right="0" w:rightChars="0"/>
              <w:rPr>
                <w:rFonts w:ascii="宋体" w:hAnsi="宋体" w:cs="宋体"/>
                <w:sz w:val="18"/>
                <w:szCs w:val="18"/>
              </w:rPr>
            </w:pPr>
            <w:r>
              <w:rPr>
                <w:rFonts w:hint="eastAsia" w:ascii="宋体" w:hAnsi="宋体" w:cs="宋体"/>
                <w:sz w:val="18"/>
                <w:szCs w:val="18"/>
              </w:rPr>
              <w:t>交通流量观测设备</w:t>
            </w:r>
          </w:p>
        </w:tc>
        <w:tc>
          <w:tcPr>
            <w:tcW w:w="4383" w:type="dxa"/>
          </w:tcPr>
          <w:p>
            <w:pPr>
              <w:keepNext w:val="0"/>
              <w:keepLines w:val="0"/>
              <w:pageBreakBefore w:val="0"/>
              <w:kinsoku/>
              <w:wordWrap/>
              <w:overflowPunct/>
              <w:topLinePunct w:val="0"/>
              <w:bidi w:val="0"/>
              <w:adjustRightInd w:val="0"/>
              <w:spacing w:line="360" w:lineRule="auto"/>
              <w:ind w:left="0" w:leftChars="0" w:right="0" w:rightChars="0"/>
              <w:textAlignment w:val="baseline"/>
              <w:rPr>
                <w:rFonts w:ascii="宋体" w:hAnsi="宋体" w:cs="宋体"/>
                <w:sz w:val="18"/>
                <w:szCs w:val="18"/>
              </w:rPr>
            </w:pPr>
            <w:r>
              <w:rPr>
                <w:rFonts w:hint="eastAsia" w:ascii="宋体" w:hAnsi="宋体" w:cs="宋体"/>
                <w:sz w:val="18"/>
                <w:szCs w:val="18"/>
              </w:rPr>
              <w:t>定期大巡检，维修保养,一年</w:t>
            </w:r>
            <w:r>
              <w:rPr>
                <w:rFonts w:ascii="宋体" w:hAnsi="宋体" w:cs="宋体"/>
                <w:sz w:val="18"/>
                <w:szCs w:val="18"/>
              </w:rPr>
              <w:t>至少对</w:t>
            </w:r>
            <w:r>
              <w:rPr>
                <w:rFonts w:hint="eastAsia" w:ascii="宋体" w:hAnsi="宋体" w:cs="宋体"/>
                <w:sz w:val="18"/>
                <w:szCs w:val="18"/>
              </w:rPr>
              <w:t>交调</w:t>
            </w:r>
            <w:r>
              <w:rPr>
                <w:rFonts w:ascii="宋体" w:hAnsi="宋体" w:cs="宋体"/>
                <w:sz w:val="18"/>
                <w:szCs w:val="18"/>
              </w:rPr>
              <w:t>设备校对一次</w:t>
            </w:r>
          </w:p>
          <w:p>
            <w:pPr>
              <w:keepNext w:val="0"/>
              <w:keepLines w:val="0"/>
              <w:pageBreakBefore w:val="0"/>
              <w:kinsoku/>
              <w:wordWrap/>
              <w:overflowPunct/>
              <w:topLinePunct w:val="0"/>
              <w:bidi w:val="0"/>
              <w:adjustRightInd w:val="0"/>
              <w:spacing w:line="360" w:lineRule="auto"/>
              <w:ind w:left="0" w:leftChars="0" w:right="0" w:rightChars="0"/>
              <w:textAlignment w:val="baseline"/>
              <w:rPr>
                <w:rFonts w:ascii="宋体" w:hAnsi="宋体" w:cs="宋体"/>
                <w:sz w:val="18"/>
                <w:szCs w:val="18"/>
              </w:rPr>
            </w:pPr>
            <w:r>
              <w:rPr>
                <w:rFonts w:hint="eastAsia" w:ascii="宋体" w:hAnsi="宋体" w:cs="宋体"/>
                <w:sz w:val="18"/>
                <w:szCs w:val="18"/>
              </w:rPr>
              <w:t>检测前端微波激光线圈等各类型设备的运行状况</w:t>
            </w:r>
          </w:p>
          <w:p>
            <w:pPr>
              <w:keepNext w:val="0"/>
              <w:keepLines w:val="0"/>
              <w:pageBreakBefore w:val="0"/>
              <w:kinsoku/>
              <w:wordWrap/>
              <w:overflowPunct/>
              <w:topLinePunct w:val="0"/>
              <w:bidi w:val="0"/>
              <w:adjustRightInd w:val="0"/>
              <w:spacing w:line="360" w:lineRule="auto"/>
              <w:ind w:left="0" w:leftChars="0" w:right="0" w:rightChars="0"/>
              <w:textAlignment w:val="baseline"/>
              <w:rPr>
                <w:rFonts w:ascii="宋体" w:hAnsi="宋体" w:cs="宋体"/>
                <w:sz w:val="18"/>
                <w:szCs w:val="18"/>
              </w:rPr>
            </w:pPr>
            <w:r>
              <w:rPr>
                <w:rFonts w:hint="eastAsia" w:ascii="宋体" w:hAnsi="宋体" w:cs="宋体"/>
                <w:sz w:val="18"/>
                <w:szCs w:val="18"/>
              </w:rPr>
              <w:t>检测网络连接是否畅通</w:t>
            </w:r>
          </w:p>
          <w:p>
            <w:pPr>
              <w:keepNext w:val="0"/>
              <w:keepLines w:val="0"/>
              <w:pageBreakBefore w:val="0"/>
              <w:kinsoku/>
              <w:wordWrap/>
              <w:overflowPunct/>
              <w:topLinePunct w:val="0"/>
              <w:bidi w:val="0"/>
              <w:adjustRightInd w:val="0"/>
              <w:spacing w:line="360" w:lineRule="auto"/>
              <w:ind w:left="0" w:leftChars="0" w:right="0" w:rightChars="0"/>
              <w:textAlignment w:val="baseline"/>
              <w:rPr>
                <w:rFonts w:ascii="宋体" w:hAnsi="宋体" w:cs="宋体"/>
                <w:sz w:val="18"/>
                <w:szCs w:val="18"/>
              </w:rPr>
            </w:pPr>
            <w:r>
              <w:rPr>
                <w:rFonts w:hint="eastAsia" w:ascii="宋体" w:hAnsi="宋体" w:cs="宋体"/>
                <w:sz w:val="18"/>
                <w:szCs w:val="18"/>
              </w:rPr>
              <w:t xml:space="preserve">检测前端数据上传省交调系统平台是否正常                                      </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 w:val="18"/>
                <w:szCs w:val="18"/>
              </w:rPr>
            </w:pPr>
            <w:r>
              <w:rPr>
                <w:rFonts w:ascii="宋体" w:hAnsi="宋体" w:cs="宋体"/>
                <w:sz w:val="18"/>
                <w:szCs w:val="18"/>
              </w:rPr>
              <w:t>9</w:t>
            </w: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 w:val="18"/>
                <w:szCs w:val="18"/>
              </w:rPr>
            </w:pPr>
            <w:r>
              <w:rPr>
                <w:rFonts w:hint="eastAsia" w:ascii="宋体" w:hAnsi="宋体" w:cs="宋体"/>
                <w:sz w:val="18"/>
                <w:szCs w:val="18"/>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 w:val="18"/>
                <w:szCs w:val="18"/>
              </w:rPr>
            </w:pPr>
            <w:r>
              <w:rPr>
                <w:rFonts w:hint="eastAsia" w:ascii="宋体" w:hAnsi="宋体" w:cs="宋体"/>
                <w:sz w:val="18"/>
                <w:szCs w:val="18"/>
              </w:rPr>
              <w:t>4</w:t>
            </w:r>
          </w:p>
        </w:tc>
        <w:tc>
          <w:tcPr>
            <w:tcW w:w="22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ind w:left="0" w:leftChars="0" w:right="0" w:rightChars="0"/>
              <w:rPr>
                <w:rFonts w:ascii="宋体" w:hAnsi="宋体" w:cs="宋体"/>
                <w:sz w:val="18"/>
                <w:szCs w:val="18"/>
              </w:rPr>
            </w:pPr>
            <w:r>
              <w:rPr>
                <w:rFonts w:hint="eastAsia" w:ascii="宋体" w:hAnsi="宋体" w:cs="宋体"/>
                <w:sz w:val="18"/>
                <w:szCs w:val="18"/>
              </w:rPr>
              <w:t>内场设备</w:t>
            </w:r>
          </w:p>
        </w:tc>
        <w:tc>
          <w:tcPr>
            <w:tcW w:w="4383" w:type="dxa"/>
            <w:tcBorders>
              <w:bottom w:val="single" w:color="auto" w:sz="4" w:space="0"/>
            </w:tcBorders>
          </w:tcPr>
          <w:p>
            <w:pPr>
              <w:keepNext w:val="0"/>
              <w:keepLines w:val="0"/>
              <w:pageBreakBefore w:val="0"/>
              <w:kinsoku/>
              <w:wordWrap/>
              <w:overflowPunct/>
              <w:topLinePunct w:val="0"/>
              <w:bidi w:val="0"/>
              <w:adjustRightInd w:val="0"/>
              <w:spacing w:line="360" w:lineRule="auto"/>
              <w:ind w:left="0" w:leftChars="0" w:right="0" w:rightChars="0"/>
              <w:textAlignment w:val="baseline"/>
              <w:rPr>
                <w:rFonts w:ascii="宋体" w:hAnsi="宋体" w:cs="宋体"/>
                <w:sz w:val="18"/>
                <w:szCs w:val="18"/>
              </w:rPr>
            </w:pPr>
            <w:r>
              <w:rPr>
                <w:rFonts w:hint="eastAsia" w:ascii="宋体" w:hAnsi="宋体" w:cs="宋体"/>
                <w:sz w:val="18"/>
                <w:szCs w:val="18"/>
              </w:rPr>
              <w:t>定期巡检服务；</w:t>
            </w:r>
          </w:p>
          <w:p>
            <w:pPr>
              <w:keepNext w:val="0"/>
              <w:keepLines w:val="0"/>
              <w:pageBreakBefore w:val="0"/>
              <w:kinsoku/>
              <w:wordWrap/>
              <w:overflowPunct/>
              <w:topLinePunct w:val="0"/>
              <w:bidi w:val="0"/>
              <w:adjustRightInd w:val="0"/>
              <w:spacing w:line="360" w:lineRule="auto"/>
              <w:ind w:left="0" w:leftChars="0" w:right="0" w:rightChars="0"/>
              <w:textAlignment w:val="baseline"/>
              <w:rPr>
                <w:rFonts w:ascii="宋体" w:hAnsi="宋体" w:cs="宋体"/>
                <w:sz w:val="18"/>
                <w:szCs w:val="18"/>
              </w:rPr>
            </w:pPr>
            <w:r>
              <w:rPr>
                <w:rFonts w:hint="eastAsia" w:ascii="宋体" w:hAnsi="宋体" w:cs="宋体"/>
                <w:sz w:val="18"/>
                <w:szCs w:val="18"/>
              </w:rPr>
              <w:t>日常设备状态检查、升级服务；</w:t>
            </w:r>
          </w:p>
          <w:p>
            <w:pPr>
              <w:keepNext w:val="0"/>
              <w:keepLines w:val="0"/>
              <w:pageBreakBefore w:val="0"/>
              <w:kinsoku/>
              <w:wordWrap/>
              <w:overflowPunct/>
              <w:topLinePunct w:val="0"/>
              <w:bidi w:val="0"/>
              <w:adjustRightInd w:val="0"/>
              <w:spacing w:line="360" w:lineRule="auto"/>
              <w:ind w:left="0" w:leftChars="0" w:right="0" w:rightChars="0"/>
              <w:textAlignment w:val="baseline"/>
              <w:rPr>
                <w:rFonts w:ascii="宋体" w:hAnsi="宋体" w:cs="宋体"/>
                <w:sz w:val="18"/>
                <w:szCs w:val="18"/>
              </w:rPr>
            </w:pPr>
            <w:r>
              <w:rPr>
                <w:rFonts w:hint="eastAsia" w:ascii="宋体" w:hAnsi="宋体" w:cs="宋体"/>
                <w:sz w:val="18"/>
                <w:szCs w:val="18"/>
              </w:rPr>
              <w:t>新增设备及软件安装、调试服务；</w:t>
            </w:r>
          </w:p>
          <w:p>
            <w:pPr>
              <w:keepNext w:val="0"/>
              <w:keepLines w:val="0"/>
              <w:pageBreakBefore w:val="0"/>
              <w:kinsoku/>
              <w:wordWrap/>
              <w:overflowPunct/>
              <w:topLinePunct w:val="0"/>
              <w:bidi w:val="0"/>
              <w:adjustRightInd w:val="0"/>
              <w:spacing w:line="360" w:lineRule="auto"/>
              <w:ind w:left="0" w:leftChars="0" w:right="0" w:rightChars="0"/>
              <w:textAlignment w:val="baseline"/>
              <w:rPr>
                <w:rFonts w:ascii="宋体" w:hAnsi="宋体" w:cs="宋体"/>
                <w:sz w:val="18"/>
                <w:szCs w:val="18"/>
              </w:rPr>
            </w:pPr>
            <w:r>
              <w:rPr>
                <w:rFonts w:hint="eastAsia" w:ascii="宋体" w:hAnsi="宋体" w:cs="宋体"/>
                <w:sz w:val="18"/>
                <w:szCs w:val="18"/>
              </w:rPr>
              <w:t>零、部件的维修及更换服务；</w:t>
            </w:r>
          </w:p>
          <w:p>
            <w:pPr>
              <w:keepNext w:val="0"/>
              <w:keepLines w:val="0"/>
              <w:pageBreakBefore w:val="0"/>
              <w:kinsoku/>
              <w:wordWrap/>
              <w:overflowPunct/>
              <w:topLinePunct w:val="0"/>
              <w:bidi w:val="0"/>
              <w:spacing w:line="360" w:lineRule="auto"/>
              <w:ind w:left="0" w:leftChars="0" w:right="0" w:rightChars="0"/>
              <w:rPr>
                <w:rFonts w:ascii="宋体" w:hAnsi="宋体" w:cs="宋体"/>
                <w:sz w:val="18"/>
                <w:szCs w:val="18"/>
              </w:rPr>
            </w:pPr>
            <w:r>
              <w:rPr>
                <w:rFonts w:hint="eastAsia" w:ascii="宋体" w:hAnsi="宋体" w:cs="宋体"/>
                <w:sz w:val="18"/>
                <w:szCs w:val="18"/>
              </w:rPr>
              <w:t>平台计算机的日常维护和巡检服务、负责做好对平台计算机操作系统、防病毒系统的安装和维护服务；</w:t>
            </w:r>
          </w:p>
          <w:p>
            <w:pPr>
              <w:keepNext w:val="0"/>
              <w:keepLines w:val="0"/>
              <w:pageBreakBefore w:val="0"/>
              <w:kinsoku/>
              <w:wordWrap/>
              <w:overflowPunct/>
              <w:topLinePunct w:val="0"/>
              <w:bidi w:val="0"/>
              <w:spacing w:line="360" w:lineRule="auto"/>
              <w:ind w:left="0" w:leftChars="0" w:right="0" w:rightChars="0"/>
              <w:rPr>
                <w:rFonts w:ascii="宋体" w:hAnsi="宋体" w:cs="宋体"/>
                <w:sz w:val="18"/>
                <w:szCs w:val="18"/>
              </w:rPr>
            </w:pPr>
            <w:r>
              <w:rPr>
                <w:rFonts w:hint="eastAsia" w:ascii="宋体" w:hAnsi="宋体" w:cs="宋体"/>
                <w:sz w:val="18"/>
                <w:szCs w:val="18"/>
              </w:rPr>
              <w:t>协助用户数字公路系统的建设与运行，配合用户完成与上级数字公路平台的对接；</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 w:val="18"/>
                <w:szCs w:val="18"/>
              </w:rPr>
            </w:pPr>
            <w:r>
              <w:rPr>
                <w:rFonts w:hint="eastAsia" w:ascii="宋体" w:hAnsi="宋体" w:cs="宋体"/>
                <w:sz w:val="18"/>
                <w:szCs w:val="18"/>
              </w:rPr>
              <w:t>1</w:t>
            </w:r>
          </w:p>
        </w:tc>
        <w:tc>
          <w:tcPr>
            <w:tcW w:w="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 w:val="18"/>
                <w:szCs w:val="18"/>
              </w:rPr>
            </w:pPr>
            <w:r>
              <w:rPr>
                <w:rFonts w:hint="eastAsia" w:ascii="宋体" w:hAnsi="宋体" w:cs="宋体"/>
                <w:sz w:val="18"/>
                <w:szCs w:val="18"/>
              </w:rPr>
              <w:t>批</w:t>
            </w:r>
          </w:p>
        </w:tc>
      </w:tr>
    </w:tbl>
    <w:p>
      <w:pPr>
        <w:keepNext w:val="0"/>
        <w:keepLines w:val="0"/>
        <w:pageBreakBefore w:val="0"/>
        <w:widowControl/>
        <w:kinsoku/>
        <w:wordWrap/>
        <w:overflowPunct/>
        <w:topLinePunct w:val="0"/>
        <w:bidi w:val="0"/>
        <w:spacing w:line="360" w:lineRule="auto"/>
        <w:ind w:left="0" w:leftChars="0" w:right="0" w:rightChars="0"/>
        <w:jc w:val="left"/>
        <w:textAlignment w:val="center"/>
        <w:rPr>
          <w:rFonts w:hint="eastAsia" w:ascii="宋体" w:hAnsi="宋体" w:cs="宋体"/>
          <w:szCs w:val="21"/>
        </w:rPr>
      </w:pPr>
    </w:p>
    <w:p>
      <w:pPr>
        <w:keepNext w:val="0"/>
        <w:keepLines w:val="0"/>
        <w:pageBreakBefore w:val="0"/>
        <w:widowControl/>
        <w:kinsoku/>
        <w:wordWrap/>
        <w:overflowPunct/>
        <w:topLinePunct w:val="0"/>
        <w:bidi w:val="0"/>
        <w:spacing w:line="360" w:lineRule="auto"/>
        <w:ind w:left="0" w:leftChars="0" w:right="0" w:rightChars="0"/>
        <w:jc w:val="left"/>
        <w:textAlignment w:val="center"/>
        <w:rPr>
          <w:rFonts w:ascii="宋体" w:hAnsi="宋体" w:cs="宋体"/>
          <w:szCs w:val="21"/>
        </w:rPr>
      </w:pPr>
      <w:r>
        <w:rPr>
          <w:rFonts w:hint="eastAsia" w:ascii="宋体" w:hAnsi="宋体" w:cs="宋体"/>
          <w:szCs w:val="21"/>
        </w:rPr>
        <w:t>（五）其他要求</w:t>
      </w:r>
    </w:p>
    <w:p>
      <w:pPr>
        <w:keepNext w:val="0"/>
        <w:keepLines w:val="0"/>
        <w:pageBreakBefore w:val="0"/>
        <w:widowControl/>
        <w:kinsoku/>
        <w:wordWrap/>
        <w:overflowPunct/>
        <w:topLinePunct w:val="0"/>
        <w:bidi w:val="0"/>
        <w:spacing w:line="360" w:lineRule="auto"/>
        <w:ind w:left="0" w:leftChars="0" w:right="0" w:rightChars="0" w:firstLine="315" w:firstLineChars="150"/>
        <w:jc w:val="left"/>
        <w:textAlignment w:val="center"/>
        <w:rPr>
          <w:rFonts w:ascii="宋体" w:hAnsi="宋体" w:cs="宋体"/>
          <w:szCs w:val="21"/>
        </w:rPr>
      </w:pPr>
      <w:r>
        <w:rPr>
          <w:rFonts w:hint="eastAsia" w:ascii="宋体" w:hAnsi="宋体" w:cs="宋体"/>
          <w:szCs w:val="21"/>
        </w:rPr>
        <w:t>1、保障数字公路国省道外场、数字公路内场设施设备的稳定性和可靠性；</w:t>
      </w:r>
    </w:p>
    <w:p>
      <w:pPr>
        <w:keepNext w:val="0"/>
        <w:keepLines w:val="0"/>
        <w:pageBreakBefore w:val="0"/>
        <w:widowControl/>
        <w:kinsoku/>
        <w:wordWrap/>
        <w:overflowPunct/>
        <w:topLinePunct w:val="0"/>
        <w:bidi w:val="0"/>
        <w:spacing w:line="360" w:lineRule="auto"/>
        <w:ind w:left="0" w:leftChars="0" w:right="0" w:rightChars="0" w:firstLine="315" w:firstLineChars="150"/>
        <w:jc w:val="left"/>
        <w:textAlignment w:val="center"/>
        <w:rPr>
          <w:rFonts w:ascii="宋体" w:hAnsi="宋体" w:cs="宋体"/>
          <w:szCs w:val="21"/>
        </w:rPr>
      </w:pPr>
      <w:r>
        <w:rPr>
          <w:rFonts w:hint="eastAsia" w:ascii="宋体" w:hAnsi="宋体" w:cs="宋体"/>
          <w:szCs w:val="21"/>
        </w:rPr>
        <w:t>2、数字公路外场设施每月定期巡检（每周一次）；</w:t>
      </w:r>
    </w:p>
    <w:p>
      <w:pPr>
        <w:keepNext w:val="0"/>
        <w:keepLines w:val="0"/>
        <w:pageBreakBefore w:val="0"/>
        <w:widowControl/>
        <w:kinsoku/>
        <w:wordWrap/>
        <w:overflowPunct/>
        <w:topLinePunct w:val="0"/>
        <w:bidi w:val="0"/>
        <w:spacing w:line="360" w:lineRule="auto"/>
        <w:ind w:left="0" w:leftChars="0" w:right="0" w:rightChars="0" w:firstLine="315" w:firstLineChars="150"/>
        <w:jc w:val="left"/>
        <w:textAlignment w:val="center"/>
        <w:rPr>
          <w:rFonts w:ascii="宋体" w:hAnsi="宋体" w:cs="宋体"/>
          <w:szCs w:val="21"/>
        </w:rPr>
      </w:pPr>
      <w:r>
        <w:rPr>
          <w:rFonts w:hint="eastAsia" w:ascii="宋体" w:hAnsi="宋体" w:cs="宋体"/>
          <w:szCs w:val="21"/>
        </w:rPr>
        <w:t>3、数字公路外场设施设备遇有故障应及时响应，简易情况2日内修复，如需更换设备，3日内修复，特殊复杂情况当天书面说明；</w:t>
      </w:r>
    </w:p>
    <w:p>
      <w:pPr>
        <w:keepNext w:val="0"/>
        <w:keepLines w:val="0"/>
        <w:pageBreakBefore w:val="0"/>
        <w:widowControl/>
        <w:kinsoku/>
        <w:wordWrap/>
        <w:overflowPunct/>
        <w:topLinePunct w:val="0"/>
        <w:bidi w:val="0"/>
        <w:spacing w:line="360" w:lineRule="auto"/>
        <w:ind w:left="0" w:leftChars="0" w:right="0" w:rightChars="0" w:firstLine="315" w:firstLineChars="150"/>
        <w:jc w:val="left"/>
        <w:textAlignment w:val="center"/>
        <w:rPr>
          <w:rFonts w:ascii="宋体" w:hAnsi="宋体" w:cs="宋体"/>
          <w:szCs w:val="21"/>
        </w:rPr>
      </w:pPr>
      <w:r>
        <w:rPr>
          <w:rFonts w:hint="eastAsia" w:ascii="宋体" w:hAnsi="宋体" w:cs="宋体"/>
          <w:szCs w:val="21"/>
        </w:rPr>
        <w:t>4、必须提供数字公路外场设施核心设备的备品备件,包括固定视屏监控（百万像素高清摄像机）、可变情报板（RAM控制系统、信息屏显示屏体）、交通流量观测设备（高清视频单元、侧装微波设备）等；</w:t>
      </w:r>
    </w:p>
    <w:p>
      <w:pPr>
        <w:keepNext w:val="0"/>
        <w:keepLines w:val="0"/>
        <w:pageBreakBefore w:val="0"/>
        <w:widowControl/>
        <w:kinsoku/>
        <w:wordWrap/>
        <w:overflowPunct/>
        <w:topLinePunct w:val="0"/>
        <w:bidi w:val="0"/>
        <w:spacing w:line="360" w:lineRule="auto"/>
        <w:ind w:left="0" w:leftChars="0" w:right="0" w:rightChars="0" w:firstLine="315" w:firstLineChars="150"/>
        <w:jc w:val="left"/>
        <w:textAlignment w:val="center"/>
        <w:rPr>
          <w:rFonts w:ascii="宋体" w:hAnsi="宋体" w:cs="宋体"/>
          <w:szCs w:val="21"/>
        </w:rPr>
      </w:pPr>
      <w:r>
        <w:rPr>
          <w:rFonts w:hint="eastAsia" w:ascii="宋体" w:hAnsi="宋体" w:cs="宋体"/>
          <w:szCs w:val="21"/>
        </w:rPr>
        <w:t>5、数字公路外场设施周度平均连通率不应低于95%；交调设备及时率不应低于9</w:t>
      </w:r>
      <w:r>
        <w:rPr>
          <w:rFonts w:ascii="宋体" w:hAnsi="宋体" w:cs="宋体"/>
          <w:szCs w:val="21"/>
        </w:rPr>
        <w:t>0%</w:t>
      </w:r>
      <w:r>
        <w:rPr>
          <w:rFonts w:hint="eastAsia" w:ascii="宋体" w:hAnsi="宋体" w:cs="宋体"/>
          <w:szCs w:val="21"/>
        </w:rPr>
        <w:t>；准确率不应低于9</w:t>
      </w:r>
      <w:r>
        <w:rPr>
          <w:rFonts w:ascii="宋体" w:hAnsi="宋体" w:cs="宋体"/>
          <w:szCs w:val="21"/>
        </w:rPr>
        <w:t>9.5%</w:t>
      </w:r>
      <w:r>
        <w:rPr>
          <w:rFonts w:hint="eastAsia" w:ascii="宋体" w:hAnsi="宋体" w:cs="宋体"/>
          <w:szCs w:val="21"/>
        </w:rPr>
        <w:t>；完整率不应低于8</w:t>
      </w:r>
      <w:r>
        <w:rPr>
          <w:rFonts w:ascii="宋体" w:hAnsi="宋体" w:cs="宋体"/>
          <w:szCs w:val="21"/>
        </w:rPr>
        <w:t>5%</w:t>
      </w:r>
      <w:r>
        <w:rPr>
          <w:rFonts w:hint="eastAsia" w:ascii="宋体" w:hAnsi="宋体" w:cs="宋体"/>
          <w:szCs w:val="21"/>
        </w:rPr>
        <w:t>；</w:t>
      </w:r>
    </w:p>
    <w:p>
      <w:pPr>
        <w:keepNext w:val="0"/>
        <w:keepLines w:val="0"/>
        <w:pageBreakBefore w:val="0"/>
        <w:widowControl/>
        <w:kinsoku/>
        <w:wordWrap/>
        <w:overflowPunct/>
        <w:topLinePunct w:val="0"/>
        <w:bidi w:val="0"/>
        <w:spacing w:line="360" w:lineRule="auto"/>
        <w:ind w:left="0" w:leftChars="0" w:right="0" w:rightChars="0" w:firstLine="315" w:firstLineChars="150"/>
        <w:jc w:val="left"/>
        <w:textAlignment w:val="center"/>
        <w:rPr>
          <w:rFonts w:ascii="宋体" w:hAnsi="宋体" w:cs="宋体"/>
          <w:szCs w:val="21"/>
        </w:rPr>
      </w:pPr>
      <w:r>
        <w:rPr>
          <w:rFonts w:hint="eastAsia" w:ascii="宋体" w:hAnsi="宋体" w:cs="宋体"/>
          <w:szCs w:val="21"/>
        </w:rPr>
        <w:t>6、建立外场设施设备维护台账（含各单一事件的时间、地点、人物、起因、经过、结果），每月</w:t>
      </w:r>
      <w:r>
        <w:rPr>
          <w:rFonts w:ascii="宋体" w:hAnsi="宋体" w:cs="宋体"/>
          <w:szCs w:val="21"/>
        </w:rPr>
        <w:t>3</w:t>
      </w:r>
      <w:r>
        <w:rPr>
          <w:rFonts w:hint="eastAsia" w:ascii="宋体" w:hAnsi="宋体" w:cs="宋体"/>
          <w:szCs w:val="21"/>
        </w:rPr>
        <w:t>0号前报送宁波市镇海区交通运输管理中心；</w:t>
      </w:r>
    </w:p>
    <w:p>
      <w:pPr>
        <w:keepNext w:val="0"/>
        <w:keepLines w:val="0"/>
        <w:pageBreakBefore w:val="0"/>
        <w:widowControl/>
        <w:kinsoku/>
        <w:wordWrap/>
        <w:overflowPunct/>
        <w:topLinePunct w:val="0"/>
        <w:bidi w:val="0"/>
        <w:spacing w:line="360" w:lineRule="auto"/>
        <w:ind w:left="0" w:leftChars="0" w:right="0" w:rightChars="0" w:firstLine="315" w:firstLineChars="150"/>
        <w:jc w:val="left"/>
        <w:textAlignment w:val="center"/>
        <w:rPr>
          <w:rFonts w:ascii="宋体" w:hAnsi="宋体" w:cs="宋体"/>
          <w:szCs w:val="21"/>
        </w:rPr>
      </w:pPr>
      <w:r>
        <w:rPr>
          <w:rFonts w:hint="eastAsia" w:ascii="宋体" w:hAnsi="宋体" w:cs="宋体"/>
          <w:szCs w:val="21"/>
        </w:rPr>
        <w:t>7、供应商在维护作业期间需配备必要的劳动保护用品，具备施工内外协调能力、安全生产管理能力、文明施工与环境保护等能力；</w:t>
      </w:r>
    </w:p>
    <w:p>
      <w:pPr>
        <w:keepNext w:val="0"/>
        <w:keepLines w:val="0"/>
        <w:pageBreakBefore w:val="0"/>
        <w:widowControl/>
        <w:kinsoku/>
        <w:wordWrap/>
        <w:overflowPunct/>
        <w:topLinePunct w:val="0"/>
        <w:bidi w:val="0"/>
        <w:spacing w:line="360" w:lineRule="auto"/>
        <w:ind w:left="0" w:leftChars="0" w:right="0" w:rightChars="0" w:firstLine="315" w:firstLineChars="150"/>
        <w:jc w:val="left"/>
        <w:textAlignment w:val="center"/>
        <w:rPr>
          <w:rFonts w:ascii="宋体" w:hAnsi="宋体" w:cs="宋体"/>
          <w:szCs w:val="21"/>
        </w:rPr>
      </w:pPr>
      <w:r>
        <w:rPr>
          <w:rFonts w:hint="eastAsia" w:ascii="宋体" w:hAnsi="宋体" w:cs="宋体"/>
          <w:szCs w:val="21"/>
        </w:rPr>
        <w:t>8、供应商需具备服务能力，组建专业维护团队，配备维护工具、工程车辆、仪表等配置；</w:t>
      </w:r>
    </w:p>
    <w:p>
      <w:pPr>
        <w:keepNext w:val="0"/>
        <w:keepLines w:val="0"/>
        <w:pageBreakBefore w:val="0"/>
        <w:widowControl/>
        <w:kinsoku/>
        <w:wordWrap/>
        <w:overflowPunct/>
        <w:topLinePunct w:val="0"/>
        <w:bidi w:val="0"/>
        <w:spacing w:line="360" w:lineRule="auto"/>
        <w:ind w:left="0" w:leftChars="0" w:right="0" w:rightChars="0" w:firstLine="315" w:firstLineChars="150"/>
        <w:jc w:val="left"/>
        <w:textAlignment w:val="center"/>
        <w:rPr>
          <w:rFonts w:ascii="宋体" w:hAnsi="宋体" w:cs="宋体"/>
          <w:szCs w:val="21"/>
        </w:rPr>
      </w:pPr>
      <w:r>
        <w:rPr>
          <w:rFonts w:hint="eastAsia" w:ascii="宋体" w:hAnsi="宋体" w:cs="宋体"/>
          <w:szCs w:val="21"/>
        </w:rPr>
        <w:t>9、提供常驻单位人员名单及中标单位为其缴纳养老金的社保证明，常驻人员一周内驻镇海区交通运输管理中心服务不得少于五天。</w:t>
      </w:r>
    </w:p>
    <w:p>
      <w:pPr>
        <w:pStyle w:val="23"/>
        <w:keepNext w:val="0"/>
        <w:keepLines w:val="0"/>
        <w:pageBreakBefore w:val="0"/>
        <w:kinsoku/>
        <w:wordWrap/>
        <w:overflowPunct/>
        <w:topLinePunct w:val="0"/>
        <w:bidi w:val="0"/>
        <w:spacing w:line="360" w:lineRule="auto"/>
        <w:ind w:left="0" w:leftChars="0" w:right="0" w:rightChars="0"/>
        <w:rPr>
          <w:rFonts w:ascii="宋体" w:hAnsi="宋体" w:cs="宋体"/>
          <w:szCs w:val="21"/>
        </w:rPr>
      </w:pPr>
      <w:r>
        <w:tab/>
      </w:r>
      <w:r>
        <w:rPr>
          <w:rFonts w:ascii="宋体" w:hAnsi="宋体" w:cs="宋体"/>
          <w:szCs w:val="21"/>
        </w:rPr>
        <w:t>10</w:t>
      </w:r>
      <w:r>
        <w:rPr>
          <w:rFonts w:hint="eastAsia" w:ascii="宋体" w:hAnsi="宋体" w:cs="宋体"/>
          <w:szCs w:val="21"/>
        </w:rPr>
        <w:t>、</w:t>
      </w:r>
      <w:r>
        <w:rPr>
          <w:rFonts w:hint="eastAsia"/>
        </w:rPr>
        <w:t>宁波市公路运输中心对</w:t>
      </w:r>
      <w:r>
        <w:rPr>
          <w:rFonts w:hint="eastAsia" w:ascii="宋体" w:hAnsi="宋体" w:cs="宋体"/>
          <w:szCs w:val="21"/>
        </w:rPr>
        <w:t>情报板改造要求：</w:t>
      </w:r>
      <w:r>
        <w:rPr>
          <w:rFonts w:ascii="宋体" w:hAnsi="宋体" w:cs="宋体"/>
          <w:szCs w:val="21"/>
        </w:rPr>
        <w:br w:type="textWrapping"/>
      </w:r>
      <w:r>
        <w:rPr>
          <w:rFonts w:hint="eastAsia" w:ascii="宋体" w:hAnsi="宋体" w:cs="宋体"/>
          <w:szCs w:val="21"/>
        </w:rPr>
        <w:t>设立一套基于交通内网的、可秒级即时关断所有可变情报板的远程控制平台，以应对黑客攻击等突发状况，便于及时响应和消除不良社会影响。平台至少具备如下功能：</w:t>
      </w:r>
    </w:p>
    <w:p>
      <w:pPr>
        <w:pStyle w:val="23"/>
        <w:keepNext w:val="0"/>
        <w:keepLines w:val="0"/>
        <w:pageBreakBefore w:val="0"/>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1</w:t>
      </w:r>
      <w:r>
        <w:rPr>
          <w:rFonts w:hint="eastAsia" w:ascii="宋体" w:hAnsi="宋体" w:cs="宋体"/>
          <w:szCs w:val="21"/>
          <w:lang w:eastAsia="zh-CN"/>
        </w:rPr>
        <w:t>）</w:t>
      </w:r>
      <w:r>
        <w:rPr>
          <w:rFonts w:hint="eastAsia" w:ascii="宋体" w:hAnsi="宋体" w:cs="宋体"/>
          <w:szCs w:val="21"/>
        </w:rPr>
        <w:t>情报板无法单机发布信息。即要做到任何人在现场打开配电箱，单机连接情报板控制卡，均无法发布任何信息；</w:t>
      </w:r>
    </w:p>
    <w:p>
      <w:pPr>
        <w:pStyle w:val="23"/>
        <w:keepNext w:val="0"/>
        <w:keepLines w:val="0"/>
        <w:pageBreakBefore w:val="0"/>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lang w:eastAsia="zh-CN"/>
        </w:rPr>
        <w:t>）</w:t>
      </w:r>
      <w:r>
        <w:rPr>
          <w:rFonts w:hint="eastAsia" w:ascii="宋体" w:hAnsi="宋体" w:cs="宋体"/>
          <w:szCs w:val="21"/>
        </w:rPr>
        <w:t>情报板仅受唯一的平台控制。唯有专管员通过指定的交通内网</w:t>
      </w:r>
      <w:r>
        <w:rPr>
          <w:rFonts w:ascii="宋体" w:hAnsi="宋体" w:cs="宋体"/>
          <w:szCs w:val="21"/>
        </w:rPr>
        <w:t>IP</w:t>
      </w:r>
      <w:r>
        <w:rPr>
          <w:rFonts w:hint="eastAsia" w:ascii="宋体" w:hAnsi="宋体" w:cs="宋体"/>
          <w:szCs w:val="21"/>
        </w:rPr>
        <w:t>与电脑登录，经平台验证后才可以发布信息；</w:t>
      </w:r>
    </w:p>
    <w:p>
      <w:pPr>
        <w:pStyle w:val="23"/>
        <w:keepNext w:val="0"/>
        <w:keepLines w:val="0"/>
        <w:pageBreakBefore w:val="0"/>
        <w:kinsoku/>
        <w:wordWrap/>
        <w:overflowPunct/>
        <w:topLinePunct w:val="0"/>
        <w:bidi w:val="0"/>
        <w:spacing w:line="360" w:lineRule="auto"/>
        <w:ind w:left="0" w:leftChars="0" w:right="0" w:rightChars="0"/>
      </w:pPr>
      <w:r>
        <w:rPr>
          <w:rFonts w:hint="eastAsia" w:ascii="宋体" w:hAnsi="宋体" w:cs="宋体"/>
          <w:szCs w:val="21"/>
          <w:lang w:eastAsia="zh-CN"/>
        </w:rPr>
        <w:t>（</w:t>
      </w:r>
      <w:r>
        <w:rPr>
          <w:rFonts w:hint="eastAsia" w:ascii="宋体" w:hAnsi="宋体" w:cs="宋体"/>
          <w:szCs w:val="21"/>
          <w:lang w:val="en-US" w:eastAsia="zh-CN"/>
        </w:rPr>
        <w:t>3</w:t>
      </w:r>
      <w:r>
        <w:rPr>
          <w:rFonts w:hint="eastAsia" w:ascii="宋体" w:hAnsi="宋体" w:cs="宋体"/>
          <w:szCs w:val="21"/>
          <w:lang w:eastAsia="zh-CN"/>
        </w:rPr>
        <w:t>）</w:t>
      </w:r>
      <w:r>
        <w:rPr>
          <w:rFonts w:hint="eastAsia" w:ascii="宋体" w:hAnsi="宋体" w:cs="宋体"/>
          <w:szCs w:val="21"/>
        </w:rPr>
        <w:t>断网的情况下，任何人将无法发布信息。但专管员可以通过远程电控开关临时关闭设备，电控设备不受平台验证影响；</w:t>
      </w:r>
    </w:p>
    <w:p>
      <w:pPr>
        <w:pStyle w:val="10"/>
        <w:keepNext w:val="0"/>
        <w:keepLines w:val="0"/>
        <w:pageBreakBefore w:val="0"/>
        <w:kinsoku/>
        <w:wordWrap/>
        <w:overflowPunct/>
        <w:topLinePunct w:val="0"/>
        <w:bidi w:val="0"/>
        <w:snapToGrid w:val="0"/>
        <w:spacing w:before="0" w:beforeAutospacing="0" w:after="0" w:afterAutospacing="0" w:line="360" w:lineRule="auto"/>
        <w:ind w:left="0" w:leftChars="0" w:right="0" w:rightChars="0"/>
        <w:jc w:val="center"/>
        <w:outlineLvl w:val="0"/>
        <w:rPr>
          <w:rFonts w:hAnsi="宋体" w:cs="宋体"/>
          <w:sz w:val="21"/>
          <w:szCs w:val="21"/>
        </w:rPr>
      </w:pPr>
    </w:p>
    <w:p>
      <w:pPr>
        <w:pStyle w:val="10"/>
        <w:keepNext w:val="0"/>
        <w:keepLines w:val="0"/>
        <w:pageBreakBefore w:val="0"/>
        <w:kinsoku/>
        <w:wordWrap/>
        <w:overflowPunct/>
        <w:topLinePunct w:val="0"/>
        <w:bidi w:val="0"/>
        <w:snapToGrid w:val="0"/>
        <w:spacing w:before="0" w:beforeAutospacing="0" w:after="0" w:afterAutospacing="0" w:line="360" w:lineRule="auto"/>
        <w:ind w:left="0" w:leftChars="0" w:right="0" w:rightChars="0"/>
        <w:outlineLvl w:val="0"/>
        <w:rPr>
          <w:rFonts w:hAnsi="宋体" w:cs="宋体"/>
          <w:b/>
          <w:sz w:val="21"/>
          <w:szCs w:val="21"/>
        </w:rPr>
      </w:pPr>
      <w:r>
        <w:rPr>
          <w:rFonts w:hint="eastAsia" w:hAnsi="宋体" w:cs="宋体"/>
          <w:b/>
          <w:sz w:val="21"/>
          <w:szCs w:val="21"/>
        </w:rPr>
        <w:t xml:space="preserve">子包2：镇海区县乡道数字公路运维项目招标需求 </w:t>
      </w:r>
    </w:p>
    <w:p>
      <w:pPr>
        <w:keepNext w:val="0"/>
        <w:keepLines w:val="0"/>
        <w:pageBreakBefore w:val="0"/>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szCs w:val="21"/>
        </w:rPr>
        <w:t>一、项目概况</w:t>
      </w:r>
    </w:p>
    <w:p>
      <w:pPr>
        <w:keepNext w:val="0"/>
        <w:keepLines w:val="0"/>
        <w:pageBreakBefore w:val="0"/>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szCs w:val="21"/>
        </w:rPr>
        <w:t>本次运维服务包含镇海区数字公路县乡道外场设备运维等内容。</w:t>
      </w:r>
    </w:p>
    <w:p>
      <w:pPr>
        <w:keepNext w:val="0"/>
        <w:keepLines w:val="0"/>
        <w:pageBreakBefore w:val="0"/>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szCs w:val="21"/>
        </w:rPr>
        <w:t>二、服务内容及要求</w:t>
      </w:r>
    </w:p>
    <w:p>
      <w:pPr>
        <w:keepNext w:val="0"/>
        <w:keepLines w:val="0"/>
        <w:pageBreakBefore w:val="0"/>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szCs w:val="21"/>
        </w:rPr>
        <w:t>本次运维服务内容包含镇海区数字公路县乡道到期的外场设备运维服务、故障诊断服务、现场巡检服务、交调</w:t>
      </w:r>
      <w:r>
        <w:rPr>
          <w:rFonts w:ascii="宋体" w:hAnsi="宋体" w:cs="宋体"/>
          <w:szCs w:val="21"/>
        </w:rPr>
        <w:t>设备校对</w:t>
      </w:r>
      <w:r>
        <w:rPr>
          <w:rFonts w:hint="eastAsia" w:ascii="宋体" w:hAnsi="宋体" w:cs="宋体"/>
          <w:szCs w:val="21"/>
        </w:rPr>
        <w:t>、情报板改造等。</w:t>
      </w:r>
    </w:p>
    <w:p>
      <w:pPr>
        <w:keepNext w:val="0"/>
        <w:keepLines w:val="0"/>
        <w:pageBreakBefore w:val="0"/>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szCs w:val="21"/>
        </w:rPr>
        <w:t>（一）数量清单</w:t>
      </w:r>
    </w:p>
    <w:tbl>
      <w:tblPr>
        <w:tblStyle w:val="19"/>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5729"/>
        <w:gridCol w:w="1223"/>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071" w:type="dxa"/>
            <w:vAlign w:val="center"/>
          </w:tcPr>
          <w:p>
            <w:pPr>
              <w:pStyle w:val="28"/>
              <w:keepNext w:val="0"/>
              <w:keepLines w:val="0"/>
              <w:pageBreakBefore w:val="0"/>
              <w:kinsoku/>
              <w:wordWrap/>
              <w:overflowPunct/>
              <w:topLinePunct w:val="0"/>
              <w:bidi w:val="0"/>
              <w:spacing w:line="360" w:lineRule="auto"/>
              <w:ind w:left="0" w:leftChars="0" w:right="0" w:rightChars="0" w:firstLine="0" w:firstLineChars="0"/>
              <w:jc w:val="center"/>
              <w:rPr>
                <w:rFonts w:ascii="宋体" w:hAnsi="宋体" w:eastAsia="宋体"/>
                <w:b/>
                <w:sz w:val="18"/>
                <w:szCs w:val="18"/>
              </w:rPr>
            </w:pPr>
            <w:r>
              <w:rPr>
                <w:rFonts w:hint="eastAsia" w:ascii="宋体" w:hAnsi="宋体" w:eastAsia="宋体"/>
                <w:b/>
                <w:sz w:val="18"/>
                <w:szCs w:val="18"/>
              </w:rPr>
              <w:t>序号</w:t>
            </w:r>
          </w:p>
        </w:tc>
        <w:tc>
          <w:tcPr>
            <w:tcW w:w="5729" w:type="dxa"/>
            <w:vAlign w:val="center"/>
          </w:tcPr>
          <w:p>
            <w:pPr>
              <w:pStyle w:val="28"/>
              <w:keepNext w:val="0"/>
              <w:keepLines w:val="0"/>
              <w:pageBreakBefore w:val="0"/>
              <w:kinsoku/>
              <w:wordWrap/>
              <w:overflowPunct/>
              <w:topLinePunct w:val="0"/>
              <w:bidi w:val="0"/>
              <w:spacing w:line="360" w:lineRule="auto"/>
              <w:ind w:left="0" w:leftChars="0" w:right="0" w:rightChars="0" w:firstLine="0" w:firstLineChars="0"/>
              <w:jc w:val="center"/>
              <w:rPr>
                <w:rFonts w:ascii="宋体" w:hAnsi="宋体" w:eastAsia="宋体"/>
                <w:b/>
                <w:sz w:val="18"/>
                <w:szCs w:val="18"/>
              </w:rPr>
            </w:pPr>
            <w:r>
              <w:rPr>
                <w:rFonts w:hint="eastAsia" w:ascii="宋体" w:hAnsi="宋体" w:eastAsia="宋体"/>
                <w:b/>
                <w:sz w:val="18"/>
                <w:szCs w:val="18"/>
              </w:rPr>
              <w:t>名称</w:t>
            </w:r>
          </w:p>
        </w:tc>
        <w:tc>
          <w:tcPr>
            <w:tcW w:w="1223" w:type="dxa"/>
            <w:vAlign w:val="center"/>
          </w:tcPr>
          <w:p>
            <w:pPr>
              <w:pStyle w:val="28"/>
              <w:keepNext w:val="0"/>
              <w:keepLines w:val="0"/>
              <w:pageBreakBefore w:val="0"/>
              <w:kinsoku/>
              <w:wordWrap/>
              <w:overflowPunct/>
              <w:topLinePunct w:val="0"/>
              <w:bidi w:val="0"/>
              <w:spacing w:line="360" w:lineRule="auto"/>
              <w:ind w:left="0" w:leftChars="0" w:right="0" w:rightChars="0" w:firstLine="0" w:firstLineChars="0"/>
              <w:jc w:val="center"/>
              <w:rPr>
                <w:rFonts w:ascii="宋体" w:hAnsi="宋体" w:eastAsia="宋体"/>
                <w:b/>
                <w:sz w:val="18"/>
                <w:szCs w:val="18"/>
              </w:rPr>
            </w:pPr>
            <w:r>
              <w:rPr>
                <w:rFonts w:hint="eastAsia" w:ascii="宋体" w:hAnsi="宋体" w:eastAsia="宋体"/>
                <w:b/>
                <w:sz w:val="18"/>
                <w:szCs w:val="18"/>
              </w:rPr>
              <w:t>数量</w:t>
            </w:r>
          </w:p>
        </w:tc>
        <w:tc>
          <w:tcPr>
            <w:tcW w:w="923" w:type="dxa"/>
            <w:vAlign w:val="center"/>
          </w:tcPr>
          <w:p>
            <w:pPr>
              <w:pStyle w:val="28"/>
              <w:keepNext w:val="0"/>
              <w:keepLines w:val="0"/>
              <w:pageBreakBefore w:val="0"/>
              <w:kinsoku/>
              <w:wordWrap/>
              <w:overflowPunct/>
              <w:topLinePunct w:val="0"/>
              <w:bidi w:val="0"/>
              <w:spacing w:line="360" w:lineRule="auto"/>
              <w:ind w:left="0" w:leftChars="0" w:right="0" w:rightChars="0" w:firstLine="0" w:firstLineChars="0"/>
              <w:jc w:val="center"/>
              <w:rPr>
                <w:rFonts w:ascii="宋体" w:hAnsi="宋体" w:eastAsia="宋体"/>
                <w:b/>
                <w:sz w:val="18"/>
                <w:szCs w:val="18"/>
              </w:rPr>
            </w:pPr>
            <w:r>
              <w:rPr>
                <w:rFonts w:hint="eastAsia" w:ascii="宋体" w:hAnsi="宋体" w:eastAsia="宋体"/>
                <w:b/>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1071" w:type="dxa"/>
            <w:vAlign w:val="center"/>
          </w:tcPr>
          <w:p>
            <w:pPr>
              <w:pStyle w:val="28"/>
              <w:keepNext w:val="0"/>
              <w:keepLines w:val="0"/>
              <w:pageBreakBefore w:val="0"/>
              <w:kinsoku/>
              <w:wordWrap/>
              <w:overflowPunct/>
              <w:topLinePunct w:val="0"/>
              <w:bidi w:val="0"/>
              <w:spacing w:line="360" w:lineRule="auto"/>
              <w:ind w:left="0" w:leftChars="0" w:right="0" w:rightChars="0" w:firstLine="0" w:firstLineChars="0"/>
              <w:jc w:val="center"/>
              <w:rPr>
                <w:rFonts w:ascii="宋体" w:hAnsi="宋体" w:eastAsia="宋体"/>
                <w:sz w:val="18"/>
                <w:szCs w:val="18"/>
              </w:rPr>
            </w:pPr>
            <w:r>
              <w:rPr>
                <w:rFonts w:hint="eastAsia" w:ascii="宋体" w:hAnsi="宋体" w:eastAsia="宋体"/>
                <w:sz w:val="18"/>
                <w:szCs w:val="18"/>
              </w:rPr>
              <w:t>1</w:t>
            </w:r>
          </w:p>
        </w:tc>
        <w:tc>
          <w:tcPr>
            <w:tcW w:w="5729" w:type="dxa"/>
            <w:vAlign w:val="center"/>
          </w:tcPr>
          <w:p>
            <w:pPr>
              <w:pStyle w:val="28"/>
              <w:keepNext w:val="0"/>
              <w:keepLines w:val="0"/>
              <w:pageBreakBefore w:val="0"/>
              <w:kinsoku/>
              <w:wordWrap/>
              <w:overflowPunct/>
              <w:topLinePunct w:val="0"/>
              <w:bidi w:val="0"/>
              <w:spacing w:line="360" w:lineRule="auto"/>
              <w:ind w:left="0" w:leftChars="0" w:right="0" w:rightChars="0" w:firstLine="0" w:firstLineChars="0"/>
              <w:jc w:val="center"/>
              <w:rPr>
                <w:rFonts w:ascii="宋体" w:hAnsi="宋体" w:eastAsia="宋体"/>
                <w:sz w:val="18"/>
                <w:szCs w:val="18"/>
              </w:rPr>
            </w:pPr>
            <w:r>
              <w:rPr>
                <w:rFonts w:hint="eastAsia" w:ascii="宋体" w:hAnsi="宋体" w:eastAsia="宋体"/>
                <w:sz w:val="18"/>
                <w:szCs w:val="18"/>
              </w:rPr>
              <w:t>数字公路（县乡道）外场设施及系统运维</w:t>
            </w:r>
          </w:p>
        </w:tc>
        <w:tc>
          <w:tcPr>
            <w:tcW w:w="1223" w:type="dxa"/>
            <w:vAlign w:val="center"/>
          </w:tcPr>
          <w:p>
            <w:pPr>
              <w:pStyle w:val="28"/>
              <w:keepNext w:val="0"/>
              <w:keepLines w:val="0"/>
              <w:pageBreakBefore w:val="0"/>
              <w:kinsoku/>
              <w:wordWrap/>
              <w:overflowPunct/>
              <w:topLinePunct w:val="0"/>
              <w:bidi w:val="0"/>
              <w:spacing w:line="360" w:lineRule="auto"/>
              <w:ind w:left="0" w:leftChars="0" w:right="0" w:rightChars="0" w:firstLine="0" w:firstLineChars="0"/>
              <w:jc w:val="center"/>
              <w:rPr>
                <w:rFonts w:ascii="宋体" w:hAnsi="宋体" w:eastAsia="宋体"/>
                <w:sz w:val="18"/>
                <w:szCs w:val="18"/>
              </w:rPr>
            </w:pPr>
            <w:r>
              <w:rPr>
                <w:rFonts w:hint="eastAsia" w:ascii="宋体" w:hAnsi="宋体" w:eastAsia="宋体"/>
                <w:sz w:val="18"/>
                <w:szCs w:val="18"/>
              </w:rPr>
              <w:t>1</w:t>
            </w:r>
          </w:p>
        </w:tc>
        <w:tc>
          <w:tcPr>
            <w:tcW w:w="923" w:type="dxa"/>
            <w:vAlign w:val="center"/>
          </w:tcPr>
          <w:p>
            <w:pPr>
              <w:pStyle w:val="28"/>
              <w:keepNext w:val="0"/>
              <w:keepLines w:val="0"/>
              <w:pageBreakBefore w:val="0"/>
              <w:kinsoku/>
              <w:wordWrap/>
              <w:overflowPunct/>
              <w:topLinePunct w:val="0"/>
              <w:bidi w:val="0"/>
              <w:spacing w:line="360" w:lineRule="auto"/>
              <w:ind w:left="0" w:leftChars="0" w:right="0" w:rightChars="0" w:firstLine="0" w:firstLineChars="0"/>
              <w:jc w:val="center"/>
              <w:rPr>
                <w:rFonts w:ascii="宋体" w:hAnsi="宋体" w:eastAsia="宋体"/>
                <w:sz w:val="18"/>
                <w:szCs w:val="18"/>
              </w:rPr>
            </w:pPr>
            <w:r>
              <w:rPr>
                <w:rFonts w:hint="eastAsia" w:ascii="宋体" w:hAnsi="宋体" w:eastAsia="宋体"/>
                <w:sz w:val="18"/>
                <w:szCs w:val="18"/>
              </w:rPr>
              <w:t>批</w:t>
            </w:r>
          </w:p>
        </w:tc>
      </w:tr>
    </w:tbl>
    <w:p>
      <w:pPr>
        <w:keepNext w:val="0"/>
        <w:keepLines w:val="0"/>
        <w:pageBreakBefore w:val="0"/>
        <w:kinsoku/>
        <w:wordWrap/>
        <w:overflowPunct/>
        <w:topLinePunct w:val="0"/>
        <w:autoSpaceDE w:val="0"/>
        <w:autoSpaceDN w:val="0"/>
        <w:bidi w:val="0"/>
        <w:adjustRightInd w:val="0"/>
        <w:spacing w:line="360" w:lineRule="auto"/>
        <w:ind w:left="0" w:leftChars="0" w:right="0" w:rightChars="0"/>
        <w:jc w:val="center"/>
        <w:textAlignment w:val="baseline"/>
        <w:rPr>
          <w:rFonts w:ascii="宋体" w:hAnsi="宋体" w:cs="宋体"/>
          <w:szCs w:val="21"/>
        </w:rPr>
      </w:pPr>
    </w:p>
    <w:p>
      <w:pPr>
        <w:keepNext w:val="0"/>
        <w:keepLines w:val="0"/>
        <w:pageBreakBefore w:val="0"/>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szCs w:val="21"/>
        </w:rPr>
        <w:t>（二）宁波市镇海区交通运输管理中心县乡道外场设施</w:t>
      </w:r>
    </w:p>
    <w:tbl>
      <w:tblPr>
        <w:tblStyle w:val="19"/>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68"/>
        <w:gridCol w:w="1704"/>
        <w:gridCol w:w="4802"/>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序号</w:t>
            </w:r>
          </w:p>
        </w:tc>
        <w:tc>
          <w:tcPr>
            <w:tcW w:w="1704"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线路名称</w:t>
            </w:r>
          </w:p>
        </w:tc>
        <w:tc>
          <w:tcPr>
            <w:tcW w:w="4802"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桩号及位置</w:t>
            </w:r>
          </w:p>
        </w:tc>
        <w:tc>
          <w:tcPr>
            <w:tcW w:w="1697"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设备类别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1</w:t>
            </w:r>
          </w:p>
        </w:tc>
        <w:tc>
          <w:tcPr>
            <w:tcW w:w="1704" w:type="dxa"/>
            <w:shd w:val="clear" w:color="000000" w:fill="FFFFFF"/>
            <w:vAlign w:val="center"/>
          </w:tcPr>
          <w:p>
            <w:pPr>
              <w:keepNext w:val="0"/>
              <w:keepLines w:val="0"/>
              <w:pageBreakBefore w:val="0"/>
              <w:widowControl/>
              <w:kinsoku/>
              <w:wordWrap/>
              <w:overflowPunct/>
              <w:topLinePunct w:val="0"/>
              <w:bidi w:val="0"/>
              <w:spacing w:line="360" w:lineRule="auto"/>
              <w:ind w:left="0" w:leftChars="0" w:right="0" w:rightChars="0"/>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rPr>
              <w:t>X614骆常线</w:t>
            </w:r>
          </w:p>
        </w:tc>
        <w:tc>
          <w:tcPr>
            <w:tcW w:w="4802" w:type="dxa"/>
            <w:shd w:val="clear" w:color="auto" w:fill="FFFFFF" w:themeFill="background1"/>
            <w:vAlign w:val="center"/>
          </w:tcPr>
          <w:p>
            <w:pPr>
              <w:keepNext w:val="0"/>
              <w:keepLines w:val="0"/>
              <w:pageBreakBefore w:val="0"/>
              <w:widowControl/>
              <w:kinsoku/>
              <w:wordWrap/>
              <w:overflowPunct/>
              <w:topLinePunct w:val="0"/>
              <w:bidi w:val="0"/>
              <w:spacing w:line="360" w:lineRule="auto"/>
              <w:ind w:left="0" w:leftChars="0" w:right="0" w:rightChars="0"/>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rPr>
              <w:t>X614骆常线4k+100（镇海区骆驼街道洪家村）</w:t>
            </w:r>
          </w:p>
        </w:tc>
        <w:tc>
          <w:tcPr>
            <w:tcW w:w="1697" w:type="dxa"/>
            <w:shd w:val="clear" w:color="000000" w:fill="FFFFFF"/>
            <w:vAlign w:val="center"/>
          </w:tcPr>
          <w:p>
            <w:pPr>
              <w:keepNext w:val="0"/>
              <w:keepLines w:val="0"/>
              <w:pageBreakBefore w:val="0"/>
              <w:widowControl/>
              <w:kinsoku/>
              <w:wordWrap/>
              <w:overflowPunct/>
              <w:topLinePunct w:val="0"/>
              <w:bidi w:val="0"/>
              <w:spacing w:line="360" w:lineRule="auto"/>
              <w:ind w:left="0" w:leftChars="0" w:right="0" w:rightChars="0"/>
              <w:jc w:val="center"/>
              <w:rPr>
                <w:rFonts w:hint="eastAsia" w:ascii="宋体" w:hAnsi="宋体" w:eastAsia="宋体" w:cs="宋体"/>
                <w:color w:val="000000"/>
                <w:kern w:val="0"/>
                <w:sz w:val="21"/>
                <w:szCs w:val="21"/>
              </w:rPr>
            </w:pPr>
            <w:r>
              <w:rPr>
                <w:rFonts w:hint="eastAsia" w:ascii="宋体" w:hAnsi="宋体" w:eastAsia="宋体" w:cs="宋体"/>
                <w:color w:val="000000"/>
                <w:sz w:val="21"/>
                <w:szCs w:val="21"/>
              </w:rPr>
              <w:t>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2</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X607余汶线</w:t>
            </w:r>
          </w:p>
        </w:tc>
        <w:tc>
          <w:tcPr>
            <w:tcW w:w="4802" w:type="dxa"/>
            <w:shd w:val="clear" w:color="auto" w:fill="FFFFFF" w:themeFill="background1"/>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X607余汶线K5+750(镇海区九龙湖镇九龙湖村)</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3</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X603骆慈线</w:t>
            </w:r>
          </w:p>
        </w:tc>
        <w:tc>
          <w:tcPr>
            <w:tcW w:w="4802" w:type="dxa"/>
            <w:shd w:val="clear" w:color="auto" w:fill="auto"/>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X603骆慈线K7+900(镇海区九龙湖镇汶溪村)</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4</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X603骆慈线</w:t>
            </w:r>
          </w:p>
        </w:tc>
        <w:tc>
          <w:tcPr>
            <w:tcW w:w="4802" w:type="dxa"/>
            <w:shd w:val="clear" w:color="auto" w:fill="auto"/>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X603骆慈线K7+500(镇海区九龙湖镇汶溪村)</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5</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X613沿海北线</w:t>
            </w:r>
          </w:p>
        </w:tc>
        <w:tc>
          <w:tcPr>
            <w:tcW w:w="4802" w:type="dxa"/>
            <w:shd w:val="clear" w:color="auto" w:fill="auto"/>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X613沿海北线K13+550(镇海区蟹浦镇岚山村)</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6</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X613沿海北线</w:t>
            </w:r>
          </w:p>
        </w:tc>
        <w:tc>
          <w:tcPr>
            <w:tcW w:w="4802" w:type="dxa"/>
            <w:shd w:val="clear" w:color="auto" w:fill="auto"/>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X613沿海北线K7+375（镇海区蛟川街道棉丰村）</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7</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X613沿海北线</w:t>
            </w:r>
          </w:p>
        </w:tc>
        <w:tc>
          <w:tcPr>
            <w:tcW w:w="4802" w:type="dxa"/>
            <w:shd w:val="clear" w:color="auto" w:fill="auto"/>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X613沿海北线K3+550（镇海区蛟川街道后海塘）</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8</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X602庄南线</w:t>
            </w:r>
          </w:p>
        </w:tc>
        <w:tc>
          <w:tcPr>
            <w:tcW w:w="4802" w:type="dxa"/>
            <w:shd w:val="clear" w:color="auto" w:fill="auto"/>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X602庄南线K6+50（镇海区蛟川街道陈家村）</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9</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X602庄南线</w:t>
            </w:r>
          </w:p>
        </w:tc>
        <w:tc>
          <w:tcPr>
            <w:tcW w:w="4802" w:type="dxa"/>
            <w:shd w:val="clear" w:color="auto" w:fill="auto"/>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X602庄南线K3+650（镇海区蛟川街道光明村）</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10</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X606长邱线</w:t>
            </w:r>
          </w:p>
        </w:tc>
        <w:tc>
          <w:tcPr>
            <w:tcW w:w="4802"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X606长邱线K2+150（镇海区九龙湖镇西经堂村）</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11</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X608炼蟹线 </w:t>
            </w:r>
          </w:p>
        </w:tc>
        <w:tc>
          <w:tcPr>
            <w:tcW w:w="4802"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X608炼蟹线K6+700（镇海区蟹浦镇十七房村）</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12</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X605贵镇线 </w:t>
            </w:r>
          </w:p>
        </w:tc>
        <w:tc>
          <w:tcPr>
            <w:tcW w:w="4802"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X605贵镇线K2+500（镇海区蛟川街道后施村）</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13</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X605贵镇线 </w:t>
            </w:r>
          </w:p>
        </w:tc>
        <w:tc>
          <w:tcPr>
            <w:tcW w:w="4802"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X605贵镇线K6+700（镇海区蛟川街道石塘下村）</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14</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X611招宝山大桥连接线 </w:t>
            </w:r>
          </w:p>
        </w:tc>
        <w:tc>
          <w:tcPr>
            <w:tcW w:w="4802"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X611招宝山大桥连接线K2+400（镇海区蛟川街道石塘下村）</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15</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Y615长横线 </w:t>
            </w:r>
          </w:p>
        </w:tc>
        <w:tc>
          <w:tcPr>
            <w:tcW w:w="4802" w:type="dxa"/>
            <w:shd w:val="clear" w:color="auto" w:fill="FFFFFF" w:themeFill="background1"/>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Y615长横线3K+000(镇海区九龙湖镇长胜村)</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16</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Y658长邵线 </w:t>
            </w:r>
          </w:p>
        </w:tc>
        <w:tc>
          <w:tcPr>
            <w:tcW w:w="4802" w:type="dxa"/>
            <w:shd w:val="clear" w:color="auto" w:fill="FFFFFF" w:themeFill="background1"/>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Y658长邵线K0+750（镇海区九龙湖镇河仙村）</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17</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X614骆常线</w:t>
            </w:r>
          </w:p>
        </w:tc>
        <w:tc>
          <w:tcPr>
            <w:tcW w:w="4802" w:type="dxa"/>
            <w:shd w:val="clear" w:color="auto" w:fill="FFFFFF" w:themeFill="background1"/>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X614骆常线2K+300（镇海区骆驼街道刘杜村）</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18</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X614骆常线</w:t>
            </w:r>
          </w:p>
        </w:tc>
        <w:tc>
          <w:tcPr>
            <w:tcW w:w="4802" w:type="dxa"/>
            <w:shd w:val="clear" w:color="auto" w:fill="FFFFFF" w:themeFill="background1"/>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X614骆常线4K+900（江北区甬江街道畈里塘村）</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19</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X613沿海北线 </w:t>
            </w:r>
          </w:p>
        </w:tc>
        <w:tc>
          <w:tcPr>
            <w:tcW w:w="4802" w:type="dxa"/>
            <w:shd w:val="clear" w:color="auto" w:fill="FFFFFF" w:themeFill="background1"/>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X613沿海北线K13+550（镇海区蟹浦镇岚山村）</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20</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定海路</w:t>
            </w:r>
          </w:p>
        </w:tc>
        <w:tc>
          <w:tcPr>
            <w:tcW w:w="4802" w:type="dxa"/>
            <w:shd w:val="clear" w:color="auto" w:fill="FFFFFF" w:themeFill="background1"/>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定海路</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21</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蟹浦应急</w:t>
            </w:r>
          </w:p>
        </w:tc>
        <w:tc>
          <w:tcPr>
            <w:tcW w:w="4802" w:type="dxa"/>
            <w:shd w:val="clear" w:color="auto" w:fill="FFFFFF" w:themeFill="background1"/>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蟹浦应急</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22</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X611</w:t>
            </w:r>
          </w:p>
        </w:tc>
        <w:tc>
          <w:tcPr>
            <w:tcW w:w="4802" w:type="dxa"/>
            <w:shd w:val="clear" w:color="auto" w:fill="FFFFFF" w:themeFill="background1"/>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招宝山大桥1</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sz w:val="21"/>
                <w:szCs w:val="21"/>
              </w:rPr>
              <w:t>23</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X611</w:t>
            </w:r>
          </w:p>
        </w:tc>
        <w:tc>
          <w:tcPr>
            <w:tcW w:w="4802" w:type="dxa"/>
            <w:shd w:val="clear" w:color="auto" w:fill="FFFFFF" w:themeFill="background1"/>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招宝山大桥2</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sz w:val="21"/>
                <w:szCs w:val="21"/>
              </w:rPr>
              <w:t>24</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X611</w:t>
            </w:r>
          </w:p>
        </w:tc>
        <w:tc>
          <w:tcPr>
            <w:tcW w:w="4802" w:type="dxa"/>
            <w:shd w:val="clear" w:color="auto" w:fill="FFFFFF" w:themeFill="background1"/>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招宝山大桥3</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sz w:val="21"/>
                <w:szCs w:val="21"/>
              </w:rPr>
              <w:t>25</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X611</w:t>
            </w:r>
          </w:p>
        </w:tc>
        <w:tc>
          <w:tcPr>
            <w:tcW w:w="4802" w:type="dxa"/>
            <w:shd w:val="clear" w:color="auto" w:fill="FFFFFF" w:themeFill="background1"/>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招宝山大桥4</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sz w:val="21"/>
                <w:szCs w:val="21"/>
              </w:rPr>
              <w:t>26</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X614骆常线</w:t>
            </w:r>
          </w:p>
        </w:tc>
        <w:tc>
          <w:tcPr>
            <w:tcW w:w="4802" w:type="dxa"/>
            <w:shd w:val="clear" w:color="auto" w:fill="FFFFFF" w:themeFill="background1"/>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X614骆常线4K+900（江北区甬江街道畈里塘村）</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情报板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sz w:val="21"/>
                <w:szCs w:val="21"/>
              </w:rPr>
              <w:t>27</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X614骆常线</w:t>
            </w:r>
          </w:p>
        </w:tc>
        <w:tc>
          <w:tcPr>
            <w:tcW w:w="4802" w:type="dxa"/>
            <w:shd w:val="clear" w:color="auto" w:fill="FFFFFF" w:themeFill="background1"/>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X614骆常线2K+300（镇海区骆驼街道刘杜村）</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情报板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sz w:val="21"/>
                <w:szCs w:val="21"/>
              </w:rPr>
              <w:t>28</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X603骆慈线</w:t>
            </w:r>
          </w:p>
        </w:tc>
        <w:tc>
          <w:tcPr>
            <w:tcW w:w="4802"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X603骆慈线K7+100（镇海区九龙湖镇汶溪村 ）</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情报板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sz w:val="21"/>
                <w:szCs w:val="21"/>
              </w:rPr>
              <w:t>29</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X613沿海北线</w:t>
            </w:r>
          </w:p>
        </w:tc>
        <w:tc>
          <w:tcPr>
            <w:tcW w:w="4802"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X613沿海北线K13+550（ 镇海区澥浦村岚山村）</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情报板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sz w:val="21"/>
                <w:szCs w:val="21"/>
              </w:rPr>
              <w:t>30</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招宝山大桥1</w:t>
            </w:r>
          </w:p>
        </w:tc>
        <w:tc>
          <w:tcPr>
            <w:tcW w:w="4802"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招宝山大桥1</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情报板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sz w:val="21"/>
                <w:szCs w:val="21"/>
              </w:rPr>
              <w:t>31</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招宝山大桥2</w:t>
            </w:r>
          </w:p>
        </w:tc>
        <w:tc>
          <w:tcPr>
            <w:tcW w:w="4802"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招宝山大桥2</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情报板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sz w:val="21"/>
                <w:szCs w:val="21"/>
              </w:rPr>
              <w:t>32</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招宝山大桥3</w:t>
            </w:r>
          </w:p>
        </w:tc>
        <w:tc>
          <w:tcPr>
            <w:tcW w:w="4802"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招宝山大桥3</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情报板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sz w:val="21"/>
                <w:szCs w:val="21"/>
              </w:rPr>
              <w:t>33</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X603骆慈线</w:t>
            </w:r>
          </w:p>
        </w:tc>
        <w:tc>
          <w:tcPr>
            <w:tcW w:w="4802"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X603骆慈线K2+700</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交调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sz w:val="21"/>
                <w:szCs w:val="21"/>
              </w:rPr>
              <w:t>34</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X603骆慈线</w:t>
            </w:r>
          </w:p>
        </w:tc>
        <w:tc>
          <w:tcPr>
            <w:tcW w:w="4802"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X603骆慈线K7+450</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交调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sz w:val="21"/>
                <w:szCs w:val="21"/>
              </w:rPr>
              <w:t>35</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X613沿海北线</w:t>
            </w:r>
          </w:p>
        </w:tc>
        <w:tc>
          <w:tcPr>
            <w:tcW w:w="4802"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X613沿海北线K3+650</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交调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168" w:type="dxa"/>
            <w:vAlign w:val="center"/>
          </w:tcPr>
          <w:p>
            <w:pPr>
              <w:keepNext w:val="0"/>
              <w:keepLines w:val="0"/>
              <w:pageBreakBefore w:val="0"/>
              <w:widowControl/>
              <w:kinsoku/>
              <w:wordWrap/>
              <w:overflowPunct/>
              <w:topLinePunct w:val="0"/>
              <w:bidi w:val="0"/>
              <w:spacing w:line="360" w:lineRule="auto"/>
              <w:ind w:left="0" w:leftChars="0" w:right="0" w:rightChars="0"/>
              <w:jc w:val="center"/>
              <w:textAlignment w:val="center"/>
              <w:rPr>
                <w:rFonts w:hint="eastAsia" w:ascii="宋体" w:hAnsi="宋体" w:eastAsia="宋体" w:cs="宋体"/>
                <w:sz w:val="21"/>
                <w:szCs w:val="21"/>
              </w:rPr>
            </w:pPr>
            <w:r>
              <w:rPr>
                <w:rFonts w:hint="eastAsia" w:ascii="宋体" w:hAnsi="宋体" w:eastAsia="宋体" w:cs="宋体"/>
                <w:sz w:val="21"/>
                <w:szCs w:val="21"/>
              </w:rPr>
              <w:t>36</w:t>
            </w:r>
          </w:p>
        </w:tc>
        <w:tc>
          <w:tcPr>
            <w:tcW w:w="1704"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X613沿海北线</w:t>
            </w:r>
          </w:p>
        </w:tc>
        <w:tc>
          <w:tcPr>
            <w:tcW w:w="4802"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X613沿海北线K13+500</w:t>
            </w:r>
          </w:p>
        </w:tc>
        <w:tc>
          <w:tcPr>
            <w:tcW w:w="1697" w:type="dxa"/>
            <w:shd w:val="clear" w:color="000000" w:fill="FFFFFF"/>
            <w:vAlign w:val="center"/>
          </w:tcPr>
          <w:p>
            <w:pPr>
              <w:keepNext w:val="0"/>
              <w:keepLines w:val="0"/>
              <w:pageBreakBefore w:val="0"/>
              <w:kinsoku/>
              <w:wordWrap/>
              <w:overflowPunct/>
              <w:topLinePunct w:val="0"/>
              <w:bidi w:val="0"/>
              <w:spacing w:line="360" w:lineRule="auto"/>
              <w:ind w:left="0" w:leftChars="0" w:right="0" w:rightChars="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交调</w:t>
            </w:r>
          </w:p>
        </w:tc>
      </w:tr>
    </w:tbl>
    <w:p>
      <w:pPr>
        <w:keepNext w:val="0"/>
        <w:keepLines w:val="0"/>
        <w:pageBreakBefore w:val="0"/>
        <w:numPr>
          <w:ilvl w:val="0"/>
          <w:numId w:val="3"/>
        </w:numPr>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szCs w:val="21"/>
        </w:rPr>
        <w:t>主要维护内容</w:t>
      </w:r>
    </w:p>
    <w:p>
      <w:pPr>
        <w:keepNext w:val="0"/>
        <w:keepLines w:val="0"/>
        <w:pageBreakBefore w:val="0"/>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szCs w:val="21"/>
        </w:rPr>
        <w:t>1、数字公路（县乡道）外场设施及系统</w:t>
      </w:r>
    </w:p>
    <w:tbl>
      <w:tblPr>
        <w:tblStyle w:val="19"/>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825"/>
        <w:gridCol w:w="4808"/>
        <w:gridCol w:w="868"/>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6" w:type="dxa"/>
            <w:vAlign w:val="center"/>
          </w:tcPr>
          <w:p>
            <w:pPr>
              <w:pStyle w:val="28"/>
              <w:keepNext w:val="0"/>
              <w:keepLines w:val="0"/>
              <w:pageBreakBefore w:val="0"/>
              <w:kinsoku/>
              <w:wordWrap/>
              <w:overflowPunct/>
              <w:topLinePunct w:val="0"/>
              <w:bidi w:val="0"/>
              <w:spacing w:line="360" w:lineRule="auto"/>
              <w:ind w:left="0" w:leftChars="0" w:right="0" w:rightChars="0" w:firstLine="0" w:firstLineChars="0"/>
              <w:jc w:val="center"/>
              <w:rPr>
                <w:rFonts w:ascii="宋体" w:hAnsi="宋体" w:eastAsia="宋体"/>
                <w:sz w:val="21"/>
                <w:szCs w:val="21"/>
              </w:rPr>
            </w:pPr>
            <w:r>
              <w:rPr>
                <w:rFonts w:hint="eastAsia" w:ascii="宋体" w:hAnsi="宋体" w:eastAsia="宋体"/>
                <w:sz w:val="21"/>
                <w:szCs w:val="21"/>
              </w:rPr>
              <w:t>序号</w:t>
            </w:r>
          </w:p>
        </w:tc>
        <w:tc>
          <w:tcPr>
            <w:tcW w:w="1825" w:type="dxa"/>
            <w:vAlign w:val="center"/>
          </w:tcPr>
          <w:p>
            <w:pPr>
              <w:pStyle w:val="30"/>
              <w:keepNext w:val="0"/>
              <w:keepLines w:val="0"/>
              <w:pageBreakBefore w:val="0"/>
              <w:kinsoku/>
              <w:wordWrap/>
              <w:overflowPunct/>
              <w:topLinePunct w:val="0"/>
              <w:bidi w:val="0"/>
              <w:spacing w:line="360" w:lineRule="auto"/>
              <w:ind w:left="0" w:leftChars="0" w:right="0" w:rightChars="0"/>
              <w:rPr>
                <w:rFonts w:cs="宋体"/>
                <w:sz w:val="21"/>
                <w:szCs w:val="21"/>
              </w:rPr>
            </w:pPr>
            <w:r>
              <w:rPr>
                <w:rFonts w:hint="eastAsia" w:cs="宋体"/>
                <w:sz w:val="21"/>
                <w:szCs w:val="21"/>
              </w:rPr>
              <w:t>名称</w:t>
            </w:r>
          </w:p>
        </w:tc>
        <w:tc>
          <w:tcPr>
            <w:tcW w:w="4808" w:type="dxa"/>
            <w:vAlign w:val="center"/>
          </w:tcPr>
          <w:p>
            <w:pPr>
              <w:pStyle w:val="28"/>
              <w:keepNext w:val="0"/>
              <w:keepLines w:val="0"/>
              <w:pageBreakBefore w:val="0"/>
              <w:kinsoku/>
              <w:wordWrap/>
              <w:overflowPunct/>
              <w:topLinePunct w:val="0"/>
              <w:bidi w:val="0"/>
              <w:spacing w:line="360" w:lineRule="auto"/>
              <w:ind w:left="0" w:leftChars="0" w:right="0" w:rightChars="0" w:firstLine="0" w:firstLineChars="0"/>
              <w:jc w:val="center"/>
              <w:rPr>
                <w:rFonts w:ascii="宋体" w:hAnsi="宋体" w:eastAsia="宋体"/>
                <w:sz w:val="21"/>
                <w:szCs w:val="21"/>
              </w:rPr>
            </w:pPr>
            <w:r>
              <w:rPr>
                <w:rFonts w:hint="eastAsia" w:ascii="宋体" w:hAnsi="宋体" w:eastAsia="宋体"/>
                <w:sz w:val="21"/>
                <w:szCs w:val="21"/>
                <w:lang w:val="zh-CN"/>
              </w:rPr>
              <w:t>主要维护内容</w:t>
            </w:r>
          </w:p>
        </w:tc>
        <w:tc>
          <w:tcPr>
            <w:tcW w:w="868" w:type="dxa"/>
            <w:vAlign w:val="center"/>
          </w:tcPr>
          <w:p>
            <w:pPr>
              <w:pStyle w:val="28"/>
              <w:keepNext w:val="0"/>
              <w:keepLines w:val="0"/>
              <w:pageBreakBefore w:val="0"/>
              <w:kinsoku/>
              <w:wordWrap/>
              <w:overflowPunct/>
              <w:topLinePunct w:val="0"/>
              <w:bidi w:val="0"/>
              <w:spacing w:line="360" w:lineRule="auto"/>
              <w:ind w:left="0" w:leftChars="0" w:right="0" w:rightChars="0" w:firstLine="0" w:firstLineChars="0"/>
              <w:jc w:val="center"/>
              <w:rPr>
                <w:rFonts w:ascii="宋体" w:hAnsi="宋体" w:eastAsia="宋体"/>
                <w:sz w:val="21"/>
                <w:szCs w:val="21"/>
              </w:rPr>
            </w:pPr>
            <w:r>
              <w:rPr>
                <w:rFonts w:hint="eastAsia" w:ascii="宋体" w:hAnsi="宋体" w:eastAsia="宋体"/>
                <w:sz w:val="21"/>
                <w:szCs w:val="21"/>
              </w:rPr>
              <w:t>数量</w:t>
            </w:r>
          </w:p>
        </w:tc>
        <w:tc>
          <w:tcPr>
            <w:tcW w:w="792" w:type="dxa"/>
            <w:vAlign w:val="center"/>
          </w:tcPr>
          <w:p>
            <w:pPr>
              <w:pStyle w:val="28"/>
              <w:keepNext w:val="0"/>
              <w:keepLines w:val="0"/>
              <w:pageBreakBefore w:val="0"/>
              <w:kinsoku/>
              <w:wordWrap/>
              <w:overflowPunct/>
              <w:topLinePunct w:val="0"/>
              <w:bidi w:val="0"/>
              <w:spacing w:line="360" w:lineRule="auto"/>
              <w:ind w:left="0" w:leftChars="0" w:right="0" w:rightChars="0" w:firstLine="0" w:firstLineChars="0"/>
              <w:jc w:val="center"/>
              <w:rPr>
                <w:rFonts w:ascii="宋体" w:hAnsi="宋体" w:eastAsia="宋体"/>
                <w:sz w:val="21"/>
                <w:szCs w:val="21"/>
              </w:rPr>
            </w:pPr>
            <w:r>
              <w:rPr>
                <w:rFonts w:hint="eastAsia" w:ascii="宋体" w:hAnsi="宋体" w:eastAsia="宋体"/>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jc w:val="center"/>
        </w:trPr>
        <w:tc>
          <w:tcPr>
            <w:tcW w:w="746" w:type="dxa"/>
            <w:vAlign w:val="center"/>
          </w:tcPr>
          <w:p>
            <w:pPr>
              <w:pStyle w:val="28"/>
              <w:keepNext w:val="0"/>
              <w:keepLines w:val="0"/>
              <w:pageBreakBefore w:val="0"/>
              <w:kinsoku/>
              <w:wordWrap/>
              <w:overflowPunct/>
              <w:topLinePunct w:val="0"/>
              <w:bidi w:val="0"/>
              <w:spacing w:line="360" w:lineRule="auto"/>
              <w:ind w:left="0" w:leftChars="0" w:right="0" w:rightChars="0" w:firstLine="0" w:firstLineChars="0"/>
              <w:jc w:val="center"/>
              <w:rPr>
                <w:rFonts w:ascii="宋体" w:hAnsi="宋体" w:eastAsia="宋体"/>
                <w:sz w:val="21"/>
                <w:szCs w:val="21"/>
              </w:rPr>
            </w:pPr>
            <w:r>
              <w:rPr>
                <w:rFonts w:hint="eastAsia" w:ascii="宋体" w:hAnsi="宋体" w:eastAsia="宋体"/>
                <w:sz w:val="21"/>
                <w:szCs w:val="21"/>
              </w:rPr>
              <w:t>1</w:t>
            </w:r>
          </w:p>
        </w:tc>
        <w:tc>
          <w:tcPr>
            <w:tcW w:w="1825" w:type="dxa"/>
            <w:vAlign w:val="center"/>
          </w:tcPr>
          <w:p>
            <w:pPr>
              <w:pStyle w:val="30"/>
              <w:keepNext w:val="0"/>
              <w:keepLines w:val="0"/>
              <w:pageBreakBefore w:val="0"/>
              <w:kinsoku/>
              <w:wordWrap/>
              <w:overflowPunct/>
              <w:topLinePunct w:val="0"/>
              <w:bidi w:val="0"/>
              <w:spacing w:line="360" w:lineRule="auto"/>
              <w:ind w:left="0" w:leftChars="0" w:right="0" w:rightChars="0"/>
              <w:rPr>
                <w:rFonts w:cs="宋体"/>
                <w:sz w:val="21"/>
                <w:szCs w:val="21"/>
              </w:rPr>
            </w:pPr>
            <w:r>
              <w:rPr>
                <w:rFonts w:hint="eastAsia" w:cs="宋体"/>
                <w:sz w:val="21"/>
                <w:szCs w:val="21"/>
              </w:rPr>
              <w:t>固定视频监控</w:t>
            </w:r>
          </w:p>
        </w:tc>
        <w:tc>
          <w:tcPr>
            <w:tcW w:w="4808" w:type="dxa"/>
            <w:vAlign w:val="center"/>
          </w:tcPr>
          <w:p>
            <w:pPr>
              <w:keepNext w:val="0"/>
              <w:keepLines w:val="0"/>
              <w:pageBreakBefore w:val="0"/>
              <w:kinsoku/>
              <w:wordWrap/>
              <w:overflowPunct/>
              <w:topLinePunct w:val="0"/>
              <w:bidi w:val="0"/>
              <w:adjustRightInd w:val="0"/>
              <w:spacing w:line="360" w:lineRule="auto"/>
              <w:ind w:left="0" w:leftChars="0" w:right="0" w:rightChars="0"/>
              <w:textAlignment w:val="baseline"/>
              <w:rPr>
                <w:rFonts w:ascii="宋体" w:hAnsi="宋体" w:cs="宋体"/>
                <w:sz w:val="21"/>
                <w:szCs w:val="21"/>
              </w:rPr>
            </w:pPr>
            <w:r>
              <w:rPr>
                <w:rFonts w:hint="eastAsia" w:ascii="宋体" w:hAnsi="宋体" w:cs="宋体"/>
                <w:sz w:val="21"/>
                <w:szCs w:val="21"/>
              </w:rPr>
              <w:t>定期清洁摄像头镜头及周围环境；</w:t>
            </w:r>
          </w:p>
          <w:p>
            <w:pPr>
              <w:keepNext w:val="0"/>
              <w:keepLines w:val="0"/>
              <w:pageBreakBefore w:val="0"/>
              <w:kinsoku/>
              <w:wordWrap/>
              <w:overflowPunct/>
              <w:topLinePunct w:val="0"/>
              <w:bidi w:val="0"/>
              <w:adjustRightInd w:val="0"/>
              <w:spacing w:line="360" w:lineRule="auto"/>
              <w:ind w:left="0" w:leftChars="0" w:right="0" w:rightChars="0"/>
              <w:textAlignment w:val="baseline"/>
              <w:rPr>
                <w:rFonts w:ascii="宋体" w:hAnsi="宋体" w:cs="宋体"/>
                <w:sz w:val="21"/>
                <w:szCs w:val="21"/>
              </w:rPr>
            </w:pPr>
            <w:r>
              <w:rPr>
                <w:rFonts w:hint="eastAsia" w:ascii="宋体" w:hAnsi="宋体" w:cs="宋体"/>
                <w:sz w:val="21"/>
                <w:szCs w:val="21"/>
              </w:rPr>
              <w:t>定期检查摄像头功能；</w:t>
            </w:r>
          </w:p>
          <w:p>
            <w:pPr>
              <w:keepNext w:val="0"/>
              <w:keepLines w:val="0"/>
              <w:pageBreakBefore w:val="0"/>
              <w:kinsoku/>
              <w:wordWrap/>
              <w:overflowPunct/>
              <w:topLinePunct w:val="0"/>
              <w:bidi w:val="0"/>
              <w:adjustRightInd w:val="0"/>
              <w:spacing w:line="360" w:lineRule="auto"/>
              <w:ind w:left="0" w:leftChars="0" w:right="0" w:rightChars="0"/>
              <w:textAlignment w:val="baseline"/>
              <w:rPr>
                <w:rFonts w:ascii="宋体" w:hAnsi="宋体" w:cs="宋体"/>
                <w:sz w:val="21"/>
                <w:szCs w:val="21"/>
              </w:rPr>
            </w:pPr>
            <w:r>
              <w:rPr>
                <w:rFonts w:hint="eastAsia" w:ascii="宋体" w:hAnsi="宋体" w:cs="宋体"/>
                <w:sz w:val="21"/>
                <w:szCs w:val="21"/>
              </w:rPr>
              <w:t>定期检查电源及网络设备；</w:t>
            </w:r>
          </w:p>
          <w:p>
            <w:pPr>
              <w:pStyle w:val="30"/>
              <w:keepNext w:val="0"/>
              <w:keepLines w:val="0"/>
              <w:pageBreakBefore w:val="0"/>
              <w:kinsoku/>
              <w:wordWrap/>
              <w:overflowPunct/>
              <w:topLinePunct w:val="0"/>
              <w:bidi w:val="0"/>
              <w:adjustRightInd w:val="0"/>
              <w:spacing w:line="360" w:lineRule="auto"/>
              <w:ind w:left="0" w:leftChars="0" w:right="0" w:rightChars="0"/>
              <w:jc w:val="left"/>
              <w:textAlignment w:val="baseline"/>
              <w:rPr>
                <w:rFonts w:cs="宋体"/>
                <w:sz w:val="21"/>
                <w:szCs w:val="21"/>
              </w:rPr>
            </w:pPr>
            <w:r>
              <w:rPr>
                <w:rFonts w:hint="eastAsia" w:cs="宋体"/>
                <w:sz w:val="21"/>
                <w:szCs w:val="21"/>
              </w:rPr>
              <w:t>定期检查防雷和防雨措施；</w:t>
            </w:r>
            <w:r>
              <w:rPr>
                <w:rFonts w:cs="宋体"/>
                <w:sz w:val="21"/>
                <w:szCs w:val="21"/>
              </w:rPr>
              <w:br w:type="textWrapping"/>
            </w:r>
            <w:r>
              <w:rPr>
                <w:rFonts w:hint="eastAsia" w:cs="宋体"/>
                <w:sz w:val="21"/>
                <w:szCs w:val="21"/>
              </w:rPr>
              <w:t>每日检查前端与路网指挥中心网络联通；</w:t>
            </w:r>
          </w:p>
        </w:tc>
        <w:tc>
          <w:tcPr>
            <w:tcW w:w="868" w:type="dxa"/>
            <w:vAlign w:val="center"/>
          </w:tcPr>
          <w:p>
            <w:pPr>
              <w:pStyle w:val="28"/>
              <w:keepNext w:val="0"/>
              <w:keepLines w:val="0"/>
              <w:pageBreakBefore w:val="0"/>
              <w:kinsoku/>
              <w:wordWrap/>
              <w:overflowPunct/>
              <w:topLinePunct w:val="0"/>
              <w:bidi w:val="0"/>
              <w:spacing w:line="360" w:lineRule="auto"/>
              <w:ind w:left="0" w:leftChars="0" w:right="0" w:rightChars="0" w:firstLine="0" w:firstLineChars="0"/>
              <w:jc w:val="center"/>
              <w:rPr>
                <w:rFonts w:ascii="宋体" w:hAnsi="宋体" w:eastAsia="宋体"/>
                <w:sz w:val="21"/>
                <w:szCs w:val="21"/>
              </w:rPr>
            </w:pPr>
            <w:r>
              <w:rPr>
                <w:rFonts w:hint="eastAsia" w:ascii="宋体" w:hAnsi="宋体" w:eastAsia="宋体"/>
                <w:sz w:val="21"/>
                <w:szCs w:val="21"/>
              </w:rPr>
              <w:t>25</w:t>
            </w:r>
          </w:p>
        </w:tc>
        <w:tc>
          <w:tcPr>
            <w:tcW w:w="792" w:type="dxa"/>
            <w:vAlign w:val="center"/>
          </w:tcPr>
          <w:p>
            <w:pPr>
              <w:pStyle w:val="28"/>
              <w:keepNext w:val="0"/>
              <w:keepLines w:val="0"/>
              <w:pageBreakBefore w:val="0"/>
              <w:kinsoku/>
              <w:wordWrap/>
              <w:overflowPunct/>
              <w:topLinePunct w:val="0"/>
              <w:bidi w:val="0"/>
              <w:spacing w:line="360" w:lineRule="auto"/>
              <w:ind w:left="0" w:leftChars="0" w:right="0" w:rightChars="0" w:firstLine="0" w:firstLineChars="0"/>
              <w:jc w:val="center"/>
              <w:rPr>
                <w:rFonts w:ascii="宋体" w:hAnsi="宋体" w:eastAsia="宋体"/>
                <w:sz w:val="21"/>
                <w:szCs w:val="21"/>
              </w:rPr>
            </w:pPr>
            <w:r>
              <w:rPr>
                <w:rFonts w:hint="eastAsia" w:ascii="宋体" w:hAnsi="宋体" w:eastAsia="宋体"/>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2" w:hRule="atLeast"/>
          <w:jc w:val="center"/>
        </w:trPr>
        <w:tc>
          <w:tcPr>
            <w:tcW w:w="746"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kinsoku/>
              <w:wordWrap/>
              <w:overflowPunct/>
              <w:topLinePunct w:val="0"/>
              <w:bidi w:val="0"/>
              <w:spacing w:line="360" w:lineRule="auto"/>
              <w:ind w:left="0" w:leftChars="0" w:right="0" w:rightChars="0" w:firstLine="0" w:firstLineChars="0"/>
              <w:jc w:val="center"/>
              <w:rPr>
                <w:rFonts w:ascii="宋体" w:hAnsi="宋体" w:eastAsia="宋体"/>
                <w:sz w:val="21"/>
                <w:szCs w:val="21"/>
              </w:rPr>
            </w:pPr>
            <w:r>
              <w:rPr>
                <w:rFonts w:hint="eastAsia" w:ascii="宋体" w:hAnsi="宋体" w:eastAsia="宋体"/>
                <w:sz w:val="21"/>
                <w:szCs w:val="21"/>
              </w:rPr>
              <w:t>2</w:t>
            </w:r>
          </w:p>
        </w:tc>
        <w:tc>
          <w:tcPr>
            <w:tcW w:w="1825" w:type="dxa"/>
            <w:tcBorders>
              <w:top w:val="single" w:color="auto" w:sz="4" w:space="0"/>
              <w:left w:val="single" w:color="auto" w:sz="4" w:space="0"/>
              <w:bottom w:val="single" w:color="auto" w:sz="4" w:space="0"/>
              <w:right w:val="single" w:color="auto" w:sz="4" w:space="0"/>
            </w:tcBorders>
            <w:vAlign w:val="center"/>
          </w:tcPr>
          <w:p>
            <w:pPr>
              <w:pStyle w:val="30"/>
              <w:keepNext w:val="0"/>
              <w:keepLines w:val="0"/>
              <w:pageBreakBefore w:val="0"/>
              <w:kinsoku/>
              <w:wordWrap/>
              <w:overflowPunct/>
              <w:topLinePunct w:val="0"/>
              <w:bidi w:val="0"/>
              <w:spacing w:line="360" w:lineRule="auto"/>
              <w:ind w:left="0" w:leftChars="0" w:right="0" w:rightChars="0"/>
              <w:rPr>
                <w:rFonts w:cs="宋体"/>
                <w:sz w:val="21"/>
                <w:szCs w:val="21"/>
              </w:rPr>
            </w:pPr>
            <w:r>
              <w:rPr>
                <w:rFonts w:hint="eastAsia" w:cs="宋体"/>
                <w:sz w:val="21"/>
                <w:szCs w:val="21"/>
              </w:rPr>
              <w:t>可变情报板</w:t>
            </w:r>
          </w:p>
        </w:tc>
        <w:tc>
          <w:tcPr>
            <w:tcW w:w="4808" w:type="dxa"/>
            <w:vAlign w:val="center"/>
          </w:tcPr>
          <w:p>
            <w:pPr>
              <w:keepNext w:val="0"/>
              <w:keepLines w:val="0"/>
              <w:pageBreakBefore w:val="0"/>
              <w:kinsoku/>
              <w:wordWrap/>
              <w:overflowPunct/>
              <w:topLinePunct w:val="0"/>
              <w:bidi w:val="0"/>
              <w:adjustRightInd w:val="0"/>
              <w:spacing w:line="360" w:lineRule="auto"/>
              <w:ind w:left="0" w:leftChars="0" w:right="0" w:rightChars="0"/>
              <w:textAlignment w:val="baseline"/>
              <w:rPr>
                <w:rFonts w:ascii="宋体" w:hAnsi="宋体" w:cs="宋体"/>
                <w:sz w:val="21"/>
                <w:szCs w:val="21"/>
              </w:rPr>
            </w:pPr>
            <w:r>
              <w:rPr>
                <w:rFonts w:hint="eastAsia" w:ascii="宋体" w:hAnsi="宋体" w:cs="宋体"/>
                <w:sz w:val="21"/>
                <w:szCs w:val="21"/>
              </w:rPr>
              <w:t>前端设备定期巡检；</w:t>
            </w:r>
          </w:p>
          <w:p>
            <w:pPr>
              <w:keepNext w:val="0"/>
              <w:keepLines w:val="0"/>
              <w:pageBreakBefore w:val="0"/>
              <w:kinsoku/>
              <w:wordWrap/>
              <w:overflowPunct/>
              <w:topLinePunct w:val="0"/>
              <w:bidi w:val="0"/>
              <w:adjustRightInd w:val="0"/>
              <w:spacing w:line="360" w:lineRule="auto"/>
              <w:ind w:left="0" w:leftChars="0" w:right="0" w:rightChars="0"/>
              <w:textAlignment w:val="baseline"/>
              <w:rPr>
                <w:rFonts w:ascii="宋体" w:hAnsi="宋体" w:cs="宋体"/>
                <w:sz w:val="21"/>
                <w:szCs w:val="21"/>
              </w:rPr>
            </w:pPr>
            <w:r>
              <w:rPr>
                <w:rFonts w:hint="eastAsia" w:ascii="宋体" w:hAnsi="宋体" w:cs="宋体"/>
                <w:sz w:val="21"/>
                <w:szCs w:val="21"/>
              </w:rPr>
              <w:t>检查防雷和防雨措施；</w:t>
            </w:r>
          </w:p>
          <w:p>
            <w:pPr>
              <w:keepNext w:val="0"/>
              <w:keepLines w:val="0"/>
              <w:pageBreakBefore w:val="0"/>
              <w:kinsoku/>
              <w:wordWrap/>
              <w:overflowPunct/>
              <w:topLinePunct w:val="0"/>
              <w:bidi w:val="0"/>
              <w:adjustRightInd w:val="0"/>
              <w:spacing w:line="360" w:lineRule="auto"/>
              <w:ind w:left="0" w:leftChars="0" w:right="0" w:rightChars="0"/>
              <w:textAlignment w:val="baseline"/>
              <w:rPr>
                <w:rFonts w:ascii="宋体" w:hAnsi="宋体" w:cs="宋体"/>
                <w:sz w:val="21"/>
                <w:szCs w:val="21"/>
              </w:rPr>
            </w:pPr>
            <w:r>
              <w:rPr>
                <w:rFonts w:hint="eastAsia" w:ascii="宋体" w:hAnsi="宋体" w:cs="宋体"/>
                <w:sz w:val="21"/>
                <w:szCs w:val="21"/>
              </w:rPr>
              <w:t>定期做情报板面板清洁；</w:t>
            </w:r>
          </w:p>
          <w:p>
            <w:pPr>
              <w:keepNext w:val="0"/>
              <w:keepLines w:val="0"/>
              <w:pageBreakBefore w:val="0"/>
              <w:kinsoku/>
              <w:wordWrap/>
              <w:overflowPunct/>
              <w:topLinePunct w:val="0"/>
              <w:bidi w:val="0"/>
              <w:adjustRightInd w:val="0"/>
              <w:spacing w:line="360" w:lineRule="auto"/>
              <w:ind w:left="0" w:leftChars="0" w:right="0" w:rightChars="0"/>
              <w:textAlignment w:val="baseline"/>
              <w:rPr>
                <w:rFonts w:ascii="宋体" w:hAnsi="宋体" w:cs="宋体"/>
                <w:sz w:val="21"/>
                <w:szCs w:val="21"/>
              </w:rPr>
            </w:pPr>
            <w:r>
              <w:rPr>
                <w:rFonts w:hint="eastAsia" w:ascii="宋体" w:hAnsi="宋体" w:cs="宋体"/>
                <w:sz w:val="21"/>
                <w:szCs w:val="21"/>
              </w:rPr>
              <w:t>定期检查屏体线路；</w:t>
            </w:r>
          </w:p>
          <w:p>
            <w:pPr>
              <w:keepNext w:val="0"/>
              <w:keepLines w:val="0"/>
              <w:pageBreakBefore w:val="0"/>
              <w:kinsoku/>
              <w:wordWrap/>
              <w:overflowPunct/>
              <w:topLinePunct w:val="0"/>
              <w:bidi w:val="0"/>
              <w:adjustRightInd w:val="0"/>
              <w:spacing w:line="360" w:lineRule="auto"/>
              <w:ind w:left="0" w:leftChars="0" w:right="0" w:rightChars="0"/>
              <w:textAlignment w:val="baseline"/>
              <w:rPr>
                <w:rFonts w:ascii="宋体" w:hAnsi="宋体" w:cs="宋体"/>
                <w:sz w:val="21"/>
                <w:szCs w:val="21"/>
              </w:rPr>
            </w:pPr>
            <w:r>
              <w:rPr>
                <w:rFonts w:hint="eastAsia" w:ascii="宋体" w:hAnsi="宋体" w:cs="宋体"/>
                <w:sz w:val="21"/>
                <w:szCs w:val="21"/>
              </w:rPr>
              <w:t xml:space="preserve">每天检查路网指挥中心跟情报板网络联通，信息发布是否正常；                       </w:t>
            </w:r>
          </w:p>
          <w:p>
            <w:pPr>
              <w:pStyle w:val="30"/>
              <w:keepNext w:val="0"/>
              <w:keepLines w:val="0"/>
              <w:pageBreakBefore w:val="0"/>
              <w:kinsoku/>
              <w:wordWrap/>
              <w:overflowPunct/>
              <w:topLinePunct w:val="0"/>
              <w:bidi w:val="0"/>
              <w:adjustRightInd w:val="0"/>
              <w:spacing w:line="360" w:lineRule="auto"/>
              <w:ind w:left="0" w:leftChars="0" w:right="0" w:rightChars="0"/>
              <w:jc w:val="left"/>
              <w:textAlignment w:val="baseline"/>
              <w:rPr>
                <w:rFonts w:cs="宋体"/>
                <w:sz w:val="21"/>
                <w:szCs w:val="21"/>
              </w:rPr>
            </w:pPr>
            <w:r>
              <w:rPr>
                <w:rFonts w:hint="eastAsia" w:cs="宋体"/>
                <w:sz w:val="21"/>
                <w:szCs w:val="21"/>
              </w:rPr>
              <w:t>按照宁波市公路运输中心要求对可变情报板做好改造工作。</w:t>
            </w:r>
          </w:p>
        </w:tc>
        <w:tc>
          <w:tcPr>
            <w:tcW w:w="868"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kinsoku/>
              <w:wordWrap/>
              <w:overflowPunct/>
              <w:topLinePunct w:val="0"/>
              <w:bidi w:val="0"/>
              <w:spacing w:line="360" w:lineRule="auto"/>
              <w:ind w:left="0" w:leftChars="0" w:right="0" w:rightChars="0" w:firstLine="0" w:firstLineChars="0"/>
              <w:jc w:val="center"/>
              <w:rPr>
                <w:rFonts w:ascii="宋体" w:hAnsi="宋体" w:eastAsia="宋体"/>
                <w:sz w:val="21"/>
                <w:szCs w:val="21"/>
              </w:rPr>
            </w:pPr>
            <w:r>
              <w:rPr>
                <w:rFonts w:ascii="宋体" w:hAnsi="宋体" w:eastAsia="宋体"/>
                <w:sz w:val="21"/>
                <w:szCs w:val="21"/>
              </w:rPr>
              <w:t>7</w:t>
            </w:r>
          </w:p>
        </w:tc>
        <w:tc>
          <w:tcPr>
            <w:tcW w:w="792"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kinsoku/>
              <w:wordWrap/>
              <w:overflowPunct/>
              <w:topLinePunct w:val="0"/>
              <w:bidi w:val="0"/>
              <w:spacing w:line="360" w:lineRule="auto"/>
              <w:ind w:left="0" w:leftChars="0" w:right="0" w:rightChars="0" w:firstLine="0" w:firstLineChars="0"/>
              <w:jc w:val="center"/>
              <w:rPr>
                <w:rFonts w:ascii="宋体" w:hAnsi="宋体" w:eastAsia="宋体"/>
                <w:sz w:val="21"/>
                <w:szCs w:val="21"/>
              </w:rPr>
            </w:pPr>
            <w:r>
              <w:rPr>
                <w:rFonts w:hint="eastAsia" w:ascii="宋体" w:hAnsi="宋体" w:eastAsia="宋体"/>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jc w:val="center"/>
        </w:trPr>
        <w:tc>
          <w:tcPr>
            <w:tcW w:w="746"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kinsoku/>
              <w:wordWrap/>
              <w:overflowPunct/>
              <w:topLinePunct w:val="0"/>
              <w:bidi w:val="0"/>
              <w:spacing w:line="360" w:lineRule="auto"/>
              <w:ind w:left="0" w:leftChars="0" w:right="0" w:rightChars="0" w:firstLine="0" w:firstLineChars="0"/>
              <w:jc w:val="center"/>
              <w:rPr>
                <w:rFonts w:ascii="宋体" w:hAnsi="宋体" w:eastAsia="宋体"/>
                <w:sz w:val="21"/>
                <w:szCs w:val="21"/>
              </w:rPr>
            </w:pPr>
            <w:r>
              <w:rPr>
                <w:rFonts w:hint="eastAsia" w:ascii="宋体" w:hAnsi="宋体" w:eastAsia="宋体"/>
                <w:sz w:val="21"/>
                <w:szCs w:val="21"/>
              </w:rPr>
              <w:t>3</w:t>
            </w:r>
          </w:p>
        </w:tc>
        <w:tc>
          <w:tcPr>
            <w:tcW w:w="1825" w:type="dxa"/>
            <w:tcBorders>
              <w:top w:val="single" w:color="auto" w:sz="4" w:space="0"/>
              <w:left w:val="single" w:color="auto" w:sz="4" w:space="0"/>
              <w:bottom w:val="single" w:color="auto" w:sz="4" w:space="0"/>
              <w:right w:val="single" w:color="auto" w:sz="4" w:space="0"/>
            </w:tcBorders>
            <w:vAlign w:val="center"/>
          </w:tcPr>
          <w:p>
            <w:pPr>
              <w:pStyle w:val="30"/>
              <w:keepNext w:val="0"/>
              <w:keepLines w:val="0"/>
              <w:pageBreakBefore w:val="0"/>
              <w:kinsoku/>
              <w:wordWrap/>
              <w:overflowPunct/>
              <w:topLinePunct w:val="0"/>
              <w:bidi w:val="0"/>
              <w:spacing w:line="360" w:lineRule="auto"/>
              <w:ind w:left="0" w:leftChars="0" w:right="0" w:rightChars="0"/>
              <w:rPr>
                <w:rFonts w:cs="宋体"/>
                <w:sz w:val="21"/>
                <w:szCs w:val="21"/>
              </w:rPr>
            </w:pPr>
            <w:r>
              <w:rPr>
                <w:rFonts w:hint="eastAsia" w:cs="宋体"/>
                <w:sz w:val="21"/>
                <w:szCs w:val="21"/>
              </w:rPr>
              <w:t>交通流量观测设备</w:t>
            </w:r>
          </w:p>
        </w:tc>
        <w:tc>
          <w:tcPr>
            <w:tcW w:w="4808" w:type="dxa"/>
          </w:tcPr>
          <w:p>
            <w:pPr>
              <w:keepNext w:val="0"/>
              <w:keepLines w:val="0"/>
              <w:pageBreakBefore w:val="0"/>
              <w:kinsoku/>
              <w:wordWrap/>
              <w:overflowPunct/>
              <w:topLinePunct w:val="0"/>
              <w:bidi w:val="0"/>
              <w:adjustRightInd w:val="0"/>
              <w:spacing w:line="360" w:lineRule="auto"/>
              <w:ind w:left="0" w:leftChars="0" w:right="0" w:rightChars="0"/>
              <w:textAlignment w:val="baseline"/>
              <w:rPr>
                <w:rFonts w:ascii="宋体" w:hAnsi="宋体" w:cs="宋体"/>
                <w:sz w:val="21"/>
                <w:szCs w:val="21"/>
              </w:rPr>
            </w:pPr>
            <w:r>
              <w:rPr>
                <w:rFonts w:hint="eastAsia" w:ascii="宋体" w:hAnsi="宋体" w:cs="宋体"/>
                <w:sz w:val="21"/>
                <w:szCs w:val="21"/>
              </w:rPr>
              <w:t>定期大巡检，维修保养,一年</w:t>
            </w:r>
            <w:r>
              <w:rPr>
                <w:rFonts w:ascii="宋体" w:hAnsi="宋体" w:cs="宋体"/>
                <w:sz w:val="21"/>
                <w:szCs w:val="21"/>
              </w:rPr>
              <w:t>至少对</w:t>
            </w:r>
            <w:r>
              <w:rPr>
                <w:rFonts w:hint="eastAsia" w:ascii="宋体" w:hAnsi="宋体" w:cs="宋体"/>
                <w:sz w:val="21"/>
                <w:szCs w:val="21"/>
              </w:rPr>
              <w:t>交调</w:t>
            </w:r>
            <w:r>
              <w:rPr>
                <w:rFonts w:ascii="宋体" w:hAnsi="宋体" w:cs="宋体"/>
                <w:sz w:val="21"/>
                <w:szCs w:val="21"/>
              </w:rPr>
              <w:t>设备校对一次</w:t>
            </w:r>
          </w:p>
          <w:p>
            <w:pPr>
              <w:keepNext w:val="0"/>
              <w:keepLines w:val="0"/>
              <w:pageBreakBefore w:val="0"/>
              <w:kinsoku/>
              <w:wordWrap/>
              <w:overflowPunct/>
              <w:topLinePunct w:val="0"/>
              <w:bidi w:val="0"/>
              <w:adjustRightInd w:val="0"/>
              <w:spacing w:line="360" w:lineRule="auto"/>
              <w:ind w:left="0" w:leftChars="0" w:right="0" w:rightChars="0"/>
              <w:textAlignment w:val="baseline"/>
              <w:rPr>
                <w:rFonts w:ascii="宋体" w:hAnsi="宋体" w:cs="宋体"/>
                <w:sz w:val="21"/>
                <w:szCs w:val="21"/>
              </w:rPr>
            </w:pPr>
            <w:r>
              <w:rPr>
                <w:rFonts w:hint="eastAsia" w:ascii="宋体" w:hAnsi="宋体" w:cs="宋体"/>
                <w:sz w:val="21"/>
                <w:szCs w:val="21"/>
              </w:rPr>
              <w:t>检测前端微波激光线圈等各类型设备的运行状况</w:t>
            </w:r>
          </w:p>
          <w:p>
            <w:pPr>
              <w:keepNext w:val="0"/>
              <w:keepLines w:val="0"/>
              <w:pageBreakBefore w:val="0"/>
              <w:kinsoku/>
              <w:wordWrap/>
              <w:overflowPunct/>
              <w:topLinePunct w:val="0"/>
              <w:bidi w:val="0"/>
              <w:adjustRightInd w:val="0"/>
              <w:spacing w:line="360" w:lineRule="auto"/>
              <w:ind w:left="0" w:leftChars="0" w:right="0" w:rightChars="0"/>
              <w:textAlignment w:val="baseline"/>
              <w:rPr>
                <w:rFonts w:ascii="宋体" w:hAnsi="宋体" w:cs="宋体"/>
                <w:sz w:val="21"/>
                <w:szCs w:val="21"/>
              </w:rPr>
            </w:pPr>
            <w:r>
              <w:rPr>
                <w:rFonts w:hint="eastAsia" w:ascii="宋体" w:hAnsi="宋体" w:cs="宋体"/>
                <w:sz w:val="21"/>
                <w:szCs w:val="21"/>
              </w:rPr>
              <w:t>检测网络连接是否畅通</w:t>
            </w:r>
          </w:p>
          <w:p>
            <w:pPr>
              <w:pStyle w:val="30"/>
              <w:keepNext w:val="0"/>
              <w:keepLines w:val="0"/>
              <w:pageBreakBefore w:val="0"/>
              <w:kinsoku/>
              <w:wordWrap/>
              <w:overflowPunct/>
              <w:topLinePunct w:val="0"/>
              <w:bidi w:val="0"/>
              <w:adjustRightInd w:val="0"/>
              <w:spacing w:line="360" w:lineRule="auto"/>
              <w:ind w:left="0" w:leftChars="0" w:right="0" w:rightChars="0"/>
              <w:jc w:val="left"/>
              <w:textAlignment w:val="baseline"/>
              <w:rPr>
                <w:rFonts w:cs="宋体"/>
                <w:sz w:val="21"/>
                <w:szCs w:val="21"/>
              </w:rPr>
            </w:pPr>
            <w:r>
              <w:rPr>
                <w:rFonts w:hint="eastAsia" w:cs="宋体"/>
                <w:sz w:val="21"/>
                <w:szCs w:val="21"/>
              </w:rPr>
              <w:t xml:space="preserve">检测前端数据上传省交调系统平台是否正常                                      </w:t>
            </w:r>
          </w:p>
        </w:tc>
        <w:tc>
          <w:tcPr>
            <w:tcW w:w="868"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kinsoku/>
              <w:wordWrap/>
              <w:overflowPunct/>
              <w:topLinePunct w:val="0"/>
              <w:bidi w:val="0"/>
              <w:spacing w:line="360" w:lineRule="auto"/>
              <w:ind w:left="0" w:leftChars="0" w:right="0" w:rightChars="0" w:firstLine="0" w:firstLineChars="0"/>
              <w:jc w:val="center"/>
              <w:rPr>
                <w:rFonts w:ascii="宋体" w:hAnsi="宋体" w:eastAsia="宋体"/>
                <w:sz w:val="21"/>
                <w:szCs w:val="21"/>
              </w:rPr>
            </w:pPr>
            <w:r>
              <w:rPr>
                <w:rFonts w:ascii="宋体" w:hAnsi="宋体" w:eastAsia="宋体"/>
                <w:sz w:val="21"/>
                <w:szCs w:val="21"/>
              </w:rPr>
              <w:t>4</w:t>
            </w:r>
          </w:p>
        </w:tc>
        <w:tc>
          <w:tcPr>
            <w:tcW w:w="792" w:type="dxa"/>
            <w:tcBorders>
              <w:top w:val="single" w:color="auto" w:sz="4" w:space="0"/>
              <w:left w:val="single" w:color="auto" w:sz="4" w:space="0"/>
              <w:bottom w:val="single" w:color="auto" w:sz="4" w:space="0"/>
              <w:right w:val="single" w:color="auto" w:sz="4" w:space="0"/>
            </w:tcBorders>
            <w:vAlign w:val="center"/>
          </w:tcPr>
          <w:p>
            <w:pPr>
              <w:pStyle w:val="28"/>
              <w:keepNext w:val="0"/>
              <w:keepLines w:val="0"/>
              <w:pageBreakBefore w:val="0"/>
              <w:kinsoku/>
              <w:wordWrap/>
              <w:overflowPunct/>
              <w:topLinePunct w:val="0"/>
              <w:bidi w:val="0"/>
              <w:spacing w:line="360" w:lineRule="auto"/>
              <w:ind w:left="0" w:leftChars="0" w:right="0" w:rightChars="0" w:firstLine="0" w:firstLineChars="0"/>
              <w:jc w:val="center"/>
              <w:rPr>
                <w:rFonts w:ascii="宋体" w:hAnsi="宋体" w:eastAsia="宋体"/>
                <w:sz w:val="21"/>
                <w:szCs w:val="21"/>
              </w:rPr>
            </w:pPr>
            <w:r>
              <w:rPr>
                <w:rFonts w:hint="eastAsia" w:ascii="宋体" w:hAnsi="宋体" w:eastAsia="宋体"/>
                <w:sz w:val="21"/>
                <w:szCs w:val="21"/>
              </w:rPr>
              <w:t>套</w:t>
            </w:r>
          </w:p>
        </w:tc>
      </w:tr>
    </w:tbl>
    <w:p>
      <w:pPr>
        <w:keepNext w:val="0"/>
        <w:keepLines w:val="0"/>
        <w:pageBreakBefore w:val="0"/>
        <w:widowControl/>
        <w:kinsoku/>
        <w:wordWrap/>
        <w:overflowPunct/>
        <w:topLinePunct w:val="0"/>
        <w:bidi w:val="0"/>
        <w:spacing w:line="360" w:lineRule="auto"/>
        <w:ind w:left="0" w:leftChars="0" w:right="0" w:rightChars="0" w:firstLine="315" w:firstLineChars="150"/>
        <w:jc w:val="left"/>
        <w:textAlignment w:val="center"/>
        <w:rPr>
          <w:rFonts w:ascii="宋体" w:hAnsi="宋体" w:cs="宋体"/>
          <w:szCs w:val="21"/>
        </w:rPr>
      </w:pPr>
    </w:p>
    <w:p>
      <w:pPr>
        <w:keepNext w:val="0"/>
        <w:keepLines w:val="0"/>
        <w:pageBreakBefore w:val="0"/>
        <w:widowControl/>
        <w:kinsoku/>
        <w:wordWrap/>
        <w:overflowPunct/>
        <w:topLinePunct w:val="0"/>
        <w:bidi w:val="0"/>
        <w:spacing w:line="360" w:lineRule="auto"/>
        <w:ind w:left="0" w:leftChars="0" w:right="0" w:rightChars="0" w:firstLine="315" w:firstLineChars="150"/>
        <w:jc w:val="left"/>
        <w:textAlignment w:val="center"/>
        <w:rPr>
          <w:rFonts w:ascii="宋体" w:hAnsi="宋体" w:cs="宋体"/>
          <w:szCs w:val="21"/>
        </w:rPr>
      </w:pPr>
      <w:r>
        <w:rPr>
          <w:rFonts w:hint="eastAsia" w:ascii="宋体" w:hAnsi="宋体" w:cs="宋体"/>
          <w:szCs w:val="21"/>
        </w:rPr>
        <w:t>（四）其他要求</w:t>
      </w:r>
    </w:p>
    <w:p>
      <w:pPr>
        <w:keepNext w:val="0"/>
        <w:keepLines w:val="0"/>
        <w:pageBreakBefore w:val="0"/>
        <w:widowControl/>
        <w:kinsoku/>
        <w:wordWrap/>
        <w:overflowPunct/>
        <w:topLinePunct w:val="0"/>
        <w:bidi w:val="0"/>
        <w:spacing w:line="360" w:lineRule="auto"/>
        <w:ind w:left="0" w:leftChars="0" w:right="0" w:rightChars="0" w:firstLine="315" w:firstLineChars="150"/>
        <w:jc w:val="left"/>
        <w:textAlignment w:val="center"/>
        <w:rPr>
          <w:rFonts w:ascii="宋体" w:hAnsi="宋体" w:cs="宋体"/>
          <w:szCs w:val="21"/>
        </w:rPr>
      </w:pPr>
      <w:r>
        <w:rPr>
          <w:rFonts w:hint="eastAsia" w:ascii="宋体" w:hAnsi="宋体" w:cs="宋体"/>
          <w:szCs w:val="21"/>
        </w:rPr>
        <w:t>1、保障数字公路县乡道外场、数字公路内场设施设备的稳定性和可靠性；</w:t>
      </w:r>
    </w:p>
    <w:p>
      <w:pPr>
        <w:keepNext w:val="0"/>
        <w:keepLines w:val="0"/>
        <w:pageBreakBefore w:val="0"/>
        <w:widowControl/>
        <w:kinsoku/>
        <w:wordWrap/>
        <w:overflowPunct/>
        <w:topLinePunct w:val="0"/>
        <w:bidi w:val="0"/>
        <w:spacing w:line="360" w:lineRule="auto"/>
        <w:ind w:left="0" w:leftChars="0" w:right="0" w:rightChars="0" w:firstLine="315" w:firstLineChars="150"/>
        <w:jc w:val="left"/>
        <w:textAlignment w:val="center"/>
        <w:rPr>
          <w:rFonts w:ascii="宋体" w:hAnsi="宋体" w:cs="宋体"/>
          <w:szCs w:val="21"/>
        </w:rPr>
      </w:pPr>
      <w:r>
        <w:rPr>
          <w:rFonts w:hint="eastAsia" w:ascii="宋体" w:hAnsi="宋体" w:cs="宋体"/>
          <w:szCs w:val="21"/>
        </w:rPr>
        <w:t>2、数字公路外场设施每月定期巡检（每周一次）；</w:t>
      </w:r>
    </w:p>
    <w:p>
      <w:pPr>
        <w:keepNext w:val="0"/>
        <w:keepLines w:val="0"/>
        <w:pageBreakBefore w:val="0"/>
        <w:widowControl/>
        <w:kinsoku/>
        <w:wordWrap/>
        <w:overflowPunct/>
        <w:topLinePunct w:val="0"/>
        <w:bidi w:val="0"/>
        <w:spacing w:line="360" w:lineRule="auto"/>
        <w:ind w:left="0" w:leftChars="0" w:right="0" w:rightChars="0" w:firstLine="315" w:firstLineChars="150"/>
        <w:jc w:val="left"/>
        <w:textAlignment w:val="center"/>
        <w:rPr>
          <w:rFonts w:ascii="宋体" w:hAnsi="宋体" w:cs="宋体"/>
          <w:szCs w:val="21"/>
        </w:rPr>
      </w:pPr>
      <w:r>
        <w:rPr>
          <w:rFonts w:hint="eastAsia" w:ascii="宋体" w:hAnsi="宋体" w:cs="宋体"/>
          <w:szCs w:val="21"/>
        </w:rPr>
        <w:t>3、数字公路外场设施设备遇有故障应及时响应，简易情况2日内修复，如需更换设备，3日内修复，特殊复杂情况当天书面说明；</w:t>
      </w:r>
    </w:p>
    <w:p>
      <w:pPr>
        <w:keepNext w:val="0"/>
        <w:keepLines w:val="0"/>
        <w:pageBreakBefore w:val="0"/>
        <w:widowControl/>
        <w:kinsoku/>
        <w:wordWrap/>
        <w:overflowPunct/>
        <w:topLinePunct w:val="0"/>
        <w:bidi w:val="0"/>
        <w:spacing w:line="360" w:lineRule="auto"/>
        <w:ind w:left="0" w:leftChars="0" w:right="0" w:rightChars="0" w:firstLine="315" w:firstLineChars="150"/>
        <w:jc w:val="left"/>
        <w:textAlignment w:val="center"/>
        <w:rPr>
          <w:rFonts w:ascii="宋体" w:hAnsi="宋体" w:cs="宋体"/>
          <w:szCs w:val="21"/>
        </w:rPr>
      </w:pPr>
      <w:r>
        <w:rPr>
          <w:rFonts w:hint="eastAsia" w:ascii="宋体" w:hAnsi="宋体" w:cs="宋体"/>
          <w:szCs w:val="21"/>
        </w:rPr>
        <w:t>4、必须提供数字公路外场设施核心设备的备品备件,包括固定视频监控（百万像素高清摄像机）、可变情报板（RAM控制系统、信息屏显示屏体）、交通流量观测设备（高清视频单元、便携式</w:t>
      </w:r>
      <w:r>
        <w:rPr>
          <w:rFonts w:ascii="宋体" w:hAnsi="宋体" w:cs="宋体"/>
          <w:szCs w:val="21"/>
        </w:rPr>
        <w:t>交调</w:t>
      </w:r>
      <w:r>
        <w:rPr>
          <w:rFonts w:hint="eastAsia" w:ascii="宋体" w:hAnsi="宋体" w:cs="宋体"/>
          <w:szCs w:val="21"/>
        </w:rPr>
        <w:t>）；</w:t>
      </w:r>
    </w:p>
    <w:p>
      <w:pPr>
        <w:keepNext w:val="0"/>
        <w:keepLines w:val="0"/>
        <w:pageBreakBefore w:val="0"/>
        <w:widowControl/>
        <w:kinsoku/>
        <w:wordWrap/>
        <w:overflowPunct/>
        <w:topLinePunct w:val="0"/>
        <w:bidi w:val="0"/>
        <w:spacing w:line="360" w:lineRule="auto"/>
        <w:ind w:left="0" w:leftChars="0" w:right="0" w:rightChars="0" w:firstLine="315" w:firstLineChars="150"/>
        <w:jc w:val="left"/>
        <w:textAlignment w:val="center"/>
        <w:rPr>
          <w:rFonts w:ascii="宋体" w:hAnsi="宋体" w:cs="宋体"/>
          <w:szCs w:val="21"/>
        </w:rPr>
      </w:pPr>
      <w:r>
        <w:rPr>
          <w:rFonts w:hint="eastAsia" w:ascii="宋体" w:hAnsi="宋体" w:cs="宋体"/>
          <w:szCs w:val="21"/>
        </w:rPr>
        <w:t>5、数字公路外场设施周度平均连通率不应低于95%；交调设备及时率不应低于9</w:t>
      </w:r>
      <w:r>
        <w:rPr>
          <w:rFonts w:ascii="宋体" w:hAnsi="宋体" w:cs="宋体"/>
          <w:szCs w:val="21"/>
        </w:rPr>
        <w:t>0%</w:t>
      </w:r>
      <w:r>
        <w:rPr>
          <w:rFonts w:hint="eastAsia" w:ascii="宋体" w:hAnsi="宋体" w:cs="宋体"/>
          <w:szCs w:val="21"/>
        </w:rPr>
        <w:t>；准确率不应低于9</w:t>
      </w:r>
      <w:r>
        <w:rPr>
          <w:rFonts w:ascii="宋体" w:hAnsi="宋体" w:cs="宋体"/>
          <w:szCs w:val="21"/>
        </w:rPr>
        <w:t>9.5%</w:t>
      </w:r>
      <w:r>
        <w:rPr>
          <w:rFonts w:hint="eastAsia" w:ascii="宋体" w:hAnsi="宋体" w:cs="宋体"/>
          <w:szCs w:val="21"/>
        </w:rPr>
        <w:t>；完整率不应低于8</w:t>
      </w:r>
      <w:r>
        <w:rPr>
          <w:rFonts w:ascii="宋体" w:hAnsi="宋体" w:cs="宋体"/>
          <w:szCs w:val="21"/>
        </w:rPr>
        <w:t>5%</w:t>
      </w:r>
      <w:r>
        <w:rPr>
          <w:rFonts w:hint="eastAsia" w:ascii="宋体" w:hAnsi="宋体" w:cs="宋体"/>
          <w:szCs w:val="21"/>
        </w:rPr>
        <w:t>；</w:t>
      </w:r>
    </w:p>
    <w:p>
      <w:pPr>
        <w:keepNext w:val="0"/>
        <w:keepLines w:val="0"/>
        <w:pageBreakBefore w:val="0"/>
        <w:widowControl/>
        <w:kinsoku/>
        <w:wordWrap/>
        <w:overflowPunct/>
        <w:topLinePunct w:val="0"/>
        <w:bidi w:val="0"/>
        <w:spacing w:line="360" w:lineRule="auto"/>
        <w:ind w:left="0" w:leftChars="0" w:right="0" w:rightChars="0" w:firstLine="315" w:firstLineChars="150"/>
        <w:jc w:val="left"/>
        <w:textAlignment w:val="center"/>
        <w:rPr>
          <w:rFonts w:ascii="宋体" w:hAnsi="宋体" w:cs="宋体"/>
          <w:szCs w:val="21"/>
        </w:rPr>
      </w:pPr>
      <w:r>
        <w:rPr>
          <w:rFonts w:hint="eastAsia" w:ascii="宋体" w:hAnsi="宋体" w:cs="宋体"/>
          <w:szCs w:val="21"/>
        </w:rPr>
        <w:t>6、建立内外场设施设备维护台账（含各单一事件的时间、地点、人物、起因、经过、结果），必须</w:t>
      </w:r>
      <w:r>
        <w:rPr>
          <w:rFonts w:ascii="宋体" w:hAnsi="宋体" w:cs="宋体"/>
          <w:szCs w:val="21"/>
        </w:rPr>
        <w:t>附现场</w:t>
      </w:r>
      <w:r>
        <w:rPr>
          <w:rFonts w:hint="eastAsia" w:ascii="宋体" w:hAnsi="宋体" w:cs="宋体"/>
          <w:szCs w:val="21"/>
        </w:rPr>
        <w:t>运维</w:t>
      </w:r>
      <w:r>
        <w:rPr>
          <w:rFonts w:ascii="宋体" w:hAnsi="宋体" w:cs="宋体"/>
          <w:szCs w:val="21"/>
        </w:rPr>
        <w:t>照片，</w:t>
      </w:r>
      <w:r>
        <w:rPr>
          <w:rFonts w:hint="eastAsia" w:ascii="宋体" w:hAnsi="宋体" w:cs="宋体"/>
          <w:szCs w:val="21"/>
        </w:rPr>
        <w:t>每月</w:t>
      </w:r>
      <w:r>
        <w:rPr>
          <w:rFonts w:ascii="宋体" w:hAnsi="宋体" w:cs="宋体"/>
          <w:szCs w:val="21"/>
        </w:rPr>
        <w:t>30</w:t>
      </w:r>
      <w:r>
        <w:rPr>
          <w:rFonts w:hint="eastAsia" w:ascii="宋体" w:hAnsi="宋体" w:cs="宋体"/>
          <w:szCs w:val="21"/>
        </w:rPr>
        <w:t>号前报送宁波市镇海区交通运输管理中心；</w:t>
      </w:r>
    </w:p>
    <w:p>
      <w:pPr>
        <w:keepNext w:val="0"/>
        <w:keepLines w:val="0"/>
        <w:pageBreakBefore w:val="0"/>
        <w:widowControl/>
        <w:kinsoku/>
        <w:wordWrap/>
        <w:overflowPunct/>
        <w:topLinePunct w:val="0"/>
        <w:bidi w:val="0"/>
        <w:spacing w:line="360" w:lineRule="auto"/>
        <w:ind w:left="0" w:leftChars="0" w:right="0" w:rightChars="0" w:firstLine="315" w:firstLineChars="150"/>
        <w:jc w:val="left"/>
        <w:textAlignment w:val="center"/>
        <w:rPr>
          <w:rFonts w:ascii="宋体" w:hAnsi="宋体" w:cs="宋体"/>
          <w:szCs w:val="21"/>
        </w:rPr>
      </w:pPr>
      <w:r>
        <w:rPr>
          <w:rFonts w:hint="eastAsia" w:ascii="宋体" w:hAnsi="宋体" w:cs="宋体"/>
          <w:szCs w:val="21"/>
        </w:rPr>
        <w:t>7、供应商在维护作业期间需配备必要的劳动保护用品，具备施工内外协调能力、安全生产管理能力、文明施工与环境保护等能力；</w:t>
      </w:r>
    </w:p>
    <w:p>
      <w:pPr>
        <w:keepNext w:val="0"/>
        <w:keepLines w:val="0"/>
        <w:pageBreakBefore w:val="0"/>
        <w:widowControl/>
        <w:kinsoku/>
        <w:wordWrap/>
        <w:overflowPunct/>
        <w:topLinePunct w:val="0"/>
        <w:bidi w:val="0"/>
        <w:spacing w:line="360" w:lineRule="auto"/>
        <w:ind w:left="0" w:leftChars="0" w:right="0" w:rightChars="0" w:firstLine="315" w:firstLineChars="150"/>
        <w:jc w:val="left"/>
        <w:textAlignment w:val="center"/>
        <w:rPr>
          <w:rFonts w:ascii="宋体" w:hAnsi="宋体" w:cs="宋体"/>
          <w:szCs w:val="21"/>
        </w:rPr>
      </w:pPr>
      <w:r>
        <w:rPr>
          <w:rFonts w:hint="eastAsia" w:ascii="宋体" w:hAnsi="宋体" w:cs="宋体"/>
          <w:szCs w:val="21"/>
        </w:rPr>
        <w:t>8、供应商需具备服务能力，组建专业维护团队，配备维护工具、工程车辆、仪表等配置。</w:t>
      </w:r>
    </w:p>
    <w:p>
      <w:pPr>
        <w:pStyle w:val="23"/>
        <w:keepNext w:val="0"/>
        <w:keepLines w:val="0"/>
        <w:pageBreakBefore w:val="0"/>
        <w:kinsoku/>
        <w:wordWrap/>
        <w:overflowPunct/>
        <w:topLinePunct w:val="0"/>
        <w:bidi w:val="0"/>
        <w:spacing w:line="360" w:lineRule="auto"/>
        <w:ind w:left="0" w:leftChars="0" w:right="0" w:rightChars="0"/>
        <w:rPr>
          <w:rFonts w:ascii="宋体" w:hAnsi="宋体" w:cs="宋体"/>
          <w:szCs w:val="21"/>
        </w:rPr>
      </w:pPr>
      <w:r>
        <w:t xml:space="preserve">   9</w:t>
      </w:r>
      <w:r>
        <w:rPr>
          <w:rFonts w:hint="eastAsia"/>
        </w:rPr>
        <w:t>、宁波市公路运输中心对</w:t>
      </w:r>
      <w:r>
        <w:rPr>
          <w:rFonts w:hint="eastAsia" w:ascii="宋体" w:hAnsi="宋体" w:cs="宋体"/>
          <w:szCs w:val="21"/>
        </w:rPr>
        <w:t>情报板改造要求：</w:t>
      </w:r>
      <w:r>
        <w:rPr>
          <w:rFonts w:ascii="宋体" w:hAnsi="宋体" w:cs="宋体"/>
          <w:szCs w:val="21"/>
        </w:rPr>
        <w:br w:type="textWrapping"/>
      </w:r>
      <w:r>
        <w:rPr>
          <w:rFonts w:hint="eastAsia" w:ascii="宋体" w:hAnsi="宋体" w:cs="宋体"/>
          <w:szCs w:val="21"/>
        </w:rPr>
        <w:t>设立一套基于交通内网的、可秒级即时关断所有可变情报板的远程控制平台，以应对黑客攻击等突发状况，便于及时响应和消除不良社会影响。平台至少具备如下功能：</w:t>
      </w:r>
    </w:p>
    <w:p>
      <w:pPr>
        <w:pStyle w:val="23"/>
        <w:keepNext w:val="0"/>
        <w:keepLines w:val="0"/>
        <w:pageBreakBefore w:val="0"/>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color w:val="FF0000"/>
          <w:szCs w:val="21"/>
          <w:lang w:eastAsia="zh-CN"/>
        </w:rPr>
        <w:t>（</w:t>
      </w:r>
      <w:r>
        <w:rPr>
          <w:rFonts w:hint="eastAsia" w:ascii="宋体" w:hAnsi="宋体" w:cs="宋体"/>
          <w:color w:val="FF0000"/>
          <w:szCs w:val="21"/>
          <w:lang w:val="en-US" w:eastAsia="zh-CN"/>
        </w:rPr>
        <w:t>1</w:t>
      </w:r>
      <w:r>
        <w:rPr>
          <w:rFonts w:hint="eastAsia" w:ascii="宋体" w:hAnsi="宋体" w:cs="宋体"/>
          <w:color w:val="FF0000"/>
          <w:szCs w:val="21"/>
          <w:lang w:eastAsia="zh-CN"/>
        </w:rPr>
        <w:t>）</w:t>
      </w:r>
      <w:r>
        <w:rPr>
          <w:rFonts w:hint="eastAsia" w:ascii="宋体" w:hAnsi="宋体" w:cs="宋体"/>
          <w:szCs w:val="21"/>
        </w:rPr>
        <w:t>情报板无法单机发布信息。即要做到任何人在现场打开配电箱，单机连接情报板控制卡，均无法发布任何信息；</w:t>
      </w:r>
    </w:p>
    <w:p>
      <w:pPr>
        <w:pStyle w:val="23"/>
        <w:keepNext w:val="0"/>
        <w:keepLines w:val="0"/>
        <w:pageBreakBefore w:val="0"/>
        <w:kinsoku/>
        <w:wordWrap/>
        <w:overflowPunct/>
        <w:topLinePunct w:val="0"/>
        <w:bidi w:val="0"/>
        <w:spacing w:line="360" w:lineRule="auto"/>
        <w:ind w:left="0" w:leftChars="0" w:right="0" w:rightChars="0"/>
        <w:rPr>
          <w:rFonts w:ascii="宋体" w:hAnsi="宋体" w:cs="宋体"/>
          <w:szCs w:val="21"/>
        </w:rPr>
      </w:pPr>
      <w:r>
        <w:rPr>
          <w:rFonts w:hint="eastAsia" w:ascii="宋体" w:hAnsi="宋体" w:cs="宋体"/>
          <w:color w:val="FF0000"/>
          <w:szCs w:val="21"/>
          <w:lang w:eastAsia="zh-CN"/>
        </w:rPr>
        <w:t>（</w:t>
      </w:r>
      <w:r>
        <w:rPr>
          <w:rFonts w:hint="eastAsia" w:ascii="宋体" w:hAnsi="宋体" w:cs="宋体"/>
          <w:color w:val="FF0000"/>
          <w:szCs w:val="21"/>
          <w:lang w:val="en-US" w:eastAsia="zh-CN"/>
        </w:rPr>
        <w:t>2</w:t>
      </w:r>
      <w:r>
        <w:rPr>
          <w:rFonts w:hint="eastAsia" w:ascii="宋体" w:hAnsi="宋体" w:cs="宋体"/>
          <w:color w:val="FF0000"/>
          <w:szCs w:val="21"/>
          <w:lang w:eastAsia="zh-CN"/>
        </w:rPr>
        <w:t>）</w:t>
      </w:r>
      <w:r>
        <w:rPr>
          <w:rFonts w:hint="eastAsia" w:ascii="宋体" w:hAnsi="宋体" w:cs="宋体"/>
          <w:szCs w:val="21"/>
        </w:rPr>
        <w:t>情报板仅受唯一的平台控制。唯有专管员通过指定的交通内网</w:t>
      </w:r>
      <w:r>
        <w:rPr>
          <w:rFonts w:ascii="宋体" w:hAnsi="宋体" w:cs="宋体"/>
          <w:szCs w:val="21"/>
        </w:rPr>
        <w:t>IP</w:t>
      </w:r>
      <w:r>
        <w:rPr>
          <w:rFonts w:hint="eastAsia" w:ascii="宋体" w:hAnsi="宋体" w:cs="宋体"/>
          <w:szCs w:val="21"/>
        </w:rPr>
        <w:t>与电脑登录，经平台验证后才可以发布信息；</w:t>
      </w:r>
    </w:p>
    <w:p>
      <w:pPr>
        <w:pStyle w:val="23"/>
        <w:keepNext w:val="0"/>
        <w:keepLines w:val="0"/>
        <w:pageBreakBefore w:val="0"/>
        <w:kinsoku/>
        <w:wordWrap/>
        <w:overflowPunct/>
        <w:topLinePunct w:val="0"/>
        <w:bidi w:val="0"/>
        <w:spacing w:line="360" w:lineRule="auto"/>
        <w:ind w:left="0" w:leftChars="0" w:right="0" w:rightChars="0"/>
      </w:pPr>
      <w:r>
        <w:rPr>
          <w:rFonts w:hint="eastAsia" w:ascii="宋体" w:hAnsi="宋体" w:cs="宋体"/>
          <w:color w:val="FF0000"/>
          <w:szCs w:val="21"/>
          <w:highlight w:val="none"/>
          <w:lang w:eastAsia="zh-CN"/>
        </w:rPr>
        <w:t>（</w:t>
      </w:r>
      <w:r>
        <w:rPr>
          <w:rFonts w:hint="eastAsia" w:ascii="宋体" w:hAnsi="宋体" w:cs="宋体"/>
          <w:color w:val="FF0000"/>
          <w:szCs w:val="21"/>
          <w:highlight w:val="none"/>
          <w:lang w:val="en-US" w:eastAsia="zh-CN"/>
        </w:rPr>
        <w:t>3</w:t>
      </w:r>
      <w:r>
        <w:rPr>
          <w:rFonts w:hint="eastAsia" w:ascii="宋体" w:hAnsi="宋体" w:cs="宋体"/>
          <w:color w:val="FF0000"/>
          <w:szCs w:val="21"/>
          <w:highlight w:val="none"/>
          <w:lang w:eastAsia="zh-CN"/>
        </w:rPr>
        <w:t>）</w:t>
      </w:r>
      <w:r>
        <w:rPr>
          <w:rFonts w:hint="eastAsia" w:ascii="宋体" w:hAnsi="宋体" w:cs="宋体"/>
          <w:szCs w:val="21"/>
        </w:rPr>
        <w:t>断网的情况下，任何人将无法发布信息。但专管员可以通过远程电控开关临时关闭设备，电控设备不受平台验证影响；</w:t>
      </w:r>
    </w:p>
    <w:p>
      <w:pPr>
        <w:pStyle w:val="23"/>
        <w:keepNext w:val="0"/>
        <w:keepLines w:val="0"/>
        <w:pageBreakBefore w:val="0"/>
        <w:kinsoku/>
        <w:wordWrap/>
        <w:overflowPunct/>
        <w:topLinePunct w:val="0"/>
        <w:bidi w:val="0"/>
        <w:spacing w:line="360" w:lineRule="auto"/>
        <w:ind w:left="0" w:leftChars="0" w:right="0" w:rightChars="0"/>
      </w:pPr>
    </w:p>
    <w:p>
      <w:pPr>
        <w:pStyle w:val="23"/>
        <w:keepNext w:val="0"/>
        <w:keepLines w:val="0"/>
        <w:pageBreakBefore w:val="0"/>
        <w:kinsoku/>
        <w:wordWrap/>
        <w:overflowPunct/>
        <w:topLinePunct w:val="0"/>
        <w:bidi w:val="0"/>
        <w:spacing w:line="360" w:lineRule="auto"/>
        <w:ind w:left="0" w:leftChars="0" w:right="0" w:rightChars="0"/>
      </w:pPr>
    </w:p>
    <w:p>
      <w:pPr>
        <w:keepNext w:val="0"/>
        <w:keepLines w:val="0"/>
        <w:pageBreakBefore w:val="0"/>
        <w:widowControl/>
        <w:kinsoku/>
        <w:wordWrap/>
        <w:overflowPunct/>
        <w:topLinePunct w:val="0"/>
        <w:bidi w:val="0"/>
        <w:spacing w:line="360" w:lineRule="auto"/>
        <w:ind w:left="0" w:leftChars="0" w:right="0" w:rightChars="0" w:firstLine="316" w:firstLineChars="150"/>
        <w:jc w:val="left"/>
        <w:textAlignment w:val="center"/>
        <w:rPr>
          <w:rFonts w:ascii="宋体" w:hAnsi="宋体" w:cs="宋体"/>
          <w:b/>
          <w:bCs/>
          <w:szCs w:val="21"/>
        </w:rPr>
      </w:pPr>
      <w:r>
        <w:rPr>
          <w:rFonts w:hint="eastAsia" w:ascii="宋体" w:hAnsi="宋体" w:cs="宋体"/>
          <w:b/>
          <w:bCs/>
          <w:szCs w:val="21"/>
        </w:rPr>
        <w:t xml:space="preserve">（五）、其它情况说明 </w:t>
      </w:r>
    </w:p>
    <w:p>
      <w:pPr>
        <w:keepNext w:val="0"/>
        <w:keepLines w:val="0"/>
        <w:pageBreakBefore w:val="0"/>
        <w:widowControl/>
        <w:kinsoku/>
        <w:wordWrap/>
        <w:overflowPunct/>
        <w:topLinePunct w:val="0"/>
        <w:bidi w:val="0"/>
        <w:spacing w:line="360" w:lineRule="auto"/>
        <w:ind w:left="0" w:leftChars="0" w:right="0" w:rightChars="0" w:firstLine="315" w:firstLineChars="150"/>
        <w:jc w:val="left"/>
        <w:textAlignment w:val="center"/>
        <w:rPr>
          <w:rFonts w:ascii="宋体" w:hAnsi="宋体" w:cs="宋体"/>
          <w:szCs w:val="21"/>
        </w:rPr>
      </w:pPr>
      <w:r>
        <w:rPr>
          <w:rFonts w:hint="eastAsia" w:ascii="宋体" w:hAnsi="宋体" w:cs="宋体"/>
          <w:szCs w:val="21"/>
        </w:rPr>
        <w:t>中标供应商需接受宁波市镇海区交通运输管理中心考核管理，考核每月评分一次，合同到期后统计考核平均分，考核内容与尾款支付挂钩。</w:t>
      </w:r>
    </w:p>
    <w:p>
      <w:pPr>
        <w:pStyle w:val="23"/>
        <w:keepNext w:val="0"/>
        <w:keepLines w:val="0"/>
        <w:pageBreakBefore w:val="0"/>
        <w:kinsoku/>
        <w:wordWrap/>
        <w:overflowPunct/>
        <w:topLinePunct w:val="0"/>
        <w:bidi w:val="0"/>
        <w:spacing w:line="360" w:lineRule="auto"/>
        <w:ind w:left="0" w:leftChars="0" w:right="0" w:rightChars="0"/>
      </w:pPr>
    </w:p>
    <w:p>
      <w:pPr>
        <w:keepNext w:val="0"/>
        <w:keepLines w:val="0"/>
        <w:pageBreakBefore w:val="0"/>
        <w:kinsoku/>
        <w:wordWrap/>
        <w:overflowPunct/>
        <w:topLinePunct w:val="0"/>
        <w:bidi w:val="0"/>
        <w:spacing w:line="360" w:lineRule="auto"/>
        <w:ind w:left="0" w:leftChars="0" w:right="0" w:rightChars="0"/>
        <w:jc w:val="center"/>
        <w:rPr>
          <w:rFonts w:ascii="宋体" w:hAnsi="宋体" w:cs="宋体"/>
          <w:bCs/>
          <w:szCs w:val="21"/>
        </w:rPr>
      </w:pPr>
      <w:r>
        <w:rPr>
          <w:rFonts w:hint="eastAsia" w:ascii="宋体" w:hAnsi="宋体" w:cs="宋体"/>
          <w:bCs/>
          <w:szCs w:val="21"/>
        </w:rPr>
        <w:t>《镇海区数字公路县乡道考核评分标准》</w:t>
      </w:r>
    </w:p>
    <w:tbl>
      <w:tblPr>
        <w:tblStyle w:val="19"/>
        <w:tblW w:w="9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3843"/>
        <w:gridCol w:w="996"/>
        <w:gridCol w:w="4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12" w:type="dxa"/>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b/>
                <w:sz w:val="21"/>
                <w:szCs w:val="21"/>
              </w:rPr>
            </w:pPr>
            <w:r>
              <w:rPr>
                <w:rFonts w:hint="eastAsia" w:ascii="宋体" w:hAnsi="宋体" w:cs="宋体"/>
                <w:b/>
                <w:sz w:val="21"/>
                <w:szCs w:val="21"/>
              </w:rPr>
              <w:t>序号</w:t>
            </w:r>
          </w:p>
        </w:tc>
        <w:tc>
          <w:tcPr>
            <w:tcW w:w="3843" w:type="dxa"/>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b/>
                <w:sz w:val="21"/>
                <w:szCs w:val="21"/>
              </w:rPr>
            </w:pPr>
            <w:r>
              <w:rPr>
                <w:rFonts w:hint="eastAsia" w:ascii="宋体" w:hAnsi="宋体" w:cs="宋体"/>
                <w:b/>
                <w:sz w:val="21"/>
                <w:szCs w:val="21"/>
              </w:rPr>
              <w:t>考核内容</w:t>
            </w:r>
          </w:p>
        </w:tc>
        <w:tc>
          <w:tcPr>
            <w:tcW w:w="996" w:type="dxa"/>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b/>
                <w:sz w:val="21"/>
                <w:szCs w:val="21"/>
              </w:rPr>
            </w:pPr>
            <w:r>
              <w:rPr>
                <w:rFonts w:hint="eastAsia" w:ascii="宋体" w:hAnsi="宋体" w:cs="宋体"/>
                <w:b/>
                <w:sz w:val="21"/>
                <w:szCs w:val="21"/>
              </w:rPr>
              <w:t>单项</w:t>
            </w:r>
          </w:p>
          <w:p>
            <w:pPr>
              <w:keepNext w:val="0"/>
              <w:keepLines w:val="0"/>
              <w:pageBreakBefore w:val="0"/>
              <w:kinsoku/>
              <w:wordWrap/>
              <w:overflowPunct/>
              <w:topLinePunct w:val="0"/>
              <w:bidi w:val="0"/>
              <w:spacing w:line="360" w:lineRule="auto"/>
              <w:ind w:left="0" w:leftChars="0" w:right="0" w:rightChars="0"/>
              <w:jc w:val="center"/>
              <w:rPr>
                <w:rFonts w:ascii="宋体" w:hAnsi="宋体" w:cs="宋体"/>
                <w:b/>
                <w:sz w:val="21"/>
                <w:szCs w:val="21"/>
              </w:rPr>
            </w:pPr>
            <w:r>
              <w:rPr>
                <w:rFonts w:hint="eastAsia" w:ascii="宋体" w:hAnsi="宋体" w:cs="宋体"/>
                <w:b/>
                <w:sz w:val="21"/>
                <w:szCs w:val="21"/>
              </w:rPr>
              <w:t>分值</w:t>
            </w:r>
          </w:p>
        </w:tc>
        <w:tc>
          <w:tcPr>
            <w:tcW w:w="4128" w:type="dxa"/>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b/>
                <w:sz w:val="21"/>
                <w:szCs w:val="21"/>
              </w:rPr>
            </w:pPr>
            <w:r>
              <w:rPr>
                <w:rFonts w:hint="eastAsia" w:ascii="宋体" w:hAnsi="宋体" w:cs="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712" w:type="dxa"/>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 w:val="21"/>
                <w:szCs w:val="21"/>
              </w:rPr>
            </w:pPr>
            <w:r>
              <w:rPr>
                <w:rFonts w:hint="eastAsia" w:ascii="宋体" w:hAnsi="宋体" w:cs="宋体"/>
                <w:sz w:val="21"/>
                <w:szCs w:val="21"/>
              </w:rPr>
              <w:t>1</w:t>
            </w:r>
          </w:p>
        </w:tc>
        <w:tc>
          <w:tcPr>
            <w:tcW w:w="3843" w:type="dxa"/>
            <w:vAlign w:val="center"/>
          </w:tcPr>
          <w:p>
            <w:pPr>
              <w:keepNext w:val="0"/>
              <w:keepLines w:val="0"/>
              <w:pageBreakBefore w:val="0"/>
              <w:kinsoku/>
              <w:wordWrap/>
              <w:overflowPunct/>
              <w:topLinePunct w:val="0"/>
              <w:bidi w:val="0"/>
              <w:spacing w:line="360" w:lineRule="auto"/>
              <w:ind w:left="0" w:leftChars="0" w:right="0" w:rightChars="0"/>
              <w:rPr>
                <w:rFonts w:ascii="宋体" w:hAnsi="宋体" w:cs="宋体"/>
                <w:sz w:val="21"/>
                <w:szCs w:val="21"/>
              </w:rPr>
            </w:pPr>
            <w:r>
              <w:rPr>
                <w:rFonts w:hint="eastAsia" w:ascii="宋体" w:hAnsi="宋体" w:cs="宋体"/>
                <w:sz w:val="21"/>
                <w:szCs w:val="21"/>
              </w:rPr>
              <w:t>数字公路内外场设施设备遇有故障应及时响应修复</w:t>
            </w:r>
          </w:p>
        </w:tc>
        <w:tc>
          <w:tcPr>
            <w:tcW w:w="996" w:type="dxa"/>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 w:val="21"/>
                <w:szCs w:val="21"/>
              </w:rPr>
            </w:pPr>
            <w:r>
              <w:rPr>
                <w:rFonts w:hint="eastAsia" w:ascii="宋体" w:hAnsi="宋体" w:cs="宋体"/>
                <w:sz w:val="21"/>
                <w:szCs w:val="21"/>
              </w:rPr>
              <w:t>40</w:t>
            </w:r>
          </w:p>
        </w:tc>
        <w:tc>
          <w:tcPr>
            <w:tcW w:w="4128" w:type="dxa"/>
            <w:vAlign w:val="center"/>
          </w:tcPr>
          <w:p>
            <w:pPr>
              <w:keepNext w:val="0"/>
              <w:keepLines w:val="0"/>
              <w:pageBreakBefore w:val="0"/>
              <w:kinsoku/>
              <w:wordWrap/>
              <w:overflowPunct/>
              <w:topLinePunct w:val="0"/>
              <w:bidi w:val="0"/>
              <w:spacing w:line="360" w:lineRule="auto"/>
              <w:ind w:left="0" w:leftChars="0" w:right="0" w:rightChars="0"/>
              <w:rPr>
                <w:rFonts w:ascii="宋体" w:hAnsi="宋体" w:cs="宋体"/>
                <w:sz w:val="21"/>
                <w:szCs w:val="21"/>
              </w:rPr>
            </w:pPr>
            <w:r>
              <w:rPr>
                <w:rFonts w:hint="eastAsia" w:ascii="宋体" w:hAnsi="宋体" w:cs="宋体"/>
                <w:sz w:val="21"/>
                <w:szCs w:val="21"/>
              </w:rPr>
              <w:t>接故障通知2小时内响应，未响应，每次扣5分；简易情况2天内未修复,每一个设备扣2分，如需更换设备情况3日内未修复的，每一个设备扣2分，特殊复杂情况当天书面情况说明，未说明情况扣5分，最多扣40分。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12" w:type="dxa"/>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 w:val="21"/>
                <w:szCs w:val="21"/>
              </w:rPr>
            </w:pPr>
            <w:r>
              <w:rPr>
                <w:rFonts w:hint="eastAsia" w:ascii="宋体" w:hAnsi="宋体" w:cs="宋体"/>
                <w:sz w:val="21"/>
                <w:szCs w:val="21"/>
              </w:rPr>
              <w:t>2</w:t>
            </w:r>
          </w:p>
        </w:tc>
        <w:tc>
          <w:tcPr>
            <w:tcW w:w="3843" w:type="dxa"/>
            <w:vAlign w:val="center"/>
          </w:tcPr>
          <w:p>
            <w:pPr>
              <w:keepNext w:val="0"/>
              <w:keepLines w:val="0"/>
              <w:pageBreakBefore w:val="0"/>
              <w:kinsoku/>
              <w:wordWrap/>
              <w:overflowPunct/>
              <w:topLinePunct w:val="0"/>
              <w:bidi w:val="0"/>
              <w:spacing w:line="360" w:lineRule="auto"/>
              <w:ind w:left="0" w:leftChars="0" w:right="0" w:rightChars="0"/>
              <w:rPr>
                <w:rFonts w:ascii="宋体" w:hAnsi="宋体" w:cs="宋体"/>
                <w:sz w:val="21"/>
                <w:szCs w:val="21"/>
              </w:rPr>
            </w:pPr>
            <w:r>
              <w:rPr>
                <w:rFonts w:hint="eastAsia" w:ascii="宋体" w:hAnsi="宋体" w:cs="宋体"/>
                <w:sz w:val="21"/>
                <w:szCs w:val="21"/>
              </w:rPr>
              <w:t>数字公路内场系统相关软件、公路基础数据（含设备管理数据）及时更新</w:t>
            </w:r>
          </w:p>
        </w:tc>
        <w:tc>
          <w:tcPr>
            <w:tcW w:w="996" w:type="dxa"/>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 w:val="21"/>
                <w:szCs w:val="21"/>
              </w:rPr>
            </w:pPr>
            <w:r>
              <w:rPr>
                <w:rFonts w:hint="eastAsia" w:ascii="宋体" w:hAnsi="宋体" w:cs="宋体"/>
                <w:sz w:val="21"/>
                <w:szCs w:val="21"/>
              </w:rPr>
              <w:t>20</w:t>
            </w:r>
          </w:p>
        </w:tc>
        <w:tc>
          <w:tcPr>
            <w:tcW w:w="4128" w:type="dxa"/>
            <w:vAlign w:val="center"/>
          </w:tcPr>
          <w:p>
            <w:pPr>
              <w:keepNext w:val="0"/>
              <w:keepLines w:val="0"/>
              <w:pageBreakBefore w:val="0"/>
              <w:kinsoku/>
              <w:wordWrap/>
              <w:overflowPunct/>
              <w:topLinePunct w:val="0"/>
              <w:bidi w:val="0"/>
              <w:spacing w:line="360" w:lineRule="auto"/>
              <w:ind w:left="0" w:leftChars="0" w:right="0" w:rightChars="0"/>
              <w:rPr>
                <w:rFonts w:ascii="宋体" w:hAnsi="宋体" w:cs="宋体"/>
                <w:sz w:val="21"/>
                <w:szCs w:val="21"/>
              </w:rPr>
            </w:pPr>
            <w:r>
              <w:rPr>
                <w:rFonts w:hint="eastAsia" w:ascii="宋体" w:hAnsi="宋体" w:cs="宋体"/>
                <w:sz w:val="21"/>
                <w:szCs w:val="21"/>
              </w:rPr>
              <w:t>每发现一处数据未更新的扣2分，最多扣20分。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12" w:type="dxa"/>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 w:val="21"/>
                <w:szCs w:val="21"/>
              </w:rPr>
            </w:pPr>
            <w:r>
              <w:rPr>
                <w:rFonts w:hint="eastAsia" w:ascii="宋体" w:hAnsi="宋体" w:cs="宋体"/>
                <w:sz w:val="21"/>
                <w:szCs w:val="21"/>
              </w:rPr>
              <w:t>3</w:t>
            </w:r>
          </w:p>
        </w:tc>
        <w:tc>
          <w:tcPr>
            <w:tcW w:w="3843" w:type="dxa"/>
            <w:vAlign w:val="center"/>
          </w:tcPr>
          <w:p>
            <w:pPr>
              <w:keepNext w:val="0"/>
              <w:keepLines w:val="0"/>
              <w:pageBreakBefore w:val="0"/>
              <w:kinsoku/>
              <w:wordWrap/>
              <w:overflowPunct/>
              <w:topLinePunct w:val="0"/>
              <w:bidi w:val="0"/>
              <w:spacing w:line="360" w:lineRule="auto"/>
              <w:ind w:left="0" w:leftChars="0" w:right="0" w:rightChars="0"/>
              <w:rPr>
                <w:rFonts w:ascii="宋体" w:hAnsi="宋体" w:cs="宋体"/>
                <w:sz w:val="21"/>
                <w:szCs w:val="21"/>
              </w:rPr>
            </w:pPr>
            <w:r>
              <w:rPr>
                <w:rFonts w:hint="eastAsia" w:ascii="宋体" w:hAnsi="宋体" w:cs="宋体"/>
                <w:sz w:val="21"/>
                <w:szCs w:val="21"/>
              </w:rPr>
              <w:t>外场设备每月定期巡检(每周一次)，提交巡检报告</w:t>
            </w:r>
          </w:p>
        </w:tc>
        <w:tc>
          <w:tcPr>
            <w:tcW w:w="996" w:type="dxa"/>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 w:val="21"/>
                <w:szCs w:val="21"/>
              </w:rPr>
            </w:pPr>
            <w:r>
              <w:rPr>
                <w:rFonts w:hint="eastAsia" w:ascii="宋体" w:hAnsi="宋体" w:cs="宋体"/>
                <w:sz w:val="21"/>
                <w:szCs w:val="21"/>
              </w:rPr>
              <w:t>20</w:t>
            </w:r>
          </w:p>
        </w:tc>
        <w:tc>
          <w:tcPr>
            <w:tcW w:w="4128" w:type="dxa"/>
            <w:vAlign w:val="center"/>
          </w:tcPr>
          <w:p>
            <w:pPr>
              <w:keepNext w:val="0"/>
              <w:keepLines w:val="0"/>
              <w:pageBreakBefore w:val="0"/>
              <w:kinsoku/>
              <w:wordWrap/>
              <w:overflowPunct/>
              <w:topLinePunct w:val="0"/>
              <w:bidi w:val="0"/>
              <w:spacing w:line="360" w:lineRule="auto"/>
              <w:ind w:left="0" w:leftChars="0" w:right="0" w:rightChars="0"/>
              <w:rPr>
                <w:rFonts w:ascii="宋体" w:hAnsi="宋体" w:cs="宋体"/>
                <w:sz w:val="21"/>
                <w:szCs w:val="21"/>
              </w:rPr>
            </w:pPr>
            <w:r>
              <w:rPr>
                <w:rFonts w:hint="eastAsia" w:ascii="宋体" w:hAnsi="宋体" w:cs="宋体"/>
                <w:sz w:val="21"/>
                <w:szCs w:val="21"/>
              </w:rPr>
              <w:t>每月不按时检查发现一次扣5分，最多扣20分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jc w:val="center"/>
        </w:trPr>
        <w:tc>
          <w:tcPr>
            <w:tcW w:w="712" w:type="dxa"/>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 w:val="21"/>
                <w:szCs w:val="21"/>
              </w:rPr>
            </w:pPr>
            <w:r>
              <w:rPr>
                <w:rFonts w:hint="eastAsia" w:ascii="宋体" w:hAnsi="宋体" w:cs="宋体"/>
                <w:sz w:val="21"/>
                <w:szCs w:val="21"/>
              </w:rPr>
              <w:t>4</w:t>
            </w:r>
          </w:p>
        </w:tc>
        <w:tc>
          <w:tcPr>
            <w:tcW w:w="3843" w:type="dxa"/>
            <w:vAlign w:val="center"/>
          </w:tcPr>
          <w:p>
            <w:pPr>
              <w:keepNext w:val="0"/>
              <w:keepLines w:val="0"/>
              <w:pageBreakBefore w:val="0"/>
              <w:kinsoku/>
              <w:wordWrap/>
              <w:overflowPunct/>
              <w:topLinePunct w:val="0"/>
              <w:bidi w:val="0"/>
              <w:spacing w:line="360" w:lineRule="auto"/>
              <w:ind w:left="0" w:leftChars="0" w:right="0" w:rightChars="0"/>
              <w:rPr>
                <w:rFonts w:ascii="宋体" w:hAnsi="宋体" w:cs="宋体"/>
                <w:sz w:val="21"/>
                <w:szCs w:val="21"/>
              </w:rPr>
            </w:pPr>
            <w:r>
              <w:rPr>
                <w:rFonts w:hint="eastAsia" w:ascii="宋体" w:hAnsi="宋体" w:cs="宋体"/>
                <w:sz w:val="21"/>
                <w:szCs w:val="21"/>
              </w:rPr>
              <w:t>建立设备</w:t>
            </w:r>
            <w:r>
              <w:rPr>
                <w:rFonts w:ascii="宋体" w:hAnsi="宋体" w:cs="宋体"/>
                <w:sz w:val="21"/>
                <w:szCs w:val="21"/>
              </w:rPr>
              <w:t>内</w:t>
            </w:r>
            <w:r>
              <w:rPr>
                <w:rFonts w:hint="eastAsia" w:ascii="宋体" w:hAnsi="宋体" w:cs="宋体"/>
                <w:sz w:val="21"/>
                <w:szCs w:val="21"/>
              </w:rPr>
              <w:t>外场设施设备维护台账（含各单一事件的时间、地点、人物、起因、经过、结果），每月</w:t>
            </w:r>
            <w:r>
              <w:rPr>
                <w:rFonts w:ascii="宋体" w:hAnsi="宋体" w:cs="宋体"/>
                <w:sz w:val="21"/>
                <w:szCs w:val="21"/>
              </w:rPr>
              <w:t>30</w:t>
            </w:r>
            <w:r>
              <w:rPr>
                <w:rFonts w:hint="eastAsia" w:ascii="宋体" w:hAnsi="宋体" w:cs="宋体"/>
                <w:sz w:val="21"/>
                <w:szCs w:val="21"/>
              </w:rPr>
              <w:t>号前报送宁波市镇海区交通运输管理中心</w:t>
            </w:r>
          </w:p>
        </w:tc>
        <w:tc>
          <w:tcPr>
            <w:tcW w:w="996" w:type="dxa"/>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 w:val="21"/>
                <w:szCs w:val="21"/>
              </w:rPr>
            </w:pPr>
            <w:r>
              <w:rPr>
                <w:rFonts w:hint="eastAsia" w:ascii="宋体" w:hAnsi="宋体" w:cs="宋体"/>
                <w:sz w:val="21"/>
                <w:szCs w:val="21"/>
              </w:rPr>
              <w:t>10</w:t>
            </w:r>
          </w:p>
        </w:tc>
        <w:tc>
          <w:tcPr>
            <w:tcW w:w="4128" w:type="dxa"/>
            <w:vAlign w:val="center"/>
          </w:tcPr>
          <w:p>
            <w:pPr>
              <w:keepNext w:val="0"/>
              <w:keepLines w:val="0"/>
              <w:pageBreakBefore w:val="0"/>
              <w:kinsoku/>
              <w:wordWrap/>
              <w:overflowPunct/>
              <w:topLinePunct w:val="0"/>
              <w:bidi w:val="0"/>
              <w:spacing w:line="360" w:lineRule="auto"/>
              <w:ind w:left="0" w:leftChars="0" w:right="0" w:rightChars="0"/>
              <w:rPr>
                <w:rFonts w:ascii="宋体" w:hAnsi="宋体" w:cs="宋体"/>
                <w:sz w:val="21"/>
                <w:szCs w:val="21"/>
              </w:rPr>
            </w:pPr>
            <w:r>
              <w:rPr>
                <w:rFonts w:hint="eastAsia" w:ascii="宋体" w:hAnsi="宋体" w:cs="宋体"/>
                <w:sz w:val="21"/>
                <w:szCs w:val="21"/>
              </w:rPr>
              <w:t>每发现一处台账不规范的扣1分，最多扣10分。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12" w:type="dxa"/>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 w:val="21"/>
                <w:szCs w:val="21"/>
              </w:rPr>
            </w:pPr>
            <w:r>
              <w:rPr>
                <w:rFonts w:hint="eastAsia" w:ascii="宋体" w:hAnsi="宋体" w:cs="宋体"/>
                <w:sz w:val="21"/>
                <w:szCs w:val="21"/>
              </w:rPr>
              <w:t>5</w:t>
            </w:r>
          </w:p>
        </w:tc>
        <w:tc>
          <w:tcPr>
            <w:tcW w:w="3843" w:type="dxa"/>
            <w:vAlign w:val="center"/>
          </w:tcPr>
          <w:p>
            <w:pPr>
              <w:keepNext w:val="0"/>
              <w:keepLines w:val="0"/>
              <w:pageBreakBefore w:val="0"/>
              <w:kinsoku/>
              <w:wordWrap/>
              <w:overflowPunct/>
              <w:topLinePunct w:val="0"/>
              <w:bidi w:val="0"/>
              <w:spacing w:line="360" w:lineRule="auto"/>
              <w:ind w:left="0" w:leftChars="0" w:right="0" w:rightChars="0"/>
              <w:rPr>
                <w:rFonts w:ascii="宋体" w:hAnsi="宋体" w:cs="宋体"/>
                <w:sz w:val="21"/>
                <w:szCs w:val="21"/>
              </w:rPr>
            </w:pPr>
            <w:r>
              <w:rPr>
                <w:rFonts w:hint="eastAsia" w:ascii="宋体" w:hAnsi="宋体" w:cs="宋体"/>
                <w:sz w:val="21"/>
                <w:szCs w:val="21"/>
              </w:rPr>
              <w:t>每月</w:t>
            </w:r>
            <w:r>
              <w:rPr>
                <w:rFonts w:ascii="宋体" w:hAnsi="宋体" w:cs="宋体"/>
                <w:sz w:val="21"/>
                <w:szCs w:val="21"/>
              </w:rPr>
              <w:t>25</w:t>
            </w:r>
            <w:r>
              <w:rPr>
                <w:rFonts w:hint="eastAsia" w:ascii="宋体" w:hAnsi="宋体" w:cs="宋体"/>
                <w:sz w:val="21"/>
                <w:szCs w:val="21"/>
              </w:rPr>
              <w:t>至</w:t>
            </w:r>
            <w:r>
              <w:rPr>
                <w:rFonts w:ascii="宋体" w:hAnsi="宋体" w:cs="宋体"/>
                <w:sz w:val="21"/>
                <w:szCs w:val="21"/>
              </w:rPr>
              <w:t>30</w:t>
            </w:r>
            <w:r>
              <w:rPr>
                <w:rFonts w:hint="eastAsia" w:ascii="宋体" w:hAnsi="宋体" w:cs="宋体"/>
                <w:sz w:val="21"/>
                <w:szCs w:val="21"/>
              </w:rPr>
              <w:t>日报送当月维护台账及下月数字公路运维工作计划</w:t>
            </w:r>
          </w:p>
        </w:tc>
        <w:tc>
          <w:tcPr>
            <w:tcW w:w="996" w:type="dxa"/>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 w:val="21"/>
                <w:szCs w:val="21"/>
              </w:rPr>
            </w:pPr>
            <w:r>
              <w:rPr>
                <w:rFonts w:hint="eastAsia" w:ascii="宋体" w:hAnsi="宋体" w:cs="宋体"/>
                <w:sz w:val="21"/>
                <w:szCs w:val="21"/>
              </w:rPr>
              <w:t>10</w:t>
            </w:r>
          </w:p>
        </w:tc>
        <w:tc>
          <w:tcPr>
            <w:tcW w:w="4128" w:type="dxa"/>
            <w:vAlign w:val="center"/>
          </w:tcPr>
          <w:p>
            <w:pPr>
              <w:keepNext w:val="0"/>
              <w:keepLines w:val="0"/>
              <w:pageBreakBefore w:val="0"/>
              <w:kinsoku/>
              <w:wordWrap/>
              <w:overflowPunct/>
              <w:topLinePunct w:val="0"/>
              <w:bidi w:val="0"/>
              <w:spacing w:line="360" w:lineRule="auto"/>
              <w:ind w:left="0" w:leftChars="0" w:right="0" w:rightChars="0"/>
              <w:rPr>
                <w:rFonts w:ascii="宋体" w:hAnsi="宋体" w:cs="宋体"/>
                <w:sz w:val="21"/>
                <w:szCs w:val="21"/>
              </w:rPr>
            </w:pPr>
            <w:r>
              <w:rPr>
                <w:rFonts w:hint="eastAsia" w:ascii="宋体" w:hAnsi="宋体" w:cs="宋体"/>
                <w:sz w:val="21"/>
                <w:szCs w:val="21"/>
              </w:rPr>
              <w:t>每延迟1天报送台账与计划的，扣1分；数据有明显遗漏的，扣2分；最多扣10分。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712" w:type="dxa"/>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 w:val="21"/>
                <w:szCs w:val="21"/>
              </w:rPr>
            </w:pPr>
            <w:r>
              <w:rPr>
                <w:rFonts w:hint="eastAsia" w:ascii="宋体" w:hAnsi="宋体" w:cs="宋体"/>
                <w:sz w:val="21"/>
                <w:szCs w:val="21"/>
              </w:rPr>
              <w:t>合计</w:t>
            </w:r>
          </w:p>
        </w:tc>
        <w:tc>
          <w:tcPr>
            <w:tcW w:w="3843" w:type="dxa"/>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 w:val="21"/>
                <w:szCs w:val="21"/>
              </w:rPr>
            </w:pPr>
          </w:p>
        </w:tc>
        <w:tc>
          <w:tcPr>
            <w:tcW w:w="996" w:type="dxa"/>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 w:val="21"/>
                <w:szCs w:val="21"/>
              </w:rPr>
            </w:pPr>
            <w:r>
              <w:rPr>
                <w:rFonts w:hint="eastAsia" w:ascii="宋体" w:hAnsi="宋体" w:cs="宋体"/>
                <w:sz w:val="21"/>
                <w:szCs w:val="21"/>
              </w:rPr>
              <w:t>100</w:t>
            </w:r>
          </w:p>
        </w:tc>
        <w:tc>
          <w:tcPr>
            <w:tcW w:w="4128" w:type="dxa"/>
            <w:vAlign w:val="center"/>
          </w:tcPr>
          <w:p>
            <w:pPr>
              <w:keepNext w:val="0"/>
              <w:keepLines w:val="0"/>
              <w:pageBreakBefore w:val="0"/>
              <w:kinsoku/>
              <w:wordWrap/>
              <w:overflowPunct/>
              <w:topLinePunct w:val="0"/>
              <w:bidi w:val="0"/>
              <w:spacing w:line="360" w:lineRule="auto"/>
              <w:ind w:left="0" w:leftChars="0" w:right="0" w:rightChars="0"/>
              <w:jc w:val="center"/>
              <w:rPr>
                <w:rFonts w:ascii="宋体" w:hAnsi="宋体" w:cs="宋体"/>
                <w:sz w:val="21"/>
                <w:szCs w:val="21"/>
              </w:rPr>
            </w:pPr>
          </w:p>
        </w:tc>
      </w:tr>
    </w:tbl>
    <w:p>
      <w:pPr>
        <w:keepNext w:val="0"/>
        <w:keepLines w:val="0"/>
        <w:pageBreakBefore w:val="0"/>
        <w:kinsoku/>
        <w:wordWrap/>
        <w:overflowPunct/>
        <w:topLinePunct w:val="0"/>
        <w:bidi w:val="0"/>
        <w:spacing w:line="360" w:lineRule="auto"/>
        <w:ind w:left="0" w:leftChars="0" w:right="0" w:rightChars="0" w:firstLine="420" w:firstLineChars="200"/>
        <w:rPr>
          <w:rFonts w:ascii="宋体" w:hAnsi="宋体" w:cs="宋体"/>
          <w:szCs w:val="21"/>
        </w:rPr>
      </w:pPr>
      <w:r>
        <w:rPr>
          <w:rFonts w:hint="eastAsia" w:ascii="宋体" w:hAnsi="宋体" w:cs="宋体"/>
          <w:szCs w:val="21"/>
        </w:rPr>
        <w:t>注：95分及95分以上不扣维保费用，95分以下按每分扣除100元人民币。各月所扣款项总和即为总扣款金额，若总扣款金额超过合同总价25%的，按合同总价的25%扣取。</w:t>
      </w:r>
    </w:p>
    <w:p>
      <w:pPr>
        <w:pStyle w:val="9"/>
        <w:keepNext w:val="0"/>
        <w:keepLines w:val="0"/>
        <w:pageBreakBefore w:val="0"/>
        <w:kinsoku/>
        <w:wordWrap/>
        <w:overflowPunct/>
        <w:topLinePunct w:val="0"/>
        <w:bidi w:val="0"/>
        <w:spacing w:after="0" w:line="360" w:lineRule="auto"/>
        <w:ind w:left="0" w:leftChars="0" w:right="0" w:rightChars="0"/>
      </w:pPr>
    </w:p>
    <w:p>
      <w:pPr>
        <w:pStyle w:val="2"/>
        <w:rPr>
          <w:sz w:val="30"/>
          <w:szCs w:val="30"/>
        </w:rPr>
      </w:pPr>
      <w:r>
        <w:rPr>
          <w:rFonts w:hint="eastAsia" w:ascii="Arial" w:hAnsi="Arial" w:cs="宋体"/>
          <w:kern w:val="2"/>
          <w:sz w:val="21"/>
          <w:szCs w:val="21"/>
          <w:lang w:bidi="ar"/>
        </w:rPr>
        <w:br w:type="page"/>
      </w:r>
      <w:bookmarkStart w:id="3" w:name="_Toc1518"/>
      <w:r>
        <w:rPr>
          <w:rFonts w:hint="eastAsia"/>
          <w:sz w:val="30"/>
          <w:szCs w:val="30"/>
        </w:rPr>
        <w:t>第三章 投标须知</w:t>
      </w:r>
      <w:bookmarkEnd w:id="3"/>
    </w:p>
    <w:p>
      <w:pPr>
        <w:pStyle w:val="2"/>
        <w:spacing w:before="120" w:beforeLines="50" w:after="120" w:afterLines="50" w:line="240" w:lineRule="auto"/>
        <w:rPr>
          <w:sz w:val="24"/>
          <w:szCs w:val="24"/>
        </w:rPr>
      </w:pPr>
    </w:p>
    <w:p>
      <w:pPr>
        <w:pStyle w:val="2"/>
        <w:spacing w:before="120" w:beforeLines="50" w:after="120" w:afterLines="50" w:line="240" w:lineRule="auto"/>
        <w:rPr>
          <w:sz w:val="21"/>
          <w:szCs w:val="21"/>
        </w:rPr>
      </w:pPr>
      <w:bookmarkStart w:id="4" w:name="_Toc19189"/>
      <w:r>
        <w:rPr>
          <w:rFonts w:hint="eastAsia"/>
          <w:sz w:val="24"/>
          <w:szCs w:val="24"/>
        </w:rPr>
        <w:t>前附表</w:t>
      </w:r>
      <w:bookmarkEnd w:id="4"/>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5"/>
        <w:gridCol w:w="82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8" w:hRule="atLeast"/>
          <w:tblHeader/>
          <w:jc w:val="center"/>
        </w:trPr>
        <w:tc>
          <w:tcPr>
            <w:tcW w:w="755" w:type="dxa"/>
            <w:vAlign w:val="center"/>
          </w:tcPr>
          <w:p>
            <w:pPr>
              <w:keepNext w:val="0"/>
              <w:keepLines w:val="0"/>
              <w:pageBreakBefore w:val="0"/>
              <w:kinsoku/>
              <w:wordWrap/>
              <w:overflowPunct/>
              <w:topLinePunct w:val="0"/>
              <w:bidi w:val="0"/>
              <w:snapToGrid/>
              <w:spacing w:line="360" w:lineRule="auto"/>
              <w:jc w:val="center"/>
              <w:rPr>
                <w:rFonts w:ascii="宋体" w:hAnsi="宋体" w:cs="宋体"/>
                <w:b/>
                <w:bCs/>
                <w:sz w:val="18"/>
                <w:szCs w:val="18"/>
              </w:rPr>
            </w:pPr>
            <w:r>
              <w:rPr>
                <w:rFonts w:hint="eastAsia" w:ascii="宋体" w:hAnsi="宋体" w:cs="宋体"/>
                <w:b/>
                <w:bCs/>
                <w:sz w:val="18"/>
                <w:szCs w:val="18"/>
              </w:rPr>
              <w:t>序号</w:t>
            </w:r>
          </w:p>
        </w:tc>
        <w:tc>
          <w:tcPr>
            <w:tcW w:w="8286" w:type="dxa"/>
            <w:vAlign w:val="center"/>
          </w:tcPr>
          <w:p>
            <w:pPr>
              <w:keepNext w:val="0"/>
              <w:keepLines w:val="0"/>
              <w:pageBreakBefore w:val="0"/>
              <w:kinsoku/>
              <w:wordWrap/>
              <w:overflowPunct/>
              <w:topLinePunct w:val="0"/>
              <w:bidi w:val="0"/>
              <w:snapToGrid/>
              <w:spacing w:line="360" w:lineRule="auto"/>
              <w:jc w:val="center"/>
              <w:rPr>
                <w:rFonts w:ascii="宋体" w:hAnsi="宋体" w:cs="宋体"/>
                <w:b/>
                <w:bCs/>
                <w:sz w:val="18"/>
                <w:szCs w:val="18"/>
              </w:rPr>
            </w:pPr>
            <w:r>
              <w:rPr>
                <w:rFonts w:hint="eastAsia" w:ascii="宋体" w:hAnsi="宋体" w:cs="宋体"/>
                <w:b/>
                <w:bCs/>
                <w:sz w:val="18"/>
                <w:szCs w:val="18"/>
              </w:rPr>
              <w:t>内容、要求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5" w:type="dxa"/>
            <w:vAlign w:val="center"/>
          </w:tcPr>
          <w:p>
            <w:pPr>
              <w:keepNext w:val="0"/>
              <w:keepLines w:val="0"/>
              <w:pageBreakBefore w:val="0"/>
              <w:kinsoku/>
              <w:wordWrap/>
              <w:overflowPunct/>
              <w:topLinePunct w:val="0"/>
              <w:bidi w:val="0"/>
              <w:snapToGrid/>
              <w:spacing w:line="360" w:lineRule="auto"/>
              <w:jc w:val="center"/>
              <w:rPr>
                <w:rFonts w:ascii="宋体" w:hAnsi="宋体" w:cs="宋体"/>
                <w:sz w:val="18"/>
                <w:szCs w:val="18"/>
              </w:rPr>
            </w:pPr>
            <w:r>
              <w:rPr>
                <w:rFonts w:hint="eastAsia" w:ascii="宋体" w:hAnsi="宋体" w:cs="宋体"/>
                <w:sz w:val="18"/>
                <w:szCs w:val="18"/>
              </w:rPr>
              <w:t>1</w:t>
            </w:r>
          </w:p>
        </w:tc>
        <w:tc>
          <w:tcPr>
            <w:tcW w:w="8286" w:type="dxa"/>
            <w:vAlign w:val="center"/>
          </w:tcPr>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项目名称：2024年宁波市镇海区交通运输管理中心数字公路运维项目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55" w:type="dxa"/>
            <w:vAlign w:val="center"/>
          </w:tcPr>
          <w:p>
            <w:pPr>
              <w:keepNext w:val="0"/>
              <w:keepLines w:val="0"/>
              <w:pageBreakBefore w:val="0"/>
              <w:kinsoku/>
              <w:wordWrap/>
              <w:overflowPunct/>
              <w:topLinePunct w:val="0"/>
              <w:bidi w:val="0"/>
              <w:snapToGrid/>
              <w:spacing w:line="360" w:lineRule="auto"/>
              <w:jc w:val="center"/>
              <w:rPr>
                <w:rFonts w:ascii="宋体" w:hAnsi="宋体" w:cs="宋体"/>
                <w:sz w:val="18"/>
                <w:szCs w:val="18"/>
              </w:rPr>
            </w:pPr>
            <w:r>
              <w:rPr>
                <w:rFonts w:hint="eastAsia" w:ascii="宋体" w:hAnsi="宋体" w:cs="宋体"/>
                <w:bCs/>
                <w:sz w:val="18"/>
                <w:szCs w:val="18"/>
              </w:rPr>
              <w:t>*</w:t>
            </w:r>
            <w:r>
              <w:rPr>
                <w:rFonts w:hint="eastAsia" w:ascii="宋体" w:hAnsi="宋体" w:cs="宋体"/>
                <w:sz w:val="18"/>
                <w:szCs w:val="18"/>
              </w:rPr>
              <w:t>2</w:t>
            </w:r>
          </w:p>
        </w:tc>
        <w:tc>
          <w:tcPr>
            <w:tcW w:w="8286" w:type="dxa"/>
            <w:vAlign w:val="center"/>
          </w:tcPr>
          <w:p>
            <w:pPr>
              <w:pStyle w:val="15"/>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rPr>
                <w:rFonts w:hint="default" w:ascii="宋体" w:hAnsi="宋体" w:eastAsia="宋体" w:cs="宋体"/>
                <w:sz w:val="18"/>
                <w:szCs w:val="18"/>
                <w:lang w:val="en-US" w:eastAsia="zh-CN"/>
              </w:rPr>
            </w:pPr>
            <w:r>
              <w:rPr>
                <w:rFonts w:hint="eastAsia" w:ascii="宋体" w:hAnsi="宋体" w:cs="宋体"/>
                <w:sz w:val="18"/>
                <w:szCs w:val="18"/>
              </w:rPr>
              <w:t>合同履行期限</w:t>
            </w:r>
            <w:r>
              <w:rPr>
                <w:rFonts w:hint="eastAsia" w:ascii="宋体" w:hAnsi="宋体" w:cs="宋体"/>
                <w:color w:val="auto"/>
                <w:sz w:val="18"/>
                <w:szCs w:val="18"/>
              </w:rPr>
              <w:t>（即服务期限）：</w:t>
            </w:r>
            <w:r>
              <w:rPr>
                <w:rFonts w:hint="eastAsia" w:ascii="宋体" w:hAnsi="宋体" w:cs="宋体"/>
                <w:color w:val="auto"/>
                <w:sz w:val="18"/>
                <w:szCs w:val="18"/>
                <w:lang w:val="en-US" w:eastAsia="zh-CN"/>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755" w:type="dxa"/>
            <w:vAlign w:val="center"/>
          </w:tcPr>
          <w:p>
            <w:pPr>
              <w:keepNext w:val="0"/>
              <w:keepLines w:val="0"/>
              <w:pageBreakBefore w:val="0"/>
              <w:kinsoku/>
              <w:wordWrap/>
              <w:overflowPunct/>
              <w:topLinePunct w:val="0"/>
              <w:bidi w:val="0"/>
              <w:snapToGrid/>
              <w:spacing w:line="360" w:lineRule="auto"/>
              <w:jc w:val="center"/>
              <w:rPr>
                <w:rFonts w:ascii="宋体" w:hAnsi="宋体" w:cs="宋体"/>
                <w:sz w:val="18"/>
                <w:szCs w:val="18"/>
              </w:rPr>
            </w:pPr>
            <w:r>
              <w:rPr>
                <w:rFonts w:hint="eastAsia" w:ascii="宋体" w:hAnsi="宋体" w:cs="宋体"/>
                <w:sz w:val="18"/>
                <w:szCs w:val="18"/>
              </w:rPr>
              <w:t>*3</w:t>
            </w:r>
          </w:p>
        </w:tc>
        <w:tc>
          <w:tcPr>
            <w:tcW w:w="8286" w:type="dxa"/>
            <w:vAlign w:val="center"/>
          </w:tcPr>
          <w:p>
            <w:pPr>
              <w:keepNext w:val="0"/>
              <w:keepLines w:val="0"/>
              <w:pageBreakBefore w:val="0"/>
              <w:widowControl/>
              <w:kinsoku/>
              <w:wordWrap/>
              <w:overflowPunct/>
              <w:topLinePunct w:val="0"/>
              <w:bidi w:val="0"/>
              <w:snapToGrid/>
              <w:spacing w:line="360" w:lineRule="auto"/>
              <w:rPr>
                <w:rFonts w:ascii="宋体" w:hAnsi="宋体" w:cs="宋体"/>
                <w:bCs/>
                <w:sz w:val="18"/>
                <w:szCs w:val="18"/>
              </w:rPr>
            </w:pPr>
            <w:r>
              <w:rPr>
                <w:rFonts w:hint="eastAsia" w:ascii="宋体" w:hAnsi="宋体" w:cs="宋体"/>
                <w:bCs/>
                <w:sz w:val="18"/>
                <w:szCs w:val="18"/>
              </w:rPr>
              <w:t>投标报价及费用：</w:t>
            </w:r>
          </w:p>
          <w:p>
            <w:pPr>
              <w:keepNext w:val="0"/>
              <w:keepLines w:val="0"/>
              <w:pageBreakBefore w:val="0"/>
              <w:kinsoku/>
              <w:wordWrap/>
              <w:overflowPunct/>
              <w:topLinePunct w:val="0"/>
              <w:bidi w:val="0"/>
              <w:snapToGrid/>
              <w:spacing w:line="360" w:lineRule="auto"/>
              <w:rPr>
                <w:rFonts w:ascii="宋体" w:hAnsi="宋体" w:cs="宋体"/>
                <w:bCs/>
                <w:sz w:val="18"/>
                <w:szCs w:val="18"/>
              </w:rPr>
            </w:pPr>
            <w:r>
              <w:rPr>
                <w:rFonts w:hint="eastAsia" w:ascii="宋体" w:hAnsi="宋体" w:cs="宋体"/>
                <w:bCs/>
                <w:sz w:val="18"/>
                <w:szCs w:val="18"/>
              </w:rPr>
              <w:t>*（1）本项目报价应以人民币报价。</w:t>
            </w:r>
          </w:p>
          <w:p>
            <w:pPr>
              <w:keepNext w:val="0"/>
              <w:keepLines w:val="0"/>
              <w:pageBreakBefore w:val="0"/>
              <w:kinsoku/>
              <w:wordWrap/>
              <w:overflowPunct/>
              <w:topLinePunct w:val="0"/>
              <w:bidi w:val="0"/>
              <w:snapToGrid/>
              <w:spacing w:line="360" w:lineRule="auto"/>
              <w:rPr>
                <w:rFonts w:ascii="宋体" w:hAnsi="宋体" w:cs="宋体"/>
                <w:bCs/>
                <w:sz w:val="18"/>
                <w:szCs w:val="18"/>
              </w:rPr>
            </w:pPr>
            <w:r>
              <w:rPr>
                <w:rFonts w:hint="eastAsia" w:ascii="宋体" w:hAnsi="宋体" w:cs="宋体"/>
                <w:bCs/>
                <w:sz w:val="18"/>
                <w:szCs w:val="18"/>
              </w:rPr>
              <w:t>*（2）本次招标属“交钥匙”工程，投标报价（包含但不限于以下内容）：应包含项目建设（含相关配件、附件、安装材料）价款、设计费、运输费、装卸费、安装费、保险费用、税费以及一切技术和服务费等费用；如涉及软件许可使用或技术指导、人员培训的，还应包括软件许可费以及一切技术服务费、人员培训费，投标人不得再向采购人收取任何费用；</w:t>
            </w:r>
          </w:p>
          <w:p>
            <w:pPr>
              <w:keepNext w:val="0"/>
              <w:keepLines w:val="0"/>
              <w:pageBreakBefore w:val="0"/>
              <w:kinsoku/>
              <w:wordWrap/>
              <w:overflowPunct/>
              <w:topLinePunct w:val="0"/>
              <w:bidi w:val="0"/>
              <w:snapToGrid/>
              <w:spacing w:line="360" w:lineRule="auto"/>
              <w:rPr>
                <w:rFonts w:ascii="宋体" w:hAnsi="宋体" w:cs="宋体"/>
                <w:bCs/>
                <w:sz w:val="18"/>
                <w:szCs w:val="18"/>
              </w:rPr>
            </w:pPr>
            <w:r>
              <w:rPr>
                <w:rFonts w:hint="eastAsia" w:ascii="宋体" w:hAnsi="宋体" w:cs="宋体"/>
                <w:bCs/>
                <w:sz w:val="18"/>
                <w:szCs w:val="18"/>
              </w:rPr>
              <w:t>*（3）本项目的相关措施费用及各类保险费用由投标人自行考虑，费用包含在投标总价中，不予单列。采购人不再另行支付其他任何形式的费用。</w:t>
            </w:r>
          </w:p>
          <w:p>
            <w:pPr>
              <w:keepNext w:val="0"/>
              <w:keepLines w:val="0"/>
              <w:pageBreakBefore w:val="0"/>
              <w:kinsoku/>
              <w:wordWrap/>
              <w:overflowPunct/>
              <w:topLinePunct w:val="0"/>
              <w:bidi w:val="0"/>
              <w:snapToGrid/>
              <w:spacing w:line="360" w:lineRule="auto"/>
              <w:rPr>
                <w:rFonts w:ascii="宋体" w:hAnsi="宋体" w:cs="宋体"/>
                <w:bCs/>
                <w:sz w:val="18"/>
                <w:szCs w:val="18"/>
              </w:rPr>
            </w:pPr>
            <w:r>
              <w:rPr>
                <w:rFonts w:hint="eastAsia" w:ascii="宋体" w:hAnsi="宋体" w:cs="宋体"/>
                <w:bCs/>
                <w:sz w:val="18"/>
                <w:szCs w:val="18"/>
              </w:rPr>
              <w:t>*（4）不论投标结果如何，投标人均应自行承担所有与投标有关的全部费用。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55" w:type="dxa"/>
            <w:vAlign w:val="center"/>
          </w:tcPr>
          <w:p>
            <w:pPr>
              <w:keepNext w:val="0"/>
              <w:keepLines w:val="0"/>
              <w:pageBreakBefore w:val="0"/>
              <w:kinsoku/>
              <w:wordWrap/>
              <w:overflowPunct/>
              <w:topLinePunct w:val="0"/>
              <w:bidi w:val="0"/>
              <w:snapToGrid/>
              <w:spacing w:line="360" w:lineRule="auto"/>
              <w:ind w:firstLine="180" w:firstLineChars="100"/>
              <w:rPr>
                <w:rFonts w:ascii="宋体" w:hAnsi="宋体" w:cs="宋体"/>
                <w:bCs/>
                <w:sz w:val="18"/>
                <w:szCs w:val="18"/>
              </w:rPr>
            </w:pPr>
            <w:r>
              <w:rPr>
                <w:rFonts w:hint="eastAsia" w:ascii="宋体" w:hAnsi="宋体" w:cs="宋体"/>
                <w:bCs/>
                <w:sz w:val="18"/>
                <w:szCs w:val="18"/>
              </w:rPr>
              <w:t>4</w:t>
            </w:r>
          </w:p>
        </w:tc>
        <w:tc>
          <w:tcPr>
            <w:tcW w:w="8286" w:type="dxa"/>
            <w:vAlign w:val="center"/>
          </w:tcPr>
          <w:p>
            <w:pPr>
              <w:keepNext w:val="0"/>
              <w:keepLines w:val="0"/>
              <w:pageBreakBefore w:val="0"/>
              <w:kinsoku/>
              <w:wordWrap/>
              <w:overflowPunct/>
              <w:topLinePunct w:val="0"/>
              <w:bidi w:val="0"/>
              <w:snapToGrid/>
              <w:spacing w:line="360" w:lineRule="auto"/>
              <w:rPr>
                <w:rFonts w:ascii="宋体" w:hAnsi="宋体" w:cs="宋体"/>
                <w:bCs/>
                <w:sz w:val="18"/>
                <w:szCs w:val="18"/>
              </w:rPr>
            </w:pPr>
            <w:r>
              <w:rPr>
                <w:rFonts w:hint="eastAsia" w:ascii="宋体" w:hAnsi="宋体" w:cs="宋体"/>
                <w:sz w:val="18"/>
                <w:szCs w:val="18"/>
              </w:rPr>
              <w:t>投标保证金：本项目无投标保证金。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55" w:type="dxa"/>
            <w:vAlign w:val="center"/>
          </w:tcPr>
          <w:p>
            <w:pPr>
              <w:keepNext w:val="0"/>
              <w:keepLines w:val="0"/>
              <w:pageBreakBefore w:val="0"/>
              <w:kinsoku/>
              <w:wordWrap/>
              <w:overflowPunct/>
              <w:topLinePunct w:val="0"/>
              <w:bidi w:val="0"/>
              <w:snapToGrid/>
              <w:spacing w:line="360" w:lineRule="auto"/>
              <w:jc w:val="center"/>
              <w:rPr>
                <w:rFonts w:ascii="宋体" w:hAnsi="宋体" w:cs="宋体"/>
                <w:sz w:val="18"/>
                <w:szCs w:val="18"/>
              </w:rPr>
            </w:pPr>
            <w:r>
              <w:rPr>
                <w:rFonts w:hint="eastAsia" w:ascii="宋体" w:hAnsi="宋体" w:cs="宋体"/>
                <w:sz w:val="18"/>
                <w:szCs w:val="18"/>
              </w:rPr>
              <w:t>5</w:t>
            </w:r>
          </w:p>
        </w:tc>
        <w:tc>
          <w:tcPr>
            <w:tcW w:w="8286" w:type="dxa"/>
            <w:vAlign w:val="center"/>
          </w:tcPr>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投标保证金形式：/。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55" w:type="dxa"/>
            <w:vAlign w:val="center"/>
          </w:tcPr>
          <w:p>
            <w:pPr>
              <w:keepNext w:val="0"/>
              <w:keepLines w:val="0"/>
              <w:pageBreakBefore w:val="0"/>
              <w:kinsoku/>
              <w:wordWrap/>
              <w:overflowPunct/>
              <w:topLinePunct w:val="0"/>
              <w:bidi w:val="0"/>
              <w:snapToGrid/>
              <w:spacing w:line="360" w:lineRule="auto"/>
              <w:jc w:val="center"/>
              <w:rPr>
                <w:rFonts w:ascii="宋体" w:hAnsi="宋体" w:cs="宋体"/>
                <w:sz w:val="18"/>
                <w:szCs w:val="18"/>
              </w:rPr>
            </w:pPr>
            <w:r>
              <w:rPr>
                <w:rFonts w:hint="eastAsia" w:ascii="宋体" w:hAnsi="宋体" w:cs="宋体"/>
                <w:sz w:val="18"/>
                <w:szCs w:val="18"/>
              </w:rPr>
              <w:t>6</w:t>
            </w:r>
          </w:p>
        </w:tc>
        <w:tc>
          <w:tcPr>
            <w:tcW w:w="8286" w:type="dxa"/>
            <w:vAlign w:val="center"/>
          </w:tcPr>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本项目实行网上投标，供应商应准备以下投标文件：</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（1）上传到政府采购云平台的电子投标文件（含资格文件、商务技术文件、报价文件）1份。</w:t>
            </w:r>
          </w:p>
          <w:p>
            <w:pPr>
              <w:keepNext w:val="0"/>
              <w:keepLines w:val="0"/>
              <w:pageBreakBefore w:val="0"/>
              <w:kinsoku/>
              <w:wordWrap/>
              <w:overflowPunct/>
              <w:topLinePunct w:val="0"/>
              <w:bidi w:val="0"/>
              <w:snapToGrid/>
              <w:spacing w:line="360" w:lineRule="auto"/>
              <w:rPr>
                <w:rFonts w:ascii="宋体" w:hAnsi="宋体" w:cs="宋体"/>
                <w:b/>
                <w:bCs/>
                <w:sz w:val="18"/>
                <w:szCs w:val="18"/>
              </w:rPr>
            </w:pPr>
            <w:r>
              <w:rPr>
                <w:rFonts w:hint="eastAsia" w:ascii="宋体" w:hAnsi="宋体" w:cs="宋体"/>
                <w:sz w:val="18"/>
                <w:szCs w:val="18"/>
              </w:rPr>
              <w:t>（2）以U盘或光盘存储的电子备份投标文件（含资格文件、商务技术文件、报价文件）1份。</w:t>
            </w:r>
            <w:r>
              <w:rPr>
                <w:rFonts w:hint="eastAsia" w:ascii="宋体" w:hAnsi="宋体" w:cs="宋体"/>
                <w:b/>
                <w:bCs/>
                <w:sz w:val="18"/>
                <w:szCs w:val="18"/>
              </w:rPr>
              <w:t>【自愿提供】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55" w:type="dxa"/>
            <w:vAlign w:val="center"/>
          </w:tcPr>
          <w:p>
            <w:pPr>
              <w:keepNext w:val="0"/>
              <w:keepLines w:val="0"/>
              <w:pageBreakBefore w:val="0"/>
              <w:kinsoku/>
              <w:wordWrap/>
              <w:overflowPunct/>
              <w:topLinePunct w:val="0"/>
              <w:bidi w:val="0"/>
              <w:snapToGrid/>
              <w:spacing w:line="360" w:lineRule="auto"/>
              <w:jc w:val="center"/>
              <w:rPr>
                <w:rFonts w:ascii="宋体" w:hAnsi="宋体" w:cs="宋体"/>
                <w:sz w:val="18"/>
                <w:szCs w:val="18"/>
              </w:rPr>
            </w:pPr>
            <w:r>
              <w:rPr>
                <w:rFonts w:hint="eastAsia" w:ascii="宋体" w:hAnsi="宋体" w:cs="宋体"/>
                <w:sz w:val="18"/>
                <w:szCs w:val="18"/>
              </w:rPr>
              <w:t>7</w:t>
            </w:r>
          </w:p>
        </w:tc>
        <w:tc>
          <w:tcPr>
            <w:tcW w:w="8286" w:type="dxa"/>
            <w:vAlign w:val="center"/>
          </w:tcPr>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投标截止时间及地点：同招标公告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55" w:type="dxa"/>
            <w:vAlign w:val="center"/>
          </w:tcPr>
          <w:p>
            <w:pPr>
              <w:keepNext w:val="0"/>
              <w:keepLines w:val="0"/>
              <w:pageBreakBefore w:val="0"/>
              <w:kinsoku/>
              <w:wordWrap/>
              <w:overflowPunct/>
              <w:topLinePunct w:val="0"/>
              <w:bidi w:val="0"/>
              <w:snapToGrid/>
              <w:spacing w:line="360" w:lineRule="auto"/>
              <w:jc w:val="center"/>
              <w:rPr>
                <w:rFonts w:ascii="宋体" w:hAnsi="宋体" w:cs="宋体"/>
                <w:sz w:val="18"/>
                <w:szCs w:val="18"/>
              </w:rPr>
            </w:pPr>
            <w:r>
              <w:rPr>
                <w:rFonts w:hint="eastAsia" w:ascii="宋体" w:hAnsi="宋体" w:cs="宋体"/>
                <w:sz w:val="18"/>
                <w:szCs w:val="18"/>
              </w:rPr>
              <w:t>8</w:t>
            </w:r>
          </w:p>
        </w:tc>
        <w:tc>
          <w:tcPr>
            <w:tcW w:w="8286" w:type="dxa"/>
            <w:vAlign w:val="center"/>
          </w:tcPr>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开标时间及地点：同招标公告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55" w:type="dxa"/>
            <w:vAlign w:val="center"/>
          </w:tcPr>
          <w:p>
            <w:pPr>
              <w:keepNext w:val="0"/>
              <w:keepLines w:val="0"/>
              <w:pageBreakBefore w:val="0"/>
              <w:kinsoku/>
              <w:wordWrap/>
              <w:overflowPunct/>
              <w:topLinePunct w:val="0"/>
              <w:bidi w:val="0"/>
              <w:snapToGrid/>
              <w:spacing w:line="360" w:lineRule="auto"/>
              <w:jc w:val="center"/>
              <w:rPr>
                <w:rFonts w:ascii="宋体" w:hAnsi="宋体" w:cs="宋体"/>
                <w:sz w:val="18"/>
                <w:szCs w:val="18"/>
              </w:rPr>
            </w:pPr>
            <w:r>
              <w:rPr>
                <w:rFonts w:hint="eastAsia" w:ascii="宋体" w:hAnsi="宋体" w:cs="宋体"/>
                <w:sz w:val="18"/>
                <w:szCs w:val="18"/>
              </w:rPr>
              <w:t>9</w:t>
            </w:r>
          </w:p>
        </w:tc>
        <w:tc>
          <w:tcPr>
            <w:tcW w:w="8286" w:type="dxa"/>
            <w:vAlign w:val="center"/>
          </w:tcPr>
          <w:p>
            <w:pPr>
              <w:keepNext w:val="0"/>
              <w:keepLines w:val="0"/>
              <w:pageBreakBefore w:val="0"/>
              <w:kinsoku/>
              <w:wordWrap/>
              <w:overflowPunct/>
              <w:topLinePunct w:val="0"/>
              <w:autoSpaceDE w:val="0"/>
              <w:autoSpaceDN w:val="0"/>
              <w:bidi w:val="0"/>
              <w:snapToGrid/>
              <w:spacing w:line="360" w:lineRule="auto"/>
              <w:textAlignment w:val="bottom"/>
              <w:rPr>
                <w:rFonts w:ascii="宋体" w:hAnsi="宋体" w:cs="宋体"/>
                <w:sz w:val="18"/>
                <w:szCs w:val="18"/>
              </w:rPr>
            </w:pPr>
            <w:r>
              <w:rPr>
                <w:rFonts w:hint="eastAsia" w:ascii="宋体" w:hAnsi="宋体" w:cs="宋体"/>
                <w:sz w:val="18"/>
                <w:szCs w:val="18"/>
              </w:rPr>
              <w:t>评标办法及评分标准：详见招标文件第四章。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755" w:type="dxa"/>
            <w:vAlign w:val="center"/>
          </w:tcPr>
          <w:p>
            <w:pPr>
              <w:keepNext w:val="0"/>
              <w:keepLines w:val="0"/>
              <w:pageBreakBefore w:val="0"/>
              <w:kinsoku/>
              <w:wordWrap/>
              <w:overflowPunct/>
              <w:topLinePunct w:val="0"/>
              <w:bidi w:val="0"/>
              <w:snapToGrid/>
              <w:spacing w:line="360" w:lineRule="auto"/>
              <w:jc w:val="center"/>
              <w:rPr>
                <w:rFonts w:ascii="宋体" w:hAnsi="宋体" w:cs="宋体"/>
                <w:sz w:val="18"/>
                <w:szCs w:val="18"/>
              </w:rPr>
            </w:pPr>
            <w:r>
              <w:rPr>
                <w:rFonts w:hint="eastAsia" w:ascii="宋体" w:hAnsi="宋体" w:cs="宋体"/>
                <w:sz w:val="18"/>
                <w:szCs w:val="18"/>
              </w:rPr>
              <w:t>10</w:t>
            </w:r>
          </w:p>
        </w:tc>
        <w:tc>
          <w:tcPr>
            <w:tcW w:w="8286" w:type="dxa"/>
            <w:vAlign w:val="center"/>
          </w:tcPr>
          <w:p>
            <w:pPr>
              <w:keepNext w:val="0"/>
              <w:keepLines w:val="0"/>
              <w:pageBreakBefore w:val="0"/>
              <w:kinsoku/>
              <w:wordWrap/>
              <w:overflowPunct/>
              <w:topLinePunct w:val="0"/>
              <w:autoSpaceDE w:val="0"/>
              <w:autoSpaceDN w:val="0"/>
              <w:bidi w:val="0"/>
              <w:snapToGrid/>
              <w:spacing w:line="360" w:lineRule="auto"/>
              <w:textAlignment w:val="bottom"/>
              <w:rPr>
                <w:rFonts w:ascii="宋体" w:hAnsi="宋体" w:cs="宋体"/>
                <w:sz w:val="18"/>
                <w:szCs w:val="18"/>
              </w:rPr>
            </w:pPr>
            <w:r>
              <w:rPr>
                <w:rFonts w:hint="eastAsia" w:ascii="宋体" w:hAnsi="宋体" w:cs="宋体"/>
                <w:sz w:val="18"/>
                <w:szCs w:val="18"/>
              </w:rPr>
              <w:t>中标（成交）结果公告：评标结果公告于浙江政府采购网、宁波市政府采购网及宁波市公共资源交易网（镇海区分网）。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5" w:type="dxa"/>
            <w:vAlign w:val="center"/>
          </w:tcPr>
          <w:p>
            <w:pPr>
              <w:keepNext w:val="0"/>
              <w:keepLines w:val="0"/>
              <w:pageBreakBefore w:val="0"/>
              <w:kinsoku/>
              <w:wordWrap/>
              <w:overflowPunct/>
              <w:topLinePunct w:val="0"/>
              <w:bidi w:val="0"/>
              <w:snapToGrid/>
              <w:spacing w:line="360" w:lineRule="auto"/>
              <w:jc w:val="center"/>
              <w:rPr>
                <w:rFonts w:ascii="宋体" w:hAnsi="宋体" w:cs="宋体"/>
                <w:sz w:val="18"/>
                <w:szCs w:val="18"/>
              </w:rPr>
            </w:pPr>
            <w:r>
              <w:rPr>
                <w:rFonts w:hint="eastAsia" w:ascii="宋体" w:hAnsi="宋体" w:cs="宋体"/>
                <w:sz w:val="18"/>
                <w:szCs w:val="18"/>
              </w:rPr>
              <w:t>11</w:t>
            </w:r>
          </w:p>
        </w:tc>
        <w:tc>
          <w:tcPr>
            <w:tcW w:w="8286" w:type="dxa"/>
            <w:vAlign w:val="center"/>
          </w:tcPr>
          <w:p>
            <w:pPr>
              <w:keepNext w:val="0"/>
              <w:keepLines w:val="0"/>
              <w:pageBreakBefore w:val="0"/>
              <w:kinsoku/>
              <w:wordWrap/>
              <w:overflowPunct/>
              <w:topLinePunct w:val="0"/>
              <w:autoSpaceDE w:val="0"/>
              <w:autoSpaceDN w:val="0"/>
              <w:bidi w:val="0"/>
              <w:snapToGrid/>
              <w:spacing w:line="360" w:lineRule="auto"/>
              <w:textAlignment w:val="bottom"/>
              <w:rPr>
                <w:rFonts w:ascii="宋体" w:hAnsi="宋体" w:cs="宋体"/>
                <w:sz w:val="18"/>
                <w:szCs w:val="18"/>
              </w:rPr>
            </w:pPr>
            <w:r>
              <w:rPr>
                <w:rFonts w:hint="eastAsia" w:ascii="宋体" w:hAnsi="宋体" w:cs="宋体"/>
                <w:sz w:val="18"/>
                <w:szCs w:val="18"/>
              </w:rPr>
              <w:t>现场踏勘：不组织。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55" w:type="dxa"/>
            <w:vAlign w:val="center"/>
          </w:tcPr>
          <w:p>
            <w:pPr>
              <w:keepNext w:val="0"/>
              <w:keepLines w:val="0"/>
              <w:pageBreakBefore w:val="0"/>
              <w:kinsoku/>
              <w:wordWrap/>
              <w:overflowPunct/>
              <w:topLinePunct w:val="0"/>
              <w:bidi w:val="0"/>
              <w:snapToGrid/>
              <w:spacing w:line="360" w:lineRule="auto"/>
              <w:jc w:val="center"/>
              <w:rPr>
                <w:rFonts w:ascii="宋体" w:hAnsi="宋体" w:cs="宋体"/>
                <w:sz w:val="18"/>
                <w:szCs w:val="18"/>
              </w:rPr>
            </w:pPr>
            <w:r>
              <w:rPr>
                <w:rFonts w:hint="eastAsia" w:ascii="宋体" w:hAnsi="宋体" w:cs="宋体"/>
                <w:sz w:val="18"/>
                <w:szCs w:val="18"/>
              </w:rPr>
              <w:t>12</w:t>
            </w:r>
          </w:p>
        </w:tc>
        <w:tc>
          <w:tcPr>
            <w:tcW w:w="8286" w:type="dxa"/>
            <w:vAlign w:val="center"/>
          </w:tcPr>
          <w:p>
            <w:pPr>
              <w:keepNext w:val="0"/>
              <w:keepLines w:val="0"/>
              <w:pageBreakBefore w:val="0"/>
              <w:kinsoku/>
              <w:wordWrap/>
              <w:overflowPunct/>
              <w:topLinePunct w:val="0"/>
              <w:autoSpaceDE w:val="0"/>
              <w:autoSpaceDN w:val="0"/>
              <w:bidi w:val="0"/>
              <w:snapToGrid/>
              <w:spacing w:line="360" w:lineRule="auto"/>
              <w:textAlignment w:val="bottom"/>
              <w:rPr>
                <w:rFonts w:ascii="宋体" w:hAnsi="宋体" w:cs="宋体"/>
                <w:sz w:val="18"/>
                <w:szCs w:val="18"/>
              </w:rPr>
            </w:pPr>
            <w:r>
              <w:rPr>
                <w:rFonts w:hint="eastAsia" w:ascii="宋体" w:hAnsi="宋体" w:cs="宋体"/>
                <w:sz w:val="18"/>
                <w:szCs w:val="18"/>
              </w:rPr>
              <w:t>*签订合同时间：中标通知书发出后30日内。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755" w:type="dxa"/>
            <w:vAlign w:val="center"/>
          </w:tcPr>
          <w:p>
            <w:pPr>
              <w:keepNext w:val="0"/>
              <w:keepLines w:val="0"/>
              <w:pageBreakBefore w:val="0"/>
              <w:kinsoku/>
              <w:wordWrap/>
              <w:overflowPunct/>
              <w:topLinePunct w:val="0"/>
              <w:bidi w:val="0"/>
              <w:snapToGrid/>
              <w:spacing w:line="360" w:lineRule="auto"/>
              <w:jc w:val="center"/>
              <w:rPr>
                <w:rFonts w:ascii="宋体" w:hAnsi="宋体" w:cs="宋体"/>
                <w:sz w:val="18"/>
                <w:szCs w:val="18"/>
              </w:rPr>
            </w:pPr>
            <w:r>
              <w:rPr>
                <w:rFonts w:hint="eastAsia" w:ascii="宋体" w:hAnsi="宋体" w:cs="宋体"/>
                <w:sz w:val="18"/>
                <w:szCs w:val="18"/>
              </w:rPr>
              <w:t>13</w:t>
            </w:r>
          </w:p>
        </w:tc>
        <w:tc>
          <w:tcPr>
            <w:tcW w:w="8286"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left"/>
              <w:rPr>
                <w:rFonts w:ascii="宋体" w:hAnsi="宋体" w:cs="宋体"/>
                <w:sz w:val="18"/>
                <w:szCs w:val="18"/>
              </w:rPr>
            </w:pPr>
            <w:r>
              <w:rPr>
                <w:rFonts w:hint="eastAsia" w:ascii="宋体" w:hAnsi="宋体" w:cs="宋体"/>
                <w:sz w:val="18"/>
                <w:szCs w:val="18"/>
              </w:rPr>
              <w:t>*履约保证金：无。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755" w:type="dxa"/>
            <w:vAlign w:val="center"/>
          </w:tcPr>
          <w:p>
            <w:pPr>
              <w:keepNext w:val="0"/>
              <w:keepLines w:val="0"/>
              <w:pageBreakBefore w:val="0"/>
              <w:kinsoku/>
              <w:wordWrap/>
              <w:overflowPunct/>
              <w:topLinePunct w:val="0"/>
              <w:bidi w:val="0"/>
              <w:snapToGrid/>
              <w:spacing w:line="360" w:lineRule="auto"/>
              <w:jc w:val="center"/>
              <w:rPr>
                <w:rFonts w:ascii="宋体" w:hAnsi="宋体" w:cs="宋体"/>
                <w:sz w:val="18"/>
                <w:szCs w:val="18"/>
              </w:rPr>
            </w:pPr>
            <w:r>
              <w:rPr>
                <w:rFonts w:hint="eastAsia" w:ascii="宋体" w:hAnsi="宋体" w:cs="宋体"/>
                <w:sz w:val="18"/>
                <w:szCs w:val="18"/>
              </w:rPr>
              <w:t>14</w:t>
            </w:r>
          </w:p>
        </w:tc>
        <w:tc>
          <w:tcPr>
            <w:tcW w:w="8286" w:type="dxa"/>
            <w:vAlign w:val="center"/>
          </w:tcPr>
          <w:p>
            <w:pPr>
              <w:keepNext w:val="0"/>
              <w:keepLines w:val="0"/>
              <w:pageBreakBefore w:val="0"/>
              <w:kinsoku/>
              <w:wordWrap/>
              <w:overflowPunct/>
              <w:topLinePunct w:val="0"/>
              <w:bidi w:val="0"/>
              <w:snapToGrid/>
              <w:spacing w:line="360" w:lineRule="auto"/>
              <w:rPr>
                <w:rFonts w:ascii="宋体" w:hAnsi="宋体" w:cs="宋体"/>
                <w:b/>
                <w:bCs/>
                <w:sz w:val="18"/>
                <w:szCs w:val="18"/>
              </w:rPr>
            </w:pPr>
            <w:r>
              <w:rPr>
                <w:rFonts w:hint="eastAsia" w:ascii="宋体" w:hAnsi="宋体" w:cs="宋体"/>
                <w:b/>
                <w:bCs/>
                <w:sz w:val="18"/>
                <w:szCs w:val="18"/>
              </w:rPr>
              <w:t>投标文件的组成（资格文件、商务技术文件、报价文件）：（适用标项1,2）</w:t>
            </w:r>
          </w:p>
          <w:p>
            <w:pPr>
              <w:keepNext w:val="0"/>
              <w:keepLines w:val="0"/>
              <w:pageBreakBefore w:val="0"/>
              <w:kinsoku/>
              <w:wordWrap/>
              <w:overflowPunct/>
              <w:topLinePunct w:val="0"/>
              <w:bidi w:val="0"/>
              <w:snapToGrid/>
              <w:spacing w:line="360" w:lineRule="auto"/>
              <w:rPr>
                <w:rFonts w:ascii="宋体" w:hAnsi="宋体" w:cs="宋体"/>
                <w:b/>
                <w:bCs/>
                <w:sz w:val="18"/>
                <w:szCs w:val="18"/>
              </w:rPr>
            </w:pPr>
            <w:r>
              <w:rPr>
                <w:rFonts w:hint="eastAsia" w:ascii="宋体" w:hAnsi="宋体" w:cs="宋体"/>
                <w:b/>
                <w:bCs/>
                <w:sz w:val="18"/>
                <w:szCs w:val="18"/>
              </w:rPr>
              <w:t>资格文件格式（包括但不限于以下内容）：</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（1）合法有效的营业执照副本（或事业法人登记证副本或其他登记证明材料）原件扫描件或者电子营业执照加盖供应商公章；</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（2）符合参加政府采购活动应当具备的一般条件的承诺函；（格式见招标文件第六章）</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（3）落实政府采购政策需满足的资格要求：专门面向中小企业，服务全部由符合政策要求的中小/小微企业承接（提供中小企业声明函）（格式见招标文件第六章）；</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（4）非联合体投标（须提供非联合体投标承诺书）（格式自拟）；</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（5）投标人认为需要提供的其他相关资料（如有需提供）。</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注：采购人或采购代理机构在资格审查时，通过“信用中国”网站(www.creditchina.gov.cn)、中国政府采购网(www.ccgp.gov.cn) 等渠道查询供应商在投标截止日之前的信用记录并保存。投标人若被列入失信被执行人或重大税收违法案件当事人名单或政府采购严重违法失信行为记录名单的，则否决其投标。若开标当天因不可抗力事件导致无法查询且一时无法恢复的，可在中标通知书发出前对中标人进行查询，如中标人为失信被执行人的，则取消中标资格。</w:t>
            </w:r>
          </w:p>
          <w:p>
            <w:pPr>
              <w:keepNext w:val="0"/>
              <w:keepLines w:val="0"/>
              <w:pageBreakBefore w:val="0"/>
              <w:kinsoku/>
              <w:wordWrap/>
              <w:overflowPunct/>
              <w:topLinePunct w:val="0"/>
              <w:bidi w:val="0"/>
              <w:snapToGrid/>
              <w:spacing w:line="360" w:lineRule="auto"/>
              <w:rPr>
                <w:rFonts w:ascii="宋体" w:hAnsi="宋体" w:cs="宋体"/>
                <w:b/>
                <w:bCs/>
                <w:sz w:val="18"/>
                <w:szCs w:val="18"/>
              </w:rPr>
            </w:pPr>
            <w:r>
              <w:rPr>
                <w:rFonts w:hint="eastAsia" w:ascii="宋体" w:hAnsi="宋体" w:cs="宋体"/>
                <w:b/>
                <w:bCs/>
                <w:sz w:val="18"/>
                <w:szCs w:val="18"/>
              </w:rPr>
              <w:t>商务技术文件格式（包括但不限于以下内容）：</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（1）评分索引表（格式详见招标文件第六章）；</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（2）符合性自查表（格式详见招标文件第六章）；</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（3）投标书（格式详见招标文件第六章） ；</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（4）合法有效的营业执照副本（或事业法人登记证副本或其他登记证明材料）原件扫描件或者电子营业执照加盖供应商公章（复印件盖单位公章）；</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5）股东成员组成说明书（供应商须提供股东成员组成说明书（格式自拟），加盖供应商公章；或从“国家企业信用信息公示系统”、“宁波市企业信用网”等相关网站里打印有股东成员名称的相关页面，加盖供应商公章）；</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(6)授权委托书（投标文件由授权代表签字的须提供）、法定代表人身份证明（格式详见第六章）；</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（7）“本单位不存在与其他投标人的投标文件出自同一终端设备或在相同Internet主机分配地址（相同IP地址）网上报名投标的承诺”的承诺书（格式自拟）；</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（8）技术条款响应表（格式详见第六章）；</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（9）商务条款响应表（格式详见第六章）；</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（10）服务承诺（格式详见第六章）；</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（11）拟派往本项目的团队人员一览表（格式详见第六章）；</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（12）针对本项目拟投入设备承诺函（格式详见第六章）；</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（13）类似项目业绩表（格式详见第六章）；</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（14）拟提供备品备件情况（格式自拟）；</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（15）总体方案（包含但不限于以下内容：总体方案目录，运维方案，人员安排，设备安排，服务方案，应急方案，施工方案，项目进度安排等）（具体内容及格式自拟）</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（16）投标人综合实力（投标人根据自身情况，如实填写）</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（格式自拟）；</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（17）《招标文件第四章技术资信商务分评审-附表3》中需要提供的材料；（如有，格式自拟）；</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（18）投标人基本情况表（格式详见第六章）；</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（19）投标人认为需要提供的相关材料（如有，格式自拟）。</w:t>
            </w:r>
          </w:p>
          <w:p>
            <w:pPr>
              <w:keepNext w:val="0"/>
              <w:keepLines w:val="0"/>
              <w:pageBreakBefore w:val="0"/>
              <w:kinsoku/>
              <w:wordWrap/>
              <w:overflowPunct/>
              <w:topLinePunct w:val="0"/>
              <w:bidi w:val="0"/>
              <w:snapToGrid/>
              <w:spacing w:line="360" w:lineRule="auto"/>
              <w:rPr>
                <w:rFonts w:ascii="宋体" w:hAnsi="宋体" w:cs="宋体"/>
                <w:b/>
                <w:bCs/>
                <w:sz w:val="18"/>
                <w:szCs w:val="18"/>
              </w:rPr>
            </w:pPr>
            <w:r>
              <w:rPr>
                <w:rFonts w:hint="eastAsia" w:ascii="宋体" w:hAnsi="宋体" w:cs="宋体"/>
                <w:b/>
                <w:bCs/>
                <w:sz w:val="18"/>
                <w:szCs w:val="18"/>
              </w:rPr>
              <w:t>报价文件格式（包含但不限于以下内容）</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（1）投标函（格式详见招标文件第六章）；</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（2）开标一览表（（格式详见招标文件第六章）；</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（3）投标报价明细表（格式自拟）；</w:t>
            </w:r>
          </w:p>
          <w:p>
            <w:pPr>
              <w:keepNext w:val="0"/>
              <w:keepLines w:val="0"/>
              <w:pageBreakBefore w:val="0"/>
              <w:kinsoku/>
              <w:wordWrap/>
              <w:overflowPunct/>
              <w:topLinePunct w:val="0"/>
              <w:bidi w:val="0"/>
              <w:snapToGrid/>
              <w:spacing w:line="360" w:lineRule="auto"/>
            </w:pPr>
            <w:r>
              <w:rPr>
                <w:rFonts w:hint="eastAsia" w:ascii="宋体" w:hAnsi="宋体" w:cs="宋体"/>
                <w:sz w:val="18"/>
                <w:szCs w:val="18"/>
              </w:rPr>
              <w:t>（4）供应商认为需要提供的其他资料（如有需提供）。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5" w:type="dxa"/>
            <w:vAlign w:val="center"/>
          </w:tcPr>
          <w:p>
            <w:pPr>
              <w:keepNext w:val="0"/>
              <w:keepLines w:val="0"/>
              <w:pageBreakBefore w:val="0"/>
              <w:kinsoku/>
              <w:wordWrap/>
              <w:overflowPunct/>
              <w:topLinePunct w:val="0"/>
              <w:bidi w:val="0"/>
              <w:snapToGrid/>
              <w:spacing w:line="360" w:lineRule="auto"/>
              <w:jc w:val="center"/>
              <w:rPr>
                <w:rFonts w:ascii="宋体" w:hAnsi="宋体" w:cs="宋体"/>
                <w:sz w:val="18"/>
                <w:szCs w:val="18"/>
              </w:rPr>
            </w:pPr>
            <w:r>
              <w:rPr>
                <w:rFonts w:hint="eastAsia" w:ascii="宋体" w:hAnsi="宋体" w:cs="宋体"/>
                <w:sz w:val="18"/>
                <w:szCs w:val="18"/>
              </w:rPr>
              <w:t>15</w:t>
            </w:r>
          </w:p>
        </w:tc>
        <w:tc>
          <w:tcPr>
            <w:tcW w:w="8286"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left"/>
              <w:rPr>
                <w:rFonts w:ascii="宋体" w:hAnsi="宋体" w:cs="宋体"/>
                <w:sz w:val="18"/>
                <w:szCs w:val="18"/>
              </w:rPr>
            </w:pPr>
            <w:r>
              <w:rPr>
                <w:rFonts w:hint="eastAsia" w:ascii="宋体" w:hAnsi="宋体" w:cs="宋体"/>
                <w:sz w:val="18"/>
                <w:szCs w:val="18"/>
              </w:rPr>
              <w:t>中标候选人数量</w:t>
            </w:r>
            <w:r>
              <w:rPr>
                <w:rFonts w:hint="eastAsia" w:ascii="宋体" w:hAnsi="宋体" w:cs="宋体"/>
                <w:b/>
                <w:bCs/>
                <w:sz w:val="18"/>
                <w:szCs w:val="18"/>
              </w:rPr>
              <w:t>（适用标项1,2）</w:t>
            </w:r>
            <w:r>
              <w:rPr>
                <w:rFonts w:hint="eastAsia" w:ascii="宋体" w:hAnsi="宋体" w:cs="宋体"/>
                <w:sz w:val="18"/>
                <w:szCs w:val="18"/>
              </w:rPr>
              <w:t>：2名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755" w:type="dxa"/>
            <w:vAlign w:val="center"/>
          </w:tcPr>
          <w:p>
            <w:pPr>
              <w:keepNext w:val="0"/>
              <w:keepLines w:val="0"/>
              <w:pageBreakBefore w:val="0"/>
              <w:kinsoku/>
              <w:wordWrap/>
              <w:overflowPunct/>
              <w:topLinePunct w:val="0"/>
              <w:bidi w:val="0"/>
              <w:snapToGrid/>
              <w:spacing w:line="360" w:lineRule="auto"/>
              <w:jc w:val="center"/>
              <w:rPr>
                <w:rFonts w:ascii="宋体" w:hAnsi="宋体" w:cs="宋体"/>
                <w:sz w:val="18"/>
                <w:szCs w:val="18"/>
              </w:rPr>
            </w:pPr>
            <w:r>
              <w:rPr>
                <w:rFonts w:hint="eastAsia" w:ascii="宋体" w:hAnsi="宋体" w:cs="宋体"/>
                <w:sz w:val="18"/>
                <w:szCs w:val="18"/>
              </w:rPr>
              <w:t>16</w:t>
            </w:r>
          </w:p>
        </w:tc>
        <w:tc>
          <w:tcPr>
            <w:tcW w:w="8286"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jc w:val="left"/>
              <w:rPr>
                <w:rFonts w:ascii="宋体" w:hAnsi="宋体" w:cs="宋体"/>
                <w:sz w:val="18"/>
                <w:szCs w:val="18"/>
              </w:rPr>
            </w:pPr>
            <w:r>
              <w:rPr>
                <w:rFonts w:hint="eastAsia" w:ascii="宋体" w:hAnsi="宋体" w:cs="宋体"/>
                <w:sz w:val="18"/>
                <w:szCs w:val="18"/>
              </w:rPr>
              <w:t>中标人确定</w:t>
            </w:r>
            <w:r>
              <w:rPr>
                <w:rFonts w:hint="eastAsia" w:ascii="宋体" w:hAnsi="宋体" w:cs="宋体"/>
                <w:b/>
                <w:bCs/>
                <w:sz w:val="18"/>
                <w:szCs w:val="18"/>
              </w:rPr>
              <w:t>（适用标项1,2）</w:t>
            </w:r>
            <w:r>
              <w:rPr>
                <w:rFonts w:hint="eastAsia" w:ascii="宋体" w:hAnsi="宋体" w:cs="宋体"/>
                <w:sz w:val="18"/>
                <w:szCs w:val="18"/>
              </w:rPr>
              <w:t>：</w:t>
            </w:r>
            <w:r>
              <w:rPr>
                <w:rFonts w:hint="eastAsia" w:ascii="宋体" w:hAnsi="宋体" w:cs="宋体"/>
                <w:b/>
                <w:bCs/>
                <w:sz w:val="18"/>
                <w:szCs w:val="18"/>
              </w:rPr>
              <w:t>采购人委托评标委员会直接确定排名第一的为中标人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55" w:type="dxa"/>
            <w:vAlign w:val="center"/>
          </w:tcPr>
          <w:p>
            <w:pPr>
              <w:keepNext w:val="0"/>
              <w:keepLines w:val="0"/>
              <w:pageBreakBefore w:val="0"/>
              <w:kinsoku/>
              <w:wordWrap/>
              <w:overflowPunct/>
              <w:topLinePunct w:val="0"/>
              <w:bidi w:val="0"/>
              <w:snapToGrid/>
              <w:spacing w:line="360" w:lineRule="auto"/>
              <w:jc w:val="center"/>
              <w:rPr>
                <w:rFonts w:ascii="宋体" w:hAnsi="宋体" w:cs="宋体"/>
                <w:sz w:val="18"/>
                <w:szCs w:val="18"/>
              </w:rPr>
            </w:pPr>
            <w:r>
              <w:rPr>
                <w:rFonts w:hint="eastAsia" w:ascii="宋体" w:hAnsi="宋体" w:cs="宋体"/>
                <w:sz w:val="18"/>
                <w:szCs w:val="18"/>
              </w:rPr>
              <w:t>19</w:t>
            </w:r>
          </w:p>
        </w:tc>
        <w:tc>
          <w:tcPr>
            <w:tcW w:w="8286" w:type="dxa"/>
            <w:vAlign w:val="center"/>
          </w:tcPr>
          <w:p>
            <w:pPr>
              <w:keepNext w:val="0"/>
              <w:keepLines w:val="0"/>
              <w:pageBreakBefore w:val="0"/>
              <w:kinsoku/>
              <w:wordWrap/>
              <w:overflowPunct/>
              <w:topLinePunct w:val="0"/>
              <w:autoSpaceDE w:val="0"/>
              <w:autoSpaceDN w:val="0"/>
              <w:bidi w:val="0"/>
              <w:snapToGrid/>
              <w:spacing w:line="360" w:lineRule="auto"/>
              <w:textAlignment w:val="bottom"/>
              <w:rPr>
                <w:rFonts w:ascii="宋体" w:hAnsi="宋体" w:cs="宋体"/>
                <w:sz w:val="18"/>
                <w:szCs w:val="18"/>
              </w:rPr>
            </w:pPr>
            <w:r>
              <w:rPr>
                <w:rFonts w:hint="eastAsia" w:ascii="宋体" w:hAnsi="宋体" w:cs="宋体"/>
                <w:sz w:val="18"/>
                <w:szCs w:val="18"/>
              </w:rPr>
              <w:t>采购资金来源：财政预算。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755" w:type="dxa"/>
            <w:vAlign w:val="center"/>
          </w:tcPr>
          <w:p>
            <w:pPr>
              <w:keepNext w:val="0"/>
              <w:keepLines w:val="0"/>
              <w:pageBreakBefore w:val="0"/>
              <w:kinsoku/>
              <w:wordWrap/>
              <w:overflowPunct/>
              <w:topLinePunct w:val="0"/>
              <w:bidi w:val="0"/>
              <w:snapToGrid/>
              <w:spacing w:line="360" w:lineRule="auto"/>
              <w:jc w:val="center"/>
              <w:rPr>
                <w:rFonts w:ascii="宋体" w:hAnsi="宋体" w:cs="宋体"/>
                <w:sz w:val="18"/>
                <w:szCs w:val="18"/>
              </w:rPr>
            </w:pPr>
            <w:r>
              <w:rPr>
                <w:rFonts w:hint="eastAsia" w:ascii="宋体" w:hAnsi="宋体" w:cs="宋体"/>
                <w:sz w:val="18"/>
                <w:szCs w:val="18"/>
              </w:rPr>
              <w:t>20</w:t>
            </w:r>
          </w:p>
        </w:tc>
        <w:tc>
          <w:tcPr>
            <w:tcW w:w="8286" w:type="dxa"/>
            <w:vAlign w:val="center"/>
          </w:tcPr>
          <w:p>
            <w:pPr>
              <w:pStyle w:val="5"/>
              <w:keepNext w:val="0"/>
              <w:keepLines w:val="0"/>
              <w:pageBreakBefore w:val="0"/>
              <w:widowControl/>
              <w:kinsoku/>
              <w:wordWrap/>
              <w:overflowPunct/>
              <w:topLinePunct w:val="0"/>
              <w:bidi w:val="0"/>
              <w:snapToGrid/>
              <w:spacing w:line="360" w:lineRule="auto"/>
              <w:rPr>
                <w:rFonts w:cs="宋体"/>
                <w:sz w:val="18"/>
                <w:szCs w:val="18"/>
              </w:rPr>
            </w:pPr>
            <w:r>
              <w:rPr>
                <w:rFonts w:hint="eastAsia" w:cs="宋体"/>
                <w:sz w:val="18"/>
                <w:szCs w:val="18"/>
              </w:rPr>
              <w:t>付款方式：详见招标文件第二章 招标需求。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55" w:type="dxa"/>
            <w:vAlign w:val="center"/>
          </w:tcPr>
          <w:p>
            <w:pPr>
              <w:keepNext w:val="0"/>
              <w:keepLines w:val="0"/>
              <w:pageBreakBefore w:val="0"/>
              <w:kinsoku/>
              <w:wordWrap/>
              <w:overflowPunct/>
              <w:topLinePunct w:val="0"/>
              <w:bidi w:val="0"/>
              <w:snapToGrid/>
              <w:spacing w:line="360" w:lineRule="auto"/>
              <w:jc w:val="center"/>
              <w:rPr>
                <w:rFonts w:ascii="宋体" w:hAnsi="宋体" w:cs="宋体"/>
                <w:sz w:val="18"/>
                <w:szCs w:val="18"/>
              </w:rPr>
            </w:pPr>
            <w:r>
              <w:rPr>
                <w:rFonts w:hint="eastAsia" w:ascii="宋体" w:hAnsi="宋体" w:cs="宋体"/>
                <w:sz w:val="18"/>
                <w:szCs w:val="18"/>
              </w:rPr>
              <w:t>21</w:t>
            </w:r>
          </w:p>
        </w:tc>
        <w:tc>
          <w:tcPr>
            <w:tcW w:w="8286" w:type="dxa"/>
            <w:vAlign w:val="center"/>
          </w:tcPr>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投标有效期：90天。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755" w:type="dxa"/>
            <w:vAlign w:val="center"/>
          </w:tcPr>
          <w:p>
            <w:pPr>
              <w:keepNext w:val="0"/>
              <w:keepLines w:val="0"/>
              <w:pageBreakBefore w:val="0"/>
              <w:kinsoku/>
              <w:wordWrap/>
              <w:overflowPunct/>
              <w:topLinePunct w:val="0"/>
              <w:bidi w:val="0"/>
              <w:snapToGrid/>
              <w:spacing w:line="360" w:lineRule="auto"/>
              <w:jc w:val="center"/>
              <w:rPr>
                <w:rFonts w:ascii="宋体" w:hAnsi="宋体" w:cs="宋体"/>
                <w:sz w:val="18"/>
                <w:szCs w:val="18"/>
              </w:rPr>
            </w:pPr>
            <w:r>
              <w:rPr>
                <w:rFonts w:hint="eastAsia" w:ascii="宋体" w:hAnsi="宋体" w:cs="宋体"/>
                <w:sz w:val="18"/>
                <w:szCs w:val="18"/>
              </w:rPr>
              <w:t>22</w:t>
            </w:r>
          </w:p>
        </w:tc>
        <w:tc>
          <w:tcPr>
            <w:tcW w:w="8286" w:type="dxa"/>
            <w:vAlign w:val="center"/>
          </w:tcPr>
          <w:p>
            <w:pPr>
              <w:keepNext w:val="0"/>
              <w:keepLines w:val="0"/>
              <w:pageBreakBefore w:val="0"/>
              <w:kinsoku/>
              <w:wordWrap/>
              <w:overflowPunct/>
              <w:topLinePunct w:val="0"/>
              <w:bidi w:val="0"/>
              <w:snapToGrid/>
              <w:spacing w:line="360" w:lineRule="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招标代理费：招标代理机构最终参照国家发改委发改办价格发改价格[2011]534号通知和国家计委计价格【2002】1980号文件中的服务类招标费率标准，以项目两年中标总金额为基数，下浮70%向招标人收取招标代理费（招标代理费包含专家评审费、餐费；其余费用如交易费、公证费等按实计列，由代理单位垫付。）。</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lang w:val="en-US" w:eastAsia="zh-CN"/>
              </w:rPr>
              <w:t>2.招标代理费</w:t>
            </w:r>
            <w:r>
              <w:rPr>
                <w:rFonts w:hint="eastAsia" w:ascii="宋体" w:hAnsi="宋体" w:cs="宋体"/>
                <w:sz w:val="18"/>
                <w:szCs w:val="18"/>
              </w:rPr>
              <w:t>缴纳：</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账户名称：宁波华欣建设项目管理有限公司</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开户银行：宁波银行股份有限公司慈城支行</w:t>
            </w:r>
          </w:p>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账号：40070122000123279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55" w:type="dxa"/>
            <w:vAlign w:val="center"/>
          </w:tcPr>
          <w:p>
            <w:pPr>
              <w:keepNext w:val="0"/>
              <w:keepLines w:val="0"/>
              <w:pageBreakBefore w:val="0"/>
              <w:kinsoku/>
              <w:wordWrap/>
              <w:overflowPunct/>
              <w:topLinePunct w:val="0"/>
              <w:bidi w:val="0"/>
              <w:snapToGrid/>
              <w:spacing w:line="360" w:lineRule="auto"/>
              <w:jc w:val="center"/>
              <w:rPr>
                <w:rFonts w:ascii="宋体" w:hAnsi="宋体" w:cs="宋体"/>
                <w:sz w:val="18"/>
                <w:szCs w:val="18"/>
              </w:rPr>
            </w:pPr>
            <w:r>
              <w:rPr>
                <w:rFonts w:hint="eastAsia" w:ascii="宋体" w:hAnsi="宋体" w:cs="宋体"/>
                <w:sz w:val="18"/>
                <w:szCs w:val="18"/>
              </w:rPr>
              <w:t>23</w:t>
            </w:r>
          </w:p>
        </w:tc>
        <w:tc>
          <w:tcPr>
            <w:tcW w:w="8286" w:type="dxa"/>
            <w:vAlign w:val="center"/>
          </w:tcPr>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本项目未中标单位，业主不提供补偿费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55" w:type="dxa"/>
            <w:vAlign w:val="center"/>
          </w:tcPr>
          <w:p>
            <w:pPr>
              <w:keepNext w:val="0"/>
              <w:keepLines w:val="0"/>
              <w:pageBreakBefore w:val="0"/>
              <w:kinsoku/>
              <w:wordWrap/>
              <w:overflowPunct/>
              <w:topLinePunct w:val="0"/>
              <w:bidi w:val="0"/>
              <w:snapToGrid/>
              <w:spacing w:line="360" w:lineRule="auto"/>
              <w:jc w:val="center"/>
              <w:rPr>
                <w:rFonts w:ascii="宋体" w:hAnsi="宋体" w:cs="宋体"/>
                <w:sz w:val="18"/>
                <w:szCs w:val="18"/>
              </w:rPr>
            </w:pPr>
          </w:p>
        </w:tc>
        <w:tc>
          <w:tcPr>
            <w:tcW w:w="8286" w:type="dxa"/>
            <w:vAlign w:val="center"/>
          </w:tcPr>
          <w:p>
            <w:pPr>
              <w:keepNext w:val="0"/>
              <w:keepLines w:val="0"/>
              <w:pageBreakBefore w:val="0"/>
              <w:kinsoku/>
              <w:wordWrap/>
              <w:overflowPunct/>
              <w:topLinePunct w:val="0"/>
              <w:bidi w:val="0"/>
              <w:snapToGrid/>
              <w:spacing w:line="360" w:lineRule="auto"/>
              <w:rPr>
                <w:rFonts w:ascii="宋体" w:hAnsi="宋体" w:cs="宋体"/>
                <w:sz w:val="18"/>
                <w:szCs w:val="18"/>
              </w:rPr>
            </w:pPr>
            <w:r>
              <w:rPr>
                <w:rFonts w:hint="eastAsia" w:ascii="宋体" w:hAnsi="宋体" w:cs="宋体"/>
                <w:sz w:val="18"/>
                <w:szCs w:val="18"/>
              </w:rPr>
              <w:t>解释：本采购文件的解释权属于采购单位。</w:t>
            </w:r>
          </w:p>
        </w:tc>
      </w:tr>
    </w:tbl>
    <w:p>
      <w:pPr>
        <w:pStyle w:val="10"/>
        <w:keepNext w:val="0"/>
        <w:keepLines w:val="0"/>
        <w:pageBreakBefore w:val="0"/>
        <w:kinsoku/>
        <w:wordWrap/>
        <w:overflowPunct/>
        <w:topLinePunct w:val="0"/>
        <w:autoSpaceDE/>
        <w:autoSpaceDN/>
        <w:bidi w:val="0"/>
        <w:adjustRightInd/>
        <w:snapToGrid w:val="0"/>
        <w:spacing w:before="0" w:beforeAutospacing="0" w:after="0" w:afterAutospacing="0" w:line="360" w:lineRule="auto"/>
        <w:ind w:left="0" w:leftChars="0"/>
        <w:jc w:val="center"/>
        <w:textAlignment w:val="auto"/>
        <w:rPr>
          <w:rFonts w:hAnsi="宋体"/>
          <w:b/>
          <w:sz w:val="30"/>
          <w:szCs w:val="30"/>
        </w:rPr>
      </w:pPr>
      <w:r>
        <w:rPr>
          <w:rFonts w:hint="eastAsia" w:cs="宋体"/>
          <w:szCs w:val="21"/>
        </w:rPr>
        <w:br w:type="page"/>
      </w:r>
      <w:r>
        <w:rPr>
          <w:rFonts w:hint="eastAsia" w:hAnsi="宋体"/>
          <w:b/>
          <w:sz w:val="30"/>
          <w:szCs w:val="30"/>
        </w:rPr>
        <w:t>投标人须知正文</w:t>
      </w:r>
    </w:p>
    <w:p>
      <w:pPr>
        <w:pStyle w:val="10"/>
        <w:keepNext w:val="0"/>
        <w:keepLines w:val="0"/>
        <w:pageBreakBefore w:val="0"/>
        <w:kinsoku/>
        <w:wordWrap/>
        <w:overflowPunct/>
        <w:topLinePunct w:val="0"/>
        <w:autoSpaceDE/>
        <w:autoSpaceDN/>
        <w:bidi w:val="0"/>
        <w:adjustRightInd/>
        <w:snapToGrid w:val="0"/>
        <w:spacing w:before="0" w:beforeAutospacing="0" w:after="0" w:afterAutospacing="0" w:line="360" w:lineRule="auto"/>
        <w:ind w:left="0" w:leftChars="0"/>
        <w:textAlignment w:val="auto"/>
        <w:rPr>
          <w:rFonts w:hAnsi="宋体"/>
          <w:b/>
        </w:rPr>
      </w:pPr>
      <w:r>
        <w:rPr>
          <w:rFonts w:hint="eastAsia" w:hAnsi="宋体"/>
          <w:b/>
        </w:rPr>
        <w:t>一、总  则</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szCs w:val="21"/>
        </w:rPr>
        <w:t>1.1适用范围</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szCs w:val="21"/>
        </w:rPr>
        <w:t>本采购文件适用于本次采购项目的招标、投标、评标、定标、验收、合同履约、付款等行为（法律、法规另有规定的，从其规定）。</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szCs w:val="21"/>
        </w:rPr>
        <w:t>1.2定义</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szCs w:val="21"/>
        </w:rPr>
        <w:t>1.2.1采购人：宁波市镇海区交通运输管理中心</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szCs w:val="21"/>
        </w:rPr>
        <w:t>1.2.2 采购代理机构：宁波华欣建设项目管理有限公司</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szCs w:val="21"/>
        </w:rPr>
        <w:t>1.2.3 投标人、供应商：均指向招标方提交投标文件的法人、其他组织或者自然人。</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szCs w:val="21"/>
        </w:rPr>
        <w:t>1.2.4货物：系指供应商按照采购文件规定，须向采购人提供的一切设备、保险、税金、备品备件、工具、手册及其它有关技术资料和材料。</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szCs w:val="21"/>
        </w:rPr>
        <w:t>1.2.5服务：系指供应商按照采购文件规定，须承担的安装、调试、技术协助、校准、培训、技术指导以及其他类似的义务。</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szCs w:val="21"/>
        </w:rPr>
        <w:t>1.2.6“书面形式”包括信函、传真、电报等。</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szCs w:val="21"/>
        </w:rPr>
        <w:t>1.2.7采购文件中标注有“*”号的条款为“实质性要求”条款，投标文件对这些条款的任何负偏离将视为没有对采购文件的实质性要求做出响应，将被认定为无效投标。</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szCs w:val="21"/>
        </w:rPr>
        <w:t>1.2.8发布媒体：本项目采购信息公开发布的媒体，具体见前附表。本项目所有采购信息在指定媒体发布后，</w:t>
      </w:r>
      <w:r>
        <w:rPr>
          <w:rFonts w:ascii="宋体" w:hAnsi="宋体"/>
          <w:szCs w:val="21"/>
        </w:rPr>
        <w:t>视同送达所有</w:t>
      </w:r>
      <w:r>
        <w:rPr>
          <w:rFonts w:hint="eastAsia" w:ascii="宋体" w:hAnsi="宋体"/>
          <w:szCs w:val="21"/>
        </w:rPr>
        <w:t>供应商</w:t>
      </w:r>
      <w:r>
        <w:rPr>
          <w:rFonts w:ascii="宋体" w:hAnsi="宋体"/>
          <w:szCs w:val="21"/>
        </w:rPr>
        <w:t>。</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b/>
          <w:sz w:val="24"/>
        </w:rPr>
      </w:pPr>
      <w:r>
        <w:rPr>
          <w:rFonts w:hint="eastAsia" w:ascii="宋体" w:hAnsi="宋体"/>
          <w:b/>
          <w:sz w:val="24"/>
        </w:rPr>
        <w:t>二、投标</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b/>
          <w:szCs w:val="21"/>
        </w:rPr>
        <w:t>2.1合格的投标人：</w:t>
      </w:r>
      <w:r>
        <w:rPr>
          <w:rFonts w:hint="eastAsia" w:ascii="宋体" w:hAnsi="宋体"/>
          <w:szCs w:val="21"/>
        </w:rPr>
        <w:t>指符合招标公告供应商资格要求的投标人。</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szCs w:val="21"/>
        </w:rPr>
        <w:t>2.1.1 法人的分支机构由于其</w:t>
      </w:r>
      <w:r>
        <w:rPr>
          <w:rFonts w:ascii="宋体" w:hAnsi="宋体"/>
          <w:szCs w:val="21"/>
        </w:rPr>
        <w:t>不能独立承担民事责任</w:t>
      </w:r>
      <w:r>
        <w:rPr>
          <w:rFonts w:hint="eastAsia" w:ascii="宋体" w:hAnsi="宋体"/>
          <w:szCs w:val="21"/>
        </w:rPr>
        <w:t>，</w:t>
      </w:r>
      <w:r>
        <w:rPr>
          <w:rFonts w:ascii="宋体" w:hAnsi="宋体"/>
          <w:szCs w:val="21"/>
        </w:rPr>
        <w:t>不能以分支机构的身份参加政府采购，只能</w:t>
      </w:r>
      <w:r>
        <w:rPr>
          <w:rFonts w:hint="eastAsia" w:ascii="宋体" w:hAnsi="宋体"/>
          <w:szCs w:val="21"/>
        </w:rPr>
        <w:t>以</w:t>
      </w:r>
      <w:r>
        <w:rPr>
          <w:rFonts w:ascii="宋体" w:hAnsi="宋体"/>
          <w:szCs w:val="21"/>
        </w:rPr>
        <w:t>法人身份参加。</w:t>
      </w:r>
      <w:r>
        <w:rPr>
          <w:rFonts w:hint="eastAsia" w:ascii="宋体" w:hAnsi="宋体"/>
          <w:szCs w:val="21"/>
        </w:rPr>
        <w:t>分公司为法人的分支机构，以分公司名义参与投标的为无效投标，但</w:t>
      </w:r>
      <w:r>
        <w:rPr>
          <w:rFonts w:ascii="宋体" w:hAnsi="宋体"/>
          <w:szCs w:val="21"/>
        </w:rPr>
        <w:t>银行、保险、石油石化、电力、电信等特殊行业</w:t>
      </w:r>
      <w:r>
        <w:rPr>
          <w:rFonts w:hint="eastAsia" w:ascii="宋体" w:hAnsi="宋体"/>
          <w:szCs w:val="21"/>
        </w:rPr>
        <w:t>除</w:t>
      </w:r>
      <w:r>
        <w:rPr>
          <w:rFonts w:ascii="宋体" w:hAnsi="宋体"/>
          <w:szCs w:val="21"/>
        </w:rPr>
        <w:t xml:space="preserve">外。 </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szCs w:val="21"/>
        </w:rPr>
        <w:t>2.1.2自然人仅指中国公民。</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szCs w:val="21"/>
        </w:rPr>
        <w:t>2.1.3投标人名称：投标文件投标人名称、采购文件购买人名称、投标保证金递交人名称应当一致。</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b/>
          <w:szCs w:val="21"/>
        </w:rPr>
        <w:t>2.2投标人代表</w:t>
      </w:r>
    </w:p>
    <w:p>
      <w:pPr>
        <w:keepNext w:val="0"/>
        <w:keepLines w:val="0"/>
        <w:pageBreakBefore w:val="0"/>
        <w:kinsoku/>
        <w:wordWrap/>
        <w:overflowPunct/>
        <w:topLinePunct w:val="0"/>
        <w:autoSpaceDE/>
        <w:autoSpaceDN/>
        <w:bidi w:val="0"/>
        <w:adjustRightInd/>
        <w:spacing w:beforeAutospacing="0" w:afterAutospacing="0" w:line="360" w:lineRule="auto"/>
        <w:ind w:left="0" w:leftChars="0" w:hanging="206"/>
        <w:textAlignment w:val="auto"/>
        <w:rPr>
          <w:rFonts w:ascii="宋体" w:hAnsi="宋体"/>
          <w:szCs w:val="21"/>
        </w:rPr>
      </w:pPr>
      <w:r>
        <w:rPr>
          <w:rFonts w:hint="eastAsia" w:ascii="宋体" w:hAnsi="宋体"/>
          <w:szCs w:val="21"/>
        </w:rPr>
        <w:t>2.2.1若投标人代表不是法定代表人，投标文件须提供</w:t>
      </w:r>
      <w:r>
        <w:rPr>
          <w:rFonts w:ascii="宋体" w:hAnsi="宋体"/>
          <w:szCs w:val="21"/>
        </w:rPr>
        <w:t>《</w:t>
      </w:r>
      <w:r>
        <w:rPr>
          <w:rFonts w:hint="eastAsia" w:ascii="宋体" w:hAnsi="宋体"/>
          <w:szCs w:val="21"/>
        </w:rPr>
        <w:t>法定代表人授权委托书</w:t>
      </w:r>
      <w:r>
        <w:rPr>
          <w:rFonts w:ascii="宋体" w:hAnsi="宋体"/>
          <w:szCs w:val="21"/>
        </w:rPr>
        <w:t>》</w:t>
      </w:r>
      <w:r>
        <w:rPr>
          <w:rFonts w:hint="eastAsia" w:ascii="宋体" w:hAnsi="宋体"/>
          <w:szCs w:val="21"/>
        </w:rPr>
        <w:t>[格式见第六章]，或《组织授权书》（适用非法人的其它组织，格式参照《法定代表人授权委托书》）；</w:t>
      </w:r>
    </w:p>
    <w:p>
      <w:pPr>
        <w:keepNext w:val="0"/>
        <w:keepLines w:val="0"/>
        <w:pageBreakBefore w:val="0"/>
        <w:kinsoku/>
        <w:wordWrap/>
        <w:overflowPunct/>
        <w:topLinePunct w:val="0"/>
        <w:autoSpaceDE/>
        <w:autoSpaceDN/>
        <w:bidi w:val="0"/>
        <w:adjustRightInd/>
        <w:spacing w:beforeAutospacing="0" w:afterAutospacing="0" w:line="360" w:lineRule="auto"/>
        <w:ind w:left="0" w:leftChars="0" w:hanging="206"/>
        <w:textAlignment w:val="auto"/>
        <w:rPr>
          <w:rFonts w:ascii="宋体" w:hAnsi="宋体"/>
          <w:szCs w:val="21"/>
        </w:rPr>
      </w:pPr>
      <w:r>
        <w:rPr>
          <w:rFonts w:hint="eastAsia" w:ascii="宋体" w:hAnsi="宋体"/>
          <w:szCs w:val="21"/>
        </w:rPr>
        <w:t>2.2.2若投标人代表是法定代表人，投标文件无须提供</w:t>
      </w:r>
      <w:r>
        <w:rPr>
          <w:rFonts w:ascii="宋体" w:hAnsi="宋体"/>
          <w:szCs w:val="21"/>
        </w:rPr>
        <w:t>《</w:t>
      </w:r>
      <w:r>
        <w:rPr>
          <w:rFonts w:hint="eastAsia" w:ascii="宋体" w:hAnsi="宋体"/>
          <w:szCs w:val="21"/>
        </w:rPr>
        <w:t>法定代表人授权委托书</w:t>
      </w:r>
      <w:r>
        <w:rPr>
          <w:rFonts w:ascii="宋体" w:hAnsi="宋体"/>
          <w:szCs w:val="21"/>
        </w:rPr>
        <w:t>》</w:t>
      </w:r>
      <w:r>
        <w:rPr>
          <w:rFonts w:hint="eastAsia" w:ascii="宋体" w:hAnsi="宋体"/>
          <w:szCs w:val="21"/>
        </w:rPr>
        <w:t>，但须提供与营业执照相符合的法定代表人身份证明。</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b/>
          <w:szCs w:val="21"/>
        </w:rPr>
      </w:pPr>
      <w:r>
        <w:rPr>
          <w:rFonts w:hint="eastAsia" w:ascii="宋体" w:hAnsi="宋体"/>
          <w:b/>
          <w:szCs w:val="21"/>
        </w:rPr>
        <w:t>2.3投标费用：</w:t>
      </w:r>
      <w:r>
        <w:rPr>
          <w:rFonts w:hint="eastAsia" w:ascii="宋体" w:hAnsi="宋体"/>
          <w:szCs w:val="21"/>
        </w:rPr>
        <w:t>不论招标的结果如何，投标人自行承担其参加本次投标有关的全部费用和风险。</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b/>
          <w:bCs/>
          <w:sz w:val="24"/>
        </w:rPr>
      </w:pPr>
      <w:r>
        <w:rPr>
          <w:rFonts w:hint="eastAsia" w:ascii="宋体" w:hAnsi="宋体"/>
          <w:b/>
          <w:bCs/>
          <w:sz w:val="24"/>
        </w:rPr>
        <w:t>三、采购文件</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szCs w:val="21"/>
        </w:rPr>
        <w:t>3.1采购文件的组成</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szCs w:val="21"/>
        </w:rPr>
        <w:t>1.招标公告</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szCs w:val="21"/>
        </w:rPr>
        <w:t>2.采购需求</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szCs w:val="21"/>
        </w:rPr>
        <w:t>3.投标人须知</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szCs w:val="21"/>
        </w:rPr>
        <w:t>4.评标方法及评标标准</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szCs w:val="21"/>
        </w:rPr>
        <w:t>5.合同文本</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szCs w:val="21"/>
        </w:rPr>
        <w:t>6.投标文件格式</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b/>
          <w:szCs w:val="21"/>
        </w:rPr>
      </w:pPr>
      <w:r>
        <w:rPr>
          <w:rFonts w:hint="eastAsia" w:ascii="宋体" w:hAnsi="宋体"/>
          <w:b/>
          <w:szCs w:val="21"/>
        </w:rPr>
        <w:t>3.2采购文件的依法获取：见招标公告</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b/>
          <w:szCs w:val="21"/>
        </w:rPr>
        <w:t>3.3采购文件的澄清和修改：</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szCs w:val="21"/>
        </w:rPr>
        <w:t>3.3.1在投标截止时间前，采购代理机构可以对已发出的采购文件进行必要的澄清或者修改。澄清或者修改的内容可能影响投标文件编制的，采购代理机构将在投标截止时间至少15日前，以书面形式通知所有获取采购文件的潜在供应商，不足15日的，采购代理机构将顺延提交投标文件的截止时间；澄清或者修改的内容不影响投标文件编制的，则不受15日的期限限制。澄清或者修改的内容为采购文件的组成部分，对所有投标人具有约束力。</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szCs w:val="21"/>
        </w:rPr>
        <w:t>3.3.2潜在供应商收到采购代理机构发出的采购文件澄清或修改通知后，应在通知单回执上明示收悉意见、盖上投标人单位公章，以书面形式回复采购代理机构。</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b/>
          <w:szCs w:val="21"/>
        </w:rPr>
      </w:pPr>
      <w:r>
        <w:rPr>
          <w:rFonts w:hint="eastAsia" w:ascii="宋体" w:hAnsi="宋体"/>
          <w:b/>
          <w:szCs w:val="21"/>
        </w:rPr>
        <w:t>3.4现场考察或者开标前答疑会</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szCs w:val="21"/>
        </w:rPr>
        <w:t>3.4.1采购人或者采购代理机构可以在采购文件提供期限截止后，组织已获取采购文件的潜在供应商现场考察或者召开开标前答疑会，组织现场考察或者召开答疑会的，将在采购文件中载明。具体见前附表。</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b/>
          <w:sz w:val="24"/>
        </w:rPr>
      </w:pPr>
      <w:r>
        <w:rPr>
          <w:rFonts w:hint="eastAsia" w:ascii="宋体" w:hAnsi="宋体"/>
          <w:b/>
          <w:sz w:val="24"/>
        </w:rPr>
        <w:t>四、投标报价要求</w:t>
      </w:r>
    </w:p>
    <w:p>
      <w:pPr>
        <w:keepNext w:val="0"/>
        <w:keepLines w:val="0"/>
        <w:pageBreakBefore w:val="0"/>
        <w:kinsoku/>
        <w:wordWrap/>
        <w:overflowPunct/>
        <w:topLinePunct w:val="0"/>
        <w:autoSpaceDE/>
        <w:autoSpaceDN/>
        <w:bidi w:val="0"/>
        <w:adjustRightInd/>
        <w:spacing w:beforeAutospacing="0" w:afterAutospacing="0" w:line="360" w:lineRule="auto"/>
        <w:ind w:left="0" w:leftChars="0" w:hanging="120"/>
        <w:textAlignment w:val="auto"/>
        <w:rPr>
          <w:rFonts w:ascii="宋体" w:hAnsi="宋体"/>
          <w:b/>
          <w:szCs w:val="21"/>
        </w:rPr>
      </w:pPr>
      <w:r>
        <w:rPr>
          <w:rFonts w:hint="eastAsia" w:ascii="宋体" w:hAnsi="宋体"/>
          <w:szCs w:val="21"/>
        </w:rPr>
        <w:t>4.1 投标报价：指“开标一览表”中的投标报价，是评标委员会评审的依据之一，开标程序中采购代理机构将依据“开标一览表”唱出各投标人的投标报价。</w:t>
      </w:r>
    </w:p>
    <w:p>
      <w:pPr>
        <w:keepNext w:val="0"/>
        <w:keepLines w:val="0"/>
        <w:pageBreakBefore w:val="0"/>
        <w:kinsoku/>
        <w:wordWrap/>
        <w:overflowPunct/>
        <w:topLinePunct w:val="0"/>
        <w:autoSpaceDE/>
        <w:autoSpaceDN/>
        <w:bidi w:val="0"/>
        <w:adjustRightInd/>
        <w:spacing w:beforeAutospacing="0" w:afterAutospacing="0" w:line="360" w:lineRule="auto"/>
        <w:ind w:left="0" w:leftChars="0" w:hanging="120"/>
        <w:textAlignment w:val="auto"/>
        <w:rPr>
          <w:rFonts w:ascii="宋体" w:hAnsi="宋体"/>
          <w:b/>
          <w:szCs w:val="21"/>
        </w:rPr>
      </w:pPr>
      <w:r>
        <w:rPr>
          <w:rFonts w:hint="eastAsia" w:ascii="宋体" w:hAnsi="宋体"/>
          <w:szCs w:val="21"/>
        </w:rPr>
        <w:t>4.2投标报价必须是人民币报价。</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szCs w:val="21"/>
        </w:rPr>
        <w:t>4.3投标报价为一次性报价且只允许一个报价，不接受两个及两个以上的投标报价，不接受选择性报价或者具有附加条件的报价。采购文件要求提交备选投标方案的除外，具体见前附表。</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szCs w:val="21"/>
        </w:rPr>
        <w:t>4.4投标报价不得高于采购预算，采购文件设有最高限价的，不得高于最高限价。</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szCs w:val="21"/>
        </w:rPr>
        <w:t>4.5投标报价应当包含的内容：见前附表。</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 w:val="24"/>
        </w:rPr>
      </w:pPr>
      <w:r>
        <w:rPr>
          <w:rFonts w:hint="eastAsia" w:ascii="宋体" w:hAnsi="宋体"/>
          <w:b/>
          <w:sz w:val="24"/>
        </w:rPr>
        <w:t>五、投标有效期</w:t>
      </w:r>
    </w:p>
    <w:p>
      <w:pPr>
        <w:keepNext w:val="0"/>
        <w:keepLines w:val="0"/>
        <w:pageBreakBefore w:val="0"/>
        <w:kinsoku/>
        <w:wordWrap/>
        <w:overflowPunct/>
        <w:topLinePunct w:val="0"/>
        <w:autoSpaceDE/>
        <w:autoSpaceDN/>
        <w:bidi w:val="0"/>
        <w:adjustRightInd/>
        <w:spacing w:beforeAutospacing="0" w:afterAutospacing="0" w:line="360" w:lineRule="auto"/>
        <w:ind w:left="194" w:leftChars="0" w:hanging="194" w:hangingChars="92"/>
        <w:textAlignment w:val="auto"/>
        <w:rPr>
          <w:rFonts w:ascii="宋体" w:hAnsi="宋体"/>
          <w:szCs w:val="21"/>
        </w:rPr>
      </w:pPr>
      <w:r>
        <w:rPr>
          <w:rFonts w:hint="eastAsia" w:ascii="宋体" w:hAnsi="宋体"/>
          <w:b/>
          <w:szCs w:val="21"/>
        </w:rPr>
        <w:t>5.1</w:t>
      </w:r>
      <w:r>
        <w:rPr>
          <w:rFonts w:hint="eastAsia" w:ascii="宋体" w:hAnsi="宋体"/>
          <w:szCs w:val="21"/>
        </w:rPr>
        <w:t>投标有效期从提交投标文件的截止之日起算。投标文件中承诺的投标有效期应当不少于采购文件中载明的投标有效期(见前附表)。</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szCs w:val="21"/>
        </w:rPr>
        <w:t>5.2投标有效期内投标人撤销投标文件的，采购人、采购代理机构不予退还投标保证金。</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 w:val="24"/>
        </w:rPr>
      </w:pPr>
      <w:r>
        <w:rPr>
          <w:rFonts w:hint="eastAsia" w:ascii="宋体" w:hAnsi="宋体"/>
          <w:b/>
          <w:sz w:val="24"/>
        </w:rPr>
        <w:t>六、投标保证金</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szCs w:val="21"/>
        </w:rPr>
        <w:t>6.1投标保证金的交纳要求见前附表。</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b/>
          <w:sz w:val="28"/>
        </w:rPr>
      </w:pPr>
      <w:r>
        <w:rPr>
          <w:rFonts w:hint="eastAsia" w:ascii="宋体" w:hAnsi="宋体"/>
          <w:b/>
          <w:sz w:val="24"/>
        </w:rPr>
        <w:t>七、投标文件</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szCs w:val="21"/>
          <w:u w:val="single"/>
        </w:rPr>
      </w:pPr>
      <w:r>
        <w:rPr>
          <w:rFonts w:hint="eastAsia" w:ascii="宋体"/>
          <w:b/>
          <w:szCs w:val="21"/>
        </w:rPr>
        <w:t>7.1投标文件的组成：</w:t>
      </w:r>
      <w:r>
        <w:rPr>
          <w:rFonts w:hint="eastAsia" w:ascii="宋体"/>
          <w:szCs w:val="21"/>
        </w:rPr>
        <w:t>投标文件由资格文件，商务技术文件、报价文件三部分组成。具体见前附表。</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b/>
          <w:szCs w:val="21"/>
        </w:rPr>
      </w:pPr>
      <w:r>
        <w:rPr>
          <w:rFonts w:hint="eastAsia" w:ascii="宋体"/>
          <w:b/>
          <w:szCs w:val="21"/>
        </w:rPr>
        <w:t>7.2投标文件编制和格式</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szCs w:val="21"/>
        </w:rPr>
      </w:pPr>
      <w:r>
        <w:rPr>
          <w:rFonts w:hint="eastAsia" w:ascii="宋体"/>
          <w:szCs w:val="21"/>
        </w:rPr>
        <w:t>7.2.1投标人应当按照采购文件要求的内容、格式和顺序编制投标文件。投标文件应当对采购文件提出的要求和条件作出明确响应。投标人应详细阅读采购文件的全部内容和要求，不按采购文件的要求提供投标文件和资料导致的风险由投标人承担。</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szCs w:val="21"/>
        </w:rPr>
      </w:pPr>
      <w:r>
        <w:rPr>
          <w:rFonts w:hint="eastAsia" w:ascii="宋体"/>
          <w:szCs w:val="21"/>
        </w:rPr>
        <w:t>7.2.2投标语言：中文，当不同文字文本投标文件的解释发生异议的，以中文文本为准。</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szCs w:val="21"/>
        </w:rPr>
      </w:pPr>
      <w:r>
        <w:rPr>
          <w:rFonts w:hint="eastAsia" w:ascii="宋体"/>
          <w:szCs w:val="21"/>
        </w:rPr>
        <w:t>7.2.3投标文件中所使用的计量单位，除采购文件有特殊要求外，应当采用国家法定计量单位。</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szCs w:val="21"/>
        </w:rPr>
      </w:pPr>
      <w:r>
        <w:rPr>
          <w:rFonts w:hint="eastAsia" w:ascii="宋体"/>
          <w:szCs w:val="21"/>
        </w:rPr>
        <w:t>7.2.4投标文件格式见第六章，投标文件应当按照格式要求编制。</w:t>
      </w:r>
      <w:r>
        <w:rPr>
          <w:rFonts w:ascii="宋体" w:hAnsi="宋体"/>
          <w:szCs w:val="21"/>
        </w:rPr>
        <w:t>投标人应</w:t>
      </w:r>
      <w:r>
        <w:rPr>
          <w:rFonts w:hint="eastAsia" w:ascii="宋体" w:hAnsi="宋体"/>
          <w:szCs w:val="21"/>
        </w:rPr>
        <w:t>按资信商务技术文件、投标报价文件分别编制。</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szCs w:val="21"/>
        </w:rPr>
      </w:pPr>
      <w:r>
        <w:rPr>
          <w:rFonts w:hint="eastAsia" w:ascii="宋体"/>
          <w:szCs w:val="21"/>
        </w:rPr>
        <w:t>7.2.5</w:t>
      </w:r>
      <w:r>
        <w:rPr>
          <w:rFonts w:ascii="宋体"/>
          <w:szCs w:val="21"/>
        </w:rPr>
        <w:t>投标文件</w:t>
      </w:r>
      <w:r>
        <w:rPr>
          <w:rFonts w:hint="eastAsia" w:ascii="宋体"/>
          <w:szCs w:val="21"/>
        </w:rPr>
        <w:t>应标注页码</w:t>
      </w:r>
      <w:r>
        <w:rPr>
          <w:rFonts w:ascii="宋体"/>
          <w:szCs w:val="21"/>
        </w:rPr>
        <w:t>，投标文件内容不完整、编排混乱导致投标文件被误读、漏读或者查找不到相关内容的，是投标人的责任。</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b/>
          <w:szCs w:val="21"/>
        </w:rPr>
      </w:pPr>
      <w:r>
        <w:rPr>
          <w:rFonts w:hint="eastAsia" w:ascii="宋体"/>
          <w:b/>
          <w:szCs w:val="21"/>
        </w:rPr>
        <w:t>7.3投标文件的签署、盖章、装订及份数</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cs="宋体"/>
          <w:szCs w:val="21"/>
        </w:rPr>
      </w:pPr>
      <w:r>
        <w:rPr>
          <w:rFonts w:hint="eastAsia" w:ascii="宋体" w:hAnsi="宋体" w:cs="宋体"/>
          <w:szCs w:val="21"/>
        </w:rPr>
        <w:t>7.3.1供应商应按本采购文件规定的格式和顺序编制、装订投标文件，投标文件要求有目录并标注页码，投标文件内容不完整、编排混乱导致投标文件被误读、漏读或者查找不到相关内容的，是供应商的责任。</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cs="宋体"/>
          <w:szCs w:val="21"/>
        </w:rPr>
      </w:pPr>
      <w:r>
        <w:rPr>
          <w:rFonts w:hint="eastAsia" w:ascii="宋体" w:hAnsi="宋体" w:cs="宋体"/>
          <w:szCs w:val="21"/>
        </w:rPr>
        <w:t>7.3.2投标文件的份数：</w:t>
      </w:r>
    </w:p>
    <w:p>
      <w:pPr>
        <w:keepNext w:val="0"/>
        <w:keepLines w:val="0"/>
        <w:pageBreakBefore w:val="0"/>
        <w:kinsoku/>
        <w:wordWrap/>
        <w:overflowPunct/>
        <w:topLinePunct w:val="0"/>
        <w:autoSpaceDE/>
        <w:autoSpaceDN/>
        <w:bidi w:val="0"/>
        <w:adjustRightInd/>
        <w:spacing w:beforeAutospacing="0" w:afterAutospacing="0" w:line="360" w:lineRule="auto"/>
        <w:ind w:left="0" w:leftChars="0" w:firstLine="525" w:firstLineChars="250"/>
        <w:textAlignment w:val="auto"/>
        <w:rPr>
          <w:rFonts w:ascii="宋体" w:hAnsi="宋体" w:cs="宋体"/>
          <w:szCs w:val="21"/>
        </w:rPr>
      </w:pPr>
      <w:r>
        <w:rPr>
          <w:rFonts w:hint="eastAsia" w:ascii="宋体" w:hAnsi="宋体" w:cs="宋体"/>
          <w:szCs w:val="21"/>
        </w:rPr>
        <w:t>本项目实行网上投标，供应商应准备以下投标文件：</w:t>
      </w:r>
    </w:p>
    <w:p>
      <w:pPr>
        <w:keepNext w:val="0"/>
        <w:keepLines w:val="0"/>
        <w:pageBreakBefore w:val="0"/>
        <w:kinsoku/>
        <w:wordWrap/>
        <w:overflowPunct/>
        <w:topLinePunct w:val="0"/>
        <w:autoSpaceDE/>
        <w:autoSpaceDN/>
        <w:bidi w:val="0"/>
        <w:adjustRightInd/>
        <w:spacing w:beforeAutospacing="0" w:afterAutospacing="0" w:line="360" w:lineRule="auto"/>
        <w:ind w:left="0" w:leftChars="0" w:firstLine="525" w:firstLineChars="250"/>
        <w:textAlignment w:val="auto"/>
        <w:rPr>
          <w:rFonts w:ascii="宋体" w:hAnsi="宋体" w:cs="宋体"/>
          <w:szCs w:val="21"/>
        </w:rPr>
      </w:pPr>
      <w:r>
        <w:rPr>
          <w:rFonts w:hint="eastAsia" w:ascii="宋体" w:hAnsi="宋体" w:cs="宋体"/>
          <w:szCs w:val="21"/>
        </w:rPr>
        <w:t>（1）上传到政府采购云平台的电子投标文件（含</w:t>
      </w:r>
      <w:r>
        <w:rPr>
          <w:rFonts w:hint="eastAsia" w:ascii="宋体"/>
          <w:szCs w:val="21"/>
        </w:rPr>
        <w:t>资格文件，商务技术文件、报价文件</w:t>
      </w:r>
      <w:r>
        <w:rPr>
          <w:rFonts w:hint="eastAsia" w:ascii="宋体" w:hAnsi="宋体" w:cs="宋体"/>
          <w:szCs w:val="21"/>
        </w:rPr>
        <w:t>）1份。</w:t>
      </w:r>
    </w:p>
    <w:p>
      <w:pPr>
        <w:keepNext w:val="0"/>
        <w:keepLines w:val="0"/>
        <w:pageBreakBefore w:val="0"/>
        <w:kinsoku/>
        <w:wordWrap/>
        <w:overflowPunct/>
        <w:topLinePunct w:val="0"/>
        <w:autoSpaceDE/>
        <w:autoSpaceDN/>
        <w:bidi w:val="0"/>
        <w:adjustRightInd/>
        <w:spacing w:beforeAutospacing="0" w:afterAutospacing="0" w:line="360" w:lineRule="auto"/>
        <w:ind w:left="0" w:leftChars="0" w:firstLine="525" w:firstLineChars="250"/>
        <w:textAlignment w:val="auto"/>
        <w:rPr>
          <w:rFonts w:ascii="宋体" w:hAnsi="宋体" w:cs="宋体"/>
          <w:szCs w:val="21"/>
        </w:rPr>
      </w:pPr>
      <w:r>
        <w:rPr>
          <w:rFonts w:hint="eastAsia" w:ascii="宋体" w:hAnsi="宋体" w:cs="宋体"/>
          <w:szCs w:val="21"/>
        </w:rPr>
        <w:t>（2）以U盘存储的电子备份投标文件（含</w:t>
      </w:r>
      <w:r>
        <w:rPr>
          <w:rFonts w:hint="eastAsia" w:ascii="宋体"/>
          <w:szCs w:val="21"/>
        </w:rPr>
        <w:t>资格文件，商务技术文件、报价文件</w:t>
      </w:r>
      <w:r>
        <w:rPr>
          <w:rFonts w:hint="eastAsia" w:ascii="宋体" w:hAnsi="宋体" w:cs="宋体"/>
          <w:szCs w:val="21"/>
        </w:rPr>
        <w:t>）1份。【</w:t>
      </w:r>
      <w:r>
        <w:rPr>
          <w:rFonts w:hint="eastAsia" w:ascii="宋体" w:hAnsi="宋体" w:cs="宋体"/>
          <w:b/>
          <w:bCs/>
          <w:szCs w:val="21"/>
        </w:rPr>
        <w:t>电子备份投标文件自愿提供</w:t>
      </w:r>
      <w:r>
        <w:rPr>
          <w:rFonts w:hint="eastAsia" w:ascii="宋体" w:hAnsi="宋体" w:cs="宋体"/>
          <w:szCs w:val="21"/>
        </w:rPr>
        <w:t>】</w:t>
      </w:r>
    </w:p>
    <w:p>
      <w:pPr>
        <w:keepNext w:val="0"/>
        <w:keepLines w:val="0"/>
        <w:pageBreakBefore w:val="0"/>
        <w:kinsoku/>
        <w:wordWrap/>
        <w:overflowPunct/>
        <w:topLinePunct w:val="0"/>
        <w:autoSpaceDE/>
        <w:autoSpaceDN/>
        <w:bidi w:val="0"/>
        <w:adjustRightInd/>
        <w:spacing w:beforeAutospacing="0" w:afterAutospacing="0" w:line="360" w:lineRule="auto"/>
        <w:ind w:left="0" w:leftChars="0" w:firstLine="527" w:firstLineChars="250"/>
        <w:textAlignment w:val="auto"/>
        <w:rPr>
          <w:rFonts w:ascii="宋体" w:hAnsi="宋体" w:cs="宋体"/>
          <w:b/>
          <w:bCs/>
          <w:szCs w:val="21"/>
        </w:rPr>
      </w:pPr>
      <w:r>
        <w:rPr>
          <w:rFonts w:hint="eastAsia" w:ascii="宋体" w:hAnsi="宋体" w:cs="宋体"/>
          <w:b/>
          <w:bCs/>
          <w:szCs w:val="21"/>
        </w:rPr>
        <w:t>*注：不同标项，须分开制作装订。</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cs="宋体"/>
          <w:szCs w:val="21"/>
        </w:rPr>
      </w:pPr>
      <w:r>
        <w:rPr>
          <w:rFonts w:hint="eastAsia" w:ascii="宋体" w:hAnsi="宋体" w:cs="宋体"/>
          <w:szCs w:val="21"/>
        </w:rPr>
        <w:t>7.3.3电子投标文件：</w:t>
      </w:r>
    </w:p>
    <w:p>
      <w:pPr>
        <w:keepNext w:val="0"/>
        <w:keepLines w:val="0"/>
        <w:pageBreakBefore w:val="0"/>
        <w:kinsoku/>
        <w:wordWrap/>
        <w:overflowPunct/>
        <w:topLinePunct w:val="0"/>
        <w:autoSpaceDE/>
        <w:autoSpaceDN/>
        <w:bidi w:val="0"/>
        <w:adjustRightInd/>
        <w:spacing w:beforeAutospacing="0" w:afterAutospacing="0" w:line="360" w:lineRule="auto"/>
        <w:ind w:left="0" w:leftChars="0" w:firstLine="525" w:firstLineChars="250"/>
        <w:textAlignment w:val="auto"/>
        <w:rPr>
          <w:rFonts w:ascii="宋体" w:hAnsi="宋体" w:cs="宋体"/>
          <w:szCs w:val="21"/>
        </w:rPr>
      </w:pPr>
      <w:r>
        <w:rPr>
          <w:rFonts w:hint="eastAsia" w:ascii="宋体" w:hAnsi="宋体" w:cs="宋体"/>
          <w:szCs w:val="21"/>
        </w:rPr>
        <w:t>供应商应根据政府采购云平台的要求及本采购文件规定的格式和顺序编制电子投标文件并进行关联定位。</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cs="宋体"/>
          <w:szCs w:val="21"/>
        </w:rPr>
      </w:pPr>
      <w:r>
        <w:rPr>
          <w:rFonts w:hint="eastAsia" w:ascii="宋体" w:hAnsi="宋体" w:cs="宋体"/>
          <w:szCs w:val="21"/>
        </w:rPr>
        <w:t>7.3.4纸质备份投标文件</w:t>
      </w:r>
      <w:r>
        <w:rPr>
          <w:rFonts w:hint="eastAsia" w:ascii="宋体" w:hAnsi="宋体" w:cs="宋体"/>
          <w:b/>
          <w:bCs/>
          <w:szCs w:val="21"/>
        </w:rPr>
        <w:t>【本项目不适用】</w:t>
      </w:r>
      <w:r>
        <w:rPr>
          <w:rFonts w:hint="eastAsia" w:ascii="宋体" w:hAnsi="宋体" w:cs="宋体"/>
          <w:szCs w:val="21"/>
        </w:rPr>
        <w:t>：</w:t>
      </w:r>
    </w:p>
    <w:p>
      <w:pPr>
        <w:keepNext w:val="0"/>
        <w:keepLines w:val="0"/>
        <w:pageBreakBefore w:val="0"/>
        <w:kinsoku/>
        <w:wordWrap/>
        <w:overflowPunct/>
        <w:topLinePunct w:val="0"/>
        <w:autoSpaceDE/>
        <w:autoSpaceDN/>
        <w:bidi w:val="0"/>
        <w:adjustRightInd/>
        <w:spacing w:beforeAutospacing="0" w:afterAutospacing="0" w:line="360" w:lineRule="auto"/>
        <w:ind w:left="0" w:leftChars="0" w:firstLine="525" w:firstLineChars="250"/>
        <w:textAlignment w:val="auto"/>
        <w:rPr>
          <w:rFonts w:ascii="宋体" w:hAnsi="宋体" w:cs="宋体"/>
          <w:szCs w:val="21"/>
        </w:rPr>
      </w:pPr>
      <w:r>
        <w:rPr>
          <w:rFonts w:hint="eastAsia" w:ascii="宋体" w:hAnsi="宋体" w:cs="宋体"/>
          <w:szCs w:val="21"/>
          <w:lang w:val="en-US" w:eastAsia="zh-CN"/>
        </w:rPr>
        <w:t>7.3.</w:t>
      </w:r>
      <w:r>
        <w:rPr>
          <w:rFonts w:hint="eastAsia" w:ascii="宋体" w:hAnsi="宋体" w:cs="宋体"/>
          <w:szCs w:val="21"/>
        </w:rPr>
        <w:t>4.1投标文件应按采购文件要求由</w:t>
      </w:r>
      <w:r>
        <w:rPr>
          <w:rFonts w:hint="eastAsia" w:ascii="宋体"/>
          <w:szCs w:val="21"/>
        </w:rPr>
        <w:t>资格文件，商务技术文件、报价文件三</w:t>
      </w:r>
      <w:r>
        <w:rPr>
          <w:rFonts w:hint="eastAsia" w:ascii="宋体" w:hAnsi="宋体" w:cs="宋体"/>
          <w:szCs w:val="21"/>
        </w:rPr>
        <w:t>部分组成。三部分分别编制并单独装订成册。投标文件的封面应注明“正本”（或“副本”）字样。</w:t>
      </w:r>
    </w:p>
    <w:p>
      <w:pPr>
        <w:keepNext w:val="0"/>
        <w:keepLines w:val="0"/>
        <w:pageBreakBefore w:val="0"/>
        <w:kinsoku/>
        <w:wordWrap/>
        <w:overflowPunct/>
        <w:topLinePunct w:val="0"/>
        <w:autoSpaceDE/>
        <w:autoSpaceDN/>
        <w:bidi w:val="0"/>
        <w:adjustRightInd/>
        <w:spacing w:beforeAutospacing="0" w:afterAutospacing="0" w:line="360" w:lineRule="auto"/>
        <w:ind w:left="0" w:leftChars="0" w:firstLine="525" w:firstLineChars="250"/>
        <w:textAlignment w:val="auto"/>
        <w:rPr>
          <w:rFonts w:ascii="宋体" w:hAnsi="宋体" w:cs="宋体"/>
          <w:szCs w:val="21"/>
        </w:rPr>
      </w:pPr>
      <w:r>
        <w:rPr>
          <w:rFonts w:hint="eastAsia" w:ascii="宋体" w:hAnsi="宋体" w:cs="宋体"/>
          <w:szCs w:val="21"/>
          <w:lang w:val="en-US" w:eastAsia="zh-CN"/>
        </w:rPr>
        <w:t>7.3.</w:t>
      </w:r>
      <w:r>
        <w:rPr>
          <w:rFonts w:hint="eastAsia" w:ascii="宋体" w:hAnsi="宋体" w:cs="宋体"/>
          <w:szCs w:val="21"/>
        </w:rPr>
        <w:t>4.2若有多个子包，须按不同子包，不同文件（分别为：</w:t>
      </w:r>
      <w:r>
        <w:rPr>
          <w:rFonts w:hint="eastAsia" w:ascii="宋体"/>
          <w:szCs w:val="21"/>
        </w:rPr>
        <w:t>资格文件，商务技术文件、报价文件</w:t>
      </w:r>
      <w:r>
        <w:rPr>
          <w:rFonts w:hint="eastAsia" w:ascii="宋体" w:hAnsi="宋体" w:cs="宋体"/>
          <w:szCs w:val="21"/>
        </w:rPr>
        <w:t>），分别装订成册、密封、包装，未按规定装订、密封、包装的投标文件将被拒绝。</w:t>
      </w:r>
    </w:p>
    <w:p>
      <w:pPr>
        <w:keepNext w:val="0"/>
        <w:keepLines w:val="0"/>
        <w:pageBreakBefore w:val="0"/>
        <w:kinsoku/>
        <w:wordWrap/>
        <w:overflowPunct/>
        <w:topLinePunct w:val="0"/>
        <w:autoSpaceDE/>
        <w:autoSpaceDN/>
        <w:bidi w:val="0"/>
        <w:adjustRightInd/>
        <w:spacing w:beforeAutospacing="0" w:afterAutospacing="0" w:line="360" w:lineRule="auto"/>
        <w:ind w:left="0" w:leftChars="0" w:firstLine="525" w:firstLineChars="250"/>
        <w:textAlignment w:val="auto"/>
        <w:rPr>
          <w:rFonts w:ascii="宋体" w:hAnsi="宋体" w:cs="宋体"/>
          <w:szCs w:val="21"/>
        </w:rPr>
      </w:pPr>
      <w:r>
        <w:rPr>
          <w:rFonts w:hint="eastAsia" w:ascii="宋体" w:hAnsi="宋体" w:cs="宋体"/>
          <w:szCs w:val="21"/>
          <w:lang w:val="en-US" w:eastAsia="zh-CN"/>
        </w:rPr>
        <w:t>7.3.</w:t>
      </w:r>
      <w:r>
        <w:rPr>
          <w:rFonts w:hint="eastAsia" w:ascii="宋体" w:hAnsi="宋体" w:cs="宋体"/>
          <w:szCs w:val="21"/>
        </w:rPr>
        <w:t>4.3投标文件的正本需打印或用不褪色的墨水填写，投标文件正本除本《供应商须知》中规定的可提供复印件外均须提供原件。</w:t>
      </w:r>
    </w:p>
    <w:p>
      <w:pPr>
        <w:keepNext w:val="0"/>
        <w:keepLines w:val="0"/>
        <w:pageBreakBefore w:val="0"/>
        <w:kinsoku/>
        <w:wordWrap/>
        <w:overflowPunct/>
        <w:topLinePunct w:val="0"/>
        <w:autoSpaceDE/>
        <w:autoSpaceDN/>
        <w:bidi w:val="0"/>
        <w:adjustRightInd/>
        <w:spacing w:beforeAutospacing="0" w:afterAutospacing="0" w:line="360" w:lineRule="auto"/>
        <w:ind w:left="0" w:leftChars="0" w:firstLine="525" w:firstLineChars="250"/>
        <w:textAlignment w:val="auto"/>
        <w:rPr>
          <w:rFonts w:ascii="宋体" w:hAnsi="宋体" w:cs="宋体"/>
          <w:szCs w:val="21"/>
        </w:rPr>
      </w:pPr>
      <w:r>
        <w:rPr>
          <w:rFonts w:hint="eastAsia" w:ascii="宋体" w:hAnsi="宋体" w:cs="宋体"/>
          <w:szCs w:val="21"/>
          <w:lang w:val="en-US" w:eastAsia="zh-CN"/>
        </w:rPr>
        <w:t>7.3.</w:t>
      </w:r>
      <w:r>
        <w:rPr>
          <w:rFonts w:hint="eastAsia" w:ascii="宋体" w:hAnsi="宋体" w:cs="宋体"/>
          <w:szCs w:val="21"/>
        </w:rPr>
        <w:t>4.4投标文件不得涂改，若有修改错漏处，须加盖单位公章或者法定代表人或授权委托人签名或盖章。投标文件因字迹潦草或表达不清所引起的后果由供应商负责。</w:t>
      </w:r>
    </w:p>
    <w:p>
      <w:pPr>
        <w:keepNext w:val="0"/>
        <w:keepLines w:val="0"/>
        <w:pageBreakBefore w:val="0"/>
        <w:kinsoku/>
        <w:wordWrap/>
        <w:overflowPunct/>
        <w:topLinePunct w:val="0"/>
        <w:autoSpaceDE/>
        <w:autoSpaceDN/>
        <w:bidi w:val="0"/>
        <w:adjustRightInd/>
        <w:spacing w:beforeAutospacing="0" w:afterAutospacing="0" w:line="360" w:lineRule="auto"/>
        <w:ind w:left="0" w:leftChars="0" w:firstLine="525" w:firstLineChars="250"/>
        <w:textAlignment w:val="auto"/>
        <w:rPr>
          <w:rFonts w:ascii="宋体"/>
          <w:szCs w:val="21"/>
        </w:rPr>
      </w:pPr>
      <w:r>
        <w:rPr>
          <w:rFonts w:hint="eastAsia" w:ascii="宋体" w:hAnsi="宋体" w:cs="宋体"/>
          <w:szCs w:val="21"/>
          <w:lang w:val="en-US" w:eastAsia="zh-CN"/>
        </w:rPr>
        <w:t>7.3.</w:t>
      </w:r>
      <w:r>
        <w:rPr>
          <w:rFonts w:hint="eastAsia" w:ascii="宋体" w:hAnsi="宋体" w:cs="宋体"/>
          <w:szCs w:val="21"/>
        </w:rPr>
        <w:t>4.5投标文件须由供应商在规定位置盖章并由法定代表人或法定代表人的授权委托人签署，供应商应写全称。</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b/>
          <w:szCs w:val="21"/>
        </w:rPr>
        <w:t>7.4投标文件的密封、标记和递送</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ascii="宋体"/>
          <w:szCs w:val="21"/>
        </w:rPr>
      </w:pPr>
      <w:r>
        <w:rPr>
          <w:rFonts w:ascii="宋体"/>
          <w:szCs w:val="21"/>
        </w:rPr>
        <w:t>7.4.</w:t>
      </w:r>
      <w:r>
        <w:rPr>
          <w:rFonts w:hint="eastAsia" w:ascii="宋体"/>
          <w:szCs w:val="21"/>
        </w:rPr>
        <w:t>1、投标文件分为电子投标文件以、电子备份投标文件</w:t>
      </w:r>
      <w:r>
        <w:rPr>
          <w:rFonts w:hint="eastAsia" w:ascii="宋体"/>
          <w:b/>
          <w:bCs/>
          <w:szCs w:val="21"/>
        </w:rPr>
        <w:t>【电子备份投标文件自愿提供】</w:t>
      </w:r>
      <w:r>
        <w:rPr>
          <w:rFonts w:hint="eastAsia" w:ascii="宋体"/>
          <w:szCs w:val="21"/>
        </w:rPr>
        <w:t>，电子备份投标文件分为以U盘或光盘存储的电子备份投标文件。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ascii="宋体"/>
          <w:szCs w:val="21"/>
        </w:rPr>
      </w:pPr>
      <w:r>
        <w:rPr>
          <w:rFonts w:ascii="宋体"/>
          <w:szCs w:val="21"/>
        </w:rPr>
        <w:t>7.4.</w:t>
      </w:r>
      <w:r>
        <w:rPr>
          <w:rFonts w:hint="eastAsia" w:ascii="宋体"/>
          <w:szCs w:val="21"/>
        </w:rPr>
        <w:t>2、电子投标文件，按“项目采购-电子招投标操作指南”及本招标文件要求制作，并加密。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ascii="宋体"/>
          <w:szCs w:val="21"/>
        </w:rPr>
      </w:pPr>
      <w:r>
        <w:rPr>
          <w:rFonts w:ascii="宋体"/>
          <w:szCs w:val="21"/>
        </w:rPr>
        <w:t>7.4.</w:t>
      </w:r>
      <w:r>
        <w:rPr>
          <w:rFonts w:hint="eastAsia" w:ascii="宋体"/>
          <w:szCs w:val="21"/>
        </w:rPr>
        <w:t>3、以U盘或光盘存储的电子备份投标文件，按“项目采购-电子招投标操作指南”制作的电子备份文件。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ascii="宋体"/>
          <w:szCs w:val="21"/>
        </w:rPr>
      </w:pPr>
      <w:r>
        <w:rPr>
          <w:rFonts w:ascii="宋体"/>
          <w:szCs w:val="21"/>
        </w:rPr>
        <w:t>7.4.4</w:t>
      </w:r>
      <w:r>
        <w:rPr>
          <w:rFonts w:hint="eastAsia" w:ascii="宋体"/>
          <w:szCs w:val="21"/>
        </w:rPr>
        <w:t>、投标文件填写字迹必须清楚、工整，对不同文字文本投标文件的解释发生异议的，以中文文本为准。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ascii="宋体"/>
          <w:szCs w:val="21"/>
        </w:rPr>
      </w:pPr>
      <w:r>
        <w:rPr>
          <w:rFonts w:ascii="宋体"/>
          <w:szCs w:val="21"/>
        </w:rPr>
        <w:t>7.4.5</w:t>
      </w:r>
      <w:r>
        <w:rPr>
          <w:rFonts w:hint="eastAsia" w:ascii="宋体"/>
          <w:szCs w:val="21"/>
        </w:rPr>
        <w:t>、投标文件的效力</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ascii="宋体"/>
          <w:szCs w:val="21"/>
        </w:rPr>
      </w:pPr>
      <w:r>
        <w:rPr>
          <w:rFonts w:hint="eastAsia" w:ascii="宋体"/>
          <w:szCs w:val="21"/>
        </w:rPr>
        <w:t>投标文件的启用，按先后顺位分别为电子投标文件、以U盘或光盘存储的电子备份投标文件。在下一顺位的投标文件启用时，前一顺位的投标文件自动失效。</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ascii="宋体"/>
          <w:szCs w:val="21"/>
        </w:rPr>
      </w:pPr>
      <w:r>
        <w:rPr>
          <w:rFonts w:hint="eastAsia" w:ascii="宋体"/>
          <w:szCs w:val="21"/>
        </w:rPr>
        <w:t>电子投标文件未能按时解密，若供应商提供了电子备份投标文件的，以电子备份投标文件作为依据，若未提供电子备份投标文件的视为投标文件撤回。电子投标文件已按时解密的，电子备份投标文件自动失效。</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ascii="宋体" w:hAnsi="宋体"/>
          <w:szCs w:val="21"/>
        </w:rPr>
        <w:t xml:space="preserve"> </w:t>
      </w:r>
      <w:r>
        <w:rPr>
          <w:rFonts w:hint="eastAsia" w:ascii="宋体" w:hAnsi="宋体"/>
          <w:szCs w:val="21"/>
        </w:rPr>
        <w:t>7.5</w:t>
      </w:r>
      <w:r>
        <w:rPr>
          <w:rFonts w:hint="eastAsia" w:ascii="宋体" w:hAnsi="宋体"/>
          <w:b/>
          <w:szCs w:val="21"/>
        </w:rPr>
        <w:t>投标文件的递交</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 xml:space="preserve"> 7.5.1投标人应当在采购文件要求提交投标文件的截止时间前，将投标文件密封送达投标地点。采购代理机构拒绝接收在投标截止时间以后寄达和送达的投标文件。投标截止时间和投标地点见采购公告。</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7.5.2采购人因故需推迟投标截止时间、开标时间的，采购代理机构应提前以书面的形式通知所有采购文件收受人，潜在供应商应在收到通知后及时书面回复采购代理机构，采购人、采购代理机构和潜在供应商相应的权利和义务将受到新的投标截止时间的约束。</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b/>
          <w:szCs w:val="21"/>
        </w:rPr>
      </w:pPr>
      <w:r>
        <w:rPr>
          <w:rFonts w:hint="eastAsia" w:ascii="宋体" w:hAnsi="宋体"/>
          <w:b/>
          <w:szCs w:val="21"/>
        </w:rPr>
        <w:t>7.6投标文件的补充、修改或者撤回</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7.6.1投标人在投标截止时间前，可以对所递交的投标文件进行补充、修改或者撤回，并书面通知采购人或者采购代理机构。补充、修改的内容应当按照采购文件要求签署、盖章、密封后，作为投标文件的组成部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7.6.2投标人在投标截止时间前撤回已提交的投标文件的，其投标保证金予以退还。</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7.6.3在投标截止时间之后,投标人不得对其投标文件进行补充、修改或者撤回。</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b/>
          <w:sz w:val="24"/>
        </w:rPr>
      </w:pPr>
      <w:r>
        <w:rPr>
          <w:rFonts w:hint="eastAsia" w:ascii="宋体" w:hAnsi="宋体"/>
          <w:b/>
          <w:sz w:val="24"/>
        </w:rPr>
        <w:t>八、开标</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b/>
          <w:szCs w:val="21"/>
        </w:rPr>
      </w:pPr>
      <w:r>
        <w:rPr>
          <w:rFonts w:hint="eastAsia" w:ascii="宋体" w:hAnsi="宋体"/>
          <w:b/>
          <w:szCs w:val="21"/>
        </w:rPr>
        <w:t>8.1接收投标文件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8.1.1采购代理机构将于投标截止时间前30分钟内安排工作人员在采购文件规定的投标地点接收投标文件。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8.1.2有下列情形之一的投标文件拒绝接收：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（1）逾期送达的投标文件；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（2）未按照采购文件要求密封的投标文件；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（3）未购买采购文件的投标人的投标文件。</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b/>
          <w:szCs w:val="21"/>
        </w:rPr>
      </w:pPr>
      <w:r>
        <w:rPr>
          <w:rFonts w:hint="eastAsia" w:ascii="宋体" w:hAnsi="宋体"/>
          <w:b/>
          <w:szCs w:val="21"/>
        </w:rPr>
        <w:t>8.2 开标</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1、电子招投标开标程序：</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第一阶段：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投标截止时间后，供应商登录政府采购云平台，用“项目采购-开标评标”功能对电子投标文件进行在线解密，在线解密电子投标文件时间为开标时间后</w:t>
      </w:r>
      <w:r>
        <w:rPr>
          <w:rFonts w:hint="eastAsia" w:ascii="宋体" w:hAnsi="Times New Roman" w:eastAsia="宋体" w:cs="Times New Roman"/>
          <w:b/>
          <w:bCs/>
          <w:color w:val="FF0000"/>
          <w:szCs w:val="21"/>
        </w:rPr>
        <w:t>半小时</w:t>
      </w:r>
      <w:r>
        <w:rPr>
          <w:rFonts w:hint="eastAsia" w:ascii="宋体" w:hAnsi="Times New Roman" w:eastAsia="宋体" w:cs="Times New Roman"/>
          <w:szCs w:val="21"/>
        </w:rPr>
        <w:t>内。</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在政府采购云平台开启已解密供应商的“资格文件”、“商务技术文件”，并做开标记录；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第二阶段：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（1）在政府采购云平台宣告第一阶段评审无效供应商名单及理由；</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（2）公布经第一阶段评审符合采购文件要求的供应商的商务技术得分情况；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（3）在政府采购云平台开启除第一阶段无效标外的供应商的“报价文件”，并做开标记录；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（4）在政府采购云平台公布评审结果。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（5）开标会议结束。</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线下开标程序：</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第一阶段：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（1）开标会由采购代理机构主持，主持人宣布开标会议开始；</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 xml:space="preserve">（2）主持人介绍参加开标会的人员名单；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（3）主持人宣布评标期间的有关事项，告知应当回避的情形,提请有关人员回避；</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（4）由供应商或其当场推荐的代表检查资格商务技术文件密封的完整性；</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（5）按各供应商提交投标文件时间的先后顺序打开投标文件的“资格文件”、“商务技术文件”的外包装，清点投标文件正本、副本数量，并做开标记录；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第二阶段：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（1）由主持人公布第一阶段评审无效供应商名单及理由；</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（2）公布经第一阶段评审符合采购文件要求的供应商的商务技术得分情况；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（3）由供应商或其当场推荐的代表检查报价文件密封的完整性；</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（4）再开启报价文件，由主持人宣读《开标一览表》中的供应商名称及在其投标文件中承诺的投标报价、交货期（服务期限）等投标内容，以及采购代理机构认为有必要宣读的其他内容；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（5）采购代理机构做开标记录, 同时由记录人、监督人当场签字确认；</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（6）主持人公布评审结果。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（7）开标会议结束。</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3、特别说明：政府采购云平台如对电子化开标及评审程序有调整的，按调整后的程序操作。</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本项目原则上采用政采云电子招投标开标程序，但有下情形之一的，按以下情况处理：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（1）若有供应商在规定时间内无法解密或解密失败，代理机构将开启该供应商递交的以U盘存储的电子备份投标文件，上传至政采云平台项目采购模块，以完成开标，电子投标文件自动失效。</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（2）采购过程中出现以下情形，导致电子交易平台无法正常运行，或者无法保证电子交易的公平、公正和安全时，采购人（或代理机构）可中止电子交易活动：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 xml:space="preserve">3.1电子交易平台发生故障而无法登录访问的；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3.2电子交易平台应用或数据库出现错误，不能进行正常操作的；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3.3电子交易平台发现严重安全漏洞，有潜在泄密危险的；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 xml:space="preserve">3.4病毒发作导致不能进行正常操作的；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3.5其他无法保证电子交易的公平、公正和安全的情况。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出现前款规定情形，不影响采购公平、公正性的，采购人（或代理机构）可以待上述情形消除后继续组织电子交易活动，也可以决定某些环节以纸质形式进行。</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（4）无论是否启用备份投标文件，备份投标文件均不退还供应商。若供应商在规定时间内无法解密或解密失败且未提供备份投标文件或所提供的备份投标文件无法读取的，视为投标文件撤回。</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 w:val="24"/>
        </w:rPr>
      </w:pPr>
      <w:r>
        <w:rPr>
          <w:rFonts w:hint="eastAsia" w:ascii="宋体" w:hAnsi="宋体"/>
          <w:b/>
          <w:bCs/>
          <w:sz w:val="24"/>
        </w:rPr>
        <w:t>九、</w:t>
      </w:r>
      <w:r>
        <w:rPr>
          <w:rFonts w:hint="eastAsia" w:ascii="宋体" w:hAnsi="宋体"/>
          <w:b/>
          <w:bCs/>
          <w:sz w:val="28"/>
          <w:szCs w:val="28"/>
        </w:rPr>
        <w:t>评标</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b/>
          <w:szCs w:val="21"/>
        </w:rPr>
        <w:t>9.1评标委员会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9.1.1 受采购人的委托，采购代理机构将依法组建评标委员会，评标委员会负责评标工作。评标委员会由采购人代表和评标专家组成。评标专家将按规定在财政部门设立的评审专家库中随机抽取。评标委员会成员名单在评标结果公示之前依法保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9.1.2评标委员会将遵循公平、公正、科学、廉洁的原则和规定的程序进行评标，并且只依据投标文件本身对采购文件的响应情况进行评审，不考虑投标人在开标后提交的任何的补充声明、修正方案。</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b/>
          <w:szCs w:val="21"/>
        </w:rPr>
        <w:t>9.2评标方法</w:t>
      </w:r>
    </w:p>
    <w:p>
      <w:pPr>
        <w:keepNext w:val="0"/>
        <w:keepLines w:val="0"/>
        <w:pageBreakBefore w:val="0"/>
        <w:kinsoku/>
        <w:wordWrap/>
        <w:overflowPunct/>
        <w:topLinePunct w:val="0"/>
        <w:autoSpaceDE/>
        <w:autoSpaceDN/>
        <w:bidi w:val="0"/>
        <w:adjustRightInd/>
        <w:spacing w:beforeAutospacing="0" w:afterAutospacing="0" w:line="360" w:lineRule="auto"/>
        <w:ind w:left="388" w:leftChars="0" w:hanging="388" w:hangingChars="185"/>
        <w:textAlignment w:val="auto"/>
        <w:rPr>
          <w:rFonts w:ascii="宋体" w:hAnsi="宋体"/>
          <w:szCs w:val="21"/>
        </w:rPr>
      </w:pPr>
      <w:r>
        <w:rPr>
          <w:rFonts w:ascii="宋体" w:hAnsi="宋体"/>
          <w:szCs w:val="21"/>
        </w:rPr>
        <w:t xml:space="preserve"> </w:t>
      </w:r>
      <w:r>
        <w:rPr>
          <w:rFonts w:hint="eastAsia" w:ascii="宋体" w:hAnsi="宋体"/>
          <w:szCs w:val="21"/>
          <w:lang w:val="en-US" w:eastAsia="zh-CN"/>
        </w:rPr>
        <w:t xml:space="preserve">  </w:t>
      </w:r>
      <w:r>
        <w:rPr>
          <w:rFonts w:hint="eastAsia" w:ascii="宋体" w:hAnsi="Times New Roman" w:eastAsia="宋体" w:cs="Times New Roman"/>
          <w:szCs w:val="21"/>
        </w:rPr>
        <w:t xml:space="preserve"> 9.2.1评标方法见第四章。</w:t>
      </w:r>
    </w:p>
    <w:p>
      <w:pPr>
        <w:keepNext w:val="0"/>
        <w:keepLines w:val="0"/>
        <w:pageBreakBefore w:val="0"/>
        <w:kinsoku/>
        <w:wordWrap/>
        <w:overflowPunct/>
        <w:topLinePunct w:val="0"/>
        <w:autoSpaceDE/>
        <w:autoSpaceDN/>
        <w:bidi w:val="0"/>
        <w:adjustRightInd/>
        <w:spacing w:beforeAutospacing="0" w:afterAutospacing="0" w:line="360" w:lineRule="auto"/>
        <w:ind w:left="0" w:leftChars="0" w:firstLine="105" w:firstLineChars="50"/>
        <w:textAlignment w:val="auto"/>
        <w:rPr>
          <w:rFonts w:ascii="宋体" w:hAnsi="宋体"/>
          <w:b/>
          <w:szCs w:val="21"/>
        </w:rPr>
      </w:pPr>
      <w:r>
        <w:rPr>
          <w:rFonts w:hint="eastAsia" w:ascii="宋体" w:hAnsi="宋体"/>
          <w:b/>
          <w:szCs w:val="21"/>
        </w:rPr>
        <w:t>9.3评标程序</w:t>
      </w:r>
      <w:r>
        <w:rPr>
          <w:rFonts w:ascii="宋体" w:hAnsi="宋体"/>
          <w:b/>
          <w:szCs w:val="21"/>
        </w:rPr>
        <w:t xml:space="preserve"> </w:t>
      </w:r>
    </w:p>
    <w:p>
      <w:pPr>
        <w:keepNext w:val="0"/>
        <w:keepLines w:val="0"/>
        <w:pageBreakBefore w:val="0"/>
        <w:kinsoku/>
        <w:wordWrap/>
        <w:overflowPunct/>
        <w:topLinePunct w:val="0"/>
        <w:autoSpaceDE/>
        <w:autoSpaceDN/>
        <w:bidi w:val="0"/>
        <w:adjustRightInd/>
        <w:spacing w:beforeAutospacing="0" w:afterAutospacing="0" w:line="360" w:lineRule="auto"/>
        <w:ind w:left="0" w:leftChars="0" w:firstLine="525" w:firstLineChars="250"/>
        <w:textAlignment w:val="auto"/>
        <w:rPr>
          <w:rFonts w:ascii="宋体" w:hAnsi="宋体"/>
          <w:szCs w:val="21"/>
        </w:rPr>
      </w:pPr>
      <w:r>
        <w:rPr>
          <w:rFonts w:hint="eastAsia" w:ascii="宋体" w:hAnsi="宋体"/>
          <w:szCs w:val="21"/>
        </w:rPr>
        <w:t>9.3.1评标程序见第四章。</w:t>
      </w:r>
      <w:r>
        <w:rPr>
          <w:rFonts w:ascii="宋体" w:hAnsi="宋体"/>
          <w:szCs w:val="21"/>
        </w:rPr>
        <w:t xml:space="preserve">  </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b/>
          <w:szCs w:val="21"/>
        </w:rPr>
      </w:pPr>
      <w:r>
        <w:rPr>
          <w:rFonts w:hint="eastAsia" w:ascii="宋体" w:hAnsi="宋体"/>
          <w:b/>
          <w:szCs w:val="21"/>
        </w:rPr>
        <w:t>9.4推荐中标候选人：</w:t>
      </w:r>
    </w:p>
    <w:p>
      <w:pPr>
        <w:keepNext w:val="0"/>
        <w:keepLines w:val="0"/>
        <w:pageBreakBefore w:val="0"/>
        <w:kinsoku/>
        <w:wordWrap/>
        <w:overflowPunct/>
        <w:topLinePunct w:val="0"/>
        <w:autoSpaceDE/>
        <w:autoSpaceDN/>
        <w:bidi w:val="0"/>
        <w:adjustRightInd/>
        <w:spacing w:beforeAutospacing="0" w:afterAutospacing="0" w:line="360" w:lineRule="auto"/>
        <w:ind w:left="0" w:leftChars="0" w:firstLine="420" w:firstLineChars="200"/>
        <w:textAlignment w:val="auto"/>
        <w:rPr>
          <w:rFonts w:ascii="宋体" w:hAnsi="宋体"/>
          <w:szCs w:val="21"/>
        </w:rPr>
      </w:pPr>
      <w:r>
        <w:rPr>
          <w:rFonts w:hint="eastAsia" w:ascii="宋体" w:hAnsi="宋体"/>
          <w:szCs w:val="21"/>
        </w:rPr>
        <w:t>9.4.1评标委员会将按照评标结果排序，推荐中标候选人名单。中标候选人数量见前附表。</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b/>
          <w:szCs w:val="21"/>
        </w:rPr>
      </w:pPr>
      <w:r>
        <w:rPr>
          <w:rFonts w:hint="eastAsia" w:ascii="宋体" w:hAnsi="宋体"/>
          <w:b/>
          <w:szCs w:val="21"/>
        </w:rPr>
        <w:t>9.5 评标过程保密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9.5.1中标结果公示发布之前，评标委员会名单应该保密。评标委员会成员、采购人和采购代理机构的有关参与人员应该对评标过程保密，不得向投标人或其他无关的人员透露。</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b/>
          <w:sz w:val="24"/>
        </w:rPr>
      </w:pPr>
      <w:r>
        <w:rPr>
          <w:rFonts w:hint="eastAsia" w:ascii="宋体" w:hAnsi="宋体"/>
          <w:b/>
          <w:sz w:val="24"/>
        </w:rPr>
        <w:t>十、定标</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b/>
          <w:szCs w:val="21"/>
        </w:rPr>
      </w:pPr>
      <w:r>
        <w:rPr>
          <w:rFonts w:hint="eastAsia" w:ascii="宋体" w:hAnsi="宋体"/>
          <w:b/>
          <w:szCs w:val="21"/>
        </w:rPr>
        <w:t>10.1确定中标人</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10.1.1本项目确定中标人的规定见前附表。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10.1.2采购人确定中标人的，采购代理机构应当在评标结束后2个工作日内将评标报告送采购人，采购人应当自收到评标报告之日起5个工作日内，在评标报告确定的中标候选人名单中按照顺序确定中标人。中标候选人并列的，采取随机抽取的方式确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10.1.3采购人在收到评标报告5个工作日内未按评标报告推荐的中标候选人顺序确定中标人，又不能说明合法理由的，视同按评标报告推荐的顺序确定排名第一的中标候选人为中标人。</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若排名第一的推荐中标人放弃中标、或因不可抗力提出不能履行合同、或因推荐中标人自身原因未能在中标通知书规定的期限内与采购人签订合同，采购人将可以确定排名第二的中标候选人为推荐中标人。推荐中标人放弃中标后采购人也可以重新招标。</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10.1.4评标委员会受采购人事先授权委托直接确定中标人的，评标委员会在评标报告确定的中标候选人名单中按照顺序确定中标人。中标候选人并列的，采取随机抽取的方式确定。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10.1.5采购人、采购代理机构自中标人确定之日起2个工作日内，在本项目指定的媒体上公告中标结果。</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b/>
          <w:sz w:val="24"/>
        </w:rPr>
      </w:pPr>
      <w:r>
        <w:rPr>
          <w:rFonts w:hint="eastAsia" w:ascii="宋体" w:hAnsi="宋体"/>
          <w:b/>
          <w:sz w:val="24"/>
        </w:rPr>
        <w:t>十一、政府采购合同签订</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11.1 政府采购合同适用合同法，采购人和供应商之间的权力和义务，应当按照平等、自愿的原则以合同方式约定。合同应当采用书面形式。政府采购合同的双方当事人不得擅自变更、中止或者终止合同。</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b/>
          <w:szCs w:val="21"/>
        </w:rPr>
        <w:t>11.2中标通知书</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11.2.1在公告中标结果的同时，采购人或者采购代理机构向中标人发出中标通知书。</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ascii="宋体" w:hAnsi="宋体"/>
          <w:szCs w:val="21"/>
        </w:rPr>
      </w:pPr>
      <w:r>
        <w:rPr>
          <w:rFonts w:hint="eastAsia" w:ascii="宋体" w:hAnsi="Times New Roman" w:eastAsia="宋体" w:cs="Times New Roman"/>
          <w:szCs w:val="21"/>
        </w:rPr>
        <w:t>11.2.2中标通知书发出后，采购人不得违法改变中标结果，中标人无正当理由不得放弃中标。</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b/>
          <w:szCs w:val="21"/>
        </w:rPr>
        <w:t>11.3签订合同</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11.3.1采购人与中标人应当自中标通知书发出之日起最迟30日内按照采购文件、中标人投标文件和中标通知书的内容签订书面合同，根据本项目具体情况，采购人要求签订合同的具体时间见前附表，所签订的合同不得对采购文件确定的事项和中标人投标文件作实质性修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11.3.2采购文件、中标人的投标文件、中标通知书及评标过程中有关的澄清文件均应作为合同附件。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11.3.3 中标人因不可抗力或者自身原因拒绝与采购人签订政府采购合同的，采购人将按照前附表的规定进行处理。</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szCs w:val="21"/>
        </w:rPr>
      </w:pPr>
      <w:r>
        <w:rPr>
          <w:rFonts w:hint="eastAsia" w:ascii="宋体" w:hAnsi="宋体"/>
          <w:b/>
          <w:szCs w:val="21"/>
        </w:rPr>
        <w:t>11.4履约保证金</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11.4.1 履约保证金是中标人按照采购文件要求而向采购人提交的用以保障其履行合同义务的一种担保，促使中标人全面履行与采购人订立的合同，确保合同目标的实现。中标人违约的，采购人将按照合同约定扣除其全部或部分履约保证金，或由担保人承担担保责任，如果中标人违约给采购人造成的损失超过履约保证金的，还应当依法赔偿超过部分的损失。</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11.4.2履约保证金的要求见前附表。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11.4.3履约保证金的有效期自合同生效之日起至合同约定的中标人义务完毕止。</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11.4.4履约保证金的退还由合同进行约定。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采购文件要求提交履约保证金，中标人拒绝提交的，采购人、采购代理机构有权不予退还其投标保证金。</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b/>
          <w:sz w:val="24"/>
        </w:rPr>
      </w:pPr>
      <w:r>
        <w:rPr>
          <w:rFonts w:hint="eastAsia" w:ascii="宋体" w:hAnsi="宋体"/>
          <w:b/>
          <w:sz w:val="24"/>
        </w:rPr>
        <w:t>十二、招标代理服务收费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12.1招标代理服务收费：是指采购代理机构接受采购人委托，从事编制采购文件，审查投标人资格，组织投标人踏勘现场并答疑，组织开标、评标、定标，以及提供招标前期咨询、协调合同的签订等业务所收取的费用。费用收取方式及收费标准见前附表。</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b/>
          <w:sz w:val="24"/>
        </w:rPr>
      </w:pPr>
      <w:r>
        <w:rPr>
          <w:rFonts w:hint="eastAsia" w:ascii="宋体" w:hAnsi="宋体"/>
          <w:b/>
          <w:sz w:val="24"/>
        </w:rPr>
        <w:t>十三、落实政府采购政策的特别说明</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13.1执行财政部、工业和信息化部《政府采购促进中小企业发展管理办法》（财库〔2020〕46号）。政府采购活动中有关中小企业的相关规定如下：</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13.2中小企业，是指在中华人民共和国境内依法设立，依据国务院批准的中小企业划分标准确定的中型企业、小型企业和微型企业，但与大企业的负责人为同一人，或者与大企业存在直接控股、管理关系的除外。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符合中小企业划分标准的个体工商户，在政府采购活动中视同中小企业。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13.3在政府采购活动中，供应商提供的货物、工程或者服务符合下列情形的，享受《政府采购促进中小企业发展管理办法》规定的中小企业扶持政策：</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（1）、在货物采购项目中，货物由中小企业制造，即货物由中小企业生产且使用该中小企业商号或者注册商标；</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（2）、在工程采购项目中，工程由中小企业承建，即工程施工单位为中小企业；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 xml:space="preserve">（3）、在服务采购项目中，服务由中小企业承接，即提供服务的人员为中小企业依照《中华人民共和国劳动合同法》订立劳动合同的从业人员。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在货物采购项目中，供应商提供的货物既有中小企业制造货物，也有大型企业制造货物的，不享受《政府采购促进中小企业发展管理办法》规定的中小企业扶持政策。</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以联合体形式参加政府采购活动，联合体各方均为中小企业的，联合体视同中小企业。其中，联合体各方均为小微企业的，联合体视同小微企业。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13.4中小企业参加政府采购活动，应当出具《政府采购促进中小企业发展管理办法》规定的《中小企业声明函》（格式见本采购文件附件），否则不得享受相关中小企业扶持政策。</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13.5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供应商提供声明函内容不实的，属于提供虚假材料谋取中标、成交，依照《中华人民共和国政府采购法》等国家有关规定追究相应责任。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适用招标投标法的政府采购工程建设项目，投标人提供声明函内容不实的，属于弄虚作假骗取中标，依照《中华人民共和国招标投标法》等国家有关规定追究相应责任。</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13.6 《中小企业声明函》由参加投标的供应商提交，如供应商为代理商，须自行采集制造商的中小企业划分类型信息填入相应栏目并对其真实性负责。</w:t>
      </w:r>
    </w:p>
    <w:p>
      <w:pPr>
        <w:keepNext w:val="0"/>
        <w:keepLines w:val="0"/>
        <w:pageBreakBefore w:val="0"/>
        <w:kinsoku/>
        <w:wordWrap/>
        <w:overflowPunct/>
        <w:topLinePunct w:val="0"/>
        <w:autoSpaceDE/>
        <w:autoSpaceDN/>
        <w:bidi w:val="0"/>
        <w:adjustRightInd/>
        <w:spacing w:beforeAutospacing="0" w:afterAutospacing="0" w:line="360" w:lineRule="auto"/>
        <w:ind w:left="0" w:leftChars="0"/>
        <w:textAlignment w:val="auto"/>
        <w:rPr>
          <w:rFonts w:ascii="宋体" w:hAnsi="宋体"/>
          <w:b/>
          <w:sz w:val="24"/>
        </w:rPr>
      </w:pPr>
      <w:r>
        <w:rPr>
          <w:rFonts w:hint="eastAsia" w:ascii="宋体" w:hAnsi="宋体"/>
          <w:b/>
          <w:sz w:val="24"/>
        </w:rPr>
        <w:t>十四、对供应商质疑的有关规定:</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14.1供应商认为采购文件、采购过程、中标或者成交结果使自己的权益受到损害的，可以在知道或者应知其权益受到损害之日起7个工作日内，以书面形式向采购人、采购代理机构提出质疑。供应商应当在法定质疑期内一次性提出针对招标公告、采购文件、开标评标、采购结果等同一采购程序环节的质疑，第二次提出的质疑视为质疑无效，采购人、采购代理机构将不予受理（对于采购人、采购代理机构作出的澄清或者修改的内容提出质疑的除外）。</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14.2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14.3 供应商提出质疑应当提交质疑函和必要的证明材料，质疑函应当以书面形式提出，质疑函格式和内容须符合财政部《质疑函范本》要求，供应商可到中国政府采购网自行下载财政部《质疑函范本》。</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14.4供应商质疑实行实名制，质疑函应当署名，供应商为自然人的，应当由本人签字；供应商为法人或者其他组织的，应当由法定代表人、主要负责人，或者其授权代表（指代理人）签字或者盖章，并加盖公章；代理人提出质疑的，应当提交供应商签署的授权委托书；以联合体形式参加政府采购活动的，其质疑应当由组成联合体的所有供应商共同提出。</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14.5采购人、采购代理机构接收质疑函的方式：只接收供应商以当面递交、邮寄、传真或电子邮件方式提出的质疑函，以其他方式提出的质疑不予接收。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采取邮寄方式的，提出质疑的时间为质疑函原件交邮的时间（以邮戳时间或快递收件时间为准）。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采取传真、电子邮件方式的，供应商应当在传真、电子邮件发出后将质疑函原件邮寄给被质疑人，提出质疑的时间为质疑函原件交邮的时间（以邮戳时间或快递公司收件时间为准）。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14.6采购人、采购代理机构以实际收到质疑函原件之日作为收到质疑函的日期，将在收到质疑函后7个工作日内作出答复。</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firstLine="420" w:firstLineChars="200"/>
        <w:textAlignment w:val="auto"/>
        <w:rPr>
          <w:rFonts w:hint="eastAsia" w:ascii="宋体" w:hAnsi="Times New Roman" w:eastAsia="宋体" w:cs="Times New Roman"/>
          <w:szCs w:val="21"/>
        </w:rPr>
      </w:pPr>
      <w:r>
        <w:rPr>
          <w:rFonts w:hint="eastAsia" w:ascii="宋体" w:hAnsi="Times New Roman" w:eastAsia="宋体" w:cs="Times New Roman"/>
          <w:szCs w:val="21"/>
        </w:rPr>
        <w:t>14.7 采购人、采购代理机构接收质疑函的联系人、联系电话和通讯地址等信息详见招标公告。</w:t>
      </w:r>
    </w:p>
    <w:p>
      <w:pPr>
        <w:spacing w:line="360" w:lineRule="auto"/>
        <w:jc w:val="center"/>
        <w:outlineLvl w:val="0"/>
        <w:rPr>
          <w:rFonts w:ascii="宋体" w:hAnsi="宋体"/>
          <w:b/>
          <w:sz w:val="32"/>
        </w:rPr>
      </w:pPr>
      <w:r>
        <w:rPr>
          <w:rFonts w:hint="eastAsia" w:ascii="宋体" w:hAnsi="宋体"/>
          <w:b/>
          <w:sz w:val="32"/>
        </w:rPr>
        <w:br w:type="page"/>
      </w:r>
      <w:bookmarkStart w:id="5" w:name="_Toc10858"/>
      <w:r>
        <w:rPr>
          <w:rStyle w:val="32"/>
          <w:rFonts w:hint="eastAsia"/>
          <w:sz w:val="30"/>
          <w:szCs w:val="30"/>
        </w:rPr>
        <w:t>第四章</w:t>
      </w:r>
      <w:r>
        <w:rPr>
          <w:rStyle w:val="32"/>
          <w:sz w:val="30"/>
          <w:szCs w:val="30"/>
        </w:rPr>
        <w:t xml:space="preserve">  </w:t>
      </w:r>
      <w:r>
        <w:rPr>
          <w:rStyle w:val="32"/>
          <w:rFonts w:hint="eastAsia"/>
          <w:sz w:val="30"/>
          <w:szCs w:val="30"/>
        </w:rPr>
        <w:t>评标办法及评分标准</w:t>
      </w:r>
      <w:bookmarkEnd w:id="5"/>
    </w:p>
    <w:p>
      <w:pPr>
        <w:keepNext w:val="0"/>
        <w:keepLines w:val="0"/>
        <w:pageBreakBefore w:val="0"/>
        <w:kinsoku/>
        <w:wordWrap/>
        <w:overflowPunct/>
        <w:topLinePunct w:val="0"/>
        <w:bidi w:val="0"/>
        <w:adjustRightInd/>
        <w:spacing w:line="360" w:lineRule="auto"/>
        <w:ind w:firstLine="420" w:firstLineChars="200"/>
        <w:textAlignment w:val="auto"/>
        <w:rPr>
          <w:rFonts w:ascii="宋体" w:hAnsi="宋体" w:cs="宋体"/>
          <w:szCs w:val="21"/>
        </w:rPr>
      </w:pPr>
      <w:r>
        <w:rPr>
          <w:rFonts w:hint="eastAsia" w:ascii="宋体" w:hAnsi="宋体" w:cs="宋体"/>
          <w:szCs w:val="21"/>
        </w:rPr>
        <w:t>为公正、公平、科学地选择中标人，根据《中华人民共和国政府采购法》等有关法律法规的规定，并结合本项目的实际，制定本评标方法及评标标准。</w:t>
      </w:r>
    </w:p>
    <w:p>
      <w:pPr>
        <w:keepNext w:val="0"/>
        <w:keepLines w:val="0"/>
        <w:pageBreakBefore w:val="0"/>
        <w:kinsoku/>
        <w:wordWrap/>
        <w:overflowPunct/>
        <w:topLinePunct w:val="0"/>
        <w:bidi w:val="0"/>
        <w:adjustRightInd/>
        <w:spacing w:line="360" w:lineRule="auto"/>
        <w:textAlignment w:val="auto"/>
        <w:rPr>
          <w:rFonts w:ascii="宋体" w:hAnsi="宋体" w:cs="宋体"/>
          <w:b/>
          <w:bCs/>
          <w:szCs w:val="21"/>
        </w:rPr>
      </w:pPr>
      <w:r>
        <w:rPr>
          <w:rFonts w:hint="eastAsia" w:ascii="宋体" w:hAnsi="宋体" w:cs="宋体"/>
          <w:b/>
          <w:bCs/>
          <w:szCs w:val="21"/>
        </w:rPr>
        <w:t>一、总则</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1、本项目评标方法：综合评分法。</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2、综合评分总分为100分，由技术资信商务分、价格分二部分组成，具体分值见评标标准。</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3、评标委员会成员根据采购文件规定的评标程序、评标方法和评标标准对各投标人进行独立评审，对各投标人的综合评分=技术资信商务分+价格分。</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4、本项目先开“资格文件”、“商务技术文件”，“资格文件”、“商务技术文件”评审结束后开报价文件。</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5、各投标人最终得分：计算各评标委员会成员对各投标人的综合评分的算术平均值（保留小数点后二位）。</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6、评标结果排序：按照各投标人最终得分由高到低顺序排列。得分相同的，按投标报价由低到高顺序排列。得分且投标报价相同的并列。</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7、确定中标候选人名单：投标文件满足采购文件全部实质性要求，且按照评审因素的量化指标评审每个子包号综合得分排序前二位的为中标候选人，最终得分排名第一的候选人为中标人。</w:t>
      </w:r>
    </w:p>
    <w:p>
      <w:pPr>
        <w:keepNext w:val="0"/>
        <w:keepLines w:val="0"/>
        <w:pageBreakBefore w:val="0"/>
        <w:kinsoku/>
        <w:wordWrap/>
        <w:overflowPunct/>
        <w:topLinePunct w:val="0"/>
        <w:bidi w:val="0"/>
        <w:adjustRightInd/>
        <w:spacing w:line="360" w:lineRule="auto"/>
        <w:textAlignment w:val="auto"/>
        <w:rPr>
          <w:rFonts w:ascii="宋体" w:hAnsi="宋体" w:cs="宋体"/>
          <w:b/>
          <w:bCs/>
          <w:szCs w:val="21"/>
        </w:rPr>
      </w:pPr>
      <w:r>
        <w:rPr>
          <w:rFonts w:hint="eastAsia" w:ascii="宋体" w:hAnsi="宋体" w:cs="宋体"/>
          <w:b/>
          <w:bCs/>
          <w:szCs w:val="21"/>
        </w:rPr>
        <w:t>二、政府采购政策的具体落实</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1、本次采购为专门面向中小企业，采购标的对应的中小企业划分标准所属行业</w:t>
      </w:r>
      <w:r>
        <w:rPr>
          <w:rFonts w:hint="eastAsia" w:ascii="宋体" w:hAnsi="宋体" w:cs="宋体"/>
          <w:b/>
          <w:bCs/>
          <w:color w:val="FF0000"/>
          <w:szCs w:val="21"/>
          <w:u w:val="single"/>
          <w:lang w:val="en-US" w:eastAsia="zh-CN"/>
        </w:rPr>
        <w:t>标项</w:t>
      </w:r>
      <w:r>
        <w:rPr>
          <w:rFonts w:hint="eastAsia" w:ascii="宋体" w:hAnsi="宋体" w:cs="宋体"/>
          <w:b/>
          <w:bCs/>
          <w:color w:val="FF0000"/>
          <w:szCs w:val="21"/>
          <w:u w:val="single"/>
        </w:rPr>
        <w:t>1，2</w:t>
      </w:r>
      <w:r>
        <w:rPr>
          <w:rFonts w:hint="eastAsia" w:ascii="宋体" w:hAnsi="宋体" w:cs="宋体"/>
          <w:szCs w:val="21"/>
        </w:rPr>
        <w:t>均为</w:t>
      </w:r>
      <w:r>
        <w:rPr>
          <w:rFonts w:hint="eastAsia" w:ascii="宋体" w:hAnsi="宋体"/>
          <w:b/>
          <w:bCs/>
          <w:color w:val="FF0000"/>
          <w:szCs w:val="21"/>
          <w:u w:val="single"/>
        </w:rPr>
        <w:t>软件和信息技术服务业</w:t>
      </w:r>
      <w:r>
        <w:rPr>
          <w:rFonts w:hint="eastAsia" w:ascii="宋体" w:hAnsi="宋体" w:cs="宋体"/>
          <w:szCs w:val="21"/>
        </w:rPr>
        <w:t>行业。</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2、本项目将对节能产品、环境标志产品给予政策性因素技术加分，投标产品如属于节能产品、环境标志产品的，投标人须提供由国家确定的认证机构出具的、处于有效期之内的节能产品、环境标志产品认证证书，未按要求提供认证证书或认证证书与中国政府采购网（www.ccgp.gov.cn）节能产品、环境标志产品查询结果不相符的评标委员会将不予认可，不得享受技术加分。由多个产品集成的项目（子包），必须所有产品符合上述要求才能享受技术加分（本项目不适用）。</w:t>
      </w:r>
    </w:p>
    <w:p>
      <w:pPr>
        <w:keepNext w:val="0"/>
        <w:keepLines w:val="0"/>
        <w:pageBreakBefore w:val="0"/>
        <w:kinsoku/>
        <w:wordWrap/>
        <w:overflowPunct/>
        <w:topLinePunct w:val="0"/>
        <w:bidi w:val="0"/>
        <w:adjustRightInd/>
        <w:spacing w:line="360" w:lineRule="auto"/>
        <w:textAlignment w:val="auto"/>
        <w:rPr>
          <w:rFonts w:ascii="宋体" w:hAnsi="宋体" w:cs="宋体"/>
          <w:b/>
          <w:bCs/>
          <w:szCs w:val="21"/>
        </w:rPr>
      </w:pPr>
      <w:r>
        <w:rPr>
          <w:rFonts w:hint="eastAsia" w:ascii="宋体" w:hAnsi="宋体" w:cs="宋体"/>
          <w:b/>
          <w:bCs/>
          <w:szCs w:val="21"/>
        </w:rPr>
        <w:t>三、评标委员会须知和评标过程处理原则</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1、评标专家发现本人与参加采购活动的供应商有利害关系的，应当主动提出回避。评标专家与参加采购活动的供应商存在下列利害关系之一的，应当回避：</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　　（1）参加采购活动前三年内，与供应商存在劳动关系，或者担任过供应商的董事、监事,或者是供应商的控股股东或实际控制人；</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　　（2）与供应商的法定代表人或者负责人有夫妻、直系血亲、三代以内旁系血亲或者近姻亲关系；</w:t>
      </w:r>
    </w:p>
    <w:p>
      <w:pPr>
        <w:keepNext w:val="0"/>
        <w:keepLines w:val="0"/>
        <w:pageBreakBefore w:val="0"/>
        <w:kinsoku/>
        <w:wordWrap/>
        <w:overflowPunct/>
        <w:topLinePunct w:val="0"/>
        <w:bidi w:val="0"/>
        <w:adjustRightInd/>
        <w:spacing w:line="360" w:lineRule="auto"/>
        <w:ind w:firstLine="420" w:firstLineChars="200"/>
        <w:textAlignment w:val="auto"/>
        <w:rPr>
          <w:rFonts w:ascii="宋体" w:hAnsi="宋体" w:cs="宋体"/>
          <w:szCs w:val="21"/>
        </w:rPr>
      </w:pPr>
      <w:r>
        <w:rPr>
          <w:rFonts w:hint="eastAsia" w:ascii="宋体" w:hAnsi="宋体" w:cs="宋体"/>
          <w:szCs w:val="21"/>
        </w:rPr>
        <w:t>（3）与供应商有其他可能影响政府采购活动公平、公正进行的关系。</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2、除法律法规规定的情形外,评标专家对本单位的政府采购项目只能作为采购人代表参与评审活动，未被授权为采购人代表的，应当回避。</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3、本项目主管部门或者行政监督部门的人员不能做为评标专家参与评审，应当回避。</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4、出现评标专家缺席、回避等情形导致评标现场专家数量不符合规定的，采购人或者采购代理机构应当及时补抽评审专家，或者经采购人主管预算单位同意自行选定补足评审专家。</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5、评标专家应当严格遵守评审工作纪律,按照客观、公正、审慎的原则，根据采购文件规定的评审程序、评审方法和评审标准进行独立评审。</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6、通过资格审查的合格投标人不足三家的，不得评标。</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7、通过符合性审查的有效投标人不足三家的，不得进入下一步评标程序。</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9、评标专家应当在评审报告上签字，对自己的评审意见承担法律责任。评标委员会成员对需要共同认定的事项存在争议的，应当按照少数服从多数的原则作出结论。持不同意见的评标委员会成员应当在评标报告上签署不同意见及理由，否则视为同意评标报告。</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10、评标委员会发现采购文件存在歧义、重大缺陷导致评标工作无法进行，或者采购文件内容违反国家有关强制性规定的，应当停止评标工作，与采购人或者采购代理机构沟通并作书面记录。采购人或者采购代理机构确认后，应当修改采购文件，重新组织采购活动。</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11、提供相同品牌产品且通过资格审查、符合性审查的不同投标人参加同一子包项投标的，按一家投标人计算，评审后得分最高的同品牌投标人获得中标人推荐资格；评审得分相同的，由采购人或者采购人委托评标委员会采取随机抽取方式确定，其他同品牌投标人不作为中标候选人。</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非单一产品采购子包，采购文件中应载明核心产品(如有，具体见第二章采购需求技术条款要求)，多家投标人提供的核心产品品牌相同的，按上述规定处理。</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12、单位负责人为同一人或者存在直接控股、管理关系的不同供应商，不得参加同一子包号的投标。评审中，有两家或两家以上供应商的单位负责人为同一人或者存在直接控股、管理关系的，所有供应商都按照无效投标处理。</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13、为本项目提供整体设计、规范编制或者项目管理、监理、检测等服务的供应商，不得再参加本项目的投标，评审中，按照无效投标处理。</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14、有下列情形之一的，视为投标人串通投标，其投标无效：</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　　（1）不同投标人的投标文件由同一单位或者个人编制；</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　　（2）不同投标人委托同一单位或者个人办理投标事宜；</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　　（3）不同投标人的投标文件载明的项目管理成员或者联系人员为同一人；</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　　（4）不同投标人的投标文件异常一致或者投标报价呈规律性差异；</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　　（5）不同投标人的投标文件相互混装；</w:t>
      </w:r>
    </w:p>
    <w:p>
      <w:pPr>
        <w:keepNext w:val="0"/>
        <w:keepLines w:val="0"/>
        <w:pageBreakBefore w:val="0"/>
        <w:kinsoku/>
        <w:wordWrap/>
        <w:overflowPunct/>
        <w:topLinePunct w:val="0"/>
        <w:bidi w:val="0"/>
        <w:adjustRightInd/>
        <w:spacing w:line="360" w:lineRule="auto"/>
        <w:ind w:firstLine="420" w:firstLineChars="200"/>
        <w:textAlignment w:val="auto"/>
        <w:rPr>
          <w:rFonts w:ascii="宋体" w:hAnsi="宋体" w:cs="宋体"/>
          <w:szCs w:val="21"/>
        </w:rPr>
      </w:pPr>
      <w:r>
        <w:rPr>
          <w:rFonts w:hint="eastAsia" w:ascii="宋体" w:hAnsi="宋体" w:cs="宋体"/>
          <w:szCs w:val="21"/>
        </w:rPr>
        <w:t>（6）不同投标人的投标保证金从同一单位或者个人的账户转出。</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15、投标文件报价出现前后不一致的，评标委员会应当对发现的投标文件报价错误按下列规定修正：</w:t>
      </w:r>
    </w:p>
    <w:p>
      <w:pPr>
        <w:keepNext w:val="0"/>
        <w:keepLines w:val="0"/>
        <w:pageBreakBefore w:val="0"/>
        <w:kinsoku/>
        <w:wordWrap/>
        <w:overflowPunct/>
        <w:topLinePunct w:val="0"/>
        <w:bidi w:val="0"/>
        <w:adjustRightInd/>
        <w:spacing w:line="360" w:lineRule="auto"/>
        <w:ind w:firstLine="420" w:firstLineChars="200"/>
        <w:textAlignment w:val="auto"/>
        <w:rPr>
          <w:rFonts w:ascii="宋体" w:hAnsi="宋体" w:cs="宋体"/>
          <w:szCs w:val="21"/>
        </w:rPr>
      </w:pPr>
      <w:r>
        <w:rPr>
          <w:rFonts w:hint="eastAsia" w:ascii="宋体" w:hAnsi="宋体" w:cs="宋体"/>
          <w:szCs w:val="21"/>
        </w:rPr>
        <w:t>（1）投标文件中开标一览表内容与政采云系统“开标一览表”中录入的内容不一致的，以投标文件中开标一览表为准；</w:t>
      </w:r>
    </w:p>
    <w:p>
      <w:pPr>
        <w:keepNext w:val="0"/>
        <w:keepLines w:val="0"/>
        <w:pageBreakBefore w:val="0"/>
        <w:kinsoku/>
        <w:wordWrap/>
        <w:overflowPunct/>
        <w:topLinePunct w:val="0"/>
        <w:bidi w:val="0"/>
        <w:adjustRightInd/>
        <w:spacing w:line="360" w:lineRule="auto"/>
        <w:ind w:firstLine="420" w:firstLineChars="200"/>
        <w:textAlignment w:val="auto"/>
        <w:rPr>
          <w:rFonts w:ascii="宋体" w:hAnsi="宋体" w:cs="宋体"/>
          <w:szCs w:val="21"/>
        </w:rPr>
      </w:pPr>
      <w:r>
        <w:rPr>
          <w:rFonts w:hint="eastAsia" w:ascii="宋体" w:hAnsi="宋体" w:cs="宋体"/>
          <w:szCs w:val="21"/>
        </w:rPr>
        <w:t>（2）投标文件中开标一览表内容与投标文件中相应内容不一致的，以开标一览表为准；</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　　（3）大写金额和小写金额不一致的，以大写金额为准；</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　　（4）单价金额小数点或者百分比有明显错位的，以开标一览表的总价为准，并修改单价；</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　　（5）总价金额与按单价汇总金额不一致的，以单价金额计算结果为准。</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　　同时出现两种以上不一致的，按照前款规定的顺序修正。</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16、在评审中若发现投标文件的正本与副本不一致，以正本为准；若发现电子文本与书面文本不一致，以书面文本为准。</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17、废标：评标过程中，出现下列情形之一的，应予废标，评标终止：</w:t>
      </w:r>
    </w:p>
    <w:p>
      <w:pPr>
        <w:keepNext w:val="0"/>
        <w:keepLines w:val="0"/>
        <w:pageBreakBefore w:val="0"/>
        <w:kinsoku/>
        <w:wordWrap/>
        <w:overflowPunct/>
        <w:topLinePunct w:val="0"/>
        <w:bidi w:val="0"/>
        <w:adjustRightInd/>
        <w:spacing w:line="360" w:lineRule="auto"/>
        <w:ind w:firstLine="420" w:firstLineChars="200"/>
        <w:textAlignment w:val="auto"/>
        <w:rPr>
          <w:rFonts w:ascii="宋体" w:hAnsi="宋体" w:cs="宋体"/>
          <w:szCs w:val="21"/>
        </w:rPr>
      </w:pPr>
      <w:r>
        <w:rPr>
          <w:rFonts w:hint="eastAsia" w:ascii="宋体" w:hAnsi="宋体" w:cs="宋体"/>
          <w:szCs w:val="21"/>
        </w:rPr>
        <w:t>（1）通过资格审查、符合性审查的投标人不足三家的；</w:t>
      </w:r>
    </w:p>
    <w:p>
      <w:pPr>
        <w:keepNext w:val="0"/>
        <w:keepLines w:val="0"/>
        <w:pageBreakBefore w:val="0"/>
        <w:kinsoku/>
        <w:wordWrap/>
        <w:overflowPunct/>
        <w:topLinePunct w:val="0"/>
        <w:bidi w:val="0"/>
        <w:adjustRightInd/>
        <w:spacing w:line="360" w:lineRule="auto"/>
        <w:ind w:firstLine="420" w:firstLineChars="200"/>
        <w:textAlignment w:val="auto"/>
        <w:rPr>
          <w:rFonts w:ascii="宋体" w:hAnsi="宋体" w:cs="宋体"/>
          <w:szCs w:val="21"/>
        </w:rPr>
      </w:pPr>
      <w:r>
        <w:rPr>
          <w:rFonts w:hint="eastAsia" w:ascii="宋体" w:hAnsi="宋体" w:cs="宋体"/>
          <w:szCs w:val="21"/>
        </w:rPr>
        <w:t>（2）出现影响采购公正的违法、违规行为的；</w:t>
      </w:r>
    </w:p>
    <w:p>
      <w:pPr>
        <w:keepNext w:val="0"/>
        <w:keepLines w:val="0"/>
        <w:pageBreakBefore w:val="0"/>
        <w:kinsoku/>
        <w:wordWrap/>
        <w:overflowPunct/>
        <w:topLinePunct w:val="0"/>
        <w:bidi w:val="0"/>
        <w:adjustRightInd/>
        <w:spacing w:line="360" w:lineRule="auto"/>
        <w:ind w:firstLine="420" w:firstLineChars="200"/>
        <w:textAlignment w:val="auto"/>
        <w:rPr>
          <w:rFonts w:ascii="宋体" w:hAnsi="宋体" w:cs="宋体"/>
          <w:szCs w:val="21"/>
        </w:rPr>
      </w:pPr>
      <w:r>
        <w:rPr>
          <w:rFonts w:hint="eastAsia" w:ascii="宋体" w:hAnsi="宋体" w:cs="宋体"/>
          <w:szCs w:val="21"/>
        </w:rPr>
        <w:t>（3）投标人的报价均超过了采购预算，采购人不能支付的；</w:t>
      </w:r>
    </w:p>
    <w:p>
      <w:pPr>
        <w:keepNext w:val="0"/>
        <w:keepLines w:val="0"/>
        <w:pageBreakBefore w:val="0"/>
        <w:kinsoku/>
        <w:wordWrap/>
        <w:overflowPunct/>
        <w:topLinePunct w:val="0"/>
        <w:bidi w:val="0"/>
        <w:adjustRightInd/>
        <w:spacing w:line="360" w:lineRule="auto"/>
        <w:ind w:firstLine="420" w:firstLineChars="200"/>
        <w:textAlignment w:val="auto"/>
        <w:rPr>
          <w:rFonts w:ascii="宋体" w:hAnsi="宋体" w:cs="宋体"/>
          <w:szCs w:val="21"/>
        </w:rPr>
      </w:pPr>
      <w:r>
        <w:rPr>
          <w:rFonts w:hint="eastAsia" w:ascii="宋体" w:hAnsi="宋体" w:cs="宋体"/>
          <w:szCs w:val="21"/>
        </w:rPr>
        <w:t>（4）因重大变故，采购任务取消的。</w:t>
      </w:r>
    </w:p>
    <w:p>
      <w:pPr>
        <w:keepNext w:val="0"/>
        <w:keepLines w:val="0"/>
        <w:pageBreakBefore w:val="0"/>
        <w:kinsoku/>
        <w:wordWrap/>
        <w:overflowPunct/>
        <w:topLinePunct w:val="0"/>
        <w:bidi w:val="0"/>
        <w:adjustRightInd/>
        <w:spacing w:line="360" w:lineRule="auto"/>
        <w:textAlignment w:val="auto"/>
        <w:rPr>
          <w:rFonts w:ascii="宋体" w:hAnsi="宋体" w:cs="宋体"/>
          <w:b/>
          <w:szCs w:val="21"/>
        </w:rPr>
      </w:pPr>
      <w:r>
        <w:rPr>
          <w:rFonts w:hint="eastAsia" w:ascii="宋体" w:hAnsi="宋体" w:cs="宋体"/>
          <w:b/>
          <w:szCs w:val="21"/>
        </w:rPr>
        <w:t>四、评标过程中投标无效的认定：</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投标文件存在下列情形之一的，其投标无效：</w:t>
      </w:r>
    </w:p>
    <w:p>
      <w:pPr>
        <w:keepNext w:val="0"/>
        <w:keepLines w:val="0"/>
        <w:pageBreakBefore w:val="0"/>
        <w:kinsoku/>
        <w:wordWrap/>
        <w:overflowPunct/>
        <w:topLinePunct w:val="0"/>
        <w:bidi w:val="0"/>
        <w:adjustRightInd/>
        <w:spacing w:line="360" w:lineRule="auto"/>
        <w:ind w:firstLine="420" w:firstLineChars="200"/>
        <w:textAlignment w:val="auto"/>
        <w:rPr>
          <w:rFonts w:ascii="宋体" w:hAnsi="宋体" w:cs="宋体"/>
          <w:szCs w:val="21"/>
        </w:rPr>
      </w:pPr>
      <w:r>
        <w:rPr>
          <w:rFonts w:hint="eastAsia" w:ascii="宋体" w:hAnsi="宋体" w:cs="宋体"/>
          <w:szCs w:val="21"/>
        </w:rPr>
        <w:t>（1）未按照采购文件的规定提交投标保证金的（未交纳投标保证金或金额不足、未按采购文件规定的时间交纳投标保证金或投标保证金形式、投标保证金保函出具不符合采购文件要求等）</w:t>
      </w:r>
    </w:p>
    <w:p>
      <w:pPr>
        <w:keepNext w:val="0"/>
        <w:keepLines w:val="0"/>
        <w:pageBreakBefore w:val="0"/>
        <w:kinsoku/>
        <w:wordWrap/>
        <w:overflowPunct/>
        <w:topLinePunct w:val="0"/>
        <w:bidi w:val="0"/>
        <w:adjustRightInd/>
        <w:spacing w:line="360" w:lineRule="auto"/>
        <w:ind w:firstLine="424" w:firstLineChars="202"/>
        <w:textAlignment w:val="auto"/>
        <w:rPr>
          <w:rFonts w:ascii="宋体" w:hAnsi="宋体" w:cs="宋体"/>
          <w:szCs w:val="21"/>
        </w:rPr>
      </w:pPr>
      <w:r>
        <w:rPr>
          <w:rFonts w:hint="eastAsia" w:ascii="宋体" w:hAnsi="宋体" w:cs="宋体"/>
          <w:szCs w:val="21"/>
        </w:rPr>
        <w:t>（2）投标文件未按采购文件要求签署、盖章的；</w:t>
      </w:r>
    </w:p>
    <w:p>
      <w:pPr>
        <w:keepNext w:val="0"/>
        <w:keepLines w:val="0"/>
        <w:pageBreakBefore w:val="0"/>
        <w:kinsoku/>
        <w:wordWrap/>
        <w:overflowPunct/>
        <w:topLinePunct w:val="0"/>
        <w:bidi w:val="0"/>
        <w:adjustRightInd/>
        <w:spacing w:line="360" w:lineRule="auto"/>
        <w:ind w:firstLine="420" w:firstLineChars="200"/>
        <w:textAlignment w:val="auto"/>
        <w:rPr>
          <w:rFonts w:ascii="宋体" w:hAnsi="宋体" w:cs="宋体"/>
          <w:szCs w:val="21"/>
        </w:rPr>
      </w:pPr>
      <w:r>
        <w:rPr>
          <w:rFonts w:hint="eastAsia" w:ascii="宋体" w:hAnsi="宋体" w:cs="宋体"/>
          <w:szCs w:val="21"/>
        </w:rPr>
        <w:t>（3）不具备采购文件中规定的资格要求的；资格证明文件未按照采购文件要求提供或不全或虽提供但格式、签署与盖章等不符合采购文件要求的；</w:t>
      </w:r>
    </w:p>
    <w:p>
      <w:pPr>
        <w:keepNext w:val="0"/>
        <w:keepLines w:val="0"/>
        <w:pageBreakBefore w:val="0"/>
        <w:kinsoku/>
        <w:wordWrap/>
        <w:overflowPunct/>
        <w:topLinePunct w:val="0"/>
        <w:bidi w:val="0"/>
        <w:adjustRightInd/>
        <w:spacing w:line="360" w:lineRule="auto"/>
        <w:ind w:firstLine="420" w:firstLineChars="200"/>
        <w:textAlignment w:val="auto"/>
        <w:rPr>
          <w:rFonts w:ascii="宋体" w:hAnsi="宋体" w:cs="宋体"/>
          <w:szCs w:val="21"/>
        </w:rPr>
      </w:pPr>
      <w:r>
        <w:rPr>
          <w:rFonts w:hint="eastAsia" w:ascii="宋体" w:hAnsi="宋体" w:cs="宋体"/>
          <w:szCs w:val="21"/>
        </w:rPr>
        <w:t>（4）投标报价超过采购文件中规定的预算金额或者最高限价的；</w:t>
      </w:r>
    </w:p>
    <w:p>
      <w:pPr>
        <w:keepNext w:val="0"/>
        <w:keepLines w:val="0"/>
        <w:pageBreakBefore w:val="0"/>
        <w:kinsoku/>
        <w:wordWrap/>
        <w:overflowPunct/>
        <w:topLinePunct w:val="0"/>
        <w:bidi w:val="0"/>
        <w:adjustRightInd/>
        <w:spacing w:line="360" w:lineRule="auto"/>
        <w:ind w:firstLine="420" w:firstLineChars="200"/>
        <w:textAlignment w:val="auto"/>
        <w:rPr>
          <w:rFonts w:ascii="宋体" w:hAnsi="宋体" w:cs="宋体"/>
          <w:szCs w:val="21"/>
        </w:rPr>
      </w:pPr>
      <w:r>
        <w:rPr>
          <w:rFonts w:hint="eastAsia" w:ascii="宋体" w:hAnsi="宋体" w:cs="宋体"/>
          <w:szCs w:val="21"/>
        </w:rPr>
        <w:t>（5）投标文件含有采购人不能接受的附加条件的；</w:t>
      </w:r>
    </w:p>
    <w:p>
      <w:pPr>
        <w:keepNext w:val="0"/>
        <w:keepLines w:val="0"/>
        <w:pageBreakBefore w:val="0"/>
        <w:kinsoku/>
        <w:wordWrap/>
        <w:overflowPunct/>
        <w:topLinePunct w:val="0"/>
        <w:bidi w:val="0"/>
        <w:adjustRightInd/>
        <w:spacing w:line="360" w:lineRule="auto"/>
        <w:ind w:firstLine="420" w:firstLineChars="200"/>
        <w:textAlignment w:val="auto"/>
        <w:rPr>
          <w:rFonts w:ascii="宋体" w:hAnsi="宋体" w:cs="宋体"/>
          <w:szCs w:val="21"/>
        </w:rPr>
      </w:pPr>
      <w:r>
        <w:rPr>
          <w:rFonts w:hint="eastAsia" w:ascii="宋体" w:hAnsi="宋体" w:cs="宋体"/>
          <w:szCs w:val="21"/>
        </w:rPr>
        <w:t>（6）投标有效期不符合采购文件要求的；</w:t>
      </w:r>
    </w:p>
    <w:p>
      <w:pPr>
        <w:keepNext w:val="0"/>
        <w:keepLines w:val="0"/>
        <w:pageBreakBefore w:val="0"/>
        <w:kinsoku/>
        <w:wordWrap/>
        <w:overflowPunct/>
        <w:topLinePunct w:val="0"/>
        <w:bidi w:val="0"/>
        <w:adjustRightInd/>
        <w:spacing w:line="360" w:lineRule="auto"/>
        <w:ind w:firstLine="420" w:firstLineChars="200"/>
        <w:textAlignment w:val="auto"/>
        <w:rPr>
          <w:rFonts w:ascii="宋体" w:hAnsi="宋体" w:cs="宋体"/>
          <w:szCs w:val="21"/>
        </w:rPr>
      </w:pPr>
      <w:r>
        <w:rPr>
          <w:rFonts w:hint="eastAsia" w:ascii="宋体" w:hAnsi="宋体" w:cs="宋体"/>
          <w:szCs w:val="21"/>
        </w:rPr>
        <w:t>（7）投标文件组成或投标文件数量不符合采购文件要求的；</w:t>
      </w:r>
    </w:p>
    <w:p>
      <w:pPr>
        <w:keepNext w:val="0"/>
        <w:keepLines w:val="0"/>
        <w:pageBreakBefore w:val="0"/>
        <w:kinsoku/>
        <w:wordWrap/>
        <w:overflowPunct/>
        <w:topLinePunct w:val="0"/>
        <w:bidi w:val="0"/>
        <w:adjustRightInd/>
        <w:spacing w:line="360" w:lineRule="auto"/>
        <w:ind w:firstLine="420" w:firstLineChars="200"/>
        <w:textAlignment w:val="auto"/>
        <w:rPr>
          <w:rFonts w:ascii="宋体" w:hAnsi="宋体" w:cs="宋体"/>
          <w:szCs w:val="21"/>
        </w:rPr>
      </w:pPr>
      <w:r>
        <w:rPr>
          <w:rFonts w:hint="eastAsia" w:ascii="宋体" w:hAnsi="宋体" w:cs="宋体"/>
          <w:szCs w:val="21"/>
        </w:rPr>
        <w:t>（8）采购文件中标注有“*”号的条款为“实质性要求”条款，投标文件对这些条款有负偏离的；或未标注有“*”号的条款负偏离达到或超过采购文件规定数量的；</w:t>
      </w:r>
    </w:p>
    <w:p>
      <w:pPr>
        <w:keepNext w:val="0"/>
        <w:keepLines w:val="0"/>
        <w:pageBreakBefore w:val="0"/>
        <w:kinsoku/>
        <w:wordWrap/>
        <w:overflowPunct/>
        <w:topLinePunct w:val="0"/>
        <w:bidi w:val="0"/>
        <w:adjustRightInd/>
        <w:spacing w:line="360" w:lineRule="auto"/>
        <w:ind w:firstLine="420" w:firstLineChars="200"/>
        <w:textAlignment w:val="auto"/>
        <w:rPr>
          <w:rFonts w:ascii="宋体" w:hAnsi="宋体" w:cs="宋体"/>
          <w:szCs w:val="21"/>
        </w:rPr>
      </w:pPr>
      <w:r>
        <w:rPr>
          <w:rFonts w:hint="eastAsia" w:ascii="宋体" w:hAnsi="宋体" w:cs="宋体"/>
          <w:szCs w:val="21"/>
        </w:rPr>
        <w:t>（9）商务条款响应表或技术条款响应表有缺项、漏项且评标委员会认定该缺项、漏项使得投标文件没有对采购文件的要求作出实质性响应的；</w:t>
      </w:r>
    </w:p>
    <w:p>
      <w:pPr>
        <w:keepNext w:val="0"/>
        <w:keepLines w:val="0"/>
        <w:pageBreakBefore w:val="0"/>
        <w:kinsoku/>
        <w:wordWrap/>
        <w:overflowPunct/>
        <w:topLinePunct w:val="0"/>
        <w:bidi w:val="0"/>
        <w:adjustRightInd/>
        <w:spacing w:line="360" w:lineRule="auto"/>
        <w:ind w:firstLine="420" w:firstLineChars="200"/>
        <w:textAlignment w:val="auto"/>
        <w:rPr>
          <w:rFonts w:ascii="宋体" w:hAnsi="宋体" w:cs="宋体"/>
          <w:szCs w:val="21"/>
        </w:rPr>
      </w:pPr>
      <w:r>
        <w:rPr>
          <w:rFonts w:hint="eastAsia" w:ascii="宋体" w:hAnsi="宋体" w:cs="宋体"/>
          <w:szCs w:val="21"/>
        </w:rPr>
        <w:t>（10）符合采购文件“评标标准”规定的无效投标条件的；</w:t>
      </w:r>
    </w:p>
    <w:p>
      <w:pPr>
        <w:keepNext w:val="0"/>
        <w:keepLines w:val="0"/>
        <w:pageBreakBefore w:val="0"/>
        <w:kinsoku/>
        <w:wordWrap/>
        <w:overflowPunct/>
        <w:topLinePunct w:val="0"/>
        <w:bidi w:val="0"/>
        <w:adjustRightInd/>
        <w:spacing w:line="360" w:lineRule="auto"/>
        <w:ind w:firstLine="420" w:firstLineChars="200"/>
        <w:textAlignment w:val="auto"/>
        <w:rPr>
          <w:rFonts w:ascii="宋体" w:hAnsi="宋体" w:cs="宋体"/>
          <w:szCs w:val="21"/>
        </w:rPr>
      </w:pPr>
      <w:r>
        <w:rPr>
          <w:rFonts w:hint="eastAsia" w:ascii="宋体" w:hAnsi="宋体" w:cs="宋体"/>
          <w:szCs w:val="21"/>
        </w:rPr>
        <w:t>（11）评标委员会认为投标人的报价明显低于其他通过符合性审查投标人的报价，有可能影响产品质量或者不能诚信履约的，投标人不能证明其报价合理性的；</w:t>
      </w:r>
    </w:p>
    <w:p>
      <w:pPr>
        <w:keepNext w:val="0"/>
        <w:keepLines w:val="0"/>
        <w:pageBreakBefore w:val="0"/>
        <w:kinsoku/>
        <w:wordWrap/>
        <w:overflowPunct/>
        <w:topLinePunct w:val="0"/>
        <w:bidi w:val="0"/>
        <w:adjustRightInd/>
        <w:spacing w:line="360" w:lineRule="auto"/>
        <w:ind w:firstLine="420" w:firstLineChars="200"/>
        <w:textAlignment w:val="auto"/>
        <w:rPr>
          <w:rFonts w:ascii="宋体" w:hAnsi="宋体" w:cs="宋体"/>
          <w:szCs w:val="21"/>
        </w:rPr>
      </w:pPr>
      <w:r>
        <w:rPr>
          <w:rFonts w:hint="eastAsia" w:ascii="宋体" w:hAnsi="宋体" w:cs="宋体"/>
          <w:szCs w:val="21"/>
        </w:rPr>
        <w:t>（12）评标委员会经过审查，认定投标人投标报价低于成本价的；</w:t>
      </w:r>
    </w:p>
    <w:p>
      <w:pPr>
        <w:keepNext w:val="0"/>
        <w:keepLines w:val="0"/>
        <w:pageBreakBefore w:val="0"/>
        <w:kinsoku/>
        <w:wordWrap/>
        <w:overflowPunct/>
        <w:topLinePunct w:val="0"/>
        <w:bidi w:val="0"/>
        <w:adjustRightInd/>
        <w:spacing w:line="360" w:lineRule="auto"/>
        <w:ind w:firstLine="420" w:firstLineChars="200"/>
        <w:textAlignment w:val="auto"/>
        <w:rPr>
          <w:rFonts w:ascii="宋体" w:hAnsi="宋体" w:cs="宋体"/>
          <w:szCs w:val="21"/>
        </w:rPr>
      </w:pPr>
      <w:r>
        <w:rPr>
          <w:rFonts w:hint="eastAsia" w:ascii="宋体" w:hAnsi="宋体" w:cs="宋体"/>
          <w:szCs w:val="21"/>
        </w:rPr>
        <w:t>（13）评标委员会对投标人投标文件报价有修正的，投标人不予确认的；</w:t>
      </w:r>
    </w:p>
    <w:p>
      <w:pPr>
        <w:keepNext w:val="0"/>
        <w:keepLines w:val="0"/>
        <w:pageBreakBefore w:val="0"/>
        <w:kinsoku/>
        <w:wordWrap/>
        <w:overflowPunct/>
        <w:topLinePunct w:val="0"/>
        <w:bidi w:val="0"/>
        <w:adjustRightInd/>
        <w:spacing w:line="360" w:lineRule="auto"/>
        <w:ind w:firstLine="420" w:firstLineChars="200"/>
        <w:textAlignment w:val="auto"/>
        <w:rPr>
          <w:rFonts w:ascii="宋体" w:hAnsi="宋体" w:cs="宋体"/>
          <w:szCs w:val="21"/>
        </w:rPr>
      </w:pPr>
      <w:r>
        <w:rPr>
          <w:rFonts w:hint="eastAsia" w:ascii="宋体" w:hAnsi="宋体" w:cs="宋体"/>
          <w:szCs w:val="21"/>
        </w:rPr>
        <w:t>（14） 有两家或两家以上供应商的单位负责人为同一人或者存在直接控股、管理关系的投标人参与同一子包投标的；</w:t>
      </w:r>
    </w:p>
    <w:p>
      <w:pPr>
        <w:keepNext w:val="0"/>
        <w:keepLines w:val="0"/>
        <w:pageBreakBefore w:val="0"/>
        <w:kinsoku/>
        <w:wordWrap/>
        <w:overflowPunct/>
        <w:topLinePunct w:val="0"/>
        <w:bidi w:val="0"/>
        <w:adjustRightInd/>
        <w:spacing w:line="360" w:lineRule="auto"/>
        <w:ind w:firstLine="420" w:firstLineChars="200"/>
        <w:textAlignment w:val="auto"/>
        <w:rPr>
          <w:rFonts w:ascii="宋体" w:hAnsi="宋体" w:cs="宋体"/>
          <w:szCs w:val="21"/>
        </w:rPr>
      </w:pPr>
      <w:r>
        <w:rPr>
          <w:rFonts w:hint="eastAsia" w:ascii="宋体" w:hAnsi="宋体" w:cs="宋体"/>
          <w:szCs w:val="21"/>
        </w:rPr>
        <w:t>（15）为本项目提供整体设计、规范编制或者项目管理、监理、检测等服务的供应商的投标；</w:t>
      </w:r>
    </w:p>
    <w:p>
      <w:pPr>
        <w:keepNext w:val="0"/>
        <w:keepLines w:val="0"/>
        <w:pageBreakBefore w:val="0"/>
        <w:kinsoku/>
        <w:wordWrap/>
        <w:overflowPunct/>
        <w:topLinePunct w:val="0"/>
        <w:bidi w:val="0"/>
        <w:adjustRightInd/>
        <w:spacing w:line="360" w:lineRule="auto"/>
        <w:ind w:firstLine="420" w:firstLineChars="200"/>
        <w:textAlignment w:val="auto"/>
        <w:rPr>
          <w:rFonts w:ascii="宋体" w:hAnsi="宋体" w:cs="宋体"/>
          <w:szCs w:val="21"/>
        </w:rPr>
      </w:pPr>
      <w:r>
        <w:rPr>
          <w:rFonts w:hint="eastAsia" w:ascii="宋体" w:hAnsi="宋体" w:cs="宋体"/>
          <w:szCs w:val="21"/>
        </w:rPr>
        <w:t>（16）评标委员会经过审查，认定投标人虚假应标、串通投标的；</w:t>
      </w:r>
    </w:p>
    <w:p>
      <w:pPr>
        <w:keepNext w:val="0"/>
        <w:keepLines w:val="0"/>
        <w:pageBreakBefore w:val="0"/>
        <w:kinsoku/>
        <w:wordWrap/>
        <w:overflowPunct/>
        <w:topLinePunct w:val="0"/>
        <w:bidi w:val="0"/>
        <w:adjustRightInd/>
        <w:spacing w:line="360" w:lineRule="auto"/>
        <w:ind w:firstLine="420" w:firstLineChars="200"/>
        <w:textAlignment w:val="auto"/>
        <w:rPr>
          <w:rFonts w:ascii="宋体" w:hAnsi="宋体" w:cs="宋体"/>
          <w:szCs w:val="21"/>
        </w:rPr>
      </w:pPr>
      <w:r>
        <w:rPr>
          <w:rFonts w:hint="eastAsia" w:ascii="宋体" w:hAnsi="宋体" w:cs="宋体"/>
          <w:szCs w:val="21"/>
        </w:rPr>
        <w:t>（17）法律、法规和本项目采购文件规定的其他无效情形。</w:t>
      </w:r>
    </w:p>
    <w:p>
      <w:pPr>
        <w:keepNext w:val="0"/>
        <w:keepLines w:val="0"/>
        <w:pageBreakBefore w:val="0"/>
        <w:kinsoku/>
        <w:wordWrap/>
        <w:overflowPunct/>
        <w:topLinePunct w:val="0"/>
        <w:bidi w:val="0"/>
        <w:adjustRightInd/>
        <w:spacing w:line="360" w:lineRule="auto"/>
        <w:textAlignment w:val="auto"/>
        <w:rPr>
          <w:rFonts w:ascii="宋体" w:hAnsi="宋体" w:cs="宋体"/>
          <w:b/>
          <w:szCs w:val="21"/>
        </w:rPr>
      </w:pPr>
      <w:r>
        <w:rPr>
          <w:rFonts w:hint="eastAsia" w:ascii="宋体" w:hAnsi="宋体" w:cs="宋体"/>
          <w:b/>
          <w:szCs w:val="21"/>
        </w:rPr>
        <w:t>五、评标程序</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评标程序包括资格审查、符合性审查、澄清或者说明、比较和评价、确定中标候选人名单等程序。</w:t>
      </w:r>
    </w:p>
    <w:p>
      <w:pPr>
        <w:keepNext w:val="0"/>
        <w:keepLines w:val="0"/>
        <w:pageBreakBefore w:val="0"/>
        <w:kinsoku/>
        <w:wordWrap/>
        <w:overflowPunct/>
        <w:topLinePunct w:val="0"/>
        <w:bidi w:val="0"/>
        <w:adjustRightInd/>
        <w:spacing w:line="360" w:lineRule="auto"/>
        <w:textAlignment w:val="auto"/>
        <w:rPr>
          <w:rFonts w:ascii="宋体" w:hAnsi="宋体" w:cs="宋体"/>
          <w:b/>
          <w:bCs/>
          <w:szCs w:val="21"/>
        </w:rPr>
      </w:pPr>
      <w:r>
        <w:rPr>
          <w:rFonts w:hint="eastAsia" w:ascii="宋体" w:hAnsi="宋体" w:cs="宋体"/>
          <w:b/>
          <w:bCs/>
          <w:szCs w:val="21"/>
        </w:rPr>
        <w:t>（一）、资格审查（适用标项1,2）</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本项目为资格后审，由采购人、采购代理机构对投标人的资格进行审查。资格审查不合格的投标人，不得进入下一步程序。资格审查后，合格的投标人不足三家的，不得继续评标。</w:t>
      </w:r>
    </w:p>
    <w:p>
      <w:pPr>
        <w:keepNext w:val="0"/>
        <w:keepLines w:val="0"/>
        <w:pageBreakBefore w:val="0"/>
        <w:kinsoku/>
        <w:wordWrap/>
        <w:overflowPunct/>
        <w:topLinePunct w:val="0"/>
        <w:bidi w:val="0"/>
        <w:adjustRightInd/>
        <w:spacing w:line="360" w:lineRule="auto"/>
        <w:jc w:val="center"/>
        <w:textAlignment w:val="auto"/>
        <w:rPr>
          <w:rFonts w:ascii="宋体" w:hAnsi="宋体" w:cs="宋体"/>
          <w:szCs w:val="21"/>
        </w:rPr>
      </w:pPr>
      <w:r>
        <w:rPr>
          <w:rFonts w:hint="eastAsia" w:ascii="宋体" w:hAnsi="宋体" w:cs="宋体"/>
          <w:szCs w:val="21"/>
        </w:rPr>
        <w:t>资格审查内容（兼审查表）-附表1</w:t>
      </w:r>
    </w:p>
    <w:tbl>
      <w:tblPr>
        <w:tblStyle w:val="19"/>
        <w:tblW w:w="945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657"/>
        <w:gridCol w:w="512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序号</w:t>
            </w:r>
          </w:p>
        </w:tc>
        <w:tc>
          <w:tcPr>
            <w:tcW w:w="3657"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要求说明</w:t>
            </w:r>
          </w:p>
        </w:tc>
        <w:tc>
          <w:tcPr>
            <w:tcW w:w="5127"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审查要求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16"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3657"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符合《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tc>
        <w:tc>
          <w:tcPr>
            <w:tcW w:w="5127"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（1）有效的企业法人营业执照（或事业法人登记证）、其他组织（个体工商户）的营业执照或者民办非企业单位登记证书（复印件盖单位公章）；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（2）符合参加政府采购活动应当具备的一般条件的承诺函；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（3）未被信用中国网站（</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"http://www.creditchina.gov.cn" </w:instrText>
            </w:r>
            <w:r>
              <w:rPr>
                <w:rFonts w:hint="eastAsia" w:ascii="宋体" w:hAnsi="宋体" w:eastAsia="宋体" w:cs="宋体"/>
                <w:sz w:val="21"/>
                <w:szCs w:val="21"/>
              </w:rPr>
              <w:fldChar w:fldCharType="separate"/>
            </w:r>
            <w:r>
              <w:rPr>
                <w:rFonts w:hint="eastAsia" w:ascii="宋体" w:hAnsi="宋体" w:eastAsia="宋体" w:cs="宋体"/>
                <w:sz w:val="21"/>
                <w:szCs w:val="21"/>
              </w:rPr>
              <w:t>www.creditchina.gov.cn</w:t>
            </w:r>
            <w:r>
              <w:rPr>
                <w:rFonts w:hint="eastAsia" w:ascii="宋体" w:hAnsi="宋体" w:eastAsia="宋体" w:cs="宋体"/>
                <w:sz w:val="21"/>
                <w:szCs w:val="21"/>
              </w:rPr>
              <w:fldChar w:fldCharType="end"/>
            </w:r>
            <w:r>
              <w:rPr>
                <w:rFonts w:hint="eastAsia" w:ascii="宋体" w:hAnsi="宋体" w:eastAsia="宋体" w:cs="宋体"/>
                <w:sz w:val="21"/>
                <w:szCs w:val="21"/>
              </w:rPr>
              <w:t>）列入失信被执行人、重大税收违法案件当事人名单，未被中国政府采购网（www.ccgp.gov.cn）列入政府采购严重违法失信行为记录名单。（以采购代理机构于投标截止日当天在信用中国网站及中国政府采购网查询结果为准，如相关失信记录已失效，投标人需提供相关证明资料）；</w:t>
            </w:r>
          </w:p>
          <w:p>
            <w:pPr>
              <w:pStyle w:val="6"/>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3657"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落实政府采购政策需满足的资格要求：专门面向中小企业，服务全部由符合政策要求的中小/小微企业承接，提供中小企业声明函；</w:t>
            </w:r>
          </w:p>
        </w:tc>
        <w:tc>
          <w:tcPr>
            <w:tcW w:w="5127"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落实政府采购政策需满足的资格要求：专门面向中小企业，服务全部由符合政策要求的中小/小微企业承接，提供中小企业声明函；【格式见招标文件第六章】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3657"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本项目不接受联合体投标。</w:t>
            </w:r>
          </w:p>
        </w:tc>
        <w:tc>
          <w:tcPr>
            <w:tcW w:w="5127"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不得为联合体：</w:t>
            </w:r>
            <w:r>
              <w:rPr>
                <w:rFonts w:hint="eastAsia" w:ascii="宋体" w:hAnsi="宋体" w:eastAsia="宋体" w:cs="宋体"/>
                <w:b/>
                <w:bCs/>
                <w:color w:val="auto"/>
                <w:sz w:val="21"/>
                <w:szCs w:val="21"/>
              </w:rPr>
              <w:t>须提供非联合体投标承诺书（格式自拟）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3657"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投标人认为需要提供的其他资格审查资料（如有）。</w:t>
            </w:r>
          </w:p>
        </w:tc>
        <w:tc>
          <w:tcPr>
            <w:tcW w:w="5127"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投标人认为需要提供的其他资格审查资料（如有）。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433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b/>
                <w:sz w:val="21"/>
                <w:szCs w:val="21"/>
              </w:rPr>
              <w:t>资格性审查结论（合格/不合格）</w:t>
            </w:r>
          </w:p>
        </w:tc>
        <w:tc>
          <w:tcPr>
            <w:tcW w:w="5127"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tc>
      </w:tr>
    </w:tbl>
    <w:p>
      <w:pPr>
        <w:keepNext w:val="0"/>
        <w:keepLines w:val="0"/>
        <w:pageBreakBefore w:val="0"/>
        <w:kinsoku/>
        <w:wordWrap/>
        <w:overflowPunct/>
        <w:topLinePunct w:val="0"/>
        <w:bidi w:val="0"/>
        <w:adjustRightInd/>
        <w:spacing w:line="360" w:lineRule="auto"/>
        <w:textAlignment w:val="auto"/>
        <w:rPr>
          <w:rFonts w:ascii="宋体" w:hAnsi="宋体" w:cs="宋体"/>
          <w:b/>
          <w:sz w:val="18"/>
          <w:szCs w:val="18"/>
        </w:rPr>
      </w:pPr>
      <w:r>
        <w:rPr>
          <w:rFonts w:hint="eastAsia" w:ascii="宋体" w:hAnsi="宋体" w:cs="宋体"/>
          <w:b/>
          <w:sz w:val="18"/>
          <w:szCs w:val="18"/>
        </w:rPr>
        <w:t>注：1、上述资格文件未按招标文件要求附入投标文件中的，资格性审查不合格。</w:t>
      </w:r>
    </w:p>
    <w:p>
      <w:pPr>
        <w:keepNext w:val="0"/>
        <w:keepLines w:val="0"/>
        <w:pageBreakBefore w:val="0"/>
        <w:kinsoku/>
        <w:wordWrap/>
        <w:overflowPunct/>
        <w:topLinePunct w:val="0"/>
        <w:bidi w:val="0"/>
        <w:adjustRightInd/>
        <w:spacing w:line="360" w:lineRule="auto"/>
        <w:textAlignment w:val="auto"/>
        <w:rPr>
          <w:rFonts w:ascii="宋体" w:hAnsi="宋体" w:cs="宋体"/>
          <w:b/>
          <w:sz w:val="18"/>
          <w:szCs w:val="18"/>
        </w:rPr>
      </w:pPr>
      <w:r>
        <w:rPr>
          <w:rFonts w:hint="eastAsia" w:ascii="宋体" w:hAnsi="宋体" w:cs="宋体"/>
          <w:b/>
          <w:sz w:val="18"/>
          <w:szCs w:val="18"/>
        </w:rPr>
        <w:t>2、上述审查项目中，任意一项不符合的，资格性审查不合格。</w:t>
      </w:r>
    </w:p>
    <w:p>
      <w:pPr>
        <w:keepNext w:val="0"/>
        <w:keepLines w:val="0"/>
        <w:pageBreakBefore w:val="0"/>
        <w:kinsoku/>
        <w:wordWrap/>
        <w:overflowPunct/>
        <w:topLinePunct w:val="0"/>
        <w:bidi w:val="0"/>
        <w:adjustRightInd/>
        <w:spacing w:line="360" w:lineRule="auto"/>
        <w:textAlignment w:val="auto"/>
        <w:rPr>
          <w:rFonts w:ascii="宋体" w:hAnsi="宋体" w:cs="宋体"/>
          <w:b/>
          <w:sz w:val="18"/>
          <w:szCs w:val="18"/>
        </w:rPr>
      </w:pPr>
      <w:r>
        <w:rPr>
          <w:rFonts w:hint="eastAsia" w:ascii="宋体" w:hAnsi="宋体" w:cs="宋体"/>
          <w:b/>
          <w:sz w:val="18"/>
          <w:szCs w:val="18"/>
        </w:rPr>
        <w:t>3、采购人、代理机构将于开标当天通过“信用中国”网站查询供应商、联合体成员（如有）失信被执行人、重大税收违法案件当事人信用记录，通过中国政府采购网查询供应商、联合体成员（如有）政府采购严重违法失信行为信用记录。若供应商、联合体成员（如有）被列入失信被执行人、重大税收违法案件当事人名单、政府采购严重违法失信行为记录名单，其资格审查为不合格，其投标将被认定为无效投标。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p>
      <w:pPr>
        <w:keepNext w:val="0"/>
        <w:keepLines w:val="0"/>
        <w:pageBreakBefore w:val="0"/>
        <w:kinsoku/>
        <w:wordWrap/>
        <w:overflowPunct/>
        <w:topLinePunct w:val="0"/>
        <w:bidi w:val="0"/>
        <w:adjustRightInd/>
        <w:spacing w:line="360" w:lineRule="auto"/>
        <w:textAlignment w:val="auto"/>
        <w:rPr>
          <w:rFonts w:ascii="宋体" w:hAnsi="宋体" w:cs="宋体"/>
          <w:b/>
          <w:bCs/>
          <w:szCs w:val="21"/>
        </w:rPr>
      </w:pPr>
      <w:r>
        <w:rPr>
          <w:rFonts w:hint="eastAsia" w:ascii="宋体" w:hAnsi="宋体" w:cs="宋体"/>
          <w:b/>
          <w:bCs/>
          <w:szCs w:val="21"/>
        </w:rPr>
        <w:t>（二）、符合性审查（“资格文件”、“商务技术文件”）（适用标项1,2）</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由评标委员会对符合资格要求的投标人的投标文件进行符合性审查，以确定其是否满足采购文件的商务、技术等实质性要求。符合性审查不合格的投标人，不得进入下一步评审。符合性审查后，有效投标人不足三家的，不得继续评标。</w:t>
      </w:r>
    </w:p>
    <w:p>
      <w:pPr>
        <w:keepNext w:val="0"/>
        <w:keepLines w:val="0"/>
        <w:pageBreakBefore w:val="0"/>
        <w:kinsoku/>
        <w:wordWrap/>
        <w:overflowPunct/>
        <w:topLinePunct w:val="0"/>
        <w:bidi w:val="0"/>
        <w:adjustRightInd/>
        <w:spacing w:line="360" w:lineRule="auto"/>
        <w:jc w:val="center"/>
        <w:textAlignment w:val="auto"/>
        <w:rPr>
          <w:rFonts w:ascii="宋体" w:hAnsi="宋体" w:cs="宋体"/>
          <w:szCs w:val="21"/>
        </w:rPr>
      </w:pPr>
      <w:r>
        <w:rPr>
          <w:rFonts w:hint="eastAsia" w:ascii="宋体" w:hAnsi="宋体" w:cs="宋体"/>
          <w:szCs w:val="21"/>
        </w:rPr>
        <w:t>符合性审查内容（兼评委审查表）-附表2</w:t>
      </w:r>
    </w:p>
    <w:p>
      <w:pPr>
        <w:pStyle w:val="6"/>
        <w:keepNext w:val="0"/>
        <w:keepLines w:val="0"/>
        <w:pageBreakBefore w:val="0"/>
        <w:kinsoku/>
        <w:wordWrap/>
        <w:overflowPunct/>
        <w:topLinePunct w:val="0"/>
        <w:bidi w:val="0"/>
        <w:adjustRightInd/>
        <w:spacing w:line="360" w:lineRule="auto"/>
        <w:textAlignment w:val="auto"/>
        <w:rPr>
          <w:rFonts w:cs="宋体"/>
          <w:sz w:val="21"/>
          <w:szCs w:val="21"/>
        </w:rPr>
      </w:pPr>
    </w:p>
    <w:tbl>
      <w:tblPr>
        <w:tblStyle w:val="19"/>
        <w:tblW w:w="962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59"/>
        <w:gridCol w:w="694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Pr>
          <w:p>
            <w:pPr>
              <w:keepNext w:val="0"/>
              <w:keepLines w:val="0"/>
              <w:pageBreakBefore w:val="0"/>
              <w:kinsoku/>
              <w:wordWrap/>
              <w:overflowPunct/>
              <w:topLinePunct w:val="0"/>
              <w:bidi w:val="0"/>
              <w:adjustRightInd/>
              <w:spacing w:line="360" w:lineRule="auto"/>
              <w:jc w:val="center"/>
              <w:textAlignment w:val="auto"/>
              <w:rPr>
                <w:rFonts w:ascii="宋体" w:hAnsi="宋体" w:cs="宋体"/>
                <w:b/>
                <w:sz w:val="18"/>
                <w:szCs w:val="18"/>
              </w:rPr>
            </w:pPr>
            <w:r>
              <w:rPr>
                <w:rFonts w:hint="eastAsia" w:ascii="宋体" w:hAnsi="宋体" w:cs="宋体"/>
                <w:b/>
                <w:sz w:val="18"/>
                <w:szCs w:val="18"/>
              </w:rPr>
              <w:t>序号</w:t>
            </w:r>
          </w:p>
        </w:tc>
        <w:tc>
          <w:tcPr>
            <w:tcW w:w="1959" w:type="dxa"/>
          </w:tcPr>
          <w:p>
            <w:pPr>
              <w:keepNext w:val="0"/>
              <w:keepLines w:val="0"/>
              <w:pageBreakBefore w:val="0"/>
              <w:kinsoku/>
              <w:wordWrap/>
              <w:overflowPunct/>
              <w:topLinePunct w:val="0"/>
              <w:bidi w:val="0"/>
              <w:adjustRightInd/>
              <w:spacing w:line="360" w:lineRule="auto"/>
              <w:jc w:val="center"/>
              <w:textAlignment w:val="auto"/>
              <w:rPr>
                <w:rFonts w:ascii="宋体" w:hAnsi="宋体" w:cs="宋体"/>
                <w:b/>
                <w:sz w:val="18"/>
                <w:szCs w:val="18"/>
              </w:rPr>
            </w:pPr>
            <w:r>
              <w:rPr>
                <w:rFonts w:hint="eastAsia" w:ascii="宋体" w:hAnsi="宋体" w:cs="宋体"/>
                <w:b/>
                <w:sz w:val="18"/>
                <w:szCs w:val="18"/>
              </w:rPr>
              <w:t>审查项目</w:t>
            </w:r>
          </w:p>
        </w:tc>
        <w:tc>
          <w:tcPr>
            <w:tcW w:w="6945" w:type="dxa"/>
          </w:tcPr>
          <w:p>
            <w:pPr>
              <w:keepNext w:val="0"/>
              <w:keepLines w:val="0"/>
              <w:pageBreakBefore w:val="0"/>
              <w:kinsoku/>
              <w:wordWrap/>
              <w:overflowPunct/>
              <w:topLinePunct w:val="0"/>
              <w:bidi w:val="0"/>
              <w:adjustRightInd/>
              <w:spacing w:line="360" w:lineRule="auto"/>
              <w:jc w:val="center"/>
              <w:textAlignment w:val="auto"/>
              <w:rPr>
                <w:rFonts w:ascii="宋体" w:hAnsi="宋体" w:cs="宋体"/>
                <w:b/>
                <w:sz w:val="18"/>
                <w:szCs w:val="18"/>
              </w:rPr>
            </w:pPr>
            <w:r>
              <w:rPr>
                <w:rFonts w:hint="eastAsia" w:ascii="宋体" w:hAnsi="宋体" w:cs="宋体"/>
                <w:b/>
                <w:sz w:val="18"/>
                <w:szCs w:val="18"/>
              </w:rPr>
              <w:t>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keepNext w:val="0"/>
              <w:keepLines w:val="0"/>
              <w:pageBreakBefore w:val="0"/>
              <w:kinsoku/>
              <w:wordWrap/>
              <w:overflowPunct/>
              <w:topLinePunct w:val="0"/>
              <w:bidi w:val="0"/>
              <w:adjustRightInd/>
              <w:spacing w:line="360" w:lineRule="auto"/>
              <w:jc w:val="center"/>
              <w:textAlignment w:val="auto"/>
              <w:rPr>
                <w:rFonts w:ascii="宋体" w:hAnsi="宋体" w:cs="宋体"/>
                <w:sz w:val="18"/>
                <w:szCs w:val="18"/>
              </w:rPr>
            </w:pPr>
            <w:r>
              <w:rPr>
                <w:rFonts w:hint="eastAsia" w:ascii="宋体" w:hAnsi="宋体" w:cs="宋体"/>
                <w:sz w:val="18"/>
                <w:szCs w:val="18"/>
              </w:rPr>
              <w:t>1</w:t>
            </w:r>
          </w:p>
        </w:tc>
        <w:tc>
          <w:tcPr>
            <w:tcW w:w="1959"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供应商名称</w:t>
            </w:r>
          </w:p>
        </w:tc>
        <w:tc>
          <w:tcPr>
            <w:tcW w:w="6945" w:type="dxa"/>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与有效的企业法人营业执照（或事业法人登记证）、其他组织（个体工商户）的营业执照或者民办非企业单位登记证书复印件一致。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keepNext w:val="0"/>
              <w:keepLines w:val="0"/>
              <w:pageBreakBefore w:val="0"/>
              <w:kinsoku/>
              <w:wordWrap/>
              <w:overflowPunct/>
              <w:topLinePunct w:val="0"/>
              <w:bidi w:val="0"/>
              <w:adjustRightInd/>
              <w:spacing w:line="360" w:lineRule="auto"/>
              <w:jc w:val="center"/>
              <w:textAlignment w:val="auto"/>
              <w:rPr>
                <w:rFonts w:ascii="宋体" w:hAnsi="宋体" w:cs="宋体"/>
                <w:sz w:val="18"/>
                <w:szCs w:val="18"/>
              </w:rPr>
            </w:pPr>
            <w:r>
              <w:rPr>
                <w:rFonts w:hint="eastAsia" w:ascii="宋体" w:hAnsi="宋体" w:cs="宋体"/>
                <w:sz w:val="18"/>
                <w:szCs w:val="18"/>
              </w:rPr>
              <w:t>2</w:t>
            </w:r>
          </w:p>
        </w:tc>
        <w:tc>
          <w:tcPr>
            <w:tcW w:w="1959"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投标有效期</w:t>
            </w:r>
          </w:p>
        </w:tc>
        <w:tc>
          <w:tcPr>
            <w:tcW w:w="6945"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满足招标文件要求。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keepNext w:val="0"/>
              <w:keepLines w:val="0"/>
              <w:pageBreakBefore w:val="0"/>
              <w:kinsoku/>
              <w:wordWrap/>
              <w:overflowPunct/>
              <w:topLinePunct w:val="0"/>
              <w:bidi w:val="0"/>
              <w:adjustRightInd/>
              <w:spacing w:line="360" w:lineRule="auto"/>
              <w:jc w:val="center"/>
              <w:textAlignment w:val="auto"/>
              <w:rPr>
                <w:rFonts w:ascii="宋体" w:hAnsi="宋体" w:cs="宋体"/>
                <w:sz w:val="18"/>
                <w:szCs w:val="18"/>
              </w:rPr>
            </w:pPr>
            <w:r>
              <w:rPr>
                <w:rFonts w:hint="eastAsia" w:ascii="宋体" w:hAnsi="宋体" w:cs="宋体"/>
                <w:sz w:val="18"/>
                <w:szCs w:val="18"/>
              </w:rPr>
              <w:t>3</w:t>
            </w:r>
          </w:p>
        </w:tc>
        <w:tc>
          <w:tcPr>
            <w:tcW w:w="1959"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法定代表人身份证明和法定代表人授权书</w:t>
            </w:r>
          </w:p>
        </w:tc>
        <w:tc>
          <w:tcPr>
            <w:tcW w:w="6945"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投标文件由法定代表人签字的，提供“法定代表人身份证明”；</w:t>
            </w:r>
          </w:p>
          <w:p>
            <w:pPr>
              <w:keepNext w:val="0"/>
              <w:keepLines w:val="0"/>
              <w:pageBreakBefore w:val="0"/>
              <w:kinsoku/>
              <w:wordWrap/>
              <w:overflowPunct/>
              <w:topLinePunct w:val="0"/>
              <w:bidi w:val="0"/>
              <w:adjustRightInd/>
              <w:spacing w:line="360" w:lineRule="auto"/>
              <w:textAlignment w:val="auto"/>
              <w:rPr>
                <w:rFonts w:hint="eastAsia" w:ascii="宋体" w:hAnsi="宋体" w:eastAsia="宋体" w:cs="宋体"/>
                <w:sz w:val="18"/>
                <w:szCs w:val="18"/>
                <w:lang w:eastAsia="zh-CN"/>
              </w:rPr>
            </w:pPr>
            <w:r>
              <w:rPr>
                <w:rFonts w:hint="eastAsia" w:ascii="宋体" w:hAnsi="宋体" w:cs="宋体"/>
                <w:sz w:val="18"/>
                <w:szCs w:val="18"/>
              </w:rPr>
              <w:t>投标文件由授权代表签字的，提供“法定代表人身份证明”和“法定代表人授权书”。</w:t>
            </w:r>
            <w:r>
              <w:rPr>
                <w:rFonts w:hint="eastAsia" w:ascii="宋体" w:hAnsi="宋体" w:cs="宋体"/>
                <w:sz w:val="18"/>
                <w:szCs w:val="18"/>
                <w:lang w:eastAsia="zh-CN"/>
              </w:rPr>
              <w:t>【</w:t>
            </w:r>
            <w:r>
              <w:rPr>
                <w:rFonts w:hint="eastAsia" w:ascii="宋体" w:hAnsi="宋体" w:cs="宋体"/>
                <w:sz w:val="18"/>
                <w:szCs w:val="18"/>
                <w:lang w:val="en-US" w:eastAsia="zh-CN"/>
              </w:rPr>
              <w:t>格式见招标文件第六章</w:t>
            </w:r>
            <w:r>
              <w:rPr>
                <w:rFonts w:hint="eastAsia" w:ascii="宋体" w:hAnsi="宋体" w:cs="宋体"/>
                <w:sz w:val="18"/>
                <w:szCs w:val="18"/>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keepNext w:val="0"/>
              <w:keepLines w:val="0"/>
              <w:pageBreakBefore w:val="0"/>
              <w:kinsoku/>
              <w:wordWrap/>
              <w:overflowPunct/>
              <w:topLinePunct w:val="0"/>
              <w:bidi w:val="0"/>
              <w:adjustRightInd/>
              <w:spacing w:line="360" w:lineRule="auto"/>
              <w:jc w:val="center"/>
              <w:textAlignment w:val="auto"/>
              <w:rPr>
                <w:rFonts w:ascii="宋体" w:hAnsi="宋体" w:cs="宋体"/>
                <w:sz w:val="18"/>
                <w:szCs w:val="18"/>
              </w:rPr>
            </w:pPr>
            <w:r>
              <w:rPr>
                <w:rFonts w:hint="eastAsia" w:ascii="宋体" w:hAnsi="宋体" w:cs="宋体"/>
                <w:sz w:val="18"/>
                <w:szCs w:val="18"/>
              </w:rPr>
              <w:t>4</w:t>
            </w:r>
          </w:p>
        </w:tc>
        <w:tc>
          <w:tcPr>
            <w:tcW w:w="1959"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投标文件的签署盖章</w:t>
            </w:r>
          </w:p>
        </w:tc>
        <w:tc>
          <w:tcPr>
            <w:tcW w:w="6945"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sz w:val="18"/>
                <w:szCs w:val="18"/>
              </w:rPr>
              <w:t>符合招标文件的要求</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keepNext w:val="0"/>
              <w:keepLines w:val="0"/>
              <w:pageBreakBefore w:val="0"/>
              <w:kinsoku/>
              <w:wordWrap/>
              <w:overflowPunct/>
              <w:topLinePunct w:val="0"/>
              <w:bidi w:val="0"/>
              <w:adjustRightInd/>
              <w:spacing w:line="360" w:lineRule="auto"/>
              <w:jc w:val="center"/>
              <w:textAlignment w:val="auto"/>
              <w:rPr>
                <w:rFonts w:ascii="宋体" w:hAnsi="宋体" w:cs="宋体"/>
                <w:sz w:val="18"/>
                <w:szCs w:val="18"/>
              </w:rPr>
            </w:pPr>
            <w:r>
              <w:rPr>
                <w:rFonts w:hint="eastAsia" w:ascii="宋体" w:hAnsi="宋体" w:cs="宋体"/>
                <w:sz w:val="18"/>
                <w:szCs w:val="18"/>
              </w:rPr>
              <w:t>5</w:t>
            </w:r>
          </w:p>
        </w:tc>
        <w:tc>
          <w:tcPr>
            <w:tcW w:w="1959"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股东成员组成说明书</w:t>
            </w:r>
          </w:p>
        </w:tc>
        <w:tc>
          <w:tcPr>
            <w:tcW w:w="6945" w:type="dxa"/>
            <w:vAlign w:val="center"/>
          </w:tcPr>
          <w:p>
            <w:pPr>
              <w:keepNext w:val="0"/>
              <w:keepLines w:val="0"/>
              <w:pageBreakBefore w:val="0"/>
              <w:kinsoku/>
              <w:wordWrap/>
              <w:overflowPunct/>
              <w:topLinePunct w:val="0"/>
              <w:bidi w:val="0"/>
              <w:adjustRightInd/>
              <w:spacing w:line="360" w:lineRule="auto"/>
              <w:textAlignment w:val="auto"/>
              <w:rPr>
                <w:sz w:val="18"/>
                <w:szCs w:val="18"/>
              </w:rPr>
            </w:pPr>
            <w:r>
              <w:rPr>
                <w:rFonts w:hint="eastAsia" w:ascii="宋体" w:hAnsi="宋体" w:cs="宋体"/>
                <w:sz w:val="18"/>
                <w:szCs w:val="18"/>
              </w:rPr>
              <w:t>股东成员组成说明书（供应商须提供股东成员组成说明书（格式自拟），加盖供应商公章；或从“国家企业信用信息公示系统”、“宁波市企业信用网”等相关网站里打印有股东成员名称的相关页面，加盖供应商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20" w:type="dxa"/>
            <w:vAlign w:val="center"/>
          </w:tcPr>
          <w:p>
            <w:pPr>
              <w:keepNext w:val="0"/>
              <w:keepLines w:val="0"/>
              <w:pageBreakBefore w:val="0"/>
              <w:kinsoku/>
              <w:wordWrap/>
              <w:overflowPunct/>
              <w:topLinePunct w:val="0"/>
              <w:bidi w:val="0"/>
              <w:adjustRightInd/>
              <w:spacing w:line="360" w:lineRule="auto"/>
              <w:jc w:val="center"/>
              <w:textAlignment w:val="auto"/>
              <w:rPr>
                <w:rFonts w:ascii="宋体" w:hAnsi="宋体" w:cs="宋体"/>
                <w:sz w:val="18"/>
                <w:szCs w:val="18"/>
              </w:rPr>
            </w:pPr>
            <w:r>
              <w:rPr>
                <w:rFonts w:hint="eastAsia" w:ascii="宋体" w:hAnsi="宋体" w:cs="宋体"/>
                <w:sz w:val="18"/>
                <w:szCs w:val="18"/>
              </w:rPr>
              <w:t>6</w:t>
            </w:r>
          </w:p>
        </w:tc>
        <w:tc>
          <w:tcPr>
            <w:tcW w:w="1959" w:type="dxa"/>
            <w:vMerge w:val="restart"/>
            <w:vAlign w:val="center"/>
          </w:tcPr>
          <w:p>
            <w:pPr>
              <w:keepNext w:val="0"/>
              <w:keepLines w:val="0"/>
              <w:pageBreakBefore w:val="0"/>
              <w:kinsoku/>
              <w:wordWrap/>
              <w:overflowPunct/>
              <w:topLinePunct w:val="0"/>
              <w:bidi w:val="0"/>
              <w:adjustRightInd/>
              <w:spacing w:line="360" w:lineRule="auto"/>
              <w:jc w:val="center"/>
              <w:textAlignment w:val="auto"/>
              <w:rPr>
                <w:rFonts w:ascii="宋体" w:hAnsi="宋体" w:cs="宋体"/>
                <w:sz w:val="18"/>
                <w:szCs w:val="18"/>
              </w:rPr>
            </w:pPr>
            <w:r>
              <w:rPr>
                <w:rFonts w:hint="eastAsia" w:ascii="宋体" w:hAnsi="宋体" w:cs="宋体"/>
                <w:sz w:val="18"/>
                <w:szCs w:val="18"/>
              </w:rPr>
              <w:t>其他</w:t>
            </w:r>
          </w:p>
        </w:tc>
        <w:tc>
          <w:tcPr>
            <w:tcW w:w="6945"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对同个子包或项目不允许提供两个投标方案。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20" w:type="dxa"/>
            <w:vAlign w:val="center"/>
          </w:tcPr>
          <w:p>
            <w:pPr>
              <w:keepNext w:val="0"/>
              <w:keepLines w:val="0"/>
              <w:pageBreakBefore w:val="0"/>
              <w:kinsoku/>
              <w:wordWrap/>
              <w:overflowPunct/>
              <w:topLinePunct w:val="0"/>
              <w:bidi w:val="0"/>
              <w:adjustRightInd/>
              <w:spacing w:line="360" w:lineRule="auto"/>
              <w:jc w:val="center"/>
              <w:textAlignment w:val="auto"/>
              <w:rPr>
                <w:rFonts w:ascii="宋体" w:hAnsi="宋体" w:cs="宋体"/>
                <w:sz w:val="18"/>
                <w:szCs w:val="18"/>
              </w:rPr>
            </w:pPr>
            <w:r>
              <w:rPr>
                <w:rFonts w:hint="eastAsia" w:ascii="宋体" w:hAnsi="宋体" w:cs="宋体"/>
                <w:sz w:val="18"/>
                <w:szCs w:val="18"/>
              </w:rPr>
              <w:t>7</w:t>
            </w:r>
          </w:p>
        </w:tc>
        <w:tc>
          <w:tcPr>
            <w:tcW w:w="1959" w:type="dxa"/>
            <w:vMerge w:val="continue"/>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p>
        </w:tc>
        <w:tc>
          <w:tcPr>
            <w:tcW w:w="6945"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不允许出现与招标文件有重大偏离的投标文件。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20" w:type="dxa"/>
            <w:vAlign w:val="center"/>
          </w:tcPr>
          <w:p>
            <w:pPr>
              <w:keepNext w:val="0"/>
              <w:keepLines w:val="0"/>
              <w:pageBreakBefore w:val="0"/>
              <w:kinsoku/>
              <w:wordWrap/>
              <w:overflowPunct/>
              <w:topLinePunct w:val="0"/>
              <w:bidi w:val="0"/>
              <w:adjustRightInd/>
              <w:spacing w:line="360" w:lineRule="auto"/>
              <w:jc w:val="center"/>
              <w:textAlignment w:val="auto"/>
              <w:rPr>
                <w:rFonts w:ascii="宋体" w:hAnsi="宋体" w:cs="宋体"/>
                <w:sz w:val="18"/>
                <w:szCs w:val="18"/>
              </w:rPr>
            </w:pPr>
            <w:r>
              <w:rPr>
                <w:rFonts w:hint="eastAsia" w:ascii="宋体" w:hAnsi="宋体" w:cs="宋体"/>
                <w:sz w:val="18"/>
                <w:szCs w:val="18"/>
              </w:rPr>
              <w:t>8</w:t>
            </w:r>
          </w:p>
        </w:tc>
        <w:tc>
          <w:tcPr>
            <w:tcW w:w="1959" w:type="dxa"/>
            <w:vMerge w:val="continue"/>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p>
        </w:tc>
        <w:tc>
          <w:tcPr>
            <w:tcW w:w="6945"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供应商不得在投标活动中提供任何虚假材料或从事其他违法活动的。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20" w:type="dxa"/>
            <w:vAlign w:val="center"/>
          </w:tcPr>
          <w:p>
            <w:pPr>
              <w:keepNext w:val="0"/>
              <w:keepLines w:val="0"/>
              <w:pageBreakBefore w:val="0"/>
              <w:kinsoku/>
              <w:wordWrap/>
              <w:overflowPunct/>
              <w:topLinePunct w:val="0"/>
              <w:bidi w:val="0"/>
              <w:adjustRightInd/>
              <w:spacing w:line="360" w:lineRule="auto"/>
              <w:jc w:val="center"/>
              <w:textAlignment w:val="auto"/>
              <w:rPr>
                <w:rFonts w:ascii="宋体" w:hAnsi="宋体" w:cs="宋体"/>
                <w:sz w:val="18"/>
                <w:szCs w:val="18"/>
              </w:rPr>
            </w:pPr>
            <w:r>
              <w:rPr>
                <w:rFonts w:hint="eastAsia" w:ascii="宋体" w:hAnsi="宋体" w:cs="宋体"/>
                <w:sz w:val="18"/>
                <w:szCs w:val="18"/>
              </w:rPr>
              <w:t>9</w:t>
            </w:r>
          </w:p>
        </w:tc>
        <w:tc>
          <w:tcPr>
            <w:tcW w:w="1959" w:type="dxa"/>
            <w:vMerge w:val="continue"/>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p>
        </w:tc>
        <w:tc>
          <w:tcPr>
            <w:tcW w:w="6945" w:type="dxa"/>
            <w:vAlign w:val="center"/>
          </w:tcPr>
          <w:p>
            <w:pPr>
              <w:keepNext w:val="0"/>
              <w:keepLines w:val="0"/>
              <w:pageBreakBefore w:val="0"/>
              <w:kinsoku/>
              <w:wordWrap/>
              <w:overflowPunct/>
              <w:topLinePunct w:val="0"/>
              <w:bidi w:val="0"/>
              <w:adjustRightInd/>
              <w:spacing w:line="360" w:lineRule="auto"/>
              <w:textAlignment w:val="auto"/>
              <w:rPr>
                <w:rFonts w:hint="eastAsia" w:ascii="宋体" w:hAnsi="宋体" w:eastAsia="宋体" w:cs="宋体"/>
                <w:sz w:val="18"/>
                <w:szCs w:val="18"/>
                <w:lang w:eastAsia="zh-CN"/>
              </w:rPr>
            </w:pPr>
            <w:r>
              <w:rPr>
                <w:rFonts w:hint="eastAsia" w:ascii="宋体" w:hAnsi="宋体" w:cs="宋体"/>
                <w:sz w:val="18"/>
                <w:szCs w:val="18"/>
              </w:rPr>
              <w:t>评标委员会经过审查，未认定供应商虚假应标、串通投标的</w:t>
            </w:r>
            <w:r>
              <w:rPr>
                <w:rFonts w:hint="eastAsia" w:ascii="宋体" w:hAnsi="宋体" w:cs="宋体"/>
                <w:sz w:val="18"/>
                <w:szCs w:val="18"/>
                <w:lang w:eastAsia="zh-CN"/>
              </w:rPr>
              <w:t>。</w:t>
            </w:r>
          </w:p>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sz w:val="18"/>
                <w:szCs w:val="18"/>
              </w:rPr>
            </w:pPr>
            <w:r>
              <w:rPr>
                <w:rFonts w:hint="eastAsia" w:ascii="宋体" w:hAnsi="宋体" w:cs="宋体"/>
                <w:sz w:val="18"/>
                <w:szCs w:val="18"/>
              </w:rPr>
              <w:t>有下列情形之一的，视为供应商串通投标：</w:t>
            </w:r>
          </w:p>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sz w:val="18"/>
                <w:szCs w:val="18"/>
              </w:rPr>
            </w:pPr>
            <w:r>
              <w:rPr>
                <w:rFonts w:hint="eastAsia" w:ascii="宋体" w:hAnsi="宋体" w:cs="宋体"/>
                <w:sz w:val="18"/>
                <w:szCs w:val="18"/>
              </w:rPr>
              <w:t>（1）不同供应商的投标文件由同一单位或者个人编制；</w:t>
            </w:r>
          </w:p>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sz w:val="18"/>
                <w:szCs w:val="18"/>
              </w:rPr>
            </w:pPr>
            <w:r>
              <w:rPr>
                <w:rFonts w:hint="eastAsia" w:ascii="宋体" w:hAnsi="宋体" w:cs="宋体"/>
                <w:sz w:val="18"/>
                <w:szCs w:val="18"/>
              </w:rPr>
              <w:t>（2）不同供应商委托同一单位或者个人办理投标事宜；</w:t>
            </w:r>
          </w:p>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sz w:val="18"/>
                <w:szCs w:val="18"/>
              </w:rPr>
            </w:pPr>
            <w:r>
              <w:rPr>
                <w:rFonts w:hint="eastAsia" w:ascii="宋体" w:hAnsi="宋体" w:cs="宋体"/>
                <w:sz w:val="18"/>
                <w:szCs w:val="18"/>
              </w:rPr>
              <w:t>（3）不同供应商的投标文件载明的项目管理成员或者联系人员为同一人；</w:t>
            </w:r>
          </w:p>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sz w:val="18"/>
                <w:szCs w:val="18"/>
              </w:rPr>
            </w:pPr>
            <w:r>
              <w:rPr>
                <w:rFonts w:hint="eastAsia" w:ascii="宋体" w:hAnsi="宋体" w:cs="宋体"/>
                <w:sz w:val="18"/>
                <w:szCs w:val="18"/>
              </w:rPr>
              <w:t>（4）不同供应商的投标文件异常一致或者投标报价呈规律性差异；</w:t>
            </w:r>
          </w:p>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sz w:val="18"/>
                <w:szCs w:val="18"/>
              </w:rPr>
            </w:pPr>
            <w:r>
              <w:rPr>
                <w:rFonts w:hint="eastAsia" w:ascii="宋体" w:hAnsi="宋体" w:cs="宋体"/>
                <w:sz w:val="18"/>
                <w:szCs w:val="18"/>
              </w:rPr>
              <w:t>（5）不同供应商的投标文件相互混装；</w:t>
            </w:r>
          </w:p>
          <w:p>
            <w:pPr>
              <w:keepNext w:val="0"/>
              <w:keepLines w:val="0"/>
              <w:pageBreakBefore w:val="0"/>
              <w:widowControl/>
              <w:kinsoku/>
              <w:wordWrap/>
              <w:overflowPunct/>
              <w:topLinePunct w:val="0"/>
              <w:bidi w:val="0"/>
              <w:adjustRightInd/>
              <w:spacing w:line="360" w:lineRule="auto"/>
              <w:jc w:val="left"/>
              <w:textAlignment w:val="auto"/>
            </w:pPr>
            <w:r>
              <w:rPr>
                <w:rFonts w:hint="eastAsia" w:ascii="宋体" w:hAnsi="宋体" w:cs="宋体"/>
                <w:sz w:val="18"/>
                <w:szCs w:val="18"/>
              </w:rPr>
              <w:t>（6)</w:t>
            </w:r>
            <w:r>
              <w:rPr>
                <w:rFonts w:ascii="宋体" w:hAnsi="宋体" w:cs="宋体"/>
                <w:sz w:val="18"/>
                <w:szCs w:val="18"/>
              </w:rPr>
              <w:t xml:space="preserve"> </w:t>
            </w:r>
            <w:r>
              <w:rPr>
                <w:rFonts w:hint="eastAsia" w:ascii="宋体" w:hAnsi="宋体" w:cs="宋体"/>
                <w:sz w:val="18"/>
                <w:szCs w:val="18"/>
              </w:rPr>
              <w:t>单位负责人为同一人或者存在直接控股、管理关系的不同供应商,参加同一合同项下的政府采购活动。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20" w:type="dxa"/>
            <w:vAlign w:val="center"/>
          </w:tcPr>
          <w:p>
            <w:pPr>
              <w:keepNext w:val="0"/>
              <w:keepLines w:val="0"/>
              <w:pageBreakBefore w:val="0"/>
              <w:kinsoku/>
              <w:wordWrap/>
              <w:overflowPunct/>
              <w:topLinePunct w:val="0"/>
              <w:bidi w:val="0"/>
              <w:adjustRightInd/>
              <w:spacing w:line="360" w:lineRule="auto"/>
              <w:jc w:val="center"/>
              <w:textAlignment w:val="auto"/>
              <w:rPr>
                <w:rFonts w:ascii="宋体" w:hAnsi="宋体" w:cs="宋体"/>
                <w:sz w:val="18"/>
                <w:szCs w:val="18"/>
              </w:rPr>
            </w:pPr>
            <w:r>
              <w:rPr>
                <w:rFonts w:hint="eastAsia" w:ascii="宋体" w:hAnsi="宋体" w:cs="宋体"/>
                <w:sz w:val="18"/>
                <w:szCs w:val="18"/>
              </w:rPr>
              <w:t>10</w:t>
            </w:r>
          </w:p>
        </w:tc>
        <w:tc>
          <w:tcPr>
            <w:tcW w:w="1959" w:type="dxa"/>
            <w:vMerge w:val="continue"/>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p>
        </w:tc>
        <w:tc>
          <w:tcPr>
            <w:tcW w:w="6945"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符合法律、法规和招标文件中规定的其他实质性要求（实质性要求招标文件中“▲”标记）。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20" w:type="dxa"/>
            <w:vAlign w:val="center"/>
          </w:tcPr>
          <w:p>
            <w:pPr>
              <w:keepNext w:val="0"/>
              <w:keepLines w:val="0"/>
              <w:pageBreakBefore w:val="0"/>
              <w:kinsoku/>
              <w:wordWrap/>
              <w:overflowPunct/>
              <w:topLinePunct w:val="0"/>
              <w:bidi w:val="0"/>
              <w:adjustRightInd/>
              <w:spacing w:line="360" w:lineRule="auto"/>
              <w:jc w:val="center"/>
              <w:textAlignment w:val="auto"/>
              <w:rPr>
                <w:rFonts w:ascii="宋体" w:hAnsi="宋体" w:cs="宋体"/>
                <w:sz w:val="18"/>
                <w:szCs w:val="18"/>
              </w:rPr>
            </w:pPr>
            <w:r>
              <w:rPr>
                <w:rFonts w:hint="eastAsia" w:ascii="宋体" w:hAnsi="宋体" w:cs="宋体"/>
                <w:sz w:val="18"/>
                <w:szCs w:val="18"/>
              </w:rPr>
              <w:t>11</w:t>
            </w:r>
          </w:p>
        </w:tc>
        <w:tc>
          <w:tcPr>
            <w:tcW w:w="1959"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p>
        </w:tc>
        <w:tc>
          <w:tcPr>
            <w:tcW w:w="6945"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不同投标人的投标文件出自同一终端设备或在相同Internet主机分配地址（相同IP地址）网上报名投标的作无效标处理。</w:t>
            </w:r>
            <w:r>
              <w:rPr>
                <w:rFonts w:hint="eastAsia" w:ascii="宋体" w:hAnsi="宋体" w:cs="宋体"/>
                <w:b/>
                <w:bCs/>
                <w:sz w:val="18"/>
                <w:szCs w:val="18"/>
              </w:rPr>
              <w:t>（需提供承诺书，格式自拟）</w:t>
            </w:r>
          </w:p>
        </w:tc>
      </w:tr>
    </w:tbl>
    <w:p>
      <w:pPr>
        <w:pStyle w:val="7"/>
        <w:keepNext w:val="0"/>
        <w:keepLines w:val="0"/>
        <w:pageBreakBefore w:val="0"/>
        <w:kinsoku/>
        <w:wordWrap/>
        <w:overflowPunct/>
        <w:topLinePunct w:val="0"/>
        <w:bidi w:val="0"/>
        <w:adjustRightInd/>
        <w:spacing w:line="360" w:lineRule="auto"/>
        <w:textAlignment w:val="auto"/>
        <w:rPr>
          <w:rFonts w:ascii="宋体" w:hAnsi="宋体" w:cs="宋体"/>
          <w:szCs w:val="21"/>
        </w:rPr>
      </w:pPr>
    </w:p>
    <w:p>
      <w:pPr>
        <w:keepNext w:val="0"/>
        <w:keepLines w:val="0"/>
        <w:pageBreakBefore w:val="0"/>
        <w:kinsoku/>
        <w:wordWrap/>
        <w:overflowPunct/>
        <w:topLinePunct w:val="0"/>
        <w:bidi w:val="0"/>
        <w:adjustRightInd/>
        <w:spacing w:line="360" w:lineRule="auto"/>
        <w:textAlignment w:val="auto"/>
        <w:rPr>
          <w:rFonts w:ascii="宋体" w:hAnsi="宋体" w:cs="宋体"/>
          <w:b/>
          <w:szCs w:val="21"/>
        </w:rPr>
      </w:pPr>
      <w:r>
        <w:rPr>
          <w:rFonts w:hint="eastAsia" w:ascii="宋体" w:hAnsi="宋体" w:cs="宋体"/>
          <w:b/>
          <w:szCs w:val="21"/>
        </w:rPr>
        <w:t>注：1、上述审查项目中，任意一项不符合的，符合性审查不合格。</w:t>
      </w:r>
    </w:p>
    <w:p>
      <w:pPr>
        <w:pStyle w:val="6"/>
        <w:keepNext w:val="0"/>
        <w:keepLines w:val="0"/>
        <w:pageBreakBefore w:val="0"/>
        <w:kinsoku/>
        <w:wordWrap/>
        <w:overflowPunct/>
        <w:topLinePunct w:val="0"/>
        <w:bidi w:val="0"/>
        <w:adjustRightInd/>
        <w:spacing w:line="360" w:lineRule="auto"/>
        <w:textAlignment w:val="auto"/>
      </w:pPr>
    </w:p>
    <w:p>
      <w:pPr>
        <w:keepNext w:val="0"/>
        <w:keepLines w:val="0"/>
        <w:pageBreakBefore w:val="0"/>
        <w:numPr>
          <w:ilvl w:val="0"/>
          <w:numId w:val="4"/>
        </w:numPr>
        <w:kinsoku/>
        <w:wordWrap/>
        <w:overflowPunct/>
        <w:topLinePunct w:val="0"/>
        <w:bidi w:val="0"/>
        <w:adjustRightInd/>
        <w:spacing w:line="360" w:lineRule="auto"/>
        <w:textAlignment w:val="auto"/>
        <w:rPr>
          <w:rFonts w:ascii="宋体" w:hAnsi="宋体" w:cs="宋体"/>
          <w:b/>
          <w:bCs/>
          <w:szCs w:val="21"/>
        </w:rPr>
      </w:pPr>
      <w:r>
        <w:rPr>
          <w:rFonts w:hint="eastAsia" w:ascii="宋体" w:hAnsi="宋体" w:cs="宋体"/>
          <w:b/>
          <w:bCs/>
          <w:szCs w:val="21"/>
        </w:rPr>
        <w:t>、</w:t>
      </w:r>
      <w:r>
        <w:rPr>
          <w:rFonts w:hint="eastAsia" w:ascii="宋体" w:hAnsi="宋体" w:cs="宋体"/>
          <w:szCs w:val="21"/>
        </w:rPr>
        <w:t>技术资信商务分评审</w:t>
      </w:r>
      <w:r>
        <w:rPr>
          <w:rFonts w:hint="eastAsia" w:ascii="宋体" w:hAnsi="宋体" w:cs="宋体"/>
          <w:b/>
          <w:bCs/>
          <w:szCs w:val="21"/>
        </w:rPr>
        <w:t>（适用标项1,2）</w:t>
      </w:r>
    </w:p>
    <w:p>
      <w:pPr>
        <w:keepNext w:val="0"/>
        <w:keepLines w:val="0"/>
        <w:pageBreakBefore w:val="0"/>
        <w:kinsoku/>
        <w:wordWrap/>
        <w:overflowPunct/>
        <w:topLinePunct w:val="0"/>
        <w:bidi w:val="0"/>
        <w:adjustRightInd/>
        <w:spacing w:line="360" w:lineRule="auto"/>
        <w:jc w:val="center"/>
        <w:textAlignment w:val="auto"/>
      </w:pPr>
      <w:r>
        <w:rPr>
          <w:rFonts w:hint="eastAsia" w:ascii="宋体" w:hAnsi="宋体" w:cs="宋体"/>
          <w:szCs w:val="21"/>
        </w:rPr>
        <w:t>技术资信商务分评审-附表3</w:t>
      </w:r>
    </w:p>
    <w:tbl>
      <w:tblPr>
        <w:tblStyle w:val="19"/>
        <w:tblW w:w="916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07"/>
        <w:gridCol w:w="7364"/>
        <w:gridCol w:w="68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21" w:hRule="atLeast"/>
        </w:trPr>
        <w:tc>
          <w:tcPr>
            <w:tcW w:w="1107" w:type="dxa"/>
            <w:tcBorders>
              <w:top w:val="double" w:color="auto" w:sz="4" w:space="0"/>
            </w:tcBorders>
            <w:vAlign w:val="center"/>
          </w:tcPr>
          <w:p>
            <w:pPr>
              <w:keepNext w:val="0"/>
              <w:keepLines w:val="0"/>
              <w:pageBreakBefore w:val="0"/>
              <w:widowControl/>
              <w:kinsoku/>
              <w:wordWrap/>
              <w:overflowPunct/>
              <w:topLinePunct w:val="0"/>
              <w:bidi w:val="0"/>
              <w:adjustRightInd/>
              <w:spacing w:line="360" w:lineRule="auto"/>
              <w:jc w:val="center"/>
              <w:textAlignment w:val="auto"/>
              <w:rPr>
                <w:rFonts w:ascii="宋体" w:hAnsi="宋体" w:cs="宋体"/>
                <w:b/>
                <w:bCs/>
                <w:kern w:val="0"/>
                <w:sz w:val="18"/>
                <w:szCs w:val="18"/>
              </w:rPr>
            </w:pPr>
            <w:r>
              <w:rPr>
                <w:rFonts w:hint="eastAsia" w:ascii="宋体" w:hAnsi="宋体" w:cs="宋体"/>
                <w:b/>
                <w:bCs/>
                <w:kern w:val="0"/>
                <w:sz w:val="18"/>
                <w:szCs w:val="18"/>
              </w:rPr>
              <w:t>考核项目</w:t>
            </w:r>
          </w:p>
        </w:tc>
        <w:tc>
          <w:tcPr>
            <w:tcW w:w="7364" w:type="dxa"/>
            <w:tcBorders>
              <w:top w:val="double" w:color="auto" w:sz="4" w:space="0"/>
            </w:tcBorders>
            <w:vAlign w:val="center"/>
          </w:tcPr>
          <w:p>
            <w:pPr>
              <w:keepNext w:val="0"/>
              <w:keepLines w:val="0"/>
              <w:pageBreakBefore w:val="0"/>
              <w:widowControl/>
              <w:kinsoku/>
              <w:wordWrap/>
              <w:overflowPunct/>
              <w:topLinePunct w:val="0"/>
              <w:bidi w:val="0"/>
              <w:adjustRightInd/>
              <w:spacing w:line="360" w:lineRule="auto"/>
              <w:jc w:val="center"/>
              <w:textAlignment w:val="auto"/>
              <w:rPr>
                <w:rFonts w:ascii="宋体" w:hAnsi="宋体" w:cs="宋体"/>
                <w:b/>
                <w:bCs/>
                <w:kern w:val="0"/>
                <w:sz w:val="18"/>
                <w:szCs w:val="18"/>
              </w:rPr>
            </w:pPr>
            <w:r>
              <w:rPr>
                <w:rFonts w:hint="eastAsia" w:ascii="宋体" w:hAnsi="宋体" w:cs="宋体"/>
                <w:b/>
                <w:bCs/>
                <w:kern w:val="0"/>
                <w:sz w:val="18"/>
                <w:szCs w:val="18"/>
              </w:rPr>
              <w:t>评分标准</w:t>
            </w:r>
          </w:p>
        </w:tc>
        <w:tc>
          <w:tcPr>
            <w:tcW w:w="689" w:type="dxa"/>
            <w:tcBorders>
              <w:top w:val="double" w:color="auto" w:sz="4" w:space="0"/>
            </w:tcBorders>
            <w:vAlign w:val="center"/>
          </w:tcPr>
          <w:p>
            <w:pPr>
              <w:keepNext w:val="0"/>
              <w:keepLines w:val="0"/>
              <w:pageBreakBefore w:val="0"/>
              <w:widowControl/>
              <w:kinsoku/>
              <w:wordWrap/>
              <w:overflowPunct/>
              <w:topLinePunct w:val="0"/>
              <w:bidi w:val="0"/>
              <w:adjustRightInd/>
              <w:spacing w:line="360" w:lineRule="auto"/>
              <w:jc w:val="center"/>
              <w:textAlignment w:val="auto"/>
              <w:rPr>
                <w:rFonts w:ascii="宋体" w:hAnsi="宋体" w:cs="宋体"/>
                <w:b/>
                <w:bCs/>
                <w:kern w:val="0"/>
                <w:sz w:val="18"/>
                <w:szCs w:val="18"/>
              </w:rPr>
            </w:pPr>
            <w:r>
              <w:rPr>
                <w:rFonts w:hint="eastAsia" w:ascii="宋体" w:hAnsi="宋体" w:cs="宋体"/>
                <w:b/>
                <w:bCs/>
                <w:kern w:val="0"/>
                <w:sz w:val="18"/>
                <w:szCs w:val="18"/>
              </w:rPr>
              <w:t>分值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67" w:hRule="atLeast"/>
        </w:trPr>
        <w:tc>
          <w:tcPr>
            <w:tcW w:w="1107" w:type="dxa"/>
            <w:vMerge w:val="restart"/>
            <w:vAlign w:val="center"/>
          </w:tcPr>
          <w:p>
            <w:pPr>
              <w:keepNext w:val="0"/>
              <w:keepLines w:val="0"/>
              <w:pageBreakBefore w:val="0"/>
              <w:widowControl/>
              <w:kinsoku/>
              <w:wordWrap/>
              <w:overflowPunct/>
              <w:topLinePunct w:val="0"/>
              <w:bidi w:val="0"/>
              <w:adjustRightInd/>
              <w:spacing w:line="360" w:lineRule="auto"/>
              <w:jc w:val="center"/>
              <w:textAlignment w:val="auto"/>
              <w:rPr>
                <w:rFonts w:ascii="宋体" w:hAnsi="宋体" w:cs="宋体"/>
                <w:kern w:val="0"/>
                <w:sz w:val="18"/>
                <w:szCs w:val="18"/>
              </w:rPr>
            </w:pPr>
            <w:r>
              <w:rPr>
                <w:rFonts w:hint="eastAsia" w:ascii="宋体" w:hAnsi="宋体" w:cs="宋体"/>
                <w:kern w:val="0"/>
                <w:sz w:val="18"/>
                <w:szCs w:val="18"/>
              </w:rPr>
              <w:t>技术资信商务分（85分）</w:t>
            </w:r>
          </w:p>
        </w:tc>
        <w:tc>
          <w:tcPr>
            <w:tcW w:w="7364"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color w:val="auto"/>
                <w:sz w:val="18"/>
                <w:szCs w:val="18"/>
                <w:highlight w:val="none"/>
              </w:rPr>
            </w:pPr>
            <w:r>
              <w:rPr>
                <w:rFonts w:hint="eastAsia" w:ascii="宋体" w:hAnsi="宋体" w:cs="宋体"/>
                <w:color w:val="auto"/>
                <w:sz w:val="18"/>
                <w:szCs w:val="18"/>
                <w:highlight w:val="none"/>
              </w:rPr>
              <w:t>1.运维方案（2</w:t>
            </w:r>
            <w:r>
              <w:rPr>
                <w:rFonts w:hint="eastAsia" w:ascii="宋体" w:hAnsi="宋体" w:cs="宋体"/>
                <w:color w:val="auto"/>
                <w:sz w:val="18"/>
                <w:szCs w:val="18"/>
                <w:highlight w:val="none"/>
                <w:lang w:val="en-US" w:eastAsia="zh-CN"/>
              </w:rPr>
              <w:t>5</w:t>
            </w:r>
            <w:r>
              <w:rPr>
                <w:rFonts w:hint="eastAsia" w:ascii="宋体" w:hAnsi="宋体" w:cs="宋体"/>
                <w:color w:val="auto"/>
                <w:sz w:val="18"/>
                <w:szCs w:val="18"/>
                <w:highlight w:val="none"/>
              </w:rPr>
              <w:t>分）：根据投标人提供的运维方案进行综合评议：</w:t>
            </w:r>
          </w:p>
          <w:p>
            <w:pPr>
              <w:keepNext w:val="0"/>
              <w:keepLines w:val="0"/>
              <w:pageBreakBefore w:val="0"/>
              <w:kinsoku/>
              <w:wordWrap/>
              <w:overflowPunct/>
              <w:topLinePunct w:val="0"/>
              <w:bidi w:val="0"/>
              <w:adjustRightInd/>
              <w:spacing w:line="360" w:lineRule="auto"/>
              <w:textAlignment w:val="auto"/>
              <w:rPr>
                <w:rFonts w:ascii="宋体" w:hAnsi="宋体" w:cs="宋体"/>
                <w:color w:val="auto"/>
                <w:sz w:val="18"/>
                <w:szCs w:val="18"/>
                <w:highlight w:val="none"/>
              </w:rPr>
            </w:pPr>
            <w:r>
              <w:rPr>
                <w:rFonts w:hint="eastAsia" w:ascii="宋体" w:hAnsi="宋体" w:cs="宋体"/>
                <w:color w:val="auto"/>
                <w:sz w:val="18"/>
                <w:szCs w:val="18"/>
                <w:highlight w:val="none"/>
              </w:rPr>
              <w:t>投标人所提供的运维方案科学合理，能很好的保证运维期内不因设备故障而影响原有各系统数据实时性和有效性，保证系统正常运转和所有原点位数据可正常使用的得</w:t>
            </w:r>
            <w:r>
              <w:rPr>
                <w:rFonts w:hint="eastAsia" w:ascii="宋体" w:hAnsi="宋体" w:cs="宋体"/>
                <w:color w:val="auto"/>
                <w:sz w:val="18"/>
                <w:szCs w:val="18"/>
                <w:highlight w:val="none"/>
                <w:lang w:val="en-US" w:eastAsia="zh-CN"/>
              </w:rPr>
              <w:t>18</w:t>
            </w:r>
            <w:r>
              <w:rPr>
                <w:rFonts w:hint="eastAsia" w:ascii="宋体" w:hAnsi="宋体" w:cs="宋体"/>
                <w:color w:val="auto"/>
                <w:sz w:val="18"/>
                <w:szCs w:val="18"/>
                <w:highlight w:val="none"/>
              </w:rPr>
              <w:t>.0-2</w:t>
            </w:r>
            <w:r>
              <w:rPr>
                <w:rFonts w:hint="eastAsia" w:ascii="宋体" w:hAnsi="宋体" w:cs="宋体"/>
                <w:color w:val="auto"/>
                <w:sz w:val="18"/>
                <w:szCs w:val="18"/>
                <w:highlight w:val="none"/>
                <w:lang w:val="en-US" w:eastAsia="zh-CN"/>
              </w:rPr>
              <w:t>5</w:t>
            </w:r>
            <w:r>
              <w:rPr>
                <w:rFonts w:hint="eastAsia" w:ascii="宋体" w:hAnsi="宋体" w:cs="宋体"/>
                <w:color w:val="auto"/>
                <w:sz w:val="18"/>
                <w:szCs w:val="18"/>
                <w:highlight w:val="none"/>
              </w:rPr>
              <w:t>.0分；投标人所提供的运维方案比较科学合理，能基本保证运维期内不因设备故障而影响原有各系统数据实时性和有效性，保证系统正常运转和所有原点位数据可正常使用的得8.0-</w:t>
            </w:r>
            <w:r>
              <w:rPr>
                <w:rFonts w:hint="eastAsia" w:ascii="宋体" w:hAnsi="宋体" w:cs="宋体"/>
                <w:color w:val="auto"/>
                <w:sz w:val="18"/>
                <w:szCs w:val="18"/>
                <w:highlight w:val="none"/>
                <w:lang w:val="en-US" w:eastAsia="zh-CN"/>
              </w:rPr>
              <w:t>17</w:t>
            </w:r>
            <w:r>
              <w:rPr>
                <w:rFonts w:hint="eastAsia" w:ascii="宋体" w:hAnsi="宋体" w:cs="宋体"/>
                <w:color w:val="auto"/>
                <w:sz w:val="18"/>
                <w:szCs w:val="18"/>
                <w:highlight w:val="none"/>
              </w:rPr>
              <w:t>.9分；投标人所提供的运维方案合理性科学性都有所欠缺，无法很好的保证运维期内不因设备故障而影响原有各系统数据实时性和有效性和系统正常运转和所有原点位数据可正常使用的得0.1-7.9分；投标人所提供的方案与本项目无关或缺项的得0分；</w:t>
            </w:r>
          </w:p>
        </w:tc>
        <w:tc>
          <w:tcPr>
            <w:tcW w:w="689" w:type="dxa"/>
            <w:vAlign w:val="center"/>
          </w:tcPr>
          <w:p>
            <w:pPr>
              <w:keepNext w:val="0"/>
              <w:keepLines w:val="0"/>
              <w:pageBreakBefore w:val="0"/>
              <w:widowControl/>
              <w:kinsoku/>
              <w:wordWrap/>
              <w:overflowPunct/>
              <w:topLinePunct w:val="0"/>
              <w:bidi w:val="0"/>
              <w:adjustRightInd/>
              <w:spacing w:line="360" w:lineRule="auto"/>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hint="eastAsia" w:ascii="宋体" w:hAnsi="宋体" w:cs="宋体"/>
                <w:color w:val="auto"/>
                <w:kern w:val="0"/>
                <w:sz w:val="18"/>
                <w:szCs w:val="18"/>
                <w:highlight w:val="none"/>
                <w:lang w:val="en-US" w:eastAsia="zh-CN"/>
              </w:rPr>
              <w:t>5</w:t>
            </w:r>
            <w:r>
              <w:rPr>
                <w:rFonts w:hint="eastAsia" w:ascii="宋体" w:hAnsi="宋体" w:cs="宋体"/>
                <w:color w:val="auto"/>
                <w:kern w:val="0"/>
                <w:sz w:val="18"/>
                <w:szCs w:val="18"/>
                <w:highlight w:val="none"/>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3" w:hRule="atLeast"/>
        </w:trPr>
        <w:tc>
          <w:tcPr>
            <w:tcW w:w="1107" w:type="dxa"/>
            <w:vMerge w:val="continue"/>
            <w:vAlign w:val="center"/>
          </w:tcPr>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kern w:val="0"/>
                <w:sz w:val="18"/>
                <w:szCs w:val="18"/>
              </w:rPr>
            </w:pPr>
          </w:p>
        </w:tc>
        <w:tc>
          <w:tcPr>
            <w:tcW w:w="7364"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color w:val="auto"/>
                <w:sz w:val="18"/>
                <w:szCs w:val="18"/>
              </w:rPr>
            </w:pPr>
            <w:r>
              <w:rPr>
                <w:rFonts w:hint="eastAsia" w:ascii="宋体" w:hAnsi="宋体" w:cs="宋体"/>
                <w:color w:val="auto"/>
                <w:sz w:val="18"/>
                <w:szCs w:val="18"/>
              </w:rPr>
              <w:t>2.项目实际情况（10分）：根据投标人对本项目的了解情况（如提供点位布控图，设备适用状况统计表，故障类别分析等）进行综合评议：</w:t>
            </w:r>
          </w:p>
          <w:p>
            <w:pPr>
              <w:keepNext w:val="0"/>
              <w:keepLines w:val="0"/>
              <w:pageBreakBefore w:val="0"/>
              <w:kinsoku/>
              <w:wordWrap/>
              <w:overflowPunct/>
              <w:topLinePunct w:val="0"/>
              <w:bidi w:val="0"/>
              <w:adjustRightInd/>
              <w:spacing w:line="360" w:lineRule="auto"/>
              <w:textAlignment w:val="auto"/>
              <w:rPr>
                <w:rFonts w:ascii="宋体" w:hAnsi="宋体" w:cs="宋体"/>
                <w:color w:val="auto"/>
                <w:sz w:val="18"/>
                <w:szCs w:val="18"/>
              </w:rPr>
            </w:pPr>
            <w:r>
              <w:rPr>
                <w:rFonts w:hint="eastAsia" w:ascii="宋体" w:hAnsi="宋体" w:cs="宋体"/>
                <w:color w:val="auto"/>
                <w:sz w:val="18"/>
                <w:szCs w:val="18"/>
              </w:rPr>
              <w:t>投标人对本项目系统现状进行深入了解和分析的得7.0-10.0分；投标人对本项目系统现状进行了较为详细的了解并做了相应分析的得3.0-6.9分；投标对本项目系统现状有初步的了解和分析的得0.1-2.9分；缺项的得0分；</w:t>
            </w:r>
          </w:p>
        </w:tc>
        <w:tc>
          <w:tcPr>
            <w:tcW w:w="689" w:type="dxa"/>
            <w:vAlign w:val="center"/>
          </w:tcPr>
          <w:p>
            <w:pPr>
              <w:keepNext w:val="0"/>
              <w:keepLines w:val="0"/>
              <w:pageBreakBefore w:val="0"/>
              <w:widowControl/>
              <w:kinsoku/>
              <w:wordWrap/>
              <w:overflowPunct/>
              <w:topLinePunct w:val="0"/>
              <w:bidi w:val="0"/>
              <w:adjustRightInd/>
              <w:spacing w:line="360" w:lineRule="auto"/>
              <w:textAlignment w:val="auto"/>
              <w:rPr>
                <w:rFonts w:ascii="宋体" w:hAnsi="宋体" w:cs="宋体"/>
                <w:color w:val="auto"/>
                <w:sz w:val="18"/>
                <w:szCs w:val="18"/>
              </w:rPr>
            </w:pPr>
            <w:r>
              <w:rPr>
                <w:rFonts w:hint="eastAsia" w:ascii="宋体" w:hAnsi="宋体" w:cs="宋体"/>
                <w:color w:val="auto"/>
                <w:sz w:val="18"/>
                <w:szCs w:val="18"/>
              </w:rPr>
              <w:t>10分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3" w:hRule="atLeast"/>
        </w:trPr>
        <w:tc>
          <w:tcPr>
            <w:tcW w:w="1107" w:type="dxa"/>
            <w:vMerge w:val="continue"/>
            <w:vAlign w:val="center"/>
          </w:tcPr>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kern w:val="0"/>
                <w:sz w:val="18"/>
                <w:szCs w:val="18"/>
              </w:rPr>
            </w:pPr>
          </w:p>
        </w:tc>
        <w:tc>
          <w:tcPr>
            <w:tcW w:w="7364" w:type="dxa"/>
            <w:vAlign w:val="center"/>
          </w:tcPr>
          <w:p>
            <w:pPr>
              <w:keepNext w:val="0"/>
              <w:keepLines w:val="0"/>
              <w:pageBreakBefore w:val="0"/>
              <w:numPr>
                <w:ilvl w:val="0"/>
                <w:numId w:val="0"/>
              </w:numPr>
              <w:kinsoku/>
              <w:wordWrap/>
              <w:overflowPunct/>
              <w:topLinePunct w:val="0"/>
              <w:bidi w:val="0"/>
              <w:adjustRightInd/>
              <w:spacing w:line="360" w:lineRule="auto"/>
              <w:textAlignment w:val="auto"/>
              <w:rPr>
                <w:rFonts w:ascii="宋体" w:hAnsi="宋体" w:cs="宋体"/>
                <w:color w:val="auto"/>
                <w:sz w:val="18"/>
                <w:szCs w:val="18"/>
              </w:rPr>
            </w:pPr>
            <w:r>
              <w:rPr>
                <w:rFonts w:hint="eastAsia" w:ascii="宋体" w:hAnsi="宋体" w:cs="宋体"/>
                <w:color w:val="auto"/>
                <w:sz w:val="18"/>
                <w:szCs w:val="18"/>
                <w:lang w:val="en-US" w:eastAsia="zh-CN"/>
              </w:rPr>
              <w:t>3.</w:t>
            </w:r>
            <w:r>
              <w:rPr>
                <w:rFonts w:hint="eastAsia" w:ascii="宋体" w:hAnsi="宋体" w:cs="宋体"/>
                <w:color w:val="auto"/>
                <w:sz w:val="18"/>
                <w:szCs w:val="18"/>
              </w:rPr>
              <w:t>服务方案（12分）：根据投标人提供的服务方案进行综合评议：</w:t>
            </w:r>
          </w:p>
          <w:p>
            <w:pPr>
              <w:keepNext w:val="0"/>
              <w:keepLines w:val="0"/>
              <w:pageBreakBefore w:val="0"/>
              <w:kinsoku/>
              <w:wordWrap/>
              <w:overflowPunct/>
              <w:topLinePunct w:val="0"/>
              <w:bidi w:val="0"/>
              <w:adjustRightInd/>
              <w:spacing w:line="360" w:lineRule="auto"/>
              <w:textAlignment w:val="auto"/>
              <w:rPr>
                <w:rFonts w:ascii="宋体" w:hAnsi="宋体" w:cs="宋体"/>
                <w:color w:val="auto"/>
                <w:sz w:val="18"/>
                <w:szCs w:val="18"/>
              </w:rPr>
            </w:pPr>
            <w:r>
              <w:rPr>
                <w:rFonts w:hint="eastAsia" w:ascii="宋体" w:hAnsi="宋体" w:cs="宋体"/>
                <w:color w:val="auto"/>
                <w:sz w:val="18"/>
                <w:szCs w:val="18"/>
              </w:rPr>
              <w:t>投标人提供的方案全面、科学合理，能很好的协助用户进行系统性能调整，重大活动现场保障、突发应急方案和措施的可实施性强，内容全面的得8.0-12.0分；投标人提供的方案较为全面、科学合理，能较好的协助用户进行系统性能调整，重大活动现场保障、突发应急方案和措施的可实施性较强，内容较为全面的得4.0-7.9分；投标人提供的方案较为粗略，无法较好的协助用户进行系统性能调整，重大活动现场保障、突发应急方案和措施的也较为粗略，实施性较弱的得0.1-3.9分；投标人所提供服务方案与本项目完全无关或缺项的得0分；</w:t>
            </w:r>
          </w:p>
        </w:tc>
        <w:tc>
          <w:tcPr>
            <w:tcW w:w="689" w:type="dxa"/>
            <w:vAlign w:val="center"/>
          </w:tcPr>
          <w:p>
            <w:pPr>
              <w:keepNext w:val="0"/>
              <w:keepLines w:val="0"/>
              <w:pageBreakBefore w:val="0"/>
              <w:widowControl/>
              <w:kinsoku/>
              <w:wordWrap/>
              <w:overflowPunct/>
              <w:topLinePunct w:val="0"/>
              <w:bidi w:val="0"/>
              <w:adjustRightInd/>
              <w:spacing w:line="360" w:lineRule="auto"/>
              <w:textAlignment w:val="auto"/>
              <w:rPr>
                <w:rFonts w:ascii="宋体" w:hAnsi="宋体" w:cs="宋体"/>
                <w:color w:val="auto"/>
                <w:sz w:val="18"/>
                <w:szCs w:val="18"/>
              </w:rPr>
            </w:pPr>
            <w:r>
              <w:rPr>
                <w:rFonts w:hint="eastAsia" w:ascii="宋体" w:hAnsi="宋体" w:cs="宋体"/>
                <w:color w:val="auto"/>
                <w:sz w:val="18"/>
                <w:szCs w:val="18"/>
              </w:rPr>
              <w:t>12分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8" w:hRule="atLeast"/>
        </w:trPr>
        <w:tc>
          <w:tcPr>
            <w:tcW w:w="1107" w:type="dxa"/>
            <w:vMerge w:val="continue"/>
            <w:vAlign w:val="center"/>
          </w:tcPr>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kern w:val="0"/>
                <w:sz w:val="18"/>
                <w:szCs w:val="18"/>
              </w:rPr>
            </w:pPr>
          </w:p>
        </w:tc>
        <w:tc>
          <w:tcPr>
            <w:tcW w:w="7364"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color w:val="auto"/>
                <w:sz w:val="18"/>
                <w:szCs w:val="18"/>
              </w:rPr>
            </w:pPr>
            <w:r>
              <w:rPr>
                <w:rFonts w:hint="eastAsia" w:ascii="宋体" w:hAnsi="宋体" w:cs="宋体"/>
                <w:color w:val="auto"/>
                <w:sz w:val="18"/>
                <w:szCs w:val="18"/>
              </w:rPr>
              <w:t>4.施工保障方案（10分）：根据投标人提供的施工保障方案（劳动保护用品使用、安全生产管理、施工内外协调能力、文明施工环境保护措施等情况）进行综合评议：</w:t>
            </w:r>
          </w:p>
          <w:p>
            <w:pPr>
              <w:keepNext w:val="0"/>
              <w:keepLines w:val="0"/>
              <w:pageBreakBefore w:val="0"/>
              <w:kinsoku/>
              <w:wordWrap/>
              <w:overflowPunct/>
              <w:topLinePunct w:val="0"/>
              <w:bidi w:val="0"/>
              <w:adjustRightInd/>
              <w:spacing w:line="360" w:lineRule="auto"/>
              <w:textAlignment w:val="auto"/>
              <w:rPr>
                <w:rFonts w:ascii="宋体" w:hAnsi="宋体" w:cs="宋体"/>
                <w:color w:val="auto"/>
                <w:sz w:val="18"/>
                <w:szCs w:val="18"/>
              </w:rPr>
            </w:pPr>
            <w:r>
              <w:rPr>
                <w:rFonts w:hint="eastAsia" w:ascii="宋体" w:hAnsi="宋体" w:cs="宋体"/>
                <w:color w:val="auto"/>
                <w:sz w:val="18"/>
                <w:szCs w:val="18"/>
              </w:rPr>
              <w:t>投标人所提供的施工保障方案科学合理，可操作性强的得7.0-10.0分；投标人所提供的施工保障方案较为科学合理，可操作性较强的得3.0-6.9分；投标人所提供的施工保障方案在科学合理性和可操作性方面都有所欠缺的得0.1-2.9分；投标人所提供方案与本项目完全无关或缺项的得0分；</w:t>
            </w:r>
          </w:p>
        </w:tc>
        <w:tc>
          <w:tcPr>
            <w:tcW w:w="689" w:type="dxa"/>
            <w:vAlign w:val="center"/>
          </w:tcPr>
          <w:p>
            <w:pPr>
              <w:keepNext w:val="0"/>
              <w:keepLines w:val="0"/>
              <w:pageBreakBefore w:val="0"/>
              <w:widowControl/>
              <w:kinsoku/>
              <w:wordWrap/>
              <w:overflowPunct/>
              <w:topLinePunct w:val="0"/>
              <w:bidi w:val="0"/>
              <w:adjustRightInd/>
              <w:spacing w:line="360" w:lineRule="auto"/>
              <w:textAlignment w:val="auto"/>
              <w:rPr>
                <w:rFonts w:ascii="宋体" w:hAnsi="宋体" w:cs="宋体"/>
                <w:color w:val="auto"/>
                <w:sz w:val="18"/>
                <w:szCs w:val="18"/>
              </w:rPr>
            </w:pPr>
            <w:r>
              <w:rPr>
                <w:rFonts w:hint="eastAsia" w:ascii="宋体" w:hAnsi="宋体" w:cs="宋体"/>
                <w:color w:val="auto"/>
                <w:sz w:val="18"/>
                <w:szCs w:val="18"/>
              </w:rPr>
              <w:t>10分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8" w:hRule="atLeast"/>
        </w:trPr>
        <w:tc>
          <w:tcPr>
            <w:tcW w:w="1107" w:type="dxa"/>
            <w:vMerge w:val="continue"/>
            <w:vAlign w:val="center"/>
          </w:tcPr>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kern w:val="0"/>
                <w:sz w:val="18"/>
                <w:szCs w:val="18"/>
              </w:rPr>
            </w:pPr>
          </w:p>
        </w:tc>
        <w:tc>
          <w:tcPr>
            <w:tcW w:w="7364"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color w:val="auto"/>
                <w:sz w:val="18"/>
                <w:szCs w:val="18"/>
              </w:rPr>
            </w:pPr>
            <w:r>
              <w:rPr>
                <w:rFonts w:hint="eastAsia" w:ascii="宋体" w:hAnsi="宋体" w:cs="宋体"/>
                <w:color w:val="auto"/>
                <w:sz w:val="18"/>
                <w:szCs w:val="18"/>
                <w:lang w:val="en-US" w:eastAsia="zh-CN"/>
              </w:rPr>
              <w:t>5</w:t>
            </w:r>
            <w:r>
              <w:rPr>
                <w:rFonts w:hint="eastAsia" w:ascii="宋体" w:hAnsi="宋体" w:cs="宋体"/>
                <w:color w:val="auto"/>
                <w:sz w:val="18"/>
                <w:szCs w:val="18"/>
              </w:rPr>
              <w:t>.备品备件情况（5分）：据投标人提供的备品备件清单进行综合评议：</w:t>
            </w:r>
          </w:p>
          <w:p>
            <w:pPr>
              <w:keepNext w:val="0"/>
              <w:keepLines w:val="0"/>
              <w:pageBreakBefore w:val="0"/>
              <w:kinsoku/>
              <w:wordWrap/>
              <w:overflowPunct/>
              <w:topLinePunct w:val="0"/>
              <w:bidi w:val="0"/>
              <w:adjustRightInd/>
              <w:spacing w:line="360" w:lineRule="auto"/>
              <w:textAlignment w:val="auto"/>
              <w:rPr>
                <w:rFonts w:ascii="宋体" w:hAnsi="宋体" w:cs="宋体"/>
                <w:color w:val="auto"/>
                <w:sz w:val="18"/>
                <w:szCs w:val="18"/>
              </w:rPr>
            </w:pPr>
            <w:r>
              <w:rPr>
                <w:rFonts w:hint="eastAsia" w:ascii="宋体" w:hAnsi="宋体" w:cs="宋体"/>
                <w:color w:val="auto"/>
                <w:sz w:val="18"/>
                <w:szCs w:val="18"/>
              </w:rPr>
              <w:t>投标人所提供的备品备件能完全满足本项目系统正常运行需求，并承诺将全部用于本项目使用而不另作它用的得3.5-5.0分；投标人所提供的备品备件能基本满足本项目系统正常运行需求，并承诺将全部用于本项目使用而不另作它用的得1.5-3.4分；投标人所提供的备品备件无法很好的满足本项目系统正常运行需求的得0.1-1.4分；投标人所提供的备品备件与本项目完全无关或者缺项的得0分；</w:t>
            </w:r>
          </w:p>
        </w:tc>
        <w:tc>
          <w:tcPr>
            <w:tcW w:w="689" w:type="dxa"/>
            <w:vAlign w:val="center"/>
          </w:tcPr>
          <w:p>
            <w:pPr>
              <w:keepNext w:val="0"/>
              <w:keepLines w:val="0"/>
              <w:pageBreakBefore w:val="0"/>
              <w:widowControl/>
              <w:kinsoku/>
              <w:wordWrap/>
              <w:overflowPunct/>
              <w:topLinePunct w:val="0"/>
              <w:bidi w:val="0"/>
              <w:adjustRightInd/>
              <w:spacing w:line="360" w:lineRule="auto"/>
              <w:textAlignment w:val="auto"/>
              <w:rPr>
                <w:rFonts w:ascii="宋体" w:hAnsi="宋体" w:cs="宋体"/>
                <w:color w:val="auto"/>
                <w:sz w:val="18"/>
                <w:szCs w:val="18"/>
              </w:rPr>
            </w:pPr>
            <w:r>
              <w:rPr>
                <w:rFonts w:hint="eastAsia" w:ascii="宋体" w:hAnsi="宋体" w:cs="宋体"/>
                <w:color w:val="auto"/>
                <w:sz w:val="18"/>
                <w:szCs w:val="18"/>
              </w:rPr>
              <w:t>5分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8" w:hRule="atLeast"/>
        </w:trPr>
        <w:tc>
          <w:tcPr>
            <w:tcW w:w="1107" w:type="dxa"/>
            <w:vMerge w:val="continue"/>
            <w:vAlign w:val="center"/>
          </w:tcPr>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kern w:val="0"/>
                <w:sz w:val="18"/>
                <w:szCs w:val="18"/>
              </w:rPr>
            </w:pPr>
          </w:p>
        </w:tc>
        <w:tc>
          <w:tcPr>
            <w:tcW w:w="7364"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6</w:t>
            </w:r>
            <w:r>
              <w:rPr>
                <w:rFonts w:hint="eastAsia" w:ascii="宋体" w:hAnsi="宋体" w:cs="宋体"/>
                <w:color w:val="auto"/>
                <w:sz w:val="18"/>
                <w:szCs w:val="18"/>
                <w:highlight w:val="none"/>
              </w:rPr>
              <w:t>.拟投入本项目设备配合情况（</w:t>
            </w:r>
            <w:r>
              <w:rPr>
                <w:rFonts w:hint="eastAsia" w:ascii="宋体" w:hAnsi="宋体" w:cs="宋体"/>
                <w:color w:val="auto"/>
                <w:sz w:val="18"/>
                <w:szCs w:val="18"/>
                <w:highlight w:val="none"/>
                <w:lang w:val="en-US" w:eastAsia="zh-CN"/>
              </w:rPr>
              <w:t>7</w:t>
            </w:r>
            <w:r>
              <w:rPr>
                <w:rFonts w:hint="eastAsia" w:ascii="宋体" w:hAnsi="宋体" w:cs="宋体"/>
                <w:color w:val="auto"/>
                <w:sz w:val="18"/>
                <w:szCs w:val="18"/>
                <w:highlight w:val="none"/>
              </w:rPr>
              <w:t>分）：根据投标人提供的项目设备的配置情况进行综合评议：</w:t>
            </w:r>
          </w:p>
          <w:p>
            <w:pPr>
              <w:keepNext w:val="0"/>
              <w:keepLines w:val="0"/>
              <w:pageBreakBefore w:val="0"/>
              <w:kinsoku/>
              <w:wordWrap/>
              <w:overflowPunct/>
              <w:topLinePunct w:val="0"/>
              <w:bidi w:val="0"/>
              <w:adjustRightInd/>
              <w:spacing w:line="360" w:lineRule="auto"/>
              <w:textAlignment w:val="auto"/>
              <w:rPr>
                <w:rFonts w:ascii="宋体" w:hAnsi="宋体" w:cs="宋体"/>
                <w:color w:val="auto"/>
                <w:sz w:val="18"/>
                <w:szCs w:val="18"/>
                <w:highlight w:val="none"/>
              </w:rPr>
            </w:pPr>
            <w:r>
              <w:rPr>
                <w:rFonts w:hint="eastAsia" w:ascii="宋体" w:hAnsi="宋体" w:cs="宋体"/>
                <w:color w:val="auto"/>
                <w:sz w:val="18"/>
                <w:szCs w:val="18"/>
                <w:highlight w:val="none"/>
              </w:rPr>
              <w:t>拟投入本项目的设备（维护工具、工程车辆情况、仪表设备等）配置种类齐全，数量合理的得</w:t>
            </w:r>
            <w:r>
              <w:rPr>
                <w:rFonts w:hint="eastAsia" w:ascii="宋体" w:hAnsi="宋体" w:cs="宋体"/>
                <w:color w:val="auto"/>
                <w:sz w:val="18"/>
                <w:szCs w:val="18"/>
                <w:highlight w:val="none"/>
                <w:lang w:val="en-US" w:eastAsia="zh-CN"/>
              </w:rPr>
              <w:t>5</w:t>
            </w:r>
            <w:r>
              <w:rPr>
                <w:rFonts w:hint="eastAsia" w:ascii="宋体" w:hAnsi="宋体" w:cs="宋体"/>
                <w:color w:val="auto"/>
                <w:sz w:val="18"/>
                <w:szCs w:val="18"/>
                <w:highlight w:val="none"/>
              </w:rPr>
              <w:t>.0-</w:t>
            </w:r>
            <w:r>
              <w:rPr>
                <w:rFonts w:hint="eastAsia" w:ascii="宋体" w:hAnsi="宋体" w:cs="宋体"/>
                <w:color w:val="auto"/>
                <w:sz w:val="18"/>
                <w:szCs w:val="18"/>
                <w:highlight w:val="none"/>
                <w:lang w:val="en-US" w:eastAsia="zh-CN"/>
              </w:rPr>
              <w:t>7</w:t>
            </w:r>
            <w:r>
              <w:rPr>
                <w:rFonts w:hint="eastAsia" w:ascii="宋体" w:hAnsi="宋体" w:cs="宋体"/>
                <w:color w:val="auto"/>
                <w:sz w:val="18"/>
                <w:szCs w:val="18"/>
                <w:highlight w:val="none"/>
              </w:rPr>
              <w:t>.0分；拟投入本项目的设备（维护工具、工程车辆情况、仪表设备等）配置种类较为齐全，数量较为合理的得2.0-</w:t>
            </w:r>
            <w:r>
              <w:rPr>
                <w:rFonts w:hint="eastAsia" w:ascii="宋体" w:hAnsi="宋体" w:cs="宋体"/>
                <w:color w:val="auto"/>
                <w:sz w:val="18"/>
                <w:szCs w:val="18"/>
                <w:highlight w:val="none"/>
                <w:lang w:val="en-US" w:eastAsia="zh-CN"/>
              </w:rPr>
              <w:t>4</w:t>
            </w:r>
            <w:r>
              <w:rPr>
                <w:rFonts w:hint="eastAsia" w:ascii="宋体" w:hAnsi="宋体" w:cs="宋体"/>
                <w:color w:val="auto"/>
                <w:sz w:val="18"/>
                <w:szCs w:val="18"/>
                <w:highlight w:val="none"/>
              </w:rPr>
              <w:t>.9分；拟投入本项目的设备（维护工具、工程车辆情况、仪表设备等）配置种类和数量都有所欠缺的得0.1-1.9分；投标人提供项目设备配置情况与本项目完全无关或缺项的得0分；</w:t>
            </w:r>
          </w:p>
          <w:p>
            <w:pPr>
              <w:pStyle w:val="26"/>
              <w:keepNext w:val="0"/>
              <w:keepLines w:val="0"/>
              <w:pageBreakBefore w:val="0"/>
              <w:tabs>
                <w:tab w:val="center" w:pos="4201"/>
                <w:tab w:val="right" w:leader="dot" w:pos="9298"/>
              </w:tabs>
              <w:kinsoku/>
              <w:wordWrap/>
              <w:overflowPunct/>
              <w:topLinePunct w:val="0"/>
              <w:bidi w:val="0"/>
              <w:adjustRightInd/>
              <w:spacing w:line="360" w:lineRule="auto"/>
              <w:ind w:firstLine="0" w:firstLineChars="0"/>
              <w:textAlignment w:val="auto"/>
              <w:rPr>
                <w:rFonts w:hAnsi="宋体" w:cs="宋体"/>
                <w:color w:val="auto"/>
                <w:sz w:val="18"/>
                <w:szCs w:val="18"/>
                <w:highlight w:val="none"/>
              </w:rPr>
            </w:pPr>
            <w:r>
              <w:rPr>
                <w:rFonts w:hint="eastAsia" w:hAnsi="宋体" w:cs="宋体"/>
                <w:color w:val="auto"/>
                <w:sz w:val="18"/>
                <w:szCs w:val="18"/>
                <w:highlight w:val="none"/>
              </w:rPr>
              <w:t>注：</w:t>
            </w:r>
            <w:r>
              <w:rPr>
                <w:rFonts w:hint="eastAsia" w:hAnsi="宋体" w:cs="宋体"/>
                <w:b/>
                <w:bCs/>
                <w:color w:val="auto"/>
                <w:sz w:val="18"/>
                <w:szCs w:val="18"/>
                <w:highlight w:val="none"/>
              </w:rPr>
              <w:t>投标文件中须附《针对本项目拟投入设备承诺函》（格式详见招标文件第六章）；未提供或提供不全或提供无效的，不得分。</w:t>
            </w:r>
          </w:p>
        </w:tc>
        <w:tc>
          <w:tcPr>
            <w:tcW w:w="689" w:type="dxa"/>
            <w:vAlign w:val="center"/>
          </w:tcPr>
          <w:p>
            <w:pPr>
              <w:keepNext w:val="0"/>
              <w:keepLines w:val="0"/>
              <w:pageBreakBefore w:val="0"/>
              <w:widowControl/>
              <w:kinsoku/>
              <w:wordWrap/>
              <w:overflowPunct/>
              <w:topLinePunct w:val="0"/>
              <w:bidi w:val="0"/>
              <w:adjustRightInd/>
              <w:spacing w:line="360" w:lineRule="auto"/>
              <w:textAlignment w:val="auto"/>
              <w:rPr>
                <w:rFonts w:ascii="宋体" w:hAnsi="宋体" w:cs="宋体"/>
                <w:color w:val="auto"/>
                <w:sz w:val="18"/>
                <w:szCs w:val="18"/>
                <w:highlight w:val="none"/>
              </w:rPr>
            </w:pPr>
            <w:r>
              <w:rPr>
                <w:rFonts w:hint="eastAsia" w:ascii="宋体" w:hAnsi="宋体" w:cs="宋体"/>
                <w:color w:val="auto"/>
                <w:sz w:val="18"/>
                <w:szCs w:val="18"/>
                <w:highlight w:val="none"/>
                <w:lang w:val="en-US" w:eastAsia="zh-CN"/>
              </w:rPr>
              <w:t>7</w:t>
            </w:r>
            <w:r>
              <w:rPr>
                <w:rFonts w:hint="eastAsia" w:ascii="宋体" w:hAnsi="宋体" w:cs="宋体"/>
                <w:color w:val="auto"/>
                <w:sz w:val="18"/>
                <w:szCs w:val="18"/>
                <w:highlight w:val="none"/>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4" w:hRule="atLeast"/>
        </w:trPr>
        <w:tc>
          <w:tcPr>
            <w:tcW w:w="1107" w:type="dxa"/>
            <w:vMerge w:val="continue"/>
            <w:vAlign w:val="center"/>
          </w:tcPr>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kern w:val="0"/>
                <w:sz w:val="18"/>
                <w:szCs w:val="18"/>
              </w:rPr>
            </w:pPr>
          </w:p>
        </w:tc>
        <w:tc>
          <w:tcPr>
            <w:tcW w:w="7364"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color w:val="auto"/>
                <w:sz w:val="18"/>
                <w:szCs w:val="18"/>
              </w:rPr>
            </w:pPr>
            <w:r>
              <w:rPr>
                <w:rFonts w:hint="eastAsia" w:ascii="宋体" w:hAnsi="宋体" w:cs="宋体"/>
                <w:color w:val="auto"/>
                <w:sz w:val="18"/>
                <w:szCs w:val="18"/>
                <w:lang w:val="en-US" w:eastAsia="zh-CN"/>
              </w:rPr>
              <w:t>7</w:t>
            </w:r>
            <w:r>
              <w:rPr>
                <w:rFonts w:hint="eastAsia" w:ascii="宋体" w:hAnsi="宋体" w:cs="宋体"/>
                <w:color w:val="auto"/>
                <w:sz w:val="18"/>
                <w:szCs w:val="18"/>
              </w:rPr>
              <w:t>.项目人员配备情况（7分）：根据投标人提供的项目人员配备情况进行综合评议：</w:t>
            </w:r>
          </w:p>
          <w:p>
            <w:pPr>
              <w:keepNext w:val="0"/>
              <w:keepLines w:val="0"/>
              <w:pageBreakBefore w:val="0"/>
              <w:kinsoku/>
              <w:wordWrap/>
              <w:overflowPunct/>
              <w:topLinePunct w:val="0"/>
              <w:bidi w:val="0"/>
              <w:adjustRightInd/>
              <w:spacing w:line="360" w:lineRule="auto"/>
              <w:textAlignment w:val="auto"/>
              <w:rPr>
                <w:rFonts w:ascii="宋体" w:hAnsi="宋体" w:cs="宋体"/>
                <w:color w:val="auto"/>
                <w:sz w:val="18"/>
                <w:szCs w:val="18"/>
              </w:rPr>
            </w:pPr>
            <w:r>
              <w:rPr>
                <w:rFonts w:hint="eastAsia" w:ascii="宋体" w:hAnsi="宋体" w:cs="宋体"/>
                <w:b/>
                <w:bCs/>
                <w:color w:val="auto"/>
                <w:sz w:val="18"/>
                <w:szCs w:val="18"/>
              </w:rPr>
              <w:t>注：投标文件须附相关人员身份证复印件、证书复印件、社保证明复印件（须提交公告发布之日前三个月任意一个月的社会保险证明）；均须加盖投标人公章，否则不得分。</w:t>
            </w:r>
          </w:p>
        </w:tc>
        <w:tc>
          <w:tcPr>
            <w:tcW w:w="689" w:type="dxa"/>
            <w:vAlign w:val="center"/>
          </w:tcPr>
          <w:p>
            <w:pPr>
              <w:keepNext w:val="0"/>
              <w:keepLines w:val="0"/>
              <w:pageBreakBefore w:val="0"/>
              <w:widowControl/>
              <w:kinsoku/>
              <w:wordWrap/>
              <w:overflowPunct/>
              <w:topLinePunct w:val="0"/>
              <w:bidi w:val="0"/>
              <w:adjustRightInd/>
              <w:spacing w:line="360" w:lineRule="auto"/>
              <w:textAlignment w:val="auto"/>
              <w:rPr>
                <w:rFonts w:ascii="宋体" w:hAnsi="宋体" w:cs="宋体"/>
                <w:color w:val="auto"/>
                <w:sz w:val="18"/>
                <w:szCs w:val="18"/>
              </w:rPr>
            </w:pPr>
            <w:r>
              <w:rPr>
                <w:rFonts w:hint="eastAsia" w:ascii="宋体" w:hAnsi="宋体" w:cs="宋体"/>
                <w:color w:val="auto"/>
                <w:sz w:val="18"/>
                <w:szCs w:val="18"/>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5" w:hRule="atLeast"/>
        </w:trPr>
        <w:tc>
          <w:tcPr>
            <w:tcW w:w="1107" w:type="dxa"/>
            <w:vMerge w:val="continue"/>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p>
        </w:tc>
        <w:tc>
          <w:tcPr>
            <w:tcW w:w="7364"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color w:val="auto"/>
                <w:sz w:val="18"/>
                <w:szCs w:val="18"/>
              </w:rPr>
            </w:pPr>
            <w:r>
              <w:rPr>
                <w:rFonts w:hint="eastAsia" w:ascii="宋体" w:hAnsi="宋体" w:cs="宋体"/>
                <w:color w:val="auto"/>
                <w:sz w:val="18"/>
                <w:szCs w:val="18"/>
                <w:lang w:val="en-US" w:eastAsia="zh-CN"/>
              </w:rPr>
              <w:t>7</w:t>
            </w:r>
            <w:r>
              <w:rPr>
                <w:rFonts w:hint="eastAsia" w:ascii="宋体" w:hAnsi="宋体" w:cs="宋体"/>
                <w:color w:val="auto"/>
                <w:sz w:val="18"/>
                <w:szCs w:val="18"/>
              </w:rPr>
              <w:t>.1拟派项目负责人具有系统集成项目管理工程师中级及以上证书,得2分，最高2分。</w:t>
            </w:r>
          </w:p>
        </w:tc>
        <w:tc>
          <w:tcPr>
            <w:tcW w:w="689"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color w:val="auto"/>
                <w:sz w:val="18"/>
                <w:szCs w:val="18"/>
              </w:rPr>
            </w:pPr>
            <w:r>
              <w:rPr>
                <w:rFonts w:hint="eastAsia" w:ascii="宋体" w:hAnsi="宋体" w:cs="宋体"/>
                <w:color w:val="auto"/>
                <w:sz w:val="18"/>
                <w:szCs w:val="18"/>
              </w:rPr>
              <w:t>2分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4" w:hRule="atLeast"/>
        </w:trPr>
        <w:tc>
          <w:tcPr>
            <w:tcW w:w="1107" w:type="dxa"/>
            <w:vMerge w:val="continue"/>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p>
        </w:tc>
        <w:tc>
          <w:tcPr>
            <w:tcW w:w="7364"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color w:val="auto"/>
                <w:sz w:val="18"/>
                <w:szCs w:val="18"/>
              </w:rPr>
            </w:pPr>
            <w:r>
              <w:rPr>
                <w:rFonts w:hint="eastAsia" w:ascii="宋体" w:hAnsi="宋体" w:cs="宋体"/>
                <w:color w:val="auto"/>
                <w:sz w:val="18"/>
                <w:szCs w:val="18"/>
                <w:lang w:val="en-US" w:eastAsia="zh-CN"/>
              </w:rPr>
              <w:t>7</w:t>
            </w:r>
            <w:r>
              <w:rPr>
                <w:rFonts w:hint="eastAsia" w:ascii="宋体" w:hAnsi="宋体" w:cs="宋体"/>
                <w:color w:val="auto"/>
                <w:sz w:val="18"/>
                <w:szCs w:val="18"/>
              </w:rPr>
              <w:t>.2根据投标人提供的项目人员的配备情况（相关工作经验，分工，数量等情况）进行综合评议：拟投入项目人员相关工作经验丰富，人员分工明确，数量合理的得3.5-5.0分；拟投入项目人员相关工作经验较丰富，人员分工较明确，数量较合理的得1.5-3.4分；拟投入项目人员在关工作经验、人员分工及数量上都有所欠缺的得0.1-1.4分；投标人提供项目人员配备配置情况与本项目完全无关或缺项的得0分；</w:t>
            </w:r>
          </w:p>
        </w:tc>
        <w:tc>
          <w:tcPr>
            <w:tcW w:w="689"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color w:val="auto"/>
                <w:sz w:val="18"/>
                <w:szCs w:val="18"/>
              </w:rPr>
            </w:pPr>
            <w:r>
              <w:rPr>
                <w:rFonts w:hint="eastAsia" w:ascii="宋体" w:hAnsi="宋体" w:cs="宋体"/>
                <w:color w:val="auto"/>
                <w:sz w:val="18"/>
                <w:szCs w:val="18"/>
              </w:rPr>
              <w:t>5分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7" w:hRule="atLeast"/>
        </w:trPr>
        <w:tc>
          <w:tcPr>
            <w:tcW w:w="1107" w:type="dxa"/>
            <w:vMerge w:val="continue"/>
            <w:vAlign w:val="center"/>
          </w:tcPr>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kern w:val="0"/>
                <w:sz w:val="18"/>
                <w:szCs w:val="18"/>
              </w:rPr>
            </w:pPr>
          </w:p>
        </w:tc>
        <w:tc>
          <w:tcPr>
            <w:tcW w:w="7364" w:type="dxa"/>
            <w:vAlign w:val="center"/>
          </w:tcPr>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color w:val="auto"/>
                <w:sz w:val="18"/>
                <w:szCs w:val="18"/>
              </w:rPr>
            </w:pPr>
            <w:r>
              <w:rPr>
                <w:rFonts w:hint="eastAsia" w:ascii="宋体" w:hAnsi="宋体" w:cs="宋体"/>
                <w:color w:val="auto"/>
                <w:sz w:val="18"/>
                <w:szCs w:val="18"/>
                <w:lang w:val="en-US" w:eastAsia="zh-CN"/>
              </w:rPr>
              <w:t>8</w:t>
            </w:r>
            <w:r>
              <w:rPr>
                <w:rFonts w:hint="eastAsia" w:ascii="宋体" w:hAnsi="宋体" w:cs="宋体"/>
                <w:color w:val="auto"/>
                <w:sz w:val="18"/>
                <w:szCs w:val="18"/>
              </w:rPr>
              <w:t>.投标人管理体系能力（3分）</w:t>
            </w:r>
          </w:p>
          <w:p>
            <w:pPr>
              <w:pStyle w:val="26"/>
              <w:keepNext w:val="0"/>
              <w:keepLines w:val="0"/>
              <w:pageBreakBefore w:val="0"/>
              <w:tabs>
                <w:tab w:val="center" w:pos="4201"/>
                <w:tab w:val="right" w:leader="dot" w:pos="9298"/>
              </w:tabs>
              <w:kinsoku/>
              <w:wordWrap/>
              <w:overflowPunct/>
              <w:topLinePunct w:val="0"/>
              <w:bidi w:val="0"/>
              <w:adjustRightInd/>
              <w:spacing w:line="360" w:lineRule="auto"/>
              <w:ind w:firstLine="0" w:firstLineChars="0"/>
              <w:textAlignment w:val="auto"/>
              <w:rPr>
                <w:rFonts w:hAnsi="宋体" w:cs="宋体"/>
                <w:color w:val="auto"/>
                <w:sz w:val="18"/>
                <w:szCs w:val="18"/>
              </w:rPr>
            </w:pPr>
            <w:r>
              <w:rPr>
                <w:rFonts w:hint="eastAsia" w:hAnsi="宋体" w:cs="宋体"/>
                <w:color w:val="auto"/>
                <w:sz w:val="18"/>
                <w:szCs w:val="18"/>
              </w:rPr>
              <w:t>注：投标文件中须提供有效期内的认证证书复印件及“全国认证认可信息公共服务平台http://cx.cnca.cn/”查询截图并加盖投标人公章，否则不得分；</w:t>
            </w:r>
          </w:p>
        </w:tc>
        <w:tc>
          <w:tcPr>
            <w:tcW w:w="689" w:type="dxa"/>
            <w:vAlign w:val="center"/>
          </w:tcPr>
          <w:p>
            <w:pPr>
              <w:keepNext w:val="0"/>
              <w:keepLines w:val="0"/>
              <w:pageBreakBefore w:val="0"/>
              <w:widowControl/>
              <w:kinsoku/>
              <w:wordWrap/>
              <w:overflowPunct/>
              <w:topLinePunct w:val="0"/>
              <w:bidi w:val="0"/>
              <w:adjustRightInd/>
              <w:spacing w:line="360" w:lineRule="auto"/>
              <w:textAlignment w:val="auto"/>
              <w:rPr>
                <w:rFonts w:ascii="宋体" w:hAnsi="宋体" w:cs="宋体"/>
                <w:color w:val="auto"/>
                <w:kern w:val="0"/>
                <w:sz w:val="18"/>
                <w:szCs w:val="18"/>
              </w:rPr>
            </w:pPr>
            <w:r>
              <w:rPr>
                <w:rFonts w:hint="eastAsia" w:ascii="宋体" w:hAnsi="宋体" w:cs="宋体"/>
                <w:color w:val="auto"/>
                <w:kern w:val="0"/>
                <w:sz w:val="18"/>
                <w:szCs w:val="18"/>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7" w:hRule="atLeast"/>
        </w:trPr>
        <w:tc>
          <w:tcPr>
            <w:tcW w:w="1107" w:type="dxa"/>
            <w:vMerge w:val="continue"/>
            <w:vAlign w:val="center"/>
          </w:tcPr>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sz w:val="18"/>
                <w:szCs w:val="18"/>
              </w:rPr>
            </w:pPr>
          </w:p>
        </w:tc>
        <w:tc>
          <w:tcPr>
            <w:tcW w:w="7364" w:type="dxa"/>
            <w:vAlign w:val="center"/>
          </w:tcPr>
          <w:p>
            <w:pPr>
              <w:keepNext w:val="0"/>
              <w:keepLines w:val="0"/>
              <w:pageBreakBefore w:val="0"/>
              <w:kinsoku/>
              <w:wordWrap/>
              <w:overflowPunct/>
              <w:topLinePunct w:val="0"/>
              <w:bidi w:val="0"/>
              <w:adjustRightInd/>
              <w:spacing w:line="360" w:lineRule="auto"/>
              <w:contextualSpacing/>
              <w:jc w:val="left"/>
              <w:textAlignment w:val="auto"/>
              <w:rPr>
                <w:rFonts w:ascii="宋体" w:hAnsi="宋体" w:cs="宋体"/>
                <w:color w:val="auto"/>
                <w:sz w:val="18"/>
                <w:szCs w:val="18"/>
              </w:rPr>
            </w:pPr>
            <w:r>
              <w:rPr>
                <w:rFonts w:hint="eastAsia" w:ascii="宋体" w:hAnsi="宋体" w:cs="宋体"/>
                <w:color w:val="auto"/>
                <w:sz w:val="18"/>
                <w:szCs w:val="18"/>
                <w:lang w:val="en-US" w:eastAsia="zh-CN"/>
              </w:rPr>
              <w:t>8</w:t>
            </w:r>
            <w:r>
              <w:rPr>
                <w:rFonts w:hint="eastAsia" w:ascii="宋体" w:hAnsi="宋体" w:cs="宋体"/>
                <w:color w:val="auto"/>
                <w:sz w:val="18"/>
                <w:szCs w:val="18"/>
              </w:rPr>
              <w:t>.1投标人具有ISO系列质量管理体系认证证书得1分；</w:t>
            </w:r>
          </w:p>
        </w:tc>
        <w:tc>
          <w:tcPr>
            <w:tcW w:w="689" w:type="dxa"/>
            <w:vAlign w:val="center"/>
          </w:tcPr>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color w:val="auto"/>
                <w:sz w:val="18"/>
                <w:szCs w:val="18"/>
              </w:rPr>
            </w:pPr>
            <w:r>
              <w:rPr>
                <w:rFonts w:hint="eastAsia" w:ascii="宋体" w:hAnsi="宋体" w:cs="宋体"/>
                <w:color w:val="auto"/>
                <w:kern w:val="0"/>
                <w:sz w:val="18"/>
                <w:szCs w:val="18"/>
              </w:rPr>
              <w:t>1分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7" w:hRule="atLeast"/>
        </w:trPr>
        <w:tc>
          <w:tcPr>
            <w:tcW w:w="1107" w:type="dxa"/>
            <w:vMerge w:val="continue"/>
            <w:vAlign w:val="center"/>
          </w:tcPr>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sz w:val="18"/>
                <w:szCs w:val="18"/>
              </w:rPr>
            </w:pPr>
          </w:p>
        </w:tc>
        <w:tc>
          <w:tcPr>
            <w:tcW w:w="7364" w:type="dxa"/>
            <w:vAlign w:val="center"/>
          </w:tcPr>
          <w:p>
            <w:pPr>
              <w:keepNext w:val="0"/>
              <w:keepLines w:val="0"/>
              <w:pageBreakBefore w:val="0"/>
              <w:kinsoku/>
              <w:wordWrap/>
              <w:overflowPunct/>
              <w:topLinePunct w:val="0"/>
              <w:bidi w:val="0"/>
              <w:adjustRightInd/>
              <w:spacing w:line="360" w:lineRule="auto"/>
              <w:contextualSpacing/>
              <w:jc w:val="left"/>
              <w:textAlignment w:val="auto"/>
              <w:rPr>
                <w:rFonts w:ascii="宋体" w:hAnsi="宋体" w:cs="宋体"/>
                <w:color w:val="auto"/>
                <w:sz w:val="18"/>
                <w:szCs w:val="18"/>
              </w:rPr>
            </w:pPr>
            <w:r>
              <w:rPr>
                <w:rFonts w:hint="eastAsia" w:ascii="宋体" w:hAnsi="宋体" w:cs="宋体"/>
                <w:color w:val="auto"/>
                <w:sz w:val="18"/>
                <w:szCs w:val="18"/>
                <w:lang w:val="en-US" w:eastAsia="zh-CN"/>
              </w:rPr>
              <w:t>8</w:t>
            </w:r>
            <w:r>
              <w:rPr>
                <w:rFonts w:hint="eastAsia" w:ascii="宋体" w:hAnsi="宋体" w:cs="宋体"/>
                <w:color w:val="auto"/>
                <w:sz w:val="18"/>
                <w:szCs w:val="18"/>
              </w:rPr>
              <w:t>.2投标人具有ISO环境管理体系认证证书得1分；</w:t>
            </w:r>
          </w:p>
        </w:tc>
        <w:tc>
          <w:tcPr>
            <w:tcW w:w="689" w:type="dxa"/>
            <w:vAlign w:val="center"/>
          </w:tcPr>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color w:val="auto"/>
                <w:sz w:val="18"/>
                <w:szCs w:val="18"/>
              </w:rPr>
            </w:pPr>
            <w:r>
              <w:rPr>
                <w:rFonts w:hint="eastAsia" w:ascii="宋体" w:hAnsi="宋体" w:cs="宋体"/>
                <w:color w:val="auto"/>
                <w:kern w:val="0"/>
                <w:sz w:val="18"/>
                <w:szCs w:val="18"/>
              </w:rPr>
              <w:t>1分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3" w:hRule="atLeast"/>
        </w:trPr>
        <w:tc>
          <w:tcPr>
            <w:tcW w:w="1107" w:type="dxa"/>
            <w:vMerge w:val="continue"/>
            <w:vAlign w:val="center"/>
          </w:tcPr>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sz w:val="18"/>
                <w:szCs w:val="18"/>
              </w:rPr>
            </w:pPr>
          </w:p>
        </w:tc>
        <w:tc>
          <w:tcPr>
            <w:tcW w:w="7364" w:type="dxa"/>
            <w:vAlign w:val="center"/>
          </w:tcPr>
          <w:p>
            <w:pPr>
              <w:keepNext w:val="0"/>
              <w:keepLines w:val="0"/>
              <w:pageBreakBefore w:val="0"/>
              <w:kinsoku/>
              <w:wordWrap/>
              <w:overflowPunct/>
              <w:topLinePunct w:val="0"/>
              <w:bidi w:val="0"/>
              <w:adjustRightInd/>
              <w:spacing w:line="360" w:lineRule="auto"/>
              <w:contextualSpacing/>
              <w:jc w:val="left"/>
              <w:textAlignment w:val="auto"/>
              <w:rPr>
                <w:rFonts w:ascii="宋体" w:hAnsi="宋体" w:cs="宋体"/>
                <w:color w:val="auto"/>
                <w:sz w:val="18"/>
                <w:szCs w:val="18"/>
              </w:rPr>
            </w:pPr>
            <w:r>
              <w:rPr>
                <w:rFonts w:hint="eastAsia" w:ascii="宋体" w:hAnsi="宋体" w:cs="宋体"/>
                <w:color w:val="auto"/>
                <w:sz w:val="18"/>
                <w:szCs w:val="18"/>
                <w:lang w:val="en-US" w:eastAsia="zh-CN"/>
              </w:rPr>
              <w:t>8</w:t>
            </w:r>
            <w:r>
              <w:rPr>
                <w:rFonts w:hint="eastAsia" w:ascii="宋体" w:hAnsi="宋体" w:cs="宋体"/>
                <w:color w:val="auto"/>
                <w:sz w:val="18"/>
                <w:szCs w:val="18"/>
              </w:rPr>
              <w:t>.3投标人具有ISO职业健康安全管理体系认证证书1分；</w:t>
            </w:r>
          </w:p>
        </w:tc>
        <w:tc>
          <w:tcPr>
            <w:tcW w:w="689" w:type="dxa"/>
            <w:vAlign w:val="center"/>
          </w:tcPr>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color w:val="auto"/>
                <w:sz w:val="18"/>
                <w:szCs w:val="18"/>
              </w:rPr>
            </w:pPr>
            <w:r>
              <w:rPr>
                <w:rFonts w:hint="eastAsia" w:ascii="宋体" w:hAnsi="宋体" w:cs="宋体"/>
                <w:color w:val="auto"/>
                <w:kern w:val="0"/>
                <w:sz w:val="18"/>
                <w:szCs w:val="18"/>
              </w:rPr>
              <w:t>1分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1107" w:type="dxa"/>
            <w:vMerge w:val="continue"/>
            <w:vAlign w:val="center"/>
          </w:tcPr>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kern w:val="0"/>
                <w:sz w:val="18"/>
                <w:szCs w:val="18"/>
              </w:rPr>
            </w:pPr>
          </w:p>
        </w:tc>
        <w:tc>
          <w:tcPr>
            <w:tcW w:w="7364" w:type="dxa"/>
            <w:vAlign w:val="center"/>
          </w:tcPr>
          <w:p>
            <w:pPr>
              <w:keepNext w:val="0"/>
              <w:keepLines w:val="0"/>
              <w:pageBreakBefore w:val="0"/>
              <w:kinsoku/>
              <w:wordWrap/>
              <w:overflowPunct/>
              <w:topLinePunct w:val="0"/>
              <w:bidi w:val="0"/>
              <w:adjustRightInd/>
              <w:spacing w:line="360" w:lineRule="auto"/>
              <w:contextualSpacing/>
              <w:jc w:val="left"/>
              <w:textAlignment w:val="auto"/>
              <w:rPr>
                <w:rFonts w:ascii="宋体" w:hAnsi="宋体" w:cs="宋体"/>
                <w:color w:val="auto"/>
                <w:sz w:val="18"/>
                <w:szCs w:val="18"/>
              </w:rPr>
            </w:pPr>
            <w:r>
              <w:rPr>
                <w:rFonts w:hint="eastAsia" w:ascii="宋体" w:hAnsi="宋体" w:cs="宋体"/>
                <w:color w:val="auto"/>
                <w:sz w:val="18"/>
                <w:szCs w:val="18"/>
                <w:lang w:val="en-US" w:eastAsia="zh-CN"/>
              </w:rPr>
              <w:t>9.</w:t>
            </w:r>
            <w:r>
              <w:rPr>
                <w:rFonts w:hint="eastAsia" w:ascii="宋体" w:hAnsi="宋体" w:cs="宋体"/>
                <w:color w:val="auto"/>
                <w:sz w:val="18"/>
                <w:szCs w:val="18"/>
              </w:rPr>
              <w:t>投标人具有有效的安全技术防范行业资信等级证书的，得1.5分。</w:t>
            </w:r>
          </w:p>
          <w:p>
            <w:pPr>
              <w:keepNext w:val="0"/>
              <w:keepLines w:val="0"/>
              <w:pageBreakBefore w:val="0"/>
              <w:kinsoku/>
              <w:wordWrap/>
              <w:overflowPunct/>
              <w:topLinePunct w:val="0"/>
              <w:bidi w:val="0"/>
              <w:adjustRightInd/>
              <w:spacing w:line="360" w:lineRule="auto"/>
              <w:contextualSpacing/>
              <w:jc w:val="left"/>
              <w:textAlignment w:val="auto"/>
              <w:rPr>
                <w:color w:val="auto"/>
              </w:rPr>
            </w:pPr>
            <w:r>
              <w:rPr>
                <w:rFonts w:hint="eastAsia" w:ascii="宋体" w:hAnsi="宋体" w:cs="宋体"/>
                <w:b/>
                <w:bCs/>
                <w:color w:val="auto"/>
                <w:sz w:val="18"/>
                <w:szCs w:val="18"/>
              </w:rPr>
              <w:t>注：投标文件中须附合相关证书复印件盖单位公章，未提供或提供不全或提供无效的，不得分。</w:t>
            </w:r>
          </w:p>
        </w:tc>
        <w:tc>
          <w:tcPr>
            <w:tcW w:w="689" w:type="dxa"/>
            <w:vAlign w:val="center"/>
          </w:tcPr>
          <w:p>
            <w:pPr>
              <w:keepNext w:val="0"/>
              <w:keepLines w:val="0"/>
              <w:pageBreakBefore w:val="0"/>
              <w:widowControl/>
              <w:kinsoku/>
              <w:wordWrap/>
              <w:overflowPunct/>
              <w:topLinePunct w:val="0"/>
              <w:bidi w:val="0"/>
              <w:adjustRightInd/>
              <w:spacing w:line="360" w:lineRule="auto"/>
              <w:textAlignment w:val="auto"/>
              <w:rPr>
                <w:rFonts w:ascii="宋体" w:hAnsi="宋体" w:cs="宋体"/>
                <w:color w:val="auto"/>
                <w:kern w:val="0"/>
                <w:sz w:val="18"/>
                <w:szCs w:val="18"/>
              </w:rPr>
            </w:pPr>
            <w:r>
              <w:rPr>
                <w:rFonts w:hint="eastAsia" w:ascii="宋体" w:hAnsi="宋体" w:cs="宋体"/>
                <w:color w:val="auto"/>
                <w:kern w:val="0"/>
                <w:sz w:val="18"/>
                <w:szCs w:val="18"/>
              </w:rPr>
              <w:t>1.5分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23" w:hRule="atLeast"/>
        </w:trPr>
        <w:tc>
          <w:tcPr>
            <w:tcW w:w="1107" w:type="dxa"/>
            <w:vMerge w:val="continue"/>
            <w:vAlign w:val="center"/>
          </w:tcPr>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kern w:val="0"/>
                <w:sz w:val="18"/>
                <w:szCs w:val="18"/>
              </w:rPr>
            </w:pPr>
          </w:p>
        </w:tc>
        <w:tc>
          <w:tcPr>
            <w:tcW w:w="7364" w:type="dxa"/>
            <w:vAlign w:val="center"/>
          </w:tcPr>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color w:val="auto"/>
                <w:sz w:val="18"/>
                <w:szCs w:val="18"/>
              </w:rPr>
            </w:pPr>
            <w:r>
              <w:rPr>
                <w:rFonts w:hint="eastAsia" w:ascii="宋体" w:hAnsi="宋体" w:cs="宋体"/>
                <w:color w:val="auto"/>
                <w:sz w:val="18"/>
                <w:szCs w:val="18"/>
              </w:rPr>
              <w:t>1</w:t>
            </w:r>
            <w:r>
              <w:rPr>
                <w:rFonts w:hint="eastAsia" w:ascii="宋体" w:hAnsi="宋体" w:cs="宋体"/>
                <w:color w:val="auto"/>
                <w:sz w:val="18"/>
                <w:szCs w:val="18"/>
                <w:lang w:val="en-US" w:eastAsia="zh-CN"/>
              </w:rPr>
              <w:t>0</w:t>
            </w:r>
            <w:r>
              <w:rPr>
                <w:rFonts w:hint="eastAsia" w:ascii="宋体" w:hAnsi="宋体" w:cs="宋体"/>
                <w:color w:val="auto"/>
                <w:sz w:val="18"/>
                <w:szCs w:val="18"/>
              </w:rPr>
              <w:t>.类似业绩（1.5分）</w:t>
            </w:r>
          </w:p>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color w:val="auto"/>
                <w:sz w:val="18"/>
                <w:szCs w:val="18"/>
              </w:rPr>
            </w:pPr>
            <w:r>
              <w:rPr>
                <w:rFonts w:hint="eastAsia" w:ascii="宋体" w:hAnsi="宋体" w:cs="宋体"/>
                <w:color w:val="auto"/>
                <w:sz w:val="18"/>
                <w:szCs w:val="18"/>
              </w:rPr>
              <w:t>202</w:t>
            </w:r>
            <w:r>
              <w:rPr>
                <w:rFonts w:hint="eastAsia" w:ascii="宋体" w:hAnsi="宋体" w:cs="宋体"/>
                <w:color w:val="auto"/>
                <w:sz w:val="18"/>
                <w:szCs w:val="18"/>
                <w:lang w:val="en-US" w:eastAsia="zh-CN"/>
              </w:rPr>
              <w:t>1</w:t>
            </w:r>
            <w:r>
              <w:rPr>
                <w:rFonts w:hint="eastAsia" w:ascii="宋体" w:hAnsi="宋体" w:cs="宋体"/>
                <w:color w:val="auto"/>
                <w:sz w:val="18"/>
                <w:szCs w:val="18"/>
              </w:rPr>
              <w:t>年01月01日以来（以合同签订日期为准），投标人具有类似业绩的，每提供一个得0.5分，最高得1.5分。</w:t>
            </w:r>
          </w:p>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color w:val="auto"/>
                <w:sz w:val="18"/>
                <w:szCs w:val="18"/>
              </w:rPr>
            </w:pPr>
            <w:r>
              <w:rPr>
                <w:rFonts w:hint="eastAsia" w:ascii="宋体" w:hAnsi="宋体" w:cs="宋体"/>
                <w:b/>
                <w:bCs/>
                <w:color w:val="auto"/>
                <w:sz w:val="18"/>
                <w:szCs w:val="18"/>
              </w:rPr>
              <w:t>注：投标文件中须附合同复印件盖单位公章，未提供或提供不全或提供无效的，不得分。</w:t>
            </w:r>
          </w:p>
        </w:tc>
        <w:tc>
          <w:tcPr>
            <w:tcW w:w="689" w:type="dxa"/>
            <w:vAlign w:val="center"/>
          </w:tcPr>
          <w:p>
            <w:pPr>
              <w:keepNext w:val="0"/>
              <w:keepLines w:val="0"/>
              <w:pageBreakBefore w:val="0"/>
              <w:widowControl/>
              <w:kinsoku/>
              <w:wordWrap/>
              <w:overflowPunct/>
              <w:topLinePunct w:val="0"/>
              <w:bidi w:val="0"/>
              <w:adjustRightInd/>
              <w:spacing w:line="360" w:lineRule="auto"/>
              <w:textAlignment w:val="auto"/>
              <w:rPr>
                <w:rFonts w:ascii="宋体" w:hAnsi="宋体" w:cs="宋体"/>
                <w:color w:val="auto"/>
                <w:kern w:val="0"/>
                <w:sz w:val="18"/>
                <w:szCs w:val="18"/>
              </w:rPr>
            </w:pPr>
            <w:r>
              <w:rPr>
                <w:rFonts w:hint="eastAsia" w:ascii="宋体" w:hAnsi="宋体" w:cs="宋体"/>
                <w:color w:val="auto"/>
                <w:kern w:val="0"/>
                <w:sz w:val="18"/>
                <w:szCs w:val="18"/>
              </w:rPr>
              <w:t>1.5分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2" w:hRule="atLeast"/>
        </w:trPr>
        <w:tc>
          <w:tcPr>
            <w:tcW w:w="1107" w:type="dxa"/>
            <w:vMerge w:val="continue"/>
            <w:vAlign w:val="center"/>
          </w:tcPr>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kern w:val="0"/>
                <w:sz w:val="18"/>
                <w:szCs w:val="18"/>
              </w:rPr>
            </w:pPr>
          </w:p>
        </w:tc>
        <w:tc>
          <w:tcPr>
            <w:tcW w:w="7364" w:type="dxa"/>
            <w:vAlign w:val="center"/>
          </w:tcPr>
          <w:p>
            <w:pPr>
              <w:keepNext w:val="0"/>
              <w:keepLines w:val="0"/>
              <w:pageBreakBefore w:val="0"/>
              <w:widowControl/>
              <w:numPr>
                <w:ilvl w:val="0"/>
                <w:numId w:val="0"/>
              </w:numPr>
              <w:kinsoku/>
              <w:wordWrap/>
              <w:overflowPunct/>
              <w:topLinePunct w:val="0"/>
              <w:bidi w:val="0"/>
              <w:adjustRightInd/>
              <w:spacing w:line="360" w:lineRule="auto"/>
              <w:jc w:val="left"/>
              <w:textAlignment w:val="auto"/>
              <w:rPr>
                <w:rFonts w:hint="eastAsia" w:ascii="宋体" w:hAnsi="宋体" w:cs="宋体"/>
                <w:color w:val="auto"/>
                <w:sz w:val="18"/>
                <w:szCs w:val="18"/>
              </w:rPr>
            </w:pPr>
            <w:r>
              <w:rPr>
                <w:rFonts w:hint="eastAsia" w:ascii="宋体" w:hAnsi="宋体" w:cs="宋体"/>
                <w:color w:val="auto"/>
                <w:sz w:val="18"/>
                <w:szCs w:val="18"/>
                <w:lang w:val="en-US" w:eastAsia="zh-CN"/>
              </w:rPr>
              <w:t>11.</w:t>
            </w:r>
            <w:r>
              <w:rPr>
                <w:rFonts w:hint="eastAsia" w:ascii="宋体" w:hAnsi="宋体" w:cs="宋体"/>
                <w:color w:val="auto"/>
                <w:sz w:val="18"/>
                <w:szCs w:val="18"/>
              </w:rPr>
              <w:t>投标人专业技术能力（</w:t>
            </w:r>
            <w:r>
              <w:rPr>
                <w:rFonts w:hint="eastAsia" w:ascii="宋体" w:hAnsi="宋体" w:cs="宋体"/>
                <w:color w:val="auto"/>
                <w:sz w:val="18"/>
                <w:szCs w:val="18"/>
                <w:lang w:val="en-US" w:eastAsia="zh-CN"/>
              </w:rPr>
              <w:t>1</w:t>
            </w:r>
            <w:r>
              <w:rPr>
                <w:rFonts w:hint="eastAsia" w:ascii="宋体" w:hAnsi="宋体" w:cs="宋体"/>
                <w:color w:val="auto"/>
                <w:sz w:val="18"/>
                <w:szCs w:val="18"/>
              </w:rPr>
              <w:t>分）</w:t>
            </w:r>
            <w:r>
              <w:rPr>
                <w:rFonts w:hint="eastAsia" w:ascii="宋体" w:hAnsi="宋体" w:cs="宋体"/>
                <w:color w:val="auto"/>
                <w:sz w:val="18"/>
                <w:szCs w:val="18"/>
                <w:lang w:eastAsia="zh-CN"/>
              </w:rPr>
              <w:t>：</w:t>
            </w:r>
          </w:p>
          <w:p>
            <w:pPr>
              <w:pStyle w:val="23"/>
              <w:numPr>
                <w:ilvl w:val="0"/>
                <w:numId w:val="0"/>
              </w:numPr>
              <w:rPr>
                <w:color w:val="auto"/>
              </w:rPr>
            </w:pPr>
            <w:r>
              <w:rPr>
                <w:rFonts w:hint="eastAsia" w:ascii="宋体" w:hAnsi="宋体" w:cs="宋体"/>
                <w:color w:val="auto"/>
                <w:sz w:val="18"/>
                <w:szCs w:val="18"/>
              </w:rPr>
              <w:t>投标人具有ITSS信息技术服务运行维护标准符合性证书（成熟度叁级及以上）的得</w:t>
            </w:r>
            <w:r>
              <w:rPr>
                <w:rFonts w:hint="eastAsia" w:ascii="宋体" w:hAnsi="宋体" w:cs="宋体"/>
                <w:color w:val="auto"/>
                <w:sz w:val="18"/>
                <w:szCs w:val="18"/>
                <w:lang w:val="en-US" w:eastAsia="zh-CN"/>
              </w:rPr>
              <w:t>1</w:t>
            </w:r>
            <w:r>
              <w:rPr>
                <w:rFonts w:hint="eastAsia" w:ascii="宋体" w:hAnsi="宋体" w:cs="宋体"/>
                <w:color w:val="auto"/>
                <w:sz w:val="18"/>
                <w:szCs w:val="18"/>
              </w:rPr>
              <w:t>分（证书复印件加盖公章）；</w:t>
            </w:r>
          </w:p>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color w:val="auto"/>
                <w:sz w:val="18"/>
                <w:szCs w:val="18"/>
              </w:rPr>
            </w:pPr>
            <w:r>
              <w:rPr>
                <w:rFonts w:hint="eastAsia" w:ascii="宋体" w:hAnsi="宋体" w:cs="宋体"/>
                <w:b/>
                <w:bCs/>
                <w:color w:val="auto"/>
                <w:sz w:val="18"/>
                <w:szCs w:val="18"/>
              </w:rPr>
              <w:t>注：投标文件中须附相关证书复印件盖单位公章，未提供或提供不全或提供无效的，不得分。</w:t>
            </w:r>
          </w:p>
        </w:tc>
        <w:tc>
          <w:tcPr>
            <w:tcW w:w="689" w:type="dxa"/>
            <w:vAlign w:val="center"/>
          </w:tcPr>
          <w:p>
            <w:pPr>
              <w:keepNext w:val="0"/>
              <w:keepLines w:val="0"/>
              <w:pageBreakBefore w:val="0"/>
              <w:widowControl/>
              <w:kinsoku/>
              <w:wordWrap/>
              <w:overflowPunct/>
              <w:topLinePunct w:val="0"/>
              <w:bidi w:val="0"/>
              <w:adjustRightInd/>
              <w:spacing w:line="360" w:lineRule="auto"/>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1107" w:type="dxa"/>
            <w:vMerge w:val="continue"/>
            <w:vAlign w:val="center"/>
          </w:tcPr>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kern w:val="0"/>
                <w:sz w:val="18"/>
                <w:szCs w:val="18"/>
              </w:rPr>
            </w:pPr>
          </w:p>
        </w:tc>
        <w:tc>
          <w:tcPr>
            <w:tcW w:w="7364" w:type="dxa"/>
            <w:vAlign w:val="center"/>
          </w:tcPr>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color w:val="auto"/>
                <w:sz w:val="18"/>
                <w:szCs w:val="18"/>
              </w:rPr>
            </w:pPr>
            <w:r>
              <w:rPr>
                <w:rFonts w:hint="eastAsia" w:ascii="宋体" w:hAnsi="宋体" w:cs="宋体"/>
                <w:color w:val="auto"/>
                <w:sz w:val="18"/>
                <w:szCs w:val="18"/>
                <w:lang w:val="en-US" w:eastAsia="zh-CN"/>
              </w:rPr>
              <w:t>12.</w:t>
            </w:r>
            <w:r>
              <w:rPr>
                <w:rFonts w:hint="eastAsia" w:ascii="宋体" w:hAnsi="宋体" w:cs="宋体"/>
                <w:color w:val="auto"/>
                <w:sz w:val="18"/>
                <w:szCs w:val="18"/>
              </w:rPr>
              <w:t>节能环保（2分）</w:t>
            </w:r>
          </w:p>
          <w:p>
            <w:pPr>
              <w:keepNext w:val="0"/>
              <w:keepLines w:val="0"/>
              <w:pageBreakBefore w:val="0"/>
              <w:kinsoku/>
              <w:wordWrap/>
              <w:overflowPunct/>
              <w:topLinePunct w:val="0"/>
              <w:bidi w:val="0"/>
              <w:adjustRightInd/>
              <w:spacing w:line="360" w:lineRule="auto"/>
              <w:textAlignment w:val="auto"/>
              <w:rPr>
                <w:rFonts w:ascii="宋体" w:hAnsi="宋体" w:cs="宋体"/>
                <w:color w:val="auto"/>
                <w:sz w:val="18"/>
                <w:szCs w:val="18"/>
              </w:rPr>
            </w:pPr>
            <w:r>
              <w:rPr>
                <w:rFonts w:hint="eastAsia" w:ascii="宋体" w:hAnsi="宋体" w:cs="宋体"/>
                <w:color w:val="auto"/>
                <w:sz w:val="18"/>
                <w:szCs w:val="18"/>
              </w:rPr>
              <w:t>投标核心产品属于《节能产品政府采购品目清单》范围的且具有国家确定的认证机构出具的、处于有效期之内的节能产品认证证书的得1分；</w:t>
            </w:r>
          </w:p>
          <w:p>
            <w:pPr>
              <w:keepNext w:val="0"/>
              <w:keepLines w:val="0"/>
              <w:pageBreakBefore w:val="0"/>
              <w:kinsoku/>
              <w:wordWrap/>
              <w:overflowPunct/>
              <w:topLinePunct w:val="0"/>
              <w:bidi w:val="0"/>
              <w:adjustRightInd/>
              <w:spacing w:line="360" w:lineRule="auto"/>
              <w:textAlignment w:val="auto"/>
              <w:rPr>
                <w:rFonts w:ascii="宋体" w:hAnsi="宋体" w:cs="宋体"/>
                <w:color w:val="auto"/>
                <w:sz w:val="18"/>
                <w:szCs w:val="18"/>
              </w:rPr>
            </w:pPr>
            <w:r>
              <w:rPr>
                <w:rFonts w:hint="eastAsia" w:ascii="宋体" w:hAnsi="宋体" w:cs="宋体"/>
                <w:color w:val="auto"/>
                <w:sz w:val="18"/>
                <w:szCs w:val="18"/>
              </w:rPr>
              <w:t>投标核心产品属于《环境标志产品政府采购品目清单》范围的且具有国家确定的认证机构出具的、处于有效期之内的环境标志产品认证证书的得1分。</w:t>
            </w:r>
          </w:p>
          <w:p>
            <w:pPr>
              <w:keepNext w:val="0"/>
              <w:keepLines w:val="0"/>
              <w:pageBreakBefore w:val="0"/>
              <w:kinsoku/>
              <w:wordWrap/>
              <w:overflowPunct/>
              <w:topLinePunct w:val="0"/>
              <w:bidi w:val="0"/>
              <w:adjustRightInd/>
              <w:spacing w:line="360" w:lineRule="auto"/>
              <w:textAlignment w:val="auto"/>
              <w:rPr>
                <w:rFonts w:ascii="宋体" w:hAnsi="宋体" w:cs="宋体"/>
                <w:color w:val="auto"/>
                <w:sz w:val="18"/>
                <w:szCs w:val="18"/>
              </w:rPr>
            </w:pPr>
            <w:r>
              <w:rPr>
                <w:rFonts w:hint="eastAsia" w:ascii="宋体" w:hAnsi="宋体" w:cs="宋体"/>
                <w:color w:val="auto"/>
                <w:sz w:val="18"/>
                <w:szCs w:val="18"/>
              </w:rPr>
              <w:t>注：投标文件中必须同时提供以下资料均盖投标人公章，编入投标文件中作为证明材料，否则不得分。</w:t>
            </w:r>
          </w:p>
          <w:p>
            <w:pPr>
              <w:keepNext w:val="0"/>
              <w:keepLines w:val="0"/>
              <w:pageBreakBefore w:val="0"/>
              <w:kinsoku/>
              <w:wordWrap/>
              <w:overflowPunct/>
              <w:topLinePunct w:val="0"/>
              <w:bidi w:val="0"/>
              <w:adjustRightInd/>
              <w:spacing w:line="360" w:lineRule="auto"/>
              <w:textAlignment w:val="auto"/>
              <w:rPr>
                <w:rFonts w:ascii="宋体" w:hAnsi="宋体" w:cs="宋体"/>
                <w:color w:val="auto"/>
                <w:sz w:val="18"/>
                <w:szCs w:val="18"/>
              </w:rPr>
            </w:pPr>
            <w:r>
              <w:rPr>
                <w:rFonts w:hint="eastAsia" w:ascii="宋体" w:hAnsi="宋体" w:cs="宋体"/>
                <w:color w:val="auto"/>
                <w:sz w:val="18"/>
                <w:szCs w:val="18"/>
              </w:rPr>
              <w:t>（1）提供政府采购品目清单相关内容页（并对相关内容作圈记），采购品目清单详见《关于印发环境标志产品政府采购品目清单的通知》（财库〔2019〕18号）和《关于印发节能产品政府采购品目清单的通知》（财库〔2019〕19号）。</w:t>
            </w:r>
          </w:p>
          <w:p>
            <w:pPr>
              <w:pStyle w:val="6"/>
              <w:keepNext w:val="0"/>
              <w:keepLines w:val="0"/>
              <w:pageBreakBefore w:val="0"/>
              <w:kinsoku/>
              <w:wordWrap/>
              <w:overflowPunct/>
              <w:topLinePunct w:val="0"/>
              <w:bidi w:val="0"/>
              <w:adjustRightInd/>
              <w:spacing w:line="360" w:lineRule="auto"/>
              <w:textAlignment w:val="auto"/>
              <w:rPr>
                <w:color w:val="auto"/>
              </w:rPr>
            </w:pPr>
            <w:r>
              <w:rPr>
                <w:rFonts w:hint="eastAsia" w:cs="宋体"/>
                <w:color w:val="auto"/>
                <w:sz w:val="18"/>
                <w:szCs w:val="18"/>
              </w:rPr>
              <w:t>（2）《市场监管总局关于发布参与实施政府采购节能产品、环境标志产品认证机构名录的公告》中的认证机构出具的、处于有效期之内的节能产品/环境标志产品认证证书复印件并加盖公章。</w:t>
            </w:r>
          </w:p>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color w:val="auto"/>
                <w:sz w:val="18"/>
                <w:szCs w:val="18"/>
              </w:rPr>
            </w:pPr>
            <w:r>
              <w:rPr>
                <w:rFonts w:hint="eastAsia" w:ascii="宋体" w:hAnsi="宋体" w:cs="宋体"/>
                <w:b/>
                <w:bCs/>
                <w:color w:val="auto"/>
                <w:sz w:val="18"/>
                <w:szCs w:val="18"/>
              </w:rPr>
              <w:t>注：投标文件中须相关证明文件盖单位公章，未提供或提供不全或提供无效的，不得分。</w:t>
            </w:r>
          </w:p>
        </w:tc>
        <w:tc>
          <w:tcPr>
            <w:tcW w:w="689" w:type="dxa"/>
            <w:vAlign w:val="center"/>
          </w:tcPr>
          <w:p>
            <w:pPr>
              <w:keepNext w:val="0"/>
              <w:keepLines w:val="0"/>
              <w:pageBreakBefore w:val="0"/>
              <w:widowControl/>
              <w:kinsoku/>
              <w:wordWrap/>
              <w:overflowPunct/>
              <w:topLinePunct w:val="0"/>
              <w:bidi w:val="0"/>
              <w:adjustRightInd/>
              <w:spacing w:line="360" w:lineRule="auto"/>
              <w:textAlignment w:val="auto"/>
              <w:rPr>
                <w:rFonts w:ascii="宋体" w:hAnsi="宋体" w:cs="宋体"/>
                <w:color w:val="auto"/>
                <w:kern w:val="0"/>
                <w:sz w:val="18"/>
                <w:szCs w:val="18"/>
              </w:rPr>
            </w:pPr>
            <w:r>
              <w:rPr>
                <w:rFonts w:hint="eastAsia" w:ascii="宋体" w:hAnsi="宋体" w:cs="宋体"/>
                <w:color w:val="auto"/>
                <w:kern w:val="0"/>
                <w:sz w:val="18"/>
                <w:szCs w:val="18"/>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1107" w:type="dxa"/>
            <w:vMerge w:val="continue"/>
            <w:vAlign w:val="center"/>
          </w:tcPr>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kern w:val="0"/>
                <w:sz w:val="18"/>
                <w:szCs w:val="18"/>
              </w:rPr>
            </w:pPr>
          </w:p>
        </w:tc>
        <w:tc>
          <w:tcPr>
            <w:tcW w:w="7364" w:type="dxa"/>
            <w:vAlign w:val="center"/>
          </w:tcPr>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color w:val="auto"/>
                <w:sz w:val="18"/>
                <w:szCs w:val="18"/>
              </w:rPr>
            </w:pPr>
            <w:r>
              <w:rPr>
                <w:rFonts w:hint="eastAsia" w:ascii="宋体" w:hAnsi="宋体" w:cs="宋体"/>
                <w:color w:val="auto"/>
                <w:sz w:val="18"/>
                <w:szCs w:val="18"/>
              </w:rPr>
              <w:t>1</w:t>
            </w:r>
            <w:r>
              <w:rPr>
                <w:rFonts w:hint="eastAsia" w:ascii="宋体" w:hAnsi="宋体" w:cs="宋体"/>
                <w:color w:val="auto"/>
                <w:sz w:val="18"/>
                <w:szCs w:val="18"/>
                <w:lang w:val="en-US" w:eastAsia="zh-CN"/>
              </w:rPr>
              <w:t>2</w:t>
            </w:r>
            <w:r>
              <w:rPr>
                <w:rFonts w:hint="eastAsia" w:ascii="宋体" w:hAnsi="宋体" w:cs="宋体"/>
                <w:color w:val="auto"/>
                <w:sz w:val="18"/>
                <w:szCs w:val="18"/>
              </w:rPr>
              <w:t>.1投标产品列入国家节能产品清单的产品得1分；</w:t>
            </w:r>
          </w:p>
        </w:tc>
        <w:tc>
          <w:tcPr>
            <w:tcW w:w="689" w:type="dxa"/>
            <w:vAlign w:val="center"/>
          </w:tcPr>
          <w:p>
            <w:pPr>
              <w:keepNext w:val="0"/>
              <w:keepLines w:val="0"/>
              <w:pageBreakBefore w:val="0"/>
              <w:widowControl/>
              <w:kinsoku/>
              <w:wordWrap/>
              <w:overflowPunct/>
              <w:topLinePunct w:val="0"/>
              <w:bidi w:val="0"/>
              <w:adjustRightInd/>
              <w:spacing w:line="360" w:lineRule="auto"/>
              <w:textAlignment w:val="auto"/>
              <w:rPr>
                <w:rFonts w:ascii="宋体" w:hAnsi="宋体" w:cs="宋体"/>
                <w:color w:val="auto"/>
                <w:kern w:val="0"/>
                <w:sz w:val="18"/>
                <w:szCs w:val="18"/>
              </w:rPr>
            </w:pPr>
            <w:r>
              <w:rPr>
                <w:rFonts w:hint="eastAsia" w:ascii="宋体" w:hAnsi="宋体" w:cs="宋体"/>
                <w:color w:val="auto"/>
                <w:kern w:val="0"/>
                <w:sz w:val="18"/>
                <w:szCs w:val="18"/>
              </w:rPr>
              <w:t>1分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1107" w:type="dxa"/>
            <w:vMerge w:val="continue"/>
            <w:vAlign w:val="center"/>
          </w:tcPr>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kern w:val="0"/>
                <w:sz w:val="18"/>
                <w:szCs w:val="18"/>
              </w:rPr>
            </w:pPr>
          </w:p>
        </w:tc>
        <w:tc>
          <w:tcPr>
            <w:tcW w:w="7364" w:type="dxa"/>
            <w:vAlign w:val="center"/>
          </w:tcPr>
          <w:p>
            <w:pPr>
              <w:keepNext w:val="0"/>
              <w:keepLines w:val="0"/>
              <w:pageBreakBefore w:val="0"/>
              <w:widowControl/>
              <w:kinsoku/>
              <w:wordWrap/>
              <w:overflowPunct/>
              <w:topLinePunct w:val="0"/>
              <w:bidi w:val="0"/>
              <w:adjustRightInd/>
              <w:spacing w:line="360" w:lineRule="auto"/>
              <w:jc w:val="left"/>
              <w:textAlignment w:val="auto"/>
              <w:rPr>
                <w:rFonts w:ascii="宋体" w:hAnsi="宋体" w:cs="宋体"/>
                <w:color w:val="auto"/>
                <w:sz w:val="18"/>
                <w:szCs w:val="18"/>
              </w:rPr>
            </w:pPr>
            <w:r>
              <w:rPr>
                <w:rFonts w:hint="eastAsia" w:ascii="宋体" w:hAnsi="宋体" w:cs="宋体"/>
                <w:color w:val="auto"/>
                <w:sz w:val="18"/>
                <w:szCs w:val="18"/>
              </w:rPr>
              <w:t>1</w:t>
            </w:r>
            <w:r>
              <w:rPr>
                <w:rFonts w:hint="eastAsia" w:ascii="宋体" w:hAnsi="宋体" w:cs="宋体"/>
                <w:color w:val="auto"/>
                <w:sz w:val="18"/>
                <w:szCs w:val="18"/>
                <w:lang w:val="en-US" w:eastAsia="zh-CN"/>
              </w:rPr>
              <w:t>2</w:t>
            </w:r>
            <w:r>
              <w:rPr>
                <w:rFonts w:hint="eastAsia" w:ascii="宋体" w:hAnsi="宋体" w:cs="宋体"/>
                <w:color w:val="auto"/>
                <w:sz w:val="18"/>
                <w:szCs w:val="18"/>
              </w:rPr>
              <w:t>.2投标产品列入国家环保产品清单的产品得1分；</w:t>
            </w:r>
          </w:p>
        </w:tc>
        <w:tc>
          <w:tcPr>
            <w:tcW w:w="689" w:type="dxa"/>
            <w:vAlign w:val="center"/>
          </w:tcPr>
          <w:p>
            <w:pPr>
              <w:keepNext w:val="0"/>
              <w:keepLines w:val="0"/>
              <w:pageBreakBefore w:val="0"/>
              <w:widowControl/>
              <w:kinsoku/>
              <w:wordWrap/>
              <w:overflowPunct/>
              <w:topLinePunct w:val="0"/>
              <w:bidi w:val="0"/>
              <w:adjustRightInd/>
              <w:spacing w:line="360" w:lineRule="auto"/>
              <w:textAlignment w:val="auto"/>
              <w:rPr>
                <w:rFonts w:ascii="宋体" w:hAnsi="宋体" w:cs="宋体"/>
                <w:color w:val="auto"/>
                <w:kern w:val="0"/>
                <w:sz w:val="18"/>
                <w:szCs w:val="18"/>
              </w:rPr>
            </w:pPr>
            <w:r>
              <w:rPr>
                <w:rFonts w:hint="eastAsia" w:ascii="宋体" w:hAnsi="宋体" w:cs="宋体"/>
                <w:color w:val="auto"/>
                <w:kern w:val="0"/>
                <w:sz w:val="18"/>
                <w:szCs w:val="18"/>
              </w:rPr>
              <w:t>1分</w:t>
            </w:r>
          </w:p>
        </w:tc>
      </w:tr>
    </w:tbl>
    <w:p>
      <w:pPr>
        <w:keepNext w:val="0"/>
        <w:keepLines w:val="0"/>
        <w:pageBreakBefore w:val="0"/>
        <w:kinsoku/>
        <w:wordWrap/>
        <w:overflowPunct/>
        <w:topLinePunct w:val="0"/>
        <w:bidi w:val="0"/>
        <w:adjustRightInd/>
        <w:spacing w:line="360" w:lineRule="auto"/>
        <w:textAlignment w:val="auto"/>
        <w:rPr>
          <w:rFonts w:ascii="宋体" w:hAnsi="宋体" w:cs="宋体"/>
          <w:b/>
          <w:bCs/>
          <w:sz w:val="18"/>
          <w:szCs w:val="18"/>
        </w:rPr>
      </w:pPr>
      <w:r>
        <w:rPr>
          <w:rFonts w:hint="eastAsia" w:ascii="宋体" w:hAnsi="宋体" w:cs="宋体"/>
          <w:b/>
          <w:bCs/>
          <w:sz w:val="18"/>
          <w:szCs w:val="18"/>
        </w:rPr>
        <w:t>注：1、各评委成员自行按以上参考分值评分，评分小数点后保留二位数。2、表内要求提供的资料，未按要求提供的均不得分。</w:t>
      </w:r>
    </w:p>
    <w:p>
      <w:pPr>
        <w:pStyle w:val="6"/>
        <w:keepNext w:val="0"/>
        <w:keepLines w:val="0"/>
        <w:pageBreakBefore w:val="0"/>
        <w:kinsoku/>
        <w:wordWrap/>
        <w:overflowPunct/>
        <w:topLinePunct w:val="0"/>
        <w:bidi w:val="0"/>
        <w:adjustRightInd/>
        <w:spacing w:line="360" w:lineRule="auto"/>
        <w:textAlignment w:val="auto"/>
        <w:rPr>
          <w:rFonts w:cs="宋体"/>
          <w:sz w:val="21"/>
          <w:szCs w:val="21"/>
        </w:rPr>
      </w:pPr>
    </w:p>
    <w:p>
      <w:pPr>
        <w:pStyle w:val="6"/>
        <w:keepNext w:val="0"/>
        <w:keepLines w:val="0"/>
        <w:pageBreakBefore w:val="0"/>
        <w:numPr>
          <w:ilvl w:val="0"/>
          <w:numId w:val="5"/>
        </w:numPr>
        <w:kinsoku/>
        <w:wordWrap/>
        <w:overflowPunct/>
        <w:topLinePunct w:val="0"/>
        <w:bidi w:val="0"/>
        <w:adjustRightInd/>
        <w:spacing w:line="360" w:lineRule="auto"/>
        <w:textAlignment w:val="auto"/>
        <w:rPr>
          <w:rFonts w:cs="宋体"/>
          <w:b/>
          <w:bCs/>
          <w:sz w:val="21"/>
          <w:szCs w:val="21"/>
        </w:rPr>
      </w:pPr>
      <w:r>
        <w:rPr>
          <w:rFonts w:hint="eastAsia" w:cs="宋体"/>
          <w:b/>
          <w:bCs/>
          <w:sz w:val="21"/>
          <w:szCs w:val="21"/>
        </w:rPr>
        <w:t>、报价文件初步审查表（适用标项1,2）</w:t>
      </w:r>
    </w:p>
    <w:p>
      <w:pPr>
        <w:keepNext w:val="0"/>
        <w:keepLines w:val="0"/>
        <w:pageBreakBefore w:val="0"/>
        <w:kinsoku/>
        <w:wordWrap/>
        <w:overflowPunct/>
        <w:topLinePunct w:val="0"/>
        <w:bidi w:val="0"/>
        <w:adjustRightInd/>
        <w:spacing w:line="360" w:lineRule="auto"/>
        <w:jc w:val="center"/>
        <w:textAlignment w:val="auto"/>
        <w:rPr>
          <w:rFonts w:ascii="宋体" w:hAnsi="宋体" w:cs="宋体"/>
          <w:szCs w:val="21"/>
        </w:rPr>
      </w:pPr>
      <w:r>
        <w:rPr>
          <w:rFonts w:hint="eastAsia" w:ascii="宋体" w:hAnsi="宋体" w:cs="宋体"/>
          <w:b/>
          <w:szCs w:val="21"/>
        </w:rPr>
        <w:t>报价文件初步审查表-附表4</w:t>
      </w:r>
    </w:p>
    <w:tbl>
      <w:tblPr>
        <w:tblStyle w:val="19"/>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6730"/>
        <w:gridCol w:w="200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642" w:type="dxa"/>
            <w:vAlign w:val="center"/>
          </w:tcPr>
          <w:p>
            <w:pPr>
              <w:keepNext w:val="0"/>
              <w:keepLines w:val="0"/>
              <w:pageBreakBefore w:val="0"/>
              <w:kinsoku/>
              <w:wordWrap/>
              <w:overflowPunct/>
              <w:topLinePunct w:val="0"/>
              <w:bidi w:val="0"/>
              <w:adjustRightInd/>
              <w:spacing w:line="360" w:lineRule="auto"/>
              <w:jc w:val="center"/>
              <w:textAlignment w:val="auto"/>
              <w:rPr>
                <w:rFonts w:ascii="宋体" w:hAnsi="宋体" w:cs="宋体"/>
                <w:b/>
                <w:sz w:val="18"/>
                <w:szCs w:val="18"/>
              </w:rPr>
            </w:pPr>
            <w:r>
              <w:rPr>
                <w:rFonts w:hint="eastAsia" w:ascii="宋体" w:hAnsi="宋体" w:cs="宋体"/>
                <w:b/>
                <w:sz w:val="18"/>
                <w:szCs w:val="18"/>
              </w:rPr>
              <w:t>序号</w:t>
            </w:r>
          </w:p>
        </w:tc>
        <w:tc>
          <w:tcPr>
            <w:tcW w:w="6730" w:type="dxa"/>
            <w:vAlign w:val="center"/>
          </w:tcPr>
          <w:p>
            <w:pPr>
              <w:keepNext w:val="0"/>
              <w:keepLines w:val="0"/>
              <w:pageBreakBefore w:val="0"/>
              <w:kinsoku/>
              <w:wordWrap/>
              <w:overflowPunct/>
              <w:topLinePunct w:val="0"/>
              <w:bidi w:val="0"/>
              <w:adjustRightInd/>
              <w:spacing w:line="360" w:lineRule="auto"/>
              <w:jc w:val="center"/>
              <w:textAlignment w:val="auto"/>
              <w:rPr>
                <w:rFonts w:ascii="宋体" w:hAnsi="宋体" w:cs="宋体"/>
                <w:b/>
                <w:sz w:val="18"/>
                <w:szCs w:val="18"/>
              </w:rPr>
            </w:pPr>
            <w:r>
              <w:rPr>
                <w:rFonts w:hint="eastAsia" w:ascii="宋体" w:hAnsi="宋体" w:cs="宋体"/>
                <w:b/>
                <w:sz w:val="18"/>
                <w:szCs w:val="18"/>
              </w:rPr>
              <w:t>要求说明</w:t>
            </w:r>
          </w:p>
        </w:tc>
        <w:tc>
          <w:tcPr>
            <w:tcW w:w="2006" w:type="dxa"/>
            <w:vAlign w:val="center"/>
          </w:tcPr>
          <w:p>
            <w:pPr>
              <w:keepNext w:val="0"/>
              <w:keepLines w:val="0"/>
              <w:pageBreakBefore w:val="0"/>
              <w:kinsoku/>
              <w:wordWrap/>
              <w:overflowPunct/>
              <w:topLinePunct w:val="0"/>
              <w:bidi w:val="0"/>
              <w:adjustRightInd/>
              <w:spacing w:line="360" w:lineRule="auto"/>
              <w:jc w:val="center"/>
              <w:textAlignment w:val="auto"/>
              <w:rPr>
                <w:rFonts w:ascii="宋体" w:hAnsi="宋体" w:cs="宋体"/>
                <w:b/>
                <w:sz w:val="18"/>
                <w:szCs w:val="18"/>
              </w:rPr>
            </w:pPr>
            <w:r>
              <w:rPr>
                <w:rFonts w:hint="eastAsia" w:ascii="宋体" w:hAnsi="宋体" w:cs="宋体"/>
                <w:b/>
                <w:sz w:val="18"/>
                <w:szCs w:val="18"/>
              </w:rPr>
              <w:t>审查要求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642" w:type="dxa"/>
            <w:vAlign w:val="center"/>
          </w:tcPr>
          <w:p>
            <w:pPr>
              <w:pStyle w:val="17"/>
              <w:keepNext w:val="0"/>
              <w:keepLines w:val="0"/>
              <w:pageBreakBefore w:val="0"/>
              <w:kinsoku/>
              <w:wordWrap/>
              <w:overflowPunct/>
              <w:topLinePunct w:val="0"/>
              <w:bidi w:val="0"/>
              <w:adjustRightInd/>
              <w:spacing w:before="0" w:after="0" w:line="360" w:lineRule="auto"/>
              <w:textAlignment w:val="auto"/>
              <w:rPr>
                <w:rFonts w:ascii="宋体" w:hAnsi="宋体" w:cs="宋体"/>
                <w:sz w:val="18"/>
                <w:szCs w:val="18"/>
              </w:rPr>
            </w:pPr>
            <w:r>
              <w:rPr>
                <w:rFonts w:hint="eastAsia" w:ascii="宋体" w:hAnsi="宋体" w:cs="宋体"/>
                <w:b w:val="0"/>
                <w:kern w:val="0"/>
                <w:sz w:val="18"/>
                <w:szCs w:val="18"/>
              </w:rPr>
              <w:t>1</w:t>
            </w:r>
          </w:p>
        </w:tc>
        <w:tc>
          <w:tcPr>
            <w:tcW w:w="6730"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按照采购文件规定要求签署或盖章；</w:t>
            </w:r>
          </w:p>
        </w:tc>
        <w:tc>
          <w:tcPr>
            <w:tcW w:w="2006"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42" w:type="dxa"/>
            <w:vAlign w:val="center"/>
          </w:tcPr>
          <w:p>
            <w:pPr>
              <w:keepNext w:val="0"/>
              <w:keepLines w:val="0"/>
              <w:pageBreakBefore w:val="0"/>
              <w:kinsoku/>
              <w:wordWrap/>
              <w:overflowPunct/>
              <w:topLinePunct w:val="0"/>
              <w:bidi w:val="0"/>
              <w:adjustRightInd/>
              <w:spacing w:line="360" w:lineRule="auto"/>
              <w:jc w:val="center"/>
              <w:textAlignment w:val="auto"/>
              <w:rPr>
                <w:rFonts w:ascii="宋体" w:hAnsi="宋体" w:cs="宋体"/>
                <w:sz w:val="18"/>
                <w:szCs w:val="18"/>
              </w:rPr>
            </w:pPr>
            <w:r>
              <w:rPr>
                <w:rFonts w:hint="eastAsia" w:ascii="宋体" w:hAnsi="宋体" w:cs="宋体"/>
                <w:sz w:val="18"/>
                <w:szCs w:val="18"/>
              </w:rPr>
              <w:t>2</w:t>
            </w:r>
          </w:p>
        </w:tc>
        <w:tc>
          <w:tcPr>
            <w:tcW w:w="6730"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投标文件项目齐全；</w:t>
            </w:r>
          </w:p>
        </w:tc>
        <w:tc>
          <w:tcPr>
            <w:tcW w:w="2006"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42" w:type="dxa"/>
            <w:vAlign w:val="center"/>
          </w:tcPr>
          <w:p>
            <w:pPr>
              <w:keepNext w:val="0"/>
              <w:keepLines w:val="0"/>
              <w:pageBreakBefore w:val="0"/>
              <w:kinsoku/>
              <w:wordWrap/>
              <w:overflowPunct/>
              <w:topLinePunct w:val="0"/>
              <w:bidi w:val="0"/>
              <w:adjustRightInd/>
              <w:spacing w:line="360" w:lineRule="auto"/>
              <w:jc w:val="center"/>
              <w:textAlignment w:val="auto"/>
              <w:rPr>
                <w:rFonts w:ascii="宋体" w:hAnsi="宋体" w:cs="宋体"/>
                <w:sz w:val="18"/>
                <w:szCs w:val="18"/>
              </w:rPr>
            </w:pPr>
            <w:r>
              <w:rPr>
                <w:rFonts w:hint="eastAsia" w:ascii="宋体" w:hAnsi="宋体" w:cs="宋体"/>
                <w:sz w:val="18"/>
                <w:szCs w:val="18"/>
              </w:rPr>
              <w:t>3</w:t>
            </w:r>
          </w:p>
        </w:tc>
        <w:tc>
          <w:tcPr>
            <w:tcW w:w="6730"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采用人民币报价或者按照采购文件标明的币种报价的；</w:t>
            </w:r>
          </w:p>
        </w:tc>
        <w:tc>
          <w:tcPr>
            <w:tcW w:w="2006"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42" w:type="dxa"/>
            <w:vAlign w:val="center"/>
          </w:tcPr>
          <w:p>
            <w:pPr>
              <w:keepNext w:val="0"/>
              <w:keepLines w:val="0"/>
              <w:pageBreakBefore w:val="0"/>
              <w:kinsoku/>
              <w:wordWrap/>
              <w:overflowPunct/>
              <w:topLinePunct w:val="0"/>
              <w:bidi w:val="0"/>
              <w:adjustRightInd/>
              <w:spacing w:line="360" w:lineRule="auto"/>
              <w:jc w:val="center"/>
              <w:textAlignment w:val="auto"/>
              <w:rPr>
                <w:rFonts w:ascii="宋体" w:hAnsi="宋体" w:cs="宋体"/>
                <w:sz w:val="18"/>
                <w:szCs w:val="18"/>
              </w:rPr>
            </w:pPr>
            <w:r>
              <w:rPr>
                <w:rFonts w:hint="eastAsia" w:ascii="宋体" w:hAnsi="宋体" w:cs="宋体"/>
                <w:sz w:val="18"/>
                <w:szCs w:val="18"/>
              </w:rPr>
              <w:t>4</w:t>
            </w:r>
          </w:p>
        </w:tc>
        <w:tc>
          <w:tcPr>
            <w:tcW w:w="6730"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不存在报价超出最高限价</w:t>
            </w:r>
            <w:r>
              <w:rPr>
                <w:rFonts w:hint="eastAsia" w:ascii="宋体" w:hAnsi="宋体" w:cs="宋体"/>
                <w:sz w:val="18"/>
                <w:szCs w:val="18"/>
                <w:lang w:eastAsia="zh-CN"/>
              </w:rPr>
              <w:t>（</w:t>
            </w:r>
            <w:r>
              <w:rPr>
                <w:rFonts w:hint="eastAsia" w:ascii="宋体" w:hAnsi="宋体" w:cs="宋体"/>
                <w:sz w:val="18"/>
                <w:szCs w:val="18"/>
                <w:lang w:val="en-US" w:eastAsia="zh-CN"/>
              </w:rPr>
              <w:t>最高总限价或任一标项最高限价</w:t>
            </w:r>
            <w:r>
              <w:rPr>
                <w:rFonts w:hint="eastAsia" w:ascii="宋体" w:hAnsi="宋体" w:cs="宋体"/>
                <w:sz w:val="18"/>
                <w:szCs w:val="18"/>
                <w:lang w:eastAsia="zh-CN"/>
              </w:rPr>
              <w:t>）</w:t>
            </w:r>
            <w:r>
              <w:rPr>
                <w:rFonts w:hint="eastAsia" w:ascii="宋体" w:hAnsi="宋体" w:cs="宋体"/>
                <w:sz w:val="18"/>
                <w:szCs w:val="18"/>
              </w:rPr>
              <w:t>，或者超出采购预算金额</w:t>
            </w:r>
            <w:r>
              <w:rPr>
                <w:rFonts w:hint="eastAsia" w:ascii="宋体" w:hAnsi="宋体" w:cs="宋体"/>
                <w:sz w:val="18"/>
                <w:szCs w:val="18"/>
                <w:lang w:eastAsia="zh-CN"/>
              </w:rPr>
              <w:t>（</w:t>
            </w:r>
            <w:r>
              <w:rPr>
                <w:rFonts w:hint="eastAsia" w:ascii="宋体" w:hAnsi="宋体" w:cs="宋体"/>
                <w:sz w:val="18"/>
                <w:szCs w:val="18"/>
              </w:rPr>
              <w:t>采购</w:t>
            </w:r>
            <w:r>
              <w:rPr>
                <w:rFonts w:hint="eastAsia" w:ascii="宋体" w:hAnsi="宋体" w:cs="宋体"/>
                <w:sz w:val="18"/>
                <w:szCs w:val="18"/>
                <w:lang w:val="en-US" w:eastAsia="zh-CN"/>
              </w:rPr>
              <w:t>总</w:t>
            </w:r>
            <w:r>
              <w:rPr>
                <w:rFonts w:hint="eastAsia" w:ascii="宋体" w:hAnsi="宋体" w:cs="宋体"/>
                <w:sz w:val="18"/>
                <w:szCs w:val="18"/>
              </w:rPr>
              <w:t>预算金额</w:t>
            </w:r>
            <w:r>
              <w:rPr>
                <w:rFonts w:hint="eastAsia" w:ascii="宋体" w:hAnsi="宋体" w:cs="宋体"/>
                <w:sz w:val="18"/>
                <w:szCs w:val="18"/>
                <w:lang w:val="en-US" w:eastAsia="zh-CN"/>
              </w:rPr>
              <w:t>或任一标项</w:t>
            </w:r>
            <w:r>
              <w:rPr>
                <w:rFonts w:hint="eastAsia" w:ascii="宋体" w:hAnsi="宋体" w:cs="宋体"/>
                <w:sz w:val="18"/>
                <w:szCs w:val="18"/>
              </w:rPr>
              <w:t>采购预算金额</w:t>
            </w:r>
            <w:r>
              <w:rPr>
                <w:rFonts w:hint="eastAsia" w:ascii="宋体" w:hAnsi="宋体" w:cs="宋体"/>
                <w:sz w:val="18"/>
                <w:szCs w:val="18"/>
                <w:lang w:eastAsia="zh-CN"/>
              </w:rPr>
              <w:t>）</w:t>
            </w:r>
            <w:r>
              <w:rPr>
                <w:rFonts w:hint="eastAsia" w:ascii="宋体" w:hAnsi="宋体" w:cs="宋体"/>
                <w:sz w:val="18"/>
                <w:szCs w:val="18"/>
              </w:rPr>
              <w:t>，采购人不能支付的情形；</w:t>
            </w:r>
          </w:p>
        </w:tc>
        <w:tc>
          <w:tcPr>
            <w:tcW w:w="2006"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42" w:type="dxa"/>
            <w:vAlign w:val="center"/>
          </w:tcPr>
          <w:p>
            <w:pPr>
              <w:keepNext w:val="0"/>
              <w:keepLines w:val="0"/>
              <w:pageBreakBefore w:val="0"/>
              <w:kinsoku/>
              <w:wordWrap/>
              <w:overflowPunct/>
              <w:topLinePunct w:val="0"/>
              <w:bidi w:val="0"/>
              <w:adjustRightInd/>
              <w:spacing w:line="360" w:lineRule="auto"/>
              <w:jc w:val="center"/>
              <w:textAlignment w:val="auto"/>
              <w:rPr>
                <w:rFonts w:ascii="宋体" w:hAnsi="宋体" w:cs="宋体"/>
                <w:sz w:val="18"/>
                <w:szCs w:val="18"/>
              </w:rPr>
            </w:pPr>
            <w:r>
              <w:rPr>
                <w:rFonts w:hint="eastAsia" w:ascii="宋体" w:hAnsi="宋体" w:cs="宋体"/>
                <w:sz w:val="18"/>
                <w:szCs w:val="18"/>
              </w:rPr>
              <w:t>5</w:t>
            </w:r>
          </w:p>
        </w:tc>
        <w:tc>
          <w:tcPr>
            <w:tcW w:w="6730"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不存在投标报价具有选择性的情形；</w:t>
            </w:r>
          </w:p>
        </w:tc>
        <w:tc>
          <w:tcPr>
            <w:tcW w:w="2006"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42" w:type="dxa"/>
            <w:vAlign w:val="center"/>
          </w:tcPr>
          <w:p>
            <w:pPr>
              <w:keepNext w:val="0"/>
              <w:keepLines w:val="0"/>
              <w:pageBreakBefore w:val="0"/>
              <w:kinsoku/>
              <w:wordWrap/>
              <w:overflowPunct/>
              <w:topLinePunct w:val="0"/>
              <w:bidi w:val="0"/>
              <w:adjustRightInd/>
              <w:spacing w:line="360" w:lineRule="auto"/>
              <w:jc w:val="center"/>
              <w:textAlignment w:val="auto"/>
              <w:rPr>
                <w:rFonts w:ascii="宋体" w:hAnsi="宋体" w:cs="宋体"/>
                <w:sz w:val="18"/>
                <w:szCs w:val="18"/>
              </w:rPr>
            </w:pPr>
            <w:r>
              <w:rPr>
                <w:rFonts w:hint="eastAsia" w:ascii="宋体" w:hAnsi="宋体" w:cs="宋体"/>
                <w:sz w:val="18"/>
                <w:szCs w:val="18"/>
              </w:rPr>
              <w:t>6</w:t>
            </w:r>
          </w:p>
        </w:tc>
        <w:tc>
          <w:tcPr>
            <w:tcW w:w="6730"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投标报价中未出现重大缺项、漏项；</w:t>
            </w:r>
          </w:p>
        </w:tc>
        <w:tc>
          <w:tcPr>
            <w:tcW w:w="2006"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42" w:type="dxa"/>
            <w:vAlign w:val="center"/>
          </w:tcPr>
          <w:p>
            <w:pPr>
              <w:keepNext w:val="0"/>
              <w:keepLines w:val="0"/>
              <w:pageBreakBefore w:val="0"/>
              <w:kinsoku/>
              <w:wordWrap/>
              <w:overflowPunct/>
              <w:topLinePunct w:val="0"/>
              <w:bidi w:val="0"/>
              <w:adjustRightInd/>
              <w:spacing w:line="360" w:lineRule="auto"/>
              <w:jc w:val="center"/>
              <w:textAlignment w:val="auto"/>
              <w:rPr>
                <w:rFonts w:ascii="宋体" w:hAnsi="宋体" w:cs="宋体"/>
                <w:sz w:val="18"/>
                <w:szCs w:val="18"/>
              </w:rPr>
            </w:pPr>
            <w:r>
              <w:rPr>
                <w:rFonts w:hint="eastAsia" w:ascii="宋体" w:hAnsi="宋体" w:cs="宋体"/>
                <w:sz w:val="18"/>
                <w:szCs w:val="18"/>
              </w:rPr>
              <w:t>7</w:t>
            </w:r>
          </w:p>
        </w:tc>
        <w:tc>
          <w:tcPr>
            <w:tcW w:w="6730"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不存在评标委员会认为供应商的报价明显低于其他通过符合性审查供应商的报价，有可能影响产品质量或者不能诚信履约的且不能在评标现场合理时间内提供相关证明材料说明其报价的合理性的情形；</w:t>
            </w:r>
          </w:p>
        </w:tc>
        <w:tc>
          <w:tcPr>
            <w:tcW w:w="2006"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42" w:type="dxa"/>
            <w:vAlign w:val="center"/>
          </w:tcPr>
          <w:p>
            <w:pPr>
              <w:keepNext w:val="0"/>
              <w:keepLines w:val="0"/>
              <w:pageBreakBefore w:val="0"/>
              <w:kinsoku/>
              <w:wordWrap/>
              <w:overflowPunct/>
              <w:topLinePunct w:val="0"/>
              <w:bidi w:val="0"/>
              <w:adjustRightInd/>
              <w:spacing w:line="360" w:lineRule="auto"/>
              <w:jc w:val="center"/>
              <w:textAlignment w:val="auto"/>
              <w:rPr>
                <w:rFonts w:ascii="宋体" w:hAnsi="宋体" w:cs="宋体"/>
                <w:sz w:val="18"/>
                <w:szCs w:val="18"/>
              </w:rPr>
            </w:pPr>
            <w:r>
              <w:rPr>
                <w:rFonts w:hint="eastAsia" w:ascii="宋体" w:hAnsi="宋体" w:cs="宋体"/>
                <w:sz w:val="18"/>
                <w:szCs w:val="18"/>
              </w:rPr>
              <w:t>8</w:t>
            </w:r>
          </w:p>
        </w:tc>
        <w:tc>
          <w:tcPr>
            <w:tcW w:w="6730"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投标文件（报价文件）内容与投标文件（商务技术文件）内容不存在重大差异的；</w:t>
            </w:r>
          </w:p>
        </w:tc>
        <w:tc>
          <w:tcPr>
            <w:tcW w:w="2006"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42" w:type="dxa"/>
            <w:vAlign w:val="center"/>
          </w:tcPr>
          <w:p>
            <w:pPr>
              <w:keepNext w:val="0"/>
              <w:keepLines w:val="0"/>
              <w:pageBreakBefore w:val="0"/>
              <w:kinsoku/>
              <w:wordWrap/>
              <w:overflowPunct/>
              <w:topLinePunct w:val="0"/>
              <w:bidi w:val="0"/>
              <w:adjustRightInd/>
              <w:spacing w:line="360" w:lineRule="auto"/>
              <w:jc w:val="center"/>
              <w:textAlignment w:val="auto"/>
              <w:rPr>
                <w:rFonts w:ascii="宋体" w:hAnsi="宋体" w:cs="宋体"/>
                <w:sz w:val="18"/>
                <w:szCs w:val="18"/>
              </w:rPr>
            </w:pPr>
            <w:r>
              <w:rPr>
                <w:rFonts w:hint="eastAsia" w:ascii="宋体" w:hAnsi="宋体" w:cs="宋体"/>
                <w:sz w:val="18"/>
                <w:szCs w:val="18"/>
              </w:rPr>
              <w:t>9</w:t>
            </w:r>
          </w:p>
        </w:tc>
        <w:tc>
          <w:tcPr>
            <w:tcW w:w="6730"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不存在法律、法规和采购文件规定的其他无效情形；</w:t>
            </w:r>
          </w:p>
        </w:tc>
        <w:tc>
          <w:tcPr>
            <w:tcW w:w="2006"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r>
              <w:rPr>
                <w:rFonts w:hint="eastAsia" w:ascii="宋体" w:hAnsi="宋体" w:cs="宋体"/>
                <w:sz w:val="18"/>
                <w:szCs w:val="18"/>
              </w:rPr>
              <w:t>符合所述要求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7372" w:type="dxa"/>
            <w:gridSpan w:val="2"/>
            <w:vAlign w:val="center"/>
          </w:tcPr>
          <w:p>
            <w:pPr>
              <w:keepNext w:val="0"/>
              <w:keepLines w:val="0"/>
              <w:pageBreakBefore w:val="0"/>
              <w:kinsoku/>
              <w:wordWrap/>
              <w:overflowPunct/>
              <w:topLinePunct w:val="0"/>
              <w:bidi w:val="0"/>
              <w:adjustRightInd/>
              <w:spacing w:line="360" w:lineRule="auto"/>
              <w:jc w:val="center"/>
              <w:textAlignment w:val="auto"/>
              <w:rPr>
                <w:rFonts w:ascii="宋体" w:hAnsi="宋体" w:cs="宋体"/>
                <w:sz w:val="18"/>
                <w:szCs w:val="18"/>
              </w:rPr>
            </w:pPr>
            <w:r>
              <w:rPr>
                <w:rFonts w:hint="eastAsia" w:ascii="宋体" w:hAnsi="宋体" w:cs="宋体"/>
                <w:b/>
                <w:sz w:val="18"/>
                <w:szCs w:val="18"/>
              </w:rPr>
              <w:t>初步审查结论</w:t>
            </w:r>
          </w:p>
        </w:tc>
        <w:tc>
          <w:tcPr>
            <w:tcW w:w="2006" w:type="dxa"/>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 w:val="18"/>
                <w:szCs w:val="18"/>
              </w:rPr>
            </w:pPr>
          </w:p>
        </w:tc>
      </w:tr>
    </w:tbl>
    <w:p>
      <w:pPr>
        <w:pStyle w:val="6"/>
        <w:keepNext w:val="0"/>
        <w:keepLines w:val="0"/>
        <w:pageBreakBefore w:val="0"/>
        <w:kinsoku/>
        <w:wordWrap/>
        <w:overflowPunct/>
        <w:topLinePunct w:val="0"/>
        <w:bidi w:val="0"/>
        <w:adjustRightInd/>
        <w:spacing w:line="360" w:lineRule="auto"/>
        <w:textAlignment w:val="auto"/>
        <w:rPr>
          <w:rFonts w:cs="宋体"/>
          <w:b/>
          <w:sz w:val="21"/>
          <w:szCs w:val="21"/>
        </w:rPr>
      </w:pPr>
      <w:r>
        <w:rPr>
          <w:rFonts w:hint="eastAsia" w:cs="宋体"/>
          <w:b/>
          <w:sz w:val="21"/>
          <w:szCs w:val="21"/>
        </w:rPr>
        <w:t>注：上述审查项目中，任意一项不符合的，报价审查不合格。本项无需在政采云中设置关联点。</w:t>
      </w:r>
    </w:p>
    <w:p>
      <w:pPr>
        <w:keepNext w:val="0"/>
        <w:keepLines w:val="0"/>
        <w:pageBreakBefore w:val="0"/>
        <w:kinsoku/>
        <w:wordWrap/>
        <w:overflowPunct/>
        <w:topLinePunct w:val="0"/>
        <w:bidi w:val="0"/>
        <w:adjustRightInd/>
        <w:spacing w:line="360" w:lineRule="auto"/>
        <w:textAlignment w:val="auto"/>
        <w:rPr>
          <w:rFonts w:ascii="宋体" w:hAnsi="宋体" w:cs="宋体"/>
          <w:b/>
          <w:szCs w:val="21"/>
        </w:rPr>
      </w:pPr>
    </w:p>
    <w:p>
      <w:pPr>
        <w:keepNext w:val="0"/>
        <w:keepLines w:val="0"/>
        <w:pageBreakBefore w:val="0"/>
        <w:kinsoku/>
        <w:wordWrap/>
        <w:overflowPunct/>
        <w:topLinePunct w:val="0"/>
        <w:bidi w:val="0"/>
        <w:adjustRightInd/>
        <w:spacing w:line="360" w:lineRule="auto"/>
        <w:textAlignment w:val="auto"/>
        <w:rPr>
          <w:rFonts w:ascii="宋体" w:hAnsi="宋体" w:cs="宋体"/>
          <w:b/>
          <w:szCs w:val="21"/>
        </w:rPr>
      </w:pPr>
      <w:r>
        <w:rPr>
          <w:rFonts w:hint="eastAsia" w:ascii="宋体" w:hAnsi="宋体" w:cs="宋体"/>
          <w:b/>
          <w:szCs w:val="21"/>
        </w:rPr>
        <w:t>（五）</w:t>
      </w:r>
      <w:r>
        <w:rPr>
          <w:rFonts w:hint="eastAsia" w:ascii="宋体" w:hAnsi="宋体" w:cs="宋体"/>
          <w:b/>
          <w:bCs/>
          <w:szCs w:val="21"/>
        </w:rPr>
        <w:t>价格评审（适用标项1,2）</w:t>
      </w:r>
    </w:p>
    <w:p>
      <w:pPr>
        <w:keepNext w:val="0"/>
        <w:keepLines w:val="0"/>
        <w:pageBreakBefore w:val="0"/>
        <w:widowControl/>
        <w:kinsoku/>
        <w:wordWrap/>
        <w:overflowPunct/>
        <w:topLinePunct w:val="0"/>
        <w:bidi w:val="0"/>
        <w:adjustRightInd/>
        <w:snapToGrid w:val="0"/>
        <w:spacing w:line="360" w:lineRule="auto"/>
        <w:jc w:val="center"/>
        <w:textAlignment w:val="auto"/>
        <w:rPr>
          <w:rFonts w:ascii="宋体" w:hAnsi="宋体" w:cs="宋体"/>
          <w:szCs w:val="21"/>
        </w:rPr>
      </w:pPr>
      <w:r>
        <w:rPr>
          <w:rFonts w:hint="eastAsia" w:ascii="宋体" w:hAnsi="宋体" w:cs="宋体"/>
          <w:b/>
          <w:szCs w:val="21"/>
        </w:rPr>
        <w:t>价格评分表-附件5</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639" w:type="dxa"/>
            <w:tcMar>
              <w:top w:w="0" w:type="dxa"/>
              <w:left w:w="108" w:type="dxa"/>
              <w:bottom w:w="0" w:type="dxa"/>
              <w:right w:w="108" w:type="dxa"/>
            </w:tcMar>
            <w:vAlign w:val="center"/>
          </w:tcPr>
          <w:p>
            <w:pPr>
              <w:keepNext w:val="0"/>
              <w:keepLines w:val="0"/>
              <w:pageBreakBefore w:val="0"/>
              <w:kinsoku/>
              <w:wordWrap/>
              <w:overflowPunct/>
              <w:topLinePunct w:val="0"/>
              <w:bidi w:val="0"/>
              <w:adjustRightInd/>
              <w:spacing w:line="360" w:lineRule="auto"/>
              <w:jc w:val="center"/>
              <w:textAlignment w:val="auto"/>
              <w:rPr>
                <w:rFonts w:ascii="宋体" w:hAnsi="宋体" w:cs="宋体"/>
                <w:b/>
                <w:kern w:val="0"/>
                <w:szCs w:val="21"/>
              </w:rPr>
            </w:pPr>
            <w:r>
              <w:rPr>
                <w:rFonts w:hint="eastAsia" w:ascii="宋体" w:hAnsi="宋体" w:cs="宋体"/>
                <w:b/>
                <w:kern w:val="0"/>
                <w:szCs w:val="21"/>
              </w:rPr>
              <w:t>价格分（15分）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atLeast"/>
          <w:jc w:val="center"/>
        </w:trPr>
        <w:tc>
          <w:tcPr>
            <w:tcW w:w="9639" w:type="dxa"/>
            <w:tcMar>
              <w:top w:w="0" w:type="dxa"/>
              <w:left w:w="108" w:type="dxa"/>
              <w:bottom w:w="0" w:type="dxa"/>
              <w:right w:w="108" w:type="dxa"/>
            </w:tcMar>
            <w:vAlign w:val="center"/>
          </w:tcPr>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投标报价得分（15分）：</w:t>
            </w:r>
          </w:p>
          <w:p>
            <w:pPr>
              <w:keepNext w:val="0"/>
              <w:keepLines w:val="0"/>
              <w:pageBreakBefore w:val="0"/>
              <w:widowControl/>
              <w:kinsoku/>
              <w:wordWrap/>
              <w:overflowPunct/>
              <w:topLinePunct w:val="0"/>
              <w:bidi w:val="0"/>
              <w:adjustRightInd/>
              <w:spacing w:line="360" w:lineRule="auto"/>
              <w:textAlignment w:val="auto"/>
              <w:rPr>
                <w:rFonts w:ascii="宋体" w:hAnsi="宋体" w:cs="宋体"/>
                <w:szCs w:val="21"/>
              </w:rPr>
            </w:pPr>
            <w:r>
              <w:rPr>
                <w:rFonts w:hint="eastAsia" w:ascii="宋体" w:hAnsi="宋体" w:cs="宋体"/>
                <w:kern w:val="0"/>
                <w:szCs w:val="21"/>
              </w:rPr>
              <w:t>报价分采用低价优先法计算：</w:t>
            </w:r>
          </w:p>
          <w:p>
            <w:pPr>
              <w:keepNext w:val="0"/>
              <w:keepLines w:val="0"/>
              <w:pageBreakBefore w:val="0"/>
              <w:kinsoku/>
              <w:wordWrap/>
              <w:overflowPunct/>
              <w:topLinePunct w:val="0"/>
              <w:bidi w:val="0"/>
              <w:adjustRightInd/>
              <w:spacing w:line="360" w:lineRule="auto"/>
              <w:textAlignment w:val="auto"/>
              <w:rPr>
                <w:rFonts w:hint="eastAsia" w:ascii="宋体" w:hAnsi="宋体" w:eastAsia="宋体" w:cs="宋体"/>
                <w:szCs w:val="21"/>
                <w:lang w:eastAsia="zh-CN"/>
              </w:rPr>
            </w:pPr>
            <w:r>
              <w:rPr>
                <w:rFonts w:hint="eastAsia" w:ascii="宋体" w:hAnsi="宋体" w:cs="宋体"/>
                <w:szCs w:val="21"/>
              </w:rPr>
              <w:t>参与评审的价格=</w:t>
            </w:r>
            <w:r>
              <w:rPr>
                <w:rFonts w:hint="eastAsia" w:ascii="宋体" w:hAnsi="宋体" w:cs="宋体"/>
                <w:b/>
                <w:bCs/>
                <w:szCs w:val="21"/>
                <w:lang w:val="en-US" w:eastAsia="zh-CN"/>
              </w:rPr>
              <w:t>投标人</w:t>
            </w:r>
            <w:r>
              <w:rPr>
                <w:rFonts w:hint="eastAsia" w:ascii="宋体" w:hAnsi="宋体" w:cs="宋体"/>
                <w:b/>
                <w:bCs/>
                <w:szCs w:val="21"/>
              </w:rPr>
              <w:t>投标报价</w:t>
            </w:r>
            <w:r>
              <w:rPr>
                <w:rFonts w:hint="eastAsia" w:ascii="宋体" w:hAnsi="宋体" w:cs="宋体"/>
                <w:b/>
                <w:bCs/>
                <w:szCs w:val="21"/>
                <w:lang w:eastAsia="zh-CN"/>
              </w:rPr>
              <w:t>（</w:t>
            </w:r>
            <w:r>
              <w:rPr>
                <w:rFonts w:hint="eastAsia" w:ascii="宋体" w:hAnsi="宋体" w:cs="宋体"/>
                <w:b/>
                <w:bCs/>
                <w:szCs w:val="21"/>
                <w:lang w:val="en-US" w:eastAsia="zh-CN"/>
              </w:rPr>
              <w:t>1年</w:t>
            </w:r>
            <w:r>
              <w:rPr>
                <w:rFonts w:hint="eastAsia" w:ascii="宋体" w:hAnsi="宋体" w:cs="宋体"/>
                <w:b/>
                <w:bCs/>
                <w:szCs w:val="21"/>
                <w:lang w:eastAsia="zh-CN"/>
              </w:rPr>
              <w:t>）</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基准价：满足招标文件要求（资信、商务及技术审查合格）且参与评审的价格最低的报价为基准价，得满分15分</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其他投标报价得分计算公式如下：</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投标价得分=（评标基准价/参与评审的价格）×15%×100</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投标报价得分以四舍五入保留小数点后两位。</w:t>
            </w:r>
          </w:p>
          <w:p>
            <w:pPr>
              <w:keepNext w:val="0"/>
              <w:keepLines w:val="0"/>
              <w:pageBreakBefore w:val="0"/>
              <w:kinsoku/>
              <w:wordWrap/>
              <w:overflowPunct/>
              <w:topLinePunct w:val="0"/>
              <w:bidi w:val="0"/>
              <w:adjustRightInd/>
              <w:spacing w:line="360" w:lineRule="auto"/>
              <w:textAlignment w:val="auto"/>
              <w:rPr>
                <w:rFonts w:hint="default" w:eastAsia="宋体"/>
                <w:lang w:val="en-US" w:eastAsia="zh-CN"/>
              </w:rPr>
            </w:pPr>
            <w:r>
              <w:rPr>
                <w:rFonts w:hint="eastAsia" w:ascii="宋体" w:hAnsi="宋体" w:cs="宋体"/>
                <w:szCs w:val="21"/>
              </w:rPr>
              <w:t>（小微企业提供佐证证明）</w:t>
            </w:r>
          </w:p>
        </w:tc>
      </w:tr>
    </w:tbl>
    <w:p>
      <w:pPr>
        <w:keepNext w:val="0"/>
        <w:keepLines w:val="0"/>
        <w:pageBreakBefore w:val="0"/>
        <w:kinsoku/>
        <w:wordWrap/>
        <w:overflowPunct/>
        <w:topLinePunct w:val="0"/>
        <w:bidi w:val="0"/>
        <w:adjustRightInd/>
        <w:spacing w:line="360" w:lineRule="auto"/>
        <w:jc w:val="left"/>
        <w:textAlignment w:val="auto"/>
        <w:rPr>
          <w:rFonts w:ascii="宋体" w:hAnsi="宋体"/>
          <w:szCs w:val="21"/>
        </w:rPr>
      </w:pPr>
      <w:r>
        <w:rPr>
          <w:rFonts w:hint="eastAsia" w:ascii="宋体" w:hAnsi="宋体"/>
          <w:b/>
          <w:sz w:val="18"/>
          <w:szCs w:val="18"/>
        </w:rPr>
        <w:t>注：1、本项目为</w:t>
      </w:r>
      <w:r>
        <w:rPr>
          <w:rFonts w:hint="eastAsia" w:ascii="宋体" w:hAnsi="宋体"/>
          <w:b/>
          <w:color w:val="FF0000"/>
          <w:sz w:val="18"/>
          <w:szCs w:val="18"/>
        </w:rPr>
        <w:t>专门面向中小企业</w:t>
      </w:r>
      <w:r>
        <w:rPr>
          <w:rFonts w:hint="eastAsia" w:ascii="宋体" w:hAnsi="宋体"/>
          <w:b/>
          <w:sz w:val="18"/>
          <w:szCs w:val="18"/>
        </w:rPr>
        <w:t>的采购项目。符合要求的监狱企业和残疾人福利性单位视作小微企业:根据《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关于促进残疾人就业政府采购政策的通知》（财库〔2017〕141号）规定，残疾人福利性单位视同小型、微型企业（残疾人福利性单位属于小型、微型企业的，不重复享受政策）。</w:t>
      </w:r>
    </w:p>
    <w:p>
      <w:pPr>
        <w:keepNext w:val="0"/>
        <w:keepLines w:val="0"/>
        <w:pageBreakBefore w:val="0"/>
        <w:kinsoku/>
        <w:wordWrap/>
        <w:overflowPunct/>
        <w:topLinePunct w:val="0"/>
        <w:bidi w:val="0"/>
        <w:adjustRightInd/>
        <w:spacing w:line="360" w:lineRule="auto"/>
        <w:jc w:val="left"/>
        <w:textAlignment w:val="auto"/>
        <w:rPr>
          <w:rFonts w:ascii="宋体" w:hAnsi="宋体" w:cs="宋体"/>
          <w:szCs w:val="21"/>
        </w:rPr>
      </w:pPr>
      <w:r>
        <w:rPr>
          <w:rFonts w:hint="eastAsia" w:ascii="宋体" w:hAnsi="宋体" w:cs="宋体"/>
          <w:b/>
          <w:bCs/>
          <w:szCs w:val="21"/>
        </w:rPr>
        <w:t>（六）、澄清或者说明</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1、对投标文件审查中发现的投标文件表达含义不明确、同类问题表述不一致或者有明显文字和计算错误的内容，评标委员会应当书面形式要求供应商作出必要的澄清、说明或者补正。</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2、供应商的澄清、说明或者补正应当采用书面形式，并加盖公章，或者由法定代表人或其委托代理人的签字。供应商的澄清、说明或者补正不得超出投标文件的范围或者改变投标文件的实质性内容。</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3、若供应商未响应澄清安排的通知到场进行答疑和澄清，将被视作自动放弃。</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4、政采云具体操作如下：</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在评审过程中，如评标委员会对投标文件有疑问，由评标委员会组长将问题汇总后发函，或由采购代理机构代替发起。供应商在截止时间前，予以回复。此回复将作为投标文件内容的一部分，具有相应的法律效力。</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路径：用户中心—项目采购—询标澄清</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（1）政采云平台通过待办事项和短信提醒供应商在截止时间前完成澄清。</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（2）供应商在“询标澄清-待办理”标签页下选择状态为“待澄清”的项目，点击操作栏【澄清】。</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（3）查看函内容，在澄清截止时间前上传澄清文件并对澄清文件进行签章。（注：澄清文件必须以PDF格式上传，文件大小：50M）</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（4）签章完成，文件名称处显示“已签章”，供应商可“撤回签章”修改澄清函和“查看文件”。</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（6）完成状态：供应商澄清文件提交成功后，在“询标澄清-全部”标签页下显示状态为“已澄清”。</w:t>
      </w:r>
    </w:p>
    <w:p>
      <w:pPr>
        <w:keepNext w:val="0"/>
        <w:keepLines w:val="0"/>
        <w:pageBreakBefore w:val="0"/>
        <w:kinsoku/>
        <w:wordWrap/>
        <w:overflowPunct/>
        <w:topLinePunct w:val="0"/>
        <w:bidi w:val="0"/>
        <w:adjustRightInd/>
        <w:spacing w:line="360" w:lineRule="auto"/>
        <w:textAlignment w:val="auto"/>
        <w:rPr>
          <w:rFonts w:ascii="宋体" w:hAnsi="宋体" w:cs="宋体"/>
          <w:b/>
          <w:bCs/>
          <w:szCs w:val="21"/>
        </w:rPr>
      </w:pPr>
      <w:r>
        <w:rPr>
          <w:rFonts w:hint="eastAsia" w:ascii="宋体" w:hAnsi="宋体" w:cs="宋体"/>
          <w:b/>
          <w:bCs/>
          <w:szCs w:val="21"/>
        </w:rPr>
        <w:t>（七、投标文件比较和评价</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1、由评标委员会按照采购文件的要求和“评标标准（兼评委打分表）”对照投标人投标文件的响应进行技术、资信商务比较和评价，评定其偏离性质和程度，并对其技术、资信商务进行评分。</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2、 综合评分：计算各投标人的价格得分。评标委员会成员对各投标人进行综合评分。各投标人的综合评分=技术分+资信商务分+价格分</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b/>
          <w:bCs/>
          <w:szCs w:val="21"/>
        </w:rPr>
        <w:t>（八）、确定中标候选人名单</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1、由评标委员会负责计算各投标人最终得分：计算各评标委员会成员对各投标人的综合评分的算术平均值（保留小数点后二位）。</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2、评标结果排序：按照各投标人最终得分由高到低顺序排列。得分相同的，按投标报价由低到高顺序排列。得分且投标报价相同的并列。</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3、确定中标候选人名单：投标文件满足采购文件全部实质性要求，且按照评审因素的量化指标评审每个子包号综合得分排序前二位的为中标候选人，最终得分排名第一的候选人为中标人。</w:t>
      </w:r>
    </w:p>
    <w:p>
      <w:pPr>
        <w:keepNext w:val="0"/>
        <w:keepLines w:val="0"/>
        <w:pageBreakBefore w:val="0"/>
        <w:kinsoku/>
        <w:wordWrap/>
        <w:overflowPunct/>
        <w:topLinePunct w:val="0"/>
        <w:bidi w:val="0"/>
        <w:adjustRightInd/>
        <w:spacing w:line="360" w:lineRule="auto"/>
        <w:textAlignment w:val="auto"/>
        <w:rPr>
          <w:rFonts w:ascii="宋体" w:hAnsi="宋体" w:cs="宋体"/>
          <w:b/>
          <w:bCs/>
          <w:szCs w:val="21"/>
        </w:rPr>
      </w:pPr>
      <w:r>
        <w:rPr>
          <w:rFonts w:hint="eastAsia" w:ascii="宋体" w:hAnsi="宋体" w:cs="宋体"/>
          <w:b/>
          <w:bCs/>
          <w:szCs w:val="21"/>
        </w:rPr>
        <w:t>（六）、编写评标报告</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1、评标委员会根据全体评标成员签字的原始评标记录和评标结果编写评标报告；</w:t>
      </w:r>
    </w:p>
    <w:p>
      <w:pPr>
        <w:keepNext w:val="0"/>
        <w:keepLines w:val="0"/>
        <w:pageBreakBefore w:val="0"/>
        <w:kinsoku/>
        <w:wordWrap/>
        <w:overflowPunct/>
        <w:topLinePunct w:val="0"/>
        <w:bidi w:val="0"/>
        <w:adjustRightInd/>
        <w:spacing w:line="360" w:lineRule="auto"/>
        <w:textAlignment w:val="auto"/>
        <w:rPr>
          <w:rFonts w:ascii="宋体" w:hAnsi="宋体" w:cs="宋体"/>
          <w:szCs w:val="21"/>
        </w:rPr>
      </w:pPr>
      <w:r>
        <w:rPr>
          <w:rFonts w:hint="eastAsia" w:ascii="宋体" w:hAnsi="宋体" w:cs="宋体"/>
          <w:szCs w:val="21"/>
        </w:rPr>
        <w:t>2、评标结束。</w:t>
      </w:r>
    </w:p>
    <w:p>
      <w:pPr>
        <w:pStyle w:val="2"/>
        <w:rPr>
          <w:sz w:val="32"/>
          <w:szCs w:val="32"/>
        </w:rPr>
      </w:pPr>
      <w:r>
        <w:rPr>
          <w:rFonts w:hint="eastAsia"/>
          <w:b w:val="0"/>
          <w:szCs w:val="21"/>
        </w:rPr>
        <w:br w:type="page"/>
      </w:r>
      <w:bookmarkStart w:id="6" w:name="_Toc26627"/>
      <w:r>
        <w:rPr>
          <w:rFonts w:hint="eastAsia"/>
          <w:sz w:val="32"/>
          <w:szCs w:val="32"/>
        </w:rPr>
        <w:t>第五章</w:t>
      </w:r>
      <w:r>
        <w:rPr>
          <w:sz w:val="32"/>
          <w:szCs w:val="32"/>
        </w:rPr>
        <w:t xml:space="preserve">  </w:t>
      </w:r>
      <w:r>
        <w:rPr>
          <w:rFonts w:hint="eastAsia"/>
          <w:sz w:val="32"/>
          <w:szCs w:val="32"/>
        </w:rPr>
        <w:t>采购合同样本</w:t>
      </w:r>
      <w:bookmarkEnd w:id="6"/>
    </w:p>
    <w:p>
      <w:pPr>
        <w:pStyle w:val="10"/>
        <w:snapToGrid w:val="0"/>
        <w:spacing w:before="120" w:after="120" w:line="440" w:lineRule="exact"/>
        <w:jc w:val="center"/>
        <w:rPr>
          <w:rFonts w:ascii="黑体" w:hAnsi="宋体" w:eastAsia="黑体"/>
          <w:sz w:val="30"/>
          <w:szCs w:val="30"/>
        </w:rPr>
      </w:pPr>
      <w:bookmarkStart w:id="7" w:name="_Toc47548782"/>
      <w:r>
        <w:rPr>
          <w:rFonts w:hint="eastAsia" w:ascii="黑体" w:hAnsi="宋体" w:eastAsia="黑体"/>
          <w:sz w:val="30"/>
          <w:szCs w:val="30"/>
        </w:rPr>
        <w:t>第五章  合同主要条款（参考）</w:t>
      </w:r>
      <w:bookmarkEnd w:id="7"/>
      <w:r>
        <w:rPr>
          <w:rFonts w:ascii="黑体" w:hAnsi="宋体" w:eastAsia="黑体"/>
          <w:sz w:val="30"/>
          <w:szCs w:val="30"/>
        </w:rPr>
        <w:t xml:space="preserve"> </w:t>
      </w:r>
    </w:p>
    <w:p>
      <w:pPr>
        <w:snapToGrid w:val="0"/>
        <w:spacing w:before="120" w:beforeLines="50" w:after="120" w:afterLines="50"/>
        <w:jc w:val="center"/>
        <w:rPr>
          <w:rFonts w:ascii="宋体" w:hAnsi="宋体"/>
          <w:b/>
          <w:bCs/>
          <w:sz w:val="30"/>
          <w:szCs w:val="32"/>
        </w:rPr>
      </w:pPr>
      <w:r>
        <w:rPr>
          <w:rFonts w:hint="eastAsia" w:ascii="宋体" w:hAnsi="宋体"/>
          <w:b/>
          <w:sz w:val="30"/>
          <w:szCs w:val="32"/>
        </w:rPr>
        <w:t>浙江省政府采购合同指引</w:t>
      </w:r>
    </w:p>
    <w:p>
      <w:pPr>
        <w:pStyle w:val="10"/>
        <w:keepNext w:val="0"/>
        <w:keepLines w:val="0"/>
        <w:pageBreakBefore w:val="0"/>
        <w:kinsoku/>
        <w:wordWrap/>
        <w:overflowPunct/>
        <w:topLinePunct w:val="0"/>
        <w:autoSpaceDE/>
        <w:autoSpaceDN/>
        <w:bidi w:val="0"/>
        <w:adjustRightInd/>
        <w:snapToGrid w:val="0"/>
        <w:spacing w:before="0" w:beforeAutospacing="0" w:after="0" w:afterAutospacing="0" w:line="360" w:lineRule="auto"/>
        <w:ind w:left="0"/>
        <w:textAlignment w:val="auto"/>
        <w:rPr>
          <w:rFonts w:hint="eastAsia" w:ascii="宋体" w:hAnsi="宋体" w:eastAsia="宋体" w:cs="宋体"/>
          <w:b/>
          <w:sz w:val="21"/>
          <w:szCs w:val="21"/>
        </w:rPr>
      </w:pPr>
      <w:r>
        <w:rPr>
          <w:rFonts w:hint="eastAsia" w:ascii="宋体" w:hAnsi="宋体" w:eastAsia="宋体" w:cs="宋体"/>
          <w:b/>
          <w:sz w:val="21"/>
          <w:szCs w:val="21"/>
        </w:rPr>
        <w:t>甲方（使用方）：</w:t>
      </w:r>
      <w:r>
        <w:rPr>
          <w:rFonts w:hint="eastAsia" w:ascii="宋体" w:hAnsi="宋体" w:eastAsia="宋体" w:cs="宋体"/>
          <w:sz w:val="21"/>
          <w:szCs w:val="21"/>
          <w:u w:val="single"/>
        </w:rPr>
        <w:t>宁波市镇海区交通运输管理中心</w:t>
      </w:r>
    </w:p>
    <w:p>
      <w:pPr>
        <w:pStyle w:val="10"/>
        <w:keepNext w:val="0"/>
        <w:keepLines w:val="0"/>
        <w:pageBreakBefore w:val="0"/>
        <w:kinsoku/>
        <w:wordWrap/>
        <w:overflowPunct/>
        <w:topLinePunct w:val="0"/>
        <w:autoSpaceDE/>
        <w:autoSpaceDN/>
        <w:bidi w:val="0"/>
        <w:adjustRightInd/>
        <w:snapToGrid w:val="0"/>
        <w:spacing w:before="0" w:beforeAutospacing="0" w:after="0" w:afterAutospacing="0" w:line="360" w:lineRule="auto"/>
        <w:ind w:left="0"/>
        <w:textAlignment w:val="auto"/>
        <w:rPr>
          <w:rFonts w:hint="eastAsia" w:ascii="宋体" w:hAnsi="宋体" w:eastAsia="宋体" w:cs="宋体"/>
          <w:sz w:val="21"/>
          <w:szCs w:val="21"/>
        </w:rPr>
      </w:pPr>
      <w:r>
        <w:rPr>
          <w:rFonts w:hint="eastAsia" w:ascii="宋体" w:hAnsi="宋体" w:eastAsia="宋体" w:cs="宋体"/>
          <w:b/>
          <w:sz w:val="21"/>
          <w:szCs w:val="21"/>
        </w:rPr>
        <w:t>乙方（供应商）:</w:t>
      </w:r>
      <w:r>
        <w:rPr>
          <w:rFonts w:hint="eastAsia" w:ascii="宋体" w:hAnsi="宋体" w:eastAsia="宋体" w:cs="宋体"/>
          <w:sz w:val="21"/>
          <w:szCs w:val="21"/>
          <w:u w:val="single"/>
        </w:rPr>
        <w:t xml:space="preserve">                （中标单位全称）</w:t>
      </w:r>
    </w:p>
    <w:p>
      <w:pPr>
        <w:pStyle w:val="10"/>
        <w:keepNext w:val="0"/>
        <w:keepLines w:val="0"/>
        <w:pageBreakBefore w:val="0"/>
        <w:kinsoku/>
        <w:wordWrap/>
        <w:overflowPunct/>
        <w:topLinePunct w:val="0"/>
        <w:autoSpaceDE/>
        <w:autoSpaceDN/>
        <w:bidi w:val="0"/>
        <w:adjustRightInd/>
        <w:snapToGrid w:val="0"/>
        <w:spacing w:before="0" w:beforeAutospacing="0" w:after="0" w:afterAutospacing="0" w:line="360" w:lineRule="auto"/>
        <w:ind w:left="0"/>
        <w:textAlignment w:val="auto"/>
        <w:rPr>
          <w:rFonts w:hint="eastAsia" w:ascii="宋体" w:hAnsi="宋体" w:eastAsia="宋体" w:cs="宋体"/>
          <w:sz w:val="21"/>
          <w:szCs w:val="21"/>
        </w:rPr>
      </w:pPr>
      <w:r>
        <w:rPr>
          <w:rFonts w:hint="eastAsia" w:ascii="宋体" w:hAnsi="宋体" w:eastAsia="宋体" w:cs="宋体"/>
          <w:sz w:val="21"/>
          <w:szCs w:val="21"/>
          <w:u w:val="single"/>
        </w:rPr>
        <w:t>宁波市镇海区交通运输管理中心</w:t>
      </w:r>
      <w:r>
        <w:rPr>
          <w:rFonts w:hint="eastAsia" w:ascii="宋体" w:hAnsi="宋体" w:eastAsia="宋体" w:cs="宋体"/>
          <w:sz w:val="21"/>
          <w:szCs w:val="21"/>
        </w:rPr>
        <w:t>（建设单位名称，以下简称“甲方”）为实施</w:t>
      </w:r>
      <w:r>
        <w:rPr>
          <w:rFonts w:hint="eastAsia" w:ascii="宋体" w:hAnsi="宋体" w:eastAsia="宋体" w:cs="宋体"/>
          <w:sz w:val="21"/>
          <w:szCs w:val="21"/>
          <w:u w:val="single"/>
        </w:rPr>
        <w:t>2024年宁波市镇海区交通运输管理中心数字公路运维项目</w:t>
      </w:r>
      <w:r>
        <w:rPr>
          <w:rFonts w:hint="eastAsia" w:ascii="宋体" w:hAnsi="宋体" w:eastAsia="宋体" w:cs="宋体"/>
          <w:sz w:val="21"/>
          <w:szCs w:val="21"/>
        </w:rPr>
        <w:t>，已接受</w:t>
      </w:r>
      <w:r>
        <w:rPr>
          <w:rFonts w:hint="eastAsia" w:ascii="宋体" w:hAnsi="宋体" w:eastAsia="宋体" w:cs="宋体"/>
          <w:sz w:val="21"/>
          <w:szCs w:val="21"/>
          <w:u w:val="single"/>
        </w:rPr>
        <w:t xml:space="preserve">                          </w:t>
      </w:r>
      <w:r>
        <w:rPr>
          <w:rFonts w:hint="eastAsia" w:ascii="宋体" w:hAnsi="宋体" w:eastAsia="宋体" w:cs="宋体"/>
          <w:sz w:val="21"/>
          <w:szCs w:val="21"/>
        </w:rPr>
        <w:t>（供货商名称，以下简称“乙方”）对该项目（标项</w:t>
      </w:r>
      <w:r>
        <w:rPr>
          <w:rFonts w:hint="eastAsia" w:ascii="宋体" w:hAnsi="宋体" w:eastAsia="宋体" w:cs="宋体"/>
          <w:sz w:val="21"/>
          <w:szCs w:val="21"/>
          <w:u w:val="single"/>
        </w:rPr>
        <w:t xml:space="preserve">    </w:t>
      </w:r>
      <w:r>
        <w:rPr>
          <w:rFonts w:hint="eastAsia" w:ascii="宋体" w:hAnsi="宋体" w:eastAsia="宋体" w:cs="宋体"/>
          <w:sz w:val="21"/>
          <w:szCs w:val="21"/>
        </w:rPr>
        <w:t>）的投标。甲、乙双方共同达成如下协议。</w:t>
      </w:r>
    </w:p>
    <w:p>
      <w:pPr>
        <w:pStyle w:val="10"/>
        <w:keepNext w:val="0"/>
        <w:keepLines w:val="0"/>
        <w:pageBreakBefore w:val="0"/>
        <w:kinsoku/>
        <w:wordWrap/>
        <w:overflowPunct/>
        <w:topLinePunct w:val="0"/>
        <w:autoSpaceDE/>
        <w:autoSpaceDN/>
        <w:bidi w:val="0"/>
        <w:adjustRightInd/>
        <w:snapToGrid w:val="0"/>
        <w:spacing w:before="0" w:beforeAutospacing="0" w:after="0" w:afterAutospacing="0" w:line="360" w:lineRule="auto"/>
        <w:ind w:left="0"/>
        <w:textAlignment w:val="auto"/>
        <w:rPr>
          <w:rFonts w:hint="eastAsia" w:ascii="宋体" w:hAnsi="宋体" w:eastAsia="宋体" w:cs="宋体"/>
          <w:b/>
          <w:sz w:val="21"/>
          <w:szCs w:val="21"/>
        </w:rPr>
      </w:pPr>
      <w:r>
        <w:rPr>
          <w:rFonts w:hint="eastAsia" w:ascii="宋体" w:hAnsi="宋体" w:eastAsia="宋体" w:cs="宋体"/>
          <w:b/>
          <w:sz w:val="21"/>
          <w:szCs w:val="21"/>
        </w:rPr>
        <w:t>一、服务内容</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textAlignment w:val="auto"/>
        <w:rPr>
          <w:rFonts w:hint="eastAsia" w:ascii="宋体" w:hAnsi="宋体" w:eastAsia="宋体" w:cs="宋体"/>
          <w:sz w:val="21"/>
          <w:szCs w:val="21"/>
        </w:rPr>
      </w:pPr>
      <w:r>
        <w:rPr>
          <w:rFonts w:hint="eastAsia" w:ascii="宋体" w:hAnsi="宋体" w:eastAsia="宋体" w:cs="宋体"/>
          <w:sz w:val="21"/>
          <w:szCs w:val="21"/>
        </w:rPr>
        <w:t>本次运维服务内容包括：</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标项1：本次运维服务内容包含镇海区数字公路国省道外场设备运维服务、故障诊断服务、现场巡检服务；内场运维、情报板改造等；</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标项2：本次运维服务内容包含镇海区数字公路县乡道外场设备运维服务、故障诊断服务、现场巡检服务、情报板改造等；</w:t>
      </w:r>
    </w:p>
    <w:p>
      <w:pPr>
        <w:pStyle w:val="10"/>
        <w:keepNext w:val="0"/>
        <w:keepLines w:val="0"/>
        <w:pageBreakBefore w:val="0"/>
        <w:kinsoku/>
        <w:wordWrap/>
        <w:overflowPunct/>
        <w:topLinePunct w:val="0"/>
        <w:autoSpaceDE/>
        <w:autoSpaceDN/>
        <w:bidi w:val="0"/>
        <w:adjustRightInd/>
        <w:snapToGrid w:val="0"/>
        <w:spacing w:before="0" w:beforeAutospacing="0" w:after="0" w:afterAutospacing="0" w:line="360" w:lineRule="auto"/>
        <w:ind w:left="0"/>
        <w:textAlignment w:val="auto"/>
        <w:rPr>
          <w:rFonts w:hint="eastAsia" w:ascii="宋体" w:hAnsi="宋体" w:eastAsia="宋体" w:cs="宋体"/>
          <w:b/>
          <w:sz w:val="21"/>
          <w:szCs w:val="21"/>
        </w:rPr>
      </w:pPr>
      <w:r>
        <w:rPr>
          <w:rFonts w:hint="eastAsia" w:ascii="宋体" w:hAnsi="宋体" w:eastAsia="宋体" w:cs="宋体"/>
          <w:b/>
          <w:sz w:val="21"/>
          <w:szCs w:val="21"/>
        </w:rPr>
        <w:t>二、合同金额</w:t>
      </w:r>
    </w:p>
    <w:p>
      <w:pPr>
        <w:pStyle w:val="10"/>
        <w:keepNext w:val="0"/>
        <w:keepLines w:val="0"/>
        <w:pageBreakBefore w:val="0"/>
        <w:kinsoku/>
        <w:wordWrap/>
        <w:overflowPunct/>
        <w:topLinePunct w:val="0"/>
        <w:autoSpaceDE/>
        <w:autoSpaceDN/>
        <w:bidi w:val="0"/>
        <w:adjustRightInd/>
        <w:snapToGrid w:val="0"/>
        <w:spacing w:before="0" w:beforeAutospacing="0" w:after="0" w:afterAutospacing="0" w:line="360" w:lineRule="auto"/>
        <w:ind w:left="0" w:hanging="359" w:hangingChars="171"/>
        <w:textAlignment w:val="auto"/>
        <w:rPr>
          <w:rFonts w:hint="eastAsia" w:ascii="宋体" w:hAnsi="宋体" w:eastAsia="宋体" w:cs="宋体"/>
          <w:sz w:val="21"/>
          <w:szCs w:val="21"/>
        </w:rPr>
      </w:pPr>
      <w:r>
        <w:rPr>
          <w:rFonts w:hint="eastAsia" w:ascii="宋体" w:hAnsi="宋体" w:eastAsia="宋体" w:cs="宋体"/>
          <w:sz w:val="21"/>
          <w:szCs w:val="21"/>
        </w:rPr>
        <w:t>本合同金额为：</w:t>
      </w:r>
    </w:p>
    <w:p>
      <w:pPr>
        <w:pStyle w:val="10"/>
        <w:keepNext w:val="0"/>
        <w:keepLines w:val="0"/>
        <w:pageBreakBefore w:val="0"/>
        <w:kinsoku/>
        <w:wordWrap/>
        <w:overflowPunct/>
        <w:topLinePunct w:val="0"/>
        <w:autoSpaceDE/>
        <w:autoSpaceDN/>
        <w:bidi w:val="0"/>
        <w:adjustRightInd/>
        <w:snapToGrid w:val="0"/>
        <w:spacing w:before="0" w:beforeAutospacing="0" w:after="0" w:afterAutospacing="0" w:line="360" w:lineRule="auto"/>
        <w:ind w:left="0" w:hanging="359" w:hangingChars="171"/>
        <w:textAlignment w:val="auto"/>
        <w:rPr>
          <w:rFonts w:hint="eastAsia" w:ascii="宋体" w:hAnsi="宋体" w:eastAsia="宋体" w:cs="宋体"/>
          <w:sz w:val="21"/>
          <w:szCs w:val="21"/>
        </w:rPr>
      </w:pPr>
      <w:r>
        <w:rPr>
          <w:rFonts w:hint="eastAsia" w:ascii="宋体" w:hAnsi="宋体" w:eastAsia="宋体" w:cs="宋体"/>
          <w:sz w:val="21"/>
          <w:szCs w:val="21"/>
        </w:rPr>
        <w:t>报价（大写）：人民币____________________________（（小写）￥______________元）。</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1.乙方应按招标文件规定的时间向甲方提供有关技术资料。</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0"/>
        <w:keepNext w:val="0"/>
        <w:keepLines w:val="0"/>
        <w:pageBreakBefore w:val="0"/>
        <w:kinsoku/>
        <w:wordWrap/>
        <w:overflowPunct/>
        <w:topLinePunct w:val="0"/>
        <w:autoSpaceDE/>
        <w:autoSpaceDN/>
        <w:bidi w:val="0"/>
        <w:adjustRightInd/>
        <w:snapToGrid w:val="0"/>
        <w:spacing w:before="0" w:beforeAutospacing="0" w:after="0" w:afterAutospacing="0" w:line="360" w:lineRule="auto"/>
        <w:ind w:left="0" w:hanging="361" w:hangingChars="171"/>
        <w:textAlignment w:val="auto"/>
        <w:rPr>
          <w:rFonts w:hint="eastAsia" w:ascii="宋体" w:hAnsi="宋体" w:eastAsia="宋体" w:cs="宋体"/>
          <w:b/>
          <w:sz w:val="21"/>
          <w:szCs w:val="21"/>
        </w:rPr>
      </w:pPr>
      <w:r>
        <w:rPr>
          <w:rFonts w:hint="eastAsia" w:ascii="宋体" w:hAnsi="宋体" w:eastAsia="宋体" w:cs="宋体"/>
          <w:b/>
          <w:sz w:val="21"/>
          <w:szCs w:val="21"/>
        </w:rPr>
        <w:t>四、知识产权</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b/>
          <w:bCs/>
          <w:sz w:val="21"/>
          <w:szCs w:val="21"/>
        </w:rPr>
      </w:pPr>
      <w:r>
        <w:rPr>
          <w:rFonts w:hint="eastAsia" w:ascii="宋体" w:hAnsi="宋体" w:eastAsia="宋体" w:cs="宋体"/>
          <w:sz w:val="21"/>
          <w:szCs w:val="21"/>
        </w:rPr>
        <w:t>乙方应保证提供服务过程中不会侵犯任何第三方的</w:t>
      </w:r>
      <w:r>
        <w:rPr>
          <w:rFonts w:hint="eastAsia" w:ascii="宋体" w:hAnsi="宋体" w:eastAsia="宋体" w:cs="宋体"/>
          <w:b/>
          <w:sz w:val="21"/>
          <w:szCs w:val="21"/>
        </w:rPr>
        <w:t>知识产权</w:t>
      </w:r>
      <w:r>
        <w:rPr>
          <w:rFonts w:hint="eastAsia" w:ascii="宋体" w:hAnsi="宋体" w:eastAsia="宋体" w:cs="宋体"/>
          <w:b/>
          <w:bCs/>
          <w:sz w:val="21"/>
          <w:szCs w:val="21"/>
        </w:rPr>
        <w:t>。</w:t>
      </w:r>
    </w:p>
    <w:p>
      <w:pPr>
        <w:pStyle w:val="10"/>
        <w:keepNext w:val="0"/>
        <w:keepLines w:val="0"/>
        <w:pageBreakBefore w:val="0"/>
        <w:kinsoku/>
        <w:wordWrap/>
        <w:overflowPunct/>
        <w:topLinePunct w:val="0"/>
        <w:autoSpaceDE/>
        <w:autoSpaceDN/>
        <w:bidi w:val="0"/>
        <w:adjustRightInd/>
        <w:snapToGrid w:val="0"/>
        <w:spacing w:before="0" w:beforeAutospacing="0" w:after="0" w:afterAutospacing="0" w:line="360" w:lineRule="auto"/>
        <w:ind w:left="0" w:hanging="358" w:hangingChars="170"/>
        <w:textAlignment w:val="auto"/>
        <w:rPr>
          <w:rFonts w:hint="eastAsia" w:ascii="宋体" w:hAnsi="宋体" w:eastAsia="宋体" w:cs="宋体"/>
          <w:b/>
          <w:sz w:val="21"/>
          <w:szCs w:val="21"/>
        </w:rPr>
      </w:pPr>
      <w:r>
        <w:rPr>
          <w:rFonts w:hint="eastAsia" w:ascii="宋体" w:hAnsi="宋体" w:eastAsia="宋体" w:cs="宋体"/>
          <w:b/>
          <w:sz w:val="21"/>
          <w:szCs w:val="21"/>
        </w:rPr>
        <w:t>五、履约保证金</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无。</w:t>
      </w:r>
    </w:p>
    <w:p>
      <w:pPr>
        <w:keepNext w:val="0"/>
        <w:keepLines w:val="0"/>
        <w:pageBreakBefore w:val="0"/>
        <w:kinsoku/>
        <w:wordWrap/>
        <w:overflowPunct/>
        <w:topLinePunct w:val="0"/>
        <w:autoSpaceDE/>
        <w:autoSpaceDN/>
        <w:bidi w:val="0"/>
        <w:adjustRightInd/>
        <w:snapToGrid w:val="0"/>
        <w:spacing w:line="360" w:lineRule="auto"/>
        <w:ind w:left="0"/>
        <w:textAlignment w:val="auto"/>
        <w:rPr>
          <w:rFonts w:hint="eastAsia" w:ascii="宋体" w:hAnsi="宋体" w:eastAsia="宋体" w:cs="宋体"/>
          <w:b/>
          <w:sz w:val="21"/>
          <w:szCs w:val="21"/>
        </w:rPr>
      </w:pPr>
      <w:r>
        <w:rPr>
          <w:rFonts w:hint="eastAsia" w:ascii="宋体" w:hAnsi="宋体" w:eastAsia="宋体" w:cs="宋体"/>
          <w:b/>
          <w:sz w:val="21"/>
          <w:szCs w:val="21"/>
        </w:rPr>
        <w:t>六、转包或分包</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1.本合同范围的服务，应由乙方直接供应，不得转让他人供应；</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 除非得到甲方的书面同意，乙方不得将本合同范围的服务全部或部分分包给他人供应；</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3.如有转让和未经甲方同意的分包行为，甲方有权解除合同，并追究乙方的违约责任。</w:t>
      </w:r>
    </w:p>
    <w:p>
      <w:pPr>
        <w:pStyle w:val="10"/>
        <w:keepNext w:val="0"/>
        <w:keepLines w:val="0"/>
        <w:pageBreakBefore w:val="0"/>
        <w:kinsoku/>
        <w:wordWrap/>
        <w:overflowPunct/>
        <w:topLinePunct w:val="0"/>
        <w:autoSpaceDE/>
        <w:autoSpaceDN/>
        <w:bidi w:val="0"/>
        <w:adjustRightInd/>
        <w:snapToGrid w:val="0"/>
        <w:spacing w:before="0" w:beforeAutospacing="0" w:after="0" w:afterAutospacing="0" w:line="360" w:lineRule="auto"/>
        <w:ind w:left="0"/>
        <w:textAlignment w:val="auto"/>
        <w:rPr>
          <w:rFonts w:hint="eastAsia" w:ascii="宋体" w:hAnsi="宋体" w:eastAsia="宋体" w:cs="宋体"/>
          <w:sz w:val="21"/>
          <w:szCs w:val="21"/>
        </w:rPr>
      </w:pPr>
      <w:r>
        <w:rPr>
          <w:rFonts w:hint="eastAsia" w:ascii="宋体" w:hAnsi="宋体" w:eastAsia="宋体" w:cs="宋体"/>
          <w:b/>
          <w:sz w:val="21"/>
          <w:szCs w:val="21"/>
        </w:rPr>
        <w:t>七、服务期</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 自合同签订生效之日起一年；一年期满后经采购人审核后，合同可续签一次，续签的合同期限为一年。后续合同的签订以采购人根据中标人在上一年度的合同履约及考核情况决定是否续签。</w:t>
      </w:r>
    </w:p>
    <w:p>
      <w:pPr>
        <w:pStyle w:val="10"/>
        <w:keepNext w:val="0"/>
        <w:keepLines w:val="0"/>
        <w:pageBreakBefore w:val="0"/>
        <w:kinsoku/>
        <w:wordWrap/>
        <w:overflowPunct/>
        <w:topLinePunct w:val="0"/>
        <w:autoSpaceDE/>
        <w:autoSpaceDN/>
        <w:bidi w:val="0"/>
        <w:adjustRightInd/>
        <w:snapToGrid w:val="0"/>
        <w:spacing w:before="0" w:beforeAutospacing="0" w:after="0" w:afterAutospacing="0" w:line="360" w:lineRule="auto"/>
        <w:ind w:left="0"/>
        <w:textAlignment w:val="auto"/>
        <w:rPr>
          <w:rFonts w:hint="eastAsia" w:ascii="宋体" w:hAnsi="宋体" w:eastAsia="宋体" w:cs="宋体"/>
          <w:b/>
          <w:sz w:val="21"/>
          <w:szCs w:val="21"/>
        </w:rPr>
      </w:pPr>
      <w:r>
        <w:rPr>
          <w:rFonts w:hint="eastAsia" w:ascii="宋体" w:hAnsi="宋体" w:eastAsia="宋体" w:cs="宋体"/>
          <w:b/>
          <w:sz w:val="21"/>
          <w:szCs w:val="21"/>
        </w:rPr>
        <w:t>八、合同履行时间、履行方式及履行地点</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 履行时间：自合同签订生效之日起一年。</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 履行地点：招标人指定地点</w:t>
      </w:r>
    </w:p>
    <w:p>
      <w:pPr>
        <w:pStyle w:val="10"/>
        <w:keepNext w:val="0"/>
        <w:keepLines w:val="0"/>
        <w:pageBreakBefore w:val="0"/>
        <w:kinsoku/>
        <w:wordWrap/>
        <w:overflowPunct/>
        <w:topLinePunct w:val="0"/>
        <w:autoSpaceDE/>
        <w:autoSpaceDN/>
        <w:bidi w:val="0"/>
        <w:adjustRightInd/>
        <w:snapToGrid w:val="0"/>
        <w:spacing w:before="0" w:beforeAutospacing="0" w:after="0" w:afterAutospacing="0" w:line="360" w:lineRule="auto"/>
        <w:ind w:left="0"/>
        <w:textAlignment w:val="auto"/>
        <w:rPr>
          <w:rFonts w:hint="eastAsia" w:ascii="宋体" w:hAnsi="宋体" w:eastAsia="宋体" w:cs="宋体"/>
          <w:b/>
          <w:sz w:val="21"/>
          <w:szCs w:val="21"/>
        </w:rPr>
      </w:pPr>
      <w:r>
        <w:rPr>
          <w:rFonts w:hint="eastAsia" w:ascii="宋体" w:hAnsi="宋体" w:eastAsia="宋体" w:cs="宋体"/>
          <w:b/>
          <w:sz w:val="21"/>
          <w:szCs w:val="21"/>
        </w:rPr>
        <w:t>九、款项支付</w:t>
      </w:r>
    </w:p>
    <w:p>
      <w:pPr>
        <w:pStyle w:val="10"/>
        <w:keepNext w:val="0"/>
        <w:keepLines w:val="0"/>
        <w:pageBreakBefore w:val="0"/>
        <w:kinsoku/>
        <w:wordWrap/>
        <w:overflowPunct/>
        <w:topLinePunct w:val="0"/>
        <w:autoSpaceDE/>
        <w:autoSpaceDN/>
        <w:bidi w:val="0"/>
        <w:adjustRightInd/>
        <w:snapToGrid w:val="0"/>
        <w:spacing w:before="0" w:beforeAutospacing="0" w:after="0" w:afterAutospacing="0" w:line="360" w:lineRule="auto"/>
        <w:ind w:left="0"/>
        <w:textAlignment w:val="auto"/>
        <w:rPr>
          <w:rFonts w:hint="eastAsia" w:ascii="宋体" w:hAnsi="宋体" w:eastAsia="宋体" w:cs="宋体"/>
          <w:bCs/>
          <w:sz w:val="21"/>
          <w:szCs w:val="21"/>
        </w:rPr>
      </w:pPr>
      <w:r>
        <w:rPr>
          <w:rFonts w:hint="eastAsia" w:ascii="宋体" w:hAnsi="宋体" w:eastAsia="宋体" w:cs="宋体"/>
          <w:bCs/>
          <w:sz w:val="21"/>
          <w:szCs w:val="21"/>
        </w:rPr>
        <w:t xml:space="preserve"> 付款方式：</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1、预付款：合同签订后7个工作日内支付至合同总价的40%。计人民币</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元。</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2、合同签订三个季度内，每个季度末月25日之前支付合同总价的10% 。计人民币</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元。</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3、尾款支付：运维服务期满后15个工作日内，支付剩余合同总价扣除考核总扣款金额后的款项。计人民币</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元。</w:t>
      </w:r>
    </w:p>
    <w:p>
      <w:pPr>
        <w:keepNext w:val="0"/>
        <w:keepLines w:val="0"/>
        <w:pageBreakBefore w:val="0"/>
        <w:kinsoku/>
        <w:wordWrap/>
        <w:overflowPunct/>
        <w:topLinePunct w:val="0"/>
        <w:autoSpaceDE/>
        <w:autoSpaceDN/>
        <w:bidi w:val="0"/>
        <w:adjustRightInd/>
        <w:snapToGrid w:val="0"/>
        <w:spacing w:line="360" w:lineRule="auto"/>
        <w:ind w:left="0"/>
        <w:textAlignment w:val="auto"/>
        <w:rPr>
          <w:rFonts w:hint="eastAsia" w:ascii="宋体" w:hAnsi="宋体" w:eastAsia="宋体" w:cs="宋体"/>
          <w:b/>
          <w:sz w:val="21"/>
          <w:szCs w:val="21"/>
        </w:rPr>
      </w:pPr>
      <w:r>
        <w:rPr>
          <w:rFonts w:hint="eastAsia" w:ascii="宋体" w:hAnsi="宋体" w:eastAsia="宋体" w:cs="宋体"/>
          <w:b/>
          <w:sz w:val="21"/>
          <w:szCs w:val="21"/>
        </w:rPr>
        <w:t>十、税费</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本合同执行中相关的一切税费均由乙方负担。</w:t>
      </w:r>
    </w:p>
    <w:p>
      <w:pPr>
        <w:pStyle w:val="10"/>
        <w:keepNext w:val="0"/>
        <w:keepLines w:val="0"/>
        <w:pageBreakBefore w:val="0"/>
        <w:kinsoku/>
        <w:wordWrap/>
        <w:overflowPunct/>
        <w:topLinePunct w:val="0"/>
        <w:autoSpaceDE/>
        <w:autoSpaceDN/>
        <w:bidi w:val="0"/>
        <w:adjustRightInd/>
        <w:snapToGrid w:val="0"/>
        <w:spacing w:before="0" w:beforeAutospacing="0" w:after="0" w:afterAutospacing="0" w:line="360" w:lineRule="auto"/>
        <w:ind w:left="0" w:hanging="361" w:hangingChars="171"/>
        <w:textAlignment w:val="auto"/>
        <w:rPr>
          <w:rFonts w:hint="eastAsia" w:ascii="宋体" w:hAnsi="宋体" w:eastAsia="宋体" w:cs="宋体"/>
          <w:sz w:val="21"/>
          <w:szCs w:val="21"/>
        </w:rPr>
      </w:pPr>
      <w:r>
        <w:rPr>
          <w:rFonts w:hint="eastAsia" w:ascii="宋体" w:hAnsi="宋体" w:eastAsia="宋体" w:cs="宋体"/>
          <w:b/>
          <w:sz w:val="21"/>
          <w:szCs w:val="21"/>
        </w:rPr>
        <w:t>十一、质量保证及后续服务</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1.</w:t>
      </w:r>
      <w:r>
        <w:rPr>
          <w:rFonts w:hint="eastAsia" w:ascii="宋体" w:hAnsi="宋体" w:eastAsia="宋体" w:cs="宋体"/>
          <w:bCs/>
          <w:sz w:val="21"/>
          <w:szCs w:val="21"/>
        </w:rPr>
        <w:t xml:space="preserve"> 乙方应按招标文件规定向甲方提供服务。</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2.</w:t>
      </w:r>
      <w:r>
        <w:rPr>
          <w:rFonts w:hint="eastAsia" w:ascii="宋体" w:hAnsi="宋体" w:eastAsia="宋体" w:cs="宋体"/>
          <w:bCs/>
          <w:sz w:val="21"/>
          <w:szCs w:val="21"/>
        </w:rPr>
        <w:t xml:space="preserve"> 乙方提供的服务成果在服务质量保证期内发生故障，乙方应负责免费提供后续服务。对达不到要求者，根据实际情况，经双方协商，可按以下办法处理：</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⑴重做：由乙方承担所发生的全部费用。</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⑵贬值处理：由甲乙双方合议定价。</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⑶解除合同。</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3.</w:t>
      </w:r>
      <w:r>
        <w:rPr>
          <w:rFonts w:hint="eastAsia" w:ascii="宋体" w:hAnsi="宋体" w:eastAsia="宋体" w:cs="宋体"/>
          <w:bCs/>
          <w:sz w:val="21"/>
          <w:szCs w:val="21"/>
        </w:rPr>
        <w:t>如在使用过程中发生问题，乙方在接到甲方通知后在△小时内到达甲方现场。</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4.</w:t>
      </w:r>
      <w:r>
        <w:rPr>
          <w:rFonts w:hint="eastAsia" w:ascii="宋体" w:hAnsi="宋体" w:eastAsia="宋体" w:cs="宋体"/>
          <w:bCs/>
          <w:sz w:val="21"/>
          <w:szCs w:val="21"/>
        </w:rPr>
        <w:t>在服务质量保证期内，乙方应对出现的质量及安全问题负责处理解决并承担一切费用。</w:t>
      </w:r>
    </w:p>
    <w:p>
      <w:pPr>
        <w:pStyle w:val="10"/>
        <w:keepNext w:val="0"/>
        <w:keepLines w:val="0"/>
        <w:pageBreakBefore w:val="0"/>
        <w:kinsoku/>
        <w:wordWrap/>
        <w:overflowPunct/>
        <w:topLinePunct w:val="0"/>
        <w:autoSpaceDE/>
        <w:autoSpaceDN/>
        <w:bidi w:val="0"/>
        <w:adjustRightInd/>
        <w:snapToGrid w:val="0"/>
        <w:spacing w:before="0" w:beforeAutospacing="0" w:after="0" w:afterAutospacing="0" w:line="360" w:lineRule="auto"/>
        <w:ind w:left="0"/>
        <w:textAlignment w:val="auto"/>
        <w:rPr>
          <w:rFonts w:hint="eastAsia" w:ascii="宋体" w:hAnsi="宋体" w:eastAsia="宋体" w:cs="宋体"/>
          <w:b/>
          <w:sz w:val="21"/>
          <w:szCs w:val="21"/>
        </w:rPr>
      </w:pPr>
      <w:r>
        <w:rPr>
          <w:rFonts w:hint="eastAsia" w:ascii="宋体" w:hAnsi="宋体" w:eastAsia="宋体" w:cs="宋体"/>
          <w:b/>
          <w:sz w:val="21"/>
          <w:szCs w:val="21"/>
        </w:rPr>
        <w:t>十二、违约责任</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1．甲方无正当理由拒收接受服务的，甲方向乙方偿付合同款项百分之五作为违约金。</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2．甲方无故逾期验收和办理款项支付手续的,甲方应按逾期付款总额每日万分之五向乙方支</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付违约金。</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3．乙方未能如期提供服务的，每日向甲方支付合同款项的千分之六作为违约金。乙方超过</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约定日期10个工作日仍不能提供服务的，甲方可解除本合同。乙方因未能如期提供服务或</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因其他违约行为导致甲方解除合同的，乙方应向甲方支付合同总值5%的违约金，如造成甲</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 xml:space="preserve">方损失超过违约金的，超出部分由乙方继续承担赔偿责任。 </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4.运行维护周期内每周须1-2天派专业人员对内外场所有设备运行情况进行检查。</w:t>
      </w:r>
    </w:p>
    <w:p>
      <w:pPr>
        <w:pStyle w:val="10"/>
        <w:keepNext w:val="0"/>
        <w:keepLines w:val="0"/>
        <w:pageBreakBefore w:val="0"/>
        <w:kinsoku/>
        <w:wordWrap/>
        <w:overflowPunct/>
        <w:topLinePunct w:val="0"/>
        <w:autoSpaceDE/>
        <w:autoSpaceDN/>
        <w:bidi w:val="0"/>
        <w:adjustRightInd/>
        <w:snapToGrid w:val="0"/>
        <w:spacing w:before="0" w:beforeAutospacing="0" w:after="0" w:afterAutospacing="0" w:line="360" w:lineRule="auto"/>
        <w:ind w:left="0"/>
        <w:textAlignment w:val="auto"/>
        <w:rPr>
          <w:rFonts w:hint="eastAsia" w:ascii="宋体" w:hAnsi="宋体" w:eastAsia="宋体" w:cs="宋体"/>
          <w:b/>
          <w:sz w:val="21"/>
          <w:szCs w:val="21"/>
        </w:rPr>
      </w:pPr>
      <w:r>
        <w:rPr>
          <w:rFonts w:hint="eastAsia" w:ascii="宋体" w:hAnsi="宋体" w:eastAsia="宋体" w:cs="宋体"/>
          <w:b/>
          <w:sz w:val="21"/>
          <w:szCs w:val="21"/>
        </w:rPr>
        <w:t>十三、不可抗力事件处理</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在合同有效期内，任何一方因不可抗力事件导致不能履行合同，则合同履行期可延长，其延长期与不可抗力影响期相同。</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2．不可抗力事件发生后，应立即通知对方，并寄送有关权威机构出具的证明。</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3．不可抗力事件延续120天以上，双方应通过友好协商，确定是否继续履行合同。</w:t>
      </w:r>
    </w:p>
    <w:p>
      <w:pPr>
        <w:pStyle w:val="10"/>
        <w:keepNext w:val="0"/>
        <w:keepLines w:val="0"/>
        <w:pageBreakBefore w:val="0"/>
        <w:kinsoku/>
        <w:wordWrap/>
        <w:overflowPunct/>
        <w:topLinePunct w:val="0"/>
        <w:autoSpaceDE/>
        <w:autoSpaceDN/>
        <w:bidi w:val="0"/>
        <w:adjustRightInd/>
        <w:snapToGrid w:val="0"/>
        <w:spacing w:before="0" w:beforeAutospacing="0" w:after="0" w:afterAutospacing="0" w:line="360" w:lineRule="auto"/>
        <w:ind w:left="0"/>
        <w:textAlignment w:val="auto"/>
        <w:rPr>
          <w:rFonts w:hint="eastAsia" w:ascii="宋体" w:hAnsi="宋体" w:eastAsia="宋体" w:cs="宋体"/>
          <w:b/>
          <w:sz w:val="21"/>
          <w:szCs w:val="21"/>
        </w:rPr>
      </w:pPr>
      <w:r>
        <w:rPr>
          <w:rFonts w:hint="eastAsia" w:ascii="宋体" w:hAnsi="宋体" w:eastAsia="宋体" w:cs="宋体"/>
          <w:b/>
          <w:sz w:val="21"/>
          <w:szCs w:val="21"/>
        </w:rPr>
        <w:t>十四、诉讼</w:t>
      </w:r>
    </w:p>
    <w:p>
      <w:pPr>
        <w:pStyle w:val="10"/>
        <w:keepNext w:val="0"/>
        <w:keepLines w:val="0"/>
        <w:pageBreakBefore w:val="0"/>
        <w:kinsoku/>
        <w:wordWrap/>
        <w:overflowPunct/>
        <w:topLinePunct w:val="0"/>
        <w:autoSpaceDE/>
        <w:autoSpaceDN/>
        <w:bidi w:val="0"/>
        <w:adjustRightInd/>
        <w:snapToGrid w:val="0"/>
        <w:spacing w:before="0" w:beforeAutospacing="0" w:after="0" w:afterAutospacing="0" w:line="360" w:lineRule="auto"/>
        <w:ind w:left="0" w:hanging="210" w:hangingChars="100"/>
        <w:textAlignment w:val="auto"/>
        <w:rPr>
          <w:rFonts w:hint="eastAsia" w:ascii="宋体" w:hAnsi="宋体" w:eastAsia="宋体" w:cs="宋体"/>
          <w:sz w:val="21"/>
          <w:szCs w:val="21"/>
        </w:rPr>
      </w:pPr>
      <w:r>
        <w:rPr>
          <w:rFonts w:hint="eastAsia" w:ascii="宋体" w:hAnsi="宋体" w:eastAsia="宋体" w:cs="宋体"/>
          <w:sz w:val="21"/>
          <w:szCs w:val="21"/>
        </w:rPr>
        <w:t xml:space="preserve">  双方在执行合同中所发生的一切争议，应通过协商解决。如协商不成，可向甲方所在地</w:t>
      </w:r>
    </w:p>
    <w:p>
      <w:pPr>
        <w:pStyle w:val="10"/>
        <w:keepNext w:val="0"/>
        <w:keepLines w:val="0"/>
        <w:pageBreakBefore w:val="0"/>
        <w:kinsoku/>
        <w:wordWrap/>
        <w:overflowPunct/>
        <w:topLinePunct w:val="0"/>
        <w:autoSpaceDE/>
        <w:autoSpaceDN/>
        <w:bidi w:val="0"/>
        <w:adjustRightInd/>
        <w:snapToGrid w:val="0"/>
        <w:spacing w:before="0" w:beforeAutospacing="0" w:after="0" w:afterAutospacing="0" w:line="360" w:lineRule="auto"/>
        <w:ind w:left="0"/>
        <w:textAlignment w:val="auto"/>
        <w:rPr>
          <w:rFonts w:hint="eastAsia" w:ascii="宋体" w:hAnsi="宋体" w:eastAsia="宋体" w:cs="宋体"/>
          <w:sz w:val="21"/>
          <w:szCs w:val="21"/>
        </w:rPr>
      </w:pPr>
      <w:r>
        <w:rPr>
          <w:rFonts w:hint="eastAsia" w:ascii="宋体" w:hAnsi="宋体" w:eastAsia="宋体" w:cs="宋体"/>
          <w:sz w:val="21"/>
          <w:szCs w:val="21"/>
        </w:rPr>
        <w:t>法院起诉。</w:t>
      </w:r>
    </w:p>
    <w:p>
      <w:pPr>
        <w:pStyle w:val="10"/>
        <w:keepNext w:val="0"/>
        <w:keepLines w:val="0"/>
        <w:pageBreakBefore w:val="0"/>
        <w:kinsoku/>
        <w:wordWrap/>
        <w:overflowPunct/>
        <w:topLinePunct w:val="0"/>
        <w:autoSpaceDE/>
        <w:autoSpaceDN/>
        <w:bidi w:val="0"/>
        <w:adjustRightInd/>
        <w:snapToGrid w:val="0"/>
        <w:spacing w:before="0" w:beforeAutospacing="0" w:after="0" w:afterAutospacing="0" w:line="360" w:lineRule="auto"/>
        <w:ind w:left="0"/>
        <w:textAlignment w:val="auto"/>
        <w:rPr>
          <w:rFonts w:hint="eastAsia" w:ascii="宋体" w:hAnsi="宋体" w:eastAsia="宋体" w:cs="宋体"/>
          <w:b/>
          <w:sz w:val="21"/>
          <w:szCs w:val="21"/>
        </w:rPr>
      </w:pPr>
      <w:r>
        <w:rPr>
          <w:rFonts w:hint="eastAsia" w:ascii="宋体" w:hAnsi="宋体" w:eastAsia="宋体" w:cs="宋体"/>
          <w:b/>
          <w:sz w:val="21"/>
          <w:szCs w:val="21"/>
        </w:rPr>
        <w:t>十五、合同生效及其它</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1．合同在乙方按规定递交履约保证金并经双方法定代表人或授权代表签字并加盖单位公章后生效。</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2．合同执行中涉及采购资金和采购内容修改或补充的，须经财政部门审批，并签书面补充协议报政府采购监督管理部门备案，方可作为主合同不可分割的一部分。</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3．本合同未尽事宜，遵照《合同法》有关条文执行。</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4．本合同正本一式两份，具有同等法律效力，甲乙双方各执一份；副本二份，送镇海区政府采购管理办公室、镇海区政府采购中心各一份。)。</w:t>
      </w:r>
    </w:p>
    <w:p>
      <w:pPr>
        <w:pStyle w:val="10"/>
        <w:keepNext w:val="0"/>
        <w:keepLines w:val="0"/>
        <w:pageBreakBefore w:val="0"/>
        <w:kinsoku/>
        <w:wordWrap/>
        <w:overflowPunct/>
        <w:topLinePunct w:val="0"/>
        <w:autoSpaceDE/>
        <w:autoSpaceDN/>
        <w:bidi w:val="0"/>
        <w:adjustRightInd/>
        <w:snapToGrid w:val="0"/>
        <w:spacing w:before="0" w:beforeAutospacing="0" w:after="0" w:afterAutospacing="0" w:line="360" w:lineRule="auto"/>
        <w:ind w:left="0" w:hanging="420" w:hangingChars="200"/>
        <w:textAlignment w:val="auto"/>
        <w:rPr>
          <w:rFonts w:hint="eastAsia" w:ascii="宋体" w:hAnsi="宋体" w:eastAsia="宋体" w:cs="宋体"/>
          <w:sz w:val="21"/>
          <w:szCs w:val="21"/>
        </w:rPr>
      </w:pPr>
      <w:r>
        <w:rPr>
          <w:rFonts w:hint="eastAsia" w:ascii="宋体" w:hAnsi="宋体" w:eastAsia="宋体" w:cs="宋体"/>
          <w:sz w:val="21"/>
          <w:szCs w:val="21"/>
        </w:rPr>
        <w:t>附件：</w:t>
      </w:r>
    </w:p>
    <w:p>
      <w:pPr>
        <w:keepNext w:val="0"/>
        <w:keepLines w:val="0"/>
        <w:pageBreakBefore w:val="0"/>
        <w:kinsoku/>
        <w:wordWrap/>
        <w:overflowPunct/>
        <w:topLinePunct w:val="0"/>
        <w:autoSpaceDE/>
        <w:autoSpaceDN/>
        <w:bidi w:val="0"/>
        <w:adjustRightInd/>
        <w:spacing w:line="360" w:lineRule="auto"/>
        <w:ind w:left="0"/>
        <w:jc w:val="center"/>
        <w:textAlignment w:val="auto"/>
        <w:rPr>
          <w:rFonts w:hint="eastAsia" w:ascii="宋体" w:hAnsi="宋体" w:eastAsia="宋体" w:cs="宋体"/>
          <w:bCs/>
          <w:sz w:val="21"/>
          <w:szCs w:val="21"/>
        </w:rPr>
      </w:pPr>
      <w:r>
        <w:rPr>
          <w:rFonts w:hint="eastAsia" w:ascii="宋体" w:hAnsi="宋体" w:eastAsia="宋体" w:cs="宋体"/>
          <w:bCs/>
          <w:sz w:val="21"/>
          <w:szCs w:val="21"/>
        </w:rPr>
        <w:t>《镇海区数字公路国省道、县乡道考核评分标准》</w:t>
      </w:r>
    </w:p>
    <w:tbl>
      <w:tblPr>
        <w:tblStyle w:val="19"/>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3827"/>
        <w:gridCol w:w="992"/>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05" w:type="dxa"/>
            <w:vAlign w:val="center"/>
          </w:tcPr>
          <w:p>
            <w:pPr>
              <w:keepNext w:val="0"/>
              <w:keepLines w:val="0"/>
              <w:pageBreakBefore w:val="0"/>
              <w:kinsoku/>
              <w:wordWrap/>
              <w:overflowPunct/>
              <w:topLinePunct w:val="0"/>
              <w:autoSpaceDE/>
              <w:autoSpaceDN/>
              <w:bidi w:val="0"/>
              <w:adjustRightInd/>
              <w:spacing w:line="360" w:lineRule="auto"/>
              <w:ind w:left="0"/>
              <w:jc w:val="center"/>
              <w:textAlignment w:val="auto"/>
              <w:rPr>
                <w:rFonts w:hint="eastAsia" w:ascii="宋体" w:hAnsi="宋体" w:eastAsia="宋体" w:cs="宋体"/>
                <w:b/>
                <w:sz w:val="18"/>
                <w:szCs w:val="18"/>
              </w:rPr>
            </w:pPr>
            <w:r>
              <w:rPr>
                <w:rFonts w:hint="eastAsia" w:ascii="宋体" w:hAnsi="宋体" w:eastAsia="宋体" w:cs="宋体"/>
                <w:b/>
                <w:sz w:val="18"/>
                <w:szCs w:val="18"/>
              </w:rPr>
              <w:t>序号</w:t>
            </w:r>
          </w:p>
        </w:tc>
        <w:tc>
          <w:tcPr>
            <w:tcW w:w="3827" w:type="dxa"/>
            <w:vAlign w:val="center"/>
          </w:tcPr>
          <w:p>
            <w:pPr>
              <w:keepNext w:val="0"/>
              <w:keepLines w:val="0"/>
              <w:pageBreakBefore w:val="0"/>
              <w:kinsoku/>
              <w:wordWrap/>
              <w:overflowPunct/>
              <w:topLinePunct w:val="0"/>
              <w:autoSpaceDE/>
              <w:autoSpaceDN/>
              <w:bidi w:val="0"/>
              <w:adjustRightInd/>
              <w:spacing w:line="360" w:lineRule="auto"/>
              <w:ind w:left="0"/>
              <w:jc w:val="center"/>
              <w:textAlignment w:val="auto"/>
              <w:rPr>
                <w:rFonts w:hint="eastAsia" w:ascii="宋体" w:hAnsi="宋体" w:eastAsia="宋体" w:cs="宋体"/>
                <w:b/>
                <w:sz w:val="18"/>
                <w:szCs w:val="18"/>
              </w:rPr>
            </w:pPr>
            <w:r>
              <w:rPr>
                <w:rFonts w:hint="eastAsia" w:ascii="宋体" w:hAnsi="宋体" w:eastAsia="宋体" w:cs="宋体"/>
                <w:b/>
                <w:sz w:val="18"/>
                <w:szCs w:val="18"/>
              </w:rPr>
              <w:t>考核内容</w:t>
            </w:r>
          </w:p>
        </w:tc>
        <w:tc>
          <w:tcPr>
            <w:tcW w:w="992" w:type="dxa"/>
            <w:vAlign w:val="center"/>
          </w:tcPr>
          <w:p>
            <w:pPr>
              <w:keepNext w:val="0"/>
              <w:keepLines w:val="0"/>
              <w:pageBreakBefore w:val="0"/>
              <w:kinsoku/>
              <w:wordWrap/>
              <w:overflowPunct/>
              <w:topLinePunct w:val="0"/>
              <w:autoSpaceDE/>
              <w:autoSpaceDN/>
              <w:bidi w:val="0"/>
              <w:adjustRightInd/>
              <w:spacing w:line="360" w:lineRule="auto"/>
              <w:ind w:left="0"/>
              <w:jc w:val="center"/>
              <w:textAlignment w:val="auto"/>
              <w:rPr>
                <w:rFonts w:hint="eastAsia" w:ascii="宋体" w:hAnsi="宋体" w:eastAsia="宋体" w:cs="宋体"/>
                <w:b/>
                <w:sz w:val="18"/>
                <w:szCs w:val="18"/>
              </w:rPr>
            </w:pPr>
            <w:r>
              <w:rPr>
                <w:rFonts w:hint="eastAsia" w:ascii="宋体" w:hAnsi="宋体" w:eastAsia="宋体" w:cs="宋体"/>
                <w:b/>
                <w:sz w:val="18"/>
                <w:szCs w:val="18"/>
              </w:rPr>
              <w:t>单项</w:t>
            </w:r>
          </w:p>
          <w:p>
            <w:pPr>
              <w:keepNext w:val="0"/>
              <w:keepLines w:val="0"/>
              <w:pageBreakBefore w:val="0"/>
              <w:kinsoku/>
              <w:wordWrap/>
              <w:overflowPunct/>
              <w:topLinePunct w:val="0"/>
              <w:autoSpaceDE/>
              <w:autoSpaceDN/>
              <w:bidi w:val="0"/>
              <w:adjustRightInd/>
              <w:spacing w:line="360" w:lineRule="auto"/>
              <w:ind w:left="0"/>
              <w:jc w:val="center"/>
              <w:textAlignment w:val="auto"/>
              <w:rPr>
                <w:rFonts w:hint="eastAsia" w:ascii="宋体" w:hAnsi="宋体" w:eastAsia="宋体" w:cs="宋体"/>
                <w:b/>
                <w:sz w:val="18"/>
                <w:szCs w:val="18"/>
              </w:rPr>
            </w:pPr>
            <w:r>
              <w:rPr>
                <w:rFonts w:hint="eastAsia" w:ascii="宋体" w:hAnsi="宋体" w:eastAsia="宋体" w:cs="宋体"/>
                <w:b/>
                <w:sz w:val="18"/>
                <w:szCs w:val="18"/>
              </w:rPr>
              <w:t>分值</w:t>
            </w:r>
          </w:p>
        </w:tc>
        <w:tc>
          <w:tcPr>
            <w:tcW w:w="4111" w:type="dxa"/>
            <w:vAlign w:val="center"/>
          </w:tcPr>
          <w:p>
            <w:pPr>
              <w:keepNext w:val="0"/>
              <w:keepLines w:val="0"/>
              <w:pageBreakBefore w:val="0"/>
              <w:kinsoku/>
              <w:wordWrap/>
              <w:overflowPunct/>
              <w:topLinePunct w:val="0"/>
              <w:autoSpaceDE/>
              <w:autoSpaceDN/>
              <w:bidi w:val="0"/>
              <w:adjustRightInd/>
              <w:spacing w:line="360" w:lineRule="auto"/>
              <w:ind w:left="0"/>
              <w:jc w:val="center"/>
              <w:textAlignment w:val="auto"/>
              <w:rPr>
                <w:rFonts w:hint="eastAsia" w:ascii="宋体" w:hAnsi="宋体" w:eastAsia="宋体" w:cs="宋体"/>
                <w:b/>
                <w:sz w:val="18"/>
                <w:szCs w:val="18"/>
              </w:rPr>
            </w:pPr>
            <w:r>
              <w:rPr>
                <w:rFonts w:hint="eastAsia" w:ascii="宋体" w:hAnsi="宋体" w:eastAsia="宋体" w:cs="宋体"/>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605" w:type="dxa"/>
            <w:vAlign w:val="center"/>
          </w:tcPr>
          <w:p>
            <w:pPr>
              <w:keepNext w:val="0"/>
              <w:keepLines w:val="0"/>
              <w:pageBreakBefore w:val="0"/>
              <w:kinsoku/>
              <w:wordWrap/>
              <w:overflowPunct/>
              <w:topLinePunct w:val="0"/>
              <w:autoSpaceDE/>
              <w:autoSpaceDN/>
              <w:bidi w:val="0"/>
              <w:adjustRightInd/>
              <w:spacing w:line="360" w:lineRule="auto"/>
              <w:ind w:left="0"/>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3827" w:type="dxa"/>
            <w:vAlign w:val="center"/>
          </w:tcPr>
          <w:p>
            <w:pPr>
              <w:keepNext w:val="0"/>
              <w:keepLines w:val="0"/>
              <w:pageBreakBefore w:val="0"/>
              <w:kinsoku/>
              <w:wordWrap/>
              <w:overflowPunct/>
              <w:topLinePunct w:val="0"/>
              <w:autoSpaceDE/>
              <w:autoSpaceDN/>
              <w:bidi w:val="0"/>
              <w:adjustRightInd/>
              <w:spacing w:line="360" w:lineRule="auto"/>
              <w:ind w:left="0"/>
              <w:textAlignment w:val="auto"/>
              <w:rPr>
                <w:rFonts w:hint="eastAsia" w:ascii="宋体" w:hAnsi="宋体" w:eastAsia="宋体" w:cs="宋体"/>
                <w:sz w:val="18"/>
                <w:szCs w:val="18"/>
              </w:rPr>
            </w:pPr>
            <w:r>
              <w:rPr>
                <w:rFonts w:hint="eastAsia" w:ascii="宋体" w:hAnsi="宋体" w:eastAsia="宋体" w:cs="宋体"/>
                <w:sz w:val="18"/>
                <w:szCs w:val="18"/>
              </w:rPr>
              <w:t>数字公路内外场设施设备遇有故障应及时响应修复</w:t>
            </w:r>
          </w:p>
        </w:tc>
        <w:tc>
          <w:tcPr>
            <w:tcW w:w="992" w:type="dxa"/>
            <w:vAlign w:val="center"/>
          </w:tcPr>
          <w:p>
            <w:pPr>
              <w:keepNext w:val="0"/>
              <w:keepLines w:val="0"/>
              <w:pageBreakBefore w:val="0"/>
              <w:kinsoku/>
              <w:wordWrap/>
              <w:overflowPunct/>
              <w:topLinePunct w:val="0"/>
              <w:autoSpaceDE/>
              <w:autoSpaceDN/>
              <w:bidi w:val="0"/>
              <w:adjustRightInd/>
              <w:spacing w:line="360" w:lineRule="auto"/>
              <w:ind w:left="0"/>
              <w:jc w:val="center"/>
              <w:textAlignment w:val="auto"/>
              <w:rPr>
                <w:rFonts w:hint="eastAsia" w:ascii="宋体" w:hAnsi="宋体" w:eastAsia="宋体" w:cs="宋体"/>
                <w:sz w:val="18"/>
                <w:szCs w:val="18"/>
              </w:rPr>
            </w:pPr>
            <w:r>
              <w:rPr>
                <w:rFonts w:hint="eastAsia" w:ascii="宋体" w:hAnsi="宋体" w:eastAsia="宋体" w:cs="宋体"/>
                <w:sz w:val="18"/>
                <w:szCs w:val="18"/>
              </w:rPr>
              <w:t>40</w:t>
            </w:r>
          </w:p>
        </w:tc>
        <w:tc>
          <w:tcPr>
            <w:tcW w:w="4111" w:type="dxa"/>
            <w:vAlign w:val="center"/>
          </w:tcPr>
          <w:p>
            <w:pPr>
              <w:keepNext w:val="0"/>
              <w:keepLines w:val="0"/>
              <w:pageBreakBefore w:val="0"/>
              <w:kinsoku/>
              <w:wordWrap/>
              <w:overflowPunct/>
              <w:topLinePunct w:val="0"/>
              <w:autoSpaceDE/>
              <w:autoSpaceDN/>
              <w:bidi w:val="0"/>
              <w:adjustRightInd/>
              <w:spacing w:line="360" w:lineRule="auto"/>
              <w:ind w:left="0"/>
              <w:textAlignment w:val="auto"/>
              <w:rPr>
                <w:rFonts w:hint="eastAsia" w:ascii="宋体" w:hAnsi="宋体" w:eastAsia="宋体" w:cs="宋体"/>
                <w:sz w:val="18"/>
                <w:szCs w:val="18"/>
              </w:rPr>
            </w:pPr>
            <w:r>
              <w:rPr>
                <w:rFonts w:hint="eastAsia" w:ascii="宋体" w:hAnsi="宋体" w:eastAsia="宋体" w:cs="宋体"/>
                <w:sz w:val="18"/>
                <w:szCs w:val="18"/>
              </w:rPr>
              <w:t>接故障通知2小时内响应，未响应，每次扣5分；简易情况2天内未修复,每一个设备扣2分，如需更换设备情况3日内未修复的，每一个设备扣2分，特殊复杂情况当天书面情况说明，未说明情况扣5分，最多扣40分。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605" w:type="dxa"/>
            <w:vAlign w:val="center"/>
          </w:tcPr>
          <w:p>
            <w:pPr>
              <w:keepNext w:val="0"/>
              <w:keepLines w:val="0"/>
              <w:pageBreakBefore w:val="0"/>
              <w:kinsoku/>
              <w:wordWrap/>
              <w:overflowPunct/>
              <w:topLinePunct w:val="0"/>
              <w:autoSpaceDE/>
              <w:autoSpaceDN/>
              <w:bidi w:val="0"/>
              <w:adjustRightInd/>
              <w:spacing w:line="360" w:lineRule="auto"/>
              <w:ind w:left="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3827" w:type="dxa"/>
            <w:vAlign w:val="center"/>
          </w:tcPr>
          <w:p>
            <w:pPr>
              <w:keepNext w:val="0"/>
              <w:keepLines w:val="0"/>
              <w:pageBreakBefore w:val="0"/>
              <w:kinsoku/>
              <w:wordWrap/>
              <w:overflowPunct/>
              <w:topLinePunct w:val="0"/>
              <w:autoSpaceDE/>
              <w:autoSpaceDN/>
              <w:bidi w:val="0"/>
              <w:adjustRightInd/>
              <w:spacing w:line="360" w:lineRule="auto"/>
              <w:ind w:left="0"/>
              <w:textAlignment w:val="auto"/>
              <w:rPr>
                <w:rFonts w:hint="eastAsia" w:ascii="宋体" w:hAnsi="宋体" w:eastAsia="宋体" w:cs="宋体"/>
                <w:sz w:val="18"/>
                <w:szCs w:val="18"/>
              </w:rPr>
            </w:pPr>
            <w:r>
              <w:rPr>
                <w:rFonts w:hint="eastAsia" w:ascii="宋体" w:hAnsi="宋体" w:eastAsia="宋体" w:cs="宋体"/>
                <w:sz w:val="18"/>
                <w:szCs w:val="18"/>
              </w:rPr>
              <w:t>数字公路内场系统相关软件、公路基础数据（含设备管理数据）及时更新</w:t>
            </w:r>
          </w:p>
        </w:tc>
        <w:tc>
          <w:tcPr>
            <w:tcW w:w="992" w:type="dxa"/>
            <w:vAlign w:val="center"/>
          </w:tcPr>
          <w:p>
            <w:pPr>
              <w:keepNext w:val="0"/>
              <w:keepLines w:val="0"/>
              <w:pageBreakBefore w:val="0"/>
              <w:kinsoku/>
              <w:wordWrap/>
              <w:overflowPunct/>
              <w:topLinePunct w:val="0"/>
              <w:autoSpaceDE/>
              <w:autoSpaceDN/>
              <w:bidi w:val="0"/>
              <w:adjustRightInd/>
              <w:spacing w:line="360" w:lineRule="auto"/>
              <w:ind w:left="0"/>
              <w:jc w:val="center"/>
              <w:textAlignment w:val="auto"/>
              <w:rPr>
                <w:rFonts w:hint="eastAsia" w:ascii="宋体" w:hAnsi="宋体" w:eastAsia="宋体" w:cs="宋体"/>
                <w:sz w:val="18"/>
                <w:szCs w:val="18"/>
              </w:rPr>
            </w:pPr>
            <w:r>
              <w:rPr>
                <w:rFonts w:hint="eastAsia" w:ascii="宋体" w:hAnsi="宋体" w:eastAsia="宋体" w:cs="宋体"/>
                <w:sz w:val="18"/>
                <w:szCs w:val="18"/>
              </w:rPr>
              <w:t>20</w:t>
            </w:r>
          </w:p>
        </w:tc>
        <w:tc>
          <w:tcPr>
            <w:tcW w:w="4111" w:type="dxa"/>
            <w:vAlign w:val="center"/>
          </w:tcPr>
          <w:p>
            <w:pPr>
              <w:keepNext w:val="0"/>
              <w:keepLines w:val="0"/>
              <w:pageBreakBefore w:val="0"/>
              <w:kinsoku/>
              <w:wordWrap/>
              <w:overflowPunct/>
              <w:topLinePunct w:val="0"/>
              <w:autoSpaceDE/>
              <w:autoSpaceDN/>
              <w:bidi w:val="0"/>
              <w:adjustRightInd/>
              <w:spacing w:line="360" w:lineRule="auto"/>
              <w:ind w:left="0"/>
              <w:textAlignment w:val="auto"/>
              <w:rPr>
                <w:rFonts w:hint="eastAsia" w:ascii="宋体" w:hAnsi="宋体" w:eastAsia="宋体" w:cs="宋体"/>
                <w:sz w:val="18"/>
                <w:szCs w:val="18"/>
              </w:rPr>
            </w:pPr>
            <w:r>
              <w:rPr>
                <w:rFonts w:hint="eastAsia" w:ascii="宋体" w:hAnsi="宋体" w:eastAsia="宋体" w:cs="宋体"/>
                <w:sz w:val="18"/>
                <w:szCs w:val="18"/>
              </w:rPr>
              <w:t>每发现一处数据未更新的扣2分，最多扣20分。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05" w:type="dxa"/>
            <w:vAlign w:val="center"/>
          </w:tcPr>
          <w:p>
            <w:pPr>
              <w:keepNext w:val="0"/>
              <w:keepLines w:val="0"/>
              <w:pageBreakBefore w:val="0"/>
              <w:kinsoku/>
              <w:wordWrap/>
              <w:overflowPunct/>
              <w:topLinePunct w:val="0"/>
              <w:autoSpaceDE/>
              <w:autoSpaceDN/>
              <w:bidi w:val="0"/>
              <w:adjustRightInd/>
              <w:spacing w:line="360" w:lineRule="auto"/>
              <w:ind w:left="0"/>
              <w:jc w:val="center"/>
              <w:textAlignment w:val="auto"/>
              <w:rPr>
                <w:rFonts w:hint="eastAsia" w:ascii="宋体" w:hAnsi="宋体" w:eastAsia="宋体" w:cs="宋体"/>
                <w:sz w:val="18"/>
                <w:szCs w:val="18"/>
              </w:rPr>
            </w:pPr>
            <w:r>
              <w:rPr>
                <w:rFonts w:hint="eastAsia" w:ascii="宋体" w:hAnsi="宋体" w:eastAsia="宋体" w:cs="宋体"/>
                <w:sz w:val="18"/>
                <w:szCs w:val="18"/>
              </w:rPr>
              <w:t>3</w:t>
            </w:r>
          </w:p>
        </w:tc>
        <w:tc>
          <w:tcPr>
            <w:tcW w:w="3827" w:type="dxa"/>
            <w:vAlign w:val="center"/>
          </w:tcPr>
          <w:p>
            <w:pPr>
              <w:keepNext w:val="0"/>
              <w:keepLines w:val="0"/>
              <w:pageBreakBefore w:val="0"/>
              <w:kinsoku/>
              <w:wordWrap/>
              <w:overflowPunct/>
              <w:topLinePunct w:val="0"/>
              <w:autoSpaceDE/>
              <w:autoSpaceDN/>
              <w:bidi w:val="0"/>
              <w:adjustRightInd/>
              <w:spacing w:line="360" w:lineRule="auto"/>
              <w:ind w:left="0"/>
              <w:textAlignment w:val="auto"/>
              <w:rPr>
                <w:rFonts w:hint="eastAsia" w:ascii="宋体" w:hAnsi="宋体" w:eastAsia="宋体" w:cs="宋体"/>
                <w:sz w:val="18"/>
                <w:szCs w:val="18"/>
              </w:rPr>
            </w:pPr>
            <w:r>
              <w:rPr>
                <w:rFonts w:hint="eastAsia" w:ascii="宋体" w:hAnsi="宋体" w:eastAsia="宋体" w:cs="宋体"/>
                <w:sz w:val="18"/>
                <w:szCs w:val="18"/>
              </w:rPr>
              <w:t>外场设备每月定期巡检(每周一次)，提交巡检报告</w:t>
            </w:r>
          </w:p>
        </w:tc>
        <w:tc>
          <w:tcPr>
            <w:tcW w:w="992" w:type="dxa"/>
            <w:vAlign w:val="center"/>
          </w:tcPr>
          <w:p>
            <w:pPr>
              <w:keepNext w:val="0"/>
              <w:keepLines w:val="0"/>
              <w:pageBreakBefore w:val="0"/>
              <w:kinsoku/>
              <w:wordWrap/>
              <w:overflowPunct/>
              <w:topLinePunct w:val="0"/>
              <w:autoSpaceDE/>
              <w:autoSpaceDN/>
              <w:bidi w:val="0"/>
              <w:adjustRightInd/>
              <w:spacing w:line="360" w:lineRule="auto"/>
              <w:ind w:left="0"/>
              <w:jc w:val="center"/>
              <w:textAlignment w:val="auto"/>
              <w:rPr>
                <w:rFonts w:hint="eastAsia" w:ascii="宋体" w:hAnsi="宋体" w:eastAsia="宋体" w:cs="宋体"/>
                <w:sz w:val="18"/>
                <w:szCs w:val="18"/>
              </w:rPr>
            </w:pPr>
            <w:r>
              <w:rPr>
                <w:rFonts w:hint="eastAsia" w:ascii="宋体" w:hAnsi="宋体" w:eastAsia="宋体" w:cs="宋体"/>
                <w:sz w:val="18"/>
                <w:szCs w:val="18"/>
              </w:rPr>
              <w:t>20</w:t>
            </w:r>
          </w:p>
        </w:tc>
        <w:tc>
          <w:tcPr>
            <w:tcW w:w="4111" w:type="dxa"/>
            <w:vAlign w:val="center"/>
          </w:tcPr>
          <w:p>
            <w:pPr>
              <w:keepNext w:val="0"/>
              <w:keepLines w:val="0"/>
              <w:pageBreakBefore w:val="0"/>
              <w:kinsoku/>
              <w:wordWrap/>
              <w:overflowPunct/>
              <w:topLinePunct w:val="0"/>
              <w:autoSpaceDE/>
              <w:autoSpaceDN/>
              <w:bidi w:val="0"/>
              <w:adjustRightInd/>
              <w:spacing w:line="360" w:lineRule="auto"/>
              <w:ind w:left="0"/>
              <w:textAlignment w:val="auto"/>
              <w:rPr>
                <w:rFonts w:hint="eastAsia" w:ascii="宋体" w:hAnsi="宋体" w:eastAsia="宋体" w:cs="宋体"/>
                <w:sz w:val="18"/>
                <w:szCs w:val="18"/>
              </w:rPr>
            </w:pPr>
            <w:r>
              <w:rPr>
                <w:rFonts w:hint="eastAsia" w:ascii="宋体" w:hAnsi="宋体" w:eastAsia="宋体" w:cs="宋体"/>
                <w:sz w:val="18"/>
                <w:szCs w:val="18"/>
              </w:rPr>
              <w:t>每月不按时检查发现一次扣5分，最多扣20分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05" w:type="dxa"/>
            <w:vAlign w:val="center"/>
          </w:tcPr>
          <w:p>
            <w:pPr>
              <w:keepNext w:val="0"/>
              <w:keepLines w:val="0"/>
              <w:pageBreakBefore w:val="0"/>
              <w:kinsoku/>
              <w:wordWrap/>
              <w:overflowPunct/>
              <w:topLinePunct w:val="0"/>
              <w:autoSpaceDE/>
              <w:autoSpaceDN/>
              <w:bidi w:val="0"/>
              <w:adjustRightInd/>
              <w:spacing w:line="360" w:lineRule="auto"/>
              <w:ind w:left="0"/>
              <w:jc w:val="center"/>
              <w:textAlignment w:val="auto"/>
              <w:rPr>
                <w:rFonts w:hint="eastAsia" w:ascii="宋体" w:hAnsi="宋体" w:eastAsia="宋体" w:cs="宋体"/>
                <w:sz w:val="18"/>
                <w:szCs w:val="18"/>
              </w:rPr>
            </w:pPr>
            <w:r>
              <w:rPr>
                <w:rFonts w:hint="eastAsia" w:ascii="宋体" w:hAnsi="宋体" w:eastAsia="宋体" w:cs="宋体"/>
                <w:sz w:val="18"/>
                <w:szCs w:val="18"/>
              </w:rPr>
              <w:t>4</w:t>
            </w:r>
          </w:p>
        </w:tc>
        <w:tc>
          <w:tcPr>
            <w:tcW w:w="3827" w:type="dxa"/>
            <w:vAlign w:val="center"/>
          </w:tcPr>
          <w:p>
            <w:pPr>
              <w:keepNext w:val="0"/>
              <w:keepLines w:val="0"/>
              <w:pageBreakBefore w:val="0"/>
              <w:kinsoku/>
              <w:wordWrap/>
              <w:overflowPunct/>
              <w:topLinePunct w:val="0"/>
              <w:autoSpaceDE/>
              <w:autoSpaceDN/>
              <w:bidi w:val="0"/>
              <w:adjustRightInd/>
              <w:spacing w:line="360" w:lineRule="auto"/>
              <w:ind w:left="0"/>
              <w:textAlignment w:val="auto"/>
              <w:rPr>
                <w:rFonts w:hint="eastAsia" w:ascii="宋体" w:hAnsi="宋体" w:eastAsia="宋体" w:cs="宋体"/>
                <w:sz w:val="18"/>
                <w:szCs w:val="18"/>
              </w:rPr>
            </w:pPr>
            <w:r>
              <w:rPr>
                <w:rFonts w:hint="eastAsia" w:ascii="宋体" w:hAnsi="宋体" w:eastAsia="宋体" w:cs="宋体"/>
                <w:sz w:val="18"/>
                <w:szCs w:val="18"/>
              </w:rPr>
              <w:t>建立外场设施设备维护台账（含各单一事件的时间、地点、人物、起因、经过、结果），每月20号前报送宁波市镇海区交通运输管理中心</w:t>
            </w:r>
          </w:p>
        </w:tc>
        <w:tc>
          <w:tcPr>
            <w:tcW w:w="992" w:type="dxa"/>
            <w:vAlign w:val="center"/>
          </w:tcPr>
          <w:p>
            <w:pPr>
              <w:keepNext w:val="0"/>
              <w:keepLines w:val="0"/>
              <w:pageBreakBefore w:val="0"/>
              <w:kinsoku/>
              <w:wordWrap/>
              <w:overflowPunct/>
              <w:topLinePunct w:val="0"/>
              <w:autoSpaceDE/>
              <w:autoSpaceDN/>
              <w:bidi w:val="0"/>
              <w:adjustRightInd/>
              <w:spacing w:line="360" w:lineRule="auto"/>
              <w:ind w:left="0"/>
              <w:jc w:val="center"/>
              <w:textAlignment w:val="auto"/>
              <w:rPr>
                <w:rFonts w:hint="eastAsia" w:ascii="宋体" w:hAnsi="宋体" w:eastAsia="宋体" w:cs="宋体"/>
                <w:sz w:val="18"/>
                <w:szCs w:val="18"/>
              </w:rPr>
            </w:pPr>
            <w:r>
              <w:rPr>
                <w:rFonts w:hint="eastAsia" w:ascii="宋体" w:hAnsi="宋体" w:eastAsia="宋体" w:cs="宋体"/>
                <w:sz w:val="18"/>
                <w:szCs w:val="18"/>
              </w:rPr>
              <w:t>10</w:t>
            </w:r>
          </w:p>
        </w:tc>
        <w:tc>
          <w:tcPr>
            <w:tcW w:w="4111" w:type="dxa"/>
            <w:vAlign w:val="center"/>
          </w:tcPr>
          <w:p>
            <w:pPr>
              <w:keepNext w:val="0"/>
              <w:keepLines w:val="0"/>
              <w:pageBreakBefore w:val="0"/>
              <w:kinsoku/>
              <w:wordWrap/>
              <w:overflowPunct/>
              <w:topLinePunct w:val="0"/>
              <w:autoSpaceDE/>
              <w:autoSpaceDN/>
              <w:bidi w:val="0"/>
              <w:adjustRightInd/>
              <w:spacing w:line="360" w:lineRule="auto"/>
              <w:ind w:left="0"/>
              <w:textAlignment w:val="auto"/>
              <w:rPr>
                <w:rFonts w:hint="eastAsia" w:ascii="宋体" w:hAnsi="宋体" w:eastAsia="宋体" w:cs="宋体"/>
                <w:sz w:val="18"/>
                <w:szCs w:val="18"/>
              </w:rPr>
            </w:pPr>
            <w:r>
              <w:rPr>
                <w:rFonts w:hint="eastAsia" w:ascii="宋体" w:hAnsi="宋体" w:eastAsia="宋体" w:cs="宋体"/>
                <w:sz w:val="18"/>
                <w:szCs w:val="18"/>
              </w:rPr>
              <w:t>每发现一处台账不规范的扣1分，最多扣10分。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05" w:type="dxa"/>
            <w:vAlign w:val="center"/>
          </w:tcPr>
          <w:p>
            <w:pPr>
              <w:keepNext w:val="0"/>
              <w:keepLines w:val="0"/>
              <w:pageBreakBefore w:val="0"/>
              <w:kinsoku/>
              <w:wordWrap/>
              <w:overflowPunct/>
              <w:topLinePunct w:val="0"/>
              <w:autoSpaceDE/>
              <w:autoSpaceDN/>
              <w:bidi w:val="0"/>
              <w:adjustRightInd/>
              <w:spacing w:line="360" w:lineRule="auto"/>
              <w:ind w:left="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3827" w:type="dxa"/>
            <w:vAlign w:val="center"/>
          </w:tcPr>
          <w:p>
            <w:pPr>
              <w:keepNext w:val="0"/>
              <w:keepLines w:val="0"/>
              <w:pageBreakBefore w:val="0"/>
              <w:kinsoku/>
              <w:wordWrap/>
              <w:overflowPunct/>
              <w:topLinePunct w:val="0"/>
              <w:autoSpaceDE/>
              <w:autoSpaceDN/>
              <w:bidi w:val="0"/>
              <w:adjustRightInd/>
              <w:spacing w:line="360" w:lineRule="auto"/>
              <w:ind w:left="0"/>
              <w:textAlignment w:val="auto"/>
              <w:rPr>
                <w:rFonts w:hint="eastAsia" w:ascii="宋体" w:hAnsi="宋体" w:eastAsia="宋体" w:cs="宋体"/>
                <w:sz w:val="18"/>
                <w:szCs w:val="18"/>
              </w:rPr>
            </w:pPr>
            <w:r>
              <w:rPr>
                <w:rFonts w:hint="eastAsia" w:ascii="宋体" w:hAnsi="宋体" w:eastAsia="宋体" w:cs="宋体"/>
                <w:sz w:val="18"/>
                <w:szCs w:val="18"/>
              </w:rPr>
              <w:t>每月20至22日报送当月维护台账及下月数字公路维护计划</w:t>
            </w:r>
          </w:p>
        </w:tc>
        <w:tc>
          <w:tcPr>
            <w:tcW w:w="992" w:type="dxa"/>
            <w:vAlign w:val="center"/>
          </w:tcPr>
          <w:p>
            <w:pPr>
              <w:keepNext w:val="0"/>
              <w:keepLines w:val="0"/>
              <w:pageBreakBefore w:val="0"/>
              <w:kinsoku/>
              <w:wordWrap/>
              <w:overflowPunct/>
              <w:topLinePunct w:val="0"/>
              <w:autoSpaceDE/>
              <w:autoSpaceDN/>
              <w:bidi w:val="0"/>
              <w:adjustRightInd/>
              <w:spacing w:line="360" w:lineRule="auto"/>
              <w:ind w:left="0"/>
              <w:jc w:val="center"/>
              <w:textAlignment w:val="auto"/>
              <w:rPr>
                <w:rFonts w:hint="eastAsia" w:ascii="宋体" w:hAnsi="宋体" w:eastAsia="宋体" w:cs="宋体"/>
                <w:sz w:val="18"/>
                <w:szCs w:val="18"/>
              </w:rPr>
            </w:pPr>
            <w:r>
              <w:rPr>
                <w:rFonts w:hint="eastAsia" w:ascii="宋体" w:hAnsi="宋体" w:eastAsia="宋体" w:cs="宋体"/>
                <w:sz w:val="18"/>
                <w:szCs w:val="18"/>
              </w:rPr>
              <w:t>10</w:t>
            </w:r>
          </w:p>
        </w:tc>
        <w:tc>
          <w:tcPr>
            <w:tcW w:w="4111" w:type="dxa"/>
            <w:vAlign w:val="center"/>
          </w:tcPr>
          <w:p>
            <w:pPr>
              <w:keepNext w:val="0"/>
              <w:keepLines w:val="0"/>
              <w:pageBreakBefore w:val="0"/>
              <w:kinsoku/>
              <w:wordWrap/>
              <w:overflowPunct/>
              <w:topLinePunct w:val="0"/>
              <w:autoSpaceDE/>
              <w:autoSpaceDN/>
              <w:bidi w:val="0"/>
              <w:adjustRightInd/>
              <w:spacing w:line="360" w:lineRule="auto"/>
              <w:ind w:left="0"/>
              <w:textAlignment w:val="auto"/>
              <w:rPr>
                <w:rFonts w:hint="eastAsia" w:ascii="宋体" w:hAnsi="宋体" w:eastAsia="宋体" w:cs="宋体"/>
                <w:sz w:val="18"/>
                <w:szCs w:val="18"/>
              </w:rPr>
            </w:pPr>
            <w:r>
              <w:rPr>
                <w:rFonts w:hint="eastAsia" w:ascii="宋体" w:hAnsi="宋体" w:eastAsia="宋体" w:cs="宋体"/>
                <w:sz w:val="18"/>
                <w:szCs w:val="18"/>
              </w:rPr>
              <w:t>每延迟1天报送台账与计划的，扣1分；数据有明显遗漏的，扣2分；最多扣10分。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05" w:type="dxa"/>
            <w:vAlign w:val="center"/>
          </w:tcPr>
          <w:p>
            <w:pPr>
              <w:keepNext w:val="0"/>
              <w:keepLines w:val="0"/>
              <w:pageBreakBefore w:val="0"/>
              <w:kinsoku/>
              <w:wordWrap/>
              <w:overflowPunct/>
              <w:topLinePunct w:val="0"/>
              <w:autoSpaceDE/>
              <w:autoSpaceDN/>
              <w:bidi w:val="0"/>
              <w:adjustRightInd/>
              <w:spacing w:line="360" w:lineRule="auto"/>
              <w:ind w:left="0"/>
              <w:jc w:val="center"/>
              <w:textAlignment w:val="auto"/>
              <w:rPr>
                <w:rFonts w:hint="eastAsia" w:ascii="宋体" w:hAnsi="宋体" w:eastAsia="宋体" w:cs="宋体"/>
                <w:sz w:val="18"/>
                <w:szCs w:val="18"/>
              </w:rPr>
            </w:pPr>
            <w:r>
              <w:rPr>
                <w:rFonts w:hint="eastAsia" w:ascii="宋体" w:hAnsi="宋体" w:eastAsia="宋体" w:cs="宋体"/>
                <w:sz w:val="18"/>
                <w:szCs w:val="18"/>
              </w:rPr>
              <w:t>合计</w:t>
            </w:r>
          </w:p>
        </w:tc>
        <w:tc>
          <w:tcPr>
            <w:tcW w:w="3827" w:type="dxa"/>
            <w:vAlign w:val="center"/>
          </w:tcPr>
          <w:p>
            <w:pPr>
              <w:keepNext w:val="0"/>
              <w:keepLines w:val="0"/>
              <w:pageBreakBefore w:val="0"/>
              <w:kinsoku/>
              <w:wordWrap/>
              <w:overflowPunct/>
              <w:topLinePunct w:val="0"/>
              <w:autoSpaceDE/>
              <w:autoSpaceDN/>
              <w:bidi w:val="0"/>
              <w:adjustRightInd/>
              <w:spacing w:line="360" w:lineRule="auto"/>
              <w:ind w:left="0"/>
              <w:jc w:val="center"/>
              <w:textAlignment w:val="auto"/>
              <w:rPr>
                <w:rFonts w:hint="eastAsia" w:ascii="宋体" w:hAnsi="宋体" w:eastAsia="宋体" w:cs="宋体"/>
                <w:sz w:val="18"/>
                <w:szCs w:val="18"/>
              </w:rPr>
            </w:pPr>
          </w:p>
        </w:tc>
        <w:tc>
          <w:tcPr>
            <w:tcW w:w="992" w:type="dxa"/>
            <w:vAlign w:val="center"/>
          </w:tcPr>
          <w:p>
            <w:pPr>
              <w:keepNext w:val="0"/>
              <w:keepLines w:val="0"/>
              <w:pageBreakBefore w:val="0"/>
              <w:kinsoku/>
              <w:wordWrap/>
              <w:overflowPunct/>
              <w:topLinePunct w:val="0"/>
              <w:autoSpaceDE/>
              <w:autoSpaceDN/>
              <w:bidi w:val="0"/>
              <w:adjustRightInd/>
              <w:spacing w:line="360" w:lineRule="auto"/>
              <w:ind w:left="0"/>
              <w:jc w:val="center"/>
              <w:textAlignment w:val="auto"/>
              <w:rPr>
                <w:rFonts w:hint="eastAsia" w:ascii="宋体" w:hAnsi="宋体" w:eastAsia="宋体" w:cs="宋体"/>
                <w:sz w:val="18"/>
                <w:szCs w:val="18"/>
              </w:rPr>
            </w:pPr>
            <w:r>
              <w:rPr>
                <w:rFonts w:hint="eastAsia" w:ascii="宋体" w:hAnsi="宋体" w:eastAsia="宋体" w:cs="宋体"/>
                <w:sz w:val="18"/>
                <w:szCs w:val="18"/>
              </w:rPr>
              <w:t>100</w:t>
            </w:r>
          </w:p>
        </w:tc>
        <w:tc>
          <w:tcPr>
            <w:tcW w:w="4111" w:type="dxa"/>
            <w:vAlign w:val="center"/>
          </w:tcPr>
          <w:p>
            <w:pPr>
              <w:keepNext w:val="0"/>
              <w:keepLines w:val="0"/>
              <w:pageBreakBefore w:val="0"/>
              <w:kinsoku/>
              <w:wordWrap/>
              <w:overflowPunct/>
              <w:topLinePunct w:val="0"/>
              <w:autoSpaceDE/>
              <w:autoSpaceDN/>
              <w:bidi w:val="0"/>
              <w:adjustRightInd/>
              <w:spacing w:line="360" w:lineRule="auto"/>
              <w:ind w:left="0"/>
              <w:jc w:val="center"/>
              <w:textAlignment w:val="auto"/>
              <w:rPr>
                <w:rFonts w:hint="eastAsia" w:ascii="宋体" w:hAnsi="宋体" w:eastAsia="宋体" w:cs="宋体"/>
                <w:sz w:val="18"/>
                <w:szCs w:val="18"/>
              </w:rPr>
            </w:pPr>
          </w:p>
        </w:tc>
      </w:tr>
    </w:tbl>
    <w:p>
      <w:pPr>
        <w:keepNext w:val="0"/>
        <w:keepLines w:val="0"/>
        <w:pageBreakBefore w:val="0"/>
        <w:kinsoku/>
        <w:wordWrap/>
        <w:overflowPunct/>
        <w:topLinePunct w:val="0"/>
        <w:autoSpaceDE/>
        <w:autoSpaceDN/>
        <w:bidi w:val="0"/>
        <w:adjustRightInd/>
        <w:spacing w:line="360" w:lineRule="auto"/>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注：95分及95分以上不扣维保费用，95分以下按每分扣除100元人民币。各月所扣款项总和即为总扣款金额，若总扣款金额超过合同总价25%的，按合同总价的25%扣取。</w:t>
      </w:r>
    </w:p>
    <w:p>
      <w:pPr>
        <w:pStyle w:val="8"/>
      </w:pPr>
    </w:p>
    <w:p>
      <w:pPr>
        <w:pStyle w:val="8"/>
      </w:pPr>
    </w:p>
    <w:p>
      <w:pPr>
        <w:spacing w:line="360" w:lineRule="auto"/>
        <w:ind w:firstLine="315" w:firstLineChars="150"/>
        <w:rPr>
          <w:rFonts w:ascii="宋体" w:hAnsi="宋体" w:cs="宋体"/>
          <w:szCs w:val="21"/>
        </w:rPr>
      </w:pPr>
    </w:p>
    <w:p>
      <w:pPr>
        <w:spacing w:line="360" w:lineRule="auto"/>
        <w:ind w:firstLine="315" w:firstLineChars="150"/>
        <w:rPr>
          <w:rFonts w:ascii="宋体" w:hAnsi="宋体" w:cs="宋体"/>
          <w:szCs w:val="21"/>
        </w:rPr>
      </w:pPr>
      <w:r>
        <w:rPr>
          <w:rFonts w:hint="eastAsia" w:ascii="宋体" w:hAnsi="宋体" w:cs="宋体"/>
          <w:szCs w:val="21"/>
        </w:rPr>
        <w:t>甲方（章）：               乙方（章）：</w:t>
      </w:r>
    </w:p>
    <w:p>
      <w:pPr>
        <w:spacing w:line="360" w:lineRule="auto"/>
        <w:ind w:firstLine="315" w:firstLineChars="150"/>
        <w:rPr>
          <w:rFonts w:ascii="宋体" w:hAnsi="宋体" w:cs="宋体"/>
          <w:szCs w:val="21"/>
        </w:rPr>
      </w:pPr>
      <w:r>
        <w:rPr>
          <w:rFonts w:hint="eastAsia" w:ascii="宋体" w:hAnsi="宋体" w:cs="宋体"/>
          <w:szCs w:val="21"/>
        </w:rPr>
        <w:t>地址：                    地址：</w:t>
      </w:r>
    </w:p>
    <w:p>
      <w:pPr>
        <w:spacing w:line="360" w:lineRule="auto"/>
        <w:ind w:firstLine="315" w:firstLineChars="150"/>
        <w:rPr>
          <w:rFonts w:ascii="宋体" w:hAnsi="宋体" w:cs="宋体"/>
          <w:szCs w:val="21"/>
        </w:rPr>
      </w:pPr>
      <w:r>
        <w:rPr>
          <w:rFonts w:hint="eastAsia" w:ascii="宋体" w:hAnsi="宋体" w:cs="宋体"/>
          <w:szCs w:val="21"/>
        </w:rPr>
        <w:t>法定代表人：              法定代表人：</w:t>
      </w:r>
    </w:p>
    <w:p>
      <w:pPr>
        <w:spacing w:line="360" w:lineRule="auto"/>
        <w:ind w:firstLine="315" w:firstLineChars="150"/>
        <w:rPr>
          <w:rFonts w:ascii="宋体" w:hAnsi="宋体" w:cs="宋体"/>
          <w:szCs w:val="21"/>
        </w:rPr>
      </w:pPr>
      <w:r>
        <w:rPr>
          <w:rFonts w:hint="eastAsia" w:ascii="宋体" w:hAnsi="宋体" w:cs="宋体"/>
          <w:szCs w:val="21"/>
        </w:rPr>
        <w:t>委托代理人：              委托代理人：</w:t>
      </w:r>
    </w:p>
    <w:p>
      <w:pPr>
        <w:spacing w:line="360" w:lineRule="auto"/>
        <w:ind w:firstLine="315" w:firstLineChars="150"/>
        <w:rPr>
          <w:rFonts w:ascii="宋体" w:hAnsi="宋体" w:cs="宋体"/>
          <w:szCs w:val="21"/>
        </w:rPr>
      </w:pPr>
      <w:r>
        <w:rPr>
          <w:rFonts w:hint="eastAsia" w:ascii="宋体" w:hAnsi="宋体" w:cs="宋体"/>
          <w:szCs w:val="21"/>
        </w:rPr>
        <w:t>电话：                    电话：</w:t>
      </w:r>
    </w:p>
    <w:p>
      <w:pPr>
        <w:spacing w:line="360" w:lineRule="auto"/>
        <w:ind w:firstLine="315" w:firstLineChars="150"/>
        <w:rPr>
          <w:rFonts w:ascii="宋体" w:hAnsi="宋体" w:cs="宋体"/>
          <w:szCs w:val="21"/>
        </w:rPr>
      </w:pPr>
      <w:r>
        <w:rPr>
          <w:rFonts w:hint="eastAsia" w:ascii="宋体" w:hAnsi="宋体" w:cs="宋体"/>
          <w:szCs w:val="21"/>
        </w:rPr>
        <w:t>电传：                    电传：</w:t>
      </w:r>
    </w:p>
    <w:p>
      <w:pPr>
        <w:spacing w:line="360" w:lineRule="auto"/>
        <w:ind w:firstLine="315" w:firstLineChars="150"/>
        <w:rPr>
          <w:rFonts w:ascii="宋体" w:hAnsi="宋体" w:cs="宋体"/>
          <w:szCs w:val="21"/>
        </w:rPr>
      </w:pPr>
      <w:r>
        <w:rPr>
          <w:rFonts w:hint="eastAsia" w:ascii="宋体" w:hAnsi="宋体" w:cs="宋体"/>
          <w:szCs w:val="21"/>
        </w:rPr>
        <w:t>开户银行：                开户银行：</w:t>
      </w:r>
    </w:p>
    <w:p>
      <w:pPr>
        <w:spacing w:line="360" w:lineRule="auto"/>
        <w:ind w:firstLine="315" w:firstLineChars="150"/>
        <w:rPr>
          <w:rFonts w:ascii="宋体" w:hAnsi="宋体" w:cs="宋体"/>
          <w:szCs w:val="21"/>
        </w:rPr>
      </w:pPr>
      <w:r>
        <w:rPr>
          <w:rFonts w:hint="eastAsia" w:ascii="宋体" w:hAnsi="宋体" w:cs="宋体"/>
          <w:szCs w:val="21"/>
        </w:rPr>
        <w:t>帐号：                    帐号：</w:t>
      </w:r>
    </w:p>
    <w:p>
      <w:pPr>
        <w:spacing w:line="360" w:lineRule="auto"/>
        <w:ind w:firstLine="315" w:firstLineChars="150"/>
        <w:rPr>
          <w:rFonts w:ascii="宋体" w:hAnsi="宋体" w:cs="宋体"/>
          <w:szCs w:val="21"/>
        </w:rPr>
      </w:pPr>
      <w:r>
        <w:rPr>
          <w:rFonts w:hint="eastAsia" w:ascii="宋体" w:hAnsi="宋体" w:cs="宋体"/>
          <w:szCs w:val="21"/>
        </w:rPr>
        <w:t>邮政编码：                邮政编码：</w:t>
      </w:r>
    </w:p>
    <w:p>
      <w:pPr>
        <w:spacing w:line="360" w:lineRule="auto"/>
        <w:ind w:firstLine="315" w:firstLineChars="150"/>
        <w:rPr>
          <w:rFonts w:ascii="宋体" w:hAnsi="宋体" w:cs="宋体"/>
          <w:szCs w:val="21"/>
        </w:rPr>
      </w:pPr>
      <w:r>
        <w:rPr>
          <w:rFonts w:hint="eastAsia" w:ascii="宋体" w:hAnsi="宋体" w:cs="宋体"/>
          <w:szCs w:val="21"/>
        </w:rPr>
        <w:t>签订地点：                签订日期：   年  月  日</w:t>
      </w:r>
    </w:p>
    <w:p/>
    <w:p>
      <w:pPr>
        <w:pStyle w:val="2"/>
        <w:rPr>
          <w:sz w:val="30"/>
          <w:szCs w:val="30"/>
        </w:rPr>
      </w:pPr>
      <w:bookmarkStart w:id="8" w:name="_Toc13946"/>
      <w:bookmarkStart w:id="9" w:name="_Toc1544"/>
    </w:p>
    <w:p/>
    <w:p>
      <w:pPr>
        <w:pStyle w:val="2"/>
        <w:rPr>
          <w:sz w:val="30"/>
          <w:szCs w:val="30"/>
        </w:rPr>
      </w:pPr>
      <w:r>
        <w:rPr>
          <w:rFonts w:hint="eastAsia"/>
          <w:sz w:val="30"/>
          <w:szCs w:val="30"/>
        </w:rPr>
        <w:br w:type="page"/>
      </w:r>
      <w:r>
        <w:rPr>
          <w:rFonts w:hint="eastAsia"/>
          <w:sz w:val="30"/>
          <w:szCs w:val="30"/>
        </w:rPr>
        <w:t>第六章　投标文件格式</w:t>
      </w:r>
      <w:bookmarkEnd w:id="8"/>
      <w:bookmarkEnd w:id="9"/>
    </w:p>
    <w:p>
      <w:pPr>
        <w:spacing w:line="400" w:lineRule="exact"/>
        <w:jc w:val="center"/>
        <w:outlineLvl w:val="0"/>
        <w:rPr>
          <w:rFonts w:ascii="宋体" w:hAnsi="宋体"/>
          <w:b/>
          <w:sz w:val="32"/>
        </w:rPr>
      </w:pPr>
    </w:p>
    <w:p>
      <w:pPr>
        <w:pStyle w:val="10"/>
        <w:snapToGrid w:val="0"/>
        <w:spacing w:line="440" w:lineRule="exact"/>
        <w:ind w:firstLine="394" w:firstLineChars="196"/>
        <w:outlineLvl w:val="0"/>
        <w:rPr>
          <w:rFonts w:hAnsi="宋体"/>
          <w:b/>
          <w:bCs/>
        </w:rPr>
      </w:pPr>
      <w:bookmarkStart w:id="10" w:name="_Toc30641"/>
      <w:bookmarkStart w:id="11" w:name="_Toc7975"/>
      <w:bookmarkStart w:id="12" w:name="_Toc3144"/>
      <w:r>
        <w:rPr>
          <w:rFonts w:hint="eastAsia" w:hAnsi="宋体"/>
          <w:b/>
          <w:bCs/>
        </w:rPr>
        <w:t>一、投标文件外层包装封面格式</w:t>
      </w:r>
      <w:bookmarkEnd w:id="10"/>
      <w:bookmarkEnd w:id="11"/>
      <w:bookmarkEnd w:id="12"/>
    </w:p>
    <w:p>
      <w:pPr>
        <w:snapToGrid w:val="0"/>
        <w:spacing w:before="120" w:beforeLines="50" w:after="50" w:line="440" w:lineRule="exact"/>
        <w:jc w:val="center"/>
        <w:rPr>
          <w:rFonts w:ascii="宋体" w:hAnsi="宋体"/>
          <w:szCs w:val="21"/>
        </w:rPr>
      </w:pPr>
    </w:p>
    <w:p>
      <w:pPr>
        <w:snapToGrid w:val="0"/>
        <w:spacing w:before="120" w:beforeLines="50" w:after="50" w:line="440" w:lineRule="exact"/>
        <w:jc w:val="center"/>
        <w:rPr>
          <w:rFonts w:ascii="宋体" w:hAnsi="宋体"/>
          <w:b/>
          <w:bCs/>
          <w:sz w:val="44"/>
          <w:szCs w:val="44"/>
        </w:rPr>
      </w:pPr>
      <w:r>
        <w:rPr>
          <w:rFonts w:hint="eastAsia" w:ascii="宋体" w:hAnsi="宋体"/>
          <w:b/>
          <w:bCs/>
          <w:sz w:val="44"/>
          <w:szCs w:val="44"/>
        </w:rPr>
        <w:t>投标文件</w:t>
      </w:r>
    </w:p>
    <w:p>
      <w:pPr>
        <w:snapToGrid w:val="0"/>
        <w:spacing w:before="120" w:beforeLines="50" w:after="50" w:line="440" w:lineRule="exact"/>
        <w:jc w:val="center"/>
        <w:rPr>
          <w:rFonts w:ascii="宋体" w:hAnsi="宋体"/>
          <w:b/>
          <w:bCs/>
          <w:sz w:val="32"/>
          <w:szCs w:val="32"/>
        </w:rPr>
      </w:pPr>
      <w:r>
        <w:rPr>
          <w:rFonts w:hint="eastAsia" w:ascii="宋体" w:hAnsi="宋体"/>
          <w:b/>
          <w:bCs/>
          <w:sz w:val="32"/>
          <w:szCs w:val="32"/>
        </w:rPr>
        <w:t xml:space="preserve">（电子备份投标文件）       </w:t>
      </w:r>
    </w:p>
    <w:p>
      <w:pPr>
        <w:snapToGrid w:val="0"/>
        <w:spacing w:before="120" w:beforeLines="50" w:after="50" w:line="440" w:lineRule="exact"/>
        <w:rPr>
          <w:rFonts w:ascii="宋体" w:hAnsi="宋体"/>
          <w:bCs/>
          <w:szCs w:val="21"/>
        </w:rPr>
      </w:pPr>
    </w:p>
    <w:p>
      <w:pPr>
        <w:snapToGrid w:val="0"/>
        <w:spacing w:before="120" w:beforeLines="50" w:after="50" w:line="480" w:lineRule="auto"/>
        <w:ind w:firstLine="932" w:firstLineChars="444"/>
        <w:rPr>
          <w:rFonts w:ascii="宋体" w:hAnsi="宋体"/>
          <w:bCs/>
          <w:szCs w:val="21"/>
        </w:rPr>
      </w:pPr>
    </w:p>
    <w:p>
      <w:pPr>
        <w:snapToGrid w:val="0"/>
        <w:spacing w:before="120" w:beforeLines="50" w:after="50" w:line="480" w:lineRule="auto"/>
        <w:ind w:firstLine="932" w:firstLineChars="444"/>
        <w:rPr>
          <w:rFonts w:ascii="宋体" w:hAnsi="宋体"/>
          <w:bCs/>
          <w:szCs w:val="21"/>
        </w:rPr>
      </w:pPr>
      <w:r>
        <w:rPr>
          <w:rFonts w:hint="eastAsia" w:ascii="宋体" w:hAnsi="宋体"/>
          <w:bCs/>
          <w:szCs w:val="21"/>
        </w:rPr>
        <w:t>项目名称：</w:t>
      </w:r>
      <w:r>
        <w:rPr>
          <w:rFonts w:ascii="宋体" w:hAnsi="宋体"/>
          <w:szCs w:val="21"/>
          <w:u w:val="single"/>
        </w:rPr>
        <w:t xml:space="preserve">                                          </w:t>
      </w:r>
      <w:r>
        <w:rPr>
          <w:rFonts w:hint="eastAsia" w:ascii="宋体" w:hAnsi="宋体"/>
          <w:szCs w:val="21"/>
        </w:rPr>
        <w:t>。</w:t>
      </w:r>
    </w:p>
    <w:p>
      <w:pPr>
        <w:snapToGrid w:val="0"/>
        <w:spacing w:before="120" w:beforeLines="50" w:after="50" w:line="480" w:lineRule="auto"/>
        <w:ind w:firstLine="932" w:firstLineChars="444"/>
        <w:rPr>
          <w:rFonts w:ascii="宋体" w:hAnsi="宋体"/>
          <w:bCs/>
          <w:szCs w:val="21"/>
        </w:rPr>
      </w:pPr>
      <w:r>
        <w:rPr>
          <w:rFonts w:hint="eastAsia" w:ascii="宋体" w:hAnsi="宋体"/>
          <w:bCs/>
          <w:szCs w:val="21"/>
        </w:rPr>
        <w:t>项目编号：</w:t>
      </w:r>
      <w:r>
        <w:rPr>
          <w:rFonts w:ascii="宋体" w:hAnsi="宋体"/>
          <w:szCs w:val="21"/>
          <w:u w:val="single"/>
        </w:rPr>
        <w:t xml:space="preserve">                                          </w:t>
      </w:r>
      <w:r>
        <w:rPr>
          <w:rFonts w:hint="eastAsia" w:ascii="宋体" w:hAnsi="宋体"/>
          <w:szCs w:val="21"/>
        </w:rPr>
        <w:t>。</w:t>
      </w:r>
    </w:p>
    <w:p>
      <w:pPr>
        <w:snapToGrid w:val="0"/>
        <w:spacing w:before="120" w:beforeLines="50" w:after="50" w:line="480" w:lineRule="auto"/>
        <w:ind w:firstLine="932" w:firstLineChars="444"/>
        <w:rPr>
          <w:rFonts w:ascii="宋体" w:hAnsi="宋体"/>
          <w:szCs w:val="21"/>
        </w:rPr>
      </w:pPr>
      <w:r>
        <w:rPr>
          <w:rFonts w:hint="eastAsia" w:ascii="宋体" w:hAnsi="宋体"/>
          <w:bCs/>
          <w:szCs w:val="21"/>
        </w:rPr>
        <w:t>标项号：</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napToGrid w:val="0"/>
        <w:spacing w:before="120" w:beforeLines="50" w:after="50" w:line="480" w:lineRule="auto"/>
        <w:ind w:firstLine="932" w:firstLineChars="444"/>
        <w:rPr>
          <w:rFonts w:ascii="宋体" w:hAnsi="宋体"/>
          <w:bCs/>
          <w:szCs w:val="21"/>
        </w:rPr>
      </w:pPr>
      <w:r>
        <w:rPr>
          <w:rFonts w:hint="eastAsia" w:ascii="宋体" w:hAnsi="宋体"/>
          <w:bCs/>
          <w:szCs w:val="21"/>
        </w:rPr>
        <w:t>投标文件名称：</w:t>
      </w:r>
      <w:r>
        <w:rPr>
          <w:rFonts w:hint="eastAsia" w:ascii="宋体" w:hAnsi="宋体"/>
          <w:bCs/>
          <w:szCs w:val="21"/>
          <w:u w:val="single"/>
        </w:rPr>
        <w:t xml:space="preserve">电子备份投标文件                      </w:t>
      </w:r>
    </w:p>
    <w:p>
      <w:pPr>
        <w:tabs>
          <w:tab w:val="left" w:pos="900"/>
        </w:tabs>
        <w:spacing w:line="480" w:lineRule="auto"/>
        <w:ind w:firstLine="1050" w:firstLineChars="500"/>
        <w:jc w:val="left"/>
        <w:rPr>
          <w:rFonts w:ascii="宋体" w:hAnsi="宋体"/>
          <w:szCs w:val="21"/>
        </w:rPr>
      </w:pPr>
      <w:r>
        <w:rPr>
          <w:rFonts w:hint="eastAsia" w:ascii="宋体" w:hAnsi="宋体"/>
          <w:szCs w:val="21"/>
        </w:rPr>
        <w:t>在</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r>
        <w:rPr>
          <w:rFonts w:ascii="宋体" w:hAnsi="宋体"/>
          <w:szCs w:val="21"/>
          <w:u w:val="single"/>
        </w:rPr>
        <w:t xml:space="preserve">   </w:t>
      </w:r>
      <w:r>
        <w:rPr>
          <w:rFonts w:hint="eastAsia" w:ascii="宋体" w:hAnsi="宋体"/>
          <w:szCs w:val="21"/>
        </w:rPr>
        <w:t>：</w:t>
      </w:r>
      <w:r>
        <w:rPr>
          <w:rFonts w:ascii="宋体" w:hAnsi="宋体"/>
          <w:szCs w:val="21"/>
          <w:u w:val="single"/>
        </w:rPr>
        <w:t xml:space="preserve">   </w:t>
      </w:r>
      <w:r>
        <w:rPr>
          <w:rFonts w:hint="eastAsia" w:ascii="宋体" w:hAnsi="宋体"/>
          <w:szCs w:val="21"/>
        </w:rPr>
        <w:t xml:space="preserve"> （规定的开标日期和时间）前不准启封；</w:t>
      </w:r>
    </w:p>
    <w:p>
      <w:pPr>
        <w:tabs>
          <w:tab w:val="left" w:pos="900"/>
        </w:tabs>
        <w:spacing w:line="480" w:lineRule="auto"/>
        <w:ind w:firstLine="1050" w:firstLineChars="500"/>
        <w:jc w:val="left"/>
        <w:rPr>
          <w:rFonts w:ascii="宋体" w:hAnsi="宋体"/>
          <w:szCs w:val="21"/>
        </w:rPr>
      </w:pPr>
      <w:r>
        <w:rPr>
          <w:rFonts w:hint="eastAsia" w:ascii="宋体" w:hAnsi="宋体"/>
          <w:szCs w:val="21"/>
        </w:rPr>
        <w:t>供应商的名称：</w:t>
      </w:r>
      <w:r>
        <w:rPr>
          <w:rFonts w:ascii="宋体" w:hAnsi="宋体"/>
          <w:szCs w:val="21"/>
          <w:u w:val="single"/>
        </w:rPr>
        <w:t xml:space="preserve">                                          </w:t>
      </w:r>
      <w:r>
        <w:rPr>
          <w:rFonts w:hint="eastAsia" w:ascii="宋体" w:hAnsi="宋体"/>
          <w:szCs w:val="21"/>
        </w:rPr>
        <w:t>。</w:t>
      </w:r>
    </w:p>
    <w:p>
      <w:pPr>
        <w:tabs>
          <w:tab w:val="left" w:pos="900"/>
        </w:tabs>
        <w:spacing w:line="480" w:lineRule="auto"/>
        <w:ind w:firstLine="1050" w:firstLineChars="500"/>
        <w:jc w:val="left"/>
        <w:rPr>
          <w:rFonts w:ascii="宋体" w:hAnsi="宋体"/>
          <w:szCs w:val="21"/>
        </w:rPr>
      </w:pPr>
      <w:r>
        <w:rPr>
          <w:rFonts w:hint="eastAsia" w:ascii="宋体" w:hAnsi="宋体"/>
          <w:szCs w:val="21"/>
        </w:rPr>
        <w:t>供应商地址：</w:t>
      </w:r>
      <w:r>
        <w:rPr>
          <w:rFonts w:ascii="宋体" w:hAnsi="宋体"/>
          <w:szCs w:val="21"/>
          <w:u w:val="single"/>
        </w:rPr>
        <w:t xml:space="preserve">                                          </w:t>
      </w:r>
      <w:r>
        <w:rPr>
          <w:rFonts w:hint="eastAsia" w:ascii="宋体" w:hAnsi="宋体"/>
          <w:szCs w:val="21"/>
        </w:rPr>
        <w:t>。</w:t>
      </w:r>
    </w:p>
    <w:p>
      <w:pPr>
        <w:pStyle w:val="18"/>
        <w:ind w:firstLine="240"/>
        <w:rPr>
          <w:szCs w:val="21"/>
        </w:rPr>
      </w:pPr>
    </w:p>
    <w:p>
      <w:pPr>
        <w:pStyle w:val="18"/>
        <w:ind w:firstLine="240"/>
        <w:rPr>
          <w:szCs w:val="21"/>
        </w:rPr>
      </w:pPr>
    </w:p>
    <w:p>
      <w:pPr>
        <w:snapToGrid w:val="0"/>
        <w:spacing w:before="120" w:beforeLines="50" w:after="50" w:line="440" w:lineRule="exact"/>
        <w:ind w:firstLine="645"/>
        <w:jc w:val="center"/>
        <w:rPr>
          <w:rFonts w:ascii="宋体" w:hAnsi="宋体"/>
          <w:szCs w:val="21"/>
        </w:rPr>
      </w:pPr>
      <w:r>
        <w:rPr>
          <w:rFonts w:hint="eastAsia" w:ascii="宋体" w:hAnsi="宋体"/>
          <w:szCs w:val="21"/>
        </w:rPr>
        <w:t>投标单位全称（公章）：</w:t>
      </w:r>
    </w:p>
    <w:p>
      <w:pPr>
        <w:snapToGrid w:val="0"/>
        <w:spacing w:before="120" w:beforeLines="50" w:after="50" w:line="440" w:lineRule="exact"/>
        <w:ind w:firstLine="645"/>
        <w:jc w:val="center"/>
        <w:rPr>
          <w:rFonts w:ascii="宋体" w:hAnsi="宋体"/>
          <w:szCs w:val="21"/>
        </w:rPr>
      </w:pPr>
      <w:r>
        <w:rPr>
          <w:rFonts w:hint="eastAsia" w:ascii="宋体" w:hAnsi="宋体"/>
          <w:szCs w:val="21"/>
        </w:rPr>
        <w:t xml:space="preserve">       </w:t>
      </w:r>
      <w:r>
        <w:rPr>
          <w:rFonts w:hint="eastAsia" w:ascii="Arial" w:hAnsi="Arial"/>
          <w:szCs w:val="21"/>
        </w:rPr>
        <w:t>法定代表人或授权代表</w:t>
      </w:r>
      <w:r>
        <w:rPr>
          <w:rFonts w:hint="eastAsia" w:ascii="宋体" w:hAnsi="宋体"/>
          <w:szCs w:val="21"/>
        </w:rPr>
        <w:t>（签字或盖章）：</w:t>
      </w:r>
    </w:p>
    <w:p>
      <w:pPr>
        <w:snapToGrid w:val="0"/>
        <w:spacing w:before="120" w:beforeLines="50" w:after="50" w:line="440" w:lineRule="exact"/>
        <w:ind w:firstLine="645"/>
        <w:jc w:val="center"/>
        <w:rPr>
          <w:rFonts w:ascii="宋体" w:hAnsi="宋体"/>
          <w:szCs w:val="21"/>
        </w:rPr>
      </w:pPr>
      <w:r>
        <w:rPr>
          <w:rFonts w:hint="eastAsia" w:ascii="宋体" w:hAnsi="宋体"/>
          <w:szCs w:val="21"/>
        </w:rPr>
        <w:t>年   月   日</w:t>
      </w:r>
    </w:p>
    <w:p>
      <w:pPr>
        <w:pStyle w:val="18"/>
        <w:ind w:firstLine="240"/>
        <w:rPr>
          <w:szCs w:val="21"/>
        </w:rPr>
      </w:pPr>
    </w:p>
    <w:p>
      <w:pPr>
        <w:pStyle w:val="4"/>
        <w:snapToGrid w:val="0"/>
        <w:spacing w:before="50" w:after="50" w:line="440" w:lineRule="exact"/>
        <w:ind w:firstLine="1189" w:firstLineChars="444"/>
        <w:rPr>
          <w:bCs/>
          <w:szCs w:val="21"/>
        </w:rPr>
      </w:pPr>
    </w:p>
    <w:p>
      <w:pPr>
        <w:pStyle w:val="4"/>
        <w:snapToGrid w:val="0"/>
        <w:spacing w:before="50" w:after="50" w:line="440" w:lineRule="exact"/>
        <w:ind w:firstLine="1189" w:firstLineChars="444"/>
        <w:jc w:val="center"/>
        <w:rPr>
          <w:bCs/>
          <w:szCs w:val="21"/>
        </w:rPr>
      </w:pPr>
    </w:p>
    <w:p>
      <w:pPr>
        <w:spacing w:line="360" w:lineRule="auto"/>
        <w:ind w:firstLine="1120" w:firstLineChars="400"/>
        <w:rPr>
          <w:rFonts w:ascii="宋体" w:hAnsi="宋体"/>
          <w:sz w:val="28"/>
        </w:rPr>
      </w:pPr>
    </w:p>
    <w:p>
      <w:pPr>
        <w:spacing w:line="360" w:lineRule="auto"/>
        <w:rPr>
          <w:rFonts w:hint="eastAsia" w:ascii="宋体" w:hAnsi="宋体"/>
          <w:szCs w:val="21"/>
        </w:rPr>
      </w:pPr>
    </w:p>
    <w:p>
      <w:pPr>
        <w:spacing w:line="360" w:lineRule="auto"/>
        <w:rPr>
          <w:rFonts w:ascii="宋体" w:hAnsi="宋体"/>
          <w:b/>
          <w:sz w:val="32"/>
          <w:szCs w:val="32"/>
        </w:rPr>
      </w:pPr>
      <w:r>
        <w:rPr>
          <w:rFonts w:hint="eastAsia" w:ascii="宋体" w:hAnsi="宋体"/>
          <w:szCs w:val="21"/>
        </w:rPr>
        <w:t>二、</w:t>
      </w:r>
      <w:r>
        <w:rPr>
          <w:rFonts w:hint="eastAsia" w:ascii="宋体" w:hAnsi="宋体"/>
          <w:b/>
          <w:szCs w:val="21"/>
        </w:rPr>
        <w:t>封面格式</w:t>
      </w:r>
      <w:r>
        <w:rPr>
          <w:rFonts w:ascii="宋体" w:hAnsi="宋体"/>
          <w:b/>
          <w:sz w:val="32"/>
          <w:szCs w:val="32"/>
        </w:rPr>
        <w:t xml:space="preserve">                                       </w:t>
      </w:r>
    </w:p>
    <w:p>
      <w:pPr>
        <w:spacing w:line="360" w:lineRule="auto"/>
        <w:jc w:val="right"/>
        <w:rPr>
          <w:rFonts w:ascii="宋体" w:hAnsi="宋体"/>
          <w:b/>
          <w:sz w:val="32"/>
          <w:szCs w:val="32"/>
        </w:rPr>
      </w:pPr>
      <w:r>
        <w:rPr>
          <w:rFonts w:hint="eastAsia" w:ascii="宋体" w:hAnsi="宋体"/>
          <w:b/>
          <w:sz w:val="32"/>
          <w:szCs w:val="32"/>
        </w:rPr>
        <w:t>正（副）本</w:t>
      </w:r>
    </w:p>
    <w:p>
      <w:pPr>
        <w:spacing w:line="360" w:lineRule="auto"/>
        <w:rPr>
          <w:rFonts w:ascii="宋体" w:hAnsi="宋体"/>
          <w:sz w:val="28"/>
          <w:szCs w:val="28"/>
        </w:rPr>
      </w:pPr>
    </w:p>
    <w:p>
      <w:pPr>
        <w:spacing w:line="360" w:lineRule="auto"/>
        <w:jc w:val="center"/>
        <w:rPr>
          <w:rFonts w:ascii="宋体" w:hAnsi="宋体"/>
          <w:sz w:val="36"/>
          <w:szCs w:val="36"/>
        </w:rPr>
      </w:pPr>
      <w:r>
        <w:rPr>
          <w:rFonts w:hint="eastAsia" w:ascii="宋体" w:hAnsi="宋体"/>
          <w:b/>
          <w:sz w:val="72"/>
          <w:szCs w:val="72"/>
        </w:rPr>
        <w:t>投标文件</w:t>
      </w:r>
    </w:p>
    <w:p>
      <w:pPr>
        <w:spacing w:line="360" w:lineRule="auto"/>
        <w:jc w:val="center"/>
        <w:rPr>
          <w:rFonts w:ascii="宋体" w:hAnsi="宋体"/>
          <w:sz w:val="36"/>
          <w:szCs w:val="36"/>
        </w:rPr>
      </w:pPr>
      <w:r>
        <w:rPr>
          <w:rFonts w:hint="eastAsia" w:ascii="宋体" w:hAnsi="宋体"/>
          <w:sz w:val="36"/>
          <w:szCs w:val="36"/>
        </w:rPr>
        <w:t>2024年宁波市镇海区交通运输管理中心数字公路运维项目</w:t>
      </w:r>
    </w:p>
    <w:p>
      <w:pPr>
        <w:rPr>
          <w:rFonts w:ascii="宋体" w:hAnsi="宋体"/>
          <w:sz w:val="28"/>
          <w:szCs w:val="28"/>
        </w:rPr>
      </w:pPr>
    </w:p>
    <w:p>
      <w:pPr>
        <w:spacing w:line="360" w:lineRule="auto"/>
        <w:jc w:val="center"/>
        <w:rPr>
          <w:rFonts w:ascii="宋体" w:hAnsi="宋体"/>
          <w:sz w:val="36"/>
          <w:szCs w:val="36"/>
        </w:rPr>
      </w:pPr>
      <w:r>
        <w:rPr>
          <w:rFonts w:hint="eastAsia" w:ascii="宋体" w:hAnsi="宋体"/>
          <w:sz w:val="36"/>
          <w:szCs w:val="36"/>
        </w:rPr>
        <w:t>（资格文件/商务技术文件/报价文件）</w:t>
      </w:r>
    </w:p>
    <w:p>
      <w:pPr>
        <w:tabs>
          <w:tab w:val="left" w:pos="900"/>
        </w:tabs>
        <w:spacing w:line="480" w:lineRule="auto"/>
        <w:ind w:firstLine="1050" w:firstLineChars="500"/>
        <w:jc w:val="left"/>
        <w:rPr>
          <w:rFonts w:ascii="宋体" w:hAnsi="宋体"/>
          <w:szCs w:val="21"/>
        </w:rPr>
      </w:pPr>
    </w:p>
    <w:p>
      <w:pPr>
        <w:keepNext w:val="0"/>
        <w:keepLines w:val="0"/>
        <w:pageBreakBefore w:val="0"/>
        <w:widowControl w:val="0"/>
        <w:tabs>
          <w:tab w:val="left" w:pos="900"/>
        </w:tabs>
        <w:kinsoku/>
        <w:wordWrap/>
        <w:overflowPunct/>
        <w:topLinePunct w:val="0"/>
        <w:autoSpaceDE/>
        <w:autoSpaceDN/>
        <w:bidi w:val="0"/>
        <w:adjustRightInd/>
        <w:snapToGrid/>
        <w:spacing w:line="480" w:lineRule="auto"/>
        <w:ind w:right="0" w:rightChars="0" w:firstLine="1050" w:firstLineChars="500"/>
        <w:jc w:val="left"/>
        <w:textAlignment w:val="auto"/>
        <w:rPr>
          <w:rFonts w:ascii="宋体" w:hAnsi="宋体"/>
          <w:szCs w:val="21"/>
        </w:rPr>
      </w:pPr>
      <w:r>
        <w:rPr>
          <w:rFonts w:hint="eastAsia" w:ascii="宋体" w:hAnsi="宋体"/>
          <w:szCs w:val="21"/>
        </w:rPr>
        <w:t>项目名称：</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keepNext w:val="0"/>
        <w:keepLines w:val="0"/>
        <w:pageBreakBefore w:val="0"/>
        <w:widowControl w:val="0"/>
        <w:tabs>
          <w:tab w:val="left" w:pos="900"/>
        </w:tabs>
        <w:kinsoku/>
        <w:wordWrap/>
        <w:overflowPunct/>
        <w:topLinePunct w:val="0"/>
        <w:autoSpaceDE/>
        <w:autoSpaceDN/>
        <w:bidi w:val="0"/>
        <w:adjustRightInd/>
        <w:snapToGrid/>
        <w:spacing w:line="480" w:lineRule="auto"/>
        <w:ind w:right="0" w:rightChars="0" w:firstLine="1050" w:firstLineChars="500"/>
        <w:jc w:val="left"/>
        <w:textAlignment w:val="auto"/>
        <w:rPr>
          <w:rFonts w:ascii="宋体" w:hAnsi="宋体"/>
          <w:szCs w:val="21"/>
        </w:rPr>
      </w:pPr>
      <w:r>
        <w:rPr>
          <w:rFonts w:hint="eastAsia" w:ascii="宋体" w:hAnsi="宋体"/>
          <w:szCs w:val="21"/>
        </w:rPr>
        <w:t>项目编号：</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keepNext w:val="0"/>
        <w:keepLines w:val="0"/>
        <w:pageBreakBefore w:val="0"/>
        <w:widowControl w:val="0"/>
        <w:tabs>
          <w:tab w:val="left" w:pos="900"/>
        </w:tabs>
        <w:kinsoku/>
        <w:wordWrap/>
        <w:overflowPunct/>
        <w:topLinePunct w:val="0"/>
        <w:autoSpaceDE/>
        <w:autoSpaceDN/>
        <w:bidi w:val="0"/>
        <w:adjustRightInd/>
        <w:snapToGrid/>
        <w:spacing w:line="480" w:lineRule="auto"/>
        <w:ind w:right="0" w:rightChars="0" w:firstLine="1050" w:firstLineChars="500"/>
        <w:jc w:val="left"/>
        <w:textAlignment w:val="auto"/>
        <w:rPr>
          <w:rFonts w:ascii="宋体" w:hAnsi="宋体"/>
          <w:szCs w:val="21"/>
        </w:rPr>
      </w:pPr>
      <w:r>
        <w:rPr>
          <w:rFonts w:hint="eastAsia" w:ascii="宋体" w:hAnsi="宋体"/>
          <w:szCs w:val="21"/>
        </w:rPr>
        <w:t>标项号：</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keepNext w:val="0"/>
        <w:keepLines w:val="0"/>
        <w:pageBreakBefore w:val="0"/>
        <w:widowControl w:val="0"/>
        <w:tabs>
          <w:tab w:val="left" w:pos="900"/>
        </w:tabs>
        <w:kinsoku/>
        <w:wordWrap/>
        <w:overflowPunct/>
        <w:topLinePunct w:val="0"/>
        <w:autoSpaceDE/>
        <w:autoSpaceDN/>
        <w:bidi w:val="0"/>
        <w:adjustRightInd/>
        <w:snapToGrid/>
        <w:spacing w:line="480" w:lineRule="auto"/>
        <w:ind w:right="0" w:rightChars="0" w:firstLine="1050" w:firstLineChars="500"/>
        <w:jc w:val="left"/>
        <w:textAlignment w:val="auto"/>
        <w:rPr>
          <w:rFonts w:ascii="宋体" w:hAnsi="宋体"/>
          <w:szCs w:val="21"/>
        </w:rPr>
      </w:pPr>
      <w:r>
        <w:rPr>
          <w:rFonts w:hint="eastAsia" w:ascii="宋体" w:hAnsi="宋体"/>
          <w:szCs w:val="21"/>
        </w:rPr>
        <w:t>供应商的名称（盖单位公章）：</w:t>
      </w:r>
      <w:r>
        <w:rPr>
          <w:rFonts w:ascii="宋体" w:hAnsi="宋体"/>
          <w:szCs w:val="21"/>
          <w:u w:val="single"/>
        </w:rPr>
        <w:t xml:space="preserve">                                          </w:t>
      </w:r>
      <w:r>
        <w:rPr>
          <w:rFonts w:hint="eastAsia" w:ascii="宋体" w:hAnsi="宋体"/>
          <w:szCs w:val="21"/>
        </w:rPr>
        <w:t>。</w:t>
      </w:r>
    </w:p>
    <w:p>
      <w:pPr>
        <w:pStyle w:val="9"/>
        <w:keepNext w:val="0"/>
        <w:keepLines w:val="0"/>
        <w:pageBreakBefore w:val="0"/>
        <w:widowControl w:val="0"/>
        <w:kinsoku/>
        <w:wordWrap/>
        <w:overflowPunct/>
        <w:topLinePunct w:val="0"/>
        <w:autoSpaceDE/>
        <w:autoSpaceDN/>
        <w:bidi w:val="0"/>
        <w:adjustRightInd/>
        <w:snapToGrid/>
        <w:spacing w:after="0" w:line="480" w:lineRule="auto"/>
        <w:ind w:left="0" w:leftChars="0" w:right="0" w:rightChars="0" w:firstLine="1050" w:firstLineChars="500"/>
        <w:textAlignment w:val="auto"/>
      </w:pPr>
      <w:r>
        <w:rPr>
          <w:rFonts w:hint="eastAsia" w:ascii="Arial" w:hAnsi="Arial"/>
          <w:szCs w:val="21"/>
        </w:rPr>
        <w:t>法定代表人或授权代表</w:t>
      </w:r>
      <w:r>
        <w:rPr>
          <w:rFonts w:hint="eastAsia" w:ascii="宋体" w:hAnsi="宋体"/>
          <w:szCs w:val="21"/>
        </w:rPr>
        <w:t>（签字或盖章）：</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r>
        <w:rPr>
          <w:rFonts w:ascii="宋体" w:hAnsi="宋体"/>
          <w:szCs w:val="21"/>
          <w:u w:val="single"/>
        </w:rPr>
        <w:t xml:space="preserve"> </w:t>
      </w:r>
    </w:p>
    <w:p>
      <w:pPr>
        <w:keepNext w:val="0"/>
        <w:keepLines w:val="0"/>
        <w:pageBreakBefore w:val="0"/>
        <w:widowControl w:val="0"/>
        <w:tabs>
          <w:tab w:val="left" w:pos="900"/>
        </w:tabs>
        <w:kinsoku/>
        <w:wordWrap/>
        <w:overflowPunct/>
        <w:topLinePunct w:val="0"/>
        <w:autoSpaceDE/>
        <w:autoSpaceDN/>
        <w:bidi w:val="0"/>
        <w:adjustRightInd/>
        <w:snapToGrid/>
        <w:spacing w:line="480" w:lineRule="auto"/>
        <w:ind w:right="0" w:rightChars="0" w:firstLine="1050" w:firstLineChars="500"/>
        <w:jc w:val="left"/>
        <w:textAlignment w:val="auto"/>
        <w:rPr>
          <w:rFonts w:ascii="宋体" w:hAnsi="宋体"/>
          <w:szCs w:val="21"/>
        </w:rPr>
      </w:pPr>
      <w:r>
        <w:rPr>
          <w:rFonts w:hint="eastAsia" w:ascii="宋体" w:hAnsi="宋体"/>
          <w:szCs w:val="21"/>
        </w:rPr>
        <w:t>供应商地址：</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keepNext w:val="0"/>
        <w:keepLines w:val="0"/>
        <w:pageBreakBefore w:val="0"/>
        <w:widowControl w:val="0"/>
        <w:tabs>
          <w:tab w:val="left" w:pos="900"/>
        </w:tabs>
        <w:kinsoku/>
        <w:wordWrap/>
        <w:overflowPunct/>
        <w:topLinePunct w:val="0"/>
        <w:autoSpaceDE/>
        <w:autoSpaceDN/>
        <w:bidi w:val="0"/>
        <w:adjustRightInd/>
        <w:snapToGrid/>
        <w:spacing w:line="480" w:lineRule="auto"/>
        <w:ind w:right="0" w:rightChars="0" w:firstLine="1050" w:firstLineChars="500"/>
        <w:jc w:val="left"/>
        <w:textAlignment w:val="auto"/>
        <w:rPr>
          <w:rFonts w:ascii="宋体" w:hAnsi="宋体"/>
          <w:szCs w:val="21"/>
        </w:rPr>
      </w:pPr>
      <w:r>
        <w:rPr>
          <w:rFonts w:hint="eastAsia" w:ascii="宋体" w:hAnsi="宋体"/>
          <w:szCs w:val="21"/>
        </w:rPr>
        <w:t>日期：  年   月  日</w:t>
      </w:r>
    </w:p>
    <w:p>
      <w:pPr>
        <w:spacing w:line="360" w:lineRule="auto"/>
        <w:jc w:val="center"/>
        <w:rPr>
          <w:rFonts w:ascii="宋体" w:hAnsi="宋体"/>
          <w:b/>
          <w:sz w:val="72"/>
          <w:szCs w:val="72"/>
        </w:rPr>
      </w:pPr>
    </w:p>
    <w:p>
      <w:pPr>
        <w:pStyle w:val="11"/>
        <w:jc w:val="left"/>
        <w:rPr>
          <w:rFonts w:hAnsi="宋体"/>
          <w:kern w:val="2"/>
          <w:szCs w:val="28"/>
          <w:u w:val="single"/>
        </w:rPr>
      </w:pPr>
    </w:p>
    <w:p>
      <w:pPr>
        <w:spacing w:line="360" w:lineRule="auto"/>
        <w:jc w:val="center"/>
        <w:rPr>
          <w:rFonts w:ascii="宋体" w:hAnsi="宋体"/>
          <w:sz w:val="36"/>
          <w:szCs w:val="36"/>
        </w:rPr>
      </w:pPr>
    </w:p>
    <w:p>
      <w:pPr>
        <w:snapToGrid w:val="0"/>
        <w:spacing w:line="360" w:lineRule="auto"/>
        <w:jc w:val="left"/>
        <w:rPr>
          <w:rFonts w:ascii="宋体" w:hAnsi="宋体" w:cs="宋体"/>
          <w:sz w:val="28"/>
          <w:szCs w:val="28"/>
        </w:rPr>
      </w:pPr>
      <w:r>
        <w:rPr>
          <w:rStyle w:val="33"/>
          <w:rFonts w:ascii="宋体" w:hAnsi="宋体"/>
          <w:szCs w:val="21"/>
        </w:rPr>
        <w:br w:type="page"/>
      </w:r>
      <w:r>
        <w:rPr>
          <w:rFonts w:hint="eastAsia" w:ascii="宋体" w:hAnsi="宋体" w:cs="宋体"/>
          <w:b/>
          <w:sz w:val="28"/>
          <w:szCs w:val="28"/>
        </w:rPr>
        <w:t>三、资格文件格式（包括但不限于以下内容）：</w:t>
      </w:r>
    </w:p>
    <w:p>
      <w:pPr>
        <w:keepNext w:val="0"/>
        <w:keepLines w:val="0"/>
        <w:pageBreakBefore w:val="0"/>
        <w:widowControl w:val="0"/>
        <w:tabs>
          <w:tab w:val="left" w:pos="1418"/>
        </w:tabs>
        <w:kinsoku/>
        <w:wordWrap/>
        <w:overflowPunct/>
        <w:topLinePunct w:val="0"/>
        <w:autoSpaceDE/>
        <w:autoSpaceDN/>
        <w:bidi w:val="0"/>
        <w:adjustRightInd/>
        <w:snapToGrid/>
        <w:spacing w:line="360" w:lineRule="auto"/>
        <w:ind w:left="0" w:firstLine="420" w:firstLineChars="200"/>
        <w:contextualSpacing/>
        <w:textAlignment w:val="auto"/>
        <w:rPr>
          <w:rFonts w:hint="eastAsia" w:ascii="宋体" w:hAnsi="宋体" w:eastAsia="宋体" w:cs="宋体"/>
          <w:szCs w:val="21"/>
        </w:rPr>
      </w:pPr>
      <w:r>
        <w:rPr>
          <w:rFonts w:hint="eastAsia" w:ascii="宋体" w:hAnsi="宋体" w:eastAsia="宋体" w:cs="宋体"/>
          <w:szCs w:val="21"/>
        </w:rPr>
        <w:t>（1）合法有效的营业执照副本（或事业法人登记证副本或其他登记证明材料）原件扫描件或者电子营业执照加盖供应商公章；</w:t>
      </w:r>
    </w:p>
    <w:p>
      <w:pPr>
        <w:keepNext w:val="0"/>
        <w:keepLines w:val="0"/>
        <w:pageBreakBefore w:val="0"/>
        <w:widowControl w:val="0"/>
        <w:tabs>
          <w:tab w:val="left" w:pos="1418"/>
        </w:tabs>
        <w:kinsoku/>
        <w:wordWrap/>
        <w:overflowPunct/>
        <w:topLinePunct w:val="0"/>
        <w:autoSpaceDE/>
        <w:autoSpaceDN/>
        <w:bidi w:val="0"/>
        <w:adjustRightInd/>
        <w:snapToGrid/>
        <w:spacing w:line="360" w:lineRule="auto"/>
        <w:ind w:left="0" w:firstLine="420" w:firstLineChars="200"/>
        <w:contextualSpacing/>
        <w:textAlignment w:val="auto"/>
        <w:rPr>
          <w:rFonts w:hint="eastAsia" w:ascii="宋体" w:hAnsi="宋体" w:eastAsia="宋体" w:cs="宋体"/>
          <w:szCs w:val="21"/>
        </w:rPr>
      </w:pPr>
      <w:r>
        <w:rPr>
          <w:rFonts w:hint="eastAsia" w:ascii="宋体" w:hAnsi="宋体" w:eastAsia="宋体" w:cs="宋体"/>
          <w:szCs w:val="21"/>
        </w:rPr>
        <w:t>（2）符合参加政府采购活动应当具备的一般条件的承诺函；（格式见招标文件第六章）；</w:t>
      </w:r>
    </w:p>
    <w:p>
      <w:pPr>
        <w:keepNext w:val="0"/>
        <w:keepLines w:val="0"/>
        <w:pageBreakBefore w:val="0"/>
        <w:widowControl w:val="0"/>
        <w:tabs>
          <w:tab w:val="left" w:pos="1418"/>
        </w:tabs>
        <w:kinsoku/>
        <w:wordWrap/>
        <w:overflowPunct/>
        <w:topLinePunct w:val="0"/>
        <w:autoSpaceDE/>
        <w:autoSpaceDN/>
        <w:bidi w:val="0"/>
        <w:adjustRightInd/>
        <w:snapToGrid/>
        <w:spacing w:line="360" w:lineRule="auto"/>
        <w:ind w:left="0" w:firstLine="420" w:firstLineChars="200"/>
        <w:contextualSpacing/>
        <w:textAlignment w:val="auto"/>
        <w:rPr>
          <w:rFonts w:hint="eastAsia" w:ascii="宋体" w:hAnsi="宋体" w:eastAsia="宋体" w:cs="宋体"/>
          <w:szCs w:val="21"/>
        </w:rPr>
      </w:pPr>
      <w:r>
        <w:rPr>
          <w:rFonts w:hint="eastAsia" w:ascii="宋体" w:hAnsi="宋体" w:eastAsia="宋体" w:cs="宋体"/>
          <w:szCs w:val="21"/>
        </w:rPr>
        <w:t>（3）落实政府采购政策需满足的资格要求：专门面向中小企业，服务全部由符合政策要求的中小/小微企业承接（提供中小企业声明函）（格式见招标文件第六章）；</w:t>
      </w:r>
    </w:p>
    <w:p>
      <w:pPr>
        <w:keepNext w:val="0"/>
        <w:keepLines w:val="0"/>
        <w:pageBreakBefore w:val="0"/>
        <w:widowControl w:val="0"/>
        <w:tabs>
          <w:tab w:val="left" w:pos="1418"/>
        </w:tabs>
        <w:kinsoku/>
        <w:wordWrap/>
        <w:overflowPunct/>
        <w:topLinePunct w:val="0"/>
        <w:autoSpaceDE/>
        <w:autoSpaceDN/>
        <w:bidi w:val="0"/>
        <w:adjustRightInd/>
        <w:snapToGrid/>
        <w:spacing w:line="360" w:lineRule="auto"/>
        <w:ind w:left="0" w:firstLine="420" w:firstLineChars="200"/>
        <w:contextualSpacing/>
        <w:textAlignment w:val="auto"/>
        <w:rPr>
          <w:rFonts w:hint="eastAsia" w:ascii="宋体" w:hAnsi="宋体" w:eastAsia="宋体" w:cs="宋体"/>
          <w:szCs w:val="21"/>
        </w:rPr>
      </w:pPr>
      <w:r>
        <w:rPr>
          <w:rFonts w:hint="eastAsia" w:ascii="宋体" w:hAnsi="宋体" w:eastAsia="宋体" w:cs="宋体"/>
          <w:szCs w:val="21"/>
        </w:rPr>
        <w:t>（4）非联合体投标（须提供非联合体投标承诺书）（格式自拟）；</w:t>
      </w:r>
    </w:p>
    <w:p>
      <w:pPr>
        <w:keepNext w:val="0"/>
        <w:keepLines w:val="0"/>
        <w:pageBreakBefore w:val="0"/>
        <w:widowControl w:val="0"/>
        <w:tabs>
          <w:tab w:val="left" w:pos="1418"/>
        </w:tabs>
        <w:kinsoku/>
        <w:wordWrap/>
        <w:overflowPunct/>
        <w:topLinePunct w:val="0"/>
        <w:autoSpaceDE/>
        <w:autoSpaceDN/>
        <w:bidi w:val="0"/>
        <w:adjustRightInd/>
        <w:snapToGrid/>
        <w:spacing w:line="360" w:lineRule="auto"/>
        <w:ind w:left="0" w:firstLine="420" w:firstLineChars="200"/>
        <w:contextualSpacing/>
        <w:textAlignment w:val="auto"/>
        <w:rPr>
          <w:rFonts w:hint="eastAsia" w:ascii="宋体" w:hAnsi="宋体" w:eastAsia="宋体" w:cs="宋体"/>
          <w:szCs w:val="21"/>
          <w:lang w:eastAsia="zh-CN"/>
        </w:rPr>
      </w:pPr>
      <w:r>
        <w:rPr>
          <w:rFonts w:hint="eastAsia" w:ascii="宋体" w:hAnsi="宋体" w:eastAsia="宋体" w:cs="宋体"/>
          <w:szCs w:val="21"/>
        </w:rPr>
        <w:t>（5）投标人认为需要提供的其他相关资料（如有需提供）</w:t>
      </w:r>
      <w:r>
        <w:rPr>
          <w:rFonts w:hint="eastAsia" w:ascii="宋体" w:hAnsi="宋体" w:eastAsia="宋体" w:cs="宋体"/>
          <w:szCs w:val="21"/>
          <w:lang w:eastAsia="zh-CN"/>
        </w:rPr>
        <w:t>；</w:t>
      </w:r>
    </w:p>
    <w:p>
      <w:pPr>
        <w:keepNext w:val="0"/>
        <w:keepLines w:val="0"/>
        <w:pageBreakBefore w:val="0"/>
        <w:widowControl w:val="0"/>
        <w:tabs>
          <w:tab w:val="left" w:pos="1418"/>
        </w:tabs>
        <w:kinsoku/>
        <w:wordWrap/>
        <w:overflowPunct/>
        <w:topLinePunct w:val="0"/>
        <w:autoSpaceDE/>
        <w:autoSpaceDN/>
        <w:bidi w:val="0"/>
        <w:adjustRightInd/>
        <w:snapToGrid/>
        <w:spacing w:line="360" w:lineRule="auto"/>
        <w:ind w:left="0" w:firstLine="420" w:firstLineChars="200"/>
        <w:contextualSpacing/>
        <w:textAlignment w:val="auto"/>
        <w:rPr>
          <w:rFonts w:hint="eastAsia" w:ascii="宋体" w:hAnsi="宋体" w:eastAsia="宋体" w:cs="宋体"/>
          <w:szCs w:val="21"/>
        </w:rPr>
      </w:pPr>
      <w:r>
        <w:rPr>
          <w:rFonts w:hint="eastAsia" w:ascii="宋体" w:hAnsi="宋体" w:eastAsia="宋体" w:cs="宋体"/>
          <w:szCs w:val="21"/>
        </w:rPr>
        <w:t>注：采购人或采购代理机构在资格审查时，通过“信用中国”网站(www.creditchina.gov.cn)、中国政府采购网(www.ccgp.gov.cn) 等渠道查询供应商在投标截止日之前的信用记录并保存。投标人若被列入失信被执行人或重大税收违法案件当事人名单或政府采购严重违法失信行为记录名单的，则否决其投标。若开标当天因不可抗力事件导致无法查询且一时无法恢复的，可在中标通知书发出前对中标人进行查询，如中标人为失信被执行人的，则取消中标资格。</w:t>
      </w:r>
    </w:p>
    <w:p>
      <w:pPr>
        <w:rPr>
          <w:rFonts w:ascii="宋体" w:hAnsi="宋体" w:cs="宋体"/>
          <w:b/>
          <w:bCs/>
          <w:szCs w:val="21"/>
        </w:rPr>
      </w:pPr>
      <w:r>
        <w:rPr>
          <w:rFonts w:hint="eastAsia" w:ascii="宋体" w:hAnsi="宋体" w:cs="宋体"/>
          <w:szCs w:val="21"/>
        </w:rPr>
        <w:br w:type="page"/>
      </w:r>
      <w:r>
        <w:rPr>
          <w:rFonts w:hint="eastAsia" w:ascii="宋体" w:hAnsi="宋体" w:cs="宋体"/>
          <w:b/>
          <w:bCs/>
          <w:szCs w:val="21"/>
        </w:rPr>
        <w:t>1.合法有效的营业执照副本（或事业法人登记证副本或其他登记证明材料）原件扫描件或者电子营业执照加盖供应商公章；</w:t>
      </w:r>
    </w:p>
    <w:p>
      <w:pPr>
        <w:tabs>
          <w:tab w:val="left" w:pos="1418"/>
        </w:tabs>
        <w:spacing w:line="360" w:lineRule="auto"/>
        <w:ind w:left="420"/>
        <w:contextualSpacing/>
        <w:rPr>
          <w:rFonts w:ascii="宋体" w:hAnsi="宋体" w:cs="宋体"/>
          <w:szCs w:val="21"/>
        </w:rPr>
      </w:pPr>
    </w:p>
    <w:p>
      <w:pPr>
        <w:spacing w:line="360" w:lineRule="auto"/>
        <w:rPr>
          <w:rFonts w:ascii="宋体" w:hAnsi="宋体" w:cs="宋体"/>
          <w:b/>
          <w:bCs/>
          <w:szCs w:val="21"/>
        </w:rPr>
      </w:pPr>
      <w:r>
        <w:rPr>
          <w:rFonts w:hint="eastAsia" w:ascii="宋体" w:hAnsi="宋体" w:cs="宋体"/>
          <w:b/>
          <w:bCs/>
          <w:szCs w:val="21"/>
        </w:rPr>
        <w:t>2.</w:t>
      </w:r>
      <w:r>
        <w:rPr>
          <w:rFonts w:hint="eastAsia" w:ascii="宋体" w:hAnsi="宋体"/>
          <w:b/>
          <w:bCs/>
          <w:szCs w:val="21"/>
        </w:rPr>
        <w:t>符合参加政府采购活动应当具备的一般条件的承诺函</w:t>
      </w:r>
      <w:r>
        <w:rPr>
          <w:rFonts w:hint="eastAsia" w:ascii="宋体" w:hAnsi="宋体" w:cs="宋体"/>
          <w:b/>
          <w:bCs/>
          <w:szCs w:val="21"/>
        </w:rPr>
        <w:t>（联合体投标的，联合体双方均须提供，并加盖各自单位公章）；</w:t>
      </w:r>
    </w:p>
    <w:p>
      <w:pPr>
        <w:spacing w:line="360" w:lineRule="auto"/>
        <w:rPr>
          <w:rFonts w:ascii="宋体" w:hAnsi="宋体"/>
          <w:b/>
          <w:sz w:val="24"/>
          <w:szCs w:val="21"/>
        </w:rPr>
      </w:pPr>
      <w:r>
        <w:rPr>
          <w:rFonts w:hint="eastAsia" w:ascii="宋体" w:hAnsi="宋体"/>
          <w:b/>
          <w:sz w:val="24"/>
          <w:szCs w:val="21"/>
        </w:rPr>
        <w:t xml:space="preserve">       </w:t>
      </w:r>
      <w:r>
        <w:rPr>
          <w:rFonts w:ascii="宋体" w:hAnsi="宋体"/>
          <w:b/>
          <w:sz w:val="24"/>
          <w:szCs w:val="21"/>
        </w:rPr>
        <w:t xml:space="preserve">   </w:t>
      </w:r>
      <w:r>
        <w:rPr>
          <w:rFonts w:hint="eastAsia" w:ascii="宋体" w:hAnsi="宋体"/>
          <w:b/>
          <w:sz w:val="24"/>
          <w:szCs w:val="21"/>
        </w:rPr>
        <w:t>符合参加政府采购活动应当具备的一般条件的承诺函</w:t>
      </w:r>
    </w:p>
    <w:p>
      <w:pPr>
        <w:snapToGrid w:val="0"/>
        <w:spacing w:line="360" w:lineRule="auto"/>
        <w:rPr>
          <w:rFonts w:ascii="宋体" w:hAnsi="宋体" w:cs="仿宋"/>
          <w:sz w:val="22"/>
        </w:rPr>
      </w:pPr>
      <w:r>
        <w:rPr>
          <w:rFonts w:hint="eastAsia" w:ascii="宋体" w:hAnsi="宋体" w:cs="仿宋"/>
          <w:sz w:val="22"/>
        </w:rPr>
        <w:t>（采购人）、（采购代理机构）：</w:t>
      </w:r>
    </w:p>
    <w:p>
      <w:pPr>
        <w:snapToGrid w:val="0"/>
        <w:spacing w:line="360" w:lineRule="auto"/>
        <w:ind w:firstLine="440" w:firstLineChars="200"/>
        <w:rPr>
          <w:rFonts w:ascii="宋体" w:hAnsi="宋体" w:cs="仿宋"/>
          <w:sz w:val="22"/>
        </w:rPr>
      </w:pPr>
      <w:r>
        <w:rPr>
          <w:rFonts w:hint="eastAsia" w:ascii="宋体" w:hAnsi="宋体" w:cs="仿宋"/>
          <w:sz w:val="22"/>
        </w:rPr>
        <w:t>我方参与（项目名称）【招标编号：（采购编号）】标项</w:t>
      </w:r>
      <w:r>
        <w:rPr>
          <w:rFonts w:hint="eastAsia" w:ascii="宋体" w:hAnsi="宋体" w:cs="仿宋"/>
          <w:sz w:val="22"/>
          <w:u w:val="single"/>
        </w:rPr>
        <w:t>（标项号）</w:t>
      </w:r>
      <w:r>
        <w:rPr>
          <w:rFonts w:hint="eastAsia" w:ascii="宋体" w:hAnsi="宋体" w:cs="仿宋"/>
          <w:sz w:val="22"/>
        </w:rPr>
        <w:t>政府采购活动，郑重承诺：</w:t>
      </w:r>
    </w:p>
    <w:p>
      <w:pPr>
        <w:snapToGrid w:val="0"/>
        <w:spacing w:line="360" w:lineRule="auto"/>
        <w:ind w:firstLine="330" w:firstLineChars="150"/>
        <w:rPr>
          <w:rFonts w:ascii="宋体" w:hAnsi="宋体" w:cs="仿宋"/>
          <w:sz w:val="22"/>
        </w:rPr>
      </w:pPr>
      <w:r>
        <w:rPr>
          <w:rFonts w:hint="eastAsia" w:ascii="宋体" w:hAnsi="宋体" w:cs="仿宋"/>
          <w:sz w:val="22"/>
        </w:rPr>
        <w:t>（一）具备《中华人民共和国政府采购法》第二十二条第一款规定的条件：</w:t>
      </w:r>
    </w:p>
    <w:p>
      <w:pPr>
        <w:snapToGrid w:val="0"/>
        <w:spacing w:line="360" w:lineRule="auto"/>
        <w:ind w:firstLine="440" w:firstLineChars="200"/>
        <w:rPr>
          <w:rFonts w:ascii="宋体" w:hAnsi="宋体" w:cs="仿宋"/>
          <w:sz w:val="22"/>
        </w:rPr>
      </w:pPr>
      <w:r>
        <w:rPr>
          <w:rFonts w:hint="eastAsia" w:ascii="宋体" w:hAnsi="宋体" w:cs="仿宋"/>
          <w:sz w:val="22"/>
        </w:rPr>
        <w:t>1、具有独立承担民事责任的能力；</w:t>
      </w:r>
    </w:p>
    <w:p>
      <w:pPr>
        <w:snapToGrid w:val="0"/>
        <w:spacing w:line="360" w:lineRule="auto"/>
        <w:ind w:firstLine="440" w:firstLineChars="200"/>
        <w:rPr>
          <w:rFonts w:ascii="宋体" w:hAnsi="宋体" w:cs="仿宋"/>
          <w:sz w:val="22"/>
        </w:rPr>
      </w:pPr>
      <w:r>
        <w:rPr>
          <w:rFonts w:hint="eastAsia" w:ascii="宋体" w:hAnsi="宋体" w:cs="仿宋"/>
          <w:sz w:val="22"/>
        </w:rPr>
        <w:t xml:space="preserve">2、具有良好的商业信誉和健全的财务会计制度； </w:t>
      </w:r>
    </w:p>
    <w:p>
      <w:pPr>
        <w:snapToGrid w:val="0"/>
        <w:spacing w:line="360" w:lineRule="auto"/>
        <w:ind w:firstLine="440" w:firstLineChars="200"/>
        <w:rPr>
          <w:rFonts w:ascii="宋体" w:hAnsi="宋体" w:cs="仿宋"/>
          <w:sz w:val="22"/>
        </w:rPr>
      </w:pPr>
      <w:r>
        <w:rPr>
          <w:rFonts w:hint="eastAsia" w:ascii="宋体" w:hAnsi="宋体" w:cs="仿宋"/>
          <w:sz w:val="22"/>
        </w:rPr>
        <w:t>3、具有履行合同所必需的设备和专业技术能力；</w:t>
      </w:r>
    </w:p>
    <w:p>
      <w:pPr>
        <w:snapToGrid w:val="0"/>
        <w:spacing w:line="360" w:lineRule="auto"/>
        <w:ind w:firstLine="440" w:firstLineChars="200"/>
        <w:rPr>
          <w:rFonts w:ascii="宋体" w:hAnsi="宋体" w:cs="仿宋"/>
          <w:sz w:val="22"/>
        </w:rPr>
      </w:pPr>
      <w:r>
        <w:rPr>
          <w:rFonts w:hint="eastAsia" w:ascii="宋体" w:hAnsi="宋体" w:cs="仿宋"/>
          <w:sz w:val="22"/>
        </w:rPr>
        <w:t>4、有依法缴纳税收和社会保障资金的良好记录；</w:t>
      </w:r>
    </w:p>
    <w:p>
      <w:pPr>
        <w:snapToGrid w:val="0"/>
        <w:spacing w:line="360" w:lineRule="auto"/>
        <w:ind w:firstLine="440" w:firstLineChars="200"/>
        <w:rPr>
          <w:rFonts w:ascii="宋体" w:hAnsi="宋体" w:cs="仿宋"/>
          <w:sz w:val="22"/>
        </w:rPr>
      </w:pPr>
      <w:r>
        <w:rPr>
          <w:rFonts w:hint="eastAsia" w:ascii="宋体" w:hAnsi="宋体" w:cs="仿宋"/>
          <w:sz w:val="22"/>
        </w:rPr>
        <w:t>5、参加政府采购活动前三年内，在经营活动中没有重大违法记录；</w:t>
      </w:r>
    </w:p>
    <w:p>
      <w:pPr>
        <w:snapToGrid w:val="0"/>
        <w:spacing w:line="360" w:lineRule="auto"/>
        <w:ind w:firstLine="440" w:firstLineChars="200"/>
        <w:rPr>
          <w:rFonts w:ascii="宋体" w:hAnsi="宋体" w:cs="仿宋"/>
          <w:sz w:val="22"/>
        </w:rPr>
      </w:pPr>
      <w:r>
        <w:rPr>
          <w:rFonts w:hint="eastAsia" w:ascii="宋体" w:hAnsi="宋体" w:cs="仿宋"/>
          <w:sz w:val="22"/>
        </w:rPr>
        <w:t>6、具有法律、行政法规规定的其他条件。</w:t>
      </w:r>
    </w:p>
    <w:p>
      <w:pPr>
        <w:snapToGrid w:val="0"/>
        <w:spacing w:line="360" w:lineRule="auto"/>
        <w:ind w:firstLine="440" w:firstLineChars="200"/>
        <w:rPr>
          <w:rFonts w:ascii="宋体" w:hAnsi="宋体" w:cs="仿宋"/>
          <w:sz w:val="22"/>
        </w:rPr>
      </w:pPr>
      <w:r>
        <w:rPr>
          <w:rFonts w:hint="eastAsia" w:ascii="宋体" w:hAnsi="宋体" w:cs="仿宋"/>
          <w:sz w:val="22"/>
        </w:rPr>
        <w:t>（二）未被信用中国（www.creditchina.gov.cn)、中国政府采购网（www.ccgp.gov.cn）列入失信被执行人、重大税收违法案件当事人名单、政府采购严重违法失信行为记录名单。</w:t>
      </w:r>
    </w:p>
    <w:p>
      <w:pPr>
        <w:snapToGrid w:val="0"/>
        <w:spacing w:line="360" w:lineRule="auto"/>
        <w:ind w:firstLine="440" w:firstLineChars="200"/>
        <w:rPr>
          <w:rFonts w:ascii="宋体" w:hAnsi="宋体" w:cs="仿宋"/>
          <w:sz w:val="22"/>
        </w:rPr>
      </w:pPr>
      <w:r>
        <w:rPr>
          <w:rFonts w:hint="eastAsia" w:ascii="宋体" w:hAnsi="宋体" w:cs="仿宋"/>
          <w:sz w:val="22"/>
        </w:rPr>
        <w:t>（三）不存在以下情况：</w:t>
      </w:r>
    </w:p>
    <w:p>
      <w:pPr>
        <w:snapToGrid w:val="0"/>
        <w:spacing w:line="360" w:lineRule="auto"/>
        <w:ind w:firstLine="440" w:firstLineChars="200"/>
        <w:rPr>
          <w:rFonts w:ascii="宋体" w:hAnsi="宋体" w:cs="仿宋"/>
          <w:sz w:val="22"/>
        </w:rPr>
      </w:pPr>
      <w:r>
        <w:rPr>
          <w:rFonts w:hint="eastAsia" w:ascii="宋体" w:hAnsi="宋体" w:cs="仿宋"/>
          <w:sz w:val="22"/>
        </w:rPr>
        <w:t>1、单位负责人为同一人或者存在直接控股、管理关系的不同供应商参加同一合同项下的政府采购活动的；</w:t>
      </w:r>
    </w:p>
    <w:p>
      <w:pPr>
        <w:snapToGrid w:val="0"/>
        <w:spacing w:line="360" w:lineRule="auto"/>
        <w:ind w:firstLine="440" w:firstLineChars="200"/>
        <w:rPr>
          <w:rFonts w:ascii="宋体" w:hAnsi="宋体" w:cs="仿宋"/>
          <w:sz w:val="22"/>
        </w:rPr>
      </w:pPr>
      <w:r>
        <w:rPr>
          <w:rFonts w:hint="eastAsia" w:ascii="宋体" w:hAnsi="宋体" w:cs="仿宋"/>
          <w:sz w:val="22"/>
        </w:rPr>
        <w:t>2、为采购项目提供整体设计、规范编制或者项目管理、监理、检测等服务后再参加该采购项目的其他采购活动的。</w:t>
      </w:r>
    </w:p>
    <w:p>
      <w:pPr>
        <w:snapToGrid w:val="0"/>
        <w:spacing w:line="360" w:lineRule="auto"/>
        <w:ind w:firstLine="5060" w:firstLineChars="2300"/>
        <w:rPr>
          <w:rFonts w:ascii="宋体" w:hAnsi="宋体" w:cs="仿宋"/>
          <w:kern w:val="0"/>
          <w:sz w:val="22"/>
          <w:lang w:val="zh-CN"/>
        </w:rPr>
      </w:pPr>
    </w:p>
    <w:p>
      <w:pPr>
        <w:snapToGrid w:val="0"/>
        <w:spacing w:line="360" w:lineRule="auto"/>
        <w:ind w:firstLine="5060" w:firstLineChars="2300"/>
        <w:rPr>
          <w:rFonts w:ascii="宋体" w:hAnsi="宋体" w:cs="仿宋"/>
          <w:kern w:val="0"/>
          <w:sz w:val="22"/>
          <w:lang w:val="zh-CN"/>
        </w:rPr>
      </w:pPr>
    </w:p>
    <w:p>
      <w:pPr>
        <w:snapToGrid w:val="0"/>
        <w:spacing w:line="360" w:lineRule="auto"/>
        <w:ind w:left="4200" w:leftChars="2000"/>
        <w:rPr>
          <w:rFonts w:ascii="宋体" w:hAnsi="宋体" w:cs="仿宋"/>
          <w:kern w:val="0"/>
          <w:sz w:val="22"/>
        </w:rPr>
      </w:pPr>
      <w:r>
        <w:rPr>
          <w:rFonts w:hint="eastAsia" w:ascii="宋体" w:hAnsi="宋体" w:cs="仿宋"/>
          <w:kern w:val="0"/>
          <w:sz w:val="22"/>
          <w:lang w:val="zh-CN"/>
        </w:rPr>
        <w:t>投标人名称：</w:t>
      </w:r>
    </w:p>
    <w:p>
      <w:pPr>
        <w:snapToGrid w:val="0"/>
        <w:spacing w:line="360" w:lineRule="auto"/>
        <w:ind w:left="4200" w:leftChars="2000"/>
        <w:rPr>
          <w:rFonts w:ascii="宋体" w:hAnsi="宋体" w:cs="仿宋"/>
          <w:kern w:val="0"/>
          <w:sz w:val="22"/>
        </w:rPr>
      </w:pPr>
      <w:r>
        <w:rPr>
          <w:rFonts w:hint="eastAsia" w:ascii="宋体" w:hAnsi="宋体" w:cs="仿宋"/>
          <w:kern w:val="0"/>
          <w:sz w:val="22"/>
          <w:lang w:val="zh-CN"/>
        </w:rPr>
        <w:t>日期</w:t>
      </w:r>
      <w:r>
        <w:rPr>
          <w:rFonts w:hint="eastAsia" w:ascii="宋体" w:hAnsi="宋体" w:cs="仿宋"/>
          <w:kern w:val="0"/>
          <w:sz w:val="22"/>
        </w:rPr>
        <w:t xml:space="preserve">：  年  </w:t>
      </w:r>
      <w:r>
        <w:rPr>
          <w:rFonts w:hint="eastAsia" w:ascii="宋体" w:hAnsi="宋体" w:cs="仿宋"/>
          <w:kern w:val="0"/>
          <w:sz w:val="22"/>
          <w:lang w:val="zh-CN"/>
        </w:rPr>
        <w:t>月</w:t>
      </w:r>
      <w:r>
        <w:rPr>
          <w:rFonts w:hint="eastAsia" w:ascii="宋体" w:hAnsi="宋体" w:cs="仿宋"/>
          <w:kern w:val="0"/>
          <w:sz w:val="22"/>
        </w:rPr>
        <w:t xml:space="preserve">   </w:t>
      </w:r>
      <w:r>
        <w:rPr>
          <w:rFonts w:hint="eastAsia" w:ascii="宋体" w:hAnsi="宋体" w:cs="仿宋"/>
          <w:kern w:val="0"/>
          <w:sz w:val="22"/>
          <w:lang w:val="zh-CN"/>
        </w:rPr>
        <w:t>日</w:t>
      </w:r>
    </w:p>
    <w:p>
      <w:pPr>
        <w:rPr>
          <w:rFonts w:ascii="宋体" w:hAnsi="宋体"/>
          <w:b/>
          <w:szCs w:val="21"/>
        </w:rPr>
      </w:pPr>
      <w:r>
        <w:rPr>
          <w:rFonts w:hint="eastAsia" w:ascii="宋体" w:hAnsi="宋体"/>
          <w:b/>
          <w:szCs w:val="21"/>
        </w:rPr>
        <w:t xml:space="preserve">       </w:t>
      </w:r>
    </w:p>
    <w:p>
      <w:pPr>
        <w:spacing w:line="360" w:lineRule="auto"/>
        <w:rPr>
          <w:rFonts w:ascii="宋体" w:hAnsi="宋体" w:cs="宋体"/>
          <w:b/>
          <w:bCs/>
          <w:szCs w:val="21"/>
        </w:rPr>
      </w:pPr>
      <w:r>
        <w:rPr>
          <w:rFonts w:hint="eastAsia" w:ascii="宋体" w:hAnsi="宋体" w:cs="宋体"/>
          <w:b/>
          <w:bCs/>
          <w:szCs w:val="21"/>
        </w:rPr>
        <w:br w:type="page"/>
      </w:r>
      <w:r>
        <w:rPr>
          <w:rFonts w:hint="eastAsia" w:ascii="宋体" w:hAnsi="宋体" w:cs="宋体"/>
          <w:b/>
          <w:bCs/>
          <w:szCs w:val="21"/>
        </w:rPr>
        <w:t>3.落实政府采购政策需满足的资格要求：专门面向中小企业，服务全部由符合政策要求的中小/小微企业承接（提供中小企业声明函）；</w:t>
      </w:r>
    </w:p>
    <w:p>
      <w:pPr>
        <w:spacing w:line="360" w:lineRule="auto"/>
        <w:rPr>
          <w:rFonts w:ascii="宋体" w:hAnsi="宋体" w:cs="宋体"/>
          <w:b/>
          <w:bCs/>
          <w:szCs w:val="21"/>
        </w:rPr>
      </w:pPr>
    </w:p>
    <w:p>
      <w:pPr>
        <w:spacing w:line="360" w:lineRule="auto"/>
        <w:jc w:val="center"/>
        <w:rPr>
          <w:rFonts w:ascii="宋体" w:hAnsi="宋体" w:cs="宋体"/>
          <w:b/>
          <w:szCs w:val="21"/>
        </w:rPr>
      </w:pPr>
      <w:r>
        <w:rPr>
          <w:rFonts w:hint="eastAsia" w:ascii="宋体" w:hAnsi="宋体" w:cs="宋体"/>
          <w:b/>
          <w:szCs w:val="21"/>
        </w:rPr>
        <w:t>中小企业声明函（工程、服务）</w:t>
      </w:r>
    </w:p>
    <w:p>
      <w:pPr>
        <w:spacing w:line="360" w:lineRule="auto"/>
        <w:ind w:firstLine="315" w:firstLineChars="150"/>
        <w:jc w:val="left"/>
        <w:rPr>
          <w:rFonts w:ascii="宋体" w:hAnsi="宋体" w:cs="宋体"/>
          <w:szCs w:val="21"/>
        </w:rPr>
      </w:pPr>
      <w:r>
        <w:rPr>
          <w:rFonts w:hint="eastAsia" w:ascii="宋体" w:hAnsi="宋体" w:cs="宋体"/>
          <w:szCs w:val="21"/>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20" w:firstLineChars="200"/>
        <w:jc w:val="left"/>
        <w:rPr>
          <w:rFonts w:ascii="宋体" w:hAnsi="宋体" w:cs="宋体"/>
          <w:szCs w:val="21"/>
        </w:rPr>
      </w:pPr>
      <w:r>
        <w:rPr>
          <w:rFonts w:hint="eastAsia" w:ascii="宋体" w:hAnsi="宋体" w:cs="宋体"/>
          <w:szCs w:val="21"/>
        </w:rPr>
        <w:t xml:space="preserve">1. </w:t>
      </w:r>
      <w:r>
        <w:rPr>
          <w:rFonts w:hint="eastAsia" w:ascii="宋体" w:hAnsi="宋体" w:cs="宋体"/>
          <w:szCs w:val="21"/>
          <w:u w:val="single"/>
        </w:rPr>
        <w:t>（标的名称）</w:t>
      </w:r>
      <w:r>
        <w:rPr>
          <w:rFonts w:hint="eastAsia" w:ascii="宋体" w:hAnsi="宋体" w:cs="宋体"/>
          <w:szCs w:val="21"/>
        </w:rPr>
        <w:t xml:space="preserve">，属于 </w:t>
      </w:r>
      <w:r>
        <w:rPr>
          <w:rFonts w:hint="eastAsia" w:ascii="宋体" w:hAnsi="宋体" w:cs="宋体"/>
          <w:szCs w:val="21"/>
          <w:u w:val="single"/>
        </w:rPr>
        <w:t>（招标文件中明确的所属行业）</w:t>
      </w:r>
      <w:r>
        <w:rPr>
          <w:rFonts w:hint="eastAsia" w:ascii="宋体" w:hAnsi="宋体" w:cs="宋体"/>
          <w:szCs w:val="21"/>
        </w:rPr>
        <w:t xml:space="preserve"> ；承建（承接）企业为 </w:t>
      </w:r>
      <w:r>
        <w:rPr>
          <w:rFonts w:hint="eastAsia" w:ascii="宋体" w:hAnsi="宋体" w:cs="宋体"/>
          <w:szCs w:val="21"/>
          <w:u w:val="single"/>
        </w:rPr>
        <w:t>（企业名称）</w:t>
      </w:r>
      <w:r>
        <w:rPr>
          <w:rFonts w:hint="eastAsia" w:ascii="宋体" w:hAnsi="宋体" w:cs="宋体"/>
          <w:szCs w:val="21"/>
        </w:rPr>
        <w:t xml:space="preserve"> ，从业人员</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szCs w:val="21"/>
          <w:u w:val="single"/>
        </w:rPr>
        <w:t xml:space="preserve"> （中型企业、小型企业、微型企业） </w:t>
      </w:r>
      <w:r>
        <w:rPr>
          <w:rFonts w:hint="eastAsia" w:ascii="宋体" w:hAnsi="宋体" w:cs="宋体"/>
          <w:szCs w:val="21"/>
        </w:rPr>
        <w:t>；</w:t>
      </w:r>
    </w:p>
    <w:p>
      <w:pPr>
        <w:spacing w:line="360" w:lineRule="auto"/>
        <w:ind w:firstLine="420" w:firstLineChars="200"/>
        <w:jc w:val="left"/>
        <w:rPr>
          <w:rFonts w:ascii="宋体" w:hAnsi="宋体" w:cs="宋体"/>
          <w:szCs w:val="21"/>
        </w:rPr>
      </w:pPr>
      <w:r>
        <w:rPr>
          <w:rFonts w:hint="eastAsia" w:ascii="宋体" w:hAnsi="宋体" w:cs="宋体"/>
          <w:szCs w:val="21"/>
        </w:rPr>
        <w:t xml:space="preserve">2. </w:t>
      </w:r>
      <w:r>
        <w:rPr>
          <w:rFonts w:hint="eastAsia" w:ascii="宋体" w:hAnsi="宋体" w:cs="宋体"/>
          <w:szCs w:val="21"/>
          <w:u w:val="single"/>
        </w:rPr>
        <w:t>（标的名称）</w:t>
      </w:r>
      <w:r>
        <w:rPr>
          <w:rFonts w:hint="eastAsia" w:ascii="宋体" w:hAnsi="宋体" w:cs="宋体"/>
          <w:szCs w:val="21"/>
        </w:rPr>
        <w:t xml:space="preserve">，属于 </w:t>
      </w:r>
      <w:r>
        <w:rPr>
          <w:rFonts w:hint="eastAsia" w:ascii="宋体" w:hAnsi="宋体" w:cs="宋体"/>
          <w:szCs w:val="21"/>
          <w:u w:val="single"/>
        </w:rPr>
        <w:t>（招标文件中明确的所属行业）</w:t>
      </w:r>
      <w:r>
        <w:rPr>
          <w:rFonts w:hint="eastAsia" w:ascii="宋体" w:hAnsi="宋体" w:cs="宋体"/>
          <w:szCs w:val="21"/>
        </w:rPr>
        <w:t xml:space="preserve"> ；承建（承接）企业为 </w:t>
      </w:r>
      <w:r>
        <w:rPr>
          <w:rFonts w:hint="eastAsia" w:ascii="宋体" w:hAnsi="宋体" w:cs="宋体"/>
          <w:szCs w:val="21"/>
          <w:u w:val="single"/>
        </w:rPr>
        <w:t>（企业名称）</w:t>
      </w:r>
      <w:r>
        <w:rPr>
          <w:rFonts w:hint="eastAsia" w:ascii="宋体" w:hAnsi="宋体" w:cs="宋体"/>
          <w:szCs w:val="21"/>
        </w:rPr>
        <w:t xml:space="preserve"> ，从业人员</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szCs w:val="21"/>
          <w:u w:val="single"/>
        </w:rPr>
        <w:t xml:space="preserve"> （中型企业、小型企业、微型企业） </w:t>
      </w:r>
      <w:r>
        <w:rPr>
          <w:rFonts w:hint="eastAsia" w:ascii="宋体" w:hAnsi="宋体" w:cs="宋体"/>
          <w:szCs w:val="21"/>
        </w:rPr>
        <w:t>；</w:t>
      </w:r>
    </w:p>
    <w:p>
      <w:pPr>
        <w:spacing w:line="360" w:lineRule="auto"/>
        <w:ind w:firstLine="420" w:firstLineChars="200"/>
        <w:jc w:val="left"/>
        <w:rPr>
          <w:rFonts w:ascii="宋体" w:hAnsi="宋体" w:cs="宋体"/>
          <w:szCs w:val="21"/>
        </w:rPr>
      </w:pPr>
      <w:r>
        <w:rPr>
          <w:rFonts w:hint="eastAsia" w:ascii="宋体" w:hAnsi="宋体" w:cs="宋体"/>
          <w:szCs w:val="21"/>
        </w:rPr>
        <w:t>……</w:t>
      </w:r>
    </w:p>
    <w:p>
      <w:pPr>
        <w:spacing w:line="360" w:lineRule="auto"/>
        <w:ind w:firstLine="420" w:firstLineChars="200"/>
        <w:jc w:val="left"/>
        <w:rPr>
          <w:rFonts w:ascii="宋体" w:hAnsi="宋体" w:cs="宋体"/>
          <w:szCs w:val="21"/>
        </w:rPr>
      </w:pPr>
      <w:r>
        <w:rPr>
          <w:rFonts w:hint="eastAsia" w:ascii="宋体" w:hAnsi="宋体" w:cs="宋体"/>
          <w:szCs w:val="21"/>
        </w:rPr>
        <w:t>以上企业，不属于大企业的分支机构，不存在控股股东为大企业的情形，也不存在与大企业的负责人为同一人的情形。</w:t>
      </w:r>
    </w:p>
    <w:p>
      <w:pPr>
        <w:spacing w:line="360" w:lineRule="auto"/>
        <w:ind w:firstLine="420" w:firstLineChars="200"/>
        <w:jc w:val="left"/>
        <w:rPr>
          <w:rFonts w:ascii="宋体" w:hAnsi="宋体" w:cs="宋体"/>
          <w:szCs w:val="21"/>
        </w:rPr>
      </w:pPr>
      <w:r>
        <w:rPr>
          <w:rFonts w:hint="eastAsia" w:ascii="宋体" w:hAnsi="宋体" w:cs="宋体"/>
          <w:szCs w:val="21"/>
        </w:rPr>
        <w:t>本企业对上述声明内容的真实性负责。如有虚假，将依法承担相应责任。</w:t>
      </w:r>
    </w:p>
    <w:p>
      <w:pPr>
        <w:spacing w:line="360" w:lineRule="auto"/>
        <w:jc w:val="right"/>
        <w:rPr>
          <w:rFonts w:ascii="宋体" w:hAnsi="宋体" w:cs="宋体"/>
          <w:szCs w:val="21"/>
        </w:rPr>
      </w:pPr>
    </w:p>
    <w:p>
      <w:pPr>
        <w:spacing w:line="360" w:lineRule="auto"/>
        <w:jc w:val="right"/>
        <w:rPr>
          <w:rFonts w:ascii="宋体" w:hAnsi="宋体" w:cs="宋体"/>
          <w:szCs w:val="21"/>
        </w:rPr>
      </w:pPr>
      <w:r>
        <w:rPr>
          <w:rFonts w:hint="eastAsia" w:ascii="宋体" w:hAnsi="宋体" w:cs="宋体"/>
          <w:szCs w:val="21"/>
        </w:rPr>
        <w:t>投标人名称（电子签名）：</w:t>
      </w:r>
    </w:p>
    <w:p>
      <w:pPr>
        <w:spacing w:line="360" w:lineRule="auto"/>
        <w:ind w:firstLine="4095" w:firstLineChars="1950"/>
        <w:rPr>
          <w:rFonts w:ascii="宋体" w:hAnsi="宋体" w:cs="宋体"/>
          <w:szCs w:val="21"/>
        </w:rPr>
      </w:pPr>
      <w:r>
        <w:rPr>
          <w:rFonts w:hint="eastAsia" w:ascii="宋体" w:hAnsi="宋体" w:cs="宋体"/>
          <w:szCs w:val="21"/>
        </w:rPr>
        <w:t>日 期：</w:t>
      </w:r>
    </w:p>
    <w:p>
      <w:pPr>
        <w:spacing w:line="360" w:lineRule="auto"/>
        <w:ind w:firstLine="310" w:firstLineChars="147"/>
        <w:jc w:val="left"/>
        <w:rPr>
          <w:rFonts w:ascii="宋体" w:hAnsi="宋体" w:cs="宋体"/>
          <w:szCs w:val="21"/>
        </w:rPr>
      </w:pPr>
      <w:r>
        <w:rPr>
          <w:rFonts w:hint="eastAsia" w:ascii="宋体" w:hAnsi="宋体" w:cs="宋体"/>
          <w:b/>
          <w:szCs w:val="21"/>
        </w:rPr>
        <w:t>从业人员、营业收入、资产总额填报上一年度数据，无上一年度数据的新成立企业可不填报。</w:t>
      </w:r>
    </w:p>
    <w:p>
      <w:pPr>
        <w:spacing w:line="360" w:lineRule="auto"/>
        <w:rPr>
          <w:rFonts w:ascii="宋体" w:hAnsi="宋体" w:cs="宋体"/>
          <w:szCs w:val="21"/>
        </w:rPr>
      </w:pPr>
      <w:r>
        <w:rPr>
          <w:rFonts w:hint="eastAsia" w:ascii="宋体" w:hAnsi="宋体" w:cs="宋体"/>
          <w:szCs w:val="21"/>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40" w:lineRule="exact"/>
        <w:rPr>
          <w:rFonts w:ascii="宋体" w:hAnsi="宋体" w:cs="宋体"/>
          <w:b/>
          <w:bCs/>
          <w:kern w:val="0"/>
          <w:szCs w:val="21"/>
        </w:rPr>
      </w:pPr>
      <w:r>
        <w:rPr>
          <w:rFonts w:hint="eastAsia" w:ascii="宋体" w:hAnsi="宋体" w:cs="宋体"/>
          <w:szCs w:val="21"/>
        </w:rPr>
        <w:br w:type="page"/>
      </w:r>
      <w:r>
        <w:rPr>
          <w:rFonts w:hint="eastAsia" w:ascii="宋体" w:hAnsi="宋体" w:cs="宋体"/>
          <w:b/>
          <w:bCs/>
          <w:kern w:val="0"/>
          <w:szCs w:val="21"/>
        </w:rPr>
        <w:t>5.残疾人福利性单位声明函</w:t>
      </w:r>
    </w:p>
    <w:p>
      <w:pPr>
        <w:tabs>
          <w:tab w:val="left" w:pos="518"/>
        </w:tabs>
        <w:adjustRightInd w:val="0"/>
        <w:snapToGrid w:val="0"/>
        <w:spacing w:line="360" w:lineRule="auto"/>
        <w:ind w:firstLine="2530" w:firstLineChars="1200"/>
        <w:rPr>
          <w:rFonts w:ascii="宋体" w:hAnsi="宋体" w:cs="宋体"/>
          <w:b/>
          <w:szCs w:val="21"/>
        </w:rPr>
      </w:pPr>
      <w:r>
        <w:rPr>
          <w:rFonts w:hint="eastAsia" w:ascii="宋体" w:hAnsi="宋体" w:cs="宋体"/>
          <w:b/>
          <w:szCs w:val="21"/>
        </w:rPr>
        <w:t>残疾人福利性单位声明函</w:t>
      </w:r>
    </w:p>
    <w:p>
      <w:pPr>
        <w:ind w:firstLine="2940" w:firstLineChars="1400"/>
        <w:rPr>
          <w:rFonts w:ascii="宋体" w:hAnsi="宋体" w:cs="宋体"/>
          <w:szCs w:val="21"/>
        </w:rPr>
      </w:pPr>
      <w:r>
        <w:rPr>
          <w:rFonts w:hint="eastAsia" w:ascii="宋体" w:hAnsi="宋体" w:cs="宋体"/>
          <w:szCs w:val="21"/>
        </w:rPr>
        <w:t>（如有须提供）</w:t>
      </w:r>
    </w:p>
    <w:p>
      <w:pPr>
        <w:pStyle w:val="8"/>
        <w:spacing w:line="360" w:lineRule="auto"/>
        <w:ind w:firstLine="0"/>
        <w:jc w:val="center"/>
        <w:rPr>
          <w:rFonts w:ascii="宋体" w:hAnsi="宋体" w:eastAsia="宋体" w:cs="宋体"/>
          <w:b/>
          <w:sz w:val="21"/>
          <w:szCs w:val="21"/>
        </w:rPr>
      </w:pPr>
    </w:p>
    <w:p>
      <w:pPr>
        <w:spacing w:line="360" w:lineRule="auto"/>
        <w:ind w:firstLine="420" w:firstLineChars="200"/>
        <w:contextualSpacing/>
        <w:rPr>
          <w:rFonts w:ascii="宋体" w:hAnsi="宋体" w:cs="宋体"/>
          <w:szCs w:val="21"/>
        </w:rPr>
      </w:pPr>
      <w:r>
        <w:rPr>
          <w:rFonts w:hint="eastAsia" w:ascii="宋体" w:hAnsi="宋体" w:cs="宋体"/>
          <w:szCs w:val="21"/>
        </w:rPr>
        <w:t>本单位郑重声明，根据《财政部 民政部 中国残疾人联合会关于促进残疾人就业政府采购政策的通知》（财库〔2018〕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contextualSpacing/>
        <w:rPr>
          <w:rFonts w:ascii="宋体" w:hAnsi="宋体" w:cs="宋体"/>
          <w:szCs w:val="21"/>
        </w:rPr>
      </w:pPr>
      <w:r>
        <w:rPr>
          <w:rFonts w:hint="eastAsia" w:ascii="宋体" w:hAnsi="宋体" w:cs="宋体"/>
          <w:szCs w:val="21"/>
        </w:rPr>
        <w:t>本单位对上述声明的真实性负责。如有虚假，将依法承担相应责任。</w:t>
      </w:r>
    </w:p>
    <w:p>
      <w:pPr>
        <w:spacing w:line="360" w:lineRule="auto"/>
        <w:ind w:firstLine="420" w:firstLineChars="200"/>
        <w:contextualSpacing/>
        <w:rPr>
          <w:rFonts w:ascii="宋体" w:hAnsi="宋体" w:cs="宋体"/>
          <w:szCs w:val="21"/>
        </w:rPr>
      </w:pPr>
    </w:p>
    <w:p>
      <w:pPr>
        <w:spacing w:line="360" w:lineRule="auto"/>
        <w:ind w:firstLine="420" w:firstLineChars="200"/>
        <w:contextualSpacing/>
        <w:rPr>
          <w:rFonts w:ascii="宋体" w:hAnsi="宋体" w:cs="宋体"/>
          <w:szCs w:val="21"/>
        </w:rPr>
      </w:pPr>
    </w:p>
    <w:p>
      <w:pPr>
        <w:tabs>
          <w:tab w:val="left" w:pos="4860"/>
        </w:tabs>
        <w:spacing w:line="360" w:lineRule="auto"/>
        <w:ind w:right="1560" w:firstLine="420" w:firstLineChars="200"/>
        <w:contextualSpacing/>
        <w:jc w:val="center"/>
        <w:rPr>
          <w:rFonts w:ascii="宋体" w:hAnsi="宋体" w:cs="宋体"/>
          <w:szCs w:val="21"/>
        </w:rPr>
      </w:pPr>
      <w:r>
        <w:rPr>
          <w:rFonts w:hint="eastAsia" w:ascii="宋体" w:hAnsi="宋体" w:cs="宋体"/>
          <w:szCs w:val="21"/>
        </w:rPr>
        <w:t xml:space="preserve">                                   企业名称（盖章）： </w:t>
      </w:r>
    </w:p>
    <w:p>
      <w:pPr>
        <w:spacing w:line="360" w:lineRule="auto"/>
        <w:contextualSpacing/>
        <w:jc w:val="left"/>
        <w:rPr>
          <w:rFonts w:ascii="宋体" w:hAnsi="宋体" w:cs="宋体"/>
          <w:szCs w:val="21"/>
        </w:rPr>
      </w:pPr>
      <w:r>
        <w:rPr>
          <w:rFonts w:hint="eastAsia" w:ascii="宋体" w:hAnsi="宋体" w:cs="宋体"/>
          <w:szCs w:val="21"/>
        </w:rPr>
        <w:t xml:space="preserve">                                            日  期：</w:t>
      </w:r>
    </w:p>
    <w:p>
      <w:pPr>
        <w:adjustRightInd w:val="0"/>
        <w:snapToGrid w:val="0"/>
        <w:spacing w:line="360" w:lineRule="auto"/>
        <w:rPr>
          <w:rFonts w:ascii="宋体" w:hAnsi="宋体" w:cs="宋体"/>
          <w:bCs/>
          <w:spacing w:val="6"/>
          <w:szCs w:val="21"/>
        </w:rPr>
      </w:pPr>
      <w:r>
        <w:rPr>
          <w:rFonts w:hint="eastAsia" w:ascii="宋体" w:hAnsi="宋体" w:cs="宋体"/>
          <w:bCs/>
          <w:spacing w:val="6"/>
          <w:szCs w:val="21"/>
        </w:rPr>
        <w:t>注：</w:t>
      </w:r>
    </w:p>
    <w:p>
      <w:pPr>
        <w:adjustRightInd w:val="0"/>
        <w:snapToGrid w:val="0"/>
        <w:spacing w:line="360" w:lineRule="auto"/>
        <w:rPr>
          <w:rFonts w:ascii="宋体" w:hAnsi="宋体" w:cs="宋体"/>
          <w:spacing w:val="6"/>
          <w:szCs w:val="21"/>
        </w:rPr>
      </w:pPr>
      <w:r>
        <w:rPr>
          <w:rFonts w:hint="eastAsia" w:ascii="宋体" w:hAnsi="宋体" w:cs="宋体"/>
          <w:spacing w:val="6"/>
          <w:szCs w:val="21"/>
        </w:rPr>
        <w:t>1、如供应商为非残疾人福利性单位的可不提供本声明函。</w:t>
      </w:r>
    </w:p>
    <w:p>
      <w:pPr>
        <w:adjustRightInd w:val="0"/>
        <w:snapToGrid w:val="0"/>
        <w:spacing w:line="360" w:lineRule="auto"/>
        <w:rPr>
          <w:rFonts w:ascii="宋体" w:hAnsi="宋体" w:cs="宋体"/>
          <w:spacing w:val="6"/>
          <w:szCs w:val="21"/>
        </w:rPr>
      </w:pPr>
      <w:r>
        <w:rPr>
          <w:rFonts w:hint="eastAsia" w:ascii="宋体" w:hAnsi="宋体" w:cs="宋体"/>
          <w:spacing w:val="6"/>
          <w:szCs w:val="21"/>
        </w:rPr>
        <w:t>2、享受政府采购支持政策的残疾人福利性单位应当同时满足以下条件：</w:t>
      </w:r>
    </w:p>
    <w:p>
      <w:pPr>
        <w:adjustRightInd w:val="0"/>
        <w:snapToGrid w:val="0"/>
        <w:spacing w:line="360" w:lineRule="auto"/>
        <w:rPr>
          <w:rFonts w:ascii="宋体" w:hAnsi="宋体" w:cs="宋体"/>
          <w:spacing w:val="6"/>
          <w:szCs w:val="21"/>
        </w:rPr>
      </w:pPr>
      <w:r>
        <w:rPr>
          <w:rFonts w:hint="eastAsia" w:ascii="宋体" w:hAnsi="宋体" w:cs="宋体"/>
          <w:spacing w:val="6"/>
          <w:szCs w:val="21"/>
        </w:rPr>
        <w:t>（一）安置的残疾人占本单位在职职工人数的比例不低于25%（含25%），并且安置的残疾人人数不少于10人（含10人）；</w:t>
      </w:r>
    </w:p>
    <w:p>
      <w:pPr>
        <w:adjustRightInd w:val="0"/>
        <w:snapToGrid w:val="0"/>
        <w:spacing w:line="360" w:lineRule="auto"/>
        <w:rPr>
          <w:rFonts w:ascii="宋体" w:hAnsi="宋体" w:cs="宋体"/>
          <w:spacing w:val="6"/>
          <w:szCs w:val="21"/>
        </w:rPr>
      </w:pPr>
      <w:r>
        <w:rPr>
          <w:rFonts w:hint="eastAsia" w:ascii="宋体" w:hAnsi="宋体" w:cs="宋体"/>
          <w:spacing w:val="6"/>
          <w:szCs w:val="21"/>
        </w:rPr>
        <w:t>（二）依法与安置的每位残疾人签订了一年以上（含一年）的劳动合同或服务协议；</w:t>
      </w:r>
    </w:p>
    <w:p>
      <w:pPr>
        <w:adjustRightInd w:val="0"/>
        <w:snapToGrid w:val="0"/>
        <w:spacing w:line="360" w:lineRule="auto"/>
        <w:rPr>
          <w:rFonts w:ascii="宋体" w:hAnsi="宋体" w:cs="宋体"/>
          <w:spacing w:val="6"/>
          <w:szCs w:val="21"/>
        </w:rPr>
      </w:pPr>
      <w:r>
        <w:rPr>
          <w:rFonts w:hint="eastAsia" w:ascii="宋体" w:hAnsi="宋体" w:cs="宋体"/>
          <w:spacing w:val="6"/>
          <w:szCs w:val="21"/>
        </w:rPr>
        <w:t>（三）为安置的每位残疾人按月足额缴纳了基本养老保险、基本医疗保险、失业保险、工伤保险和生育保险等社会保险费；</w:t>
      </w:r>
    </w:p>
    <w:p>
      <w:pPr>
        <w:adjustRightInd w:val="0"/>
        <w:snapToGrid w:val="0"/>
        <w:spacing w:line="360" w:lineRule="auto"/>
        <w:rPr>
          <w:rFonts w:ascii="宋体" w:hAnsi="宋体" w:cs="宋体"/>
          <w:spacing w:val="6"/>
          <w:szCs w:val="21"/>
        </w:rPr>
      </w:pPr>
      <w:r>
        <w:rPr>
          <w:rFonts w:hint="eastAsia" w:ascii="宋体" w:hAnsi="宋体" w:cs="宋体"/>
          <w:spacing w:val="6"/>
          <w:szCs w:val="21"/>
        </w:rPr>
        <w:t>（四）通过银行等金融机构向安置的每位残疾人，按月支付了不低于单位所在区县适用的经省级人民政府批准的月最低工资标准的工资；</w:t>
      </w:r>
    </w:p>
    <w:p>
      <w:pPr>
        <w:adjustRightInd w:val="0"/>
        <w:snapToGrid w:val="0"/>
        <w:spacing w:line="360" w:lineRule="auto"/>
        <w:rPr>
          <w:rFonts w:ascii="宋体" w:hAnsi="宋体" w:cs="宋体"/>
          <w:spacing w:val="6"/>
          <w:szCs w:val="21"/>
        </w:rPr>
      </w:pPr>
      <w:r>
        <w:rPr>
          <w:rFonts w:hint="eastAsia" w:ascii="宋体" w:hAnsi="宋体" w:cs="宋体"/>
          <w:spacing w:val="6"/>
          <w:szCs w:val="21"/>
        </w:rPr>
        <w:t>（五）提供本单位制造的货物、承担的工程或者服务（以下简称产品），或者提供其他残疾人福利性单位制造的货物（不包括使用非残疾人福利性单位注册商标的货物）。</w:t>
      </w:r>
    </w:p>
    <w:p>
      <w:pPr>
        <w:adjustRightInd w:val="0"/>
        <w:snapToGrid w:val="0"/>
        <w:spacing w:line="360" w:lineRule="auto"/>
        <w:rPr>
          <w:rFonts w:ascii="宋体" w:hAnsi="宋体" w:cs="宋体"/>
          <w:spacing w:val="6"/>
          <w:szCs w:val="21"/>
        </w:rPr>
      </w:pPr>
      <w:r>
        <w:rPr>
          <w:rFonts w:hint="eastAsia" w:ascii="宋体" w:hAnsi="宋体" w:cs="宋体"/>
          <w:spacing w:val="6"/>
          <w:szCs w:val="21"/>
        </w:rPr>
        <w:t>（六）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r>
        <w:rPr>
          <w:rFonts w:hint="eastAsia" w:ascii="宋体" w:hAnsi="宋体" w:cs="宋体"/>
          <w:b/>
          <w:bCs/>
          <w:szCs w:val="21"/>
        </w:rPr>
        <w:t>4.非联合体投标（须提供非联合体投标承诺书）（格式自拟）；</w:t>
      </w: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pPr>
      <w:r>
        <w:rPr>
          <w:rFonts w:hint="eastAsia" w:ascii="宋体" w:hAnsi="宋体" w:cs="宋体"/>
          <w:b/>
          <w:bCs/>
          <w:szCs w:val="21"/>
        </w:rPr>
        <w:t>5.供应商认为需要的其他资料（如有需提供）。</w:t>
      </w:r>
      <w:r>
        <w:br w:type="page"/>
      </w:r>
    </w:p>
    <w:p>
      <w:pPr>
        <w:snapToGrid w:val="0"/>
        <w:spacing w:line="360" w:lineRule="auto"/>
        <w:jc w:val="left"/>
        <w:rPr>
          <w:rFonts w:ascii="Arial" w:hAnsi="宋体" w:cs="Arial"/>
          <w:b/>
          <w:sz w:val="28"/>
          <w:szCs w:val="28"/>
        </w:rPr>
      </w:pPr>
      <w:r>
        <w:rPr>
          <w:rFonts w:hint="eastAsia" w:ascii="Arial" w:hAnsi="宋体" w:cs="Arial"/>
          <w:b/>
          <w:sz w:val="28"/>
          <w:szCs w:val="28"/>
        </w:rPr>
        <w:t>四、商务技术文件格式（包括但不限于以下内容）：</w:t>
      </w:r>
    </w:p>
    <w:p>
      <w:pPr>
        <w:spacing w:line="360" w:lineRule="auto"/>
        <w:jc w:val="left"/>
        <w:rPr>
          <w:rFonts w:ascii="宋体" w:hAnsi="宋体"/>
          <w:szCs w:val="21"/>
        </w:rPr>
      </w:pPr>
      <w:r>
        <w:rPr>
          <w:rFonts w:hint="eastAsia" w:ascii="宋体" w:hAnsi="宋体"/>
          <w:szCs w:val="21"/>
        </w:rPr>
        <w:t>（1）评分索引表（格式详见招标文件第六章）；</w:t>
      </w:r>
    </w:p>
    <w:p>
      <w:pPr>
        <w:spacing w:line="360" w:lineRule="auto"/>
        <w:jc w:val="left"/>
        <w:rPr>
          <w:rFonts w:ascii="宋体" w:hAnsi="宋体"/>
          <w:szCs w:val="21"/>
        </w:rPr>
      </w:pPr>
      <w:r>
        <w:rPr>
          <w:rFonts w:hint="eastAsia" w:ascii="宋体" w:hAnsi="宋体"/>
          <w:szCs w:val="21"/>
        </w:rPr>
        <w:t>（2）符合性自查表（格式详见招标文件第六章）；</w:t>
      </w:r>
    </w:p>
    <w:p>
      <w:pPr>
        <w:spacing w:line="360" w:lineRule="auto"/>
        <w:jc w:val="left"/>
        <w:rPr>
          <w:rFonts w:ascii="宋体" w:hAnsi="宋体"/>
          <w:szCs w:val="21"/>
        </w:rPr>
      </w:pPr>
      <w:r>
        <w:rPr>
          <w:rFonts w:hint="eastAsia" w:ascii="宋体" w:hAnsi="宋体"/>
          <w:szCs w:val="21"/>
        </w:rPr>
        <w:t>（3）投标书（格式详见招标文件第六章） ；</w:t>
      </w:r>
    </w:p>
    <w:p>
      <w:pPr>
        <w:spacing w:line="360" w:lineRule="auto"/>
        <w:jc w:val="left"/>
        <w:rPr>
          <w:rFonts w:ascii="宋体" w:hAnsi="宋体"/>
          <w:szCs w:val="21"/>
        </w:rPr>
      </w:pPr>
      <w:r>
        <w:rPr>
          <w:rFonts w:hint="eastAsia" w:ascii="宋体" w:hAnsi="宋体"/>
          <w:szCs w:val="21"/>
        </w:rPr>
        <w:t>（4）合法有效的营业执照副本（或事业法人登记证副本或其他登记证明材料）原件扫描件或者电子营业执照加盖供应商公章（复印件盖单位公章）；</w:t>
      </w:r>
    </w:p>
    <w:p>
      <w:pPr>
        <w:spacing w:line="360" w:lineRule="auto"/>
        <w:jc w:val="left"/>
        <w:rPr>
          <w:rFonts w:ascii="宋体" w:hAnsi="宋体"/>
          <w:szCs w:val="21"/>
        </w:rPr>
      </w:pPr>
      <w:r>
        <w:rPr>
          <w:rFonts w:hint="eastAsia" w:ascii="宋体" w:hAnsi="宋体"/>
          <w:szCs w:val="21"/>
        </w:rPr>
        <w:t>（5）股东成员组成说明书（供应商须提供股东成员组成说明书（格式自拟），加盖供应商公章；或从“国家企业信用信息公示系统”、“宁波市企业信用网”等相关网站里打印有股东成员名称的相关页面，加盖供应商公章）；</w:t>
      </w:r>
    </w:p>
    <w:p>
      <w:pPr>
        <w:spacing w:line="360" w:lineRule="auto"/>
        <w:jc w:val="left"/>
        <w:rPr>
          <w:rFonts w:ascii="宋体" w:hAnsi="宋体"/>
          <w:szCs w:val="21"/>
        </w:rPr>
      </w:pPr>
      <w:r>
        <w:rPr>
          <w:rFonts w:hint="eastAsia" w:ascii="宋体" w:hAnsi="宋体"/>
          <w:szCs w:val="21"/>
        </w:rPr>
        <w:t>(6)授权委托书（投标文件由授权代表签字的须提供）、法定代表人身份证明（格式详见第六章）；</w:t>
      </w:r>
    </w:p>
    <w:p>
      <w:pPr>
        <w:spacing w:line="360" w:lineRule="auto"/>
        <w:jc w:val="left"/>
        <w:rPr>
          <w:rFonts w:ascii="宋体" w:hAnsi="宋体"/>
          <w:szCs w:val="21"/>
        </w:rPr>
      </w:pPr>
      <w:r>
        <w:rPr>
          <w:rFonts w:hint="eastAsia" w:ascii="宋体" w:hAnsi="宋体"/>
          <w:szCs w:val="21"/>
        </w:rPr>
        <w:t>（7）“本单位不存在与其他投标人的投标文件出自同一终端设备或在相同Internet主机分配地址（相同IP地址）网上报名投标的承诺”的承诺书（格式自拟）；</w:t>
      </w:r>
    </w:p>
    <w:p>
      <w:pPr>
        <w:spacing w:line="360" w:lineRule="auto"/>
        <w:jc w:val="left"/>
        <w:rPr>
          <w:rFonts w:ascii="宋体" w:hAnsi="宋体"/>
          <w:szCs w:val="21"/>
        </w:rPr>
      </w:pPr>
      <w:r>
        <w:rPr>
          <w:rFonts w:hint="eastAsia" w:ascii="宋体" w:hAnsi="宋体"/>
          <w:szCs w:val="21"/>
        </w:rPr>
        <w:t>（8）技术条款响应表（格式详见第六章）；</w:t>
      </w:r>
    </w:p>
    <w:p>
      <w:pPr>
        <w:spacing w:line="360" w:lineRule="auto"/>
        <w:jc w:val="left"/>
        <w:rPr>
          <w:rFonts w:ascii="宋体" w:hAnsi="宋体"/>
          <w:szCs w:val="21"/>
        </w:rPr>
      </w:pPr>
      <w:r>
        <w:rPr>
          <w:rFonts w:hint="eastAsia" w:ascii="宋体" w:hAnsi="宋体"/>
          <w:szCs w:val="21"/>
        </w:rPr>
        <w:t>（9）商务条款响应表（格式详见第六章）；</w:t>
      </w:r>
    </w:p>
    <w:p>
      <w:pPr>
        <w:spacing w:line="360" w:lineRule="auto"/>
        <w:jc w:val="left"/>
        <w:rPr>
          <w:rFonts w:ascii="宋体" w:hAnsi="宋体"/>
          <w:szCs w:val="21"/>
        </w:rPr>
      </w:pPr>
      <w:r>
        <w:rPr>
          <w:rFonts w:hint="eastAsia" w:ascii="宋体" w:hAnsi="宋体"/>
          <w:szCs w:val="21"/>
        </w:rPr>
        <w:t>（10）服务承诺（格式详见第六章）；</w:t>
      </w:r>
    </w:p>
    <w:p>
      <w:pPr>
        <w:spacing w:line="360" w:lineRule="auto"/>
        <w:jc w:val="left"/>
        <w:rPr>
          <w:rFonts w:ascii="宋体" w:hAnsi="宋体"/>
          <w:szCs w:val="21"/>
        </w:rPr>
      </w:pPr>
      <w:r>
        <w:rPr>
          <w:rFonts w:hint="eastAsia" w:ascii="宋体" w:hAnsi="宋体"/>
          <w:szCs w:val="21"/>
        </w:rPr>
        <w:t>（11）拟派往本项目的团队人员一览表（格式详见第六章）；</w:t>
      </w:r>
    </w:p>
    <w:p>
      <w:pPr>
        <w:spacing w:line="360" w:lineRule="auto"/>
        <w:jc w:val="left"/>
        <w:rPr>
          <w:rFonts w:ascii="宋体" w:hAnsi="宋体"/>
          <w:szCs w:val="21"/>
        </w:rPr>
      </w:pPr>
      <w:r>
        <w:rPr>
          <w:rFonts w:hint="eastAsia" w:ascii="宋体" w:hAnsi="宋体"/>
          <w:szCs w:val="21"/>
        </w:rPr>
        <w:t>（12）针对本项目拟投入设备承诺函（格式详见第六章）；</w:t>
      </w:r>
    </w:p>
    <w:p>
      <w:pPr>
        <w:spacing w:line="360" w:lineRule="auto"/>
        <w:jc w:val="left"/>
        <w:rPr>
          <w:rFonts w:ascii="宋体" w:hAnsi="宋体"/>
          <w:szCs w:val="21"/>
        </w:rPr>
      </w:pPr>
      <w:r>
        <w:rPr>
          <w:rFonts w:hint="eastAsia" w:ascii="宋体" w:hAnsi="宋体"/>
          <w:szCs w:val="21"/>
        </w:rPr>
        <w:t>（13）类似项目业绩表（格式详见第六章）；</w:t>
      </w:r>
    </w:p>
    <w:p>
      <w:pPr>
        <w:spacing w:line="360" w:lineRule="auto"/>
        <w:jc w:val="left"/>
        <w:rPr>
          <w:rFonts w:ascii="宋体" w:hAnsi="宋体"/>
          <w:szCs w:val="21"/>
        </w:rPr>
      </w:pPr>
      <w:r>
        <w:rPr>
          <w:rFonts w:hint="eastAsia" w:ascii="宋体" w:hAnsi="宋体"/>
          <w:szCs w:val="21"/>
        </w:rPr>
        <w:t>（14）拟提供备品备件情况（格式自拟）；</w:t>
      </w:r>
    </w:p>
    <w:p>
      <w:pPr>
        <w:spacing w:line="360" w:lineRule="auto"/>
        <w:jc w:val="left"/>
        <w:rPr>
          <w:rFonts w:ascii="宋体" w:hAnsi="宋体"/>
          <w:szCs w:val="21"/>
        </w:rPr>
      </w:pPr>
      <w:r>
        <w:rPr>
          <w:rFonts w:hint="eastAsia" w:ascii="宋体" w:hAnsi="宋体"/>
          <w:szCs w:val="21"/>
        </w:rPr>
        <w:t>（15）总体方案（包含但不限于以下内容：总体方案目录，运维方案，人员安排，设备安排，服务方案，应急方案，施工方案，项目进度安排等）（具体内容及格式自拟）</w:t>
      </w:r>
    </w:p>
    <w:p>
      <w:pPr>
        <w:spacing w:line="360" w:lineRule="auto"/>
        <w:jc w:val="left"/>
        <w:rPr>
          <w:rFonts w:ascii="宋体" w:hAnsi="宋体"/>
          <w:szCs w:val="21"/>
        </w:rPr>
      </w:pPr>
      <w:r>
        <w:rPr>
          <w:rFonts w:hint="eastAsia" w:ascii="宋体" w:hAnsi="宋体"/>
          <w:szCs w:val="21"/>
        </w:rPr>
        <w:t>（16）投标人综合实力（投标人根据自身情况，如实填写）</w:t>
      </w:r>
    </w:p>
    <w:p>
      <w:pPr>
        <w:spacing w:line="360" w:lineRule="auto"/>
        <w:jc w:val="left"/>
        <w:rPr>
          <w:rFonts w:ascii="宋体" w:hAnsi="宋体"/>
          <w:szCs w:val="21"/>
        </w:rPr>
      </w:pPr>
      <w:r>
        <w:rPr>
          <w:rFonts w:hint="eastAsia" w:ascii="宋体" w:hAnsi="宋体"/>
          <w:szCs w:val="21"/>
        </w:rPr>
        <w:t>（格式自拟）；</w:t>
      </w:r>
    </w:p>
    <w:p>
      <w:pPr>
        <w:spacing w:line="360" w:lineRule="auto"/>
        <w:jc w:val="left"/>
        <w:rPr>
          <w:rFonts w:ascii="宋体" w:hAnsi="宋体"/>
          <w:szCs w:val="21"/>
        </w:rPr>
      </w:pPr>
      <w:r>
        <w:rPr>
          <w:rFonts w:hint="eastAsia" w:ascii="宋体" w:hAnsi="宋体"/>
          <w:szCs w:val="21"/>
        </w:rPr>
        <w:t>（17）《招标文件第四章技术资信商务分评审-附表3》中需要提供的材料；（如有，格式自拟）；</w:t>
      </w:r>
    </w:p>
    <w:p>
      <w:pPr>
        <w:spacing w:line="360" w:lineRule="auto"/>
        <w:jc w:val="left"/>
        <w:rPr>
          <w:rFonts w:ascii="宋体" w:hAnsi="宋体"/>
          <w:szCs w:val="21"/>
        </w:rPr>
      </w:pPr>
      <w:r>
        <w:rPr>
          <w:rFonts w:hint="eastAsia" w:ascii="宋体" w:hAnsi="宋体"/>
          <w:szCs w:val="21"/>
        </w:rPr>
        <w:t>（18）投标人基本情况表（格式详见第六章）；</w:t>
      </w:r>
    </w:p>
    <w:p>
      <w:pPr>
        <w:spacing w:line="360" w:lineRule="auto"/>
        <w:jc w:val="left"/>
        <w:rPr>
          <w:rFonts w:ascii="宋体" w:hAnsi="宋体"/>
          <w:szCs w:val="21"/>
        </w:rPr>
      </w:pPr>
      <w:r>
        <w:rPr>
          <w:rFonts w:hint="eastAsia" w:ascii="宋体" w:hAnsi="宋体"/>
          <w:szCs w:val="21"/>
        </w:rPr>
        <w:t>（19）投标人认为需要提供的相关材料（如有，格式自拟）。</w:t>
      </w:r>
    </w:p>
    <w:p>
      <w:pPr>
        <w:rPr>
          <w:rFonts w:ascii="宋体" w:hAnsi="宋体"/>
          <w:szCs w:val="21"/>
        </w:rPr>
      </w:pPr>
    </w:p>
    <w:p>
      <w:pPr>
        <w:rPr>
          <w:rFonts w:ascii="宋体" w:hAnsi="宋体" w:cs="宋体"/>
          <w:b/>
          <w:bCs/>
          <w:szCs w:val="21"/>
        </w:rPr>
      </w:pPr>
      <w:r>
        <w:rPr>
          <w:rFonts w:hint="eastAsia" w:ascii="宋体" w:hAnsi="宋体" w:cs="宋体"/>
          <w:b/>
          <w:sz w:val="28"/>
          <w:szCs w:val="28"/>
        </w:rPr>
        <w:br w:type="page"/>
      </w:r>
      <w:r>
        <w:rPr>
          <w:rFonts w:hint="eastAsia" w:ascii="宋体" w:hAnsi="宋体" w:cs="宋体"/>
          <w:b/>
          <w:bCs/>
          <w:szCs w:val="21"/>
        </w:rPr>
        <w:t>1.评分索引表</w:t>
      </w:r>
    </w:p>
    <w:p>
      <w:pPr>
        <w:jc w:val="center"/>
        <w:rPr>
          <w:rFonts w:hint="eastAsia" w:ascii="宋体" w:hAnsi="宋体" w:eastAsia="宋体"/>
          <w:b/>
          <w:szCs w:val="21"/>
          <w:lang w:val="en-US" w:eastAsia="zh-CN"/>
        </w:rPr>
      </w:pPr>
      <w:r>
        <w:rPr>
          <w:rFonts w:hint="eastAsia" w:ascii="宋体" w:hAnsi="宋体"/>
          <w:b/>
          <w:szCs w:val="21"/>
          <w:lang w:val="en-US" w:eastAsia="zh-CN"/>
        </w:rPr>
        <w:t>技术资信商务分</w:t>
      </w:r>
      <w:r>
        <w:rPr>
          <w:rFonts w:hint="eastAsia" w:ascii="宋体" w:hAnsi="宋体"/>
          <w:b/>
          <w:szCs w:val="21"/>
        </w:rPr>
        <w:t>评分索引</w:t>
      </w:r>
      <w:r>
        <w:rPr>
          <w:rFonts w:hint="eastAsia" w:ascii="宋体" w:hAnsi="宋体"/>
          <w:b/>
          <w:szCs w:val="21"/>
          <w:lang w:val="en-US" w:eastAsia="zh-CN"/>
        </w:rPr>
        <w:t>表</w:t>
      </w:r>
    </w:p>
    <w:p>
      <w:pPr>
        <w:snapToGrid w:val="0"/>
        <w:spacing w:line="360" w:lineRule="auto"/>
        <w:ind w:firstLine="210" w:firstLineChars="100"/>
        <w:rPr>
          <w:rFonts w:ascii="宋体" w:hAnsi="宋体" w:cs="宋体"/>
          <w:szCs w:val="21"/>
        </w:rPr>
      </w:pPr>
      <w:r>
        <w:rPr>
          <w:rFonts w:hint="eastAsia" w:ascii="宋体" w:hAnsi="宋体" w:cs="宋体"/>
          <w:szCs w:val="21"/>
        </w:rPr>
        <w:t>项目名称：</w:t>
      </w:r>
    </w:p>
    <w:p>
      <w:pPr>
        <w:spacing w:line="360" w:lineRule="auto"/>
        <w:ind w:firstLine="210" w:firstLineChars="100"/>
        <w:rPr>
          <w:rFonts w:ascii="宋体" w:hAnsi="宋体" w:cs="宋体"/>
          <w:szCs w:val="21"/>
        </w:rPr>
      </w:pPr>
      <w:r>
        <w:rPr>
          <w:rFonts w:hint="eastAsia" w:ascii="宋体" w:hAnsi="宋体" w:cs="宋体"/>
          <w:szCs w:val="21"/>
        </w:rPr>
        <w:t xml:space="preserve">项目编号：     </w:t>
      </w:r>
    </w:p>
    <w:p>
      <w:pPr>
        <w:spacing w:line="360" w:lineRule="auto"/>
        <w:ind w:firstLine="210" w:firstLineChars="100"/>
        <w:rPr>
          <w:rFonts w:ascii="宋体" w:hAnsi="宋体" w:cs="宋体"/>
          <w:szCs w:val="21"/>
        </w:rPr>
      </w:pPr>
      <w:r>
        <w:rPr>
          <w:rFonts w:hint="eastAsia" w:ascii="宋体" w:hAnsi="宋体" w:cs="宋体"/>
          <w:szCs w:val="21"/>
        </w:rPr>
        <w:t>标项号：</w:t>
      </w:r>
    </w:p>
    <w:tbl>
      <w:tblPr>
        <w:tblStyle w:val="19"/>
        <w:tblW w:w="9517" w:type="dxa"/>
        <w:tblInd w:w="-341"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35"/>
        <w:gridCol w:w="4497"/>
        <w:gridCol w:w="1039"/>
        <w:gridCol w:w="1674"/>
        <w:gridCol w:w="167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8" w:hRule="atLeast"/>
        </w:trPr>
        <w:tc>
          <w:tcPr>
            <w:tcW w:w="635" w:type="dxa"/>
            <w:tcBorders>
              <w:top w:val="double" w:color="auto" w:sz="4" w:space="0"/>
            </w:tcBorders>
            <w:vAlign w:val="center"/>
          </w:tcPr>
          <w:p>
            <w:pPr>
              <w:widowControl/>
              <w:jc w:val="center"/>
              <w:rPr>
                <w:rFonts w:hint="eastAsia" w:ascii="宋体" w:hAnsi="宋体" w:eastAsia="宋体" w:cs="宋体"/>
                <w:b/>
                <w:bCs/>
                <w:kern w:val="0"/>
                <w:sz w:val="18"/>
                <w:szCs w:val="18"/>
                <w:lang w:eastAsia="zh-CN"/>
              </w:rPr>
            </w:pPr>
            <w:r>
              <w:rPr>
                <w:rFonts w:hint="eastAsia" w:ascii="宋体" w:hAnsi="宋体" w:cs="宋体"/>
                <w:b/>
                <w:bCs/>
                <w:kern w:val="0"/>
                <w:sz w:val="18"/>
                <w:szCs w:val="18"/>
                <w:lang w:val="en-US" w:eastAsia="zh-CN"/>
              </w:rPr>
              <w:t>序号</w:t>
            </w:r>
          </w:p>
        </w:tc>
        <w:tc>
          <w:tcPr>
            <w:tcW w:w="4497" w:type="dxa"/>
            <w:tcBorders>
              <w:top w:val="doub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评分标准</w:t>
            </w:r>
          </w:p>
        </w:tc>
        <w:tc>
          <w:tcPr>
            <w:tcW w:w="1039" w:type="dxa"/>
            <w:tcBorders>
              <w:top w:val="doub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分值</w:t>
            </w:r>
          </w:p>
        </w:tc>
        <w:tc>
          <w:tcPr>
            <w:tcW w:w="1674" w:type="dxa"/>
            <w:tcBorders>
              <w:top w:val="doub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lang w:val="en-US" w:eastAsia="zh-CN"/>
              </w:rPr>
              <w:t>投标文件</w:t>
            </w:r>
            <w:r>
              <w:rPr>
                <w:rFonts w:hint="eastAsia" w:ascii="宋体" w:hAnsi="宋体" w:cs="宋体"/>
                <w:b/>
                <w:bCs/>
                <w:kern w:val="0"/>
                <w:sz w:val="18"/>
                <w:szCs w:val="18"/>
              </w:rPr>
              <w:t>对应页码</w:t>
            </w:r>
          </w:p>
        </w:tc>
        <w:tc>
          <w:tcPr>
            <w:tcW w:w="1672" w:type="dxa"/>
            <w:tcBorders>
              <w:top w:val="doub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自评分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8" w:hRule="atLeast"/>
        </w:trPr>
        <w:tc>
          <w:tcPr>
            <w:tcW w:w="635" w:type="dxa"/>
            <w:tcBorders>
              <w:top w:val="double" w:color="auto" w:sz="4" w:space="0"/>
            </w:tcBorders>
            <w:vAlign w:val="center"/>
          </w:tcPr>
          <w:p>
            <w:pPr>
              <w:widowControl/>
              <w:jc w:val="center"/>
              <w:rPr>
                <w:rFonts w:hint="eastAsia" w:ascii="宋体" w:hAnsi="宋体" w:cs="宋体"/>
                <w:b/>
                <w:bCs/>
                <w:kern w:val="0"/>
                <w:sz w:val="18"/>
                <w:szCs w:val="18"/>
              </w:rPr>
            </w:pPr>
          </w:p>
        </w:tc>
        <w:tc>
          <w:tcPr>
            <w:tcW w:w="4497" w:type="dxa"/>
            <w:tcBorders>
              <w:top w:val="double" w:color="auto" w:sz="4" w:space="0"/>
            </w:tcBorders>
            <w:vAlign w:val="center"/>
          </w:tcPr>
          <w:p>
            <w:pPr>
              <w:widowControl/>
              <w:jc w:val="center"/>
              <w:rPr>
                <w:rFonts w:hint="eastAsia" w:ascii="宋体" w:hAnsi="宋体" w:cs="宋体"/>
                <w:b/>
                <w:bCs/>
                <w:kern w:val="0"/>
                <w:sz w:val="18"/>
                <w:szCs w:val="18"/>
              </w:rPr>
            </w:pPr>
          </w:p>
        </w:tc>
        <w:tc>
          <w:tcPr>
            <w:tcW w:w="1039" w:type="dxa"/>
            <w:tcBorders>
              <w:top w:val="double" w:color="auto" w:sz="4" w:space="0"/>
            </w:tcBorders>
            <w:vAlign w:val="center"/>
          </w:tcPr>
          <w:p>
            <w:pPr>
              <w:widowControl/>
              <w:jc w:val="center"/>
              <w:rPr>
                <w:rFonts w:hint="eastAsia" w:ascii="宋体" w:hAnsi="宋体" w:cs="宋体"/>
                <w:b/>
                <w:bCs/>
                <w:kern w:val="0"/>
                <w:sz w:val="18"/>
                <w:szCs w:val="18"/>
              </w:rPr>
            </w:pPr>
          </w:p>
        </w:tc>
        <w:tc>
          <w:tcPr>
            <w:tcW w:w="1674" w:type="dxa"/>
            <w:tcBorders>
              <w:top w:val="double" w:color="auto" w:sz="4" w:space="0"/>
            </w:tcBorders>
            <w:vAlign w:val="center"/>
          </w:tcPr>
          <w:p>
            <w:pPr>
              <w:widowControl/>
              <w:jc w:val="center"/>
              <w:rPr>
                <w:rFonts w:hint="eastAsia" w:ascii="宋体" w:hAnsi="宋体" w:cs="宋体"/>
                <w:b/>
                <w:bCs/>
                <w:kern w:val="0"/>
                <w:sz w:val="18"/>
                <w:szCs w:val="18"/>
              </w:rPr>
            </w:pPr>
          </w:p>
        </w:tc>
        <w:tc>
          <w:tcPr>
            <w:tcW w:w="1672" w:type="dxa"/>
            <w:tcBorders>
              <w:top w:val="double" w:color="auto" w:sz="4" w:space="0"/>
            </w:tcBorders>
            <w:vAlign w:val="center"/>
          </w:tcPr>
          <w:p>
            <w:pPr>
              <w:widowControl/>
              <w:jc w:val="center"/>
              <w:rPr>
                <w:rFonts w:hint="eastAsia" w:ascii="宋体" w:hAnsi="宋体" w:cs="宋体"/>
                <w:b/>
                <w:bCs/>
                <w:kern w:val="0"/>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8" w:hRule="atLeast"/>
        </w:trPr>
        <w:tc>
          <w:tcPr>
            <w:tcW w:w="635" w:type="dxa"/>
            <w:tcBorders>
              <w:top w:val="double" w:color="auto" w:sz="4" w:space="0"/>
            </w:tcBorders>
            <w:vAlign w:val="center"/>
          </w:tcPr>
          <w:p>
            <w:pPr>
              <w:widowControl/>
              <w:jc w:val="center"/>
              <w:rPr>
                <w:rFonts w:hint="eastAsia" w:ascii="宋体" w:hAnsi="宋体" w:cs="宋体"/>
                <w:b/>
                <w:bCs/>
                <w:kern w:val="0"/>
                <w:sz w:val="18"/>
                <w:szCs w:val="18"/>
              </w:rPr>
            </w:pPr>
          </w:p>
        </w:tc>
        <w:tc>
          <w:tcPr>
            <w:tcW w:w="4497" w:type="dxa"/>
            <w:tcBorders>
              <w:top w:val="double" w:color="auto" w:sz="4" w:space="0"/>
            </w:tcBorders>
            <w:vAlign w:val="center"/>
          </w:tcPr>
          <w:p>
            <w:pPr>
              <w:widowControl/>
              <w:jc w:val="center"/>
              <w:rPr>
                <w:rFonts w:hint="eastAsia" w:ascii="宋体" w:hAnsi="宋体" w:cs="宋体"/>
                <w:b/>
                <w:bCs/>
                <w:kern w:val="0"/>
                <w:sz w:val="18"/>
                <w:szCs w:val="18"/>
              </w:rPr>
            </w:pPr>
          </w:p>
        </w:tc>
        <w:tc>
          <w:tcPr>
            <w:tcW w:w="1039" w:type="dxa"/>
            <w:tcBorders>
              <w:top w:val="double" w:color="auto" w:sz="4" w:space="0"/>
            </w:tcBorders>
            <w:vAlign w:val="center"/>
          </w:tcPr>
          <w:p>
            <w:pPr>
              <w:widowControl/>
              <w:jc w:val="center"/>
              <w:rPr>
                <w:rFonts w:hint="eastAsia" w:ascii="宋体" w:hAnsi="宋体" w:cs="宋体"/>
                <w:b/>
                <w:bCs/>
                <w:kern w:val="0"/>
                <w:sz w:val="18"/>
                <w:szCs w:val="18"/>
              </w:rPr>
            </w:pPr>
          </w:p>
        </w:tc>
        <w:tc>
          <w:tcPr>
            <w:tcW w:w="1674" w:type="dxa"/>
            <w:tcBorders>
              <w:top w:val="double" w:color="auto" w:sz="4" w:space="0"/>
            </w:tcBorders>
            <w:vAlign w:val="center"/>
          </w:tcPr>
          <w:p>
            <w:pPr>
              <w:widowControl/>
              <w:jc w:val="center"/>
              <w:rPr>
                <w:rFonts w:hint="eastAsia" w:ascii="宋体" w:hAnsi="宋体" w:cs="宋体"/>
                <w:b/>
                <w:bCs/>
                <w:kern w:val="0"/>
                <w:sz w:val="18"/>
                <w:szCs w:val="18"/>
              </w:rPr>
            </w:pPr>
          </w:p>
        </w:tc>
        <w:tc>
          <w:tcPr>
            <w:tcW w:w="1672" w:type="dxa"/>
            <w:tcBorders>
              <w:top w:val="double" w:color="auto" w:sz="4" w:space="0"/>
            </w:tcBorders>
            <w:vAlign w:val="center"/>
          </w:tcPr>
          <w:p>
            <w:pPr>
              <w:widowControl/>
              <w:jc w:val="center"/>
              <w:rPr>
                <w:rFonts w:hint="eastAsia" w:ascii="宋体" w:hAnsi="宋体" w:cs="宋体"/>
                <w:b/>
                <w:bCs/>
                <w:kern w:val="0"/>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8" w:hRule="atLeast"/>
        </w:trPr>
        <w:tc>
          <w:tcPr>
            <w:tcW w:w="635" w:type="dxa"/>
            <w:tcBorders>
              <w:top w:val="double" w:color="auto" w:sz="4" w:space="0"/>
            </w:tcBorders>
            <w:vAlign w:val="center"/>
          </w:tcPr>
          <w:p>
            <w:pPr>
              <w:widowControl/>
              <w:jc w:val="center"/>
              <w:rPr>
                <w:rFonts w:hint="eastAsia" w:ascii="宋体" w:hAnsi="宋体" w:cs="宋体"/>
                <w:b/>
                <w:bCs/>
                <w:kern w:val="0"/>
                <w:sz w:val="18"/>
                <w:szCs w:val="18"/>
              </w:rPr>
            </w:pPr>
          </w:p>
        </w:tc>
        <w:tc>
          <w:tcPr>
            <w:tcW w:w="4497" w:type="dxa"/>
            <w:tcBorders>
              <w:top w:val="double" w:color="auto" w:sz="4" w:space="0"/>
            </w:tcBorders>
            <w:vAlign w:val="center"/>
          </w:tcPr>
          <w:p>
            <w:pPr>
              <w:widowControl/>
              <w:jc w:val="center"/>
              <w:rPr>
                <w:rFonts w:hint="eastAsia" w:ascii="宋体" w:hAnsi="宋体" w:cs="宋体"/>
                <w:b/>
                <w:bCs/>
                <w:kern w:val="0"/>
                <w:sz w:val="18"/>
                <w:szCs w:val="18"/>
              </w:rPr>
            </w:pPr>
          </w:p>
        </w:tc>
        <w:tc>
          <w:tcPr>
            <w:tcW w:w="1039" w:type="dxa"/>
            <w:tcBorders>
              <w:top w:val="double" w:color="auto" w:sz="4" w:space="0"/>
            </w:tcBorders>
            <w:vAlign w:val="center"/>
          </w:tcPr>
          <w:p>
            <w:pPr>
              <w:widowControl/>
              <w:jc w:val="center"/>
              <w:rPr>
                <w:rFonts w:hint="eastAsia" w:ascii="宋体" w:hAnsi="宋体" w:cs="宋体"/>
                <w:b/>
                <w:bCs/>
                <w:kern w:val="0"/>
                <w:sz w:val="18"/>
                <w:szCs w:val="18"/>
              </w:rPr>
            </w:pPr>
          </w:p>
        </w:tc>
        <w:tc>
          <w:tcPr>
            <w:tcW w:w="1674" w:type="dxa"/>
            <w:tcBorders>
              <w:top w:val="double" w:color="auto" w:sz="4" w:space="0"/>
            </w:tcBorders>
            <w:vAlign w:val="center"/>
          </w:tcPr>
          <w:p>
            <w:pPr>
              <w:widowControl/>
              <w:jc w:val="center"/>
              <w:rPr>
                <w:rFonts w:hint="eastAsia" w:ascii="宋体" w:hAnsi="宋体" w:cs="宋体"/>
                <w:b/>
                <w:bCs/>
                <w:kern w:val="0"/>
                <w:sz w:val="18"/>
                <w:szCs w:val="18"/>
              </w:rPr>
            </w:pPr>
          </w:p>
        </w:tc>
        <w:tc>
          <w:tcPr>
            <w:tcW w:w="1672" w:type="dxa"/>
            <w:tcBorders>
              <w:top w:val="double" w:color="auto" w:sz="4" w:space="0"/>
            </w:tcBorders>
            <w:vAlign w:val="center"/>
          </w:tcPr>
          <w:p>
            <w:pPr>
              <w:widowControl/>
              <w:jc w:val="center"/>
              <w:rPr>
                <w:rFonts w:hint="eastAsia" w:ascii="宋体" w:hAnsi="宋体" w:cs="宋体"/>
                <w:b/>
                <w:bCs/>
                <w:kern w:val="0"/>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8" w:hRule="atLeast"/>
        </w:trPr>
        <w:tc>
          <w:tcPr>
            <w:tcW w:w="635" w:type="dxa"/>
            <w:tcBorders>
              <w:top w:val="double" w:color="auto" w:sz="4" w:space="0"/>
            </w:tcBorders>
            <w:vAlign w:val="center"/>
          </w:tcPr>
          <w:p>
            <w:pPr>
              <w:widowControl/>
              <w:jc w:val="center"/>
              <w:rPr>
                <w:rFonts w:hint="eastAsia" w:ascii="宋体" w:hAnsi="宋体" w:cs="宋体"/>
                <w:b/>
                <w:bCs/>
                <w:kern w:val="0"/>
                <w:sz w:val="18"/>
                <w:szCs w:val="18"/>
              </w:rPr>
            </w:pPr>
          </w:p>
        </w:tc>
        <w:tc>
          <w:tcPr>
            <w:tcW w:w="4497" w:type="dxa"/>
            <w:tcBorders>
              <w:top w:val="double" w:color="auto" w:sz="4" w:space="0"/>
            </w:tcBorders>
            <w:vAlign w:val="center"/>
          </w:tcPr>
          <w:p>
            <w:pPr>
              <w:widowControl/>
              <w:jc w:val="center"/>
              <w:rPr>
                <w:rFonts w:hint="eastAsia" w:ascii="宋体" w:hAnsi="宋体" w:cs="宋体"/>
                <w:b/>
                <w:bCs/>
                <w:kern w:val="0"/>
                <w:sz w:val="18"/>
                <w:szCs w:val="18"/>
              </w:rPr>
            </w:pPr>
          </w:p>
        </w:tc>
        <w:tc>
          <w:tcPr>
            <w:tcW w:w="1039" w:type="dxa"/>
            <w:tcBorders>
              <w:top w:val="double" w:color="auto" w:sz="4" w:space="0"/>
            </w:tcBorders>
            <w:vAlign w:val="center"/>
          </w:tcPr>
          <w:p>
            <w:pPr>
              <w:widowControl/>
              <w:jc w:val="center"/>
              <w:rPr>
                <w:rFonts w:hint="eastAsia" w:ascii="宋体" w:hAnsi="宋体" w:cs="宋体"/>
                <w:b/>
                <w:bCs/>
                <w:kern w:val="0"/>
                <w:sz w:val="18"/>
                <w:szCs w:val="18"/>
              </w:rPr>
            </w:pPr>
          </w:p>
        </w:tc>
        <w:tc>
          <w:tcPr>
            <w:tcW w:w="1674" w:type="dxa"/>
            <w:tcBorders>
              <w:top w:val="double" w:color="auto" w:sz="4" w:space="0"/>
            </w:tcBorders>
            <w:vAlign w:val="center"/>
          </w:tcPr>
          <w:p>
            <w:pPr>
              <w:widowControl/>
              <w:jc w:val="center"/>
              <w:rPr>
                <w:rFonts w:hint="eastAsia" w:ascii="宋体" w:hAnsi="宋体" w:cs="宋体"/>
                <w:b/>
                <w:bCs/>
                <w:kern w:val="0"/>
                <w:sz w:val="18"/>
                <w:szCs w:val="18"/>
              </w:rPr>
            </w:pPr>
          </w:p>
        </w:tc>
        <w:tc>
          <w:tcPr>
            <w:tcW w:w="1672" w:type="dxa"/>
            <w:tcBorders>
              <w:top w:val="double" w:color="auto" w:sz="4" w:space="0"/>
            </w:tcBorders>
            <w:vAlign w:val="center"/>
          </w:tcPr>
          <w:p>
            <w:pPr>
              <w:widowControl/>
              <w:jc w:val="center"/>
              <w:rPr>
                <w:rFonts w:hint="eastAsia" w:ascii="宋体" w:hAnsi="宋体" w:cs="宋体"/>
                <w:b/>
                <w:bCs/>
                <w:kern w:val="0"/>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8" w:hRule="atLeast"/>
        </w:trPr>
        <w:tc>
          <w:tcPr>
            <w:tcW w:w="635" w:type="dxa"/>
            <w:tcBorders>
              <w:top w:val="double" w:color="auto" w:sz="4" w:space="0"/>
            </w:tcBorders>
            <w:vAlign w:val="center"/>
          </w:tcPr>
          <w:p>
            <w:pPr>
              <w:widowControl/>
              <w:jc w:val="center"/>
              <w:rPr>
                <w:rFonts w:hint="eastAsia" w:ascii="宋体" w:hAnsi="宋体" w:cs="宋体"/>
                <w:b/>
                <w:bCs/>
                <w:kern w:val="0"/>
                <w:sz w:val="18"/>
                <w:szCs w:val="18"/>
              </w:rPr>
            </w:pPr>
          </w:p>
        </w:tc>
        <w:tc>
          <w:tcPr>
            <w:tcW w:w="4497" w:type="dxa"/>
            <w:tcBorders>
              <w:top w:val="double" w:color="auto" w:sz="4" w:space="0"/>
            </w:tcBorders>
            <w:vAlign w:val="center"/>
          </w:tcPr>
          <w:p>
            <w:pPr>
              <w:widowControl/>
              <w:jc w:val="center"/>
              <w:rPr>
                <w:rFonts w:hint="eastAsia" w:ascii="宋体" w:hAnsi="宋体" w:cs="宋体"/>
                <w:b/>
                <w:bCs/>
                <w:kern w:val="0"/>
                <w:sz w:val="18"/>
                <w:szCs w:val="18"/>
              </w:rPr>
            </w:pPr>
          </w:p>
        </w:tc>
        <w:tc>
          <w:tcPr>
            <w:tcW w:w="1039" w:type="dxa"/>
            <w:tcBorders>
              <w:top w:val="double" w:color="auto" w:sz="4" w:space="0"/>
            </w:tcBorders>
            <w:vAlign w:val="center"/>
          </w:tcPr>
          <w:p>
            <w:pPr>
              <w:widowControl/>
              <w:jc w:val="center"/>
              <w:rPr>
                <w:rFonts w:hint="eastAsia" w:ascii="宋体" w:hAnsi="宋体" w:cs="宋体"/>
                <w:b/>
                <w:bCs/>
                <w:kern w:val="0"/>
                <w:sz w:val="18"/>
                <w:szCs w:val="18"/>
              </w:rPr>
            </w:pPr>
          </w:p>
        </w:tc>
        <w:tc>
          <w:tcPr>
            <w:tcW w:w="1674" w:type="dxa"/>
            <w:tcBorders>
              <w:top w:val="double" w:color="auto" w:sz="4" w:space="0"/>
            </w:tcBorders>
            <w:vAlign w:val="center"/>
          </w:tcPr>
          <w:p>
            <w:pPr>
              <w:widowControl/>
              <w:jc w:val="center"/>
              <w:rPr>
                <w:rFonts w:hint="eastAsia" w:ascii="宋体" w:hAnsi="宋体" w:cs="宋体"/>
                <w:b/>
                <w:bCs/>
                <w:kern w:val="0"/>
                <w:sz w:val="18"/>
                <w:szCs w:val="18"/>
              </w:rPr>
            </w:pPr>
          </w:p>
        </w:tc>
        <w:tc>
          <w:tcPr>
            <w:tcW w:w="1672" w:type="dxa"/>
            <w:tcBorders>
              <w:top w:val="double" w:color="auto" w:sz="4" w:space="0"/>
            </w:tcBorders>
            <w:vAlign w:val="center"/>
          </w:tcPr>
          <w:p>
            <w:pPr>
              <w:widowControl/>
              <w:jc w:val="center"/>
              <w:rPr>
                <w:rFonts w:hint="eastAsia" w:ascii="宋体" w:hAnsi="宋体" w:cs="宋体"/>
                <w:b/>
                <w:bCs/>
                <w:kern w:val="0"/>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8" w:hRule="atLeast"/>
        </w:trPr>
        <w:tc>
          <w:tcPr>
            <w:tcW w:w="635" w:type="dxa"/>
            <w:tcBorders>
              <w:top w:val="double" w:color="auto" w:sz="4" w:space="0"/>
            </w:tcBorders>
            <w:vAlign w:val="center"/>
          </w:tcPr>
          <w:p>
            <w:pPr>
              <w:widowControl/>
              <w:jc w:val="center"/>
              <w:rPr>
                <w:rFonts w:hint="eastAsia" w:ascii="宋体" w:hAnsi="宋体" w:cs="宋体"/>
                <w:b/>
                <w:bCs/>
                <w:kern w:val="0"/>
                <w:sz w:val="18"/>
                <w:szCs w:val="18"/>
              </w:rPr>
            </w:pPr>
          </w:p>
        </w:tc>
        <w:tc>
          <w:tcPr>
            <w:tcW w:w="4497" w:type="dxa"/>
            <w:tcBorders>
              <w:top w:val="double" w:color="auto" w:sz="4" w:space="0"/>
            </w:tcBorders>
            <w:vAlign w:val="center"/>
          </w:tcPr>
          <w:p>
            <w:pPr>
              <w:widowControl/>
              <w:jc w:val="center"/>
              <w:rPr>
                <w:rFonts w:hint="eastAsia" w:ascii="宋体" w:hAnsi="宋体" w:cs="宋体"/>
                <w:b/>
                <w:bCs/>
                <w:kern w:val="0"/>
                <w:sz w:val="18"/>
                <w:szCs w:val="18"/>
              </w:rPr>
            </w:pPr>
          </w:p>
        </w:tc>
        <w:tc>
          <w:tcPr>
            <w:tcW w:w="1039" w:type="dxa"/>
            <w:tcBorders>
              <w:top w:val="double" w:color="auto" w:sz="4" w:space="0"/>
            </w:tcBorders>
            <w:vAlign w:val="center"/>
          </w:tcPr>
          <w:p>
            <w:pPr>
              <w:widowControl/>
              <w:jc w:val="center"/>
              <w:rPr>
                <w:rFonts w:hint="eastAsia" w:ascii="宋体" w:hAnsi="宋体" w:cs="宋体"/>
                <w:b/>
                <w:bCs/>
                <w:kern w:val="0"/>
                <w:sz w:val="18"/>
                <w:szCs w:val="18"/>
              </w:rPr>
            </w:pPr>
          </w:p>
        </w:tc>
        <w:tc>
          <w:tcPr>
            <w:tcW w:w="1674" w:type="dxa"/>
            <w:tcBorders>
              <w:top w:val="double" w:color="auto" w:sz="4" w:space="0"/>
            </w:tcBorders>
            <w:vAlign w:val="center"/>
          </w:tcPr>
          <w:p>
            <w:pPr>
              <w:widowControl/>
              <w:jc w:val="center"/>
              <w:rPr>
                <w:rFonts w:hint="eastAsia" w:ascii="宋体" w:hAnsi="宋体" w:cs="宋体"/>
                <w:b/>
                <w:bCs/>
                <w:kern w:val="0"/>
                <w:sz w:val="18"/>
                <w:szCs w:val="18"/>
              </w:rPr>
            </w:pPr>
          </w:p>
        </w:tc>
        <w:tc>
          <w:tcPr>
            <w:tcW w:w="1672" w:type="dxa"/>
            <w:tcBorders>
              <w:top w:val="double" w:color="auto" w:sz="4" w:space="0"/>
            </w:tcBorders>
            <w:vAlign w:val="center"/>
          </w:tcPr>
          <w:p>
            <w:pPr>
              <w:widowControl/>
              <w:jc w:val="center"/>
              <w:rPr>
                <w:rFonts w:hint="eastAsia" w:ascii="宋体" w:hAnsi="宋体" w:cs="宋体"/>
                <w:b/>
                <w:bCs/>
                <w:kern w:val="0"/>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8" w:hRule="atLeast"/>
        </w:trPr>
        <w:tc>
          <w:tcPr>
            <w:tcW w:w="635" w:type="dxa"/>
            <w:tcBorders>
              <w:top w:val="double" w:color="auto" w:sz="4" w:space="0"/>
            </w:tcBorders>
            <w:vAlign w:val="center"/>
          </w:tcPr>
          <w:p>
            <w:pPr>
              <w:widowControl/>
              <w:jc w:val="center"/>
              <w:rPr>
                <w:rFonts w:hint="eastAsia" w:ascii="宋体" w:hAnsi="宋体" w:cs="宋体"/>
                <w:b/>
                <w:bCs/>
                <w:kern w:val="0"/>
                <w:sz w:val="18"/>
                <w:szCs w:val="18"/>
              </w:rPr>
            </w:pPr>
          </w:p>
        </w:tc>
        <w:tc>
          <w:tcPr>
            <w:tcW w:w="4497" w:type="dxa"/>
            <w:tcBorders>
              <w:top w:val="double" w:color="auto" w:sz="4" w:space="0"/>
            </w:tcBorders>
            <w:vAlign w:val="center"/>
          </w:tcPr>
          <w:p>
            <w:pPr>
              <w:widowControl/>
              <w:jc w:val="center"/>
              <w:rPr>
                <w:rFonts w:hint="eastAsia" w:ascii="宋体" w:hAnsi="宋体" w:cs="宋体"/>
                <w:b/>
                <w:bCs/>
                <w:kern w:val="0"/>
                <w:sz w:val="18"/>
                <w:szCs w:val="18"/>
              </w:rPr>
            </w:pPr>
          </w:p>
        </w:tc>
        <w:tc>
          <w:tcPr>
            <w:tcW w:w="1039" w:type="dxa"/>
            <w:tcBorders>
              <w:top w:val="double" w:color="auto" w:sz="4" w:space="0"/>
            </w:tcBorders>
            <w:vAlign w:val="center"/>
          </w:tcPr>
          <w:p>
            <w:pPr>
              <w:widowControl/>
              <w:jc w:val="center"/>
              <w:rPr>
                <w:rFonts w:hint="eastAsia" w:ascii="宋体" w:hAnsi="宋体" w:cs="宋体"/>
                <w:b/>
                <w:bCs/>
                <w:kern w:val="0"/>
                <w:sz w:val="18"/>
                <w:szCs w:val="18"/>
              </w:rPr>
            </w:pPr>
          </w:p>
        </w:tc>
        <w:tc>
          <w:tcPr>
            <w:tcW w:w="1674" w:type="dxa"/>
            <w:tcBorders>
              <w:top w:val="double" w:color="auto" w:sz="4" w:space="0"/>
            </w:tcBorders>
            <w:vAlign w:val="center"/>
          </w:tcPr>
          <w:p>
            <w:pPr>
              <w:widowControl/>
              <w:jc w:val="center"/>
              <w:rPr>
                <w:rFonts w:hint="eastAsia" w:ascii="宋体" w:hAnsi="宋体" w:cs="宋体"/>
                <w:b/>
                <w:bCs/>
                <w:kern w:val="0"/>
                <w:sz w:val="18"/>
                <w:szCs w:val="18"/>
              </w:rPr>
            </w:pPr>
          </w:p>
        </w:tc>
        <w:tc>
          <w:tcPr>
            <w:tcW w:w="1672" w:type="dxa"/>
            <w:tcBorders>
              <w:top w:val="double" w:color="auto" w:sz="4" w:space="0"/>
            </w:tcBorders>
            <w:vAlign w:val="center"/>
          </w:tcPr>
          <w:p>
            <w:pPr>
              <w:widowControl/>
              <w:jc w:val="center"/>
              <w:rPr>
                <w:rFonts w:hint="eastAsia" w:ascii="宋体" w:hAnsi="宋体" w:cs="宋体"/>
                <w:b/>
                <w:bCs/>
                <w:kern w:val="0"/>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8" w:hRule="atLeast"/>
        </w:trPr>
        <w:tc>
          <w:tcPr>
            <w:tcW w:w="635" w:type="dxa"/>
            <w:tcBorders>
              <w:top w:val="double" w:color="auto" w:sz="4" w:space="0"/>
            </w:tcBorders>
            <w:vAlign w:val="center"/>
          </w:tcPr>
          <w:p>
            <w:pPr>
              <w:widowControl/>
              <w:jc w:val="center"/>
              <w:rPr>
                <w:rFonts w:hint="eastAsia" w:ascii="宋体" w:hAnsi="宋体" w:cs="宋体"/>
                <w:b/>
                <w:bCs/>
                <w:kern w:val="0"/>
                <w:sz w:val="18"/>
                <w:szCs w:val="18"/>
              </w:rPr>
            </w:pPr>
          </w:p>
        </w:tc>
        <w:tc>
          <w:tcPr>
            <w:tcW w:w="4497" w:type="dxa"/>
            <w:tcBorders>
              <w:top w:val="double" w:color="auto" w:sz="4" w:space="0"/>
            </w:tcBorders>
            <w:vAlign w:val="center"/>
          </w:tcPr>
          <w:p>
            <w:pPr>
              <w:widowControl/>
              <w:jc w:val="center"/>
              <w:rPr>
                <w:rFonts w:hint="eastAsia" w:ascii="宋体" w:hAnsi="宋体" w:cs="宋体"/>
                <w:b/>
                <w:bCs/>
                <w:kern w:val="0"/>
                <w:sz w:val="18"/>
                <w:szCs w:val="18"/>
              </w:rPr>
            </w:pPr>
          </w:p>
        </w:tc>
        <w:tc>
          <w:tcPr>
            <w:tcW w:w="1039" w:type="dxa"/>
            <w:tcBorders>
              <w:top w:val="double" w:color="auto" w:sz="4" w:space="0"/>
            </w:tcBorders>
            <w:vAlign w:val="center"/>
          </w:tcPr>
          <w:p>
            <w:pPr>
              <w:widowControl/>
              <w:jc w:val="center"/>
              <w:rPr>
                <w:rFonts w:hint="eastAsia" w:ascii="宋体" w:hAnsi="宋体" w:cs="宋体"/>
                <w:b/>
                <w:bCs/>
                <w:kern w:val="0"/>
                <w:sz w:val="18"/>
                <w:szCs w:val="18"/>
              </w:rPr>
            </w:pPr>
          </w:p>
        </w:tc>
        <w:tc>
          <w:tcPr>
            <w:tcW w:w="1674" w:type="dxa"/>
            <w:tcBorders>
              <w:top w:val="double" w:color="auto" w:sz="4" w:space="0"/>
            </w:tcBorders>
            <w:vAlign w:val="center"/>
          </w:tcPr>
          <w:p>
            <w:pPr>
              <w:widowControl/>
              <w:jc w:val="center"/>
              <w:rPr>
                <w:rFonts w:hint="eastAsia" w:ascii="宋体" w:hAnsi="宋体" w:cs="宋体"/>
                <w:b/>
                <w:bCs/>
                <w:kern w:val="0"/>
                <w:sz w:val="18"/>
                <w:szCs w:val="18"/>
              </w:rPr>
            </w:pPr>
          </w:p>
        </w:tc>
        <w:tc>
          <w:tcPr>
            <w:tcW w:w="1672" w:type="dxa"/>
            <w:tcBorders>
              <w:top w:val="double" w:color="auto" w:sz="4" w:space="0"/>
            </w:tcBorders>
            <w:vAlign w:val="center"/>
          </w:tcPr>
          <w:p>
            <w:pPr>
              <w:widowControl/>
              <w:jc w:val="center"/>
              <w:rPr>
                <w:rFonts w:hint="eastAsia" w:ascii="宋体" w:hAnsi="宋体" w:cs="宋体"/>
                <w:b/>
                <w:bCs/>
                <w:kern w:val="0"/>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8" w:hRule="atLeast"/>
        </w:trPr>
        <w:tc>
          <w:tcPr>
            <w:tcW w:w="635" w:type="dxa"/>
            <w:tcBorders>
              <w:top w:val="double" w:color="auto" w:sz="4" w:space="0"/>
            </w:tcBorders>
            <w:vAlign w:val="center"/>
          </w:tcPr>
          <w:p>
            <w:pPr>
              <w:widowControl/>
              <w:jc w:val="center"/>
              <w:rPr>
                <w:rFonts w:hint="eastAsia" w:ascii="宋体" w:hAnsi="宋体" w:cs="宋体"/>
                <w:b/>
                <w:bCs/>
                <w:kern w:val="0"/>
                <w:sz w:val="18"/>
                <w:szCs w:val="18"/>
              </w:rPr>
            </w:pPr>
          </w:p>
        </w:tc>
        <w:tc>
          <w:tcPr>
            <w:tcW w:w="4497" w:type="dxa"/>
            <w:tcBorders>
              <w:top w:val="double" w:color="auto" w:sz="4" w:space="0"/>
            </w:tcBorders>
            <w:vAlign w:val="center"/>
          </w:tcPr>
          <w:p>
            <w:pPr>
              <w:widowControl/>
              <w:jc w:val="center"/>
              <w:rPr>
                <w:rFonts w:hint="eastAsia" w:ascii="宋体" w:hAnsi="宋体" w:cs="宋体"/>
                <w:b/>
                <w:bCs/>
                <w:kern w:val="0"/>
                <w:sz w:val="18"/>
                <w:szCs w:val="18"/>
              </w:rPr>
            </w:pPr>
          </w:p>
        </w:tc>
        <w:tc>
          <w:tcPr>
            <w:tcW w:w="1039" w:type="dxa"/>
            <w:tcBorders>
              <w:top w:val="double" w:color="auto" w:sz="4" w:space="0"/>
            </w:tcBorders>
            <w:vAlign w:val="center"/>
          </w:tcPr>
          <w:p>
            <w:pPr>
              <w:widowControl/>
              <w:jc w:val="center"/>
              <w:rPr>
                <w:rFonts w:hint="eastAsia" w:ascii="宋体" w:hAnsi="宋体" w:cs="宋体"/>
                <w:b/>
                <w:bCs/>
                <w:kern w:val="0"/>
                <w:sz w:val="18"/>
                <w:szCs w:val="18"/>
              </w:rPr>
            </w:pPr>
          </w:p>
        </w:tc>
        <w:tc>
          <w:tcPr>
            <w:tcW w:w="1674" w:type="dxa"/>
            <w:tcBorders>
              <w:top w:val="double" w:color="auto" w:sz="4" w:space="0"/>
            </w:tcBorders>
            <w:vAlign w:val="center"/>
          </w:tcPr>
          <w:p>
            <w:pPr>
              <w:widowControl/>
              <w:jc w:val="center"/>
              <w:rPr>
                <w:rFonts w:hint="eastAsia" w:ascii="宋体" w:hAnsi="宋体" w:cs="宋体"/>
                <w:b/>
                <w:bCs/>
                <w:kern w:val="0"/>
                <w:sz w:val="18"/>
                <w:szCs w:val="18"/>
              </w:rPr>
            </w:pPr>
          </w:p>
        </w:tc>
        <w:tc>
          <w:tcPr>
            <w:tcW w:w="1672" w:type="dxa"/>
            <w:tcBorders>
              <w:top w:val="double" w:color="auto" w:sz="4" w:space="0"/>
            </w:tcBorders>
            <w:vAlign w:val="center"/>
          </w:tcPr>
          <w:p>
            <w:pPr>
              <w:widowControl/>
              <w:jc w:val="center"/>
              <w:rPr>
                <w:rFonts w:hint="eastAsia" w:ascii="宋体" w:hAnsi="宋体" w:cs="宋体"/>
                <w:b/>
                <w:bCs/>
                <w:kern w:val="0"/>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635" w:type="dxa"/>
            <w:tcBorders>
              <w:top w:val="double" w:color="auto" w:sz="4" w:space="0"/>
            </w:tcBorders>
            <w:vAlign w:val="center"/>
          </w:tcPr>
          <w:p>
            <w:pPr>
              <w:widowControl/>
              <w:jc w:val="center"/>
              <w:rPr>
                <w:rFonts w:hint="eastAsia" w:ascii="宋体" w:hAnsi="宋体" w:cs="宋体"/>
                <w:b/>
                <w:bCs/>
                <w:kern w:val="0"/>
                <w:sz w:val="18"/>
                <w:szCs w:val="18"/>
              </w:rPr>
            </w:pPr>
          </w:p>
        </w:tc>
        <w:tc>
          <w:tcPr>
            <w:tcW w:w="4497" w:type="dxa"/>
            <w:tcBorders>
              <w:top w:val="double" w:color="auto" w:sz="4" w:space="0"/>
            </w:tcBorders>
            <w:vAlign w:val="center"/>
          </w:tcPr>
          <w:p>
            <w:pPr>
              <w:widowControl/>
              <w:jc w:val="center"/>
              <w:rPr>
                <w:rFonts w:hint="eastAsia" w:ascii="宋体" w:hAnsi="宋体" w:cs="宋体"/>
                <w:b/>
                <w:bCs/>
                <w:kern w:val="0"/>
                <w:sz w:val="18"/>
                <w:szCs w:val="18"/>
              </w:rPr>
            </w:pPr>
          </w:p>
        </w:tc>
        <w:tc>
          <w:tcPr>
            <w:tcW w:w="1039" w:type="dxa"/>
            <w:tcBorders>
              <w:top w:val="double" w:color="auto" w:sz="4" w:space="0"/>
            </w:tcBorders>
            <w:vAlign w:val="center"/>
          </w:tcPr>
          <w:p>
            <w:pPr>
              <w:widowControl/>
              <w:jc w:val="center"/>
              <w:rPr>
                <w:rFonts w:hint="eastAsia" w:ascii="宋体" w:hAnsi="宋体" w:cs="宋体"/>
                <w:b/>
                <w:bCs/>
                <w:kern w:val="0"/>
                <w:sz w:val="18"/>
                <w:szCs w:val="18"/>
              </w:rPr>
            </w:pPr>
          </w:p>
        </w:tc>
        <w:tc>
          <w:tcPr>
            <w:tcW w:w="1674" w:type="dxa"/>
            <w:tcBorders>
              <w:top w:val="double" w:color="auto" w:sz="4" w:space="0"/>
            </w:tcBorders>
            <w:vAlign w:val="center"/>
          </w:tcPr>
          <w:p>
            <w:pPr>
              <w:widowControl/>
              <w:jc w:val="center"/>
              <w:rPr>
                <w:rFonts w:hint="eastAsia" w:ascii="宋体" w:hAnsi="宋体" w:cs="宋体"/>
                <w:b/>
                <w:bCs/>
                <w:kern w:val="0"/>
                <w:sz w:val="18"/>
                <w:szCs w:val="18"/>
              </w:rPr>
            </w:pPr>
          </w:p>
        </w:tc>
        <w:tc>
          <w:tcPr>
            <w:tcW w:w="1672" w:type="dxa"/>
            <w:tcBorders>
              <w:top w:val="double" w:color="auto" w:sz="4" w:space="0"/>
            </w:tcBorders>
            <w:vAlign w:val="center"/>
          </w:tcPr>
          <w:p>
            <w:pPr>
              <w:widowControl/>
              <w:jc w:val="center"/>
              <w:rPr>
                <w:rFonts w:hint="eastAsia" w:ascii="宋体" w:hAnsi="宋体" w:cs="宋体"/>
                <w:b/>
                <w:bCs/>
                <w:kern w:val="0"/>
                <w:sz w:val="18"/>
                <w:szCs w:val="18"/>
              </w:rPr>
            </w:pPr>
          </w:p>
        </w:tc>
      </w:tr>
    </w:tbl>
    <w:p>
      <w:pPr>
        <w:rPr>
          <w:rFonts w:ascii="宋体" w:hAnsi="宋体" w:cs="宋体"/>
          <w:szCs w:val="21"/>
        </w:rPr>
      </w:pPr>
    </w:p>
    <w:p>
      <w:pPr>
        <w:rPr>
          <w:rFonts w:ascii="宋体" w:hAnsi="宋体"/>
          <w:b/>
          <w:sz w:val="24"/>
          <w:szCs w:val="21"/>
        </w:rPr>
      </w:pPr>
    </w:p>
    <w:p>
      <w:pPr>
        <w:rPr>
          <w:rFonts w:ascii="宋体" w:hAnsi="宋体" w:cs="宋体"/>
          <w:b/>
          <w:bCs/>
          <w:szCs w:val="21"/>
        </w:rPr>
      </w:pPr>
      <w:r>
        <w:rPr>
          <w:rFonts w:hint="eastAsia" w:ascii="宋体" w:hAnsi="宋体" w:cs="宋体"/>
          <w:b/>
          <w:bCs/>
          <w:szCs w:val="21"/>
        </w:rPr>
        <w:br w:type="page"/>
      </w:r>
      <w:r>
        <w:rPr>
          <w:rFonts w:hint="eastAsia" w:ascii="宋体" w:hAnsi="宋体" w:cs="宋体"/>
          <w:b/>
          <w:bCs/>
          <w:szCs w:val="21"/>
        </w:rPr>
        <w:t>2.符合性自查表</w:t>
      </w:r>
    </w:p>
    <w:p>
      <w:pPr>
        <w:jc w:val="center"/>
        <w:rPr>
          <w:rFonts w:ascii="宋体" w:hAnsi="宋体"/>
          <w:b/>
          <w:szCs w:val="21"/>
        </w:rPr>
      </w:pPr>
      <w:r>
        <w:rPr>
          <w:rFonts w:hint="eastAsia" w:ascii="宋体" w:hAnsi="宋体"/>
          <w:b/>
          <w:szCs w:val="21"/>
        </w:rPr>
        <w:t>符合性自查表</w:t>
      </w:r>
    </w:p>
    <w:p>
      <w:pPr>
        <w:snapToGrid w:val="0"/>
        <w:spacing w:line="360" w:lineRule="auto"/>
        <w:ind w:firstLine="210" w:firstLineChars="100"/>
        <w:rPr>
          <w:rFonts w:ascii="宋体" w:hAnsi="宋体" w:cs="宋体"/>
          <w:szCs w:val="21"/>
        </w:rPr>
      </w:pPr>
      <w:r>
        <w:rPr>
          <w:rFonts w:hint="eastAsia" w:ascii="宋体" w:hAnsi="宋体" w:cs="宋体"/>
          <w:szCs w:val="21"/>
        </w:rPr>
        <w:t>项目名称：</w:t>
      </w:r>
    </w:p>
    <w:p>
      <w:pPr>
        <w:spacing w:line="360" w:lineRule="auto"/>
        <w:ind w:firstLine="210" w:firstLineChars="100"/>
        <w:rPr>
          <w:rFonts w:ascii="宋体" w:hAnsi="宋体" w:cs="宋体"/>
          <w:szCs w:val="21"/>
        </w:rPr>
      </w:pPr>
      <w:r>
        <w:rPr>
          <w:rFonts w:hint="eastAsia" w:ascii="宋体" w:hAnsi="宋体" w:cs="宋体"/>
          <w:szCs w:val="21"/>
        </w:rPr>
        <w:t xml:space="preserve">项目编号：     </w:t>
      </w:r>
    </w:p>
    <w:p>
      <w:pPr>
        <w:spacing w:line="360" w:lineRule="auto"/>
        <w:ind w:firstLine="210" w:firstLineChars="100"/>
      </w:pPr>
      <w:r>
        <w:rPr>
          <w:rFonts w:hint="eastAsia" w:ascii="宋体" w:hAnsi="宋体" w:cs="宋体"/>
          <w:szCs w:val="21"/>
        </w:rPr>
        <w:t>标项号：</w:t>
      </w:r>
    </w:p>
    <w:tbl>
      <w:tblPr>
        <w:tblStyle w:val="19"/>
        <w:tblW w:w="968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367"/>
        <w:gridCol w:w="5478"/>
        <w:gridCol w:w="1119"/>
        <w:gridCol w:w="110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tcPr>
          <w:p>
            <w:pPr>
              <w:spacing w:line="360" w:lineRule="auto"/>
              <w:jc w:val="center"/>
              <w:rPr>
                <w:rFonts w:ascii="宋体" w:hAnsi="宋体" w:cs="宋体"/>
                <w:b/>
                <w:sz w:val="18"/>
                <w:szCs w:val="18"/>
              </w:rPr>
            </w:pPr>
            <w:r>
              <w:rPr>
                <w:rFonts w:hint="eastAsia" w:ascii="宋体" w:hAnsi="宋体" w:cs="宋体"/>
                <w:b/>
                <w:sz w:val="18"/>
                <w:szCs w:val="18"/>
              </w:rPr>
              <w:t>序号</w:t>
            </w:r>
          </w:p>
        </w:tc>
        <w:tc>
          <w:tcPr>
            <w:tcW w:w="1367" w:type="dxa"/>
          </w:tcPr>
          <w:p>
            <w:pPr>
              <w:spacing w:line="360" w:lineRule="auto"/>
              <w:jc w:val="center"/>
              <w:rPr>
                <w:rFonts w:ascii="宋体" w:hAnsi="宋体" w:cs="宋体"/>
                <w:b/>
                <w:sz w:val="18"/>
                <w:szCs w:val="18"/>
              </w:rPr>
            </w:pPr>
            <w:r>
              <w:rPr>
                <w:rFonts w:hint="eastAsia" w:ascii="宋体" w:hAnsi="宋体" w:cs="宋体"/>
                <w:b/>
                <w:sz w:val="18"/>
                <w:szCs w:val="18"/>
              </w:rPr>
              <w:t>审查项目</w:t>
            </w:r>
          </w:p>
        </w:tc>
        <w:tc>
          <w:tcPr>
            <w:tcW w:w="5478" w:type="dxa"/>
          </w:tcPr>
          <w:p>
            <w:pPr>
              <w:spacing w:line="360" w:lineRule="auto"/>
              <w:jc w:val="center"/>
              <w:rPr>
                <w:rFonts w:ascii="宋体" w:hAnsi="宋体" w:cs="宋体"/>
                <w:b/>
                <w:sz w:val="18"/>
                <w:szCs w:val="18"/>
              </w:rPr>
            </w:pPr>
            <w:r>
              <w:rPr>
                <w:rFonts w:hint="eastAsia" w:ascii="宋体" w:hAnsi="宋体" w:cs="宋体"/>
                <w:b/>
                <w:sz w:val="18"/>
                <w:szCs w:val="18"/>
              </w:rPr>
              <w:t>要求</w:t>
            </w:r>
          </w:p>
        </w:tc>
        <w:tc>
          <w:tcPr>
            <w:tcW w:w="1119" w:type="dxa"/>
            <w:vAlign w:val="center"/>
          </w:tcPr>
          <w:p>
            <w:pPr>
              <w:spacing w:line="360" w:lineRule="auto"/>
              <w:rPr>
                <w:b/>
                <w:sz w:val="18"/>
                <w:szCs w:val="18"/>
              </w:rPr>
            </w:pPr>
            <w:r>
              <w:rPr>
                <w:rFonts w:hint="eastAsia"/>
                <w:b/>
                <w:sz w:val="18"/>
                <w:szCs w:val="18"/>
              </w:rPr>
              <w:t>自查结论</w:t>
            </w:r>
          </w:p>
        </w:tc>
        <w:tc>
          <w:tcPr>
            <w:tcW w:w="1101" w:type="dxa"/>
            <w:vAlign w:val="center"/>
          </w:tcPr>
          <w:p>
            <w:pPr>
              <w:spacing w:line="360" w:lineRule="auto"/>
              <w:rPr>
                <w:b/>
                <w:sz w:val="18"/>
                <w:szCs w:val="18"/>
              </w:rPr>
            </w:pPr>
            <w:r>
              <w:rPr>
                <w:rFonts w:hint="eastAsia"/>
                <w:b/>
                <w:sz w:val="18"/>
                <w:szCs w:val="18"/>
              </w:rPr>
              <w:t>证明资料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vAlign w:val="center"/>
          </w:tcPr>
          <w:p>
            <w:pPr>
              <w:spacing w:line="360" w:lineRule="auto"/>
              <w:rPr>
                <w:rFonts w:ascii="宋体" w:hAnsi="宋体" w:cs="宋体"/>
                <w:sz w:val="18"/>
                <w:szCs w:val="18"/>
              </w:rPr>
            </w:pPr>
            <w:r>
              <w:rPr>
                <w:rFonts w:hint="eastAsia" w:ascii="宋体" w:hAnsi="宋体" w:cs="宋体"/>
                <w:sz w:val="18"/>
                <w:szCs w:val="18"/>
              </w:rPr>
              <w:t>1</w:t>
            </w:r>
          </w:p>
        </w:tc>
        <w:tc>
          <w:tcPr>
            <w:tcW w:w="1367" w:type="dxa"/>
            <w:vAlign w:val="center"/>
          </w:tcPr>
          <w:p>
            <w:pPr>
              <w:spacing w:line="360" w:lineRule="auto"/>
              <w:rPr>
                <w:rFonts w:ascii="宋体" w:hAnsi="宋体" w:cs="宋体"/>
                <w:sz w:val="18"/>
                <w:szCs w:val="18"/>
              </w:rPr>
            </w:pPr>
            <w:r>
              <w:rPr>
                <w:rFonts w:hint="eastAsia" w:ascii="宋体" w:hAnsi="宋体" w:cs="宋体"/>
                <w:sz w:val="18"/>
                <w:szCs w:val="18"/>
              </w:rPr>
              <w:t>供应商名称</w:t>
            </w:r>
          </w:p>
        </w:tc>
        <w:tc>
          <w:tcPr>
            <w:tcW w:w="5478" w:type="dxa"/>
          </w:tcPr>
          <w:p>
            <w:pPr>
              <w:spacing w:line="360" w:lineRule="auto"/>
              <w:rPr>
                <w:rFonts w:ascii="宋体" w:hAnsi="宋体" w:cs="宋体"/>
                <w:sz w:val="18"/>
                <w:szCs w:val="18"/>
              </w:rPr>
            </w:pPr>
            <w:r>
              <w:rPr>
                <w:rFonts w:hint="eastAsia" w:ascii="宋体" w:hAnsi="宋体" w:cs="宋体"/>
                <w:sz w:val="18"/>
                <w:szCs w:val="18"/>
              </w:rPr>
              <w:t>与有效的企业法人营业执照（或事业法人登记证）、其他组织（个体工商户）的营业执照或者民办非企业单位登记证书复印件一致。</w:t>
            </w:r>
          </w:p>
        </w:tc>
        <w:tc>
          <w:tcPr>
            <w:tcW w:w="1119" w:type="dxa"/>
            <w:vAlign w:val="center"/>
          </w:tcPr>
          <w:p>
            <w:pPr>
              <w:spacing w:line="360" w:lineRule="auto"/>
              <w:rPr>
                <w:rFonts w:ascii="宋体" w:hAnsi="宋体" w:cs="宋体"/>
                <w:sz w:val="18"/>
                <w:szCs w:val="18"/>
              </w:rPr>
            </w:pPr>
            <w:r>
              <w:rPr>
                <w:rFonts w:hint="eastAsia" w:ascii="宋体" w:hAnsi="宋体" w:cs="宋体"/>
                <w:sz w:val="18"/>
                <w:szCs w:val="18"/>
              </w:rPr>
              <w:t xml:space="preserve">□通过 </w:t>
            </w:r>
          </w:p>
          <w:p>
            <w:pPr>
              <w:spacing w:line="360" w:lineRule="auto"/>
              <w:rPr>
                <w:rFonts w:ascii="宋体" w:hAnsi="宋体" w:cs="宋体"/>
                <w:sz w:val="18"/>
                <w:szCs w:val="18"/>
              </w:rPr>
            </w:pPr>
            <w:r>
              <w:rPr>
                <w:rFonts w:hint="eastAsia" w:ascii="宋体" w:hAnsi="宋体" w:cs="宋体"/>
                <w:sz w:val="18"/>
                <w:szCs w:val="18"/>
              </w:rPr>
              <w:t>□不通过</w:t>
            </w:r>
          </w:p>
        </w:tc>
        <w:tc>
          <w:tcPr>
            <w:tcW w:w="1101" w:type="dxa"/>
            <w:vAlign w:val="center"/>
          </w:tcPr>
          <w:p>
            <w:pPr>
              <w:spacing w:line="360" w:lineRule="auto"/>
              <w:rPr>
                <w:rFonts w:ascii="宋体" w:hAnsi="宋体" w:cs="宋体"/>
                <w:sz w:val="18"/>
                <w:szCs w:val="18"/>
              </w:rPr>
            </w:pPr>
            <w:r>
              <w:rPr>
                <w:rFonts w:hint="eastAsia" w:ascii="宋体" w:hAnsi="宋体" w:cs="宋体"/>
                <w:sz w:val="18"/>
                <w:szCs w:val="18"/>
              </w:rPr>
              <w:t>第（ ）页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620" w:type="dxa"/>
            <w:vAlign w:val="center"/>
          </w:tcPr>
          <w:p>
            <w:pPr>
              <w:spacing w:line="360" w:lineRule="auto"/>
              <w:rPr>
                <w:rFonts w:ascii="宋体" w:hAnsi="宋体" w:cs="宋体"/>
                <w:sz w:val="18"/>
                <w:szCs w:val="18"/>
              </w:rPr>
            </w:pPr>
            <w:r>
              <w:rPr>
                <w:rFonts w:hint="eastAsia" w:ascii="宋体" w:hAnsi="宋体" w:cs="宋体"/>
                <w:sz w:val="18"/>
                <w:szCs w:val="18"/>
              </w:rPr>
              <w:t>2</w:t>
            </w:r>
          </w:p>
        </w:tc>
        <w:tc>
          <w:tcPr>
            <w:tcW w:w="1367" w:type="dxa"/>
            <w:vAlign w:val="center"/>
          </w:tcPr>
          <w:p>
            <w:pPr>
              <w:spacing w:line="360" w:lineRule="auto"/>
              <w:rPr>
                <w:rFonts w:ascii="宋体" w:hAnsi="宋体" w:cs="宋体"/>
                <w:sz w:val="18"/>
                <w:szCs w:val="18"/>
              </w:rPr>
            </w:pPr>
            <w:r>
              <w:rPr>
                <w:rFonts w:hint="eastAsia" w:ascii="宋体" w:hAnsi="宋体" w:cs="宋体"/>
                <w:sz w:val="18"/>
                <w:szCs w:val="18"/>
              </w:rPr>
              <w:t>投标有效期</w:t>
            </w:r>
          </w:p>
        </w:tc>
        <w:tc>
          <w:tcPr>
            <w:tcW w:w="5478" w:type="dxa"/>
            <w:vAlign w:val="center"/>
          </w:tcPr>
          <w:p>
            <w:pPr>
              <w:spacing w:line="360" w:lineRule="auto"/>
              <w:rPr>
                <w:rFonts w:ascii="宋体" w:hAnsi="宋体" w:cs="宋体"/>
                <w:sz w:val="18"/>
                <w:szCs w:val="18"/>
              </w:rPr>
            </w:pPr>
            <w:r>
              <w:rPr>
                <w:rFonts w:hint="eastAsia" w:cs="宋体"/>
                <w:sz w:val="18"/>
                <w:szCs w:val="18"/>
              </w:rPr>
              <w:t>满足招标文件要求</w:t>
            </w:r>
            <w:r>
              <w:rPr>
                <w:rFonts w:hint="eastAsia"/>
                <w:sz w:val="18"/>
                <w:szCs w:val="18"/>
              </w:rPr>
              <w:t>。</w:t>
            </w:r>
          </w:p>
        </w:tc>
        <w:tc>
          <w:tcPr>
            <w:tcW w:w="1119" w:type="dxa"/>
            <w:vAlign w:val="center"/>
          </w:tcPr>
          <w:p>
            <w:pPr>
              <w:spacing w:line="360" w:lineRule="auto"/>
              <w:rPr>
                <w:rFonts w:ascii="宋体" w:hAnsi="宋体" w:cs="宋体"/>
                <w:sz w:val="18"/>
                <w:szCs w:val="18"/>
              </w:rPr>
            </w:pPr>
            <w:r>
              <w:rPr>
                <w:rFonts w:hint="eastAsia" w:ascii="宋体" w:hAnsi="宋体" w:cs="宋体"/>
                <w:sz w:val="18"/>
                <w:szCs w:val="18"/>
              </w:rPr>
              <w:t xml:space="preserve">□通过 </w:t>
            </w:r>
          </w:p>
          <w:p>
            <w:pPr>
              <w:spacing w:line="360" w:lineRule="auto"/>
              <w:rPr>
                <w:rFonts w:ascii="宋体" w:hAnsi="宋体" w:cs="宋体"/>
                <w:sz w:val="18"/>
                <w:szCs w:val="18"/>
              </w:rPr>
            </w:pPr>
            <w:r>
              <w:rPr>
                <w:rFonts w:hint="eastAsia" w:ascii="宋体" w:hAnsi="宋体" w:cs="宋体"/>
                <w:sz w:val="18"/>
                <w:szCs w:val="18"/>
              </w:rPr>
              <w:t>□不通过</w:t>
            </w:r>
          </w:p>
        </w:tc>
        <w:tc>
          <w:tcPr>
            <w:tcW w:w="1101" w:type="dxa"/>
            <w:vAlign w:val="center"/>
          </w:tcPr>
          <w:p>
            <w:pPr>
              <w:spacing w:line="360" w:lineRule="auto"/>
              <w:rPr>
                <w:rFonts w:ascii="宋体" w:hAnsi="宋体" w:cs="宋体"/>
                <w:sz w:val="18"/>
                <w:szCs w:val="18"/>
              </w:rPr>
            </w:pPr>
            <w:r>
              <w:rPr>
                <w:rFonts w:hint="eastAsia" w:ascii="宋体" w:hAnsi="宋体" w:cs="宋体"/>
                <w:sz w:val="18"/>
                <w:szCs w:val="18"/>
              </w:rPr>
              <w:t>第（ ）页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20" w:type="dxa"/>
            <w:vAlign w:val="center"/>
          </w:tcPr>
          <w:p>
            <w:pPr>
              <w:spacing w:line="360" w:lineRule="auto"/>
              <w:rPr>
                <w:rFonts w:ascii="宋体" w:hAnsi="宋体" w:cs="宋体"/>
                <w:sz w:val="18"/>
                <w:szCs w:val="18"/>
              </w:rPr>
            </w:pPr>
            <w:r>
              <w:rPr>
                <w:rFonts w:hint="eastAsia" w:ascii="宋体" w:hAnsi="宋体" w:cs="宋体"/>
                <w:sz w:val="18"/>
                <w:szCs w:val="18"/>
              </w:rPr>
              <w:t>3</w:t>
            </w:r>
          </w:p>
        </w:tc>
        <w:tc>
          <w:tcPr>
            <w:tcW w:w="1367" w:type="dxa"/>
            <w:vAlign w:val="center"/>
          </w:tcPr>
          <w:p>
            <w:pPr>
              <w:spacing w:line="360" w:lineRule="auto"/>
              <w:rPr>
                <w:rFonts w:ascii="宋体" w:hAnsi="宋体" w:cs="宋体"/>
                <w:sz w:val="18"/>
                <w:szCs w:val="18"/>
              </w:rPr>
            </w:pPr>
            <w:r>
              <w:rPr>
                <w:rFonts w:hint="eastAsia" w:ascii="宋体" w:hAnsi="宋体" w:cs="宋体"/>
                <w:sz w:val="18"/>
                <w:szCs w:val="18"/>
              </w:rPr>
              <w:t>法定代表人身份证明和法定代表人授权书</w:t>
            </w:r>
          </w:p>
        </w:tc>
        <w:tc>
          <w:tcPr>
            <w:tcW w:w="5478" w:type="dxa"/>
            <w:vAlign w:val="center"/>
          </w:tcPr>
          <w:p>
            <w:pPr>
              <w:spacing w:line="360" w:lineRule="auto"/>
              <w:rPr>
                <w:rFonts w:ascii="宋体" w:hAnsi="宋体" w:cs="宋体"/>
                <w:sz w:val="18"/>
                <w:szCs w:val="18"/>
              </w:rPr>
            </w:pPr>
            <w:r>
              <w:rPr>
                <w:rFonts w:hint="eastAsia" w:ascii="宋体" w:hAnsi="宋体" w:cs="宋体"/>
                <w:sz w:val="18"/>
                <w:szCs w:val="18"/>
              </w:rPr>
              <w:t>投标文件由法定代表人签字的，提供“法定代表人身份证明”；</w:t>
            </w:r>
          </w:p>
          <w:p>
            <w:pPr>
              <w:spacing w:line="360" w:lineRule="auto"/>
              <w:rPr>
                <w:rFonts w:ascii="宋体" w:hAnsi="宋体" w:cs="宋体"/>
                <w:sz w:val="18"/>
                <w:szCs w:val="18"/>
              </w:rPr>
            </w:pPr>
            <w:r>
              <w:rPr>
                <w:rFonts w:hint="eastAsia" w:ascii="宋体" w:hAnsi="宋体" w:cs="宋体"/>
                <w:sz w:val="18"/>
                <w:szCs w:val="18"/>
              </w:rPr>
              <w:t>投标文件由授权代表签字的，提供“法定代表人身份证明”和“法定代表人授权书”。</w:t>
            </w:r>
          </w:p>
        </w:tc>
        <w:tc>
          <w:tcPr>
            <w:tcW w:w="1119" w:type="dxa"/>
            <w:vAlign w:val="center"/>
          </w:tcPr>
          <w:p>
            <w:pPr>
              <w:spacing w:line="360" w:lineRule="auto"/>
              <w:rPr>
                <w:rFonts w:ascii="宋体" w:hAnsi="宋体" w:cs="宋体"/>
                <w:sz w:val="18"/>
                <w:szCs w:val="18"/>
              </w:rPr>
            </w:pPr>
            <w:r>
              <w:rPr>
                <w:rFonts w:hint="eastAsia" w:ascii="宋体" w:hAnsi="宋体" w:cs="宋体"/>
                <w:sz w:val="18"/>
                <w:szCs w:val="18"/>
              </w:rPr>
              <w:t xml:space="preserve">□通过 </w:t>
            </w:r>
          </w:p>
          <w:p>
            <w:pPr>
              <w:spacing w:line="360" w:lineRule="auto"/>
              <w:rPr>
                <w:rFonts w:ascii="宋体" w:hAnsi="宋体" w:cs="宋体"/>
                <w:sz w:val="18"/>
                <w:szCs w:val="18"/>
              </w:rPr>
            </w:pPr>
            <w:r>
              <w:rPr>
                <w:rFonts w:hint="eastAsia" w:ascii="宋体" w:hAnsi="宋体" w:cs="宋体"/>
                <w:sz w:val="18"/>
                <w:szCs w:val="18"/>
              </w:rPr>
              <w:t>□不通过</w:t>
            </w:r>
          </w:p>
        </w:tc>
        <w:tc>
          <w:tcPr>
            <w:tcW w:w="1101" w:type="dxa"/>
            <w:vAlign w:val="center"/>
          </w:tcPr>
          <w:p>
            <w:pPr>
              <w:spacing w:line="360" w:lineRule="auto"/>
              <w:rPr>
                <w:rFonts w:ascii="宋体" w:hAnsi="宋体" w:cs="宋体"/>
                <w:sz w:val="18"/>
                <w:szCs w:val="18"/>
              </w:rPr>
            </w:pPr>
            <w:r>
              <w:rPr>
                <w:rFonts w:hint="eastAsia" w:ascii="宋体" w:hAnsi="宋体" w:cs="宋体"/>
                <w:sz w:val="18"/>
                <w:szCs w:val="18"/>
              </w:rPr>
              <w:t>第（ ）页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vAlign w:val="center"/>
          </w:tcPr>
          <w:p>
            <w:pPr>
              <w:spacing w:line="360" w:lineRule="auto"/>
              <w:rPr>
                <w:rFonts w:ascii="宋体" w:hAnsi="宋体" w:cs="宋体"/>
                <w:sz w:val="18"/>
                <w:szCs w:val="18"/>
              </w:rPr>
            </w:pPr>
            <w:r>
              <w:rPr>
                <w:rFonts w:hint="eastAsia" w:ascii="宋体" w:hAnsi="宋体" w:cs="宋体"/>
                <w:sz w:val="18"/>
                <w:szCs w:val="18"/>
              </w:rPr>
              <w:t>4</w:t>
            </w:r>
          </w:p>
        </w:tc>
        <w:tc>
          <w:tcPr>
            <w:tcW w:w="1367" w:type="dxa"/>
            <w:vAlign w:val="center"/>
          </w:tcPr>
          <w:p>
            <w:pPr>
              <w:spacing w:line="360" w:lineRule="auto"/>
              <w:rPr>
                <w:rFonts w:ascii="宋体" w:hAnsi="宋体" w:cs="宋体"/>
                <w:sz w:val="18"/>
                <w:szCs w:val="18"/>
              </w:rPr>
            </w:pPr>
            <w:r>
              <w:rPr>
                <w:rFonts w:hint="eastAsia" w:ascii="宋体" w:hAnsi="宋体" w:cs="宋体"/>
                <w:sz w:val="18"/>
                <w:szCs w:val="18"/>
              </w:rPr>
              <w:t>投标文件的签署盖章</w:t>
            </w:r>
          </w:p>
        </w:tc>
        <w:tc>
          <w:tcPr>
            <w:tcW w:w="5478" w:type="dxa"/>
            <w:vAlign w:val="center"/>
          </w:tcPr>
          <w:p>
            <w:pPr>
              <w:spacing w:line="360" w:lineRule="auto"/>
              <w:rPr>
                <w:rFonts w:ascii="宋体" w:hAnsi="宋体" w:cs="宋体"/>
                <w:sz w:val="18"/>
                <w:szCs w:val="18"/>
              </w:rPr>
            </w:pPr>
            <w:r>
              <w:rPr>
                <w:rFonts w:hint="eastAsia"/>
                <w:sz w:val="18"/>
                <w:szCs w:val="18"/>
              </w:rPr>
              <w:t>符合招标文件的要求。</w:t>
            </w:r>
          </w:p>
        </w:tc>
        <w:tc>
          <w:tcPr>
            <w:tcW w:w="1119" w:type="dxa"/>
            <w:vAlign w:val="center"/>
          </w:tcPr>
          <w:p>
            <w:pPr>
              <w:spacing w:line="360" w:lineRule="auto"/>
              <w:rPr>
                <w:rFonts w:ascii="宋体" w:hAnsi="宋体" w:cs="宋体"/>
                <w:sz w:val="18"/>
                <w:szCs w:val="18"/>
              </w:rPr>
            </w:pPr>
            <w:r>
              <w:rPr>
                <w:rFonts w:hint="eastAsia" w:ascii="宋体" w:hAnsi="宋体" w:cs="宋体"/>
                <w:sz w:val="18"/>
                <w:szCs w:val="18"/>
              </w:rPr>
              <w:t xml:space="preserve">□通过 </w:t>
            </w:r>
          </w:p>
          <w:p>
            <w:pPr>
              <w:spacing w:line="360" w:lineRule="auto"/>
              <w:rPr>
                <w:rFonts w:ascii="宋体" w:hAnsi="宋体" w:cs="宋体"/>
                <w:sz w:val="18"/>
                <w:szCs w:val="18"/>
              </w:rPr>
            </w:pPr>
            <w:r>
              <w:rPr>
                <w:rFonts w:hint="eastAsia" w:ascii="宋体" w:hAnsi="宋体" w:cs="宋体"/>
                <w:sz w:val="18"/>
                <w:szCs w:val="18"/>
              </w:rPr>
              <w:t>□不通过</w:t>
            </w:r>
          </w:p>
        </w:tc>
        <w:tc>
          <w:tcPr>
            <w:tcW w:w="1101" w:type="dxa"/>
            <w:vAlign w:val="center"/>
          </w:tcPr>
          <w:p>
            <w:pPr>
              <w:spacing w:line="360" w:lineRule="auto"/>
              <w:rPr>
                <w:rFonts w:ascii="宋体" w:hAnsi="宋体" w:cs="宋体"/>
                <w:sz w:val="18"/>
                <w:szCs w:val="18"/>
              </w:rPr>
            </w:pPr>
            <w:r>
              <w:rPr>
                <w:rFonts w:hint="eastAsia" w:ascii="宋体" w:hAnsi="宋体" w:cs="宋体"/>
                <w:sz w:val="18"/>
                <w:szCs w:val="18"/>
              </w:rPr>
              <w:t>第（ ）页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620" w:type="dxa"/>
            <w:vAlign w:val="center"/>
          </w:tcPr>
          <w:p>
            <w:pPr>
              <w:spacing w:line="360" w:lineRule="auto"/>
              <w:rPr>
                <w:rFonts w:ascii="宋体" w:hAnsi="宋体" w:cs="宋体"/>
                <w:sz w:val="18"/>
                <w:szCs w:val="18"/>
              </w:rPr>
            </w:pPr>
            <w:r>
              <w:rPr>
                <w:rFonts w:hint="eastAsia" w:ascii="宋体" w:hAnsi="宋体" w:cs="宋体"/>
                <w:sz w:val="18"/>
                <w:szCs w:val="18"/>
              </w:rPr>
              <w:t>5</w:t>
            </w:r>
          </w:p>
        </w:tc>
        <w:tc>
          <w:tcPr>
            <w:tcW w:w="1367" w:type="dxa"/>
            <w:vAlign w:val="center"/>
          </w:tcPr>
          <w:p>
            <w:pPr>
              <w:spacing w:line="360" w:lineRule="auto"/>
              <w:rPr>
                <w:rFonts w:ascii="宋体" w:hAnsi="宋体" w:cs="宋体"/>
                <w:sz w:val="18"/>
                <w:szCs w:val="18"/>
              </w:rPr>
            </w:pPr>
            <w:r>
              <w:rPr>
                <w:rFonts w:hint="eastAsia" w:ascii="宋体" w:hAnsi="宋体" w:cs="宋体"/>
                <w:sz w:val="18"/>
                <w:szCs w:val="18"/>
              </w:rPr>
              <w:t>股东成员组成说明书</w:t>
            </w:r>
          </w:p>
        </w:tc>
        <w:tc>
          <w:tcPr>
            <w:tcW w:w="5478" w:type="dxa"/>
            <w:vAlign w:val="center"/>
          </w:tcPr>
          <w:p>
            <w:pPr>
              <w:snapToGrid w:val="0"/>
              <w:spacing w:line="360" w:lineRule="auto"/>
              <w:rPr>
                <w:sz w:val="18"/>
                <w:szCs w:val="18"/>
              </w:rPr>
            </w:pPr>
            <w:r>
              <w:rPr>
                <w:rFonts w:hint="eastAsia" w:ascii="宋体" w:hAnsi="宋体" w:cs="宋体"/>
                <w:sz w:val="18"/>
                <w:szCs w:val="18"/>
              </w:rPr>
              <w:t>股东成员组成说明书（供应商须提供股东成员组成说明书（格式自拟），加盖供应商公章；或从“国家企业信用信息公示系统”、“宁波市企业信用网”等相关网站里打印有股东成员名称的相关页面，加盖供应商公章）。</w:t>
            </w:r>
          </w:p>
        </w:tc>
        <w:tc>
          <w:tcPr>
            <w:tcW w:w="1119" w:type="dxa"/>
            <w:vAlign w:val="center"/>
          </w:tcPr>
          <w:p>
            <w:pPr>
              <w:spacing w:line="360" w:lineRule="auto"/>
              <w:rPr>
                <w:rFonts w:ascii="宋体" w:hAnsi="宋体" w:cs="宋体"/>
                <w:sz w:val="18"/>
                <w:szCs w:val="18"/>
              </w:rPr>
            </w:pPr>
            <w:r>
              <w:rPr>
                <w:rFonts w:hint="eastAsia" w:ascii="宋体" w:hAnsi="宋体" w:cs="宋体"/>
                <w:sz w:val="18"/>
                <w:szCs w:val="18"/>
              </w:rPr>
              <w:t xml:space="preserve">□通过 </w:t>
            </w:r>
          </w:p>
          <w:p>
            <w:pPr>
              <w:spacing w:line="360" w:lineRule="auto"/>
              <w:rPr>
                <w:rFonts w:ascii="宋体" w:hAnsi="宋体" w:cs="宋体"/>
                <w:sz w:val="18"/>
                <w:szCs w:val="18"/>
              </w:rPr>
            </w:pPr>
            <w:r>
              <w:rPr>
                <w:rFonts w:hint="eastAsia" w:ascii="宋体" w:hAnsi="宋体" w:cs="宋体"/>
                <w:sz w:val="18"/>
                <w:szCs w:val="18"/>
              </w:rPr>
              <w:t>□不通过</w:t>
            </w:r>
          </w:p>
        </w:tc>
        <w:tc>
          <w:tcPr>
            <w:tcW w:w="1101" w:type="dxa"/>
            <w:vAlign w:val="center"/>
          </w:tcPr>
          <w:p>
            <w:pPr>
              <w:spacing w:line="360" w:lineRule="auto"/>
              <w:rPr>
                <w:rFonts w:ascii="宋体" w:hAnsi="宋体" w:cs="宋体"/>
                <w:sz w:val="18"/>
                <w:szCs w:val="18"/>
              </w:rPr>
            </w:pPr>
            <w:r>
              <w:rPr>
                <w:rFonts w:hint="eastAsia" w:ascii="宋体" w:hAnsi="宋体" w:cs="宋体"/>
                <w:sz w:val="18"/>
                <w:szCs w:val="18"/>
              </w:rPr>
              <w:t>第（ ）页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vAlign w:val="center"/>
          </w:tcPr>
          <w:p>
            <w:pPr>
              <w:spacing w:line="360" w:lineRule="auto"/>
              <w:rPr>
                <w:rFonts w:ascii="宋体" w:hAnsi="宋体" w:cs="宋体"/>
                <w:sz w:val="18"/>
                <w:szCs w:val="18"/>
              </w:rPr>
            </w:pPr>
            <w:r>
              <w:rPr>
                <w:rFonts w:hint="eastAsia" w:ascii="宋体" w:hAnsi="宋体" w:cs="宋体"/>
                <w:sz w:val="18"/>
                <w:szCs w:val="18"/>
              </w:rPr>
              <w:t>6</w:t>
            </w:r>
          </w:p>
        </w:tc>
        <w:tc>
          <w:tcPr>
            <w:tcW w:w="1367" w:type="dxa"/>
            <w:vMerge w:val="restart"/>
            <w:vAlign w:val="center"/>
          </w:tcPr>
          <w:p>
            <w:pPr>
              <w:spacing w:line="360" w:lineRule="auto"/>
              <w:jc w:val="center"/>
              <w:rPr>
                <w:rFonts w:ascii="宋体" w:hAnsi="宋体" w:cs="宋体"/>
                <w:sz w:val="18"/>
                <w:szCs w:val="18"/>
              </w:rPr>
            </w:pPr>
            <w:r>
              <w:rPr>
                <w:rFonts w:hint="eastAsia" w:ascii="宋体" w:hAnsi="宋体" w:cs="宋体"/>
                <w:sz w:val="18"/>
                <w:szCs w:val="18"/>
              </w:rPr>
              <w:t>其他</w:t>
            </w:r>
          </w:p>
        </w:tc>
        <w:tc>
          <w:tcPr>
            <w:tcW w:w="5478" w:type="dxa"/>
            <w:vAlign w:val="center"/>
          </w:tcPr>
          <w:p>
            <w:pPr>
              <w:spacing w:line="360" w:lineRule="auto"/>
              <w:rPr>
                <w:rFonts w:ascii="宋体" w:hAnsi="宋体" w:cs="宋体"/>
                <w:sz w:val="18"/>
                <w:szCs w:val="18"/>
              </w:rPr>
            </w:pPr>
            <w:r>
              <w:rPr>
                <w:rFonts w:hint="eastAsia" w:ascii="宋体" w:hAnsi="宋体" w:cs="宋体"/>
                <w:sz w:val="18"/>
                <w:szCs w:val="18"/>
              </w:rPr>
              <w:t>对同个子包或项目不允许提供两个投标方案。</w:t>
            </w:r>
          </w:p>
        </w:tc>
        <w:tc>
          <w:tcPr>
            <w:tcW w:w="1119" w:type="dxa"/>
            <w:vAlign w:val="center"/>
          </w:tcPr>
          <w:p>
            <w:pPr>
              <w:spacing w:line="360" w:lineRule="auto"/>
              <w:rPr>
                <w:rFonts w:ascii="宋体" w:hAnsi="宋体" w:cs="宋体"/>
                <w:sz w:val="18"/>
                <w:szCs w:val="18"/>
              </w:rPr>
            </w:pPr>
            <w:r>
              <w:rPr>
                <w:rFonts w:hint="eastAsia" w:ascii="宋体" w:hAnsi="宋体" w:cs="宋体"/>
                <w:sz w:val="18"/>
                <w:szCs w:val="18"/>
              </w:rPr>
              <w:t xml:space="preserve">□通过 </w:t>
            </w:r>
          </w:p>
          <w:p>
            <w:pPr>
              <w:spacing w:line="360" w:lineRule="auto"/>
              <w:rPr>
                <w:rFonts w:ascii="宋体" w:hAnsi="宋体" w:cs="宋体"/>
                <w:sz w:val="18"/>
                <w:szCs w:val="18"/>
              </w:rPr>
            </w:pPr>
            <w:r>
              <w:rPr>
                <w:rFonts w:hint="eastAsia" w:ascii="宋体" w:hAnsi="宋体" w:cs="宋体"/>
                <w:sz w:val="18"/>
                <w:szCs w:val="18"/>
              </w:rPr>
              <w:t>□不通过</w:t>
            </w:r>
          </w:p>
        </w:tc>
        <w:tc>
          <w:tcPr>
            <w:tcW w:w="1101" w:type="dxa"/>
            <w:vAlign w:val="center"/>
          </w:tcPr>
          <w:p>
            <w:pPr>
              <w:spacing w:line="360" w:lineRule="auto"/>
              <w:rPr>
                <w:rFonts w:ascii="宋体" w:hAnsi="宋体" w:cs="宋体"/>
                <w:sz w:val="18"/>
                <w:szCs w:val="18"/>
              </w:rPr>
            </w:pPr>
            <w:r>
              <w:rPr>
                <w:rFonts w:hint="eastAsia" w:ascii="宋体" w:hAnsi="宋体" w:cs="宋体"/>
                <w:sz w:val="18"/>
                <w:szCs w:val="18"/>
              </w:rPr>
              <w:t>第（ ）页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vAlign w:val="center"/>
          </w:tcPr>
          <w:p>
            <w:pPr>
              <w:spacing w:line="360" w:lineRule="auto"/>
              <w:rPr>
                <w:rFonts w:ascii="宋体" w:hAnsi="宋体" w:cs="宋体"/>
                <w:sz w:val="18"/>
                <w:szCs w:val="18"/>
              </w:rPr>
            </w:pPr>
            <w:r>
              <w:rPr>
                <w:rFonts w:hint="eastAsia" w:ascii="宋体" w:hAnsi="宋体" w:cs="宋体"/>
                <w:sz w:val="18"/>
                <w:szCs w:val="18"/>
              </w:rPr>
              <w:t>7</w:t>
            </w:r>
          </w:p>
        </w:tc>
        <w:tc>
          <w:tcPr>
            <w:tcW w:w="1367" w:type="dxa"/>
            <w:vMerge w:val="continue"/>
            <w:vAlign w:val="center"/>
          </w:tcPr>
          <w:p>
            <w:pPr>
              <w:spacing w:line="360" w:lineRule="auto"/>
              <w:rPr>
                <w:rFonts w:ascii="宋体" w:hAnsi="宋体" w:cs="宋体"/>
                <w:sz w:val="18"/>
                <w:szCs w:val="18"/>
              </w:rPr>
            </w:pPr>
          </w:p>
        </w:tc>
        <w:tc>
          <w:tcPr>
            <w:tcW w:w="5478" w:type="dxa"/>
            <w:vAlign w:val="center"/>
          </w:tcPr>
          <w:p>
            <w:pPr>
              <w:spacing w:line="360" w:lineRule="auto"/>
              <w:rPr>
                <w:rFonts w:ascii="宋体" w:hAnsi="宋体" w:cs="宋体"/>
                <w:sz w:val="18"/>
                <w:szCs w:val="18"/>
              </w:rPr>
            </w:pPr>
            <w:r>
              <w:rPr>
                <w:rFonts w:hint="eastAsia" w:ascii="宋体" w:hAnsi="宋体" w:cs="宋体"/>
                <w:sz w:val="18"/>
                <w:szCs w:val="18"/>
              </w:rPr>
              <w:t>不允许出现与招标文件有重大偏离的投标文件。</w:t>
            </w:r>
          </w:p>
        </w:tc>
        <w:tc>
          <w:tcPr>
            <w:tcW w:w="1119" w:type="dxa"/>
            <w:vAlign w:val="center"/>
          </w:tcPr>
          <w:p>
            <w:pPr>
              <w:spacing w:line="360" w:lineRule="auto"/>
              <w:rPr>
                <w:rFonts w:ascii="宋体" w:hAnsi="宋体" w:cs="宋体"/>
                <w:sz w:val="18"/>
                <w:szCs w:val="18"/>
              </w:rPr>
            </w:pPr>
            <w:r>
              <w:rPr>
                <w:rFonts w:hint="eastAsia" w:ascii="宋体" w:hAnsi="宋体" w:cs="宋体"/>
                <w:sz w:val="18"/>
                <w:szCs w:val="18"/>
              </w:rPr>
              <w:t xml:space="preserve">□通过 </w:t>
            </w:r>
          </w:p>
          <w:p>
            <w:pPr>
              <w:spacing w:line="360" w:lineRule="auto"/>
              <w:rPr>
                <w:rFonts w:ascii="宋体" w:hAnsi="宋体" w:cs="宋体"/>
                <w:sz w:val="18"/>
                <w:szCs w:val="18"/>
              </w:rPr>
            </w:pPr>
            <w:r>
              <w:rPr>
                <w:rFonts w:hint="eastAsia" w:ascii="宋体" w:hAnsi="宋体" w:cs="宋体"/>
                <w:sz w:val="18"/>
                <w:szCs w:val="18"/>
              </w:rPr>
              <w:t>□不通过</w:t>
            </w:r>
          </w:p>
        </w:tc>
        <w:tc>
          <w:tcPr>
            <w:tcW w:w="1101" w:type="dxa"/>
            <w:vAlign w:val="center"/>
          </w:tcPr>
          <w:p>
            <w:pPr>
              <w:spacing w:line="360" w:lineRule="auto"/>
              <w:rPr>
                <w:rFonts w:ascii="宋体" w:hAnsi="宋体" w:cs="宋体"/>
                <w:sz w:val="18"/>
                <w:szCs w:val="18"/>
              </w:rPr>
            </w:pPr>
            <w:r>
              <w:rPr>
                <w:rFonts w:hint="eastAsia" w:ascii="宋体" w:hAnsi="宋体" w:cs="宋体"/>
                <w:sz w:val="18"/>
                <w:szCs w:val="18"/>
              </w:rPr>
              <w:t>第（ ）页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vAlign w:val="center"/>
          </w:tcPr>
          <w:p>
            <w:pPr>
              <w:spacing w:line="360" w:lineRule="auto"/>
              <w:rPr>
                <w:rFonts w:ascii="宋体" w:hAnsi="宋体" w:cs="宋体"/>
                <w:sz w:val="18"/>
                <w:szCs w:val="18"/>
              </w:rPr>
            </w:pPr>
            <w:r>
              <w:rPr>
                <w:rFonts w:hint="eastAsia" w:ascii="宋体" w:hAnsi="宋体" w:cs="宋体"/>
                <w:sz w:val="18"/>
                <w:szCs w:val="18"/>
              </w:rPr>
              <w:t>8</w:t>
            </w:r>
          </w:p>
        </w:tc>
        <w:tc>
          <w:tcPr>
            <w:tcW w:w="1367" w:type="dxa"/>
            <w:vMerge w:val="continue"/>
            <w:vAlign w:val="center"/>
          </w:tcPr>
          <w:p>
            <w:pPr>
              <w:spacing w:line="360" w:lineRule="auto"/>
              <w:rPr>
                <w:rFonts w:ascii="宋体" w:hAnsi="宋体" w:cs="宋体"/>
                <w:sz w:val="18"/>
                <w:szCs w:val="18"/>
              </w:rPr>
            </w:pPr>
          </w:p>
        </w:tc>
        <w:tc>
          <w:tcPr>
            <w:tcW w:w="5478" w:type="dxa"/>
            <w:vAlign w:val="center"/>
          </w:tcPr>
          <w:p>
            <w:pPr>
              <w:spacing w:line="360" w:lineRule="auto"/>
              <w:rPr>
                <w:rFonts w:ascii="宋体" w:hAnsi="宋体" w:cs="宋体"/>
                <w:sz w:val="18"/>
                <w:szCs w:val="18"/>
              </w:rPr>
            </w:pPr>
            <w:r>
              <w:rPr>
                <w:rFonts w:hint="eastAsia" w:ascii="宋体" w:hAnsi="宋体" w:cs="宋体"/>
                <w:sz w:val="18"/>
                <w:szCs w:val="18"/>
              </w:rPr>
              <w:t>供应商不得在投标活动中提供任何虚假材料或从事其他违法活动的。</w:t>
            </w:r>
          </w:p>
        </w:tc>
        <w:tc>
          <w:tcPr>
            <w:tcW w:w="1119" w:type="dxa"/>
            <w:vAlign w:val="center"/>
          </w:tcPr>
          <w:p>
            <w:pPr>
              <w:spacing w:line="360" w:lineRule="auto"/>
              <w:rPr>
                <w:rFonts w:ascii="宋体" w:hAnsi="宋体" w:cs="宋体"/>
                <w:sz w:val="18"/>
                <w:szCs w:val="18"/>
              </w:rPr>
            </w:pPr>
            <w:r>
              <w:rPr>
                <w:rFonts w:hint="eastAsia" w:ascii="宋体" w:hAnsi="宋体" w:cs="宋体"/>
                <w:sz w:val="18"/>
                <w:szCs w:val="18"/>
              </w:rPr>
              <w:t xml:space="preserve">□通过 </w:t>
            </w:r>
          </w:p>
          <w:p>
            <w:pPr>
              <w:spacing w:line="360" w:lineRule="auto"/>
              <w:rPr>
                <w:rFonts w:ascii="宋体" w:hAnsi="宋体" w:cs="宋体"/>
                <w:sz w:val="18"/>
                <w:szCs w:val="18"/>
              </w:rPr>
            </w:pPr>
            <w:r>
              <w:rPr>
                <w:rFonts w:hint="eastAsia" w:ascii="宋体" w:hAnsi="宋体" w:cs="宋体"/>
                <w:sz w:val="18"/>
                <w:szCs w:val="18"/>
              </w:rPr>
              <w:t>□不通过</w:t>
            </w:r>
          </w:p>
        </w:tc>
        <w:tc>
          <w:tcPr>
            <w:tcW w:w="1101" w:type="dxa"/>
            <w:vAlign w:val="center"/>
          </w:tcPr>
          <w:p>
            <w:pPr>
              <w:spacing w:line="360" w:lineRule="auto"/>
              <w:rPr>
                <w:rFonts w:ascii="宋体" w:hAnsi="宋体" w:cs="宋体"/>
                <w:sz w:val="18"/>
                <w:szCs w:val="18"/>
              </w:rPr>
            </w:pPr>
            <w:r>
              <w:rPr>
                <w:rFonts w:hint="eastAsia" w:ascii="宋体" w:hAnsi="宋体" w:cs="宋体"/>
                <w:sz w:val="18"/>
                <w:szCs w:val="18"/>
              </w:rPr>
              <w:t>第（ ）页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vAlign w:val="center"/>
          </w:tcPr>
          <w:p>
            <w:pPr>
              <w:spacing w:line="360" w:lineRule="auto"/>
              <w:rPr>
                <w:rFonts w:ascii="宋体" w:hAnsi="宋体" w:cs="宋体"/>
                <w:sz w:val="18"/>
                <w:szCs w:val="18"/>
              </w:rPr>
            </w:pPr>
            <w:r>
              <w:rPr>
                <w:rFonts w:hint="eastAsia" w:ascii="宋体" w:hAnsi="宋体" w:cs="宋体"/>
                <w:sz w:val="18"/>
                <w:szCs w:val="18"/>
              </w:rPr>
              <w:t>9</w:t>
            </w:r>
          </w:p>
        </w:tc>
        <w:tc>
          <w:tcPr>
            <w:tcW w:w="1367" w:type="dxa"/>
            <w:vMerge w:val="continue"/>
            <w:vAlign w:val="center"/>
          </w:tcPr>
          <w:p>
            <w:pPr>
              <w:spacing w:line="360" w:lineRule="auto"/>
              <w:rPr>
                <w:rFonts w:ascii="宋体" w:hAnsi="宋体" w:cs="宋体"/>
                <w:sz w:val="18"/>
                <w:szCs w:val="18"/>
              </w:rPr>
            </w:pPr>
          </w:p>
        </w:tc>
        <w:tc>
          <w:tcPr>
            <w:tcW w:w="5478" w:type="dxa"/>
            <w:vAlign w:val="center"/>
          </w:tcPr>
          <w:p>
            <w:pPr>
              <w:widowControl/>
              <w:spacing w:line="360" w:lineRule="auto"/>
              <w:jc w:val="left"/>
              <w:rPr>
                <w:rFonts w:ascii="宋体" w:hAnsi="宋体" w:cs="宋体"/>
                <w:sz w:val="18"/>
                <w:szCs w:val="18"/>
              </w:rPr>
            </w:pPr>
            <w:r>
              <w:rPr>
                <w:rFonts w:hint="eastAsia" w:ascii="宋体" w:hAnsi="宋体" w:cs="宋体"/>
                <w:sz w:val="18"/>
                <w:szCs w:val="18"/>
              </w:rPr>
              <w:t>评标委员会经过审查，未存在供应商虚假应标、串通投标的</w:t>
            </w:r>
          </w:p>
          <w:p>
            <w:pPr>
              <w:widowControl/>
              <w:spacing w:line="360" w:lineRule="auto"/>
              <w:jc w:val="left"/>
              <w:rPr>
                <w:rFonts w:ascii="宋体" w:hAnsi="宋体" w:cs="宋体"/>
                <w:sz w:val="18"/>
                <w:szCs w:val="18"/>
              </w:rPr>
            </w:pPr>
            <w:r>
              <w:rPr>
                <w:rFonts w:hint="eastAsia" w:ascii="宋体" w:hAnsi="宋体" w:cs="宋体"/>
                <w:sz w:val="18"/>
                <w:szCs w:val="18"/>
              </w:rPr>
              <w:t>有下列情形之一的，视为供应商串通投标：</w:t>
            </w:r>
          </w:p>
          <w:p>
            <w:pPr>
              <w:widowControl/>
              <w:spacing w:line="360" w:lineRule="auto"/>
              <w:jc w:val="left"/>
              <w:rPr>
                <w:rFonts w:ascii="宋体" w:hAnsi="宋体" w:cs="宋体"/>
                <w:sz w:val="18"/>
                <w:szCs w:val="18"/>
              </w:rPr>
            </w:pPr>
            <w:r>
              <w:rPr>
                <w:rFonts w:hint="eastAsia" w:ascii="宋体" w:hAnsi="宋体" w:cs="宋体"/>
                <w:sz w:val="18"/>
                <w:szCs w:val="18"/>
              </w:rPr>
              <w:t>（1）不同供应商的投标文件由同一单位或者个人编制；</w:t>
            </w:r>
          </w:p>
          <w:p>
            <w:pPr>
              <w:widowControl/>
              <w:spacing w:line="360" w:lineRule="auto"/>
              <w:jc w:val="left"/>
              <w:rPr>
                <w:rFonts w:ascii="宋体" w:hAnsi="宋体" w:cs="宋体"/>
                <w:sz w:val="18"/>
                <w:szCs w:val="18"/>
              </w:rPr>
            </w:pPr>
            <w:r>
              <w:rPr>
                <w:rFonts w:hint="eastAsia" w:ascii="宋体" w:hAnsi="宋体" w:cs="宋体"/>
                <w:sz w:val="18"/>
                <w:szCs w:val="18"/>
              </w:rPr>
              <w:t>（2）不同供应商委托同一单位或者个人办理投标事宜；</w:t>
            </w:r>
          </w:p>
          <w:p>
            <w:pPr>
              <w:widowControl/>
              <w:spacing w:line="360" w:lineRule="auto"/>
              <w:jc w:val="left"/>
              <w:rPr>
                <w:rFonts w:ascii="宋体" w:hAnsi="宋体" w:cs="宋体"/>
                <w:sz w:val="18"/>
                <w:szCs w:val="18"/>
              </w:rPr>
            </w:pPr>
            <w:r>
              <w:rPr>
                <w:rFonts w:hint="eastAsia" w:ascii="宋体" w:hAnsi="宋体" w:cs="宋体"/>
                <w:sz w:val="18"/>
                <w:szCs w:val="18"/>
              </w:rPr>
              <w:t>（3）不同供应商的投标文件载明的项目管理成员或者联系人员为同一人；</w:t>
            </w:r>
          </w:p>
          <w:p>
            <w:pPr>
              <w:widowControl/>
              <w:spacing w:line="360" w:lineRule="auto"/>
              <w:jc w:val="left"/>
              <w:rPr>
                <w:rFonts w:ascii="宋体" w:hAnsi="宋体" w:cs="宋体"/>
                <w:sz w:val="18"/>
                <w:szCs w:val="18"/>
              </w:rPr>
            </w:pPr>
            <w:r>
              <w:rPr>
                <w:rFonts w:hint="eastAsia" w:ascii="宋体" w:hAnsi="宋体" w:cs="宋体"/>
                <w:sz w:val="18"/>
                <w:szCs w:val="18"/>
              </w:rPr>
              <w:t>（4）不同供应商的投标文件异常一致或者投标报价呈规律性差异；</w:t>
            </w:r>
          </w:p>
          <w:p>
            <w:pPr>
              <w:widowControl/>
              <w:spacing w:line="360" w:lineRule="auto"/>
              <w:jc w:val="left"/>
              <w:rPr>
                <w:rFonts w:ascii="宋体" w:hAnsi="宋体" w:cs="宋体"/>
                <w:sz w:val="18"/>
                <w:szCs w:val="18"/>
              </w:rPr>
            </w:pPr>
            <w:r>
              <w:rPr>
                <w:rFonts w:hint="eastAsia" w:ascii="宋体" w:hAnsi="宋体" w:cs="宋体"/>
                <w:sz w:val="18"/>
                <w:szCs w:val="18"/>
              </w:rPr>
              <w:t>（5）不同供应商的投标文件相互混装；</w:t>
            </w:r>
          </w:p>
        </w:tc>
        <w:tc>
          <w:tcPr>
            <w:tcW w:w="1119" w:type="dxa"/>
            <w:vAlign w:val="center"/>
          </w:tcPr>
          <w:p>
            <w:pPr>
              <w:spacing w:line="360" w:lineRule="auto"/>
              <w:rPr>
                <w:rFonts w:ascii="宋体" w:hAnsi="宋体" w:cs="宋体"/>
                <w:sz w:val="18"/>
                <w:szCs w:val="18"/>
              </w:rPr>
            </w:pPr>
            <w:r>
              <w:rPr>
                <w:rFonts w:hint="eastAsia" w:ascii="宋体" w:hAnsi="宋体" w:cs="宋体"/>
                <w:sz w:val="18"/>
                <w:szCs w:val="18"/>
              </w:rPr>
              <w:t xml:space="preserve">□通过 </w:t>
            </w:r>
          </w:p>
          <w:p>
            <w:pPr>
              <w:widowControl/>
              <w:spacing w:line="360" w:lineRule="auto"/>
              <w:jc w:val="left"/>
              <w:rPr>
                <w:rFonts w:ascii="宋体" w:hAnsi="宋体" w:cs="宋体"/>
                <w:sz w:val="18"/>
                <w:szCs w:val="18"/>
              </w:rPr>
            </w:pPr>
            <w:r>
              <w:rPr>
                <w:rFonts w:hint="eastAsia" w:ascii="宋体" w:hAnsi="宋体" w:cs="宋体"/>
                <w:sz w:val="18"/>
                <w:szCs w:val="18"/>
              </w:rPr>
              <w:t>□不通过</w:t>
            </w:r>
          </w:p>
        </w:tc>
        <w:tc>
          <w:tcPr>
            <w:tcW w:w="1101" w:type="dxa"/>
            <w:vAlign w:val="center"/>
          </w:tcPr>
          <w:p>
            <w:pPr>
              <w:widowControl/>
              <w:spacing w:line="360" w:lineRule="auto"/>
              <w:jc w:val="left"/>
              <w:rPr>
                <w:rFonts w:ascii="宋体" w:hAnsi="宋体" w:cs="宋体"/>
                <w:sz w:val="18"/>
                <w:szCs w:val="18"/>
              </w:rPr>
            </w:pPr>
            <w:r>
              <w:rPr>
                <w:rFonts w:hint="eastAsia" w:ascii="宋体" w:hAnsi="宋体" w:cs="宋体"/>
                <w:sz w:val="18"/>
                <w:szCs w:val="18"/>
              </w:rPr>
              <w:t>第（ ）页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vAlign w:val="center"/>
          </w:tcPr>
          <w:p>
            <w:pPr>
              <w:spacing w:line="360" w:lineRule="auto"/>
              <w:rPr>
                <w:rFonts w:ascii="宋体" w:hAnsi="宋体" w:cs="宋体"/>
                <w:sz w:val="18"/>
                <w:szCs w:val="18"/>
              </w:rPr>
            </w:pPr>
            <w:r>
              <w:rPr>
                <w:rFonts w:hint="eastAsia" w:ascii="宋体" w:hAnsi="宋体" w:cs="宋体"/>
                <w:sz w:val="18"/>
                <w:szCs w:val="18"/>
              </w:rPr>
              <w:t>10</w:t>
            </w:r>
          </w:p>
        </w:tc>
        <w:tc>
          <w:tcPr>
            <w:tcW w:w="1367" w:type="dxa"/>
            <w:vMerge w:val="continue"/>
            <w:vAlign w:val="center"/>
          </w:tcPr>
          <w:p>
            <w:pPr>
              <w:spacing w:line="360" w:lineRule="auto"/>
              <w:rPr>
                <w:rFonts w:ascii="宋体" w:hAnsi="宋体" w:cs="宋体"/>
                <w:sz w:val="18"/>
                <w:szCs w:val="18"/>
              </w:rPr>
            </w:pPr>
          </w:p>
        </w:tc>
        <w:tc>
          <w:tcPr>
            <w:tcW w:w="5478" w:type="dxa"/>
            <w:vAlign w:val="center"/>
          </w:tcPr>
          <w:p>
            <w:pPr>
              <w:widowControl/>
              <w:spacing w:line="360" w:lineRule="auto"/>
              <w:jc w:val="left"/>
              <w:rPr>
                <w:rFonts w:ascii="宋体" w:hAnsi="宋体" w:cs="宋体"/>
                <w:sz w:val="18"/>
                <w:szCs w:val="18"/>
              </w:rPr>
            </w:pPr>
            <w:r>
              <w:rPr>
                <w:rFonts w:hint="eastAsia" w:ascii="宋体" w:hAnsi="宋体" w:cs="宋体"/>
                <w:sz w:val="18"/>
                <w:szCs w:val="18"/>
              </w:rPr>
              <w:t>符合法律、法规和招标文件中规定的其他实质性要求（实质性要求招标文件中“▲”标记）。</w:t>
            </w:r>
          </w:p>
        </w:tc>
        <w:tc>
          <w:tcPr>
            <w:tcW w:w="1119" w:type="dxa"/>
            <w:vAlign w:val="center"/>
          </w:tcPr>
          <w:p>
            <w:pPr>
              <w:spacing w:line="360" w:lineRule="auto"/>
              <w:rPr>
                <w:rFonts w:ascii="宋体" w:hAnsi="宋体" w:cs="宋体"/>
                <w:sz w:val="18"/>
                <w:szCs w:val="18"/>
              </w:rPr>
            </w:pPr>
            <w:r>
              <w:rPr>
                <w:rFonts w:hint="eastAsia" w:ascii="宋体" w:hAnsi="宋体" w:cs="宋体"/>
                <w:sz w:val="18"/>
                <w:szCs w:val="18"/>
              </w:rPr>
              <w:t xml:space="preserve">□通过 </w:t>
            </w:r>
          </w:p>
          <w:p>
            <w:pPr>
              <w:widowControl/>
              <w:spacing w:line="360" w:lineRule="auto"/>
              <w:jc w:val="left"/>
              <w:rPr>
                <w:rFonts w:ascii="宋体" w:hAnsi="宋体" w:cs="宋体"/>
                <w:sz w:val="18"/>
                <w:szCs w:val="18"/>
              </w:rPr>
            </w:pPr>
            <w:r>
              <w:rPr>
                <w:rFonts w:hint="eastAsia" w:ascii="宋体" w:hAnsi="宋体" w:cs="宋体"/>
                <w:sz w:val="18"/>
                <w:szCs w:val="18"/>
              </w:rPr>
              <w:t>□不通过</w:t>
            </w:r>
          </w:p>
        </w:tc>
        <w:tc>
          <w:tcPr>
            <w:tcW w:w="1101" w:type="dxa"/>
            <w:vAlign w:val="center"/>
          </w:tcPr>
          <w:p>
            <w:pPr>
              <w:widowControl/>
              <w:spacing w:line="360" w:lineRule="auto"/>
              <w:jc w:val="left"/>
              <w:rPr>
                <w:rFonts w:ascii="宋体" w:hAnsi="宋体" w:cs="宋体"/>
                <w:sz w:val="18"/>
                <w:szCs w:val="18"/>
              </w:rPr>
            </w:pPr>
            <w:r>
              <w:rPr>
                <w:rFonts w:hint="eastAsia" w:ascii="宋体" w:hAnsi="宋体" w:cs="宋体"/>
                <w:sz w:val="18"/>
                <w:szCs w:val="18"/>
              </w:rPr>
              <w:t>第（ ）页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0" w:type="dxa"/>
            <w:vAlign w:val="center"/>
          </w:tcPr>
          <w:p>
            <w:pPr>
              <w:spacing w:line="360" w:lineRule="auto"/>
              <w:rPr>
                <w:rFonts w:ascii="宋体" w:hAnsi="宋体" w:cs="宋体"/>
                <w:sz w:val="18"/>
                <w:szCs w:val="18"/>
              </w:rPr>
            </w:pPr>
            <w:r>
              <w:rPr>
                <w:rFonts w:hint="eastAsia" w:ascii="宋体" w:hAnsi="宋体" w:cs="宋体"/>
                <w:sz w:val="18"/>
                <w:szCs w:val="18"/>
              </w:rPr>
              <w:t>11</w:t>
            </w:r>
          </w:p>
        </w:tc>
        <w:tc>
          <w:tcPr>
            <w:tcW w:w="1367" w:type="dxa"/>
            <w:vAlign w:val="center"/>
          </w:tcPr>
          <w:p>
            <w:pPr>
              <w:spacing w:line="360" w:lineRule="auto"/>
              <w:rPr>
                <w:rFonts w:ascii="宋体" w:hAnsi="宋体" w:cs="宋体"/>
                <w:sz w:val="18"/>
                <w:szCs w:val="18"/>
              </w:rPr>
            </w:pPr>
          </w:p>
        </w:tc>
        <w:tc>
          <w:tcPr>
            <w:tcW w:w="5478" w:type="dxa"/>
            <w:vAlign w:val="center"/>
          </w:tcPr>
          <w:p>
            <w:pPr>
              <w:widowControl/>
              <w:spacing w:line="360" w:lineRule="auto"/>
              <w:jc w:val="left"/>
              <w:rPr>
                <w:rFonts w:ascii="宋体" w:hAnsi="宋体" w:cs="宋体"/>
                <w:sz w:val="18"/>
                <w:szCs w:val="18"/>
              </w:rPr>
            </w:pPr>
            <w:r>
              <w:rPr>
                <w:rFonts w:hint="eastAsia" w:ascii="宋体" w:hAnsi="宋体" w:cs="宋体"/>
                <w:sz w:val="18"/>
                <w:szCs w:val="18"/>
              </w:rPr>
              <w:t>不同投标人的投标文件出自同一终端设备或在相同Internet主机分配地址（相同IP地址）网上报名投标的作无效标处理。</w:t>
            </w:r>
            <w:r>
              <w:rPr>
                <w:rFonts w:hint="eastAsia" w:ascii="宋体" w:hAnsi="宋体" w:cs="宋体"/>
                <w:b/>
                <w:bCs/>
                <w:sz w:val="18"/>
                <w:szCs w:val="18"/>
              </w:rPr>
              <w:t>（需提供承诺书，格式自拟）</w:t>
            </w:r>
          </w:p>
        </w:tc>
        <w:tc>
          <w:tcPr>
            <w:tcW w:w="1119" w:type="dxa"/>
            <w:vAlign w:val="center"/>
          </w:tcPr>
          <w:p>
            <w:pPr>
              <w:spacing w:line="360" w:lineRule="auto"/>
              <w:rPr>
                <w:rFonts w:ascii="宋体" w:hAnsi="宋体" w:cs="宋体"/>
                <w:sz w:val="18"/>
                <w:szCs w:val="18"/>
              </w:rPr>
            </w:pPr>
            <w:r>
              <w:rPr>
                <w:rFonts w:hint="eastAsia" w:ascii="宋体" w:hAnsi="宋体" w:cs="宋体"/>
                <w:sz w:val="18"/>
                <w:szCs w:val="18"/>
              </w:rPr>
              <w:t xml:space="preserve">□通过 </w:t>
            </w:r>
          </w:p>
          <w:p>
            <w:pPr>
              <w:widowControl/>
              <w:spacing w:line="360" w:lineRule="auto"/>
              <w:jc w:val="left"/>
              <w:rPr>
                <w:rFonts w:ascii="宋体" w:hAnsi="宋体" w:cs="宋体"/>
                <w:sz w:val="18"/>
                <w:szCs w:val="18"/>
              </w:rPr>
            </w:pPr>
            <w:r>
              <w:rPr>
                <w:rFonts w:hint="eastAsia" w:ascii="宋体" w:hAnsi="宋体" w:cs="宋体"/>
                <w:sz w:val="18"/>
                <w:szCs w:val="18"/>
              </w:rPr>
              <w:t>□不通过</w:t>
            </w:r>
          </w:p>
        </w:tc>
        <w:tc>
          <w:tcPr>
            <w:tcW w:w="1101" w:type="dxa"/>
            <w:vAlign w:val="center"/>
          </w:tcPr>
          <w:p>
            <w:pPr>
              <w:widowControl/>
              <w:spacing w:line="360" w:lineRule="auto"/>
              <w:jc w:val="left"/>
              <w:rPr>
                <w:rFonts w:ascii="宋体" w:hAnsi="宋体" w:cs="宋体"/>
                <w:sz w:val="18"/>
                <w:szCs w:val="18"/>
              </w:rPr>
            </w:pPr>
            <w:r>
              <w:rPr>
                <w:rFonts w:hint="eastAsia" w:ascii="宋体" w:hAnsi="宋体" w:cs="宋体"/>
                <w:sz w:val="18"/>
                <w:szCs w:val="18"/>
              </w:rPr>
              <w:t>第（ ）页</w:t>
            </w:r>
          </w:p>
        </w:tc>
      </w:tr>
    </w:tbl>
    <w:p>
      <w:pPr>
        <w:rPr>
          <w:rFonts w:ascii="宋体" w:hAnsi="宋体"/>
          <w:b/>
          <w:szCs w:val="21"/>
        </w:rPr>
      </w:pPr>
    </w:p>
    <w:p>
      <w:pPr>
        <w:spacing w:line="400" w:lineRule="atLeast"/>
        <w:jc w:val="left"/>
        <w:rPr>
          <w:rFonts w:ascii="宋体" w:hAnsi="宋体"/>
          <w:szCs w:val="21"/>
        </w:rPr>
      </w:pPr>
      <w:r>
        <w:rPr>
          <w:rFonts w:hint="eastAsia" w:ascii="宋体" w:hAnsi="宋体"/>
          <w:szCs w:val="21"/>
        </w:rPr>
        <w:t xml:space="preserve">法定代表人或授权代表（签字或盖章）： </w:t>
      </w:r>
    </w:p>
    <w:p>
      <w:pPr>
        <w:spacing w:line="400" w:lineRule="atLeast"/>
        <w:jc w:val="left"/>
        <w:rPr>
          <w:rFonts w:ascii="宋体" w:hAnsi="宋体"/>
          <w:szCs w:val="21"/>
        </w:rPr>
      </w:pPr>
      <w:r>
        <w:rPr>
          <w:rFonts w:hint="eastAsia" w:ascii="宋体" w:hAnsi="宋体"/>
          <w:szCs w:val="21"/>
        </w:rPr>
        <w:t>供应商名称（盖章）：</w:t>
      </w:r>
    </w:p>
    <w:p>
      <w:pPr>
        <w:spacing w:line="400" w:lineRule="atLeast"/>
        <w:jc w:val="left"/>
        <w:rPr>
          <w:rFonts w:ascii="宋体" w:hAnsi="宋体"/>
          <w:szCs w:val="21"/>
        </w:rPr>
      </w:pPr>
      <w:r>
        <w:rPr>
          <w:rFonts w:hint="eastAsia" w:ascii="宋体" w:hAnsi="宋体"/>
          <w:szCs w:val="21"/>
        </w:rPr>
        <w:t>日期：年 月 日</w:t>
      </w:r>
    </w:p>
    <w:p>
      <w:pPr>
        <w:pStyle w:val="7"/>
        <w:rPr>
          <w:rFonts w:ascii="宋体" w:hAnsi="宋体" w:cs="宋体"/>
          <w:b/>
          <w:bCs/>
          <w:szCs w:val="21"/>
        </w:rPr>
      </w:pPr>
    </w:p>
    <w:p>
      <w:pPr>
        <w:pStyle w:val="7"/>
        <w:rPr>
          <w:rFonts w:ascii="宋体" w:hAnsi="宋体" w:cs="宋体"/>
          <w:b/>
          <w:bCs/>
          <w:szCs w:val="21"/>
        </w:rPr>
      </w:pPr>
    </w:p>
    <w:p>
      <w:pPr>
        <w:pStyle w:val="26"/>
        <w:ind w:firstLine="422"/>
        <w:rPr>
          <w:b/>
          <w:bCs/>
        </w:rPr>
      </w:pPr>
      <w:r>
        <w:rPr>
          <w:rFonts w:hint="eastAsia"/>
          <w:b/>
          <w:bCs/>
        </w:rPr>
        <w:t>3.投标书</w:t>
      </w:r>
    </w:p>
    <w:p>
      <w:pPr>
        <w:pStyle w:val="26"/>
        <w:ind w:firstLine="420"/>
      </w:pPr>
    </w:p>
    <w:p>
      <w:pPr>
        <w:snapToGrid w:val="0"/>
        <w:spacing w:line="360" w:lineRule="auto"/>
        <w:jc w:val="center"/>
        <w:rPr>
          <w:rFonts w:ascii="宋体" w:hAnsi="宋体"/>
          <w:b/>
          <w:szCs w:val="21"/>
        </w:rPr>
      </w:pPr>
      <w:r>
        <w:rPr>
          <w:rFonts w:hint="eastAsia" w:ascii="宋体" w:hAnsi="宋体"/>
          <w:b/>
          <w:szCs w:val="21"/>
        </w:rPr>
        <w:t>投标书</w:t>
      </w:r>
    </w:p>
    <w:p>
      <w:pPr>
        <w:spacing w:line="360" w:lineRule="auto"/>
        <w:rPr>
          <w:rFonts w:ascii="宋体" w:hAnsi="宋体"/>
          <w:b/>
          <w:szCs w:val="21"/>
        </w:rPr>
      </w:pPr>
      <w:r>
        <w:rPr>
          <w:rFonts w:hint="eastAsia" w:ascii="宋体" w:hAnsi="宋体"/>
          <w:szCs w:val="21"/>
        </w:rPr>
        <w:t>致：</w:t>
      </w:r>
      <w:r>
        <w:rPr>
          <w:rFonts w:hint="eastAsia" w:ascii="宋体" w:hAnsi="宋体"/>
          <w:szCs w:val="21"/>
          <w:u w:val="single"/>
        </w:rPr>
        <w:t xml:space="preserve">（采购人  ） </w:t>
      </w:r>
    </w:p>
    <w:p>
      <w:pPr>
        <w:spacing w:line="360" w:lineRule="auto"/>
        <w:rPr>
          <w:rFonts w:ascii="宋体" w:hAnsi="宋体"/>
          <w:szCs w:val="21"/>
        </w:rPr>
      </w:pPr>
      <w:r>
        <w:rPr>
          <w:rFonts w:ascii="宋体" w:hAnsi="宋体"/>
          <w:szCs w:val="21"/>
          <w:u w:val="single"/>
        </w:rPr>
        <w:t>（</w:t>
      </w:r>
      <w:r>
        <w:rPr>
          <w:rFonts w:hint="eastAsia" w:ascii="宋体" w:hAnsi="宋体"/>
          <w:szCs w:val="21"/>
          <w:u w:val="single"/>
        </w:rPr>
        <w:t>供应商全称</w:t>
      </w:r>
      <w:r>
        <w:rPr>
          <w:rFonts w:ascii="宋体" w:hAnsi="宋体"/>
          <w:szCs w:val="21"/>
          <w:u w:val="single"/>
        </w:rPr>
        <w:t>）</w:t>
      </w:r>
      <w:r>
        <w:rPr>
          <w:rFonts w:hint="eastAsia" w:ascii="宋体" w:hAnsi="宋体"/>
          <w:szCs w:val="21"/>
          <w:u w:val="single"/>
        </w:rPr>
        <w:t>　</w:t>
      </w:r>
      <w:r>
        <w:rPr>
          <w:rFonts w:hint="eastAsia" w:ascii="宋体" w:hAnsi="宋体"/>
          <w:szCs w:val="21"/>
        </w:rPr>
        <w:t>授权</w:t>
      </w:r>
      <w:r>
        <w:rPr>
          <w:rFonts w:hint="eastAsia" w:ascii="宋体" w:hAnsi="宋体"/>
          <w:szCs w:val="21"/>
          <w:u w:val="single"/>
        </w:rPr>
        <w:t>（全名、职务）</w:t>
      </w:r>
      <w:r>
        <w:rPr>
          <w:rFonts w:hint="eastAsia" w:ascii="宋体" w:hAnsi="宋体"/>
          <w:szCs w:val="21"/>
        </w:rPr>
        <w:t>为全权代表，参加贵方组织的</w:t>
      </w:r>
      <w:r>
        <w:rPr>
          <w:rFonts w:hint="eastAsia" w:ascii="宋体" w:hAnsi="宋体"/>
          <w:szCs w:val="21"/>
          <w:u w:val="single"/>
        </w:rPr>
        <w:t>（项目名称）</w:t>
      </w:r>
      <w:r>
        <w:rPr>
          <w:rFonts w:hint="eastAsia" w:ascii="宋体" w:hAnsi="宋体"/>
          <w:szCs w:val="21"/>
        </w:rPr>
        <w:t>（项目编号：</w:t>
      </w:r>
      <w:r>
        <w:rPr>
          <w:rFonts w:hint="eastAsia" w:ascii="宋体" w:hAnsi="宋体"/>
          <w:szCs w:val="21"/>
          <w:u w:val="single"/>
        </w:rPr>
        <w:t>（项目编号）</w:t>
      </w:r>
      <w:r>
        <w:rPr>
          <w:rFonts w:hint="eastAsia" w:ascii="宋体" w:hAnsi="宋体"/>
          <w:szCs w:val="21"/>
        </w:rPr>
        <w:t>），标项</w:t>
      </w:r>
      <w:r>
        <w:rPr>
          <w:rFonts w:hint="eastAsia" w:ascii="宋体" w:hAnsi="宋体"/>
          <w:szCs w:val="21"/>
          <w:u w:val="single"/>
        </w:rPr>
        <w:t>（标项号）</w:t>
      </w:r>
      <w:r>
        <w:rPr>
          <w:rFonts w:hint="eastAsia" w:ascii="宋体" w:hAnsi="宋体"/>
          <w:szCs w:val="21"/>
        </w:rPr>
        <w:t>招标活动并投标，为便于贵方公正、择优地确定中标供应商及其投标产品和服务，我方就本次投标有关事项郑重声明如下：</w:t>
      </w:r>
    </w:p>
    <w:p>
      <w:pPr>
        <w:snapToGri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、我方向贵方提交的所有投标文件、资料都是准确的和真实的。如有虚假或隐瞒，我方愿意承担一切后果，并不再寻求任何旨在减轻或免除法律责任的辩解。</w:t>
      </w:r>
    </w:p>
    <w:p>
      <w:pPr>
        <w:snapToGrid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、我方不是为本项目提供整体设计、规范编制或者项目管理、监理、检测等服务的供应商。</w:t>
      </w:r>
    </w:p>
    <w:p>
      <w:pPr>
        <w:spacing w:line="360" w:lineRule="auto"/>
        <w:ind w:firstLine="420" w:firstLineChars="200"/>
        <w:jc w:val="left"/>
        <w:rPr>
          <w:rFonts w:ascii="宋体" w:hAnsi="宋体"/>
          <w:szCs w:val="21"/>
        </w:rPr>
      </w:pPr>
      <w:r>
        <w:rPr>
          <w:rFonts w:hint="eastAsia" w:ascii="宋体" w:hAnsi="宋体"/>
          <w:szCs w:val="21"/>
        </w:rPr>
        <w:t>3、我们已详细审查全部招标文件及有关的澄清/修改文件(若有)，我们完全理解并同意放弃对这方面提出任何异议的权利。</w:t>
      </w:r>
    </w:p>
    <w:p>
      <w:pPr>
        <w:spacing w:line="360" w:lineRule="auto"/>
        <w:ind w:firstLine="420" w:firstLineChars="200"/>
        <w:jc w:val="left"/>
        <w:rPr>
          <w:rFonts w:ascii="宋体" w:hAnsi="宋体"/>
          <w:szCs w:val="21"/>
        </w:rPr>
      </w:pPr>
      <w:r>
        <w:rPr>
          <w:rFonts w:hint="eastAsia" w:ascii="宋体" w:hAnsi="宋体"/>
          <w:szCs w:val="21"/>
        </w:rPr>
        <w:t>4、保证遵守招标文件有关条款规定。</w:t>
      </w:r>
    </w:p>
    <w:p>
      <w:pPr>
        <w:spacing w:line="360" w:lineRule="auto"/>
        <w:ind w:firstLine="420" w:firstLineChars="200"/>
        <w:jc w:val="left"/>
        <w:rPr>
          <w:rFonts w:ascii="宋体" w:hAnsi="宋体"/>
          <w:szCs w:val="21"/>
        </w:rPr>
      </w:pPr>
      <w:r>
        <w:rPr>
          <w:rFonts w:hint="eastAsia" w:ascii="宋体" w:hAnsi="宋体"/>
          <w:szCs w:val="21"/>
        </w:rPr>
        <w:t>5、本项目的投标报价详见“开标一览表”。</w:t>
      </w:r>
    </w:p>
    <w:p>
      <w:pPr>
        <w:spacing w:line="360" w:lineRule="auto"/>
        <w:ind w:firstLine="420" w:firstLineChars="200"/>
        <w:jc w:val="left"/>
        <w:rPr>
          <w:rFonts w:ascii="宋体" w:hAnsi="宋体"/>
          <w:szCs w:val="21"/>
        </w:rPr>
      </w:pPr>
      <w:r>
        <w:rPr>
          <w:rFonts w:hint="eastAsia" w:ascii="宋体" w:hAnsi="宋体"/>
          <w:szCs w:val="21"/>
        </w:rPr>
        <w:t>6、投标文件有效期为自开标之日起</w:t>
      </w:r>
      <w:r>
        <w:rPr>
          <w:rFonts w:hint="eastAsia" w:ascii="宋体" w:hAnsi="宋体"/>
          <w:szCs w:val="21"/>
          <w:u w:val="single"/>
        </w:rPr>
        <w:t xml:space="preserve"> 90 </w:t>
      </w:r>
      <w:r>
        <w:rPr>
          <w:rFonts w:hint="eastAsia" w:ascii="宋体" w:hAnsi="宋体"/>
          <w:szCs w:val="21"/>
        </w:rPr>
        <w:t>个日历日。</w:t>
      </w:r>
    </w:p>
    <w:p>
      <w:pPr>
        <w:spacing w:line="360" w:lineRule="auto"/>
        <w:ind w:firstLine="420" w:firstLineChars="200"/>
        <w:jc w:val="left"/>
        <w:rPr>
          <w:rFonts w:ascii="宋体" w:hAnsi="宋体"/>
          <w:szCs w:val="21"/>
        </w:rPr>
      </w:pPr>
      <w:r>
        <w:rPr>
          <w:rFonts w:hint="eastAsia" w:ascii="宋体" w:hAnsi="宋体"/>
          <w:szCs w:val="21"/>
        </w:rPr>
        <w:t>7、保证在中标后忠实地执行与采购人所签署的合同，并承担合同规定的责任义务。</w:t>
      </w:r>
    </w:p>
    <w:p>
      <w:pPr>
        <w:spacing w:line="360" w:lineRule="auto"/>
        <w:ind w:firstLine="420" w:firstLineChars="200"/>
        <w:jc w:val="left"/>
        <w:rPr>
          <w:rFonts w:ascii="宋体" w:hAnsi="宋体"/>
          <w:szCs w:val="21"/>
        </w:rPr>
      </w:pPr>
      <w:r>
        <w:rPr>
          <w:rFonts w:hint="eastAsia" w:ascii="宋体" w:hAnsi="宋体"/>
          <w:szCs w:val="21"/>
        </w:rPr>
        <w:t>8、完全同意招标文件中有关招标代理服务费的条款，保证在中标后按照招标文件规定的金额、时间和方式，向贵方一次性交纳招标代理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spacing w:line="360" w:lineRule="auto"/>
        <w:ind w:firstLine="420" w:firstLineChars="200"/>
        <w:jc w:val="left"/>
        <w:rPr>
          <w:rFonts w:ascii="宋体" w:hAnsi="宋体"/>
          <w:szCs w:val="21"/>
        </w:rPr>
      </w:pPr>
      <w:r>
        <w:rPr>
          <w:rFonts w:hint="eastAsia" w:ascii="宋体" w:hAnsi="宋体"/>
          <w:szCs w:val="21"/>
        </w:rPr>
        <w:t>9、与本投标有关的一切正式来往通讯请寄：</w:t>
      </w:r>
    </w:p>
    <w:p>
      <w:pPr>
        <w:spacing w:line="360" w:lineRule="auto"/>
        <w:ind w:firstLine="420" w:firstLineChars="200"/>
        <w:jc w:val="left"/>
        <w:rPr>
          <w:rFonts w:ascii="宋体" w:hAnsi="宋体"/>
          <w:szCs w:val="21"/>
        </w:rPr>
      </w:pPr>
      <w:r>
        <w:rPr>
          <w:rFonts w:hint="eastAsia" w:ascii="宋体" w:hAnsi="宋体"/>
          <w:szCs w:val="21"/>
        </w:rPr>
        <w:t>地址：      邮编：</w:t>
      </w:r>
    </w:p>
    <w:p>
      <w:pPr>
        <w:spacing w:line="360" w:lineRule="auto"/>
        <w:ind w:firstLine="420" w:firstLineChars="200"/>
        <w:jc w:val="left"/>
        <w:rPr>
          <w:rFonts w:ascii="宋体" w:hAnsi="宋体"/>
          <w:szCs w:val="21"/>
        </w:rPr>
      </w:pPr>
      <w:r>
        <w:rPr>
          <w:rFonts w:hint="eastAsia" w:ascii="宋体" w:hAnsi="宋体"/>
          <w:szCs w:val="21"/>
        </w:rPr>
        <w:t>电话：      传真：</w:t>
      </w:r>
    </w:p>
    <w:p>
      <w:pPr>
        <w:spacing w:line="360" w:lineRule="auto"/>
        <w:ind w:left="540" w:firstLine="30"/>
        <w:jc w:val="left"/>
        <w:rPr>
          <w:rFonts w:ascii="宋体" w:hAnsi="宋体"/>
          <w:szCs w:val="21"/>
        </w:rPr>
      </w:pPr>
    </w:p>
    <w:p>
      <w:pPr>
        <w:spacing w:line="400" w:lineRule="atLeast"/>
        <w:jc w:val="left"/>
        <w:rPr>
          <w:rFonts w:ascii="宋体" w:hAnsi="宋体"/>
          <w:szCs w:val="21"/>
        </w:rPr>
      </w:pPr>
      <w:r>
        <w:rPr>
          <w:rFonts w:hint="eastAsia" w:ascii="宋体" w:hAnsi="宋体"/>
          <w:szCs w:val="21"/>
        </w:rPr>
        <w:t xml:space="preserve">法定代表人或授权代表（签字或盖章）： </w:t>
      </w:r>
    </w:p>
    <w:p>
      <w:pPr>
        <w:spacing w:line="400" w:lineRule="atLeast"/>
        <w:jc w:val="left"/>
        <w:rPr>
          <w:rFonts w:ascii="宋体" w:hAnsi="宋体"/>
          <w:szCs w:val="21"/>
        </w:rPr>
      </w:pPr>
      <w:r>
        <w:rPr>
          <w:rFonts w:hint="eastAsia" w:ascii="宋体" w:hAnsi="宋体"/>
          <w:szCs w:val="21"/>
        </w:rPr>
        <w:t>供应商名称（盖章）：</w:t>
      </w:r>
    </w:p>
    <w:p>
      <w:pPr>
        <w:spacing w:line="400" w:lineRule="atLeast"/>
        <w:jc w:val="left"/>
        <w:rPr>
          <w:rFonts w:ascii="宋体" w:hAnsi="宋体"/>
          <w:szCs w:val="21"/>
        </w:rPr>
      </w:pPr>
      <w:r>
        <w:rPr>
          <w:rFonts w:hint="eastAsia" w:ascii="宋体" w:hAnsi="宋体"/>
          <w:szCs w:val="21"/>
        </w:rPr>
        <w:t>日期：年 月 日</w:t>
      </w:r>
    </w:p>
    <w:p>
      <w:pPr>
        <w:rPr>
          <w:rFonts w:ascii="宋体" w:hAnsi="宋体"/>
          <w:b/>
          <w:szCs w:val="21"/>
        </w:rPr>
      </w:pPr>
    </w:p>
    <w:p>
      <w:pPr>
        <w:pStyle w:val="26"/>
        <w:ind w:firstLine="422"/>
        <w:rPr>
          <w:b/>
          <w:bCs/>
        </w:rPr>
      </w:pPr>
    </w:p>
    <w:p>
      <w:pPr>
        <w:pStyle w:val="26"/>
        <w:ind w:firstLine="422"/>
        <w:rPr>
          <w:b/>
          <w:bCs/>
        </w:rPr>
      </w:pPr>
      <w:r>
        <w:rPr>
          <w:rFonts w:hint="eastAsia"/>
          <w:b/>
          <w:bCs/>
        </w:rPr>
        <w:t>4.合法有效的营业执照副本（或事业法人登记证副本或其他登记证明材料）原件扫描件或者电子营业执照加盖供应商公章（复印件盖单位公章）</w:t>
      </w:r>
    </w:p>
    <w:p>
      <w:pPr>
        <w:pStyle w:val="26"/>
        <w:ind w:firstLine="422"/>
        <w:rPr>
          <w:b/>
          <w:bCs/>
        </w:rPr>
      </w:pPr>
    </w:p>
    <w:p>
      <w:pPr>
        <w:pStyle w:val="26"/>
        <w:ind w:firstLine="422"/>
        <w:rPr>
          <w:b/>
          <w:bCs/>
        </w:rPr>
      </w:pPr>
    </w:p>
    <w:p>
      <w:pPr>
        <w:pStyle w:val="26"/>
        <w:ind w:firstLine="422"/>
        <w:rPr>
          <w:b/>
          <w:bCs/>
        </w:rPr>
      </w:pPr>
      <w:r>
        <w:rPr>
          <w:rFonts w:hint="eastAsia"/>
          <w:b/>
          <w:bCs/>
        </w:rPr>
        <w:t>5.股东成员说明书（供应商须提供股东成员说明书（格式自拟），加盖供应商公章；或从“国家企业信用信息公示系统”、“宁波市企业信用网”等相关网站里打印有股东成员名称的相关页面，加盖供应商公章）</w:t>
      </w:r>
    </w:p>
    <w:p>
      <w:pPr>
        <w:rPr>
          <w:rFonts w:ascii="宋体" w:hAnsi="宋体"/>
          <w:b/>
          <w:szCs w:val="21"/>
        </w:rPr>
      </w:pPr>
    </w:p>
    <w:p>
      <w:pPr>
        <w:pStyle w:val="26"/>
        <w:ind w:firstLine="422"/>
        <w:rPr>
          <w:b/>
          <w:bCs/>
        </w:rPr>
      </w:pPr>
    </w:p>
    <w:p>
      <w:pPr>
        <w:pStyle w:val="26"/>
        <w:ind w:firstLine="422"/>
        <w:rPr>
          <w:b/>
          <w:bCs/>
        </w:rPr>
      </w:pPr>
      <w:r>
        <w:rPr>
          <w:rFonts w:hint="eastAsia"/>
          <w:b/>
          <w:bCs/>
        </w:rPr>
        <w:t>6.授权委托书（投标文件由授权代表签字的须提供）、法定代表人身份证明</w:t>
      </w:r>
    </w:p>
    <w:p>
      <w:pPr>
        <w:rPr>
          <w:rFonts w:ascii="宋体" w:hAnsi="宋体"/>
          <w:b/>
          <w:szCs w:val="21"/>
        </w:rPr>
      </w:pPr>
    </w:p>
    <w:p>
      <w:pPr>
        <w:snapToGrid w:val="0"/>
        <w:spacing w:line="360" w:lineRule="auto"/>
        <w:ind w:firstLine="1885" w:firstLineChars="894"/>
        <w:rPr>
          <w:rFonts w:ascii="宋体" w:hAnsi="宋体" w:cs="宋体"/>
          <w:szCs w:val="21"/>
        </w:rPr>
      </w:pPr>
      <w:r>
        <w:rPr>
          <w:rFonts w:hint="eastAsia" w:ascii="宋体" w:hAnsi="宋体" w:cs="宋体"/>
          <w:b/>
          <w:kern w:val="0"/>
          <w:szCs w:val="21"/>
          <w:lang w:val="zh-CN"/>
        </w:rPr>
        <w:t>授权委托书（适用于非联合体投标）</w:t>
      </w:r>
      <w:r>
        <w:rPr>
          <w:rFonts w:hint="eastAsia" w:ascii="宋体" w:hAnsi="宋体" w:cs="宋体"/>
          <w:szCs w:val="21"/>
        </w:rPr>
        <w:t xml:space="preserve">                               </w:t>
      </w:r>
    </w:p>
    <w:p>
      <w:pPr>
        <w:snapToGrid w:val="0"/>
        <w:spacing w:line="360" w:lineRule="auto"/>
        <w:rPr>
          <w:rFonts w:ascii="宋体" w:hAnsi="宋体" w:cs="宋体"/>
          <w:kern w:val="0"/>
          <w:szCs w:val="21"/>
        </w:rPr>
      </w:pPr>
      <w:r>
        <w:rPr>
          <w:rFonts w:hint="eastAsia" w:ascii="宋体" w:hAnsi="宋体" w:cs="宋体"/>
          <w:szCs w:val="21"/>
        </w:rPr>
        <w:t>（采购人）、（采购代理机构）</w:t>
      </w:r>
      <w:r>
        <w:rPr>
          <w:rFonts w:hint="eastAsia" w:ascii="宋体" w:hAnsi="宋体" w:cs="宋体"/>
          <w:kern w:val="0"/>
          <w:szCs w:val="21"/>
          <w:lang w:val="zh-CN"/>
        </w:rPr>
        <w:t>：</w:t>
      </w:r>
    </w:p>
    <w:p>
      <w:pPr>
        <w:snapToGrid w:val="0"/>
        <w:spacing w:line="360" w:lineRule="auto"/>
        <w:ind w:firstLine="576"/>
        <w:rPr>
          <w:rFonts w:ascii="宋体" w:hAnsi="宋体" w:cs="宋体"/>
          <w:kern w:val="0"/>
          <w:szCs w:val="21"/>
        </w:rPr>
      </w:pPr>
      <w:r>
        <w:rPr>
          <w:rFonts w:hint="eastAsia" w:ascii="宋体" w:hAnsi="宋体" w:cs="宋体"/>
          <w:kern w:val="0"/>
          <w:szCs w:val="21"/>
        </w:rPr>
        <w:t>现</w:t>
      </w:r>
      <w:r>
        <w:rPr>
          <w:rFonts w:hint="eastAsia" w:ascii="宋体" w:hAnsi="宋体" w:cs="宋体"/>
          <w:kern w:val="0"/>
          <w:szCs w:val="21"/>
          <w:lang w:val="zh-CN"/>
        </w:rPr>
        <w:t>委托</w:t>
      </w:r>
      <w:r>
        <w:rPr>
          <w:rFonts w:hint="eastAsia" w:ascii="宋体" w:hAnsi="宋体" w:cs="宋体"/>
          <w:kern w:val="0"/>
          <w:szCs w:val="21"/>
          <w:u w:val="single"/>
          <w:lang w:val="zh-CN"/>
        </w:rPr>
        <w:t xml:space="preserve">          </w:t>
      </w:r>
      <w:r>
        <w:rPr>
          <w:rFonts w:hint="eastAsia" w:ascii="宋体" w:hAnsi="宋体" w:cs="宋体"/>
          <w:kern w:val="0"/>
          <w:szCs w:val="21"/>
          <w:lang w:val="zh-CN"/>
        </w:rPr>
        <w:t>（姓名）为我方代理人（身份证号码：</w:t>
      </w:r>
      <w:r>
        <w:rPr>
          <w:rFonts w:hint="eastAsia" w:ascii="宋体" w:hAnsi="宋体" w:cs="宋体"/>
          <w:kern w:val="0"/>
          <w:szCs w:val="21"/>
          <w:u w:val="single"/>
          <w:lang w:val="zh-CN"/>
        </w:rPr>
        <w:t xml:space="preserve">          </w:t>
      </w:r>
      <w:r>
        <w:rPr>
          <w:rFonts w:hint="eastAsia" w:ascii="宋体" w:hAnsi="宋体" w:cs="宋体"/>
          <w:kern w:val="0"/>
          <w:szCs w:val="21"/>
          <w:lang w:val="zh-CN"/>
        </w:rPr>
        <w:t>，手机：</w:t>
      </w:r>
      <w:r>
        <w:rPr>
          <w:rFonts w:hint="eastAsia" w:ascii="宋体" w:hAnsi="宋体" w:cs="宋体"/>
          <w:kern w:val="0"/>
          <w:szCs w:val="21"/>
          <w:u w:val="single"/>
          <w:lang w:val="zh-CN"/>
        </w:rPr>
        <w:t xml:space="preserve">          </w:t>
      </w:r>
      <w:r>
        <w:rPr>
          <w:rFonts w:hint="eastAsia" w:ascii="宋体" w:hAnsi="宋体" w:cs="宋体"/>
          <w:kern w:val="0"/>
          <w:szCs w:val="21"/>
          <w:lang w:val="zh-CN"/>
        </w:rPr>
        <w:t>），以我方名义处理</w:t>
      </w:r>
      <w:r>
        <w:rPr>
          <w:rFonts w:hint="eastAsia" w:ascii="宋体" w:hAnsi="宋体" w:cs="宋体"/>
          <w:szCs w:val="21"/>
          <w:u w:val="single"/>
        </w:rPr>
        <w:t>（项目名称）</w:t>
      </w:r>
      <w:r>
        <w:rPr>
          <w:rFonts w:hint="eastAsia" w:ascii="宋体" w:hAnsi="宋体" w:cs="宋体"/>
          <w:szCs w:val="21"/>
        </w:rPr>
        <w:t>【招标编号：</w:t>
      </w:r>
      <w:r>
        <w:rPr>
          <w:rFonts w:hint="eastAsia" w:ascii="宋体" w:hAnsi="宋体" w:cs="宋体"/>
          <w:szCs w:val="21"/>
          <w:u w:val="single"/>
        </w:rPr>
        <w:t>（采购编号）</w:t>
      </w:r>
      <w:r>
        <w:rPr>
          <w:rFonts w:hint="eastAsia" w:ascii="宋体" w:hAnsi="宋体" w:cs="宋体"/>
          <w:szCs w:val="21"/>
        </w:rPr>
        <w:t>】,标项</w:t>
      </w:r>
      <w:r>
        <w:rPr>
          <w:rFonts w:hint="eastAsia" w:ascii="宋体" w:hAnsi="宋体" w:cs="宋体"/>
          <w:szCs w:val="21"/>
          <w:u w:val="single"/>
        </w:rPr>
        <w:t xml:space="preserve">  （标项号） </w:t>
      </w:r>
      <w:r>
        <w:rPr>
          <w:rFonts w:hint="eastAsia" w:ascii="宋体" w:hAnsi="宋体" w:cs="宋体"/>
          <w:kern w:val="0"/>
          <w:szCs w:val="21"/>
          <w:lang w:val="zh-CN"/>
        </w:rPr>
        <w:t>政府采购投标的一切事项，其法律后果由我方承担。</w:t>
      </w:r>
    </w:p>
    <w:p>
      <w:pPr>
        <w:snapToGrid w:val="0"/>
        <w:spacing w:line="360" w:lineRule="auto"/>
        <w:rPr>
          <w:rFonts w:ascii="宋体" w:hAnsi="宋体" w:cs="宋体"/>
          <w:kern w:val="0"/>
          <w:szCs w:val="21"/>
        </w:rPr>
      </w:pPr>
      <w:r>
        <w:rPr>
          <w:rFonts w:hint="eastAsia" w:ascii="宋体" w:hAnsi="宋体" w:cs="宋体"/>
          <w:kern w:val="0"/>
          <w:szCs w:val="21"/>
        </w:rPr>
        <w:t xml:space="preserve">    </w:t>
      </w:r>
      <w:r>
        <w:rPr>
          <w:rFonts w:hint="eastAsia" w:ascii="宋体" w:hAnsi="宋体" w:cs="宋体"/>
          <w:kern w:val="0"/>
          <w:szCs w:val="21"/>
          <w:lang w:val="zh-CN"/>
        </w:rPr>
        <w:t>委托期限</w:t>
      </w:r>
      <w:r>
        <w:rPr>
          <w:rFonts w:hint="eastAsia" w:ascii="宋体" w:hAnsi="宋体" w:cs="宋体"/>
          <w:kern w:val="0"/>
          <w:szCs w:val="21"/>
        </w:rPr>
        <w:t>：</w:t>
      </w:r>
      <w:r>
        <w:rPr>
          <w:rFonts w:hint="eastAsia" w:ascii="宋体" w:hAnsi="宋体" w:cs="宋体"/>
          <w:kern w:val="0"/>
          <w:szCs w:val="21"/>
          <w:lang w:val="zh-CN"/>
        </w:rPr>
        <w:t>自</w:t>
      </w:r>
      <w:r>
        <w:rPr>
          <w:rFonts w:hint="eastAsia" w:ascii="宋体" w:hAnsi="宋体" w:cs="宋体"/>
          <w:kern w:val="0"/>
          <w:szCs w:val="21"/>
          <w:u w:val="single"/>
        </w:rPr>
        <w:t xml:space="preserve">    </w:t>
      </w:r>
      <w:r>
        <w:rPr>
          <w:rFonts w:hint="eastAsia" w:ascii="宋体" w:hAnsi="宋体" w:cs="宋体"/>
          <w:kern w:val="0"/>
          <w:szCs w:val="21"/>
          <w:lang w:val="zh-CN"/>
        </w:rPr>
        <w:t>年</w:t>
      </w:r>
      <w:r>
        <w:rPr>
          <w:rFonts w:hint="eastAsia" w:ascii="宋体" w:hAnsi="宋体" w:cs="宋体"/>
          <w:kern w:val="0"/>
          <w:szCs w:val="21"/>
          <w:u w:val="single"/>
        </w:rPr>
        <w:t xml:space="preserve">    </w:t>
      </w:r>
      <w:r>
        <w:rPr>
          <w:rFonts w:hint="eastAsia" w:ascii="宋体" w:hAnsi="宋体" w:cs="宋体"/>
          <w:kern w:val="0"/>
          <w:szCs w:val="21"/>
          <w:lang w:val="zh-CN"/>
        </w:rPr>
        <w:t>月</w:t>
      </w:r>
      <w:r>
        <w:rPr>
          <w:rFonts w:hint="eastAsia" w:ascii="宋体" w:hAnsi="宋体" w:cs="宋体"/>
          <w:kern w:val="0"/>
          <w:szCs w:val="21"/>
          <w:u w:val="single"/>
        </w:rPr>
        <w:t xml:space="preserve">    </w:t>
      </w:r>
      <w:r>
        <w:rPr>
          <w:rFonts w:hint="eastAsia" w:ascii="宋体" w:hAnsi="宋体" w:cs="宋体"/>
          <w:kern w:val="0"/>
          <w:szCs w:val="21"/>
          <w:lang w:val="zh-CN"/>
        </w:rPr>
        <w:t>日起至</w:t>
      </w:r>
      <w:r>
        <w:rPr>
          <w:rFonts w:hint="eastAsia" w:ascii="宋体" w:hAnsi="宋体" w:cs="宋体"/>
          <w:kern w:val="0"/>
          <w:szCs w:val="21"/>
          <w:u w:val="single"/>
        </w:rPr>
        <w:t xml:space="preserve">    </w:t>
      </w:r>
      <w:r>
        <w:rPr>
          <w:rFonts w:hint="eastAsia" w:ascii="宋体" w:hAnsi="宋体" w:cs="宋体"/>
          <w:kern w:val="0"/>
          <w:szCs w:val="21"/>
          <w:lang w:val="zh-CN"/>
        </w:rPr>
        <w:t>年</w:t>
      </w:r>
      <w:r>
        <w:rPr>
          <w:rFonts w:hint="eastAsia" w:ascii="宋体" w:hAnsi="宋体" w:cs="宋体"/>
          <w:kern w:val="0"/>
          <w:szCs w:val="21"/>
          <w:u w:val="single"/>
        </w:rPr>
        <w:t xml:space="preserve">    </w:t>
      </w:r>
      <w:r>
        <w:rPr>
          <w:rFonts w:hint="eastAsia" w:ascii="宋体" w:hAnsi="宋体" w:cs="宋体"/>
          <w:kern w:val="0"/>
          <w:szCs w:val="21"/>
          <w:lang w:val="zh-CN"/>
        </w:rPr>
        <w:t>月</w:t>
      </w:r>
      <w:r>
        <w:rPr>
          <w:rFonts w:hint="eastAsia" w:ascii="宋体" w:hAnsi="宋体" w:cs="宋体"/>
          <w:kern w:val="0"/>
          <w:szCs w:val="21"/>
          <w:u w:val="single"/>
        </w:rPr>
        <w:t xml:space="preserve">    </w:t>
      </w:r>
      <w:r>
        <w:rPr>
          <w:rFonts w:hint="eastAsia" w:ascii="宋体" w:hAnsi="宋体" w:cs="宋体"/>
          <w:kern w:val="0"/>
          <w:szCs w:val="21"/>
          <w:lang w:val="zh-CN"/>
        </w:rPr>
        <w:t>日止。</w:t>
      </w:r>
    </w:p>
    <w:p>
      <w:pPr>
        <w:snapToGrid w:val="0"/>
        <w:spacing w:line="360" w:lineRule="auto"/>
        <w:rPr>
          <w:rFonts w:ascii="宋体" w:hAnsi="宋体" w:cs="宋体"/>
          <w:kern w:val="0"/>
          <w:szCs w:val="21"/>
        </w:rPr>
      </w:pPr>
      <w:r>
        <w:rPr>
          <w:rFonts w:hint="eastAsia" w:ascii="宋体" w:hAnsi="宋体" w:cs="宋体"/>
          <w:kern w:val="0"/>
          <w:szCs w:val="21"/>
        </w:rPr>
        <w:t xml:space="preserve">    </w:t>
      </w:r>
      <w:r>
        <w:rPr>
          <w:rFonts w:hint="eastAsia" w:ascii="宋体" w:hAnsi="宋体" w:cs="宋体"/>
          <w:kern w:val="0"/>
          <w:szCs w:val="21"/>
          <w:lang w:val="zh-CN"/>
        </w:rPr>
        <w:t>特此告知。</w:t>
      </w:r>
    </w:p>
    <w:p>
      <w:pPr>
        <w:snapToGrid w:val="0"/>
        <w:spacing w:line="360" w:lineRule="auto"/>
        <w:rPr>
          <w:rFonts w:ascii="宋体" w:hAnsi="宋体" w:cs="宋体"/>
          <w:kern w:val="0"/>
          <w:szCs w:val="21"/>
        </w:rPr>
      </w:pPr>
      <w:r>
        <w:rPr>
          <w:rFonts w:hint="eastAsia" w:ascii="宋体" w:hAnsi="宋体" w:cs="宋体"/>
          <w:kern w:val="0"/>
          <w:szCs w:val="21"/>
          <w:lang w:val="zh-CN"/>
        </w:rPr>
        <w:t xml:space="preserve">                                                 投标人名称(电子签名)：</w:t>
      </w:r>
    </w:p>
    <w:p>
      <w:pPr>
        <w:snapToGrid w:val="0"/>
        <w:spacing w:line="360" w:lineRule="auto"/>
        <w:rPr>
          <w:rFonts w:ascii="宋体" w:hAnsi="宋体" w:cs="宋体"/>
          <w:szCs w:val="21"/>
        </w:rPr>
      </w:pPr>
      <w:r>
        <w:rPr>
          <w:rFonts w:hint="eastAsia" w:ascii="宋体" w:hAnsi="宋体" w:cs="宋体"/>
          <w:kern w:val="0"/>
          <w:szCs w:val="21"/>
          <w:lang w:val="zh-CN"/>
        </w:rPr>
        <w:t xml:space="preserve">                                                 签发日期：</w:t>
      </w:r>
      <w:r>
        <w:rPr>
          <w:rFonts w:hint="eastAsia" w:ascii="宋体" w:hAnsi="宋体" w:cs="宋体"/>
          <w:kern w:val="0"/>
          <w:szCs w:val="21"/>
          <w:u w:val="single"/>
          <w:lang w:val="zh-CN"/>
        </w:rPr>
        <w:t xml:space="preserve"> </w:t>
      </w:r>
      <w:r>
        <w:rPr>
          <w:rFonts w:hint="eastAsia" w:ascii="宋体" w:hAnsi="宋体" w:cs="宋体"/>
          <w:kern w:val="0"/>
          <w:szCs w:val="21"/>
          <w:u w:val="single"/>
        </w:rPr>
        <w:t xml:space="preserve"> </w:t>
      </w:r>
      <w:r>
        <w:rPr>
          <w:rFonts w:hint="eastAsia" w:ascii="宋体" w:hAnsi="宋体" w:cs="宋体"/>
          <w:kern w:val="0"/>
          <w:szCs w:val="21"/>
          <w:u w:val="single"/>
          <w:lang w:val="zh-CN"/>
        </w:rPr>
        <w:t xml:space="preserve">  </w:t>
      </w:r>
      <w:r>
        <w:rPr>
          <w:rFonts w:hint="eastAsia" w:ascii="宋体" w:hAnsi="宋体" w:cs="宋体"/>
          <w:kern w:val="0"/>
          <w:szCs w:val="21"/>
          <w:lang w:val="zh-CN"/>
        </w:rPr>
        <w:t>年</w:t>
      </w:r>
      <w:r>
        <w:rPr>
          <w:rFonts w:hint="eastAsia" w:ascii="宋体" w:hAnsi="宋体" w:cs="宋体"/>
          <w:kern w:val="0"/>
          <w:szCs w:val="21"/>
          <w:u w:val="single"/>
          <w:lang w:val="zh-CN"/>
        </w:rPr>
        <w:t xml:space="preserve">   </w:t>
      </w:r>
      <w:r>
        <w:rPr>
          <w:rFonts w:hint="eastAsia" w:ascii="宋体" w:hAnsi="宋体" w:cs="宋体"/>
          <w:kern w:val="0"/>
          <w:szCs w:val="21"/>
          <w:lang w:val="zh-CN"/>
        </w:rPr>
        <w:t>月</w:t>
      </w:r>
      <w:r>
        <w:rPr>
          <w:rFonts w:hint="eastAsia" w:ascii="宋体" w:hAnsi="宋体" w:cs="宋体"/>
          <w:kern w:val="0"/>
          <w:szCs w:val="21"/>
          <w:u w:val="single"/>
          <w:lang w:val="zh-CN"/>
        </w:rPr>
        <w:t xml:space="preserve">   </w:t>
      </w:r>
      <w:r>
        <w:rPr>
          <w:rFonts w:hint="eastAsia" w:ascii="宋体" w:hAnsi="宋体" w:cs="宋体"/>
          <w:kern w:val="0"/>
          <w:szCs w:val="21"/>
          <w:lang w:val="zh-CN"/>
        </w:rPr>
        <w:t>日</w:t>
      </w:r>
    </w:p>
    <w:p>
      <w:pPr>
        <w:pStyle w:val="24"/>
        <w:ind w:firstLine="480"/>
      </w:pPr>
    </w:p>
    <w:p>
      <w:pPr>
        <w:pStyle w:val="24"/>
        <w:ind w:firstLine="480"/>
      </w:pPr>
    </w:p>
    <w:p>
      <w:pPr>
        <w:autoSpaceDE w:val="0"/>
        <w:autoSpaceDN w:val="0"/>
        <w:spacing w:line="360" w:lineRule="auto"/>
        <w:jc w:val="center"/>
        <w:rPr>
          <w:rFonts w:ascii="仿宋" w:hAnsi="仿宋" w:eastAsia="仿宋" w:cs="仿宋"/>
          <w:b/>
          <w:szCs w:val="21"/>
        </w:rPr>
      </w:pPr>
      <w:r>
        <w:rPr>
          <w:rFonts w:hint="eastAsia" w:ascii="仿宋" w:hAnsi="仿宋" w:eastAsia="仿宋" w:cs="仿宋"/>
          <w:b/>
          <w:kern w:val="0"/>
          <w:szCs w:val="21"/>
          <w:lang w:val="zh-CN"/>
        </w:rPr>
        <w:t>法定代表人、单位负责人或自然人本人</w:t>
      </w:r>
      <w:r>
        <w:rPr>
          <w:rFonts w:hint="eastAsia" w:ascii="仿宋" w:hAnsi="仿宋" w:eastAsia="仿宋" w:cs="仿宋"/>
          <w:b/>
          <w:szCs w:val="21"/>
        </w:rPr>
        <w:t>的身份证明</w:t>
      </w:r>
    </w:p>
    <w:p>
      <w:pPr>
        <w:pStyle w:val="34"/>
        <w:spacing w:line="360" w:lineRule="auto"/>
        <w:rPr>
          <w:rFonts w:ascii="仿宋" w:hAnsi="仿宋" w:eastAsia="仿宋" w:cs="仿宋"/>
          <w:bCs/>
          <w:sz w:val="24"/>
        </w:rPr>
      </w:pPr>
      <w:r>
        <w:rPr>
          <w:rFonts w:hint="eastAsia" w:ascii="仿宋" w:hAnsi="仿宋" w:eastAsia="仿宋" w:cs="仿宋"/>
          <w:bCs/>
          <w:sz w:val="24"/>
        </w:rPr>
        <w:t>身份证件扫描件：</w:t>
      </w:r>
    </w:p>
    <w:tbl>
      <w:tblPr>
        <w:tblStyle w:val="19"/>
        <w:tblW w:w="8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8" w:hRule="atLeast"/>
          <w:jc w:val="center"/>
        </w:trPr>
        <w:tc>
          <w:tcPr>
            <w:tcW w:w="8300" w:type="dxa"/>
          </w:tcPr>
          <w:p>
            <w:pPr>
              <w:pStyle w:val="34"/>
              <w:adjustRightInd w:val="0"/>
              <w:spacing w:line="360" w:lineRule="auto"/>
              <w:rPr>
                <w:rFonts w:ascii="仿宋" w:hAnsi="仿宋" w:eastAsia="仿宋" w:cs="仿宋"/>
                <w:bCs/>
                <w:sz w:val="24"/>
              </w:rPr>
            </w:pPr>
            <w:r>
              <w:rPr>
                <w:rFonts w:hint="eastAsia" w:ascii="仿宋" w:hAnsi="仿宋" w:eastAsia="仿宋" w:cs="仿宋"/>
                <w:bCs/>
                <w:sz w:val="24"/>
              </w:rPr>
              <w:t>正面：                                 反面：</w:t>
            </w:r>
          </w:p>
          <w:p>
            <w:pPr>
              <w:pStyle w:val="34"/>
              <w:adjustRightInd w:val="0"/>
              <w:spacing w:line="360" w:lineRule="auto"/>
              <w:rPr>
                <w:rFonts w:ascii="仿宋" w:hAnsi="仿宋" w:eastAsia="仿宋" w:cs="仿宋"/>
                <w:bCs/>
                <w:sz w:val="24"/>
              </w:rPr>
            </w:pPr>
          </w:p>
        </w:tc>
      </w:tr>
    </w:tbl>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w:t>
      </w:r>
    </w:p>
    <w:p>
      <w:pPr>
        <w:adjustRightInd w:val="0"/>
        <w:snapToGrid w:val="0"/>
        <w:spacing w:line="360" w:lineRule="auto"/>
        <w:ind w:firstLine="4080" w:firstLineChars="1700"/>
        <w:rPr>
          <w:rFonts w:ascii="仿宋" w:hAnsi="仿宋" w:eastAsia="仿宋" w:cs="仿宋"/>
          <w:kern w:val="0"/>
          <w:sz w:val="24"/>
          <w:lang w:val="zh-CN"/>
        </w:rPr>
      </w:pPr>
      <w:r>
        <w:rPr>
          <w:rFonts w:hint="eastAsia" w:ascii="仿宋" w:hAnsi="仿宋" w:eastAsia="仿宋" w:cs="仿宋"/>
          <w:kern w:val="0"/>
          <w:sz w:val="24"/>
          <w:lang w:val="zh-CN"/>
        </w:rPr>
        <w:t xml:space="preserve">    投标人（盖章）：</w:t>
      </w:r>
    </w:p>
    <w:p>
      <w:pPr>
        <w:rPr>
          <w:rFonts w:ascii="宋体" w:hAnsi="宋体"/>
          <w:b/>
          <w:sz w:val="24"/>
          <w:szCs w:val="21"/>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  年  月  日</w:t>
      </w:r>
    </w:p>
    <w:p>
      <w:pPr>
        <w:rPr>
          <w:rFonts w:ascii="宋体" w:hAnsi="宋体"/>
          <w:b/>
          <w:sz w:val="24"/>
          <w:szCs w:val="21"/>
        </w:rPr>
      </w:pPr>
    </w:p>
    <w:p>
      <w:pPr>
        <w:pStyle w:val="26"/>
        <w:ind w:firstLine="0" w:firstLineChars="0"/>
        <w:rPr>
          <w:b/>
          <w:bCs/>
        </w:rPr>
      </w:pPr>
      <w:r>
        <w:rPr>
          <w:rFonts w:hint="eastAsia"/>
          <w:b/>
          <w:bCs/>
        </w:rPr>
        <w:t>7.“本单位不存在与其他投标人的投标文件出自同一终端设备或在相同Internet主机分配地址（相同IP地址）网上报名投标的承诺”的承诺书（格式自拟）；</w:t>
      </w:r>
    </w:p>
    <w:p>
      <w:pPr>
        <w:rPr>
          <w:rFonts w:ascii="宋体" w:hAnsi="宋体"/>
          <w:b/>
          <w:sz w:val="24"/>
          <w:szCs w:val="21"/>
        </w:rPr>
      </w:pPr>
    </w:p>
    <w:p>
      <w:pPr>
        <w:pStyle w:val="26"/>
        <w:ind w:firstLine="0" w:firstLineChars="0"/>
        <w:rPr>
          <w:rFonts w:hAnsi="宋体"/>
          <w:b/>
          <w:sz w:val="24"/>
          <w:szCs w:val="21"/>
        </w:rPr>
      </w:pPr>
      <w:r>
        <w:rPr>
          <w:rFonts w:hint="eastAsia"/>
          <w:b/>
          <w:bCs/>
        </w:rPr>
        <w:t>8.技术条款响应表</w:t>
      </w:r>
    </w:p>
    <w:p>
      <w:pPr>
        <w:spacing w:line="360" w:lineRule="auto"/>
        <w:jc w:val="center"/>
        <w:rPr>
          <w:rFonts w:ascii="宋体" w:hAnsi="宋体"/>
          <w:b/>
          <w:sz w:val="24"/>
          <w:szCs w:val="21"/>
        </w:rPr>
      </w:pPr>
      <w:r>
        <w:rPr>
          <w:rFonts w:hint="eastAsia" w:ascii="宋体" w:hAnsi="宋体"/>
          <w:b/>
          <w:sz w:val="24"/>
          <w:szCs w:val="21"/>
        </w:rPr>
        <w:t>技术条款响应表</w:t>
      </w:r>
    </w:p>
    <w:p>
      <w:pPr>
        <w:snapToGrid w:val="0"/>
        <w:spacing w:line="360" w:lineRule="auto"/>
        <w:ind w:firstLine="210" w:firstLineChars="100"/>
        <w:rPr>
          <w:rFonts w:ascii="宋体" w:hAnsi="宋体" w:cs="宋体"/>
          <w:szCs w:val="21"/>
        </w:rPr>
      </w:pPr>
      <w:r>
        <w:rPr>
          <w:rFonts w:hint="eastAsia" w:ascii="宋体" w:hAnsi="宋体" w:cs="宋体"/>
          <w:szCs w:val="21"/>
        </w:rPr>
        <w:t>项目名称：</w:t>
      </w:r>
    </w:p>
    <w:p>
      <w:pPr>
        <w:spacing w:line="360" w:lineRule="auto"/>
        <w:ind w:firstLine="210" w:firstLineChars="100"/>
        <w:rPr>
          <w:rFonts w:ascii="宋体" w:hAnsi="宋体" w:cs="宋体"/>
          <w:szCs w:val="21"/>
        </w:rPr>
      </w:pPr>
      <w:r>
        <w:rPr>
          <w:rFonts w:hint="eastAsia" w:ascii="宋体" w:hAnsi="宋体" w:cs="宋体"/>
          <w:szCs w:val="21"/>
        </w:rPr>
        <w:t xml:space="preserve">项目编号：     </w:t>
      </w:r>
    </w:p>
    <w:p>
      <w:pPr>
        <w:spacing w:line="360" w:lineRule="auto"/>
        <w:ind w:firstLine="210" w:firstLineChars="100"/>
      </w:pPr>
      <w:r>
        <w:rPr>
          <w:rFonts w:hint="eastAsia" w:ascii="宋体" w:hAnsi="宋体" w:cs="宋体"/>
          <w:szCs w:val="21"/>
        </w:rPr>
        <w:t>标项号：</w:t>
      </w:r>
    </w:p>
    <w:tbl>
      <w:tblPr>
        <w:tblStyle w:val="19"/>
        <w:tblW w:w="854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410"/>
        <w:gridCol w:w="2268"/>
        <w:gridCol w:w="1488"/>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134" w:type="dxa"/>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序号</w:t>
            </w:r>
          </w:p>
        </w:tc>
        <w:tc>
          <w:tcPr>
            <w:tcW w:w="2410" w:type="dxa"/>
            <w:vAlign w:val="center"/>
          </w:tcPr>
          <w:p>
            <w:pPr>
              <w:snapToGrid w:val="0"/>
              <w:spacing w:line="320" w:lineRule="exact"/>
              <w:jc w:val="center"/>
              <w:rPr>
                <w:rFonts w:ascii="宋体" w:hAnsi="宋体"/>
                <w:szCs w:val="21"/>
              </w:rPr>
            </w:pPr>
            <w:r>
              <w:rPr>
                <w:rFonts w:hint="eastAsia" w:ascii="宋体" w:hAnsi="宋体"/>
                <w:szCs w:val="21"/>
              </w:rPr>
              <w:t>招标文件要求</w:t>
            </w:r>
          </w:p>
        </w:tc>
        <w:tc>
          <w:tcPr>
            <w:tcW w:w="2268" w:type="dxa"/>
            <w:vAlign w:val="center"/>
          </w:tcPr>
          <w:p>
            <w:pPr>
              <w:adjustRightInd w:val="0"/>
              <w:snapToGrid w:val="0"/>
              <w:spacing w:line="320" w:lineRule="exact"/>
              <w:jc w:val="center"/>
              <w:rPr>
                <w:rFonts w:ascii="宋体" w:hAnsi="宋体"/>
                <w:szCs w:val="21"/>
              </w:rPr>
            </w:pPr>
            <w:r>
              <w:rPr>
                <w:rFonts w:hint="eastAsia" w:ascii="宋体" w:hAnsi="宋体"/>
                <w:szCs w:val="21"/>
              </w:rPr>
              <w:t>投标响应</w:t>
            </w:r>
          </w:p>
        </w:tc>
        <w:tc>
          <w:tcPr>
            <w:tcW w:w="1488" w:type="dxa"/>
            <w:vAlign w:val="center"/>
          </w:tcPr>
          <w:p>
            <w:pPr>
              <w:adjustRightInd w:val="0"/>
              <w:snapToGrid w:val="0"/>
              <w:spacing w:line="320" w:lineRule="exact"/>
              <w:jc w:val="center"/>
              <w:rPr>
                <w:rFonts w:ascii="宋体" w:hAnsi="宋体"/>
                <w:szCs w:val="21"/>
              </w:rPr>
            </w:pPr>
            <w:r>
              <w:rPr>
                <w:rFonts w:hint="eastAsia" w:ascii="宋体" w:hAnsi="宋体"/>
                <w:szCs w:val="21"/>
              </w:rPr>
              <w:t>正偏离/负偏离/无偏离</w:t>
            </w:r>
          </w:p>
        </w:tc>
        <w:tc>
          <w:tcPr>
            <w:tcW w:w="1248" w:type="dxa"/>
            <w:vAlign w:val="center"/>
          </w:tcPr>
          <w:p>
            <w:pPr>
              <w:adjustRightInd w:val="0"/>
              <w:snapToGrid w:val="0"/>
              <w:spacing w:line="320" w:lineRule="exact"/>
              <w:jc w:val="center"/>
              <w:rPr>
                <w:rFonts w:ascii="宋体" w:hAnsi="宋体"/>
                <w:szCs w:val="21"/>
              </w:rPr>
            </w:pPr>
            <w:r>
              <w:rPr>
                <w:rFonts w:hint="eastAsia" w:ascii="宋体" w:hAnsi="宋体"/>
                <w:szCs w:val="21"/>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34" w:type="dxa"/>
            <w:vAlign w:val="center"/>
          </w:tcPr>
          <w:p>
            <w:pPr>
              <w:autoSpaceDE w:val="0"/>
              <w:autoSpaceDN w:val="0"/>
              <w:adjustRightInd w:val="0"/>
              <w:spacing w:line="320" w:lineRule="exact"/>
              <w:jc w:val="center"/>
              <w:rPr>
                <w:rFonts w:ascii="宋体" w:hAnsi="宋体"/>
                <w:szCs w:val="21"/>
              </w:rPr>
            </w:pPr>
            <w:r>
              <w:rPr>
                <w:rFonts w:hint="eastAsia" w:ascii="宋体" w:hAnsi="宋体"/>
                <w:szCs w:val="21"/>
              </w:rPr>
              <w:t>1</w:t>
            </w:r>
          </w:p>
        </w:tc>
        <w:tc>
          <w:tcPr>
            <w:tcW w:w="2410" w:type="dxa"/>
            <w:vAlign w:val="center"/>
          </w:tcPr>
          <w:p>
            <w:pPr>
              <w:spacing w:line="280" w:lineRule="exact"/>
              <w:rPr>
                <w:sz w:val="20"/>
              </w:rPr>
            </w:pPr>
          </w:p>
        </w:tc>
        <w:tc>
          <w:tcPr>
            <w:tcW w:w="2268" w:type="dxa"/>
            <w:vAlign w:val="center"/>
          </w:tcPr>
          <w:p>
            <w:pPr>
              <w:snapToGrid w:val="0"/>
              <w:spacing w:line="320" w:lineRule="exact"/>
              <w:rPr>
                <w:rFonts w:ascii="宋体" w:hAnsi="宋体"/>
                <w:szCs w:val="21"/>
              </w:rPr>
            </w:pPr>
          </w:p>
        </w:tc>
        <w:tc>
          <w:tcPr>
            <w:tcW w:w="1488" w:type="dxa"/>
            <w:vAlign w:val="center"/>
          </w:tcPr>
          <w:p>
            <w:pPr>
              <w:snapToGrid w:val="0"/>
              <w:spacing w:line="320" w:lineRule="exact"/>
              <w:rPr>
                <w:rFonts w:ascii="宋体" w:hAnsi="宋体"/>
                <w:szCs w:val="21"/>
              </w:rPr>
            </w:pPr>
          </w:p>
        </w:tc>
        <w:tc>
          <w:tcPr>
            <w:tcW w:w="1248" w:type="dxa"/>
            <w:vAlign w:val="center"/>
          </w:tcPr>
          <w:p>
            <w:pPr>
              <w:snapToGrid w:val="0"/>
              <w:spacing w:line="32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34" w:type="dxa"/>
            <w:vAlign w:val="center"/>
          </w:tcPr>
          <w:p>
            <w:pPr>
              <w:snapToGrid w:val="0"/>
              <w:spacing w:line="440" w:lineRule="exact"/>
              <w:jc w:val="center"/>
              <w:rPr>
                <w:rFonts w:ascii="宋体" w:hAnsi="宋体"/>
                <w:szCs w:val="21"/>
              </w:rPr>
            </w:pPr>
            <w:r>
              <w:rPr>
                <w:rFonts w:hint="eastAsia" w:ascii="宋体" w:hAnsi="宋体"/>
                <w:szCs w:val="21"/>
              </w:rPr>
              <w:t>2</w:t>
            </w:r>
          </w:p>
        </w:tc>
        <w:tc>
          <w:tcPr>
            <w:tcW w:w="2410" w:type="dxa"/>
            <w:vAlign w:val="center"/>
          </w:tcPr>
          <w:p>
            <w:pPr>
              <w:snapToGrid w:val="0"/>
              <w:spacing w:line="280" w:lineRule="exact"/>
              <w:rPr>
                <w:sz w:val="20"/>
              </w:rPr>
            </w:pPr>
          </w:p>
        </w:tc>
        <w:tc>
          <w:tcPr>
            <w:tcW w:w="2268" w:type="dxa"/>
            <w:vAlign w:val="center"/>
          </w:tcPr>
          <w:p>
            <w:pPr>
              <w:snapToGrid w:val="0"/>
              <w:spacing w:line="320" w:lineRule="exact"/>
              <w:rPr>
                <w:rFonts w:ascii="宋体" w:hAnsi="宋体"/>
                <w:szCs w:val="21"/>
              </w:rPr>
            </w:pPr>
          </w:p>
        </w:tc>
        <w:tc>
          <w:tcPr>
            <w:tcW w:w="1488" w:type="dxa"/>
            <w:vAlign w:val="center"/>
          </w:tcPr>
          <w:p>
            <w:pPr>
              <w:spacing w:line="320" w:lineRule="exact"/>
              <w:rPr>
                <w:rFonts w:ascii="宋体" w:hAnsi="宋体"/>
                <w:szCs w:val="21"/>
              </w:rPr>
            </w:pPr>
          </w:p>
        </w:tc>
        <w:tc>
          <w:tcPr>
            <w:tcW w:w="1248" w:type="dxa"/>
            <w:vAlign w:val="center"/>
          </w:tcPr>
          <w:p>
            <w:pPr>
              <w:spacing w:line="32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34" w:type="dxa"/>
            <w:vAlign w:val="center"/>
          </w:tcPr>
          <w:p>
            <w:pPr>
              <w:snapToGrid w:val="0"/>
              <w:spacing w:line="440" w:lineRule="exact"/>
              <w:jc w:val="center"/>
              <w:rPr>
                <w:rFonts w:ascii="宋体" w:hAnsi="宋体"/>
                <w:szCs w:val="21"/>
              </w:rPr>
            </w:pPr>
            <w:r>
              <w:rPr>
                <w:rFonts w:hint="eastAsia" w:ascii="宋体" w:hAnsi="宋体"/>
                <w:szCs w:val="21"/>
              </w:rPr>
              <w:t>3</w:t>
            </w:r>
          </w:p>
        </w:tc>
        <w:tc>
          <w:tcPr>
            <w:tcW w:w="2410" w:type="dxa"/>
            <w:vAlign w:val="center"/>
          </w:tcPr>
          <w:p>
            <w:pPr>
              <w:snapToGrid w:val="0"/>
              <w:spacing w:line="280" w:lineRule="exact"/>
              <w:rPr>
                <w:sz w:val="20"/>
              </w:rPr>
            </w:pPr>
          </w:p>
        </w:tc>
        <w:tc>
          <w:tcPr>
            <w:tcW w:w="2268" w:type="dxa"/>
            <w:vAlign w:val="center"/>
          </w:tcPr>
          <w:p>
            <w:pPr>
              <w:snapToGrid w:val="0"/>
              <w:spacing w:line="320" w:lineRule="exact"/>
              <w:rPr>
                <w:rFonts w:ascii="宋体" w:hAnsi="宋体"/>
                <w:szCs w:val="21"/>
              </w:rPr>
            </w:pPr>
          </w:p>
        </w:tc>
        <w:tc>
          <w:tcPr>
            <w:tcW w:w="1488" w:type="dxa"/>
            <w:vAlign w:val="center"/>
          </w:tcPr>
          <w:p>
            <w:pPr>
              <w:spacing w:line="320" w:lineRule="exact"/>
              <w:rPr>
                <w:rFonts w:ascii="宋体" w:hAnsi="宋体"/>
                <w:szCs w:val="21"/>
              </w:rPr>
            </w:pPr>
          </w:p>
        </w:tc>
        <w:tc>
          <w:tcPr>
            <w:tcW w:w="1248" w:type="dxa"/>
            <w:vAlign w:val="center"/>
          </w:tcPr>
          <w:p>
            <w:pPr>
              <w:spacing w:line="32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134" w:type="dxa"/>
            <w:vAlign w:val="center"/>
          </w:tcPr>
          <w:p>
            <w:pPr>
              <w:snapToGrid w:val="0"/>
              <w:spacing w:line="440" w:lineRule="exact"/>
              <w:jc w:val="center"/>
              <w:rPr>
                <w:rFonts w:ascii="宋体" w:hAnsi="宋体"/>
                <w:szCs w:val="21"/>
              </w:rPr>
            </w:pPr>
            <w:r>
              <w:rPr>
                <w:rFonts w:hint="eastAsia" w:ascii="宋体" w:hAnsi="宋体"/>
                <w:szCs w:val="21"/>
              </w:rPr>
              <w:t>4</w:t>
            </w:r>
          </w:p>
        </w:tc>
        <w:tc>
          <w:tcPr>
            <w:tcW w:w="2410" w:type="dxa"/>
            <w:vAlign w:val="center"/>
          </w:tcPr>
          <w:p>
            <w:pPr>
              <w:snapToGrid w:val="0"/>
              <w:spacing w:line="440" w:lineRule="exact"/>
              <w:rPr>
                <w:rFonts w:ascii="宋体" w:hAnsi="宋体"/>
                <w:szCs w:val="21"/>
              </w:rPr>
            </w:pPr>
            <w:r>
              <w:rPr>
                <w:rFonts w:hint="eastAsia" w:ascii="宋体" w:hAnsi="宋体"/>
                <w:szCs w:val="21"/>
              </w:rPr>
              <w:t>....</w:t>
            </w:r>
          </w:p>
        </w:tc>
        <w:tc>
          <w:tcPr>
            <w:tcW w:w="2268" w:type="dxa"/>
            <w:vAlign w:val="center"/>
          </w:tcPr>
          <w:p>
            <w:pPr>
              <w:snapToGrid w:val="0"/>
              <w:spacing w:line="320" w:lineRule="exact"/>
              <w:rPr>
                <w:rFonts w:ascii="宋体" w:hAnsi="宋体"/>
                <w:szCs w:val="21"/>
              </w:rPr>
            </w:pPr>
          </w:p>
        </w:tc>
        <w:tc>
          <w:tcPr>
            <w:tcW w:w="1488" w:type="dxa"/>
            <w:vAlign w:val="center"/>
          </w:tcPr>
          <w:p>
            <w:pPr>
              <w:spacing w:line="320" w:lineRule="exact"/>
              <w:rPr>
                <w:rFonts w:ascii="宋体" w:hAnsi="宋体"/>
                <w:szCs w:val="21"/>
              </w:rPr>
            </w:pPr>
          </w:p>
        </w:tc>
        <w:tc>
          <w:tcPr>
            <w:tcW w:w="1248" w:type="dxa"/>
            <w:vAlign w:val="center"/>
          </w:tcPr>
          <w:p>
            <w:pPr>
              <w:spacing w:line="32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134" w:type="dxa"/>
            <w:vAlign w:val="center"/>
          </w:tcPr>
          <w:p>
            <w:pPr>
              <w:snapToGrid w:val="0"/>
              <w:spacing w:line="440" w:lineRule="exact"/>
              <w:jc w:val="center"/>
              <w:rPr>
                <w:rFonts w:ascii="宋体" w:hAnsi="宋体"/>
                <w:szCs w:val="21"/>
              </w:rPr>
            </w:pPr>
            <w:r>
              <w:rPr>
                <w:rFonts w:hint="eastAsia" w:ascii="宋体" w:hAnsi="宋体"/>
                <w:szCs w:val="21"/>
              </w:rPr>
              <w:t>...</w:t>
            </w:r>
          </w:p>
        </w:tc>
        <w:tc>
          <w:tcPr>
            <w:tcW w:w="2410" w:type="dxa"/>
            <w:vAlign w:val="center"/>
          </w:tcPr>
          <w:p>
            <w:pPr>
              <w:snapToGrid w:val="0"/>
              <w:spacing w:line="440" w:lineRule="exact"/>
              <w:rPr>
                <w:rFonts w:ascii="宋体" w:hAnsi="宋体"/>
                <w:szCs w:val="21"/>
              </w:rPr>
            </w:pPr>
            <w:r>
              <w:rPr>
                <w:rFonts w:hint="eastAsia" w:ascii="宋体" w:hAnsi="宋体"/>
                <w:szCs w:val="21"/>
              </w:rPr>
              <w:t>....</w:t>
            </w:r>
          </w:p>
        </w:tc>
        <w:tc>
          <w:tcPr>
            <w:tcW w:w="2268" w:type="dxa"/>
            <w:vAlign w:val="center"/>
          </w:tcPr>
          <w:p>
            <w:pPr>
              <w:snapToGrid w:val="0"/>
              <w:spacing w:line="320" w:lineRule="exact"/>
              <w:rPr>
                <w:rFonts w:ascii="宋体" w:hAnsi="宋体"/>
                <w:szCs w:val="21"/>
              </w:rPr>
            </w:pPr>
          </w:p>
        </w:tc>
        <w:tc>
          <w:tcPr>
            <w:tcW w:w="1488" w:type="dxa"/>
            <w:vAlign w:val="center"/>
          </w:tcPr>
          <w:p>
            <w:pPr>
              <w:spacing w:line="320" w:lineRule="exact"/>
              <w:rPr>
                <w:rFonts w:ascii="宋体" w:hAnsi="宋体"/>
                <w:szCs w:val="21"/>
              </w:rPr>
            </w:pPr>
          </w:p>
        </w:tc>
        <w:tc>
          <w:tcPr>
            <w:tcW w:w="1248" w:type="dxa"/>
            <w:vAlign w:val="center"/>
          </w:tcPr>
          <w:p>
            <w:pPr>
              <w:spacing w:line="320" w:lineRule="exact"/>
              <w:rPr>
                <w:rFonts w:ascii="宋体" w:hAnsi="宋体"/>
                <w:szCs w:val="21"/>
              </w:rPr>
            </w:pPr>
          </w:p>
        </w:tc>
      </w:tr>
    </w:tbl>
    <w:p>
      <w:pPr>
        <w:spacing w:line="360" w:lineRule="auto"/>
        <w:rPr>
          <w:rFonts w:ascii="宋体" w:hAnsi="宋体" w:cs="宋体"/>
          <w:kern w:val="0"/>
          <w:szCs w:val="21"/>
        </w:rPr>
      </w:pPr>
      <w:r>
        <w:rPr>
          <w:rFonts w:hint="eastAsia" w:ascii="宋体" w:hAnsi="宋体" w:cs="宋体"/>
          <w:kern w:val="0"/>
          <w:szCs w:val="21"/>
        </w:rPr>
        <w:t>投标人保证：除技术条款响应表列出的偏离外，投标人响应招标文件的全部技术要求。</w:t>
      </w:r>
    </w:p>
    <w:p>
      <w:pPr>
        <w:snapToGrid w:val="0"/>
        <w:spacing w:before="50" w:after="120" w:afterLines="50" w:line="360" w:lineRule="auto"/>
        <w:jc w:val="left"/>
        <w:rPr>
          <w:lang w:val="zh-CN"/>
        </w:rPr>
      </w:pPr>
      <w:r>
        <w:rPr>
          <w:rFonts w:hint="eastAsia" w:ascii="宋体" w:hAnsi="宋体"/>
          <w:szCs w:val="21"/>
        </w:rPr>
        <w:t>注：1、</w:t>
      </w:r>
      <w:r>
        <w:rPr>
          <w:rFonts w:hint="eastAsia" w:ascii="宋体" w:hAnsi="宋体"/>
          <w:lang w:val="zh-CN"/>
        </w:rPr>
        <w:t>投标人根据本招标文件</w:t>
      </w:r>
      <w:r>
        <w:rPr>
          <w:rFonts w:hint="eastAsia" w:ascii="宋体" w:hAnsi="宋体"/>
          <w:b/>
          <w:lang w:val="zh-CN"/>
        </w:rPr>
        <w:t xml:space="preserve"> 第二章</w:t>
      </w:r>
      <w:r>
        <w:rPr>
          <w:rFonts w:hint="eastAsia" w:ascii="宋体" w:hAnsi="宋体"/>
          <w:b/>
        </w:rPr>
        <w:t>招标需求</w:t>
      </w:r>
      <w:r>
        <w:rPr>
          <w:rFonts w:hint="eastAsia" w:ascii="宋体" w:hAnsi="宋体"/>
        </w:rPr>
        <w:t>如实</w:t>
      </w:r>
      <w:r>
        <w:rPr>
          <w:rFonts w:hint="eastAsia" w:ascii="宋体" w:hAnsi="宋体"/>
          <w:lang w:val="zh-CN"/>
        </w:rPr>
        <w:t>填写</w:t>
      </w:r>
      <w:r>
        <w:rPr>
          <w:rFonts w:hint="eastAsia" w:ascii="宋体" w:hAnsi="宋体"/>
          <w:szCs w:val="21"/>
        </w:rPr>
        <w:t>；</w:t>
      </w:r>
      <w:r>
        <w:rPr>
          <w:rFonts w:hint="eastAsia" w:ascii="宋体" w:hAnsi="宋体"/>
        </w:rPr>
        <w:t>2、须如实填写，如无偏离情况，注明无偏离，如有偏离情况，请根据实际情况填写，并注明正偏离、负偏离；</w:t>
      </w:r>
    </w:p>
    <w:p>
      <w:pPr>
        <w:spacing w:line="400" w:lineRule="atLeast"/>
        <w:rPr>
          <w:rFonts w:ascii="宋体" w:hAnsi="宋体"/>
          <w:szCs w:val="21"/>
        </w:rPr>
      </w:pPr>
      <w:r>
        <w:rPr>
          <w:rFonts w:hint="eastAsia" w:ascii="宋体" w:hAnsi="宋体"/>
          <w:szCs w:val="21"/>
        </w:rPr>
        <w:t>供应商：（盖章）</w:t>
      </w:r>
    </w:p>
    <w:p>
      <w:pPr>
        <w:spacing w:line="400" w:lineRule="atLeast"/>
        <w:rPr>
          <w:rFonts w:ascii="宋体" w:hAnsi="宋体"/>
          <w:szCs w:val="21"/>
        </w:rPr>
      </w:pPr>
      <w:r>
        <w:rPr>
          <w:rFonts w:hint="eastAsia" w:ascii="宋体" w:hAnsi="宋体"/>
          <w:szCs w:val="21"/>
        </w:rPr>
        <w:t>法定代表人或授权代表：（签字）</w:t>
      </w:r>
    </w:p>
    <w:p>
      <w:pPr>
        <w:spacing w:line="400" w:lineRule="atLeast"/>
        <w:rPr>
          <w:rFonts w:ascii="宋体" w:hAnsi="宋体"/>
          <w:szCs w:val="21"/>
        </w:rPr>
      </w:pPr>
      <w:r>
        <w:rPr>
          <w:rFonts w:hint="eastAsia" w:ascii="宋体" w:hAnsi="宋体"/>
          <w:szCs w:val="21"/>
        </w:rPr>
        <w:t>日期：</w:t>
      </w:r>
    </w:p>
    <w:p>
      <w:pPr>
        <w:pStyle w:val="26"/>
        <w:ind w:firstLine="0" w:firstLineChars="0"/>
        <w:rPr>
          <w:b/>
          <w:bCs/>
        </w:rPr>
        <w:sectPr>
          <w:headerReference r:id="rId5" w:type="default"/>
          <w:footerReference r:id="rId6" w:type="default"/>
          <w:footerReference r:id="rId7" w:type="even"/>
          <w:pgSz w:w="11906" w:h="16838"/>
          <w:pgMar w:top="1417" w:right="1531" w:bottom="1417" w:left="1644" w:header="567" w:footer="624" w:gutter="0"/>
          <w:cols w:space="720" w:num="1"/>
          <w:docGrid w:linePitch="602" w:charSpace="-1675"/>
        </w:sectPr>
      </w:pPr>
    </w:p>
    <w:p>
      <w:pPr>
        <w:pStyle w:val="26"/>
        <w:ind w:firstLine="0" w:firstLineChars="0"/>
        <w:rPr>
          <w:rFonts w:hAnsi="宋体"/>
          <w:b/>
          <w:sz w:val="24"/>
          <w:szCs w:val="21"/>
        </w:rPr>
      </w:pPr>
      <w:r>
        <w:rPr>
          <w:rFonts w:hint="eastAsia"/>
          <w:b/>
          <w:bCs/>
        </w:rPr>
        <w:t>9.商务条款响应表</w:t>
      </w:r>
    </w:p>
    <w:p>
      <w:pPr>
        <w:spacing w:line="360" w:lineRule="auto"/>
        <w:jc w:val="center"/>
        <w:rPr>
          <w:rFonts w:ascii="宋体" w:hAnsi="宋体"/>
          <w:b/>
          <w:sz w:val="24"/>
          <w:szCs w:val="21"/>
        </w:rPr>
      </w:pPr>
      <w:r>
        <w:rPr>
          <w:rFonts w:hint="eastAsia" w:ascii="宋体" w:hAnsi="宋体"/>
          <w:b/>
          <w:sz w:val="24"/>
          <w:szCs w:val="21"/>
        </w:rPr>
        <w:t xml:space="preserve"> 商务条款响应表</w:t>
      </w:r>
    </w:p>
    <w:p>
      <w:pPr>
        <w:snapToGrid w:val="0"/>
        <w:spacing w:line="360" w:lineRule="auto"/>
        <w:ind w:firstLine="210" w:firstLineChars="100"/>
        <w:rPr>
          <w:rFonts w:ascii="宋体" w:hAnsi="宋体" w:cs="宋体"/>
          <w:szCs w:val="21"/>
        </w:rPr>
      </w:pPr>
      <w:r>
        <w:rPr>
          <w:rFonts w:hint="eastAsia" w:ascii="宋体" w:hAnsi="宋体" w:cs="宋体"/>
          <w:szCs w:val="21"/>
        </w:rPr>
        <w:t>项目名称：</w:t>
      </w:r>
    </w:p>
    <w:p>
      <w:pPr>
        <w:spacing w:line="360" w:lineRule="auto"/>
        <w:ind w:firstLine="210" w:firstLineChars="100"/>
        <w:rPr>
          <w:rFonts w:ascii="宋体" w:hAnsi="宋体" w:cs="宋体"/>
          <w:szCs w:val="21"/>
        </w:rPr>
      </w:pPr>
      <w:r>
        <w:rPr>
          <w:rFonts w:hint="eastAsia" w:ascii="宋体" w:hAnsi="宋体" w:cs="宋体"/>
          <w:szCs w:val="21"/>
        </w:rPr>
        <w:t xml:space="preserve">项目编号：     </w:t>
      </w:r>
    </w:p>
    <w:p>
      <w:pPr>
        <w:spacing w:line="360" w:lineRule="auto"/>
        <w:ind w:firstLine="210" w:firstLineChars="100"/>
      </w:pPr>
      <w:r>
        <w:rPr>
          <w:rFonts w:hint="eastAsia" w:ascii="宋体" w:hAnsi="宋体" w:cs="宋体"/>
          <w:szCs w:val="21"/>
        </w:rPr>
        <w:t>标项号：</w:t>
      </w:r>
    </w:p>
    <w:tbl>
      <w:tblPr>
        <w:tblStyle w:val="19"/>
        <w:tblW w:w="1293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5706"/>
        <w:gridCol w:w="4134"/>
        <w:gridCol w:w="1671"/>
        <w:gridCol w:w="70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25" w:type="dxa"/>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序号</w:t>
            </w:r>
          </w:p>
        </w:tc>
        <w:tc>
          <w:tcPr>
            <w:tcW w:w="5706" w:type="dxa"/>
            <w:vAlign w:val="center"/>
          </w:tcPr>
          <w:p>
            <w:pPr>
              <w:snapToGrid w:val="0"/>
              <w:spacing w:line="320" w:lineRule="exact"/>
              <w:jc w:val="center"/>
              <w:rPr>
                <w:rFonts w:ascii="宋体" w:hAnsi="宋体"/>
                <w:szCs w:val="21"/>
              </w:rPr>
            </w:pPr>
            <w:r>
              <w:rPr>
                <w:rFonts w:hint="eastAsia" w:ascii="宋体" w:hAnsi="宋体"/>
                <w:szCs w:val="21"/>
              </w:rPr>
              <w:t>招标文件要求</w:t>
            </w:r>
          </w:p>
        </w:tc>
        <w:tc>
          <w:tcPr>
            <w:tcW w:w="4134" w:type="dxa"/>
            <w:vAlign w:val="center"/>
          </w:tcPr>
          <w:p>
            <w:pPr>
              <w:adjustRightInd w:val="0"/>
              <w:snapToGrid w:val="0"/>
              <w:spacing w:line="320" w:lineRule="exact"/>
              <w:jc w:val="center"/>
              <w:rPr>
                <w:rFonts w:ascii="宋体" w:hAnsi="宋体"/>
                <w:szCs w:val="21"/>
              </w:rPr>
            </w:pPr>
            <w:r>
              <w:rPr>
                <w:rFonts w:hint="eastAsia" w:ascii="宋体" w:hAnsi="宋体"/>
                <w:szCs w:val="21"/>
              </w:rPr>
              <w:t>投标响应</w:t>
            </w:r>
          </w:p>
        </w:tc>
        <w:tc>
          <w:tcPr>
            <w:tcW w:w="1671" w:type="dxa"/>
            <w:vAlign w:val="center"/>
          </w:tcPr>
          <w:p>
            <w:pPr>
              <w:adjustRightInd w:val="0"/>
              <w:snapToGrid w:val="0"/>
              <w:spacing w:line="320" w:lineRule="exact"/>
              <w:jc w:val="center"/>
              <w:rPr>
                <w:rFonts w:ascii="宋体" w:hAnsi="宋体"/>
                <w:szCs w:val="21"/>
              </w:rPr>
            </w:pPr>
            <w:r>
              <w:rPr>
                <w:rFonts w:hint="eastAsia" w:ascii="宋体" w:hAnsi="宋体"/>
                <w:szCs w:val="21"/>
              </w:rPr>
              <w:t>正偏离/负偏离/无偏离</w:t>
            </w:r>
          </w:p>
        </w:tc>
        <w:tc>
          <w:tcPr>
            <w:tcW w:w="701" w:type="dxa"/>
            <w:vAlign w:val="center"/>
          </w:tcPr>
          <w:p>
            <w:pPr>
              <w:adjustRightInd w:val="0"/>
              <w:snapToGrid w:val="0"/>
              <w:spacing w:line="320" w:lineRule="exact"/>
              <w:jc w:val="center"/>
              <w:rPr>
                <w:rFonts w:ascii="宋体" w:hAnsi="宋体"/>
                <w:szCs w:val="21"/>
              </w:rPr>
            </w:pPr>
            <w:r>
              <w:rPr>
                <w:rFonts w:hint="eastAsia" w:ascii="宋体" w:hAnsi="宋体"/>
                <w:szCs w:val="21"/>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5" w:type="dxa"/>
            <w:vAlign w:val="center"/>
          </w:tcPr>
          <w:p>
            <w:pPr>
              <w:spacing w:line="360" w:lineRule="auto"/>
              <w:contextualSpacing/>
              <w:jc w:val="center"/>
              <w:rPr>
                <w:rFonts w:ascii="宋体" w:hAnsi="宋体"/>
                <w:szCs w:val="21"/>
              </w:rPr>
            </w:pPr>
            <w:r>
              <w:rPr>
                <w:rFonts w:hint="eastAsia" w:ascii="宋体" w:hAnsi="宋体" w:cs="宋体"/>
                <w:szCs w:val="21"/>
              </w:rPr>
              <w:t>1</w:t>
            </w:r>
          </w:p>
        </w:tc>
        <w:tc>
          <w:tcPr>
            <w:tcW w:w="5706" w:type="dxa"/>
            <w:vAlign w:val="center"/>
          </w:tcPr>
          <w:p>
            <w:pPr>
              <w:spacing w:line="360" w:lineRule="auto"/>
              <w:contextualSpacing/>
              <w:rPr>
                <w:sz w:val="20"/>
              </w:rPr>
            </w:pPr>
            <w:r>
              <w:rPr>
                <w:rFonts w:hint="eastAsia" w:ascii="宋体" w:hAnsi="宋体" w:eastAsia="宋体" w:cs="宋体"/>
                <w:sz w:val="18"/>
                <w:szCs w:val="18"/>
              </w:rPr>
              <w:t>*服务期限：自合同签订生效之日起一年；一年期满后经采购人审核后，合同可续签一次，续签的合同期限为一年。后续合同的签订以采购人根据中标人在上一年度的合同履约及考核情况决定是否续签。</w:t>
            </w:r>
          </w:p>
        </w:tc>
        <w:tc>
          <w:tcPr>
            <w:tcW w:w="4134" w:type="dxa"/>
            <w:vAlign w:val="center"/>
          </w:tcPr>
          <w:p>
            <w:pPr>
              <w:snapToGrid w:val="0"/>
              <w:spacing w:line="320" w:lineRule="exact"/>
              <w:rPr>
                <w:rFonts w:ascii="宋体" w:hAnsi="宋体"/>
                <w:szCs w:val="21"/>
              </w:rPr>
            </w:pPr>
          </w:p>
        </w:tc>
        <w:tc>
          <w:tcPr>
            <w:tcW w:w="1671" w:type="dxa"/>
            <w:vAlign w:val="center"/>
          </w:tcPr>
          <w:p>
            <w:pPr>
              <w:snapToGrid w:val="0"/>
              <w:spacing w:line="320" w:lineRule="exact"/>
              <w:rPr>
                <w:rFonts w:ascii="宋体" w:hAnsi="宋体"/>
                <w:szCs w:val="21"/>
              </w:rPr>
            </w:pPr>
          </w:p>
        </w:tc>
        <w:tc>
          <w:tcPr>
            <w:tcW w:w="701" w:type="dxa"/>
            <w:vAlign w:val="center"/>
          </w:tcPr>
          <w:p>
            <w:pPr>
              <w:snapToGrid w:val="0"/>
              <w:spacing w:line="32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5" w:type="dxa"/>
            <w:vAlign w:val="center"/>
          </w:tcPr>
          <w:p>
            <w:pPr>
              <w:spacing w:line="360" w:lineRule="auto"/>
              <w:contextualSpacing/>
              <w:jc w:val="center"/>
              <w:rPr>
                <w:rFonts w:ascii="宋体" w:hAnsi="宋体"/>
                <w:szCs w:val="21"/>
              </w:rPr>
            </w:pPr>
            <w:r>
              <w:rPr>
                <w:rFonts w:hint="eastAsia" w:ascii="宋体" w:hAnsi="宋体" w:cs="宋体"/>
                <w:szCs w:val="21"/>
              </w:rPr>
              <w:t>2</w:t>
            </w:r>
          </w:p>
        </w:tc>
        <w:tc>
          <w:tcPr>
            <w:tcW w:w="5706" w:type="dxa"/>
            <w:vAlign w:val="center"/>
          </w:tcPr>
          <w:p>
            <w:pPr>
              <w:spacing w:line="360" w:lineRule="auto"/>
              <w:contextualSpacing/>
              <w:rPr>
                <w:rFonts w:ascii="宋体" w:hAnsi="宋体" w:cs="宋体"/>
                <w:sz w:val="18"/>
                <w:szCs w:val="18"/>
              </w:rPr>
            </w:pPr>
            <w:r>
              <w:rPr>
                <w:rFonts w:hint="eastAsia" w:ascii="宋体" w:hAnsi="宋体" w:cs="宋体"/>
                <w:sz w:val="18"/>
                <w:szCs w:val="18"/>
              </w:rPr>
              <w:t>*付款方法</w:t>
            </w:r>
          </w:p>
          <w:p>
            <w:pPr>
              <w:spacing w:line="360" w:lineRule="auto"/>
              <w:contextualSpacing/>
              <w:rPr>
                <w:rFonts w:ascii="宋体" w:hAnsi="宋体" w:cs="宋体"/>
                <w:sz w:val="18"/>
                <w:szCs w:val="18"/>
              </w:rPr>
            </w:pPr>
            <w:r>
              <w:rPr>
                <w:rFonts w:hint="eastAsia" w:ascii="宋体" w:hAnsi="宋体" w:cs="宋体"/>
                <w:sz w:val="18"/>
                <w:szCs w:val="18"/>
              </w:rPr>
              <w:t>（1）预付款：合同签订后7个工作日内支付至合同总价的40%。</w:t>
            </w:r>
          </w:p>
          <w:p>
            <w:pPr>
              <w:spacing w:line="360" w:lineRule="auto"/>
              <w:contextualSpacing/>
              <w:rPr>
                <w:rFonts w:ascii="宋体" w:hAnsi="宋体" w:cs="宋体"/>
                <w:sz w:val="18"/>
                <w:szCs w:val="18"/>
              </w:rPr>
            </w:pPr>
            <w:r>
              <w:rPr>
                <w:rFonts w:hint="eastAsia" w:ascii="宋体" w:hAnsi="宋体" w:cs="宋体"/>
                <w:sz w:val="18"/>
                <w:szCs w:val="18"/>
              </w:rPr>
              <w:t>（2）合同签订后，每个季度末月25日之前支付合同总价的10% 。</w:t>
            </w:r>
          </w:p>
          <w:p>
            <w:pPr>
              <w:spacing w:line="360" w:lineRule="auto"/>
              <w:contextualSpacing/>
              <w:rPr>
                <w:sz w:val="20"/>
              </w:rPr>
            </w:pPr>
            <w:r>
              <w:rPr>
                <w:rFonts w:hint="eastAsia" w:ascii="宋体" w:hAnsi="宋体" w:cs="宋体"/>
                <w:sz w:val="18"/>
                <w:szCs w:val="18"/>
              </w:rPr>
              <w:t>（3）尾款支付：运维服务期满后15个工作日内，支付剩余合同总价扣除考核总扣款金额后的款项。</w:t>
            </w:r>
          </w:p>
        </w:tc>
        <w:tc>
          <w:tcPr>
            <w:tcW w:w="4134" w:type="dxa"/>
            <w:vAlign w:val="center"/>
          </w:tcPr>
          <w:p>
            <w:pPr>
              <w:snapToGrid w:val="0"/>
              <w:spacing w:line="320" w:lineRule="exact"/>
              <w:rPr>
                <w:rFonts w:ascii="宋体" w:hAnsi="宋体"/>
                <w:szCs w:val="21"/>
              </w:rPr>
            </w:pPr>
          </w:p>
        </w:tc>
        <w:tc>
          <w:tcPr>
            <w:tcW w:w="1671" w:type="dxa"/>
            <w:vAlign w:val="center"/>
          </w:tcPr>
          <w:p>
            <w:pPr>
              <w:spacing w:line="320" w:lineRule="exact"/>
              <w:rPr>
                <w:rFonts w:ascii="宋体" w:hAnsi="宋体"/>
                <w:szCs w:val="21"/>
              </w:rPr>
            </w:pPr>
          </w:p>
        </w:tc>
        <w:tc>
          <w:tcPr>
            <w:tcW w:w="701" w:type="dxa"/>
            <w:vAlign w:val="center"/>
          </w:tcPr>
          <w:p>
            <w:pPr>
              <w:spacing w:line="32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25" w:type="dxa"/>
            <w:vAlign w:val="center"/>
          </w:tcPr>
          <w:p>
            <w:pPr>
              <w:spacing w:line="360" w:lineRule="auto"/>
              <w:contextualSpacing/>
              <w:jc w:val="center"/>
              <w:rPr>
                <w:rFonts w:ascii="宋体" w:hAnsi="宋体"/>
                <w:szCs w:val="21"/>
              </w:rPr>
            </w:pPr>
            <w:r>
              <w:rPr>
                <w:rFonts w:hint="eastAsia" w:ascii="宋体" w:hAnsi="宋体" w:cs="宋体"/>
                <w:szCs w:val="21"/>
              </w:rPr>
              <w:t>3</w:t>
            </w:r>
          </w:p>
        </w:tc>
        <w:tc>
          <w:tcPr>
            <w:tcW w:w="5706" w:type="dxa"/>
            <w:vAlign w:val="center"/>
          </w:tcPr>
          <w:p>
            <w:pPr>
              <w:spacing w:line="360" w:lineRule="auto"/>
              <w:contextualSpacing/>
              <w:rPr>
                <w:sz w:val="20"/>
              </w:rPr>
            </w:pPr>
            <w:r>
              <w:rPr>
                <w:rFonts w:hint="eastAsia" w:ascii="宋体" w:hAnsi="宋体" w:cs="宋体"/>
                <w:sz w:val="18"/>
                <w:szCs w:val="18"/>
              </w:rPr>
              <w:t>*投标有效期：90天。</w:t>
            </w:r>
          </w:p>
        </w:tc>
        <w:tc>
          <w:tcPr>
            <w:tcW w:w="4134" w:type="dxa"/>
            <w:vAlign w:val="center"/>
          </w:tcPr>
          <w:p>
            <w:pPr>
              <w:snapToGrid w:val="0"/>
              <w:spacing w:line="320" w:lineRule="exact"/>
              <w:rPr>
                <w:rFonts w:ascii="宋体" w:hAnsi="宋体"/>
                <w:szCs w:val="21"/>
              </w:rPr>
            </w:pPr>
          </w:p>
        </w:tc>
        <w:tc>
          <w:tcPr>
            <w:tcW w:w="1671" w:type="dxa"/>
            <w:vAlign w:val="center"/>
          </w:tcPr>
          <w:p>
            <w:pPr>
              <w:spacing w:line="320" w:lineRule="exact"/>
              <w:rPr>
                <w:rFonts w:ascii="宋体" w:hAnsi="宋体"/>
                <w:szCs w:val="21"/>
              </w:rPr>
            </w:pPr>
          </w:p>
        </w:tc>
        <w:tc>
          <w:tcPr>
            <w:tcW w:w="701" w:type="dxa"/>
            <w:vAlign w:val="center"/>
          </w:tcPr>
          <w:p>
            <w:pPr>
              <w:spacing w:line="32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725" w:type="dxa"/>
            <w:vAlign w:val="center"/>
          </w:tcPr>
          <w:p>
            <w:pPr>
              <w:spacing w:line="360" w:lineRule="auto"/>
              <w:contextualSpacing/>
              <w:jc w:val="center"/>
              <w:rPr>
                <w:rFonts w:ascii="宋体" w:hAnsi="宋体"/>
                <w:szCs w:val="21"/>
              </w:rPr>
            </w:pPr>
            <w:r>
              <w:rPr>
                <w:rFonts w:hint="eastAsia" w:ascii="宋体" w:hAnsi="宋体" w:cs="宋体"/>
                <w:szCs w:val="21"/>
              </w:rPr>
              <w:t>4</w:t>
            </w:r>
          </w:p>
        </w:tc>
        <w:tc>
          <w:tcPr>
            <w:tcW w:w="5706" w:type="dxa"/>
            <w:vAlign w:val="center"/>
          </w:tcPr>
          <w:p>
            <w:pPr>
              <w:spacing w:line="360" w:lineRule="auto"/>
              <w:contextualSpacing/>
              <w:rPr>
                <w:rFonts w:ascii="宋体" w:hAnsi="宋体"/>
                <w:szCs w:val="21"/>
              </w:rPr>
            </w:pPr>
            <w:r>
              <w:rPr>
                <w:rFonts w:hint="eastAsia" w:ascii="宋体" w:hAnsi="宋体" w:cs="宋体"/>
                <w:sz w:val="18"/>
                <w:szCs w:val="18"/>
              </w:rPr>
              <w:t>*签订合同时间：中标通知书发出后30日内。</w:t>
            </w:r>
          </w:p>
        </w:tc>
        <w:tc>
          <w:tcPr>
            <w:tcW w:w="4134" w:type="dxa"/>
            <w:vAlign w:val="center"/>
          </w:tcPr>
          <w:p>
            <w:pPr>
              <w:snapToGrid w:val="0"/>
              <w:spacing w:line="320" w:lineRule="exact"/>
              <w:rPr>
                <w:rFonts w:ascii="宋体" w:hAnsi="宋体"/>
                <w:szCs w:val="21"/>
              </w:rPr>
            </w:pPr>
          </w:p>
        </w:tc>
        <w:tc>
          <w:tcPr>
            <w:tcW w:w="1671" w:type="dxa"/>
            <w:vAlign w:val="center"/>
          </w:tcPr>
          <w:p>
            <w:pPr>
              <w:spacing w:line="320" w:lineRule="exact"/>
              <w:rPr>
                <w:rFonts w:ascii="宋体" w:hAnsi="宋体"/>
                <w:szCs w:val="21"/>
              </w:rPr>
            </w:pPr>
          </w:p>
        </w:tc>
        <w:tc>
          <w:tcPr>
            <w:tcW w:w="701" w:type="dxa"/>
            <w:vAlign w:val="center"/>
          </w:tcPr>
          <w:p>
            <w:pPr>
              <w:spacing w:line="32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5" w:type="dxa"/>
            <w:vAlign w:val="center"/>
          </w:tcPr>
          <w:p>
            <w:pPr>
              <w:spacing w:line="360" w:lineRule="auto"/>
              <w:contextualSpacing/>
              <w:jc w:val="center"/>
              <w:rPr>
                <w:rFonts w:ascii="宋体" w:hAnsi="宋体"/>
                <w:szCs w:val="21"/>
              </w:rPr>
            </w:pPr>
            <w:r>
              <w:rPr>
                <w:rFonts w:hint="eastAsia" w:ascii="宋体" w:hAnsi="宋体" w:cs="宋体"/>
                <w:szCs w:val="21"/>
              </w:rPr>
              <w:t>5</w:t>
            </w:r>
          </w:p>
        </w:tc>
        <w:tc>
          <w:tcPr>
            <w:tcW w:w="5706" w:type="dxa"/>
            <w:vAlign w:val="center"/>
          </w:tcPr>
          <w:p>
            <w:pPr>
              <w:spacing w:line="360" w:lineRule="auto"/>
              <w:contextualSpacing/>
              <w:rPr>
                <w:rFonts w:ascii="宋体" w:hAnsi="宋体"/>
                <w:szCs w:val="21"/>
              </w:rPr>
            </w:pPr>
            <w:r>
              <w:rPr>
                <w:rFonts w:hint="eastAsia" w:ascii="宋体" w:hAnsi="宋体" w:cs="宋体"/>
                <w:sz w:val="18"/>
                <w:szCs w:val="18"/>
              </w:rPr>
              <w:t>培训：要求供应商免费提供设备使用、运行维护的培训。</w:t>
            </w:r>
          </w:p>
        </w:tc>
        <w:tc>
          <w:tcPr>
            <w:tcW w:w="4134" w:type="dxa"/>
            <w:vAlign w:val="center"/>
          </w:tcPr>
          <w:p>
            <w:pPr>
              <w:snapToGrid w:val="0"/>
              <w:spacing w:line="320" w:lineRule="exact"/>
              <w:rPr>
                <w:rFonts w:ascii="宋体" w:hAnsi="宋体"/>
                <w:szCs w:val="21"/>
              </w:rPr>
            </w:pPr>
          </w:p>
        </w:tc>
        <w:tc>
          <w:tcPr>
            <w:tcW w:w="1671" w:type="dxa"/>
            <w:vAlign w:val="center"/>
          </w:tcPr>
          <w:p>
            <w:pPr>
              <w:spacing w:line="320" w:lineRule="exact"/>
              <w:rPr>
                <w:rFonts w:ascii="宋体" w:hAnsi="宋体"/>
                <w:szCs w:val="21"/>
              </w:rPr>
            </w:pPr>
          </w:p>
        </w:tc>
        <w:tc>
          <w:tcPr>
            <w:tcW w:w="701" w:type="dxa"/>
            <w:vAlign w:val="center"/>
          </w:tcPr>
          <w:p>
            <w:pPr>
              <w:spacing w:line="32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25" w:type="dxa"/>
            <w:vAlign w:val="center"/>
          </w:tcPr>
          <w:p>
            <w:pPr>
              <w:spacing w:line="360" w:lineRule="auto"/>
              <w:contextualSpacing/>
              <w:jc w:val="center"/>
              <w:rPr>
                <w:rFonts w:ascii="宋体" w:hAnsi="宋体"/>
                <w:szCs w:val="21"/>
              </w:rPr>
            </w:pPr>
            <w:r>
              <w:rPr>
                <w:rFonts w:hint="eastAsia" w:ascii="宋体" w:hAnsi="宋体" w:cs="宋体"/>
                <w:szCs w:val="21"/>
              </w:rPr>
              <w:t>6</w:t>
            </w:r>
          </w:p>
        </w:tc>
        <w:tc>
          <w:tcPr>
            <w:tcW w:w="5706" w:type="dxa"/>
            <w:vAlign w:val="center"/>
          </w:tcPr>
          <w:p>
            <w:pPr>
              <w:spacing w:line="360" w:lineRule="auto"/>
              <w:contextualSpacing/>
              <w:rPr>
                <w:rFonts w:ascii="宋体" w:hAnsi="宋体"/>
                <w:szCs w:val="21"/>
              </w:rPr>
            </w:pPr>
            <w:r>
              <w:rPr>
                <w:rFonts w:hint="eastAsia" w:ascii="宋体" w:hAnsi="宋体" w:cs="宋体"/>
                <w:sz w:val="18"/>
                <w:szCs w:val="18"/>
              </w:rPr>
              <w:t>服务要求：服务的响应速度要求维修响应时间为卖方接到业主报修电话后，1小时内响应，维修工程师2小时内到达故障现场，一般故障4小时内解决。否则卖方应提供相同设备或不低于故障设备规格档次的备用设备供买方使用，直至故障设备修复；如果逾期未作出响应，买方将自行采取必要的措施，卖方应承担由于故障所造成的全部损失，并由此产生风险和费用由卖方承担。</w:t>
            </w:r>
          </w:p>
        </w:tc>
        <w:tc>
          <w:tcPr>
            <w:tcW w:w="4134" w:type="dxa"/>
            <w:vAlign w:val="center"/>
          </w:tcPr>
          <w:p>
            <w:pPr>
              <w:snapToGrid w:val="0"/>
              <w:spacing w:line="320" w:lineRule="exact"/>
              <w:rPr>
                <w:rFonts w:ascii="宋体" w:hAnsi="宋体"/>
                <w:szCs w:val="21"/>
              </w:rPr>
            </w:pPr>
          </w:p>
        </w:tc>
        <w:tc>
          <w:tcPr>
            <w:tcW w:w="1671" w:type="dxa"/>
            <w:vAlign w:val="center"/>
          </w:tcPr>
          <w:p>
            <w:pPr>
              <w:spacing w:line="320" w:lineRule="exact"/>
              <w:rPr>
                <w:rFonts w:ascii="宋体" w:hAnsi="宋体"/>
                <w:szCs w:val="21"/>
              </w:rPr>
            </w:pPr>
          </w:p>
        </w:tc>
        <w:tc>
          <w:tcPr>
            <w:tcW w:w="701" w:type="dxa"/>
            <w:vAlign w:val="center"/>
          </w:tcPr>
          <w:p>
            <w:pPr>
              <w:spacing w:line="32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5" w:type="dxa"/>
            <w:vAlign w:val="center"/>
          </w:tcPr>
          <w:p>
            <w:pPr>
              <w:snapToGrid w:val="0"/>
              <w:spacing w:line="440" w:lineRule="exact"/>
              <w:jc w:val="center"/>
              <w:rPr>
                <w:rFonts w:ascii="宋体" w:hAnsi="宋体"/>
                <w:szCs w:val="21"/>
              </w:rPr>
            </w:pPr>
            <w:r>
              <w:rPr>
                <w:rFonts w:hint="eastAsia" w:ascii="宋体" w:hAnsi="宋体"/>
                <w:szCs w:val="21"/>
              </w:rPr>
              <w:t>7</w:t>
            </w:r>
          </w:p>
        </w:tc>
        <w:tc>
          <w:tcPr>
            <w:tcW w:w="5706" w:type="dxa"/>
            <w:vAlign w:val="center"/>
          </w:tcPr>
          <w:p>
            <w:pPr>
              <w:snapToGrid w:val="0"/>
              <w:spacing w:line="440" w:lineRule="exact"/>
              <w:rPr>
                <w:rFonts w:hint="default" w:ascii="宋体" w:hAnsi="宋体" w:eastAsia="宋体"/>
                <w:szCs w:val="21"/>
                <w:lang w:val="en-US" w:eastAsia="zh-CN"/>
              </w:rPr>
            </w:pPr>
            <w:r>
              <w:rPr>
                <w:rFonts w:hint="eastAsia" w:ascii="宋体" w:hAnsi="宋体"/>
                <w:szCs w:val="21"/>
                <w:lang w:val="en-US" w:eastAsia="zh-CN"/>
              </w:rPr>
              <w:t>....</w:t>
            </w:r>
          </w:p>
        </w:tc>
        <w:tc>
          <w:tcPr>
            <w:tcW w:w="4134" w:type="dxa"/>
            <w:vAlign w:val="center"/>
          </w:tcPr>
          <w:p>
            <w:pPr>
              <w:snapToGrid w:val="0"/>
              <w:spacing w:line="320" w:lineRule="exact"/>
              <w:rPr>
                <w:rFonts w:ascii="宋体" w:hAnsi="宋体"/>
                <w:szCs w:val="21"/>
              </w:rPr>
            </w:pPr>
          </w:p>
        </w:tc>
        <w:tc>
          <w:tcPr>
            <w:tcW w:w="1671" w:type="dxa"/>
            <w:vAlign w:val="center"/>
          </w:tcPr>
          <w:p>
            <w:pPr>
              <w:spacing w:line="320" w:lineRule="exact"/>
              <w:rPr>
                <w:rFonts w:ascii="宋体" w:hAnsi="宋体"/>
                <w:szCs w:val="21"/>
              </w:rPr>
            </w:pPr>
          </w:p>
        </w:tc>
        <w:tc>
          <w:tcPr>
            <w:tcW w:w="701" w:type="dxa"/>
            <w:vAlign w:val="center"/>
          </w:tcPr>
          <w:p>
            <w:pPr>
              <w:spacing w:line="32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25" w:type="dxa"/>
            <w:vAlign w:val="center"/>
          </w:tcPr>
          <w:p>
            <w:pPr>
              <w:snapToGrid w:val="0"/>
              <w:spacing w:line="440" w:lineRule="exact"/>
              <w:jc w:val="center"/>
              <w:rPr>
                <w:rFonts w:ascii="宋体" w:hAnsi="宋体"/>
                <w:szCs w:val="21"/>
              </w:rPr>
            </w:pPr>
            <w:r>
              <w:rPr>
                <w:rFonts w:hint="eastAsia" w:ascii="宋体" w:hAnsi="宋体"/>
                <w:szCs w:val="21"/>
              </w:rPr>
              <w:t>...</w:t>
            </w:r>
          </w:p>
        </w:tc>
        <w:tc>
          <w:tcPr>
            <w:tcW w:w="5706" w:type="dxa"/>
            <w:vAlign w:val="center"/>
          </w:tcPr>
          <w:p>
            <w:pPr>
              <w:snapToGrid w:val="0"/>
              <w:spacing w:line="440" w:lineRule="exact"/>
              <w:rPr>
                <w:rFonts w:ascii="宋体" w:hAnsi="宋体"/>
                <w:szCs w:val="21"/>
              </w:rPr>
            </w:pPr>
            <w:r>
              <w:rPr>
                <w:rFonts w:hint="eastAsia" w:ascii="宋体" w:hAnsi="宋体"/>
                <w:szCs w:val="21"/>
              </w:rPr>
              <w:t>....</w:t>
            </w:r>
          </w:p>
        </w:tc>
        <w:tc>
          <w:tcPr>
            <w:tcW w:w="4134" w:type="dxa"/>
            <w:vAlign w:val="center"/>
          </w:tcPr>
          <w:p>
            <w:pPr>
              <w:snapToGrid w:val="0"/>
              <w:spacing w:line="320" w:lineRule="exact"/>
              <w:rPr>
                <w:rFonts w:ascii="宋体" w:hAnsi="宋体"/>
                <w:szCs w:val="21"/>
              </w:rPr>
            </w:pPr>
          </w:p>
        </w:tc>
        <w:tc>
          <w:tcPr>
            <w:tcW w:w="1671" w:type="dxa"/>
            <w:vAlign w:val="center"/>
          </w:tcPr>
          <w:p>
            <w:pPr>
              <w:spacing w:line="320" w:lineRule="exact"/>
              <w:rPr>
                <w:rFonts w:ascii="宋体" w:hAnsi="宋体"/>
                <w:szCs w:val="21"/>
              </w:rPr>
            </w:pPr>
          </w:p>
        </w:tc>
        <w:tc>
          <w:tcPr>
            <w:tcW w:w="701" w:type="dxa"/>
            <w:vAlign w:val="center"/>
          </w:tcPr>
          <w:p>
            <w:pPr>
              <w:spacing w:line="320" w:lineRule="exac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25" w:type="dxa"/>
            <w:vAlign w:val="center"/>
          </w:tcPr>
          <w:p>
            <w:pPr>
              <w:snapToGrid w:val="0"/>
              <w:spacing w:line="440" w:lineRule="exact"/>
              <w:jc w:val="center"/>
              <w:rPr>
                <w:rFonts w:ascii="宋体" w:hAnsi="宋体"/>
                <w:szCs w:val="21"/>
              </w:rPr>
            </w:pPr>
            <w:r>
              <w:rPr>
                <w:rFonts w:hint="eastAsia" w:ascii="宋体" w:hAnsi="宋体"/>
                <w:szCs w:val="21"/>
              </w:rPr>
              <w:t>...</w:t>
            </w:r>
          </w:p>
        </w:tc>
        <w:tc>
          <w:tcPr>
            <w:tcW w:w="5706" w:type="dxa"/>
            <w:vAlign w:val="center"/>
          </w:tcPr>
          <w:p>
            <w:pPr>
              <w:snapToGrid w:val="0"/>
              <w:spacing w:line="440" w:lineRule="exact"/>
              <w:rPr>
                <w:rFonts w:ascii="宋体" w:hAnsi="宋体"/>
                <w:szCs w:val="21"/>
              </w:rPr>
            </w:pPr>
            <w:r>
              <w:rPr>
                <w:rFonts w:hint="eastAsia" w:ascii="宋体" w:hAnsi="宋体"/>
                <w:szCs w:val="21"/>
              </w:rPr>
              <w:t>...</w:t>
            </w:r>
          </w:p>
        </w:tc>
        <w:tc>
          <w:tcPr>
            <w:tcW w:w="4134" w:type="dxa"/>
            <w:vAlign w:val="center"/>
          </w:tcPr>
          <w:p>
            <w:pPr>
              <w:snapToGrid w:val="0"/>
              <w:spacing w:line="320" w:lineRule="exact"/>
              <w:rPr>
                <w:rFonts w:ascii="宋体" w:hAnsi="宋体"/>
                <w:szCs w:val="21"/>
              </w:rPr>
            </w:pPr>
          </w:p>
        </w:tc>
        <w:tc>
          <w:tcPr>
            <w:tcW w:w="1671" w:type="dxa"/>
            <w:vAlign w:val="center"/>
          </w:tcPr>
          <w:p>
            <w:pPr>
              <w:spacing w:line="320" w:lineRule="exact"/>
              <w:rPr>
                <w:rFonts w:ascii="宋体" w:hAnsi="宋体"/>
                <w:szCs w:val="21"/>
              </w:rPr>
            </w:pPr>
          </w:p>
        </w:tc>
        <w:tc>
          <w:tcPr>
            <w:tcW w:w="701" w:type="dxa"/>
            <w:vAlign w:val="center"/>
          </w:tcPr>
          <w:p>
            <w:pPr>
              <w:spacing w:line="320" w:lineRule="exact"/>
              <w:rPr>
                <w:rFonts w:ascii="宋体" w:hAnsi="宋体"/>
                <w:szCs w:val="21"/>
              </w:rPr>
            </w:pPr>
          </w:p>
        </w:tc>
      </w:tr>
    </w:tbl>
    <w:p>
      <w:pPr>
        <w:spacing w:line="360" w:lineRule="auto"/>
        <w:ind w:firstLine="630" w:firstLineChars="300"/>
        <w:jc w:val="left"/>
        <w:rPr>
          <w:rFonts w:ascii="宋体" w:hAnsi="宋体" w:cs="宋体"/>
          <w:kern w:val="0"/>
          <w:szCs w:val="21"/>
        </w:rPr>
      </w:pPr>
      <w:r>
        <w:rPr>
          <w:rFonts w:hint="eastAsia" w:ascii="宋体" w:hAnsi="宋体" w:cs="宋体"/>
          <w:kern w:val="0"/>
          <w:szCs w:val="21"/>
        </w:rPr>
        <w:t>投标人保证：除商务条款响应表列出的偏离外，投标人响应招标文件的全部商务要求。</w:t>
      </w:r>
    </w:p>
    <w:p>
      <w:pPr>
        <w:snapToGrid w:val="0"/>
        <w:spacing w:line="360" w:lineRule="auto"/>
        <w:jc w:val="left"/>
        <w:rPr>
          <w:rFonts w:ascii="宋体" w:hAnsi="宋体"/>
          <w:szCs w:val="21"/>
        </w:rPr>
      </w:pPr>
      <w:r>
        <w:rPr>
          <w:rFonts w:hint="eastAsia" w:ascii="宋体" w:hAnsi="宋体"/>
          <w:szCs w:val="21"/>
        </w:rPr>
        <w:t>注：1、</w:t>
      </w:r>
      <w:r>
        <w:rPr>
          <w:rFonts w:hint="eastAsia" w:ascii="宋体" w:hAnsi="宋体"/>
          <w:lang w:val="zh-CN"/>
        </w:rPr>
        <w:t>投标人根据本招标文件的相关条款</w:t>
      </w:r>
      <w:r>
        <w:rPr>
          <w:rFonts w:hint="eastAsia" w:ascii="宋体" w:hAnsi="宋体"/>
        </w:rPr>
        <w:t>如实</w:t>
      </w:r>
      <w:r>
        <w:rPr>
          <w:rFonts w:hint="eastAsia" w:ascii="宋体" w:hAnsi="宋体"/>
          <w:lang w:val="zh-CN"/>
        </w:rPr>
        <w:t>填写</w:t>
      </w:r>
      <w:r>
        <w:rPr>
          <w:rFonts w:hint="eastAsia" w:ascii="宋体" w:hAnsi="宋体"/>
          <w:szCs w:val="21"/>
        </w:rPr>
        <w:t>；</w:t>
      </w:r>
      <w:r>
        <w:rPr>
          <w:rFonts w:hint="eastAsia" w:ascii="宋体" w:hAnsi="宋体"/>
        </w:rPr>
        <w:t>2、须如实填写，如无偏离情况，注明无偏离，如有偏离情况，请根据实际情况填写，并注明正偏离、负偏离；</w:t>
      </w:r>
      <w:r>
        <w:rPr>
          <w:rFonts w:hint="eastAsia" w:ascii="宋体" w:hAnsi="宋体"/>
          <w:lang w:val="zh-CN"/>
        </w:rPr>
        <w:t xml:space="preserve"> </w:t>
      </w:r>
    </w:p>
    <w:p>
      <w:pPr>
        <w:spacing w:line="400" w:lineRule="atLeast"/>
        <w:rPr>
          <w:rFonts w:ascii="宋体" w:hAnsi="宋体"/>
          <w:szCs w:val="21"/>
        </w:rPr>
      </w:pPr>
    </w:p>
    <w:p>
      <w:pPr>
        <w:spacing w:line="400" w:lineRule="atLeast"/>
        <w:rPr>
          <w:rFonts w:ascii="宋体" w:hAnsi="宋体"/>
          <w:szCs w:val="21"/>
        </w:rPr>
      </w:pPr>
      <w:r>
        <w:rPr>
          <w:rFonts w:hint="eastAsia" w:ascii="宋体" w:hAnsi="宋体"/>
          <w:szCs w:val="21"/>
        </w:rPr>
        <w:t>供应商：（盖章）</w:t>
      </w:r>
    </w:p>
    <w:p>
      <w:pPr>
        <w:spacing w:line="400" w:lineRule="atLeast"/>
        <w:rPr>
          <w:rFonts w:ascii="宋体" w:hAnsi="宋体"/>
          <w:szCs w:val="21"/>
        </w:rPr>
      </w:pPr>
      <w:r>
        <w:rPr>
          <w:rFonts w:hint="eastAsia" w:ascii="宋体" w:hAnsi="宋体"/>
          <w:szCs w:val="21"/>
        </w:rPr>
        <w:t>法定代表人或授权代表：（签字）</w:t>
      </w:r>
    </w:p>
    <w:p>
      <w:pPr>
        <w:spacing w:line="400" w:lineRule="atLeast"/>
        <w:rPr>
          <w:rFonts w:ascii="宋体" w:hAnsi="宋体"/>
          <w:szCs w:val="21"/>
        </w:rPr>
      </w:pPr>
      <w:r>
        <w:rPr>
          <w:rFonts w:hint="eastAsia" w:ascii="宋体" w:hAnsi="宋体"/>
          <w:szCs w:val="21"/>
        </w:rPr>
        <w:t>日期：</w:t>
      </w:r>
    </w:p>
    <w:p>
      <w:pPr>
        <w:rPr>
          <w:rFonts w:ascii="宋体" w:hAnsi="宋体"/>
          <w:szCs w:val="21"/>
        </w:rPr>
        <w:sectPr>
          <w:pgSz w:w="16838" w:h="11906" w:orient="landscape"/>
          <w:pgMar w:top="1134" w:right="1985" w:bottom="1134" w:left="1588" w:header="567" w:footer="624" w:gutter="0"/>
          <w:cols w:space="720" w:num="1"/>
          <w:docGrid w:linePitch="602" w:charSpace="-1675"/>
        </w:sectPr>
      </w:pPr>
    </w:p>
    <w:p>
      <w:pPr>
        <w:pStyle w:val="26"/>
        <w:ind w:firstLine="0" w:firstLineChars="0"/>
        <w:rPr>
          <w:rFonts w:hAnsi="宋体"/>
          <w:b/>
          <w:sz w:val="24"/>
          <w:szCs w:val="21"/>
        </w:rPr>
      </w:pPr>
      <w:r>
        <w:rPr>
          <w:rFonts w:hint="eastAsia"/>
          <w:b/>
          <w:bCs/>
        </w:rPr>
        <w:t>10.服务承诺</w:t>
      </w:r>
    </w:p>
    <w:p>
      <w:pPr>
        <w:jc w:val="center"/>
        <w:rPr>
          <w:rFonts w:ascii="宋体" w:hAnsi="宋体" w:cs="宋体"/>
          <w:b/>
          <w:bCs/>
          <w:sz w:val="28"/>
          <w:szCs w:val="28"/>
        </w:rPr>
      </w:pPr>
    </w:p>
    <w:p>
      <w:pPr>
        <w:jc w:val="center"/>
        <w:rPr>
          <w:b/>
        </w:rPr>
      </w:pPr>
      <w:r>
        <w:rPr>
          <w:rFonts w:hint="eastAsia" w:ascii="宋体" w:hAnsi="宋体" w:cs="宋体"/>
          <w:b/>
          <w:bCs/>
          <w:sz w:val="28"/>
          <w:szCs w:val="28"/>
        </w:rPr>
        <w:t>服务承诺</w:t>
      </w:r>
    </w:p>
    <w:p>
      <w:pPr>
        <w:spacing w:line="400" w:lineRule="exact"/>
        <w:ind w:left="540" w:firstLine="30"/>
        <w:jc w:val="center"/>
        <w:rPr>
          <w:rFonts w:ascii="宋体" w:hAnsi="宋体"/>
          <w:b/>
          <w:szCs w:val="21"/>
        </w:rPr>
      </w:pPr>
    </w:p>
    <w:p>
      <w:pPr>
        <w:spacing w:line="360" w:lineRule="auto"/>
        <w:rPr>
          <w:rFonts w:ascii="宋体" w:hAnsi="宋体"/>
          <w:szCs w:val="21"/>
        </w:rPr>
      </w:pPr>
      <w:r>
        <w:rPr>
          <w:rFonts w:hint="eastAsia" w:ascii="宋体" w:hAnsi="宋体"/>
          <w:szCs w:val="21"/>
        </w:rPr>
        <w:t>致：</w:t>
      </w:r>
      <w:r>
        <w:rPr>
          <w:rFonts w:hint="eastAsia" w:ascii="宋体" w:hAnsi="宋体"/>
          <w:szCs w:val="21"/>
          <w:u w:val="single"/>
        </w:rPr>
        <w:t xml:space="preserve">（采购单位）        </w:t>
      </w:r>
    </w:p>
    <w:p>
      <w:pPr>
        <w:spacing w:line="360" w:lineRule="auto"/>
        <w:ind w:firstLine="570"/>
        <w:rPr>
          <w:rFonts w:ascii="宋体" w:hAnsi="宋体"/>
          <w:szCs w:val="21"/>
        </w:rPr>
      </w:pPr>
      <w:r>
        <w:rPr>
          <w:rFonts w:hint="eastAsia" w:ascii="宋体" w:hAnsi="宋体"/>
          <w:szCs w:val="21"/>
        </w:rPr>
        <w:t>关于贵方组织的</w:t>
      </w:r>
      <w:r>
        <w:rPr>
          <w:rFonts w:hint="eastAsia" w:ascii="宋体" w:hAnsi="宋体"/>
          <w:u w:val="single"/>
        </w:rPr>
        <w:t xml:space="preserve">          （项目名称）      </w:t>
      </w:r>
      <w:r>
        <w:rPr>
          <w:rFonts w:hint="eastAsia" w:ascii="宋体" w:hAnsi="宋体"/>
        </w:rPr>
        <w:t xml:space="preserve"> ，标项</w:t>
      </w:r>
      <w:r>
        <w:rPr>
          <w:rFonts w:hint="eastAsia" w:ascii="宋体" w:hAnsi="宋体"/>
          <w:u w:val="single"/>
        </w:rPr>
        <w:t xml:space="preserve"> （标项号）</w:t>
      </w:r>
      <w:r>
        <w:rPr>
          <w:rFonts w:hint="eastAsia" w:ascii="宋体" w:hAnsi="宋体"/>
        </w:rPr>
        <w:t xml:space="preserve"> ，</w:t>
      </w:r>
      <w:r>
        <w:rPr>
          <w:rFonts w:hint="eastAsia" w:ascii="宋体" w:hAnsi="宋体"/>
          <w:szCs w:val="21"/>
        </w:rPr>
        <w:t>（招标编号：</w:t>
      </w:r>
      <w:r>
        <w:rPr>
          <w:rFonts w:hint="eastAsia" w:ascii="宋体" w:hAnsi="宋体"/>
          <w:szCs w:val="21"/>
          <w:u w:val="single"/>
        </w:rPr>
        <w:t xml:space="preserve">         </w:t>
      </w:r>
      <w:r>
        <w:rPr>
          <w:rFonts w:hint="eastAsia" w:ascii="宋体" w:hAnsi="宋体"/>
          <w:szCs w:val="21"/>
        </w:rPr>
        <w:t>）招标活动，现承诺如下：</w:t>
      </w:r>
    </w:p>
    <w:p>
      <w:pPr>
        <w:spacing w:line="360" w:lineRule="auto"/>
        <w:ind w:firstLine="570"/>
        <w:rPr>
          <w:rFonts w:ascii="宋体" w:hAnsi="宋体"/>
          <w:szCs w:val="21"/>
        </w:rPr>
      </w:pPr>
      <w:r>
        <w:rPr>
          <w:rFonts w:hint="eastAsia" w:ascii="宋体" w:hAnsi="宋体"/>
          <w:szCs w:val="21"/>
        </w:rPr>
        <w:t>本次招标所提供的服务完全满足招标文件第二章招标需求提出的所有要求。</w:t>
      </w:r>
    </w:p>
    <w:p>
      <w:pPr>
        <w:spacing w:line="360" w:lineRule="auto"/>
        <w:ind w:firstLine="570"/>
        <w:rPr>
          <w:rFonts w:ascii="宋体" w:hAnsi="宋体"/>
          <w:szCs w:val="21"/>
        </w:rPr>
      </w:pPr>
      <w:r>
        <w:rPr>
          <w:rFonts w:hint="eastAsia" w:ascii="宋体" w:hAnsi="宋体"/>
          <w:szCs w:val="21"/>
        </w:rPr>
        <w:t>特此承诺。</w:t>
      </w:r>
    </w:p>
    <w:p>
      <w:pPr>
        <w:spacing w:line="360" w:lineRule="auto"/>
        <w:ind w:firstLine="570"/>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rPr>
          <w:szCs w:val="21"/>
          <w:u w:val="single"/>
        </w:rPr>
      </w:pPr>
      <w:r>
        <w:rPr>
          <w:rFonts w:hint="eastAsia"/>
          <w:szCs w:val="21"/>
        </w:rPr>
        <w:t>投标人全称：</w:t>
      </w:r>
      <w:r>
        <w:rPr>
          <w:rFonts w:hint="eastAsia"/>
          <w:szCs w:val="21"/>
          <w:u w:val="single"/>
        </w:rPr>
        <w:t xml:space="preserve">              （公章）      </w:t>
      </w:r>
    </w:p>
    <w:p>
      <w:pPr>
        <w:spacing w:line="360" w:lineRule="auto"/>
        <w:rPr>
          <w:sz w:val="24"/>
        </w:rPr>
      </w:pPr>
      <w:r>
        <w:rPr>
          <w:rFonts w:hint="eastAsia"/>
        </w:rPr>
        <w:t>法定代表人或其授权代表人（签字或盖章）</w:t>
      </w:r>
      <w:r>
        <w:rPr>
          <w:rFonts w:hint="eastAsia"/>
          <w:sz w:val="24"/>
        </w:rPr>
        <w:t>：</w:t>
      </w:r>
      <w:r>
        <w:rPr>
          <w:rFonts w:hint="eastAsia"/>
          <w:sz w:val="24"/>
          <w:u w:val="single"/>
        </w:rPr>
        <w:t xml:space="preserve">                 </w:t>
      </w:r>
      <w:r>
        <w:rPr>
          <w:rFonts w:hint="eastAsia"/>
          <w:sz w:val="24"/>
        </w:rPr>
        <w:t xml:space="preserve"> </w:t>
      </w:r>
    </w:p>
    <w:p>
      <w:pPr>
        <w:spacing w:line="360" w:lineRule="auto"/>
        <w:rPr>
          <w:b/>
          <w:sz w:val="24"/>
        </w:rPr>
      </w:pPr>
      <w:r>
        <w:rPr>
          <w:rFonts w:hint="eastAsia"/>
        </w:rPr>
        <w:t>日期：</w:t>
      </w:r>
      <w:r>
        <w:rPr>
          <w:rFonts w:hint="eastAsia"/>
          <w:sz w:val="24"/>
        </w:rPr>
        <w:t xml:space="preserve"> </w:t>
      </w:r>
      <w:r>
        <w:rPr>
          <w:rFonts w:hint="eastAsia"/>
          <w:sz w:val="24"/>
          <w:u w:val="single"/>
        </w:rPr>
        <w:t xml:space="preserve">                   </w:t>
      </w:r>
      <w:r>
        <w:rPr>
          <w:rFonts w:hint="eastAsia"/>
          <w:b/>
          <w:sz w:val="24"/>
        </w:rPr>
        <w:t xml:space="preserve"> </w:t>
      </w:r>
      <w:r>
        <w:rPr>
          <w:b/>
          <w:sz w:val="24"/>
        </w:rPr>
        <w:t xml:space="preserve"> </w:t>
      </w:r>
    </w:p>
    <w:p>
      <w:pPr>
        <w:rPr>
          <w:rFonts w:ascii="宋体" w:hAnsi="宋体"/>
          <w:szCs w:val="21"/>
        </w:rPr>
      </w:pPr>
      <w:r>
        <w:rPr>
          <w:rFonts w:hint="eastAsia" w:ascii="宋体" w:hAnsi="宋体"/>
          <w:szCs w:val="21"/>
        </w:rPr>
        <w:br w:type="page"/>
      </w:r>
    </w:p>
    <w:p>
      <w:pPr>
        <w:pStyle w:val="26"/>
        <w:ind w:firstLine="0" w:firstLineChars="0"/>
        <w:rPr>
          <w:b/>
          <w:bCs/>
        </w:rPr>
      </w:pPr>
      <w:r>
        <w:rPr>
          <w:rFonts w:hint="eastAsia"/>
          <w:b/>
          <w:bCs/>
        </w:rPr>
        <w:t>11.拟派往本项目的团队人员一览表</w:t>
      </w:r>
    </w:p>
    <w:p>
      <w:pPr>
        <w:spacing w:line="360" w:lineRule="auto"/>
        <w:jc w:val="center"/>
        <w:rPr>
          <w:rFonts w:ascii="宋体" w:hAnsi="宋体" w:cs="宋体"/>
          <w:b/>
          <w:bCs/>
          <w:sz w:val="28"/>
          <w:szCs w:val="28"/>
        </w:rPr>
      </w:pPr>
      <w:r>
        <w:rPr>
          <w:rFonts w:hint="eastAsia" w:ascii="宋体" w:hAnsi="宋体" w:cs="宋体"/>
          <w:b/>
          <w:bCs/>
          <w:sz w:val="28"/>
          <w:szCs w:val="28"/>
        </w:rPr>
        <w:t>拟派往本项目的团队人员一览表</w:t>
      </w:r>
    </w:p>
    <w:p>
      <w:pPr>
        <w:snapToGrid w:val="0"/>
        <w:spacing w:line="360" w:lineRule="auto"/>
        <w:rPr>
          <w:rFonts w:ascii="宋体" w:hAnsi="宋体" w:cs="宋体"/>
          <w:szCs w:val="21"/>
        </w:rPr>
      </w:pPr>
      <w:r>
        <w:rPr>
          <w:rFonts w:hint="eastAsia" w:ascii="宋体" w:hAnsi="宋体" w:cs="宋体"/>
          <w:szCs w:val="21"/>
        </w:rPr>
        <w:t>项目名称：</w:t>
      </w:r>
    </w:p>
    <w:p>
      <w:pPr>
        <w:spacing w:line="360" w:lineRule="auto"/>
        <w:rPr>
          <w:rFonts w:ascii="宋体" w:hAnsi="宋体" w:cs="宋体"/>
          <w:szCs w:val="21"/>
        </w:rPr>
      </w:pPr>
      <w:r>
        <w:rPr>
          <w:rFonts w:hint="eastAsia" w:ascii="宋体" w:hAnsi="宋体" w:cs="宋体"/>
          <w:szCs w:val="21"/>
        </w:rPr>
        <w:t xml:space="preserve">项目编号：     </w:t>
      </w:r>
    </w:p>
    <w:p>
      <w:pPr>
        <w:spacing w:line="360" w:lineRule="auto"/>
      </w:pPr>
      <w:r>
        <w:rPr>
          <w:rFonts w:hint="eastAsia" w:ascii="宋体" w:hAnsi="宋体" w:cs="宋体"/>
          <w:szCs w:val="21"/>
        </w:rPr>
        <w:t>标项号：</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20"/>
        <w:gridCol w:w="180"/>
        <w:gridCol w:w="900"/>
        <w:gridCol w:w="540"/>
        <w:gridCol w:w="720"/>
        <w:gridCol w:w="925"/>
        <w:gridCol w:w="1701"/>
        <w:gridCol w:w="811"/>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8789"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b/>
                <w:bCs/>
                <w:sz w:val="28"/>
              </w:rPr>
            </w:pPr>
            <w:r>
              <w:rPr>
                <w:rFonts w:hint="eastAsia" w:ascii="宋体" w:hAnsi="宋体"/>
                <w:b/>
                <w:sz w:val="24"/>
              </w:rPr>
              <w:t>拟派人员及构成情况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r>
              <w:rPr>
                <w:rFonts w:hint="eastAsia" w:ascii="宋体"/>
              </w:rPr>
              <w:t>项目管理部</w:t>
            </w:r>
          </w:p>
          <w:p>
            <w:pPr>
              <w:spacing w:line="360" w:lineRule="auto"/>
              <w:jc w:val="center"/>
              <w:rPr>
                <w:rFonts w:ascii="宋体"/>
              </w:rPr>
            </w:pPr>
            <w:r>
              <w:rPr>
                <w:rFonts w:hint="eastAsia" w:ascii="宋体"/>
              </w:rPr>
              <w:t>管理人员</w:t>
            </w:r>
          </w:p>
        </w:tc>
        <w:tc>
          <w:tcPr>
            <w:tcW w:w="1620"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r>
              <w:rPr>
                <w:rFonts w:hint="eastAsia" w:ascii="宋体"/>
                <w:u w:val="single"/>
              </w:rPr>
              <w:t xml:space="preserve">    </w:t>
            </w:r>
            <w:r>
              <w:rPr>
                <w:rFonts w:hint="eastAsia" w:ascii="宋体"/>
              </w:rPr>
              <w:t>（人）</w:t>
            </w:r>
          </w:p>
        </w:tc>
        <w:tc>
          <w:tcPr>
            <w:tcW w:w="5189"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r>
              <w:rPr>
                <w:rFonts w:hint="eastAsia" w:ascii="宋体"/>
              </w:rPr>
              <w:t>有职称管理人员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1620"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pPr>
          </w:p>
        </w:tc>
        <w:tc>
          <w:tcPr>
            <w:tcW w:w="164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r>
              <w:rPr>
                <w:rFonts w:hint="eastAsia" w:ascii="宋体"/>
              </w:rPr>
              <w:t>高级</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r>
              <w:rPr>
                <w:rFonts w:hint="eastAsia" w:ascii="宋体"/>
              </w:rPr>
              <w:t>中级</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rPr>
            </w:pPr>
            <w:r>
              <w:rPr>
                <w:rFonts w:hint="eastAsia" w:ascii="宋体"/>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8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pPr>
          </w:p>
        </w:tc>
        <w:tc>
          <w:tcPr>
            <w:tcW w:w="1620"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360" w:lineRule="auto"/>
            </w:pPr>
          </w:p>
        </w:tc>
        <w:tc>
          <w:tcPr>
            <w:tcW w:w="1645"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p>
        </w:tc>
        <w:tc>
          <w:tcPr>
            <w:tcW w:w="1843"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r>
              <w:rPr>
                <w:rFonts w:hint="eastAsia" w:ascii="宋体"/>
              </w:rPr>
              <w:t>姓名</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r>
              <w:rPr>
                <w:rFonts w:hint="eastAsia" w:ascii="宋体"/>
              </w:rPr>
              <w:t>年龄</w:t>
            </w: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r>
              <w:rPr>
                <w:rFonts w:hint="eastAsia" w:ascii="宋体"/>
              </w:rPr>
              <w:t>专业</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r>
              <w:rPr>
                <w:rFonts w:hint="eastAsia" w:ascii="宋体"/>
              </w:rPr>
              <w:t>学历</w:t>
            </w:r>
          </w:p>
        </w:tc>
        <w:tc>
          <w:tcPr>
            <w:tcW w:w="9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r>
              <w:rPr>
                <w:rFonts w:hint="eastAsia" w:ascii="宋体"/>
              </w:rPr>
              <w:t>职称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r>
              <w:rPr>
                <w:rFonts w:hint="eastAsia" w:ascii="宋体"/>
              </w:rPr>
              <w:t>在本项目</w:t>
            </w:r>
          </w:p>
          <w:p>
            <w:pPr>
              <w:spacing w:line="360" w:lineRule="auto"/>
              <w:rPr>
                <w:rFonts w:ascii="宋体"/>
              </w:rPr>
            </w:pPr>
            <w:r>
              <w:rPr>
                <w:rFonts w:hint="eastAsia" w:ascii="宋体"/>
              </w:rPr>
              <w:t>拟担任职务</w:t>
            </w:r>
          </w:p>
        </w:tc>
        <w:tc>
          <w:tcPr>
            <w:tcW w:w="81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r>
              <w:rPr>
                <w:rFonts w:hint="eastAsia" w:ascii="宋体"/>
              </w:rPr>
              <w:t>工作年限</w:t>
            </w:r>
          </w:p>
        </w:tc>
        <w:tc>
          <w:tcPr>
            <w:tcW w:w="103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rPr>
            </w:pPr>
            <w:r>
              <w:rPr>
                <w:rFonts w:hint="eastAsia" w:ascii="宋体"/>
              </w:rPr>
              <w:t>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tcBorders>
              <w:top w:val="single" w:color="auto" w:sz="4" w:space="0"/>
              <w:left w:val="single" w:color="auto" w:sz="4" w:space="0"/>
              <w:bottom w:val="single" w:color="auto" w:sz="4" w:space="0"/>
              <w:right w:val="single" w:color="auto" w:sz="4" w:space="0"/>
            </w:tcBorders>
          </w:tcPr>
          <w:p>
            <w:pPr>
              <w:spacing w:line="360" w:lineRule="auto"/>
              <w:ind w:left="420"/>
              <w:rPr>
                <w:rFonts w:ascii="宋体"/>
              </w:rPr>
            </w:pPr>
          </w:p>
        </w:tc>
        <w:tc>
          <w:tcPr>
            <w:tcW w:w="900"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p>
        </w:tc>
        <w:tc>
          <w:tcPr>
            <w:tcW w:w="1260"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rPr>
            </w:pPr>
          </w:p>
        </w:tc>
        <w:tc>
          <w:tcPr>
            <w:tcW w:w="925"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p>
        </w:tc>
        <w:tc>
          <w:tcPr>
            <w:tcW w:w="811" w:type="dxa"/>
            <w:tcBorders>
              <w:top w:val="single" w:color="auto" w:sz="4" w:space="0"/>
              <w:left w:val="single" w:color="auto" w:sz="4" w:space="0"/>
              <w:bottom w:val="single" w:color="auto" w:sz="4" w:space="0"/>
              <w:right w:val="single" w:color="auto" w:sz="4" w:space="0"/>
            </w:tcBorders>
          </w:tcPr>
          <w:p>
            <w:pPr>
              <w:widowControl/>
              <w:spacing w:line="360" w:lineRule="auto"/>
              <w:rPr>
                <w:rFonts w:ascii="宋体"/>
              </w:rPr>
            </w:pPr>
          </w:p>
        </w:tc>
        <w:tc>
          <w:tcPr>
            <w:tcW w:w="1032" w:type="dxa"/>
            <w:tcBorders>
              <w:top w:val="single" w:color="auto" w:sz="4" w:space="0"/>
              <w:left w:val="single" w:color="auto" w:sz="4" w:space="0"/>
              <w:bottom w:val="single" w:color="auto" w:sz="4" w:space="0"/>
              <w:right w:val="single" w:color="auto" w:sz="4" w:space="0"/>
            </w:tcBorders>
          </w:tcPr>
          <w:p>
            <w:pPr>
              <w:widowControl/>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tcBorders>
              <w:top w:val="single" w:color="auto" w:sz="4" w:space="0"/>
              <w:left w:val="single" w:color="auto" w:sz="4" w:space="0"/>
              <w:bottom w:val="single" w:color="auto" w:sz="4" w:space="0"/>
              <w:right w:val="single" w:color="auto" w:sz="4" w:space="0"/>
            </w:tcBorders>
          </w:tcPr>
          <w:p>
            <w:pPr>
              <w:spacing w:line="360" w:lineRule="auto"/>
              <w:ind w:left="420"/>
              <w:rPr>
                <w:rFonts w:ascii="宋体"/>
              </w:rPr>
            </w:pPr>
          </w:p>
        </w:tc>
        <w:tc>
          <w:tcPr>
            <w:tcW w:w="900"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p>
        </w:tc>
        <w:tc>
          <w:tcPr>
            <w:tcW w:w="1260"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rPr>
            </w:pPr>
          </w:p>
        </w:tc>
        <w:tc>
          <w:tcPr>
            <w:tcW w:w="925"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p>
        </w:tc>
        <w:tc>
          <w:tcPr>
            <w:tcW w:w="811" w:type="dxa"/>
            <w:tcBorders>
              <w:top w:val="single" w:color="auto" w:sz="4" w:space="0"/>
              <w:left w:val="single" w:color="auto" w:sz="4" w:space="0"/>
              <w:bottom w:val="single" w:color="auto" w:sz="4" w:space="0"/>
              <w:right w:val="single" w:color="auto" w:sz="4" w:space="0"/>
            </w:tcBorders>
          </w:tcPr>
          <w:p>
            <w:pPr>
              <w:widowControl/>
              <w:spacing w:line="360" w:lineRule="auto"/>
              <w:rPr>
                <w:rFonts w:ascii="宋体"/>
              </w:rPr>
            </w:pPr>
          </w:p>
        </w:tc>
        <w:tc>
          <w:tcPr>
            <w:tcW w:w="1032" w:type="dxa"/>
            <w:tcBorders>
              <w:top w:val="single" w:color="auto" w:sz="4" w:space="0"/>
              <w:left w:val="single" w:color="auto" w:sz="4" w:space="0"/>
              <w:bottom w:val="single" w:color="auto" w:sz="4" w:space="0"/>
              <w:right w:val="single" w:color="auto" w:sz="4" w:space="0"/>
            </w:tcBorders>
          </w:tcPr>
          <w:p>
            <w:pPr>
              <w:widowControl/>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tcBorders>
              <w:top w:val="single" w:color="auto" w:sz="4" w:space="0"/>
              <w:left w:val="single" w:color="auto" w:sz="4" w:space="0"/>
              <w:bottom w:val="single" w:color="auto" w:sz="4" w:space="0"/>
              <w:right w:val="single" w:color="auto" w:sz="4" w:space="0"/>
            </w:tcBorders>
          </w:tcPr>
          <w:p>
            <w:pPr>
              <w:spacing w:line="360" w:lineRule="auto"/>
              <w:ind w:left="420"/>
              <w:rPr>
                <w:rFonts w:ascii="宋体"/>
              </w:rPr>
            </w:pPr>
          </w:p>
        </w:tc>
        <w:tc>
          <w:tcPr>
            <w:tcW w:w="900"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p>
        </w:tc>
        <w:tc>
          <w:tcPr>
            <w:tcW w:w="1260"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rPr>
            </w:pPr>
          </w:p>
        </w:tc>
        <w:tc>
          <w:tcPr>
            <w:tcW w:w="925"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p>
        </w:tc>
        <w:tc>
          <w:tcPr>
            <w:tcW w:w="811" w:type="dxa"/>
            <w:tcBorders>
              <w:top w:val="single" w:color="auto" w:sz="4" w:space="0"/>
              <w:left w:val="single" w:color="auto" w:sz="4" w:space="0"/>
              <w:bottom w:val="single" w:color="auto" w:sz="4" w:space="0"/>
              <w:right w:val="single" w:color="auto" w:sz="4" w:space="0"/>
            </w:tcBorders>
          </w:tcPr>
          <w:p>
            <w:pPr>
              <w:widowControl/>
              <w:spacing w:line="360" w:lineRule="auto"/>
              <w:rPr>
                <w:rFonts w:ascii="宋体"/>
              </w:rPr>
            </w:pPr>
          </w:p>
        </w:tc>
        <w:tc>
          <w:tcPr>
            <w:tcW w:w="1032" w:type="dxa"/>
            <w:tcBorders>
              <w:top w:val="single" w:color="auto" w:sz="4" w:space="0"/>
              <w:left w:val="single" w:color="auto" w:sz="4" w:space="0"/>
              <w:bottom w:val="single" w:color="auto" w:sz="4" w:space="0"/>
              <w:right w:val="single" w:color="auto" w:sz="4" w:space="0"/>
            </w:tcBorders>
          </w:tcPr>
          <w:p>
            <w:pPr>
              <w:widowControl/>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tcBorders>
              <w:top w:val="single" w:color="auto" w:sz="4" w:space="0"/>
              <w:left w:val="single" w:color="auto" w:sz="4" w:space="0"/>
              <w:bottom w:val="single" w:color="auto" w:sz="4" w:space="0"/>
              <w:right w:val="single" w:color="auto" w:sz="4" w:space="0"/>
            </w:tcBorders>
          </w:tcPr>
          <w:p>
            <w:pPr>
              <w:spacing w:line="360" w:lineRule="auto"/>
              <w:ind w:left="420"/>
              <w:rPr>
                <w:rFonts w:ascii="宋体"/>
              </w:rPr>
            </w:pPr>
          </w:p>
        </w:tc>
        <w:tc>
          <w:tcPr>
            <w:tcW w:w="900"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p>
        </w:tc>
        <w:tc>
          <w:tcPr>
            <w:tcW w:w="1260"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rPr>
            </w:pPr>
          </w:p>
        </w:tc>
        <w:tc>
          <w:tcPr>
            <w:tcW w:w="925"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p>
        </w:tc>
        <w:tc>
          <w:tcPr>
            <w:tcW w:w="811" w:type="dxa"/>
            <w:tcBorders>
              <w:top w:val="single" w:color="auto" w:sz="4" w:space="0"/>
              <w:left w:val="single" w:color="auto" w:sz="4" w:space="0"/>
              <w:bottom w:val="single" w:color="auto" w:sz="4" w:space="0"/>
              <w:right w:val="single" w:color="auto" w:sz="4" w:space="0"/>
            </w:tcBorders>
          </w:tcPr>
          <w:p>
            <w:pPr>
              <w:widowControl/>
              <w:spacing w:line="360" w:lineRule="auto"/>
              <w:rPr>
                <w:rFonts w:ascii="宋体"/>
              </w:rPr>
            </w:pPr>
          </w:p>
        </w:tc>
        <w:tc>
          <w:tcPr>
            <w:tcW w:w="1032" w:type="dxa"/>
            <w:tcBorders>
              <w:top w:val="single" w:color="auto" w:sz="4" w:space="0"/>
              <w:left w:val="single" w:color="auto" w:sz="4" w:space="0"/>
              <w:bottom w:val="single" w:color="auto" w:sz="4" w:space="0"/>
              <w:right w:val="single" w:color="auto" w:sz="4" w:space="0"/>
            </w:tcBorders>
          </w:tcPr>
          <w:p>
            <w:pPr>
              <w:widowControl/>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tcBorders>
              <w:top w:val="single" w:color="auto" w:sz="4" w:space="0"/>
              <w:left w:val="single" w:color="auto" w:sz="4" w:space="0"/>
              <w:bottom w:val="single" w:color="auto" w:sz="4" w:space="0"/>
              <w:right w:val="single" w:color="auto" w:sz="4" w:space="0"/>
            </w:tcBorders>
          </w:tcPr>
          <w:p>
            <w:pPr>
              <w:spacing w:line="360" w:lineRule="auto"/>
              <w:ind w:left="420"/>
              <w:rPr>
                <w:rFonts w:ascii="宋体"/>
              </w:rPr>
            </w:pPr>
          </w:p>
        </w:tc>
        <w:tc>
          <w:tcPr>
            <w:tcW w:w="900"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p>
        </w:tc>
        <w:tc>
          <w:tcPr>
            <w:tcW w:w="1260"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rPr>
            </w:pPr>
          </w:p>
        </w:tc>
        <w:tc>
          <w:tcPr>
            <w:tcW w:w="925"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rPr>
                <w:rFonts w:ascii="宋体"/>
              </w:rPr>
            </w:pPr>
          </w:p>
        </w:tc>
        <w:tc>
          <w:tcPr>
            <w:tcW w:w="811" w:type="dxa"/>
            <w:tcBorders>
              <w:top w:val="single" w:color="auto" w:sz="4" w:space="0"/>
              <w:left w:val="single" w:color="auto" w:sz="4" w:space="0"/>
              <w:bottom w:val="single" w:color="auto" w:sz="4" w:space="0"/>
              <w:right w:val="single" w:color="auto" w:sz="4" w:space="0"/>
            </w:tcBorders>
          </w:tcPr>
          <w:p>
            <w:pPr>
              <w:widowControl/>
              <w:spacing w:line="360" w:lineRule="auto"/>
              <w:rPr>
                <w:rFonts w:ascii="宋体"/>
              </w:rPr>
            </w:pPr>
          </w:p>
        </w:tc>
        <w:tc>
          <w:tcPr>
            <w:tcW w:w="1032" w:type="dxa"/>
            <w:tcBorders>
              <w:top w:val="single" w:color="auto" w:sz="4" w:space="0"/>
              <w:left w:val="single" w:color="auto" w:sz="4" w:space="0"/>
              <w:bottom w:val="single" w:color="auto" w:sz="4" w:space="0"/>
              <w:right w:val="single" w:color="auto" w:sz="4" w:space="0"/>
            </w:tcBorders>
          </w:tcPr>
          <w:p>
            <w:pPr>
              <w:widowControl/>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8789" w:type="dxa"/>
            <w:gridSpan w:val="10"/>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rPr>
            </w:pPr>
            <w:r>
              <w:rPr>
                <w:rFonts w:hint="eastAsia" w:ascii="宋体"/>
              </w:rPr>
              <w:t>上述拟派现场组织机构各主要岗位的职责概述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8789" w:type="dxa"/>
            <w:gridSpan w:val="10"/>
            <w:tcBorders>
              <w:top w:val="single" w:color="auto" w:sz="4" w:space="0"/>
              <w:left w:val="single" w:color="auto" w:sz="4" w:space="0"/>
              <w:right w:val="single" w:color="auto" w:sz="4" w:space="0"/>
            </w:tcBorders>
            <w:vAlign w:val="center"/>
          </w:tcPr>
          <w:p>
            <w:pPr>
              <w:spacing w:line="360" w:lineRule="auto"/>
              <w:rPr>
                <w:rFonts w:ascii="宋体"/>
              </w:rPr>
            </w:pPr>
          </w:p>
        </w:tc>
      </w:tr>
    </w:tbl>
    <w:p>
      <w:pPr>
        <w:spacing w:line="360" w:lineRule="auto"/>
        <w:ind w:firstLine="420" w:firstLineChars="200"/>
        <w:rPr>
          <w:rFonts w:ascii="宋体"/>
          <w:szCs w:val="21"/>
        </w:rPr>
      </w:pPr>
      <w:r>
        <w:rPr>
          <w:rFonts w:hint="eastAsia" w:ascii="宋体"/>
          <w:szCs w:val="21"/>
        </w:rPr>
        <w:t>我方承诺项目经理</w:t>
      </w:r>
      <w:r>
        <w:rPr>
          <w:rFonts w:hint="eastAsia" w:ascii="宋体"/>
          <w:szCs w:val="21"/>
          <w:u w:val="single"/>
        </w:rPr>
        <w:t xml:space="preserve">          </w:t>
      </w:r>
      <w:r>
        <w:rPr>
          <w:rFonts w:hint="eastAsia" w:ascii="宋体"/>
          <w:szCs w:val="21"/>
        </w:rPr>
        <w:t>，主要技术人员</w:t>
      </w:r>
      <w:r>
        <w:rPr>
          <w:rFonts w:hint="eastAsia" w:ascii="宋体"/>
          <w:szCs w:val="21"/>
          <w:u w:val="single"/>
        </w:rPr>
        <w:t xml:space="preserve">             </w:t>
      </w:r>
      <w:r>
        <w:rPr>
          <w:rFonts w:hint="eastAsia" w:ascii="宋体"/>
          <w:szCs w:val="21"/>
        </w:rPr>
        <w:t>，将在</w:t>
      </w:r>
      <w:r>
        <w:rPr>
          <w:rFonts w:hint="eastAsia" w:ascii="宋体" w:cs="Arial Unicode MS"/>
        </w:rPr>
        <w:t>项目实施周期内全职承担本项目工作，未得到招标人许可不能更换项目经理和主要技术人员，同时承诺保证服务期限内实施人员的稳定。</w:t>
      </w:r>
    </w:p>
    <w:p>
      <w:pPr>
        <w:spacing w:line="276" w:lineRule="auto"/>
        <w:ind w:firstLine="361" w:firstLineChars="200"/>
        <w:rPr>
          <w:rFonts w:ascii="宋体"/>
          <w:b/>
          <w:bCs/>
          <w:sz w:val="18"/>
          <w:szCs w:val="18"/>
        </w:rPr>
      </w:pPr>
      <w:r>
        <w:rPr>
          <w:rFonts w:hint="eastAsia" w:ascii="宋体"/>
          <w:b/>
          <w:bCs/>
          <w:sz w:val="18"/>
          <w:szCs w:val="18"/>
        </w:rPr>
        <w:t>注：1.投标人须随本表附拟派往本项目的主要人员身份证复印件、资格证书（如有）复印件盖单位公章，主要技术人员须为投标人正式在职员工、且实际参加本合同实施工作中涉及到的主要专业负责人。</w:t>
      </w:r>
    </w:p>
    <w:p>
      <w:pPr>
        <w:spacing w:line="276" w:lineRule="auto"/>
        <w:ind w:firstLine="361" w:firstLineChars="200"/>
        <w:rPr>
          <w:rFonts w:ascii="宋体"/>
          <w:b/>
          <w:bCs/>
          <w:sz w:val="18"/>
          <w:szCs w:val="18"/>
        </w:rPr>
      </w:pPr>
      <w:r>
        <w:rPr>
          <w:rFonts w:hint="eastAsia" w:ascii="宋体"/>
          <w:b/>
          <w:bCs/>
          <w:sz w:val="18"/>
          <w:szCs w:val="18"/>
        </w:rPr>
        <w:t>2.投标文件中须附相关人员身份证复印件、证书复印件、社保证明复印件（须提交公告发布之日前三个月任意一个月的社会保险证明）；均须加盖投标人公章。</w:t>
      </w:r>
    </w:p>
    <w:p>
      <w:pPr>
        <w:spacing w:line="276" w:lineRule="auto"/>
        <w:ind w:firstLine="361" w:firstLineChars="200"/>
        <w:rPr>
          <w:rFonts w:ascii="宋体"/>
          <w:b/>
          <w:bCs/>
          <w:sz w:val="18"/>
          <w:szCs w:val="18"/>
        </w:rPr>
      </w:pPr>
      <w:r>
        <w:rPr>
          <w:rFonts w:hint="eastAsia" w:ascii="宋体"/>
          <w:b/>
          <w:bCs/>
          <w:sz w:val="18"/>
          <w:szCs w:val="18"/>
        </w:rPr>
        <w:t>3.若本表无法满足投标人需求，可自行增加行列；</w:t>
      </w:r>
    </w:p>
    <w:p>
      <w:pPr>
        <w:spacing w:line="276" w:lineRule="auto"/>
        <w:rPr>
          <w:rFonts w:ascii="宋体"/>
        </w:rPr>
      </w:pPr>
    </w:p>
    <w:p>
      <w:pPr>
        <w:pStyle w:val="8"/>
        <w:spacing w:line="360" w:lineRule="auto"/>
        <w:ind w:firstLine="420" w:firstLineChars="200"/>
        <w:rPr>
          <w:rFonts w:hAnsi="宋体"/>
          <w:sz w:val="21"/>
          <w:szCs w:val="21"/>
        </w:rPr>
      </w:pPr>
    </w:p>
    <w:p>
      <w:pPr>
        <w:spacing w:line="360" w:lineRule="auto"/>
        <w:rPr>
          <w:rFonts w:ascii="宋体" w:hAnsi="宋体" w:cs="宋体"/>
          <w:szCs w:val="21"/>
        </w:rPr>
      </w:pPr>
      <w:r>
        <w:rPr>
          <w:rFonts w:hint="eastAsia" w:ascii="宋体" w:hAnsi="宋体" w:cs="宋体"/>
          <w:szCs w:val="21"/>
        </w:rPr>
        <w:t>供应商名称（盖单位公章）：</w:t>
      </w:r>
    </w:p>
    <w:p>
      <w:pPr>
        <w:spacing w:line="360" w:lineRule="auto"/>
        <w:rPr>
          <w:rFonts w:ascii="宋体" w:hAnsi="宋体" w:cs="宋体"/>
          <w:szCs w:val="21"/>
        </w:rPr>
      </w:pPr>
      <w:r>
        <w:rPr>
          <w:rFonts w:hint="eastAsia" w:ascii="宋体" w:hAnsi="宋体" w:cs="宋体"/>
          <w:szCs w:val="21"/>
        </w:rPr>
        <w:t>法定代表人或授权代表（签字或盖章）：</w:t>
      </w:r>
    </w:p>
    <w:p>
      <w:pPr>
        <w:spacing w:line="360" w:lineRule="auto"/>
        <w:rPr>
          <w:b/>
          <w:bCs/>
        </w:rPr>
      </w:pPr>
      <w:r>
        <w:rPr>
          <w:rFonts w:hint="eastAsia" w:ascii="宋体" w:hAnsi="宋体" w:cs="宋体"/>
          <w:szCs w:val="21"/>
        </w:rPr>
        <w:t>日期：</w:t>
      </w:r>
      <w:r>
        <w:rPr>
          <w:rFonts w:hAnsi="宋体"/>
          <w:szCs w:val="21"/>
        </w:rPr>
        <w:br w:type="page"/>
      </w:r>
      <w:r>
        <w:rPr>
          <w:rFonts w:hint="eastAsia"/>
          <w:b/>
          <w:bCs/>
        </w:rPr>
        <w:t>12.针对本项目拟投入设备承诺函</w:t>
      </w:r>
    </w:p>
    <w:p>
      <w:pPr>
        <w:spacing w:line="360" w:lineRule="auto"/>
        <w:jc w:val="center"/>
        <w:rPr>
          <w:rFonts w:hAnsi="宋体"/>
          <w:szCs w:val="21"/>
        </w:rPr>
      </w:pPr>
    </w:p>
    <w:p>
      <w:pPr>
        <w:spacing w:line="360" w:lineRule="auto"/>
        <w:jc w:val="center"/>
        <w:rPr>
          <w:rFonts w:ascii="宋体" w:hAnsi="宋体" w:cs="宋体"/>
          <w:b/>
          <w:bCs/>
          <w:sz w:val="28"/>
          <w:szCs w:val="28"/>
        </w:rPr>
      </w:pPr>
      <w:r>
        <w:rPr>
          <w:rFonts w:hint="eastAsia" w:ascii="宋体" w:hAnsi="宋体" w:cs="宋体"/>
          <w:b/>
          <w:bCs/>
          <w:sz w:val="28"/>
          <w:szCs w:val="28"/>
        </w:rPr>
        <w:t>针对本项目拟投入设备承诺函</w:t>
      </w:r>
    </w:p>
    <w:p>
      <w:pPr>
        <w:spacing w:line="400" w:lineRule="exact"/>
        <w:rPr>
          <w:rFonts w:ascii="宋体" w:hAnsi="宋体"/>
          <w:b/>
          <w:szCs w:val="21"/>
        </w:rPr>
      </w:pPr>
      <w:r>
        <w:rPr>
          <w:rFonts w:hint="eastAsia" w:ascii="宋体" w:hAnsi="宋体"/>
          <w:szCs w:val="21"/>
        </w:rPr>
        <w:t>致：</w:t>
      </w:r>
      <w:r>
        <w:rPr>
          <w:rFonts w:hint="eastAsia" w:ascii="宋体" w:hAnsi="宋体"/>
          <w:szCs w:val="21"/>
          <w:u w:val="single"/>
        </w:rPr>
        <w:t xml:space="preserve">（采购人  ） </w:t>
      </w:r>
    </w:p>
    <w:p>
      <w:pPr>
        <w:spacing w:line="400" w:lineRule="exact"/>
        <w:ind w:firstLine="420" w:firstLineChars="200"/>
        <w:rPr>
          <w:rFonts w:ascii="宋体" w:hAnsi="宋体"/>
          <w:szCs w:val="21"/>
        </w:rPr>
      </w:pPr>
      <w:r>
        <w:rPr>
          <w:rFonts w:hint="eastAsia" w:ascii="宋体" w:hAnsi="宋体"/>
          <w:bCs/>
          <w:szCs w:val="21"/>
        </w:rPr>
        <w:t>我单位承诺：</w:t>
      </w:r>
    </w:p>
    <w:p>
      <w:pPr>
        <w:numPr>
          <w:ilvl w:val="0"/>
          <w:numId w:val="6"/>
        </w:numPr>
        <w:spacing w:line="400" w:lineRule="exact"/>
        <w:ind w:firstLine="420" w:firstLineChars="200"/>
        <w:rPr>
          <w:rFonts w:ascii="宋体" w:hAnsi="宋体"/>
          <w:szCs w:val="21"/>
        </w:rPr>
      </w:pPr>
      <w:r>
        <w:rPr>
          <w:rFonts w:hint="eastAsia" w:ascii="宋体" w:hAnsi="宋体"/>
          <w:szCs w:val="21"/>
        </w:rPr>
        <w:t>投入以下设备以确保本项目在承诺服务期限内顺利展开并完成项目工作；</w:t>
      </w:r>
    </w:p>
    <w:p>
      <w:pPr>
        <w:numPr>
          <w:ilvl w:val="0"/>
          <w:numId w:val="6"/>
        </w:numPr>
        <w:spacing w:line="400" w:lineRule="exact"/>
        <w:ind w:firstLine="420" w:firstLineChars="200"/>
        <w:rPr>
          <w:rFonts w:ascii="宋体" w:hAnsi="宋体"/>
          <w:szCs w:val="21"/>
        </w:rPr>
      </w:pPr>
      <w:r>
        <w:rPr>
          <w:rFonts w:hint="eastAsia" w:ascii="宋体" w:hAnsi="宋体"/>
          <w:szCs w:val="21"/>
        </w:rPr>
        <w:t>在中标后，采购合同签订前提供以下设备的购置发票复印件（如为租赁设备，则提供租赁协议复印件及租赁方购置发票复印件），盖单位公章。</w:t>
      </w:r>
    </w:p>
    <w:p>
      <w:pPr>
        <w:numPr>
          <w:ilvl w:val="0"/>
          <w:numId w:val="6"/>
        </w:numPr>
        <w:spacing w:line="400" w:lineRule="exact"/>
        <w:ind w:firstLine="420" w:firstLineChars="200"/>
        <w:rPr>
          <w:rFonts w:ascii="宋体" w:hAnsi="宋体"/>
          <w:szCs w:val="21"/>
        </w:rPr>
      </w:pPr>
      <w:r>
        <w:rPr>
          <w:rFonts w:hint="eastAsia" w:ascii="宋体" w:hAnsi="宋体"/>
          <w:szCs w:val="21"/>
        </w:rPr>
        <w:t>......</w:t>
      </w:r>
    </w:p>
    <w:p>
      <w:pPr>
        <w:pStyle w:val="18"/>
        <w:spacing w:line="360" w:lineRule="auto"/>
        <w:ind w:firstLine="240"/>
        <w:jc w:val="center"/>
        <w:rPr>
          <w:szCs w:val="21"/>
        </w:rPr>
      </w:pPr>
      <w:r>
        <w:rPr>
          <w:rFonts w:hint="eastAsia"/>
          <w:szCs w:val="21"/>
        </w:rPr>
        <w:t>.......</w:t>
      </w:r>
    </w:p>
    <w:p>
      <w:pPr>
        <w:pStyle w:val="18"/>
        <w:spacing w:line="360" w:lineRule="auto"/>
        <w:ind w:firstLine="442"/>
        <w:jc w:val="center"/>
        <w:rPr>
          <w:b/>
          <w:bCs/>
          <w:sz w:val="44"/>
          <w:szCs w:val="44"/>
        </w:rPr>
      </w:pPr>
      <w:r>
        <w:rPr>
          <w:rFonts w:hint="eastAsia"/>
          <w:b/>
          <w:bCs/>
          <w:sz w:val="44"/>
          <w:szCs w:val="44"/>
        </w:rPr>
        <w:t>（具体内容自拟）</w:t>
      </w:r>
    </w:p>
    <w:p>
      <w:pPr>
        <w:spacing w:line="360" w:lineRule="auto"/>
        <w:jc w:val="left"/>
        <w:rPr>
          <w:rFonts w:ascii="宋体" w:hAnsi="宋体"/>
          <w:szCs w:val="21"/>
        </w:rPr>
      </w:pPr>
    </w:p>
    <w:p>
      <w:pPr>
        <w:spacing w:line="400" w:lineRule="exact"/>
        <w:ind w:firstLine="420" w:firstLineChars="200"/>
        <w:jc w:val="right"/>
        <w:rPr>
          <w:rFonts w:ascii="宋体" w:hAnsi="宋体"/>
          <w:szCs w:val="21"/>
        </w:rPr>
      </w:pPr>
      <w:r>
        <w:rPr>
          <w:rFonts w:hint="eastAsia"/>
        </w:rPr>
        <w:t xml:space="preserve"> </w:t>
      </w:r>
      <w:r>
        <w:rPr>
          <w:rFonts w:hint="eastAsia" w:ascii="宋体" w:hAnsi="宋体"/>
          <w:szCs w:val="21"/>
        </w:rPr>
        <w:t>特此承诺。</w:t>
      </w:r>
    </w:p>
    <w:p>
      <w:pPr>
        <w:pStyle w:val="18"/>
        <w:spacing w:line="360" w:lineRule="auto"/>
        <w:ind w:firstLine="240"/>
        <w:jc w:val="right"/>
      </w:pPr>
    </w:p>
    <w:p>
      <w:pPr>
        <w:spacing w:line="360" w:lineRule="auto"/>
        <w:rPr>
          <w:rFonts w:ascii="宋体" w:hAnsi="宋体" w:cs="宋体"/>
          <w:szCs w:val="21"/>
        </w:rPr>
      </w:pPr>
      <w:r>
        <w:rPr>
          <w:rFonts w:hint="eastAsia" w:ascii="宋体" w:hAnsi="宋体" w:cs="宋体"/>
          <w:szCs w:val="21"/>
        </w:rPr>
        <w:t>供应商名称（盖单位公章）：</w:t>
      </w:r>
    </w:p>
    <w:p>
      <w:pPr>
        <w:spacing w:line="360" w:lineRule="auto"/>
        <w:rPr>
          <w:rFonts w:ascii="宋体" w:hAnsi="宋体" w:cs="宋体"/>
          <w:szCs w:val="21"/>
        </w:rPr>
      </w:pPr>
      <w:r>
        <w:rPr>
          <w:rFonts w:hint="eastAsia" w:ascii="宋体" w:hAnsi="宋体" w:cs="宋体"/>
          <w:szCs w:val="21"/>
        </w:rPr>
        <w:t>法定代表人或授权代表（签字或盖章）：</w:t>
      </w:r>
    </w:p>
    <w:p>
      <w:pPr>
        <w:spacing w:line="360" w:lineRule="auto"/>
        <w:rPr>
          <w:rFonts w:ascii="宋体" w:hAnsi="宋体" w:cs="宋体"/>
          <w:szCs w:val="21"/>
        </w:rPr>
      </w:pPr>
      <w:r>
        <w:rPr>
          <w:rFonts w:hint="eastAsia" w:ascii="宋体" w:hAnsi="宋体" w:cs="宋体"/>
          <w:szCs w:val="21"/>
        </w:rPr>
        <w:t>日期：</w:t>
      </w:r>
    </w:p>
    <w:p>
      <w:pPr>
        <w:spacing w:line="360" w:lineRule="auto"/>
        <w:jc w:val="center"/>
        <w:rPr>
          <w:rFonts w:ascii="宋体" w:hAnsi="宋体"/>
          <w:szCs w:val="21"/>
        </w:rPr>
      </w:pPr>
      <w:r>
        <w:rPr>
          <w:rFonts w:hint="eastAsia" w:ascii="宋体" w:hAnsi="宋体"/>
          <w:szCs w:val="21"/>
        </w:rPr>
        <w:br w:type="page"/>
      </w:r>
    </w:p>
    <w:p>
      <w:pPr>
        <w:pStyle w:val="26"/>
        <w:ind w:firstLine="0" w:firstLineChars="0"/>
        <w:rPr>
          <w:b/>
          <w:bCs/>
        </w:rPr>
      </w:pPr>
      <w:r>
        <w:rPr>
          <w:rFonts w:hint="eastAsia"/>
          <w:b/>
          <w:bCs/>
        </w:rPr>
        <w:t>13.类似项目业绩表</w:t>
      </w:r>
    </w:p>
    <w:p>
      <w:pPr>
        <w:spacing w:line="360" w:lineRule="auto"/>
        <w:jc w:val="center"/>
        <w:rPr>
          <w:rFonts w:ascii="宋体" w:hAnsi="宋体" w:cs="宋体"/>
          <w:b/>
          <w:bCs/>
          <w:sz w:val="28"/>
          <w:szCs w:val="28"/>
        </w:rPr>
      </w:pPr>
      <w:r>
        <w:rPr>
          <w:rFonts w:hint="eastAsia" w:ascii="宋体" w:hAnsi="宋体" w:cs="宋体"/>
          <w:b/>
          <w:bCs/>
          <w:sz w:val="28"/>
          <w:szCs w:val="28"/>
        </w:rPr>
        <w:t>类似项目业绩表</w:t>
      </w:r>
    </w:p>
    <w:p>
      <w:pPr>
        <w:snapToGrid w:val="0"/>
        <w:spacing w:line="360" w:lineRule="auto"/>
        <w:rPr>
          <w:rFonts w:ascii="宋体" w:hAnsi="宋体" w:cs="宋体"/>
          <w:szCs w:val="21"/>
        </w:rPr>
      </w:pPr>
      <w:r>
        <w:rPr>
          <w:rFonts w:hint="eastAsia" w:ascii="宋体" w:hAnsi="宋体" w:cs="宋体"/>
          <w:szCs w:val="21"/>
        </w:rPr>
        <w:t>项目名称：</w:t>
      </w:r>
    </w:p>
    <w:p>
      <w:pPr>
        <w:spacing w:line="360" w:lineRule="auto"/>
        <w:rPr>
          <w:rFonts w:ascii="宋体" w:hAnsi="宋体" w:cs="宋体"/>
          <w:szCs w:val="21"/>
        </w:rPr>
      </w:pPr>
      <w:r>
        <w:rPr>
          <w:rFonts w:hint="eastAsia" w:ascii="宋体" w:hAnsi="宋体" w:cs="宋体"/>
          <w:szCs w:val="21"/>
        </w:rPr>
        <w:t xml:space="preserve">项目编号：     </w:t>
      </w:r>
    </w:p>
    <w:p>
      <w:pPr>
        <w:spacing w:line="360" w:lineRule="auto"/>
        <w:rPr>
          <w:rFonts w:ascii="宋体" w:hAnsi="宋体"/>
          <w:bCs/>
          <w:sz w:val="24"/>
          <w:lang w:val="zh-CN"/>
        </w:rPr>
      </w:pPr>
      <w:r>
        <w:rPr>
          <w:rFonts w:hint="eastAsia" w:ascii="宋体" w:hAnsi="宋体" w:cs="宋体"/>
          <w:szCs w:val="21"/>
        </w:rPr>
        <w:t>标项号：</w:t>
      </w:r>
      <w:r>
        <w:rPr>
          <w:rFonts w:hint="eastAsia" w:ascii="宋体" w:hAnsi="宋体"/>
          <w:bCs/>
          <w:sz w:val="24"/>
          <w:lang w:val="zh-CN"/>
        </w:rPr>
        <w:t xml:space="preserve"> </w:t>
      </w:r>
    </w:p>
    <w:tbl>
      <w:tblPr>
        <w:tblStyle w:val="20"/>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2110"/>
        <w:gridCol w:w="1576"/>
        <w:gridCol w:w="1576"/>
        <w:gridCol w:w="1576"/>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1042" w:type="dxa"/>
            <w:vAlign w:val="center"/>
          </w:tcPr>
          <w:p>
            <w:pPr>
              <w:pStyle w:val="36"/>
              <w:kinsoku w:val="0"/>
              <w:overflowPunct w:val="0"/>
              <w:ind w:left="166"/>
              <w:jc w:val="center"/>
              <w:rPr>
                <w:rFonts w:ascii="宋体" w:hAnsi="宋体" w:cs="宋体"/>
                <w:b/>
                <w:bCs/>
                <w:sz w:val="18"/>
                <w:szCs w:val="18"/>
              </w:rPr>
            </w:pPr>
          </w:p>
          <w:p>
            <w:pPr>
              <w:pStyle w:val="36"/>
              <w:kinsoku w:val="0"/>
              <w:overflowPunct w:val="0"/>
              <w:ind w:left="166"/>
              <w:jc w:val="center"/>
              <w:rPr>
                <w:rFonts w:ascii="宋体" w:hAnsi="宋体" w:cs="宋体"/>
                <w:b/>
                <w:bCs/>
                <w:kern w:val="0"/>
                <w:sz w:val="18"/>
                <w:szCs w:val="18"/>
                <w:lang w:val="zh-CN"/>
              </w:rPr>
            </w:pPr>
            <w:r>
              <w:rPr>
                <w:rFonts w:hint="eastAsia" w:ascii="宋体" w:hAnsi="宋体" w:cs="宋体"/>
                <w:b/>
                <w:bCs/>
                <w:sz w:val="18"/>
                <w:szCs w:val="18"/>
              </w:rPr>
              <w:t>序号</w:t>
            </w:r>
          </w:p>
        </w:tc>
        <w:tc>
          <w:tcPr>
            <w:tcW w:w="2110" w:type="dxa"/>
            <w:vAlign w:val="center"/>
          </w:tcPr>
          <w:p>
            <w:pPr>
              <w:pStyle w:val="36"/>
              <w:kinsoku w:val="0"/>
              <w:overflowPunct w:val="0"/>
              <w:ind w:left="166"/>
              <w:jc w:val="center"/>
              <w:rPr>
                <w:rFonts w:ascii="宋体" w:hAnsi="宋体" w:cs="宋体"/>
                <w:b/>
                <w:bCs/>
                <w:sz w:val="18"/>
                <w:szCs w:val="18"/>
              </w:rPr>
            </w:pPr>
          </w:p>
          <w:p>
            <w:pPr>
              <w:pStyle w:val="36"/>
              <w:kinsoku w:val="0"/>
              <w:overflowPunct w:val="0"/>
              <w:ind w:left="166"/>
              <w:jc w:val="center"/>
              <w:rPr>
                <w:rFonts w:ascii="宋体" w:hAnsi="宋体" w:cs="宋体"/>
                <w:b/>
                <w:bCs/>
                <w:kern w:val="0"/>
                <w:sz w:val="18"/>
                <w:szCs w:val="18"/>
                <w:lang w:val="zh-CN"/>
              </w:rPr>
            </w:pPr>
            <w:r>
              <w:rPr>
                <w:rFonts w:hint="eastAsia" w:ascii="宋体" w:hAnsi="宋体" w:cs="宋体"/>
                <w:b/>
                <w:bCs/>
                <w:sz w:val="18"/>
                <w:szCs w:val="18"/>
              </w:rPr>
              <w:t>项目名称</w:t>
            </w:r>
          </w:p>
        </w:tc>
        <w:tc>
          <w:tcPr>
            <w:tcW w:w="1576" w:type="dxa"/>
            <w:vAlign w:val="center"/>
          </w:tcPr>
          <w:p>
            <w:pPr>
              <w:pStyle w:val="36"/>
              <w:kinsoku w:val="0"/>
              <w:overflowPunct w:val="0"/>
              <w:ind w:left="166"/>
              <w:jc w:val="center"/>
              <w:rPr>
                <w:rFonts w:ascii="宋体" w:hAnsi="宋体" w:cs="宋体"/>
                <w:b/>
                <w:bCs/>
                <w:sz w:val="18"/>
                <w:szCs w:val="18"/>
              </w:rPr>
            </w:pPr>
          </w:p>
          <w:p>
            <w:pPr>
              <w:pStyle w:val="36"/>
              <w:kinsoku w:val="0"/>
              <w:overflowPunct w:val="0"/>
              <w:ind w:left="166"/>
              <w:jc w:val="center"/>
              <w:rPr>
                <w:rFonts w:ascii="宋体" w:hAnsi="宋体" w:cs="宋体"/>
                <w:b/>
                <w:bCs/>
                <w:kern w:val="0"/>
                <w:sz w:val="18"/>
                <w:szCs w:val="18"/>
                <w:lang w:val="zh-CN"/>
              </w:rPr>
            </w:pPr>
            <w:r>
              <w:rPr>
                <w:rFonts w:hint="eastAsia" w:ascii="宋体" w:hAnsi="宋体" w:cs="宋体"/>
                <w:b/>
                <w:bCs/>
                <w:sz w:val="18"/>
                <w:szCs w:val="18"/>
              </w:rPr>
              <w:t>合同签订时间</w:t>
            </w:r>
          </w:p>
        </w:tc>
        <w:tc>
          <w:tcPr>
            <w:tcW w:w="1576" w:type="dxa"/>
            <w:vAlign w:val="center"/>
          </w:tcPr>
          <w:p>
            <w:pPr>
              <w:pStyle w:val="36"/>
              <w:kinsoku w:val="0"/>
              <w:overflowPunct w:val="0"/>
              <w:ind w:left="166"/>
              <w:jc w:val="center"/>
              <w:rPr>
                <w:rFonts w:ascii="宋体" w:hAnsi="宋体" w:cs="宋体"/>
                <w:b/>
                <w:bCs/>
                <w:sz w:val="18"/>
                <w:szCs w:val="18"/>
              </w:rPr>
            </w:pPr>
          </w:p>
          <w:p>
            <w:pPr>
              <w:pStyle w:val="36"/>
              <w:kinsoku w:val="0"/>
              <w:overflowPunct w:val="0"/>
              <w:ind w:left="166"/>
              <w:jc w:val="center"/>
              <w:rPr>
                <w:rFonts w:ascii="宋体" w:hAnsi="宋体" w:cs="宋体"/>
                <w:b/>
                <w:bCs/>
                <w:kern w:val="0"/>
                <w:sz w:val="18"/>
                <w:szCs w:val="18"/>
                <w:lang w:val="zh-CN"/>
              </w:rPr>
            </w:pPr>
            <w:r>
              <w:rPr>
                <w:rFonts w:hint="eastAsia" w:ascii="宋体" w:hAnsi="宋体" w:cs="宋体"/>
                <w:b/>
                <w:bCs/>
                <w:sz w:val="18"/>
                <w:szCs w:val="18"/>
              </w:rPr>
              <w:t>合同金额</w:t>
            </w:r>
          </w:p>
        </w:tc>
        <w:tc>
          <w:tcPr>
            <w:tcW w:w="1576" w:type="dxa"/>
            <w:vAlign w:val="center"/>
          </w:tcPr>
          <w:p>
            <w:pPr>
              <w:pStyle w:val="36"/>
              <w:kinsoku w:val="0"/>
              <w:overflowPunct w:val="0"/>
              <w:ind w:left="166"/>
              <w:jc w:val="center"/>
              <w:rPr>
                <w:rFonts w:ascii="宋体" w:hAnsi="宋体" w:cs="宋体"/>
                <w:b/>
                <w:bCs/>
                <w:sz w:val="18"/>
                <w:szCs w:val="18"/>
              </w:rPr>
            </w:pPr>
          </w:p>
          <w:p>
            <w:pPr>
              <w:pStyle w:val="36"/>
              <w:kinsoku w:val="0"/>
              <w:overflowPunct w:val="0"/>
              <w:ind w:left="166"/>
              <w:jc w:val="center"/>
              <w:rPr>
                <w:rFonts w:ascii="宋体" w:hAnsi="宋体" w:cs="宋体"/>
                <w:b/>
                <w:bCs/>
                <w:kern w:val="0"/>
                <w:sz w:val="18"/>
                <w:szCs w:val="18"/>
                <w:lang w:val="zh-CN"/>
              </w:rPr>
            </w:pPr>
            <w:r>
              <w:rPr>
                <w:rFonts w:hint="eastAsia" w:ascii="宋体" w:hAnsi="宋体" w:cs="宋体"/>
                <w:b/>
                <w:bCs/>
                <w:sz w:val="18"/>
                <w:szCs w:val="18"/>
              </w:rPr>
              <w:t>项目甲方联系人/联系电话</w:t>
            </w:r>
          </w:p>
        </w:tc>
        <w:tc>
          <w:tcPr>
            <w:tcW w:w="1577" w:type="dxa"/>
            <w:vAlign w:val="center"/>
          </w:tcPr>
          <w:p>
            <w:pPr>
              <w:pStyle w:val="36"/>
              <w:kinsoku w:val="0"/>
              <w:overflowPunct w:val="0"/>
              <w:ind w:left="166"/>
              <w:jc w:val="center"/>
              <w:rPr>
                <w:rFonts w:ascii="宋体" w:hAnsi="宋体" w:cs="宋体"/>
                <w:b/>
                <w:bCs/>
                <w:kern w:val="0"/>
                <w:sz w:val="18"/>
                <w:szCs w:val="18"/>
                <w:lang w:val="zh-CN"/>
              </w:rPr>
            </w:pPr>
            <w:r>
              <w:rPr>
                <w:rFonts w:hint="eastAsia" w:ascii="宋体" w:hAnsi="宋体" w:cs="宋体"/>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042" w:type="dxa"/>
          </w:tcPr>
          <w:p>
            <w:pPr>
              <w:pStyle w:val="26"/>
              <w:widowControl w:val="0"/>
              <w:tabs>
                <w:tab w:val="center" w:pos="4201"/>
                <w:tab w:val="right" w:leader="dot" w:pos="9298"/>
              </w:tabs>
              <w:spacing w:line="360" w:lineRule="auto"/>
              <w:ind w:firstLine="420"/>
            </w:pPr>
            <w:r>
              <w:rPr>
                <w:rFonts w:hint="eastAsia"/>
              </w:rPr>
              <w:t>1</w:t>
            </w:r>
          </w:p>
        </w:tc>
        <w:tc>
          <w:tcPr>
            <w:tcW w:w="2110" w:type="dxa"/>
          </w:tcPr>
          <w:p>
            <w:pPr>
              <w:pStyle w:val="26"/>
              <w:widowControl w:val="0"/>
              <w:tabs>
                <w:tab w:val="center" w:pos="4201"/>
                <w:tab w:val="right" w:leader="dot" w:pos="9298"/>
              </w:tabs>
              <w:spacing w:line="360" w:lineRule="auto"/>
              <w:ind w:firstLine="420"/>
              <w:rPr>
                <w:lang w:val="zh-CN"/>
              </w:rPr>
            </w:pPr>
          </w:p>
        </w:tc>
        <w:tc>
          <w:tcPr>
            <w:tcW w:w="1576" w:type="dxa"/>
          </w:tcPr>
          <w:p>
            <w:pPr>
              <w:pStyle w:val="26"/>
              <w:widowControl w:val="0"/>
              <w:tabs>
                <w:tab w:val="center" w:pos="4201"/>
                <w:tab w:val="right" w:leader="dot" w:pos="9298"/>
              </w:tabs>
              <w:spacing w:line="360" w:lineRule="auto"/>
              <w:ind w:firstLine="420"/>
              <w:rPr>
                <w:lang w:val="zh-CN"/>
              </w:rPr>
            </w:pPr>
          </w:p>
        </w:tc>
        <w:tc>
          <w:tcPr>
            <w:tcW w:w="1576" w:type="dxa"/>
          </w:tcPr>
          <w:p>
            <w:pPr>
              <w:pStyle w:val="26"/>
              <w:widowControl w:val="0"/>
              <w:tabs>
                <w:tab w:val="center" w:pos="4201"/>
                <w:tab w:val="right" w:leader="dot" w:pos="9298"/>
              </w:tabs>
              <w:spacing w:line="360" w:lineRule="auto"/>
              <w:ind w:firstLine="420"/>
              <w:rPr>
                <w:lang w:val="zh-CN"/>
              </w:rPr>
            </w:pPr>
          </w:p>
        </w:tc>
        <w:tc>
          <w:tcPr>
            <w:tcW w:w="1576" w:type="dxa"/>
          </w:tcPr>
          <w:p>
            <w:pPr>
              <w:pStyle w:val="26"/>
              <w:widowControl w:val="0"/>
              <w:tabs>
                <w:tab w:val="center" w:pos="4201"/>
                <w:tab w:val="right" w:leader="dot" w:pos="9298"/>
              </w:tabs>
              <w:spacing w:line="360" w:lineRule="auto"/>
              <w:ind w:firstLine="420"/>
              <w:rPr>
                <w:lang w:val="zh-CN"/>
              </w:rPr>
            </w:pPr>
          </w:p>
        </w:tc>
        <w:tc>
          <w:tcPr>
            <w:tcW w:w="1577" w:type="dxa"/>
          </w:tcPr>
          <w:p>
            <w:pPr>
              <w:pStyle w:val="26"/>
              <w:widowControl w:val="0"/>
              <w:tabs>
                <w:tab w:val="center" w:pos="4201"/>
                <w:tab w:val="right" w:leader="dot" w:pos="9298"/>
              </w:tabs>
              <w:spacing w:line="360" w:lineRule="auto"/>
              <w:ind w:firstLine="420"/>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042" w:type="dxa"/>
          </w:tcPr>
          <w:p>
            <w:pPr>
              <w:pStyle w:val="26"/>
              <w:widowControl w:val="0"/>
              <w:tabs>
                <w:tab w:val="center" w:pos="4201"/>
                <w:tab w:val="right" w:leader="dot" w:pos="9298"/>
              </w:tabs>
              <w:spacing w:line="360" w:lineRule="auto"/>
              <w:ind w:firstLine="420"/>
            </w:pPr>
            <w:r>
              <w:rPr>
                <w:rFonts w:hint="eastAsia"/>
              </w:rPr>
              <w:t>2</w:t>
            </w:r>
          </w:p>
        </w:tc>
        <w:tc>
          <w:tcPr>
            <w:tcW w:w="2110" w:type="dxa"/>
          </w:tcPr>
          <w:p>
            <w:pPr>
              <w:pStyle w:val="26"/>
              <w:widowControl w:val="0"/>
              <w:tabs>
                <w:tab w:val="center" w:pos="4201"/>
                <w:tab w:val="right" w:leader="dot" w:pos="9298"/>
              </w:tabs>
              <w:spacing w:line="360" w:lineRule="auto"/>
              <w:ind w:firstLine="420"/>
              <w:rPr>
                <w:lang w:val="zh-CN"/>
              </w:rPr>
            </w:pPr>
          </w:p>
        </w:tc>
        <w:tc>
          <w:tcPr>
            <w:tcW w:w="1576" w:type="dxa"/>
          </w:tcPr>
          <w:p>
            <w:pPr>
              <w:pStyle w:val="26"/>
              <w:widowControl w:val="0"/>
              <w:tabs>
                <w:tab w:val="center" w:pos="4201"/>
                <w:tab w:val="right" w:leader="dot" w:pos="9298"/>
              </w:tabs>
              <w:spacing w:line="360" w:lineRule="auto"/>
              <w:ind w:firstLine="420"/>
              <w:rPr>
                <w:lang w:val="zh-CN"/>
              </w:rPr>
            </w:pPr>
          </w:p>
        </w:tc>
        <w:tc>
          <w:tcPr>
            <w:tcW w:w="1576" w:type="dxa"/>
          </w:tcPr>
          <w:p>
            <w:pPr>
              <w:pStyle w:val="26"/>
              <w:widowControl w:val="0"/>
              <w:tabs>
                <w:tab w:val="center" w:pos="4201"/>
                <w:tab w:val="right" w:leader="dot" w:pos="9298"/>
              </w:tabs>
              <w:spacing w:line="360" w:lineRule="auto"/>
              <w:ind w:firstLine="420"/>
              <w:rPr>
                <w:lang w:val="zh-CN"/>
              </w:rPr>
            </w:pPr>
          </w:p>
        </w:tc>
        <w:tc>
          <w:tcPr>
            <w:tcW w:w="1576" w:type="dxa"/>
          </w:tcPr>
          <w:p>
            <w:pPr>
              <w:pStyle w:val="26"/>
              <w:widowControl w:val="0"/>
              <w:tabs>
                <w:tab w:val="center" w:pos="4201"/>
                <w:tab w:val="right" w:leader="dot" w:pos="9298"/>
              </w:tabs>
              <w:spacing w:line="360" w:lineRule="auto"/>
              <w:ind w:firstLine="420"/>
              <w:rPr>
                <w:lang w:val="zh-CN"/>
              </w:rPr>
            </w:pPr>
          </w:p>
        </w:tc>
        <w:tc>
          <w:tcPr>
            <w:tcW w:w="1577" w:type="dxa"/>
          </w:tcPr>
          <w:p>
            <w:pPr>
              <w:pStyle w:val="26"/>
              <w:widowControl w:val="0"/>
              <w:tabs>
                <w:tab w:val="center" w:pos="4201"/>
                <w:tab w:val="right" w:leader="dot" w:pos="9298"/>
              </w:tabs>
              <w:spacing w:line="360" w:lineRule="auto"/>
              <w:ind w:firstLine="420"/>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042" w:type="dxa"/>
          </w:tcPr>
          <w:p>
            <w:pPr>
              <w:pStyle w:val="26"/>
              <w:widowControl w:val="0"/>
              <w:tabs>
                <w:tab w:val="center" w:pos="4201"/>
                <w:tab w:val="right" w:leader="dot" w:pos="9298"/>
              </w:tabs>
              <w:spacing w:line="360" w:lineRule="auto"/>
              <w:ind w:firstLine="420"/>
            </w:pPr>
            <w:r>
              <w:rPr>
                <w:rFonts w:hint="eastAsia"/>
              </w:rPr>
              <w:t>3</w:t>
            </w:r>
          </w:p>
        </w:tc>
        <w:tc>
          <w:tcPr>
            <w:tcW w:w="2110" w:type="dxa"/>
          </w:tcPr>
          <w:p>
            <w:pPr>
              <w:pStyle w:val="26"/>
              <w:widowControl w:val="0"/>
              <w:tabs>
                <w:tab w:val="center" w:pos="4201"/>
                <w:tab w:val="right" w:leader="dot" w:pos="9298"/>
              </w:tabs>
              <w:spacing w:line="360" w:lineRule="auto"/>
              <w:ind w:firstLine="420"/>
              <w:rPr>
                <w:lang w:val="zh-CN"/>
              </w:rPr>
            </w:pPr>
          </w:p>
        </w:tc>
        <w:tc>
          <w:tcPr>
            <w:tcW w:w="1576" w:type="dxa"/>
          </w:tcPr>
          <w:p>
            <w:pPr>
              <w:pStyle w:val="26"/>
              <w:widowControl w:val="0"/>
              <w:tabs>
                <w:tab w:val="center" w:pos="4201"/>
                <w:tab w:val="right" w:leader="dot" w:pos="9298"/>
              </w:tabs>
              <w:spacing w:line="360" w:lineRule="auto"/>
              <w:ind w:firstLine="420"/>
              <w:rPr>
                <w:lang w:val="zh-CN"/>
              </w:rPr>
            </w:pPr>
          </w:p>
        </w:tc>
        <w:tc>
          <w:tcPr>
            <w:tcW w:w="1576" w:type="dxa"/>
          </w:tcPr>
          <w:p>
            <w:pPr>
              <w:pStyle w:val="26"/>
              <w:widowControl w:val="0"/>
              <w:tabs>
                <w:tab w:val="center" w:pos="4201"/>
                <w:tab w:val="right" w:leader="dot" w:pos="9298"/>
              </w:tabs>
              <w:spacing w:line="360" w:lineRule="auto"/>
              <w:ind w:firstLine="420"/>
              <w:rPr>
                <w:lang w:val="zh-CN"/>
              </w:rPr>
            </w:pPr>
          </w:p>
        </w:tc>
        <w:tc>
          <w:tcPr>
            <w:tcW w:w="1576" w:type="dxa"/>
          </w:tcPr>
          <w:p>
            <w:pPr>
              <w:pStyle w:val="26"/>
              <w:widowControl w:val="0"/>
              <w:tabs>
                <w:tab w:val="center" w:pos="4201"/>
                <w:tab w:val="right" w:leader="dot" w:pos="9298"/>
              </w:tabs>
              <w:spacing w:line="360" w:lineRule="auto"/>
              <w:ind w:firstLine="420"/>
              <w:rPr>
                <w:lang w:val="zh-CN"/>
              </w:rPr>
            </w:pPr>
          </w:p>
        </w:tc>
        <w:tc>
          <w:tcPr>
            <w:tcW w:w="1577" w:type="dxa"/>
          </w:tcPr>
          <w:p>
            <w:pPr>
              <w:pStyle w:val="26"/>
              <w:widowControl w:val="0"/>
              <w:tabs>
                <w:tab w:val="center" w:pos="4201"/>
                <w:tab w:val="right" w:leader="dot" w:pos="9298"/>
              </w:tabs>
              <w:spacing w:line="360" w:lineRule="auto"/>
              <w:ind w:firstLine="420"/>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042" w:type="dxa"/>
          </w:tcPr>
          <w:p>
            <w:pPr>
              <w:pStyle w:val="26"/>
              <w:widowControl w:val="0"/>
              <w:tabs>
                <w:tab w:val="center" w:pos="4201"/>
                <w:tab w:val="right" w:leader="dot" w:pos="9298"/>
              </w:tabs>
              <w:spacing w:line="360" w:lineRule="auto"/>
              <w:ind w:firstLine="0" w:firstLineChars="0"/>
            </w:pPr>
            <w:r>
              <w:rPr>
                <w:rFonts w:hint="eastAsia"/>
              </w:rPr>
              <w:t>.....</w:t>
            </w:r>
          </w:p>
        </w:tc>
        <w:tc>
          <w:tcPr>
            <w:tcW w:w="2110" w:type="dxa"/>
          </w:tcPr>
          <w:p>
            <w:pPr>
              <w:pStyle w:val="26"/>
              <w:widowControl w:val="0"/>
              <w:tabs>
                <w:tab w:val="center" w:pos="4201"/>
                <w:tab w:val="right" w:leader="dot" w:pos="9298"/>
              </w:tabs>
              <w:spacing w:line="360" w:lineRule="auto"/>
              <w:ind w:firstLine="420"/>
              <w:rPr>
                <w:lang w:val="zh-CN"/>
              </w:rPr>
            </w:pPr>
          </w:p>
        </w:tc>
        <w:tc>
          <w:tcPr>
            <w:tcW w:w="1576" w:type="dxa"/>
          </w:tcPr>
          <w:p>
            <w:pPr>
              <w:pStyle w:val="26"/>
              <w:widowControl w:val="0"/>
              <w:tabs>
                <w:tab w:val="center" w:pos="4201"/>
                <w:tab w:val="right" w:leader="dot" w:pos="9298"/>
              </w:tabs>
              <w:spacing w:line="360" w:lineRule="auto"/>
              <w:ind w:firstLine="420"/>
              <w:rPr>
                <w:lang w:val="zh-CN"/>
              </w:rPr>
            </w:pPr>
          </w:p>
        </w:tc>
        <w:tc>
          <w:tcPr>
            <w:tcW w:w="1576" w:type="dxa"/>
          </w:tcPr>
          <w:p>
            <w:pPr>
              <w:pStyle w:val="26"/>
              <w:widowControl w:val="0"/>
              <w:tabs>
                <w:tab w:val="center" w:pos="4201"/>
                <w:tab w:val="right" w:leader="dot" w:pos="9298"/>
              </w:tabs>
              <w:spacing w:line="360" w:lineRule="auto"/>
              <w:ind w:firstLine="420"/>
              <w:rPr>
                <w:lang w:val="zh-CN"/>
              </w:rPr>
            </w:pPr>
          </w:p>
        </w:tc>
        <w:tc>
          <w:tcPr>
            <w:tcW w:w="1576" w:type="dxa"/>
          </w:tcPr>
          <w:p>
            <w:pPr>
              <w:pStyle w:val="26"/>
              <w:widowControl w:val="0"/>
              <w:tabs>
                <w:tab w:val="center" w:pos="4201"/>
                <w:tab w:val="right" w:leader="dot" w:pos="9298"/>
              </w:tabs>
              <w:spacing w:line="360" w:lineRule="auto"/>
              <w:ind w:firstLine="420"/>
              <w:rPr>
                <w:lang w:val="zh-CN"/>
              </w:rPr>
            </w:pPr>
          </w:p>
        </w:tc>
        <w:tc>
          <w:tcPr>
            <w:tcW w:w="1577" w:type="dxa"/>
          </w:tcPr>
          <w:p>
            <w:pPr>
              <w:pStyle w:val="26"/>
              <w:widowControl w:val="0"/>
              <w:tabs>
                <w:tab w:val="center" w:pos="4201"/>
                <w:tab w:val="right" w:leader="dot" w:pos="9298"/>
              </w:tabs>
              <w:spacing w:line="360" w:lineRule="auto"/>
              <w:ind w:firstLine="420"/>
              <w:rPr>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042" w:type="dxa"/>
          </w:tcPr>
          <w:p>
            <w:pPr>
              <w:pStyle w:val="26"/>
              <w:widowControl w:val="0"/>
              <w:tabs>
                <w:tab w:val="center" w:pos="4201"/>
                <w:tab w:val="right" w:leader="dot" w:pos="9298"/>
              </w:tabs>
              <w:spacing w:line="360" w:lineRule="auto"/>
              <w:ind w:firstLine="420"/>
              <w:rPr>
                <w:lang w:val="zh-CN"/>
              </w:rPr>
            </w:pPr>
          </w:p>
        </w:tc>
        <w:tc>
          <w:tcPr>
            <w:tcW w:w="2110" w:type="dxa"/>
          </w:tcPr>
          <w:p>
            <w:pPr>
              <w:pStyle w:val="26"/>
              <w:widowControl w:val="0"/>
              <w:tabs>
                <w:tab w:val="center" w:pos="4201"/>
                <w:tab w:val="right" w:leader="dot" w:pos="9298"/>
              </w:tabs>
              <w:spacing w:line="360" w:lineRule="auto"/>
              <w:ind w:firstLine="420"/>
              <w:rPr>
                <w:lang w:val="zh-CN"/>
              </w:rPr>
            </w:pPr>
          </w:p>
        </w:tc>
        <w:tc>
          <w:tcPr>
            <w:tcW w:w="1576" w:type="dxa"/>
          </w:tcPr>
          <w:p>
            <w:pPr>
              <w:pStyle w:val="26"/>
              <w:widowControl w:val="0"/>
              <w:tabs>
                <w:tab w:val="center" w:pos="4201"/>
                <w:tab w:val="right" w:leader="dot" w:pos="9298"/>
              </w:tabs>
              <w:spacing w:line="360" w:lineRule="auto"/>
              <w:ind w:firstLine="420"/>
              <w:rPr>
                <w:lang w:val="zh-CN"/>
              </w:rPr>
            </w:pPr>
          </w:p>
        </w:tc>
        <w:tc>
          <w:tcPr>
            <w:tcW w:w="1576" w:type="dxa"/>
          </w:tcPr>
          <w:p>
            <w:pPr>
              <w:pStyle w:val="26"/>
              <w:widowControl w:val="0"/>
              <w:tabs>
                <w:tab w:val="center" w:pos="4201"/>
                <w:tab w:val="right" w:leader="dot" w:pos="9298"/>
              </w:tabs>
              <w:spacing w:line="360" w:lineRule="auto"/>
              <w:ind w:firstLine="420"/>
              <w:rPr>
                <w:lang w:val="zh-CN"/>
              </w:rPr>
            </w:pPr>
          </w:p>
        </w:tc>
        <w:tc>
          <w:tcPr>
            <w:tcW w:w="1576" w:type="dxa"/>
          </w:tcPr>
          <w:p>
            <w:pPr>
              <w:pStyle w:val="26"/>
              <w:widowControl w:val="0"/>
              <w:tabs>
                <w:tab w:val="center" w:pos="4201"/>
                <w:tab w:val="right" w:leader="dot" w:pos="9298"/>
              </w:tabs>
              <w:spacing w:line="360" w:lineRule="auto"/>
              <w:ind w:firstLine="420"/>
              <w:rPr>
                <w:lang w:val="zh-CN"/>
              </w:rPr>
            </w:pPr>
          </w:p>
        </w:tc>
        <w:tc>
          <w:tcPr>
            <w:tcW w:w="1577" w:type="dxa"/>
          </w:tcPr>
          <w:p>
            <w:pPr>
              <w:pStyle w:val="26"/>
              <w:widowControl w:val="0"/>
              <w:tabs>
                <w:tab w:val="center" w:pos="4201"/>
                <w:tab w:val="right" w:leader="dot" w:pos="9298"/>
              </w:tabs>
              <w:spacing w:line="360" w:lineRule="auto"/>
              <w:ind w:firstLine="420"/>
              <w:rPr>
                <w:lang w:val="zh-CN"/>
              </w:rPr>
            </w:pPr>
          </w:p>
        </w:tc>
      </w:tr>
    </w:tbl>
    <w:p>
      <w:pPr>
        <w:tabs>
          <w:tab w:val="left" w:pos="0"/>
        </w:tabs>
        <w:adjustRightInd w:val="0"/>
        <w:spacing w:line="360" w:lineRule="auto"/>
        <w:rPr>
          <w:szCs w:val="21"/>
        </w:rPr>
      </w:pPr>
      <w:r>
        <w:rPr>
          <w:rFonts w:hint="eastAsia"/>
          <w:szCs w:val="21"/>
        </w:rPr>
        <w:t>备注：1.投标人按照所投标项内容进行填写。</w:t>
      </w:r>
    </w:p>
    <w:p>
      <w:pPr>
        <w:tabs>
          <w:tab w:val="left" w:pos="0"/>
        </w:tabs>
        <w:adjustRightInd w:val="0"/>
        <w:spacing w:line="360" w:lineRule="auto"/>
        <w:rPr>
          <w:szCs w:val="21"/>
        </w:rPr>
      </w:pPr>
      <w:r>
        <w:rPr>
          <w:rFonts w:hint="eastAsia"/>
          <w:szCs w:val="21"/>
        </w:rPr>
        <w:t>2. 如此表无法满足投标人需求的，可自行增加行列内容。</w:t>
      </w:r>
    </w:p>
    <w:p>
      <w:pPr>
        <w:tabs>
          <w:tab w:val="left" w:pos="0"/>
        </w:tabs>
        <w:adjustRightInd w:val="0"/>
        <w:spacing w:line="360" w:lineRule="auto"/>
        <w:rPr>
          <w:szCs w:val="21"/>
        </w:rPr>
      </w:pPr>
      <w:r>
        <w:rPr>
          <w:rFonts w:hint="eastAsia"/>
          <w:szCs w:val="21"/>
        </w:rPr>
        <w:t>3. 表中项目按评标办法要求提供，表后提供合同复印件等相关证明材料并加盖公章；</w:t>
      </w:r>
    </w:p>
    <w:p>
      <w:pPr>
        <w:snapToGrid w:val="0"/>
        <w:spacing w:line="360" w:lineRule="auto"/>
        <w:rPr>
          <w:rFonts w:ascii="宋体" w:hAnsi="宋体"/>
          <w:iCs/>
          <w:sz w:val="24"/>
          <w:lang w:val="zh-CN"/>
        </w:rPr>
      </w:pPr>
    </w:p>
    <w:p>
      <w:pPr>
        <w:pStyle w:val="26"/>
        <w:tabs>
          <w:tab w:val="center" w:pos="4201"/>
          <w:tab w:val="right" w:leader="dot" w:pos="9298"/>
        </w:tabs>
        <w:ind w:firstLine="420"/>
      </w:pPr>
    </w:p>
    <w:p>
      <w:pPr>
        <w:pStyle w:val="8"/>
        <w:spacing w:line="360" w:lineRule="auto"/>
        <w:ind w:firstLine="420" w:firstLineChars="200"/>
        <w:rPr>
          <w:rFonts w:hAnsi="宋体"/>
          <w:sz w:val="21"/>
          <w:szCs w:val="21"/>
        </w:rPr>
      </w:pPr>
    </w:p>
    <w:p>
      <w:pPr>
        <w:spacing w:line="360" w:lineRule="auto"/>
        <w:rPr>
          <w:rFonts w:ascii="宋体" w:hAnsi="宋体" w:cs="宋体"/>
          <w:szCs w:val="21"/>
        </w:rPr>
      </w:pPr>
      <w:r>
        <w:rPr>
          <w:rFonts w:hint="eastAsia" w:ascii="宋体" w:hAnsi="宋体" w:cs="宋体"/>
          <w:szCs w:val="21"/>
        </w:rPr>
        <w:t>供应商名称（盖单位公章）：</w:t>
      </w:r>
    </w:p>
    <w:p>
      <w:pPr>
        <w:spacing w:line="360" w:lineRule="auto"/>
        <w:rPr>
          <w:rFonts w:ascii="宋体" w:hAnsi="宋体" w:cs="宋体"/>
          <w:szCs w:val="21"/>
        </w:rPr>
      </w:pPr>
      <w:r>
        <w:rPr>
          <w:rFonts w:hint="eastAsia" w:ascii="宋体" w:hAnsi="宋体" w:cs="宋体"/>
          <w:szCs w:val="21"/>
        </w:rPr>
        <w:t>法定代表人或授权代表（签字或盖章）：</w:t>
      </w:r>
    </w:p>
    <w:p>
      <w:pPr>
        <w:spacing w:line="360" w:lineRule="auto"/>
        <w:rPr>
          <w:rFonts w:ascii="宋体" w:hAnsi="宋体" w:cs="宋体"/>
          <w:szCs w:val="21"/>
        </w:rPr>
      </w:pPr>
      <w:r>
        <w:rPr>
          <w:rFonts w:hint="eastAsia" w:ascii="宋体" w:hAnsi="宋体" w:cs="宋体"/>
          <w:szCs w:val="21"/>
        </w:rPr>
        <w:t>日期：</w:t>
      </w:r>
    </w:p>
    <w:p>
      <w:pPr>
        <w:rPr>
          <w:rFonts w:ascii="宋体" w:hAnsi="宋体"/>
          <w:szCs w:val="21"/>
        </w:rPr>
      </w:pPr>
      <w:r>
        <w:rPr>
          <w:rFonts w:hint="eastAsia" w:ascii="宋体" w:hAnsi="宋体"/>
          <w:szCs w:val="21"/>
        </w:rPr>
        <w:br w:type="page"/>
      </w:r>
    </w:p>
    <w:p>
      <w:pPr>
        <w:rPr>
          <w:rFonts w:ascii="宋体" w:hAnsi="宋体" w:cs="Arial"/>
          <w:b/>
          <w:szCs w:val="21"/>
        </w:rPr>
      </w:pPr>
      <w:r>
        <w:rPr>
          <w:rFonts w:hint="eastAsia" w:ascii="宋体" w:hAnsi="宋体" w:cs="Arial"/>
          <w:b/>
          <w:szCs w:val="21"/>
        </w:rPr>
        <w:t>14.拟提供备品备件情况（格式自拟）；</w:t>
      </w:r>
    </w:p>
    <w:p>
      <w:pPr>
        <w:rPr>
          <w:rFonts w:ascii="宋体" w:hAnsi="宋体" w:cs="Arial"/>
          <w:b/>
          <w:szCs w:val="21"/>
        </w:rPr>
      </w:pPr>
    </w:p>
    <w:p>
      <w:pPr>
        <w:rPr>
          <w:rFonts w:ascii="宋体" w:hAnsi="宋体" w:cs="Arial"/>
          <w:b/>
          <w:szCs w:val="21"/>
        </w:rPr>
      </w:pPr>
    </w:p>
    <w:p>
      <w:pPr>
        <w:rPr>
          <w:rFonts w:ascii="宋体" w:hAnsi="宋体" w:cs="Arial"/>
          <w:b/>
          <w:szCs w:val="21"/>
        </w:rPr>
      </w:pPr>
      <w:r>
        <w:rPr>
          <w:rFonts w:hint="eastAsia" w:ascii="宋体" w:hAnsi="宋体" w:cs="Arial"/>
          <w:b/>
          <w:szCs w:val="21"/>
        </w:rPr>
        <w:t>15.总体方案（包含但不限于以下内容：总体方案目录，运维方案，人员安排，设备安排，服务方案，应急方案，施工方案，项目进度安排等）</w:t>
      </w:r>
    </w:p>
    <w:p>
      <w:pPr>
        <w:spacing w:line="360" w:lineRule="auto"/>
        <w:ind w:firstLine="2891" w:firstLineChars="800"/>
        <w:rPr>
          <w:rFonts w:ascii="宋体" w:hAnsi="宋体" w:cs="Arial"/>
          <w:b/>
          <w:sz w:val="36"/>
          <w:szCs w:val="36"/>
        </w:rPr>
      </w:pPr>
      <w:r>
        <w:rPr>
          <w:rFonts w:hint="eastAsia" w:ascii="宋体" w:hAnsi="宋体" w:cs="Arial"/>
          <w:b/>
          <w:sz w:val="36"/>
          <w:szCs w:val="36"/>
        </w:rPr>
        <w:t>（具体内容及格式自拟）</w:t>
      </w:r>
    </w:p>
    <w:p>
      <w:pPr>
        <w:pStyle w:val="26"/>
        <w:tabs>
          <w:tab w:val="center" w:pos="4201"/>
          <w:tab w:val="right" w:leader="dot" w:pos="9298"/>
        </w:tabs>
        <w:ind w:firstLine="723"/>
        <w:rPr>
          <w:rFonts w:hAnsi="宋体" w:cs="Arial"/>
          <w:b/>
          <w:sz w:val="36"/>
          <w:szCs w:val="36"/>
        </w:rPr>
      </w:pPr>
    </w:p>
    <w:p>
      <w:pPr>
        <w:rPr>
          <w:rFonts w:ascii="宋体" w:hAnsi="宋体" w:cs="Arial"/>
          <w:b/>
          <w:szCs w:val="21"/>
        </w:rPr>
      </w:pPr>
      <w:r>
        <w:rPr>
          <w:rFonts w:hint="eastAsia" w:ascii="宋体" w:hAnsi="宋体" w:cs="Arial"/>
          <w:b/>
          <w:szCs w:val="21"/>
        </w:rPr>
        <w:t>16.投标人综合实力（格式自拟）；</w:t>
      </w:r>
    </w:p>
    <w:p>
      <w:pPr>
        <w:spacing w:line="360" w:lineRule="auto"/>
        <w:ind w:firstLine="2891" w:firstLineChars="800"/>
        <w:rPr>
          <w:rFonts w:ascii="宋体" w:hAnsi="宋体" w:cs="Arial"/>
          <w:b/>
          <w:sz w:val="36"/>
          <w:szCs w:val="36"/>
        </w:rPr>
      </w:pPr>
      <w:r>
        <w:rPr>
          <w:rFonts w:hint="eastAsia" w:ascii="宋体" w:hAnsi="宋体" w:cs="Arial"/>
          <w:b/>
          <w:sz w:val="36"/>
          <w:szCs w:val="36"/>
        </w:rPr>
        <w:t>（投标人根据自身情况，如实填写）</w:t>
      </w:r>
    </w:p>
    <w:p>
      <w:pPr>
        <w:rPr>
          <w:rFonts w:ascii="宋体" w:hAnsi="宋体" w:cs="Arial"/>
          <w:b/>
          <w:szCs w:val="21"/>
        </w:rPr>
      </w:pPr>
    </w:p>
    <w:p>
      <w:pPr>
        <w:pStyle w:val="26"/>
        <w:tabs>
          <w:tab w:val="center" w:pos="4201"/>
          <w:tab w:val="right" w:leader="dot" w:pos="9298"/>
        </w:tabs>
        <w:ind w:firstLine="0" w:firstLineChars="0"/>
      </w:pPr>
    </w:p>
    <w:p>
      <w:pPr>
        <w:rPr>
          <w:rFonts w:ascii="宋体" w:hAnsi="宋体" w:cs="Arial"/>
          <w:b/>
          <w:szCs w:val="21"/>
        </w:rPr>
      </w:pPr>
      <w:r>
        <w:rPr>
          <w:rFonts w:hint="eastAsia"/>
        </w:rPr>
        <w:t>17.</w:t>
      </w:r>
      <w:r>
        <w:rPr>
          <w:rFonts w:hint="eastAsia" w:ascii="宋体" w:hAnsi="宋体" w:cs="Arial"/>
          <w:b/>
          <w:szCs w:val="21"/>
        </w:rPr>
        <w:t>《招标文件第四章技术资信商务分评审-附表3》中需要提供的材料；（如有，格式自拟）；</w:t>
      </w:r>
    </w:p>
    <w:p>
      <w:pPr>
        <w:rPr>
          <w:rFonts w:ascii="宋体" w:hAnsi="宋体" w:cs="Arial"/>
          <w:b/>
          <w:szCs w:val="21"/>
        </w:rPr>
      </w:pPr>
    </w:p>
    <w:p>
      <w:pPr>
        <w:rPr>
          <w:rFonts w:ascii="宋体" w:hAnsi="宋体" w:cs="Arial"/>
          <w:b/>
          <w:szCs w:val="21"/>
        </w:rPr>
      </w:pPr>
    </w:p>
    <w:p/>
    <w:p>
      <w:pPr>
        <w:pStyle w:val="26"/>
        <w:ind w:firstLine="0" w:firstLineChars="0"/>
        <w:rPr>
          <w:b/>
          <w:bCs/>
        </w:rPr>
      </w:pPr>
      <w:r>
        <w:rPr>
          <w:rFonts w:hint="eastAsia"/>
          <w:b/>
          <w:bCs/>
        </w:rPr>
        <w:t>18.投标人基本情况表</w:t>
      </w:r>
    </w:p>
    <w:p>
      <w:pPr>
        <w:snapToGrid w:val="0"/>
        <w:spacing w:line="360" w:lineRule="auto"/>
        <w:jc w:val="center"/>
        <w:outlineLvl w:val="0"/>
        <w:rPr>
          <w:rFonts w:ascii="宋体" w:hAnsi="宋体" w:cs="宋体"/>
          <w:b/>
          <w:kern w:val="0"/>
          <w:sz w:val="28"/>
          <w:szCs w:val="28"/>
          <w:lang w:val="zh-CN"/>
        </w:rPr>
      </w:pPr>
      <w:bookmarkStart w:id="13" w:name="_Toc11959"/>
      <w:bookmarkStart w:id="14" w:name="_Toc3845"/>
      <w:bookmarkStart w:id="15" w:name="_Toc7231"/>
      <w:bookmarkStart w:id="16" w:name="_Toc16276"/>
      <w:r>
        <w:rPr>
          <w:rFonts w:hint="eastAsia" w:ascii="宋体" w:hAnsi="宋体" w:cs="宋体"/>
          <w:b/>
          <w:bCs/>
          <w:sz w:val="28"/>
          <w:szCs w:val="28"/>
          <w:lang w:val="zh-CN"/>
        </w:rPr>
        <w:t>投标人基本情况表</w:t>
      </w:r>
      <w:bookmarkEnd w:id="13"/>
      <w:bookmarkEnd w:id="14"/>
      <w:bookmarkEnd w:id="15"/>
      <w:bookmarkEnd w:id="16"/>
    </w:p>
    <w:tbl>
      <w:tblPr>
        <w:tblStyle w:val="19"/>
        <w:tblW w:w="8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4"/>
        <w:gridCol w:w="1681"/>
        <w:gridCol w:w="759"/>
        <w:gridCol w:w="1551"/>
        <w:gridCol w:w="1041"/>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894" w:type="dxa"/>
            <w:vAlign w:val="center"/>
          </w:tcPr>
          <w:p>
            <w:pPr>
              <w:adjustRightInd w:val="0"/>
              <w:snapToGrid w:val="0"/>
              <w:spacing w:line="360" w:lineRule="auto"/>
              <w:rPr>
                <w:rFonts w:ascii="宋体" w:hAnsi="宋体" w:cs="宋体"/>
                <w:kern w:val="0"/>
                <w:szCs w:val="21"/>
                <w:lang w:val="zh-CN"/>
              </w:rPr>
            </w:pPr>
            <w:r>
              <w:rPr>
                <w:rFonts w:hint="eastAsia" w:ascii="宋体" w:hAnsi="宋体" w:cs="宋体"/>
                <w:kern w:val="0"/>
                <w:szCs w:val="21"/>
                <w:lang w:val="zh-CN"/>
              </w:rPr>
              <w:t>投标人名称</w:t>
            </w:r>
          </w:p>
        </w:tc>
        <w:tc>
          <w:tcPr>
            <w:tcW w:w="6645" w:type="dxa"/>
            <w:gridSpan w:val="5"/>
            <w:vAlign w:val="center"/>
          </w:tcPr>
          <w:p>
            <w:pPr>
              <w:adjustRightInd w:val="0"/>
              <w:snapToGrid w:val="0"/>
              <w:spacing w:line="360" w:lineRule="auto"/>
              <w:rPr>
                <w:rFonts w:ascii="宋体" w:hAnsi="宋体" w:cs="宋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894" w:type="dxa"/>
            <w:vAlign w:val="center"/>
          </w:tcPr>
          <w:p>
            <w:pPr>
              <w:adjustRightInd w:val="0"/>
              <w:snapToGrid w:val="0"/>
              <w:spacing w:line="360" w:lineRule="auto"/>
              <w:rPr>
                <w:rFonts w:ascii="宋体" w:hAnsi="宋体" w:cs="宋体"/>
                <w:kern w:val="0"/>
                <w:szCs w:val="21"/>
                <w:lang w:val="zh-CN"/>
              </w:rPr>
            </w:pPr>
            <w:r>
              <w:rPr>
                <w:rFonts w:hint="eastAsia" w:ascii="宋体" w:hAnsi="宋体" w:cs="宋体"/>
                <w:kern w:val="0"/>
                <w:szCs w:val="21"/>
                <w:lang w:val="zh-CN"/>
              </w:rPr>
              <w:t>注册地址</w:t>
            </w:r>
          </w:p>
        </w:tc>
        <w:tc>
          <w:tcPr>
            <w:tcW w:w="2440" w:type="dxa"/>
            <w:gridSpan w:val="2"/>
            <w:vAlign w:val="center"/>
          </w:tcPr>
          <w:p>
            <w:pPr>
              <w:adjustRightInd w:val="0"/>
              <w:snapToGrid w:val="0"/>
              <w:spacing w:line="360" w:lineRule="auto"/>
              <w:rPr>
                <w:rFonts w:ascii="宋体" w:hAnsi="宋体" w:cs="宋体"/>
                <w:kern w:val="0"/>
                <w:szCs w:val="21"/>
                <w:lang w:val="zh-CN"/>
              </w:rPr>
            </w:pPr>
          </w:p>
        </w:tc>
        <w:tc>
          <w:tcPr>
            <w:tcW w:w="1551" w:type="dxa"/>
            <w:vAlign w:val="center"/>
          </w:tcPr>
          <w:p>
            <w:pPr>
              <w:adjustRightInd w:val="0"/>
              <w:snapToGrid w:val="0"/>
              <w:spacing w:line="360" w:lineRule="auto"/>
              <w:rPr>
                <w:rFonts w:ascii="宋体" w:hAnsi="宋体" w:cs="宋体"/>
                <w:kern w:val="0"/>
                <w:szCs w:val="21"/>
                <w:lang w:val="zh-CN"/>
              </w:rPr>
            </w:pPr>
            <w:r>
              <w:rPr>
                <w:rFonts w:hint="eastAsia" w:ascii="宋体" w:hAnsi="宋体" w:cs="宋体"/>
                <w:kern w:val="0"/>
                <w:szCs w:val="21"/>
                <w:lang w:val="zh-CN"/>
              </w:rPr>
              <w:t>成立时间</w:t>
            </w:r>
          </w:p>
        </w:tc>
        <w:tc>
          <w:tcPr>
            <w:tcW w:w="2654" w:type="dxa"/>
            <w:gridSpan w:val="2"/>
            <w:vAlign w:val="center"/>
          </w:tcPr>
          <w:p>
            <w:pPr>
              <w:adjustRightInd w:val="0"/>
              <w:snapToGrid w:val="0"/>
              <w:spacing w:line="360" w:lineRule="auto"/>
              <w:rPr>
                <w:rFonts w:ascii="宋体" w:hAnsi="宋体" w:cs="宋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894" w:type="dxa"/>
            <w:vAlign w:val="center"/>
          </w:tcPr>
          <w:p>
            <w:pPr>
              <w:adjustRightInd w:val="0"/>
              <w:snapToGrid w:val="0"/>
              <w:spacing w:line="360" w:lineRule="auto"/>
              <w:rPr>
                <w:rFonts w:ascii="宋体" w:hAnsi="宋体" w:cs="宋体"/>
                <w:kern w:val="0"/>
                <w:szCs w:val="21"/>
                <w:lang w:val="zh-CN"/>
              </w:rPr>
            </w:pPr>
            <w:r>
              <w:rPr>
                <w:rFonts w:hint="eastAsia" w:ascii="宋体" w:hAnsi="宋体" w:cs="宋体"/>
                <w:kern w:val="0"/>
                <w:szCs w:val="21"/>
                <w:lang w:val="zh-CN"/>
              </w:rPr>
              <w:t>统一信用代码</w:t>
            </w:r>
          </w:p>
        </w:tc>
        <w:tc>
          <w:tcPr>
            <w:tcW w:w="2440" w:type="dxa"/>
            <w:gridSpan w:val="2"/>
            <w:vAlign w:val="center"/>
          </w:tcPr>
          <w:p>
            <w:pPr>
              <w:adjustRightInd w:val="0"/>
              <w:snapToGrid w:val="0"/>
              <w:spacing w:line="360" w:lineRule="auto"/>
              <w:rPr>
                <w:rFonts w:ascii="宋体" w:hAnsi="宋体" w:cs="宋体"/>
                <w:kern w:val="0"/>
                <w:szCs w:val="21"/>
                <w:lang w:val="zh-CN"/>
              </w:rPr>
            </w:pPr>
          </w:p>
        </w:tc>
        <w:tc>
          <w:tcPr>
            <w:tcW w:w="1551" w:type="dxa"/>
            <w:vAlign w:val="center"/>
          </w:tcPr>
          <w:p>
            <w:pPr>
              <w:adjustRightInd w:val="0"/>
              <w:snapToGrid w:val="0"/>
              <w:spacing w:line="360" w:lineRule="auto"/>
              <w:rPr>
                <w:rFonts w:ascii="宋体" w:hAnsi="宋体" w:cs="宋体"/>
                <w:kern w:val="0"/>
                <w:szCs w:val="21"/>
                <w:lang w:val="zh-CN"/>
              </w:rPr>
            </w:pPr>
            <w:r>
              <w:rPr>
                <w:rFonts w:hint="eastAsia" w:ascii="宋体" w:hAnsi="宋体" w:cs="宋体"/>
                <w:kern w:val="0"/>
                <w:szCs w:val="21"/>
                <w:lang w:val="zh-CN"/>
              </w:rPr>
              <w:t>注册资金</w:t>
            </w:r>
          </w:p>
        </w:tc>
        <w:tc>
          <w:tcPr>
            <w:tcW w:w="2654" w:type="dxa"/>
            <w:gridSpan w:val="2"/>
            <w:vAlign w:val="center"/>
          </w:tcPr>
          <w:p>
            <w:pPr>
              <w:adjustRightInd w:val="0"/>
              <w:snapToGrid w:val="0"/>
              <w:spacing w:line="360" w:lineRule="auto"/>
              <w:rPr>
                <w:rFonts w:ascii="宋体" w:hAnsi="宋体" w:cs="宋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894" w:type="dxa"/>
            <w:vAlign w:val="center"/>
          </w:tcPr>
          <w:p>
            <w:pPr>
              <w:adjustRightInd w:val="0"/>
              <w:snapToGrid w:val="0"/>
              <w:spacing w:line="360" w:lineRule="auto"/>
              <w:rPr>
                <w:rFonts w:ascii="宋体" w:hAnsi="宋体" w:cs="宋体"/>
                <w:kern w:val="0"/>
                <w:szCs w:val="21"/>
                <w:lang w:val="zh-CN"/>
              </w:rPr>
            </w:pPr>
            <w:r>
              <w:rPr>
                <w:rFonts w:hint="eastAsia" w:ascii="宋体" w:hAnsi="宋体" w:cs="宋体"/>
                <w:kern w:val="0"/>
                <w:szCs w:val="21"/>
                <w:lang w:val="zh-CN"/>
              </w:rPr>
              <w:t>投标联系人姓名</w:t>
            </w:r>
          </w:p>
        </w:tc>
        <w:tc>
          <w:tcPr>
            <w:tcW w:w="1681" w:type="dxa"/>
            <w:vAlign w:val="center"/>
          </w:tcPr>
          <w:p>
            <w:pPr>
              <w:adjustRightInd w:val="0"/>
              <w:snapToGrid w:val="0"/>
              <w:spacing w:line="360" w:lineRule="auto"/>
              <w:rPr>
                <w:rFonts w:ascii="宋体" w:hAnsi="宋体" w:cs="宋体"/>
                <w:kern w:val="0"/>
                <w:szCs w:val="21"/>
                <w:lang w:val="zh-CN"/>
              </w:rPr>
            </w:pPr>
          </w:p>
        </w:tc>
        <w:tc>
          <w:tcPr>
            <w:tcW w:w="759" w:type="dxa"/>
            <w:vAlign w:val="center"/>
          </w:tcPr>
          <w:p>
            <w:pPr>
              <w:adjustRightInd w:val="0"/>
              <w:snapToGrid w:val="0"/>
              <w:spacing w:line="360" w:lineRule="auto"/>
              <w:rPr>
                <w:rFonts w:ascii="宋体" w:hAnsi="宋体" w:cs="宋体"/>
                <w:kern w:val="0"/>
                <w:szCs w:val="21"/>
                <w:lang w:val="zh-CN"/>
              </w:rPr>
            </w:pPr>
            <w:r>
              <w:rPr>
                <w:rFonts w:hint="eastAsia" w:ascii="宋体" w:hAnsi="宋体" w:cs="宋体"/>
                <w:kern w:val="0"/>
                <w:szCs w:val="21"/>
                <w:lang w:val="zh-CN"/>
              </w:rPr>
              <w:t>电话</w:t>
            </w:r>
          </w:p>
        </w:tc>
        <w:tc>
          <w:tcPr>
            <w:tcW w:w="1551" w:type="dxa"/>
            <w:vAlign w:val="center"/>
          </w:tcPr>
          <w:p>
            <w:pPr>
              <w:adjustRightInd w:val="0"/>
              <w:snapToGrid w:val="0"/>
              <w:spacing w:line="360" w:lineRule="auto"/>
              <w:rPr>
                <w:rFonts w:ascii="宋体" w:hAnsi="宋体" w:cs="宋体"/>
                <w:kern w:val="0"/>
                <w:szCs w:val="21"/>
                <w:lang w:val="zh-CN"/>
              </w:rPr>
            </w:pPr>
          </w:p>
        </w:tc>
        <w:tc>
          <w:tcPr>
            <w:tcW w:w="1041" w:type="dxa"/>
            <w:vAlign w:val="center"/>
          </w:tcPr>
          <w:p>
            <w:pPr>
              <w:adjustRightInd w:val="0"/>
              <w:snapToGrid w:val="0"/>
              <w:spacing w:line="360" w:lineRule="auto"/>
              <w:rPr>
                <w:rFonts w:ascii="宋体" w:hAnsi="宋体" w:cs="宋体"/>
                <w:kern w:val="0"/>
                <w:szCs w:val="21"/>
                <w:lang w:val="zh-CN"/>
              </w:rPr>
            </w:pPr>
            <w:r>
              <w:rPr>
                <w:rFonts w:hint="eastAsia" w:ascii="宋体" w:hAnsi="宋体" w:cs="宋体"/>
                <w:kern w:val="0"/>
                <w:szCs w:val="21"/>
                <w:lang w:val="zh-CN"/>
              </w:rPr>
              <w:t>手机</w:t>
            </w:r>
          </w:p>
        </w:tc>
        <w:tc>
          <w:tcPr>
            <w:tcW w:w="1613" w:type="dxa"/>
            <w:vAlign w:val="center"/>
          </w:tcPr>
          <w:p>
            <w:pPr>
              <w:adjustRightInd w:val="0"/>
              <w:snapToGrid w:val="0"/>
              <w:spacing w:line="360" w:lineRule="auto"/>
              <w:rPr>
                <w:rFonts w:ascii="宋体" w:hAnsi="宋体" w:cs="宋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894" w:type="dxa"/>
            <w:vAlign w:val="center"/>
          </w:tcPr>
          <w:p>
            <w:pPr>
              <w:adjustRightInd w:val="0"/>
              <w:snapToGrid w:val="0"/>
              <w:spacing w:line="360" w:lineRule="auto"/>
              <w:rPr>
                <w:rFonts w:ascii="宋体" w:hAnsi="宋体" w:cs="宋体"/>
                <w:kern w:val="0"/>
                <w:szCs w:val="21"/>
                <w:lang w:val="zh-CN"/>
              </w:rPr>
            </w:pPr>
            <w:r>
              <w:rPr>
                <w:rFonts w:hint="eastAsia" w:ascii="宋体" w:hAnsi="宋体" w:cs="宋体"/>
                <w:kern w:val="0"/>
                <w:szCs w:val="21"/>
                <w:lang w:val="zh-CN"/>
              </w:rPr>
              <w:t>法定代表人姓名</w:t>
            </w:r>
          </w:p>
        </w:tc>
        <w:tc>
          <w:tcPr>
            <w:tcW w:w="1681" w:type="dxa"/>
            <w:vAlign w:val="center"/>
          </w:tcPr>
          <w:p>
            <w:pPr>
              <w:adjustRightInd w:val="0"/>
              <w:snapToGrid w:val="0"/>
              <w:spacing w:line="360" w:lineRule="auto"/>
              <w:rPr>
                <w:rFonts w:ascii="宋体" w:hAnsi="宋体" w:cs="宋体"/>
                <w:kern w:val="0"/>
                <w:szCs w:val="21"/>
                <w:lang w:val="zh-CN"/>
              </w:rPr>
            </w:pPr>
          </w:p>
        </w:tc>
        <w:tc>
          <w:tcPr>
            <w:tcW w:w="759" w:type="dxa"/>
            <w:vAlign w:val="center"/>
          </w:tcPr>
          <w:p>
            <w:pPr>
              <w:adjustRightInd w:val="0"/>
              <w:snapToGrid w:val="0"/>
              <w:spacing w:line="360" w:lineRule="auto"/>
              <w:rPr>
                <w:rFonts w:ascii="宋体" w:hAnsi="宋体" w:cs="宋体"/>
                <w:kern w:val="0"/>
                <w:szCs w:val="21"/>
                <w:lang w:val="zh-CN"/>
              </w:rPr>
            </w:pPr>
            <w:r>
              <w:rPr>
                <w:rFonts w:hint="eastAsia" w:ascii="宋体" w:hAnsi="宋体" w:cs="宋体"/>
                <w:kern w:val="0"/>
                <w:szCs w:val="21"/>
                <w:lang w:val="zh-CN"/>
              </w:rPr>
              <w:t>电话</w:t>
            </w:r>
          </w:p>
        </w:tc>
        <w:tc>
          <w:tcPr>
            <w:tcW w:w="1551" w:type="dxa"/>
            <w:vAlign w:val="center"/>
          </w:tcPr>
          <w:p>
            <w:pPr>
              <w:adjustRightInd w:val="0"/>
              <w:snapToGrid w:val="0"/>
              <w:spacing w:line="360" w:lineRule="auto"/>
              <w:rPr>
                <w:rFonts w:ascii="宋体" w:hAnsi="宋体" w:cs="宋体"/>
                <w:kern w:val="0"/>
                <w:szCs w:val="21"/>
                <w:lang w:val="zh-CN"/>
              </w:rPr>
            </w:pPr>
          </w:p>
        </w:tc>
        <w:tc>
          <w:tcPr>
            <w:tcW w:w="1041" w:type="dxa"/>
            <w:vAlign w:val="center"/>
          </w:tcPr>
          <w:p>
            <w:pPr>
              <w:adjustRightInd w:val="0"/>
              <w:snapToGrid w:val="0"/>
              <w:spacing w:line="360" w:lineRule="auto"/>
              <w:rPr>
                <w:rFonts w:ascii="宋体" w:hAnsi="宋体" w:cs="宋体"/>
                <w:kern w:val="0"/>
                <w:szCs w:val="21"/>
                <w:lang w:val="zh-CN"/>
              </w:rPr>
            </w:pPr>
            <w:r>
              <w:rPr>
                <w:rFonts w:hint="eastAsia" w:ascii="宋体" w:hAnsi="宋体" w:cs="宋体"/>
                <w:kern w:val="0"/>
                <w:szCs w:val="21"/>
                <w:lang w:val="zh-CN"/>
              </w:rPr>
              <w:t>手机</w:t>
            </w:r>
          </w:p>
        </w:tc>
        <w:tc>
          <w:tcPr>
            <w:tcW w:w="1613" w:type="dxa"/>
            <w:vAlign w:val="center"/>
          </w:tcPr>
          <w:p>
            <w:pPr>
              <w:adjustRightInd w:val="0"/>
              <w:snapToGrid w:val="0"/>
              <w:spacing w:line="360" w:lineRule="auto"/>
              <w:rPr>
                <w:rFonts w:ascii="宋体" w:hAnsi="宋体" w:cs="宋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894" w:type="dxa"/>
            <w:vAlign w:val="center"/>
          </w:tcPr>
          <w:p>
            <w:pPr>
              <w:adjustRightInd w:val="0"/>
              <w:snapToGrid w:val="0"/>
              <w:spacing w:line="360" w:lineRule="auto"/>
              <w:rPr>
                <w:rFonts w:ascii="宋体" w:hAnsi="宋体" w:cs="宋体"/>
                <w:kern w:val="0"/>
                <w:szCs w:val="21"/>
                <w:lang w:val="zh-CN"/>
              </w:rPr>
            </w:pPr>
            <w:r>
              <w:rPr>
                <w:rFonts w:hint="eastAsia" w:ascii="宋体" w:hAnsi="宋体" w:cs="宋体"/>
                <w:kern w:val="0"/>
                <w:szCs w:val="21"/>
                <w:lang w:val="zh-CN"/>
              </w:rPr>
              <w:t>项目负责人姓名</w:t>
            </w:r>
          </w:p>
        </w:tc>
        <w:tc>
          <w:tcPr>
            <w:tcW w:w="1681" w:type="dxa"/>
            <w:vAlign w:val="center"/>
          </w:tcPr>
          <w:p>
            <w:pPr>
              <w:adjustRightInd w:val="0"/>
              <w:snapToGrid w:val="0"/>
              <w:spacing w:line="360" w:lineRule="auto"/>
              <w:rPr>
                <w:rFonts w:ascii="宋体" w:hAnsi="宋体" w:cs="宋体"/>
                <w:kern w:val="0"/>
                <w:szCs w:val="21"/>
                <w:lang w:val="zh-CN"/>
              </w:rPr>
            </w:pPr>
          </w:p>
        </w:tc>
        <w:tc>
          <w:tcPr>
            <w:tcW w:w="759" w:type="dxa"/>
            <w:vAlign w:val="center"/>
          </w:tcPr>
          <w:p>
            <w:pPr>
              <w:adjustRightInd w:val="0"/>
              <w:snapToGrid w:val="0"/>
              <w:spacing w:line="360" w:lineRule="auto"/>
              <w:rPr>
                <w:rFonts w:ascii="宋体" w:hAnsi="宋体" w:cs="宋体"/>
                <w:kern w:val="0"/>
                <w:szCs w:val="21"/>
                <w:lang w:val="zh-CN"/>
              </w:rPr>
            </w:pPr>
            <w:r>
              <w:rPr>
                <w:rFonts w:hint="eastAsia" w:ascii="宋体" w:hAnsi="宋体" w:cs="宋体"/>
                <w:kern w:val="0"/>
                <w:szCs w:val="21"/>
                <w:lang w:val="zh-CN"/>
              </w:rPr>
              <w:t>电话</w:t>
            </w:r>
          </w:p>
        </w:tc>
        <w:tc>
          <w:tcPr>
            <w:tcW w:w="1551" w:type="dxa"/>
            <w:vAlign w:val="center"/>
          </w:tcPr>
          <w:p>
            <w:pPr>
              <w:adjustRightInd w:val="0"/>
              <w:snapToGrid w:val="0"/>
              <w:spacing w:line="360" w:lineRule="auto"/>
              <w:rPr>
                <w:rFonts w:ascii="宋体" w:hAnsi="宋体" w:cs="宋体"/>
                <w:kern w:val="0"/>
                <w:szCs w:val="21"/>
                <w:lang w:val="zh-CN"/>
              </w:rPr>
            </w:pPr>
          </w:p>
        </w:tc>
        <w:tc>
          <w:tcPr>
            <w:tcW w:w="1041" w:type="dxa"/>
            <w:vAlign w:val="center"/>
          </w:tcPr>
          <w:p>
            <w:pPr>
              <w:adjustRightInd w:val="0"/>
              <w:snapToGrid w:val="0"/>
              <w:spacing w:line="360" w:lineRule="auto"/>
              <w:rPr>
                <w:rFonts w:ascii="宋体" w:hAnsi="宋体" w:cs="宋体"/>
                <w:kern w:val="0"/>
                <w:szCs w:val="21"/>
                <w:lang w:val="zh-CN"/>
              </w:rPr>
            </w:pPr>
            <w:r>
              <w:rPr>
                <w:rFonts w:hint="eastAsia" w:ascii="宋体" w:hAnsi="宋体" w:cs="宋体"/>
                <w:kern w:val="0"/>
                <w:szCs w:val="21"/>
                <w:lang w:val="zh-CN"/>
              </w:rPr>
              <w:t>技术职称</w:t>
            </w:r>
          </w:p>
        </w:tc>
        <w:tc>
          <w:tcPr>
            <w:tcW w:w="1613" w:type="dxa"/>
            <w:vAlign w:val="center"/>
          </w:tcPr>
          <w:p>
            <w:pPr>
              <w:adjustRightInd w:val="0"/>
              <w:snapToGrid w:val="0"/>
              <w:spacing w:line="360" w:lineRule="auto"/>
              <w:rPr>
                <w:rFonts w:ascii="宋体" w:hAnsi="宋体" w:cs="宋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894" w:type="dxa"/>
            <w:vMerge w:val="restart"/>
            <w:vAlign w:val="center"/>
          </w:tcPr>
          <w:p>
            <w:pPr>
              <w:adjustRightInd w:val="0"/>
              <w:snapToGrid w:val="0"/>
              <w:spacing w:line="360" w:lineRule="auto"/>
              <w:rPr>
                <w:rFonts w:ascii="宋体" w:hAnsi="宋体" w:cs="宋体"/>
                <w:kern w:val="0"/>
                <w:szCs w:val="21"/>
                <w:lang w:val="zh-CN"/>
              </w:rPr>
            </w:pPr>
            <w:r>
              <w:rPr>
                <w:rFonts w:hint="eastAsia" w:ascii="宋体" w:hAnsi="宋体" w:cs="宋体"/>
                <w:kern w:val="0"/>
                <w:szCs w:val="21"/>
                <w:lang w:val="zh-CN"/>
              </w:rPr>
              <w:t>员工总人数：</w:t>
            </w:r>
          </w:p>
        </w:tc>
        <w:tc>
          <w:tcPr>
            <w:tcW w:w="1681" w:type="dxa"/>
            <w:vMerge w:val="restart"/>
            <w:vAlign w:val="center"/>
          </w:tcPr>
          <w:p>
            <w:pPr>
              <w:adjustRightInd w:val="0"/>
              <w:snapToGrid w:val="0"/>
              <w:spacing w:line="360" w:lineRule="auto"/>
              <w:rPr>
                <w:rFonts w:ascii="宋体" w:hAnsi="宋体" w:cs="宋体"/>
                <w:kern w:val="0"/>
                <w:szCs w:val="21"/>
                <w:lang w:val="zh-CN"/>
              </w:rPr>
            </w:pPr>
          </w:p>
        </w:tc>
        <w:tc>
          <w:tcPr>
            <w:tcW w:w="759" w:type="dxa"/>
            <w:vMerge w:val="restart"/>
            <w:vAlign w:val="center"/>
          </w:tcPr>
          <w:p>
            <w:pPr>
              <w:adjustRightInd w:val="0"/>
              <w:snapToGrid w:val="0"/>
              <w:spacing w:line="360" w:lineRule="auto"/>
              <w:rPr>
                <w:rFonts w:ascii="宋体" w:hAnsi="宋体" w:cs="宋体"/>
                <w:kern w:val="0"/>
                <w:szCs w:val="21"/>
                <w:lang w:val="zh-CN"/>
              </w:rPr>
            </w:pPr>
            <w:r>
              <w:rPr>
                <w:rFonts w:hint="eastAsia" w:ascii="宋体" w:hAnsi="宋体" w:cs="宋体"/>
                <w:kern w:val="0"/>
                <w:szCs w:val="21"/>
                <w:lang w:val="zh-CN"/>
              </w:rPr>
              <w:t>其中</w:t>
            </w:r>
          </w:p>
        </w:tc>
        <w:tc>
          <w:tcPr>
            <w:tcW w:w="1551" w:type="dxa"/>
            <w:vAlign w:val="center"/>
          </w:tcPr>
          <w:p>
            <w:pPr>
              <w:adjustRightInd w:val="0"/>
              <w:snapToGrid w:val="0"/>
              <w:spacing w:line="360" w:lineRule="auto"/>
              <w:rPr>
                <w:rFonts w:ascii="宋体" w:hAnsi="宋体" w:cs="宋体"/>
                <w:kern w:val="0"/>
                <w:szCs w:val="21"/>
                <w:lang w:val="zh-CN"/>
              </w:rPr>
            </w:pPr>
            <w:r>
              <w:rPr>
                <w:rFonts w:hint="eastAsia" w:ascii="宋体" w:hAnsi="宋体" w:cs="宋体"/>
                <w:kern w:val="0"/>
                <w:szCs w:val="21"/>
                <w:lang w:val="zh-CN"/>
              </w:rPr>
              <w:t>高级职称</w:t>
            </w:r>
          </w:p>
        </w:tc>
        <w:tc>
          <w:tcPr>
            <w:tcW w:w="2654" w:type="dxa"/>
            <w:gridSpan w:val="2"/>
            <w:vAlign w:val="center"/>
          </w:tcPr>
          <w:p>
            <w:pPr>
              <w:adjustRightInd w:val="0"/>
              <w:snapToGrid w:val="0"/>
              <w:spacing w:line="360" w:lineRule="auto"/>
              <w:rPr>
                <w:rFonts w:ascii="宋体" w:hAnsi="宋体" w:cs="宋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894" w:type="dxa"/>
            <w:vMerge w:val="continue"/>
            <w:vAlign w:val="center"/>
          </w:tcPr>
          <w:p>
            <w:pPr>
              <w:adjustRightInd w:val="0"/>
              <w:snapToGrid w:val="0"/>
              <w:spacing w:line="360" w:lineRule="auto"/>
              <w:rPr>
                <w:rFonts w:ascii="宋体" w:hAnsi="宋体" w:cs="宋体"/>
                <w:kern w:val="0"/>
                <w:szCs w:val="21"/>
                <w:lang w:val="zh-CN"/>
              </w:rPr>
            </w:pPr>
          </w:p>
        </w:tc>
        <w:tc>
          <w:tcPr>
            <w:tcW w:w="1681" w:type="dxa"/>
            <w:vMerge w:val="continue"/>
            <w:vAlign w:val="center"/>
          </w:tcPr>
          <w:p>
            <w:pPr>
              <w:adjustRightInd w:val="0"/>
              <w:snapToGrid w:val="0"/>
              <w:spacing w:line="360" w:lineRule="auto"/>
              <w:rPr>
                <w:rFonts w:ascii="宋体" w:hAnsi="宋体" w:cs="宋体"/>
                <w:kern w:val="0"/>
                <w:szCs w:val="21"/>
                <w:lang w:val="zh-CN"/>
              </w:rPr>
            </w:pPr>
          </w:p>
        </w:tc>
        <w:tc>
          <w:tcPr>
            <w:tcW w:w="759" w:type="dxa"/>
            <w:vMerge w:val="continue"/>
            <w:vAlign w:val="center"/>
          </w:tcPr>
          <w:p>
            <w:pPr>
              <w:adjustRightInd w:val="0"/>
              <w:snapToGrid w:val="0"/>
              <w:spacing w:line="360" w:lineRule="auto"/>
              <w:rPr>
                <w:rFonts w:ascii="宋体" w:hAnsi="宋体" w:cs="宋体"/>
                <w:kern w:val="0"/>
                <w:szCs w:val="21"/>
                <w:lang w:val="zh-CN"/>
              </w:rPr>
            </w:pPr>
          </w:p>
        </w:tc>
        <w:tc>
          <w:tcPr>
            <w:tcW w:w="1551" w:type="dxa"/>
            <w:vAlign w:val="center"/>
          </w:tcPr>
          <w:p>
            <w:pPr>
              <w:adjustRightInd w:val="0"/>
              <w:snapToGrid w:val="0"/>
              <w:spacing w:line="360" w:lineRule="auto"/>
              <w:rPr>
                <w:rFonts w:ascii="宋体" w:hAnsi="宋体" w:cs="宋体"/>
                <w:kern w:val="0"/>
                <w:szCs w:val="21"/>
                <w:lang w:val="zh-CN"/>
              </w:rPr>
            </w:pPr>
            <w:r>
              <w:rPr>
                <w:rFonts w:hint="eastAsia" w:ascii="宋体" w:hAnsi="宋体" w:cs="宋体"/>
                <w:kern w:val="0"/>
                <w:szCs w:val="21"/>
                <w:lang w:val="zh-CN"/>
              </w:rPr>
              <w:t>中级职称</w:t>
            </w:r>
          </w:p>
        </w:tc>
        <w:tc>
          <w:tcPr>
            <w:tcW w:w="2654" w:type="dxa"/>
            <w:gridSpan w:val="2"/>
            <w:vAlign w:val="center"/>
          </w:tcPr>
          <w:p>
            <w:pPr>
              <w:adjustRightInd w:val="0"/>
              <w:snapToGrid w:val="0"/>
              <w:spacing w:line="360" w:lineRule="auto"/>
              <w:rPr>
                <w:rFonts w:ascii="宋体" w:hAnsi="宋体" w:cs="宋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894" w:type="dxa"/>
            <w:vMerge w:val="continue"/>
            <w:vAlign w:val="center"/>
          </w:tcPr>
          <w:p>
            <w:pPr>
              <w:adjustRightInd w:val="0"/>
              <w:snapToGrid w:val="0"/>
              <w:spacing w:line="360" w:lineRule="auto"/>
              <w:rPr>
                <w:rFonts w:ascii="宋体" w:hAnsi="宋体" w:cs="宋体"/>
                <w:kern w:val="0"/>
                <w:szCs w:val="21"/>
                <w:lang w:val="zh-CN"/>
              </w:rPr>
            </w:pPr>
          </w:p>
        </w:tc>
        <w:tc>
          <w:tcPr>
            <w:tcW w:w="1681" w:type="dxa"/>
            <w:vMerge w:val="continue"/>
            <w:vAlign w:val="center"/>
          </w:tcPr>
          <w:p>
            <w:pPr>
              <w:adjustRightInd w:val="0"/>
              <w:snapToGrid w:val="0"/>
              <w:spacing w:line="360" w:lineRule="auto"/>
              <w:rPr>
                <w:rFonts w:ascii="宋体" w:hAnsi="宋体" w:cs="宋体"/>
                <w:kern w:val="0"/>
                <w:szCs w:val="21"/>
                <w:lang w:val="zh-CN"/>
              </w:rPr>
            </w:pPr>
          </w:p>
        </w:tc>
        <w:tc>
          <w:tcPr>
            <w:tcW w:w="759" w:type="dxa"/>
            <w:vMerge w:val="continue"/>
            <w:vAlign w:val="center"/>
          </w:tcPr>
          <w:p>
            <w:pPr>
              <w:adjustRightInd w:val="0"/>
              <w:snapToGrid w:val="0"/>
              <w:spacing w:line="360" w:lineRule="auto"/>
              <w:rPr>
                <w:rFonts w:ascii="宋体" w:hAnsi="宋体" w:cs="宋体"/>
                <w:kern w:val="0"/>
                <w:szCs w:val="21"/>
                <w:lang w:val="zh-CN"/>
              </w:rPr>
            </w:pPr>
          </w:p>
        </w:tc>
        <w:tc>
          <w:tcPr>
            <w:tcW w:w="1551" w:type="dxa"/>
            <w:vAlign w:val="center"/>
          </w:tcPr>
          <w:p>
            <w:pPr>
              <w:adjustRightInd w:val="0"/>
              <w:snapToGrid w:val="0"/>
              <w:spacing w:line="360" w:lineRule="auto"/>
              <w:rPr>
                <w:rFonts w:ascii="宋体" w:hAnsi="宋体" w:cs="宋体"/>
                <w:kern w:val="0"/>
                <w:szCs w:val="21"/>
                <w:lang w:val="zh-CN"/>
              </w:rPr>
            </w:pPr>
            <w:r>
              <w:rPr>
                <w:rFonts w:hint="eastAsia" w:ascii="宋体" w:hAnsi="宋体" w:cs="宋体"/>
                <w:kern w:val="0"/>
                <w:szCs w:val="21"/>
                <w:lang w:val="zh-CN"/>
              </w:rPr>
              <w:t>各类注册人员</w:t>
            </w:r>
          </w:p>
        </w:tc>
        <w:tc>
          <w:tcPr>
            <w:tcW w:w="2654" w:type="dxa"/>
            <w:gridSpan w:val="2"/>
            <w:vAlign w:val="center"/>
          </w:tcPr>
          <w:p>
            <w:pPr>
              <w:adjustRightInd w:val="0"/>
              <w:snapToGrid w:val="0"/>
              <w:spacing w:line="360" w:lineRule="auto"/>
              <w:rPr>
                <w:rFonts w:ascii="宋体" w:hAnsi="宋体" w:cs="宋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894" w:type="dxa"/>
            <w:vAlign w:val="center"/>
          </w:tcPr>
          <w:p>
            <w:pPr>
              <w:adjustRightInd w:val="0"/>
              <w:snapToGrid w:val="0"/>
              <w:spacing w:line="360" w:lineRule="auto"/>
              <w:rPr>
                <w:rFonts w:ascii="宋体" w:hAnsi="宋体" w:cs="宋体"/>
                <w:kern w:val="0"/>
                <w:szCs w:val="21"/>
                <w:lang w:val="zh-CN"/>
              </w:rPr>
            </w:pPr>
            <w:r>
              <w:rPr>
                <w:rFonts w:hint="eastAsia" w:ascii="宋体" w:hAnsi="宋体" w:cs="宋体"/>
                <w:kern w:val="0"/>
                <w:szCs w:val="21"/>
                <w:lang w:val="zh-CN"/>
              </w:rPr>
              <w:t>基本账户开户银行</w:t>
            </w:r>
          </w:p>
        </w:tc>
        <w:tc>
          <w:tcPr>
            <w:tcW w:w="6645" w:type="dxa"/>
            <w:gridSpan w:val="5"/>
            <w:vAlign w:val="center"/>
          </w:tcPr>
          <w:p>
            <w:pPr>
              <w:adjustRightInd w:val="0"/>
              <w:snapToGrid w:val="0"/>
              <w:spacing w:line="360" w:lineRule="auto"/>
              <w:rPr>
                <w:rFonts w:ascii="宋体" w:hAnsi="宋体" w:cs="宋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894" w:type="dxa"/>
            <w:vAlign w:val="center"/>
          </w:tcPr>
          <w:p>
            <w:pPr>
              <w:adjustRightInd w:val="0"/>
              <w:snapToGrid w:val="0"/>
              <w:spacing w:line="360" w:lineRule="auto"/>
              <w:rPr>
                <w:rFonts w:ascii="宋体" w:hAnsi="宋体" w:cs="宋体"/>
                <w:kern w:val="0"/>
                <w:szCs w:val="21"/>
                <w:lang w:val="zh-CN"/>
              </w:rPr>
            </w:pPr>
            <w:r>
              <w:rPr>
                <w:rFonts w:hint="eastAsia" w:ascii="宋体" w:hAnsi="宋体" w:cs="宋体"/>
                <w:kern w:val="0"/>
                <w:szCs w:val="21"/>
                <w:lang w:val="zh-CN"/>
              </w:rPr>
              <w:t>基本账户账号</w:t>
            </w:r>
          </w:p>
        </w:tc>
        <w:tc>
          <w:tcPr>
            <w:tcW w:w="6645" w:type="dxa"/>
            <w:gridSpan w:val="5"/>
            <w:vAlign w:val="center"/>
          </w:tcPr>
          <w:p>
            <w:pPr>
              <w:adjustRightInd w:val="0"/>
              <w:snapToGrid w:val="0"/>
              <w:spacing w:line="360" w:lineRule="auto"/>
              <w:rPr>
                <w:rFonts w:ascii="宋体" w:hAnsi="宋体" w:cs="宋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894" w:type="dxa"/>
            <w:vAlign w:val="center"/>
          </w:tcPr>
          <w:p>
            <w:pPr>
              <w:adjustRightInd w:val="0"/>
              <w:snapToGrid w:val="0"/>
              <w:spacing w:line="360" w:lineRule="auto"/>
              <w:rPr>
                <w:rFonts w:ascii="宋体" w:hAnsi="宋体" w:cs="宋体"/>
                <w:kern w:val="0"/>
                <w:szCs w:val="21"/>
                <w:lang w:val="zh-CN"/>
              </w:rPr>
            </w:pPr>
            <w:r>
              <w:rPr>
                <w:rFonts w:hint="eastAsia" w:ascii="宋体" w:hAnsi="宋体" w:cs="宋体"/>
                <w:kern w:val="0"/>
                <w:szCs w:val="21"/>
                <w:lang w:val="zh-CN"/>
              </w:rPr>
              <w:t>经营范围</w:t>
            </w:r>
          </w:p>
        </w:tc>
        <w:tc>
          <w:tcPr>
            <w:tcW w:w="6645" w:type="dxa"/>
            <w:gridSpan w:val="5"/>
            <w:vAlign w:val="center"/>
          </w:tcPr>
          <w:p>
            <w:pPr>
              <w:adjustRightInd w:val="0"/>
              <w:snapToGrid w:val="0"/>
              <w:spacing w:line="360" w:lineRule="auto"/>
              <w:rPr>
                <w:rFonts w:ascii="宋体" w:hAnsi="宋体" w:cs="宋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894" w:type="dxa"/>
            <w:vAlign w:val="center"/>
          </w:tcPr>
          <w:p>
            <w:pPr>
              <w:adjustRightInd w:val="0"/>
              <w:snapToGrid w:val="0"/>
              <w:spacing w:line="360" w:lineRule="auto"/>
              <w:rPr>
                <w:rFonts w:ascii="宋体" w:hAnsi="宋体" w:cs="宋体"/>
                <w:kern w:val="0"/>
                <w:szCs w:val="21"/>
                <w:lang w:val="zh-CN"/>
              </w:rPr>
            </w:pPr>
            <w:r>
              <w:rPr>
                <w:rFonts w:hint="eastAsia" w:ascii="宋体" w:hAnsi="宋体" w:cs="宋体"/>
                <w:kern w:val="0"/>
                <w:szCs w:val="21"/>
                <w:lang w:val="zh-CN"/>
              </w:rPr>
              <w:t>备注</w:t>
            </w:r>
          </w:p>
        </w:tc>
        <w:tc>
          <w:tcPr>
            <w:tcW w:w="6645" w:type="dxa"/>
            <w:gridSpan w:val="5"/>
            <w:vAlign w:val="center"/>
          </w:tcPr>
          <w:p>
            <w:pPr>
              <w:adjustRightInd w:val="0"/>
              <w:snapToGrid w:val="0"/>
              <w:spacing w:line="360" w:lineRule="auto"/>
              <w:rPr>
                <w:rFonts w:ascii="宋体" w:hAnsi="宋体" w:cs="宋体"/>
                <w:kern w:val="0"/>
                <w:szCs w:val="21"/>
                <w:lang w:val="zh-CN"/>
              </w:rPr>
            </w:pPr>
          </w:p>
        </w:tc>
      </w:tr>
    </w:tbl>
    <w:p>
      <w:pPr>
        <w:adjustRightInd w:val="0"/>
        <w:snapToGrid w:val="0"/>
        <w:spacing w:line="360" w:lineRule="auto"/>
        <w:ind w:firstLine="422" w:firstLineChars="200"/>
        <w:rPr>
          <w:rFonts w:ascii="宋体" w:hAnsi="宋体" w:cs="宋体"/>
          <w:b/>
          <w:bCs/>
          <w:kern w:val="0"/>
          <w:szCs w:val="21"/>
          <w:lang w:val="zh-CN"/>
        </w:rPr>
      </w:pPr>
      <w:r>
        <w:rPr>
          <w:rFonts w:hint="eastAsia" w:ascii="宋体" w:hAnsi="宋体" w:cs="宋体"/>
          <w:b/>
          <w:bCs/>
          <w:kern w:val="0"/>
          <w:szCs w:val="21"/>
          <w:lang w:val="zh-CN"/>
        </w:rPr>
        <w:t>兹证明上述声明是真实、正确的，并提供了全部能提供的资料和数据，我们同意遵照贵方要求出示有关证明文件。</w:t>
      </w:r>
    </w:p>
    <w:p>
      <w:pPr>
        <w:adjustRightInd w:val="0"/>
        <w:snapToGrid w:val="0"/>
        <w:spacing w:line="360" w:lineRule="auto"/>
        <w:rPr>
          <w:rFonts w:ascii="仿宋" w:hAnsi="仿宋" w:eastAsia="仿宋" w:cs="仿宋"/>
          <w:kern w:val="0"/>
          <w:sz w:val="24"/>
          <w:lang w:val="zh-CN"/>
        </w:rPr>
      </w:pPr>
    </w:p>
    <w:p>
      <w:pPr>
        <w:pStyle w:val="23"/>
        <w:spacing w:line="360" w:lineRule="auto"/>
        <w:rPr>
          <w:rFonts w:ascii="仿宋" w:hAnsi="仿宋" w:eastAsia="仿宋" w:cs="仿宋"/>
          <w:lang w:val="zh-CN"/>
        </w:rPr>
      </w:pPr>
    </w:p>
    <w:p>
      <w:pPr>
        <w:adjustRightInd w:val="0"/>
        <w:snapToGrid w:val="0"/>
        <w:spacing w:line="360" w:lineRule="auto"/>
        <w:ind w:firstLine="3570" w:firstLineChars="1700"/>
        <w:rPr>
          <w:rFonts w:ascii="宋体" w:hAnsi="宋体" w:cs="宋体"/>
          <w:kern w:val="0"/>
          <w:szCs w:val="21"/>
          <w:lang w:val="zh-CN"/>
        </w:rPr>
      </w:pPr>
      <w:r>
        <w:rPr>
          <w:rFonts w:hint="eastAsia" w:ascii="宋体" w:hAnsi="宋体" w:cs="宋体"/>
          <w:kern w:val="0"/>
          <w:szCs w:val="21"/>
          <w:lang w:val="zh-CN"/>
        </w:rPr>
        <w:t>法定代表人或其授权委托人（签名或印章）：</w:t>
      </w:r>
    </w:p>
    <w:p>
      <w:pPr>
        <w:adjustRightInd w:val="0"/>
        <w:snapToGrid w:val="0"/>
        <w:spacing w:line="360" w:lineRule="auto"/>
        <w:ind w:firstLine="3570" w:firstLineChars="1700"/>
        <w:rPr>
          <w:rFonts w:ascii="宋体" w:hAnsi="宋体" w:cs="宋体"/>
          <w:kern w:val="0"/>
          <w:szCs w:val="21"/>
          <w:lang w:val="zh-CN"/>
        </w:rPr>
      </w:pPr>
      <w:r>
        <w:rPr>
          <w:rFonts w:hint="eastAsia" w:ascii="宋体" w:hAnsi="宋体" w:cs="宋体"/>
          <w:kern w:val="0"/>
          <w:szCs w:val="21"/>
          <w:lang w:val="zh-CN"/>
        </w:rPr>
        <w:t>投标人（盖章）：</w:t>
      </w:r>
    </w:p>
    <w:p>
      <w:pPr>
        <w:adjustRightInd w:val="0"/>
        <w:snapToGrid w:val="0"/>
        <w:spacing w:line="360" w:lineRule="auto"/>
        <w:rPr>
          <w:rFonts w:ascii="宋体" w:hAnsi="宋体" w:cs="宋体"/>
          <w:kern w:val="0"/>
          <w:szCs w:val="21"/>
          <w:lang w:val="zh-CN"/>
        </w:rPr>
      </w:pPr>
      <w:r>
        <w:rPr>
          <w:rFonts w:hint="eastAsia" w:ascii="宋体" w:hAnsi="宋体" w:cs="宋体"/>
          <w:kern w:val="0"/>
          <w:szCs w:val="21"/>
          <w:lang w:val="zh-CN"/>
        </w:rPr>
        <w:t xml:space="preserve">                                  日期：</w:t>
      </w:r>
    </w:p>
    <w:p>
      <w:pPr>
        <w:pStyle w:val="26"/>
        <w:ind w:firstLine="0" w:firstLineChars="0"/>
        <w:rPr>
          <w:b/>
          <w:bCs/>
        </w:rPr>
      </w:pPr>
    </w:p>
    <w:p>
      <w:pPr>
        <w:pStyle w:val="7"/>
      </w:pPr>
    </w:p>
    <w:p>
      <w:pPr>
        <w:pStyle w:val="7"/>
      </w:pPr>
    </w:p>
    <w:p>
      <w:pPr>
        <w:pStyle w:val="7"/>
      </w:pPr>
    </w:p>
    <w:p>
      <w:pPr>
        <w:pStyle w:val="7"/>
      </w:pPr>
    </w:p>
    <w:p>
      <w:pPr>
        <w:pStyle w:val="7"/>
      </w:pPr>
    </w:p>
    <w:p>
      <w:pPr>
        <w:rPr>
          <w:rFonts w:ascii="宋体" w:hAnsi="宋体" w:cs="Arial"/>
          <w:b/>
          <w:szCs w:val="21"/>
        </w:rPr>
      </w:pPr>
      <w:r>
        <w:rPr>
          <w:rFonts w:hint="eastAsia" w:ascii="宋体" w:hAnsi="宋体" w:cs="Arial"/>
          <w:b/>
          <w:szCs w:val="21"/>
        </w:rPr>
        <w:t>19.投标人认为需要提供的相关材料（如有，格式自拟）。</w:t>
      </w:r>
    </w:p>
    <w:p>
      <w:pPr>
        <w:spacing w:line="360" w:lineRule="auto"/>
        <w:rPr>
          <w:rFonts w:hAnsi="宋体"/>
          <w:bCs/>
          <w:kern w:val="44"/>
          <w:sz w:val="32"/>
          <w:szCs w:val="32"/>
        </w:rPr>
      </w:pPr>
      <w:r>
        <w:rPr>
          <w:rFonts w:hint="eastAsia" w:ascii="宋体" w:hAnsi="宋体" w:cs="宋体"/>
          <w:b/>
          <w:sz w:val="28"/>
          <w:szCs w:val="28"/>
        </w:rPr>
        <w:br w:type="page"/>
      </w:r>
      <w:r>
        <w:rPr>
          <w:rFonts w:hint="eastAsia" w:hAnsi="宋体"/>
          <w:b/>
          <w:bCs/>
          <w:kern w:val="44"/>
          <w:sz w:val="24"/>
          <w:szCs w:val="24"/>
        </w:rPr>
        <w:t>五、报价文件格式（包含但不限于以下内容）</w:t>
      </w:r>
    </w:p>
    <w:p>
      <w:pPr>
        <w:tabs>
          <w:tab w:val="left" w:pos="518"/>
        </w:tabs>
        <w:adjustRightInd w:val="0"/>
        <w:snapToGrid w:val="0"/>
        <w:spacing w:line="440" w:lineRule="exact"/>
        <w:ind w:left="238"/>
        <w:rPr>
          <w:rFonts w:ascii="宋体" w:hAnsi="宋体"/>
        </w:rPr>
      </w:pPr>
      <w:r>
        <w:rPr>
          <w:rFonts w:hint="eastAsia" w:ascii="宋体" w:hAnsi="宋体"/>
        </w:rPr>
        <w:t>（1）投标函</w:t>
      </w:r>
      <w:r>
        <w:rPr>
          <w:rFonts w:hint="eastAsia" w:ascii="宋体" w:hAnsi="宋体"/>
          <w:szCs w:val="21"/>
        </w:rPr>
        <w:t>（格式见附件）</w:t>
      </w:r>
      <w:r>
        <w:rPr>
          <w:rFonts w:hint="eastAsia" w:ascii="宋体" w:hAnsi="宋体"/>
        </w:rPr>
        <w:t>；</w:t>
      </w:r>
    </w:p>
    <w:p>
      <w:pPr>
        <w:tabs>
          <w:tab w:val="left" w:pos="518"/>
        </w:tabs>
        <w:adjustRightInd w:val="0"/>
        <w:snapToGrid w:val="0"/>
        <w:spacing w:line="440" w:lineRule="exact"/>
        <w:ind w:left="238"/>
        <w:rPr>
          <w:rFonts w:ascii="宋体" w:hAnsi="宋体"/>
        </w:rPr>
      </w:pPr>
      <w:r>
        <w:rPr>
          <w:rFonts w:hint="eastAsia" w:ascii="宋体" w:hAnsi="宋体"/>
        </w:rPr>
        <w:t>（2）开标一览表</w:t>
      </w:r>
      <w:r>
        <w:rPr>
          <w:rFonts w:hint="eastAsia" w:ascii="宋体" w:hAnsi="宋体"/>
          <w:szCs w:val="21"/>
        </w:rPr>
        <w:t>（格式见附件）</w:t>
      </w:r>
      <w:r>
        <w:rPr>
          <w:rFonts w:hint="eastAsia" w:ascii="宋体" w:hAnsi="宋体"/>
        </w:rPr>
        <w:t>；</w:t>
      </w:r>
    </w:p>
    <w:p>
      <w:pPr>
        <w:tabs>
          <w:tab w:val="left" w:pos="518"/>
        </w:tabs>
        <w:adjustRightInd w:val="0"/>
        <w:snapToGrid w:val="0"/>
        <w:spacing w:line="440" w:lineRule="exact"/>
        <w:ind w:left="238"/>
        <w:rPr>
          <w:rFonts w:ascii="宋体" w:hAnsi="宋体"/>
        </w:rPr>
      </w:pPr>
      <w:r>
        <w:rPr>
          <w:rFonts w:hint="eastAsia" w:ascii="宋体" w:hAnsi="宋体"/>
        </w:rPr>
        <w:t>（3）投标报价明细表</w:t>
      </w:r>
      <w:r>
        <w:rPr>
          <w:rFonts w:hint="eastAsia" w:ascii="宋体" w:hAnsi="宋体"/>
          <w:szCs w:val="21"/>
        </w:rPr>
        <w:t>（格式自拟）</w:t>
      </w:r>
      <w:r>
        <w:rPr>
          <w:rFonts w:hint="eastAsia" w:ascii="宋体" w:hAnsi="宋体"/>
        </w:rPr>
        <w:t>；</w:t>
      </w:r>
    </w:p>
    <w:p>
      <w:pPr>
        <w:tabs>
          <w:tab w:val="left" w:pos="518"/>
        </w:tabs>
        <w:adjustRightInd w:val="0"/>
        <w:snapToGrid w:val="0"/>
        <w:spacing w:line="440" w:lineRule="exact"/>
        <w:ind w:left="238"/>
        <w:rPr>
          <w:rFonts w:ascii="宋体" w:hAnsi="宋体"/>
        </w:rPr>
      </w:pPr>
      <w:r>
        <w:rPr>
          <w:rFonts w:hint="eastAsia" w:ascii="宋体" w:hAnsi="宋体"/>
        </w:rPr>
        <w:t>（4）供应商认为需要提供的其他资料（如有需提供）。</w:t>
      </w:r>
    </w:p>
    <w:p>
      <w:pPr>
        <w:tabs>
          <w:tab w:val="left" w:pos="518"/>
        </w:tabs>
        <w:adjustRightInd w:val="0"/>
        <w:snapToGrid w:val="0"/>
        <w:spacing w:line="440" w:lineRule="exact"/>
        <w:ind w:left="238"/>
        <w:rPr>
          <w:rFonts w:ascii="宋体" w:hAnsi="宋体" w:cs="Arial"/>
          <w:b/>
          <w:szCs w:val="21"/>
        </w:rPr>
      </w:pPr>
      <w:r>
        <w:rPr>
          <w:rFonts w:hint="eastAsia" w:ascii="宋体" w:hAnsi="宋体"/>
        </w:rPr>
        <w:br w:type="page"/>
      </w:r>
      <w:r>
        <w:rPr>
          <w:rFonts w:hint="eastAsia" w:ascii="宋体" w:hAnsi="宋体" w:cs="Arial"/>
          <w:b/>
          <w:szCs w:val="21"/>
        </w:rPr>
        <w:t>1.投标函</w:t>
      </w:r>
    </w:p>
    <w:p>
      <w:pPr>
        <w:pStyle w:val="2"/>
        <w:spacing w:line="360" w:lineRule="auto"/>
        <w:rPr>
          <w:rFonts w:cs="宋体"/>
          <w:sz w:val="28"/>
          <w:szCs w:val="28"/>
        </w:rPr>
      </w:pPr>
      <w:r>
        <w:rPr>
          <w:rFonts w:hint="eastAsia" w:cs="宋体"/>
          <w:sz w:val="28"/>
          <w:szCs w:val="28"/>
        </w:rPr>
        <w:t>投标函</w:t>
      </w:r>
    </w:p>
    <w:p>
      <w:pPr>
        <w:spacing w:line="360" w:lineRule="auto"/>
        <w:rPr>
          <w:rFonts w:ascii="宋体" w:hAnsi="宋体" w:cs="宋体"/>
          <w:szCs w:val="21"/>
        </w:rPr>
      </w:pPr>
    </w:p>
    <w:p>
      <w:pPr>
        <w:pStyle w:val="8"/>
        <w:spacing w:line="360" w:lineRule="auto"/>
        <w:ind w:firstLine="0"/>
        <w:contextualSpacing/>
        <w:rPr>
          <w:rFonts w:ascii="宋体" w:hAnsi="宋体" w:eastAsia="宋体" w:cs="宋体"/>
          <w:sz w:val="21"/>
          <w:szCs w:val="21"/>
        </w:rPr>
      </w:pPr>
      <w:r>
        <w:rPr>
          <w:rFonts w:hint="eastAsia" w:ascii="宋体" w:hAnsi="宋体" w:eastAsia="宋体" w:cs="宋体"/>
          <w:sz w:val="21"/>
          <w:szCs w:val="21"/>
        </w:rPr>
        <w:t>致：</w:t>
      </w:r>
      <w:r>
        <w:rPr>
          <w:rFonts w:hint="eastAsia" w:ascii="宋体" w:hAnsi="宋体" w:eastAsia="宋体" w:cs="宋体"/>
          <w:sz w:val="21"/>
          <w:szCs w:val="21"/>
          <w:u w:val="single"/>
        </w:rPr>
        <w:t>宁波华欣建设项目管理有限公司</w:t>
      </w:r>
    </w:p>
    <w:p>
      <w:pPr>
        <w:pStyle w:val="8"/>
        <w:spacing w:line="360" w:lineRule="auto"/>
        <w:ind w:firstLine="490"/>
        <w:contextualSpacing/>
        <w:rPr>
          <w:rFonts w:ascii="宋体" w:hAnsi="宋体" w:eastAsia="宋体" w:cs="宋体"/>
          <w:sz w:val="21"/>
          <w:szCs w:val="21"/>
          <w:u w:val="single"/>
        </w:rPr>
      </w:pPr>
      <w:r>
        <w:rPr>
          <w:rFonts w:hint="eastAsia" w:ascii="宋体" w:hAnsi="宋体" w:eastAsia="宋体" w:cs="宋体"/>
          <w:sz w:val="21"/>
          <w:szCs w:val="21"/>
          <w:u w:val="single"/>
        </w:rPr>
        <w:t>（投标人全称）</w:t>
      </w:r>
      <w:r>
        <w:rPr>
          <w:rFonts w:hint="eastAsia" w:ascii="宋体" w:hAnsi="宋体" w:eastAsia="宋体" w:cs="宋体"/>
          <w:sz w:val="21"/>
          <w:szCs w:val="21"/>
        </w:rPr>
        <w:t>授权</w:t>
      </w:r>
      <w:r>
        <w:rPr>
          <w:rFonts w:hint="eastAsia" w:ascii="宋体" w:hAnsi="宋体" w:eastAsia="宋体" w:cs="宋体"/>
          <w:sz w:val="21"/>
          <w:szCs w:val="21"/>
          <w:u w:val="single"/>
        </w:rPr>
        <w:t>（全权代表姓名、职务）</w:t>
      </w:r>
      <w:r>
        <w:rPr>
          <w:rFonts w:hint="eastAsia" w:ascii="宋体" w:hAnsi="宋体" w:eastAsia="宋体" w:cs="宋体"/>
          <w:sz w:val="21"/>
          <w:szCs w:val="21"/>
        </w:rPr>
        <w:t>为本公司合法代理人，参加贵方组织的</w:t>
      </w:r>
      <w:r>
        <w:rPr>
          <w:rFonts w:hint="eastAsia" w:ascii="宋体" w:hAnsi="宋体" w:eastAsia="宋体" w:cs="宋体"/>
          <w:sz w:val="21"/>
          <w:szCs w:val="21"/>
          <w:u w:val="single"/>
        </w:rPr>
        <w:t>（项目名称、项目编号、</w:t>
      </w:r>
      <w:r>
        <w:rPr>
          <w:rFonts w:hint="eastAsia" w:ascii="宋体" w:hAnsi="宋体" w:eastAsia="宋体" w:cs="宋体"/>
          <w:kern w:val="0"/>
          <w:sz w:val="21"/>
          <w:szCs w:val="21"/>
          <w:u w:val="single"/>
        </w:rPr>
        <w:t>标项号</w:t>
      </w:r>
      <w:r>
        <w:rPr>
          <w:rFonts w:hint="eastAsia" w:ascii="宋体" w:hAnsi="宋体" w:eastAsia="宋体" w:cs="宋体"/>
          <w:sz w:val="21"/>
          <w:szCs w:val="21"/>
          <w:u w:val="single"/>
        </w:rPr>
        <w:t>）</w:t>
      </w:r>
      <w:r>
        <w:rPr>
          <w:rFonts w:hint="eastAsia" w:ascii="宋体" w:hAnsi="宋体" w:eastAsia="宋体" w:cs="宋体"/>
          <w:sz w:val="21"/>
          <w:szCs w:val="21"/>
        </w:rPr>
        <w:t>招投标活动，代表本公司处理招投标活动中的一切事宜。在此：</w:t>
      </w:r>
    </w:p>
    <w:p>
      <w:pPr>
        <w:pStyle w:val="8"/>
        <w:tabs>
          <w:tab w:val="left" w:pos="426"/>
        </w:tabs>
        <w:spacing w:line="360" w:lineRule="auto"/>
        <w:ind w:firstLine="0"/>
        <w:contextualSpacing/>
        <w:rPr>
          <w:rFonts w:ascii="宋体" w:hAnsi="宋体" w:eastAsia="宋体" w:cs="宋体"/>
          <w:sz w:val="21"/>
          <w:szCs w:val="21"/>
        </w:rPr>
      </w:pPr>
      <w:r>
        <w:rPr>
          <w:rFonts w:hint="eastAsia" w:ascii="宋体" w:hAnsi="宋体" w:eastAsia="宋体" w:cs="宋体"/>
          <w:sz w:val="21"/>
          <w:szCs w:val="21"/>
        </w:rPr>
        <w:t>1、提供采购文件中“投标须知”规定的全部投标文件资料。</w:t>
      </w:r>
    </w:p>
    <w:p>
      <w:pPr>
        <w:pStyle w:val="8"/>
        <w:tabs>
          <w:tab w:val="left" w:pos="426"/>
        </w:tabs>
        <w:spacing w:line="360" w:lineRule="auto"/>
        <w:ind w:firstLine="0"/>
        <w:contextualSpacing/>
        <w:rPr>
          <w:rFonts w:ascii="宋体" w:hAnsi="宋体" w:eastAsia="宋体" w:cs="宋体"/>
          <w:sz w:val="21"/>
          <w:szCs w:val="21"/>
        </w:rPr>
      </w:pPr>
      <w:r>
        <w:rPr>
          <w:rFonts w:hint="eastAsia" w:ascii="宋体" w:hAnsi="宋体" w:eastAsia="宋体" w:cs="宋体"/>
          <w:sz w:val="21"/>
          <w:szCs w:val="21"/>
        </w:rPr>
        <w:t>2、据此函，签字代表宣布并承诺如下：</w:t>
      </w:r>
    </w:p>
    <w:p>
      <w:pPr>
        <w:pStyle w:val="8"/>
        <w:spacing w:line="360" w:lineRule="auto"/>
        <w:ind w:firstLine="420" w:firstLineChars="200"/>
        <w:contextualSpacing/>
        <w:rPr>
          <w:rFonts w:ascii="宋体" w:hAnsi="宋体" w:eastAsia="宋体" w:cs="宋体"/>
          <w:sz w:val="21"/>
          <w:szCs w:val="21"/>
        </w:rPr>
      </w:pPr>
      <w:r>
        <w:rPr>
          <w:rFonts w:hint="eastAsia" w:ascii="宋体" w:hAnsi="宋体" w:eastAsia="宋体" w:cs="宋体"/>
          <w:sz w:val="21"/>
          <w:szCs w:val="21"/>
        </w:rPr>
        <w:t>（1）我们已详细审查全部“采购文件”，包括修改文件（如有）以及全部参考资料和有关附件，我们完全理解并同意放弃对这方面提出任何异议的权利。已经了解对于采购文件、采购过程、采购结果有依法进行询问、质疑、投诉的权利及相关渠道和要求。</w:t>
      </w:r>
    </w:p>
    <w:p>
      <w:pPr>
        <w:pStyle w:val="8"/>
        <w:spacing w:line="360" w:lineRule="auto"/>
        <w:ind w:firstLine="420" w:firstLineChars="200"/>
        <w:contextualSpacing/>
        <w:rPr>
          <w:rFonts w:ascii="宋体" w:hAnsi="宋体" w:eastAsia="宋体" w:cs="宋体"/>
          <w:sz w:val="21"/>
          <w:szCs w:val="21"/>
        </w:rPr>
      </w:pPr>
      <w:r>
        <w:rPr>
          <w:rFonts w:hint="eastAsia" w:ascii="宋体" w:hAnsi="宋体" w:eastAsia="宋体" w:cs="宋体"/>
          <w:sz w:val="21"/>
          <w:szCs w:val="21"/>
        </w:rPr>
        <w:t>（2）本投标自开标之日起</w:t>
      </w:r>
      <w:r>
        <w:rPr>
          <w:rFonts w:hint="eastAsia" w:ascii="宋体" w:hAnsi="宋体" w:eastAsia="宋体" w:cs="宋体"/>
          <w:sz w:val="21"/>
          <w:szCs w:val="21"/>
          <w:u w:val="single"/>
        </w:rPr>
        <w:t xml:space="preserve">     </w:t>
      </w:r>
      <w:r>
        <w:rPr>
          <w:rFonts w:hint="eastAsia" w:ascii="宋体" w:hAnsi="宋体" w:eastAsia="宋体" w:cs="宋体"/>
          <w:sz w:val="21"/>
          <w:szCs w:val="21"/>
        </w:rPr>
        <w:t>天内有效。</w:t>
      </w:r>
    </w:p>
    <w:p>
      <w:pPr>
        <w:pStyle w:val="8"/>
        <w:spacing w:line="360" w:lineRule="auto"/>
        <w:ind w:firstLine="420" w:firstLineChars="200"/>
        <w:contextualSpacing/>
        <w:rPr>
          <w:rFonts w:ascii="宋体" w:hAnsi="宋体" w:eastAsia="宋体" w:cs="宋体"/>
          <w:sz w:val="21"/>
          <w:szCs w:val="21"/>
        </w:rPr>
      </w:pPr>
      <w:r>
        <w:rPr>
          <w:rFonts w:hint="eastAsia" w:ascii="宋体" w:hAnsi="宋体" w:eastAsia="宋体" w:cs="宋体"/>
          <w:sz w:val="21"/>
          <w:szCs w:val="21"/>
        </w:rPr>
        <w:t>（3）保证遵守采购文件有关条款规定。</w:t>
      </w:r>
    </w:p>
    <w:p>
      <w:pPr>
        <w:pStyle w:val="8"/>
        <w:spacing w:line="360" w:lineRule="auto"/>
        <w:ind w:firstLine="420" w:firstLineChars="200"/>
        <w:contextualSpacing/>
        <w:rPr>
          <w:rFonts w:ascii="宋体" w:hAnsi="宋体" w:eastAsia="宋体" w:cs="宋体"/>
          <w:sz w:val="21"/>
          <w:szCs w:val="21"/>
        </w:rPr>
      </w:pPr>
      <w:r>
        <w:rPr>
          <w:rFonts w:hint="eastAsia" w:ascii="宋体" w:hAnsi="宋体" w:eastAsia="宋体" w:cs="宋体"/>
          <w:sz w:val="21"/>
          <w:szCs w:val="21"/>
        </w:rPr>
        <w:t>（4）保证在中标后忠实地执行与采购人所签署的合同，并承担合同规定的责任义务。保证在中标后按照采购文件的规定支付招标代理服务费。</w:t>
      </w:r>
    </w:p>
    <w:p>
      <w:pPr>
        <w:pStyle w:val="8"/>
        <w:spacing w:line="360" w:lineRule="auto"/>
        <w:ind w:firstLine="420" w:firstLineChars="200"/>
        <w:contextualSpacing/>
        <w:rPr>
          <w:rFonts w:ascii="宋体" w:hAnsi="宋体" w:eastAsia="宋体" w:cs="宋体"/>
          <w:sz w:val="21"/>
          <w:szCs w:val="21"/>
        </w:rPr>
      </w:pPr>
      <w:r>
        <w:rPr>
          <w:rFonts w:hint="eastAsia" w:ascii="宋体" w:hAnsi="宋体" w:eastAsia="宋体" w:cs="宋体"/>
          <w:sz w:val="21"/>
          <w:szCs w:val="21"/>
        </w:rPr>
        <w:t>（5）承诺应贵方要求提供任何与该项目投标有关的数据、情况和技术资料。</w:t>
      </w:r>
    </w:p>
    <w:p>
      <w:pPr>
        <w:pStyle w:val="8"/>
        <w:tabs>
          <w:tab w:val="left" w:pos="426"/>
        </w:tabs>
        <w:spacing w:line="360" w:lineRule="auto"/>
        <w:ind w:firstLine="0"/>
        <w:contextualSpacing/>
        <w:rPr>
          <w:rFonts w:ascii="宋体" w:hAnsi="宋体" w:eastAsia="宋体" w:cs="宋体"/>
          <w:sz w:val="21"/>
          <w:szCs w:val="21"/>
        </w:rPr>
      </w:pPr>
      <w:r>
        <w:rPr>
          <w:rFonts w:hint="eastAsia" w:ascii="宋体" w:hAnsi="宋体" w:eastAsia="宋体" w:cs="宋体"/>
          <w:sz w:val="21"/>
          <w:szCs w:val="21"/>
        </w:rPr>
        <w:t>3、与本项目有关的澄清、补充文件请发送至：</w:t>
      </w:r>
    </w:p>
    <w:p>
      <w:pPr>
        <w:pStyle w:val="8"/>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电子邮箱：</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传真号码：</w:t>
      </w:r>
      <w:r>
        <w:rPr>
          <w:rFonts w:hint="eastAsia" w:ascii="宋体" w:hAnsi="宋体" w:eastAsia="宋体" w:cs="宋体"/>
          <w:sz w:val="21"/>
          <w:szCs w:val="21"/>
          <w:u w:val="single"/>
        </w:rPr>
        <w:t xml:space="preserve">                </w:t>
      </w:r>
    </w:p>
    <w:p>
      <w:pPr>
        <w:pStyle w:val="8"/>
        <w:tabs>
          <w:tab w:val="left" w:pos="426"/>
        </w:tabs>
        <w:spacing w:line="360" w:lineRule="auto"/>
        <w:ind w:firstLine="0"/>
        <w:contextualSpacing/>
        <w:rPr>
          <w:rFonts w:ascii="宋体" w:hAnsi="宋体" w:eastAsia="宋体" w:cs="宋体"/>
          <w:sz w:val="21"/>
          <w:szCs w:val="21"/>
        </w:rPr>
      </w:pPr>
      <w:r>
        <w:rPr>
          <w:rFonts w:hint="eastAsia" w:ascii="宋体" w:hAnsi="宋体" w:eastAsia="宋体" w:cs="宋体"/>
          <w:sz w:val="21"/>
          <w:szCs w:val="21"/>
        </w:rPr>
        <w:t>4、与本投标有关的一切往来通讯请寄：</w:t>
      </w:r>
    </w:p>
    <w:p>
      <w:pPr>
        <w:pStyle w:val="8"/>
        <w:spacing w:line="360" w:lineRule="auto"/>
        <w:ind w:left="480" w:firstLine="0"/>
        <w:contextualSpacing/>
        <w:rPr>
          <w:rFonts w:ascii="宋体" w:hAnsi="宋体" w:eastAsia="宋体" w:cs="宋体"/>
          <w:sz w:val="21"/>
          <w:szCs w:val="21"/>
          <w:u w:val="single"/>
        </w:rPr>
      </w:pPr>
      <w:r>
        <w:rPr>
          <w:rFonts w:hint="eastAsia" w:ascii="宋体" w:hAnsi="宋体" w:eastAsia="宋体" w:cs="宋体"/>
          <w:sz w:val="21"/>
          <w:szCs w:val="21"/>
        </w:rPr>
        <w:t>地址：</w:t>
      </w:r>
      <w:r>
        <w:rPr>
          <w:rFonts w:hint="eastAsia" w:ascii="宋体" w:hAnsi="宋体" w:eastAsia="宋体" w:cs="宋体"/>
          <w:sz w:val="21"/>
          <w:szCs w:val="21"/>
          <w:u w:val="single"/>
        </w:rPr>
        <w:t xml:space="preserve">                  </w:t>
      </w:r>
    </w:p>
    <w:p>
      <w:pPr>
        <w:pStyle w:val="8"/>
        <w:spacing w:line="360" w:lineRule="auto"/>
        <w:ind w:left="480" w:firstLine="0"/>
        <w:contextualSpacing/>
        <w:rPr>
          <w:rFonts w:ascii="宋体" w:hAnsi="宋体" w:eastAsia="宋体" w:cs="宋体"/>
          <w:sz w:val="21"/>
          <w:szCs w:val="21"/>
          <w:u w:val="single"/>
        </w:rPr>
      </w:pPr>
      <w:r>
        <w:rPr>
          <w:rFonts w:hint="eastAsia" w:ascii="宋体" w:hAnsi="宋体" w:eastAsia="宋体" w:cs="宋体"/>
          <w:sz w:val="21"/>
          <w:szCs w:val="21"/>
        </w:rPr>
        <w:t>邮编：</w:t>
      </w:r>
      <w:r>
        <w:rPr>
          <w:rFonts w:hint="eastAsia" w:ascii="宋体" w:hAnsi="宋体" w:eastAsia="宋体" w:cs="宋体"/>
          <w:sz w:val="21"/>
          <w:szCs w:val="21"/>
          <w:u w:val="single"/>
        </w:rPr>
        <w:t xml:space="preserve">           </w:t>
      </w:r>
      <w:r>
        <w:rPr>
          <w:rFonts w:hint="eastAsia" w:ascii="宋体" w:hAnsi="宋体" w:eastAsia="宋体" w:cs="宋体"/>
          <w:sz w:val="21"/>
          <w:szCs w:val="21"/>
        </w:rPr>
        <w:t>电话：</w:t>
      </w:r>
      <w:r>
        <w:rPr>
          <w:rFonts w:hint="eastAsia" w:ascii="宋体" w:hAnsi="宋体" w:eastAsia="宋体" w:cs="宋体"/>
          <w:sz w:val="21"/>
          <w:szCs w:val="21"/>
          <w:u w:val="single"/>
        </w:rPr>
        <w:t xml:space="preserve">           </w:t>
      </w:r>
      <w:r>
        <w:rPr>
          <w:rFonts w:hint="eastAsia" w:ascii="宋体" w:hAnsi="宋体" w:eastAsia="宋体" w:cs="宋体"/>
          <w:sz w:val="21"/>
          <w:szCs w:val="21"/>
        </w:rPr>
        <w:t>传真：</w:t>
      </w:r>
      <w:r>
        <w:rPr>
          <w:rFonts w:hint="eastAsia" w:ascii="宋体" w:hAnsi="宋体" w:eastAsia="宋体" w:cs="宋体"/>
          <w:sz w:val="21"/>
          <w:szCs w:val="21"/>
          <w:u w:val="single"/>
        </w:rPr>
        <w:t xml:space="preserve">             </w:t>
      </w:r>
    </w:p>
    <w:p>
      <w:pPr>
        <w:pStyle w:val="8"/>
        <w:spacing w:line="360" w:lineRule="auto"/>
        <w:ind w:firstLine="0"/>
        <w:contextualSpacing/>
        <w:rPr>
          <w:rFonts w:ascii="宋体" w:hAnsi="宋体" w:eastAsia="宋体" w:cs="宋体"/>
          <w:sz w:val="21"/>
          <w:szCs w:val="21"/>
        </w:rPr>
      </w:pPr>
    </w:p>
    <w:p>
      <w:pPr>
        <w:pStyle w:val="8"/>
        <w:tabs>
          <w:tab w:val="left" w:pos="4185"/>
        </w:tabs>
        <w:spacing w:line="360" w:lineRule="auto"/>
        <w:ind w:firstLine="315" w:firstLineChars="150"/>
        <w:contextualSpacing/>
        <w:rPr>
          <w:rFonts w:ascii="宋体" w:hAnsi="宋体" w:eastAsia="宋体" w:cs="宋体"/>
          <w:sz w:val="21"/>
          <w:szCs w:val="21"/>
        </w:rPr>
      </w:pPr>
      <w:r>
        <w:rPr>
          <w:rFonts w:hint="eastAsia" w:ascii="宋体" w:hAnsi="宋体" w:eastAsia="宋体" w:cs="宋体"/>
          <w:sz w:val="21"/>
          <w:szCs w:val="21"/>
        </w:rPr>
        <w:t>投标人（盖章）：</w:t>
      </w:r>
    </w:p>
    <w:p>
      <w:pPr>
        <w:pStyle w:val="8"/>
        <w:tabs>
          <w:tab w:val="left" w:pos="4185"/>
        </w:tabs>
        <w:spacing w:line="360" w:lineRule="auto"/>
        <w:ind w:firstLine="315" w:firstLineChars="150"/>
        <w:contextualSpacing/>
        <w:rPr>
          <w:rFonts w:ascii="宋体" w:hAnsi="宋体" w:eastAsia="宋体" w:cs="宋体"/>
          <w:sz w:val="21"/>
          <w:szCs w:val="21"/>
        </w:rPr>
      </w:pPr>
      <w:r>
        <w:rPr>
          <w:rFonts w:hint="eastAsia" w:ascii="宋体" w:hAnsi="宋体" w:eastAsia="宋体" w:cs="宋体"/>
          <w:sz w:val="21"/>
          <w:szCs w:val="21"/>
        </w:rPr>
        <w:t>法定代表人或授权代表人（签字或盖章）：</w:t>
      </w:r>
    </w:p>
    <w:p>
      <w:pPr>
        <w:pStyle w:val="8"/>
        <w:tabs>
          <w:tab w:val="left" w:pos="4841"/>
        </w:tabs>
        <w:spacing w:line="360" w:lineRule="auto"/>
        <w:ind w:firstLine="315" w:firstLineChars="150"/>
        <w:contextualSpacing/>
        <w:rPr>
          <w:rFonts w:ascii="宋体" w:hAnsi="宋体" w:eastAsia="宋体" w:cs="宋体"/>
          <w:sz w:val="21"/>
          <w:szCs w:val="21"/>
        </w:rPr>
      </w:pPr>
      <w:r>
        <w:rPr>
          <w:rFonts w:hint="eastAsia" w:ascii="宋体" w:hAnsi="宋体" w:eastAsia="宋体" w:cs="宋体"/>
          <w:sz w:val="21"/>
          <w:szCs w:val="21"/>
        </w:rPr>
        <w:t>日期：</w:t>
      </w:r>
    </w:p>
    <w:p>
      <w:pPr>
        <w:rPr>
          <w:szCs w:val="24"/>
        </w:rPr>
      </w:pPr>
      <w:r>
        <w:rPr>
          <w:szCs w:val="24"/>
        </w:rPr>
        <w:br w:type="page"/>
      </w:r>
    </w:p>
    <w:p>
      <w:pPr>
        <w:tabs>
          <w:tab w:val="left" w:pos="518"/>
        </w:tabs>
        <w:adjustRightInd w:val="0"/>
        <w:snapToGrid w:val="0"/>
        <w:spacing w:line="440" w:lineRule="exact"/>
        <w:ind w:left="238"/>
        <w:rPr>
          <w:rFonts w:ascii="宋体" w:hAnsi="宋体" w:cs="Arial"/>
          <w:b/>
          <w:szCs w:val="21"/>
        </w:rPr>
      </w:pPr>
      <w:r>
        <w:rPr>
          <w:rFonts w:hint="eastAsia" w:ascii="宋体" w:hAnsi="宋体" w:cs="Arial"/>
          <w:b/>
          <w:szCs w:val="21"/>
        </w:rPr>
        <w:t>2.开标一览表</w:t>
      </w:r>
    </w:p>
    <w:p>
      <w:pPr>
        <w:pStyle w:val="2"/>
        <w:spacing w:after="120" w:afterLines="50" w:line="360" w:lineRule="auto"/>
        <w:rPr>
          <w:rFonts w:cs="宋体"/>
          <w:sz w:val="28"/>
          <w:szCs w:val="28"/>
        </w:rPr>
      </w:pPr>
      <w:bookmarkStart w:id="17" w:name="_Toc505353795"/>
      <w:bookmarkStart w:id="18" w:name="_Toc496003217"/>
      <w:bookmarkStart w:id="19" w:name="_Toc498429650"/>
      <w:r>
        <w:rPr>
          <w:rFonts w:hint="eastAsia" w:cs="宋体"/>
          <w:sz w:val="28"/>
          <w:szCs w:val="28"/>
        </w:rPr>
        <w:t>开标一览表</w:t>
      </w:r>
      <w:bookmarkEnd w:id="17"/>
      <w:bookmarkEnd w:id="18"/>
      <w:bookmarkEnd w:id="19"/>
    </w:p>
    <w:p>
      <w:pPr>
        <w:pStyle w:val="8"/>
        <w:spacing w:line="360" w:lineRule="auto"/>
        <w:ind w:firstLine="0"/>
        <w:rPr>
          <w:rFonts w:ascii="宋体" w:hAnsi="宋体" w:eastAsia="宋体" w:cs="宋体"/>
          <w:sz w:val="21"/>
          <w:szCs w:val="21"/>
        </w:rPr>
      </w:pPr>
      <w:r>
        <w:rPr>
          <w:rFonts w:hint="eastAsia" w:ascii="宋体" w:hAnsi="宋体" w:eastAsia="宋体" w:cs="宋体"/>
          <w:sz w:val="21"/>
          <w:szCs w:val="21"/>
        </w:rPr>
        <w:t>项目名称：</w:t>
      </w:r>
    </w:p>
    <w:p>
      <w:pPr>
        <w:pStyle w:val="8"/>
        <w:spacing w:line="360" w:lineRule="auto"/>
        <w:ind w:firstLine="0"/>
        <w:rPr>
          <w:rFonts w:ascii="宋体" w:hAnsi="宋体" w:eastAsia="宋体" w:cs="宋体"/>
          <w:sz w:val="21"/>
          <w:szCs w:val="21"/>
        </w:rPr>
      </w:pPr>
      <w:r>
        <w:rPr>
          <w:rFonts w:hint="eastAsia" w:ascii="宋体" w:hAnsi="宋体" w:eastAsia="宋体" w:cs="宋体"/>
          <w:sz w:val="21"/>
          <w:szCs w:val="21"/>
        </w:rPr>
        <w:t>项目编号：</w:t>
      </w:r>
    </w:p>
    <w:p>
      <w:pPr>
        <w:pStyle w:val="8"/>
        <w:spacing w:line="360" w:lineRule="auto"/>
        <w:ind w:firstLine="0"/>
        <w:rPr>
          <w:rFonts w:ascii="宋体" w:hAnsi="宋体"/>
          <w:szCs w:val="21"/>
        </w:rPr>
      </w:pPr>
      <w:r>
        <w:rPr>
          <w:rFonts w:hint="eastAsia" w:ascii="宋体" w:hAnsi="宋体" w:eastAsia="宋体" w:cs="宋体"/>
          <w:sz w:val="21"/>
          <w:szCs w:val="21"/>
        </w:rPr>
        <w:t>标项号：</w:t>
      </w:r>
      <w:r>
        <w:rPr>
          <w:rFonts w:ascii="宋体" w:hAnsi="宋体"/>
          <w:szCs w:val="21"/>
        </w:rPr>
        <w:t xml:space="preserve">                     </w:t>
      </w:r>
    </w:p>
    <w:p>
      <w:pPr>
        <w:snapToGrid w:val="0"/>
        <w:spacing w:after="50" w:line="360" w:lineRule="auto"/>
        <w:jc w:val="center"/>
        <w:rPr>
          <w:rFonts w:ascii="宋体" w:hAnsi="宋体"/>
          <w:szCs w:val="21"/>
        </w:rPr>
      </w:pPr>
      <w:r>
        <w:rPr>
          <w:rFonts w:hint="eastAsia" w:ascii="宋体" w:hAnsi="宋体"/>
          <w:szCs w:val="21"/>
        </w:rPr>
        <w:t xml:space="preserve">                                                            单位：元 </w:t>
      </w:r>
    </w:p>
    <w:tbl>
      <w:tblPr>
        <w:tblStyle w:val="19"/>
        <w:tblW w:w="80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6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trPr>
        <w:tc>
          <w:tcPr>
            <w:tcW w:w="1390" w:type="dxa"/>
            <w:vAlign w:val="center"/>
          </w:tcPr>
          <w:p>
            <w:pPr>
              <w:spacing w:line="360" w:lineRule="auto"/>
              <w:rPr>
                <w:szCs w:val="21"/>
              </w:rPr>
            </w:pPr>
            <w:r>
              <w:rPr>
                <w:rFonts w:hint="eastAsia" w:hAnsi="宋体"/>
                <w:szCs w:val="21"/>
              </w:rPr>
              <w:t>项目名称</w:t>
            </w:r>
          </w:p>
        </w:tc>
        <w:tc>
          <w:tcPr>
            <w:tcW w:w="6669" w:type="dxa"/>
            <w:vAlign w:val="center"/>
          </w:tcPr>
          <w:p>
            <w:pPr>
              <w:pStyle w:val="8"/>
              <w:spacing w:line="360" w:lineRule="auto"/>
              <w:ind w:firstLine="0"/>
              <w:rPr>
                <w:szCs w:val="21"/>
              </w:rPr>
            </w:pPr>
            <w:r>
              <w:rPr>
                <w:rFonts w:hint="eastAsia" w:ascii="宋体" w:hAnsi="宋体" w:eastAsia="宋体" w:cs="宋体"/>
                <w:sz w:val="21"/>
                <w:szCs w:val="21"/>
              </w:rPr>
              <w:t>2024年宁波市镇海区交通运输管理中心数字公路运维项目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trPr>
        <w:tc>
          <w:tcPr>
            <w:tcW w:w="1390" w:type="dxa"/>
            <w:vAlign w:val="center"/>
          </w:tcPr>
          <w:p>
            <w:pPr>
              <w:spacing w:line="360" w:lineRule="auto"/>
              <w:rPr>
                <w:rFonts w:hint="default" w:ascii="Times New Roman" w:hAnsi="宋体" w:eastAsia="宋体" w:cs="Times New Roman"/>
                <w:szCs w:val="21"/>
                <w:lang w:val="en-US" w:eastAsia="zh-CN"/>
              </w:rPr>
            </w:pPr>
            <w:r>
              <w:rPr>
                <w:rFonts w:hint="eastAsia" w:ascii="Times New Roman" w:hAnsi="宋体" w:eastAsia="宋体" w:cs="Times New Roman"/>
                <w:szCs w:val="21"/>
                <w:lang w:val="en-US" w:eastAsia="zh-CN"/>
              </w:rPr>
              <w:t>投标报价（1年）：</w:t>
            </w:r>
          </w:p>
        </w:tc>
        <w:tc>
          <w:tcPr>
            <w:tcW w:w="6669" w:type="dxa"/>
            <w:vAlign w:val="center"/>
          </w:tcPr>
          <w:p>
            <w:pPr>
              <w:spacing w:line="360" w:lineRule="auto"/>
              <w:rPr>
                <w:rFonts w:hint="eastAsia" w:ascii="Times New Roman" w:hAnsi="宋体" w:eastAsia="宋体" w:cs="Times New Roman"/>
                <w:szCs w:val="21"/>
                <w:u w:val="none"/>
                <w:lang w:val="en-US" w:eastAsia="zh-CN"/>
              </w:rPr>
            </w:pPr>
            <w:r>
              <w:rPr>
                <w:rFonts w:hint="eastAsia" w:ascii="Times New Roman" w:hAnsi="宋体" w:eastAsia="宋体" w:cs="Times New Roman"/>
                <w:szCs w:val="21"/>
                <w:lang w:val="en-US" w:eastAsia="zh-CN"/>
              </w:rPr>
              <w:t>大写：人民币</w:t>
            </w:r>
            <w:r>
              <w:rPr>
                <w:rFonts w:hint="eastAsia" w:ascii="Times New Roman" w:hAnsi="宋体" w:eastAsia="宋体" w:cs="Times New Roman"/>
                <w:szCs w:val="21"/>
                <w:u w:val="single"/>
                <w:lang w:val="en-US" w:eastAsia="zh-CN"/>
              </w:rPr>
              <w:t xml:space="preserve">                    </w:t>
            </w:r>
            <w:r>
              <w:rPr>
                <w:rFonts w:hint="eastAsia" w:ascii="Times New Roman" w:hAnsi="宋体" w:eastAsia="宋体" w:cs="Times New Roman"/>
                <w:szCs w:val="21"/>
                <w:u w:val="none"/>
                <w:lang w:val="en-US" w:eastAsia="zh-CN"/>
              </w:rPr>
              <w:t xml:space="preserve"> ；</w:t>
            </w:r>
          </w:p>
          <w:p>
            <w:pPr>
              <w:spacing w:line="360" w:lineRule="auto"/>
              <w:rPr>
                <w:rFonts w:hint="eastAsia" w:ascii="Times New Roman" w:hAnsi="宋体" w:eastAsia="宋体" w:cs="Times New Roman"/>
                <w:szCs w:val="21"/>
                <w:lang w:val="en-US" w:eastAsia="zh-CN"/>
              </w:rPr>
            </w:pPr>
            <w:r>
              <w:rPr>
                <w:rFonts w:hint="eastAsia" w:ascii="Times New Roman" w:hAnsi="宋体" w:eastAsia="宋体" w:cs="Times New Roman"/>
                <w:szCs w:val="21"/>
                <w:lang w:val="en-US" w:eastAsia="zh-CN"/>
              </w:rPr>
              <w:t>小写：¥</w:t>
            </w:r>
            <w:r>
              <w:rPr>
                <w:rFonts w:hint="eastAsia" w:ascii="Times New Roman" w:hAnsi="宋体" w:eastAsia="宋体" w:cs="Times New Roman"/>
                <w:szCs w:val="21"/>
                <w:u w:val="single"/>
                <w:lang w:val="en-US" w:eastAsia="zh-CN"/>
              </w:rPr>
              <w:t xml:space="preserve">             </w:t>
            </w:r>
            <w:r>
              <w:rPr>
                <w:rFonts w:hint="eastAsia" w:ascii="Times New Roman" w:hAnsi="宋体" w:eastAsia="宋体" w:cs="Times New Roman"/>
                <w:szCs w:val="21"/>
                <w:lang w:val="en-US" w:eastAsia="zh-CN"/>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trPr>
        <w:tc>
          <w:tcPr>
            <w:tcW w:w="1390" w:type="dxa"/>
            <w:vAlign w:val="center"/>
          </w:tcPr>
          <w:p>
            <w:pPr>
              <w:spacing w:line="360" w:lineRule="auto"/>
              <w:rPr>
                <w:rFonts w:hint="eastAsia" w:ascii="Times New Roman" w:hAnsi="宋体" w:eastAsia="宋体" w:cs="Times New Roman"/>
                <w:szCs w:val="21"/>
                <w:lang w:val="en-US" w:eastAsia="zh-CN"/>
              </w:rPr>
            </w:pPr>
            <w:r>
              <w:rPr>
                <w:rFonts w:hint="eastAsia" w:ascii="Times New Roman" w:hAnsi="宋体" w:eastAsia="宋体" w:cs="Times New Roman"/>
                <w:szCs w:val="21"/>
                <w:lang w:val="en-US" w:eastAsia="zh-CN"/>
              </w:rPr>
              <w:t>投标总价（2年）：</w:t>
            </w:r>
          </w:p>
        </w:tc>
        <w:tc>
          <w:tcPr>
            <w:tcW w:w="6669" w:type="dxa"/>
            <w:vAlign w:val="center"/>
          </w:tcPr>
          <w:p>
            <w:pPr>
              <w:spacing w:line="360" w:lineRule="auto"/>
              <w:rPr>
                <w:rFonts w:hint="eastAsia" w:ascii="Times New Roman" w:hAnsi="宋体" w:eastAsia="宋体" w:cs="Times New Roman"/>
                <w:szCs w:val="21"/>
                <w:u w:val="none"/>
                <w:lang w:val="en-US" w:eastAsia="zh-CN"/>
              </w:rPr>
            </w:pPr>
            <w:r>
              <w:rPr>
                <w:rFonts w:hint="eastAsia" w:ascii="Times New Roman" w:hAnsi="宋体" w:eastAsia="宋体" w:cs="Times New Roman"/>
                <w:szCs w:val="21"/>
                <w:lang w:val="en-US" w:eastAsia="zh-CN"/>
              </w:rPr>
              <w:t>大写：人民币</w:t>
            </w:r>
            <w:r>
              <w:rPr>
                <w:rFonts w:hint="eastAsia" w:ascii="Times New Roman" w:hAnsi="宋体" w:eastAsia="宋体" w:cs="Times New Roman"/>
                <w:szCs w:val="21"/>
                <w:u w:val="single"/>
                <w:lang w:val="en-US" w:eastAsia="zh-CN"/>
              </w:rPr>
              <w:t xml:space="preserve">                    </w:t>
            </w:r>
            <w:r>
              <w:rPr>
                <w:rFonts w:hint="eastAsia" w:ascii="Times New Roman" w:hAnsi="宋体" w:eastAsia="宋体" w:cs="Times New Roman"/>
                <w:szCs w:val="21"/>
                <w:u w:val="none"/>
                <w:lang w:val="en-US" w:eastAsia="zh-CN"/>
              </w:rPr>
              <w:t xml:space="preserve"> ；</w:t>
            </w:r>
          </w:p>
          <w:p>
            <w:pPr>
              <w:spacing w:line="360" w:lineRule="auto"/>
              <w:rPr>
                <w:rFonts w:hint="default" w:ascii="Times New Roman" w:hAnsi="宋体" w:eastAsia="宋体" w:cs="Times New Roman"/>
                <w:szCs w:val="21"/>
                <w:lang w:val="en-US" w:eastAsia="zh-CN"/>
              </w:rPr>
            </w:pPr>
            <w:r>
              <w:rPr>
                <w:rFonts w:hint="eastAsia" w:ascii="Times New Roman" w:hAnsi="宋体" w:eastAsia="宋体" w:cs="Times New Roman"/>
                <w:szCs w:val="21"/>
                <w:lang w:val="en-US" w:eastAsia="zh-CN"/>
              </w:rPr>
              <w:t>小写：¥</w:t>
            </w:r>
            <w:r>
              <w:rPr>
                <w:rFonts w:hint="eastAsia" w:ascii="Times New Roman" w:hAnsi="宋体" w:eastAsia="宋体" w:cs="Times New Roman"/>
                <w:szCs w:val="21"/>
                <w:u w:val="single"/>
                <w:lang w:val="en-US" w:eastAsia="zh-CN"/>
              </w:rPr>
              <w:t xml:space="preserve">             </w:t>
            </w:r>
            <w:r>
              <w:rPr>
                <w:rFonts w:hint="eastAsia" w:ascii="Times New Roman" w:hAnsi="宋体" w:eastAsia="宋体" w:cs="Times New Roman"/>
                <w:szCs w:val="21"/>
                <w:lang w:val="en-US" w:eastAsia="zh-CN"/>
              </w:rPr>
              <w:t>元/2年；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trPr>
        <w:tc>
          <w:tcPr>
            <w:tcW w:w="1390" w:type="dxa"/>
            <w:vAlign w:val="center"/>
          </w:tcPr>
          <w:p>
            <w:pPr>
              <w:spacing w:line="360" w:lineRule="auto"/>
              <w:rPr>
                <w:rFonts w:hint="default" w:eastAsia="宋体"/>
                <w:szCs w:val="21"/>
                <w:lang w:val="en-US" w:eastAsia="zh-CN"/>
              </w:rPr>
            </w:pPr>
            <w:r>
              <w:rPr>
                <w:rFonts w:hint="eastAsia"/>
                <w:szCs w:val="21"/>
                <w:lang w:val="en-US" w:eastAsia="zh-CN"/>
              </w:rPr>
              <w:t>服务期限：</w:t>
            </w:r>
          </w:p>
        </w:tc>
        <w:tc>
          <w:tcPr>
            <w:tcW w:w="6669" w:type="dxa"/>
            <w:vAlign w:val="center"/>
          </w:tcPr>
          <w:p>
            <w:pPr>
              <w:spacing w:line="360" w:lineRule="auto"/>
              <w:rPr>
                <w:rFonts w:hint="eastAsia"/>
                <w:szCs w:val="21"/>
              </w:rPr>
            </w:pPr>
            <w:r>
              <w:rPr>
                <w:rFonts w:hint="eastAsia" w:ascii="宋体" w:hAnsi="宋体" w:eastAsia="宋体" w:cs="宋体"/>
                <w:kern w:val="2"/>
                <w:sz w:val="21"/>
                <w:szCs w:val="21"/>
                <w:lang w:val="en-US" w:eastAsia="zh-CN" w:bidi="ar-SA"/>
              </w:rPr>
              <w:t>自合同签订生效之日起一年；一年期满后经采购人审核后，合同可续签一次，续签的合同期限为一年。后续合同的签订以采购人根据中标人在上一年度的合同履约及考核情况决定是否续签。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1390" w:type="dxa"/>
            <w:vAlign w:val="center"/>
          </w:tcPr>
          <w:p>
            <w:pPr>
              <w:spacing w:line="360" w:lineRule="auto"/>
              <w:rPr>
                <w:szCs w:val="21"/>
              </w:rPr>
            </w:pPr>
            <w:r>
              <w:rPr>
                <w:rFonts w:hint="eastAsia" w:hAnsi="宋体"/>
                <w:szCs w:val="21"/>
              </w:rPr>
              <w:t>投标声明</w:t>
            </w:r>
          </w:p>
        </w:tc>
        <w:tc>
          <w:tcPr>
            <w:tcW w:w="6669" w:type="dxa"/>
            <w:vAlign w:val="center"/>
          </w:tcPr>
          <w:p>
            <w:pPr>
              <w:spacing w:line="360" w:lineRule="auto"/>
              <w:rPr>
                <w:szCs w:val="21"/>
              </w:rPr>
            </w:pPr>
            <w:r>
              <w:rPr>
                <w:rFonts w:hint="eastAsia" w:hAnsi="宋体"/>
                <w:szCs w:val="21"/>
              </w:rPr>
              <w:t>若无，请打</w:t>
            </w:r>
            <w:r>
              <w:rPr>
                <w:rFonts w:hint="eastAsia"/>
                <w:szCs w:val="21"/>
              </w:rPr>
              <w:t>“/”</w:t>
            </w:r>
            <w:r>
              <w:rPr>
                <w:rFonts w:hint="eastAsia" w:hAnsi="宋体"/>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1390" w:type="dxa"/>
            <w:vAlign w:val="center"/>
          </w:tcPr>
          <w:p>
            <w:pPr>
              <w:spacing w:line="360" w:lineRule="auto"/>
              <w:rPr>
                <w:rFonts w:hAnsi="宋体"/>
                <w:szCs w:val="21"/>
              </w:rPr>
            </w:pPr>
            <w:r>
              <w:rPr>
                <w:rFonts w:hint="eastAsia" w:hAnsi="宋体"/>
                <w:szCs w:val="21"/>
              </w:rPr>
              <w:t>备注</w:t>
            </w:r>
          </w:p>
        </w:tc>
        <w:tc>
          <w:tcPr>
            <w:tcW w:w="6669" w:type="dxa"/>
            <w:vAlign w:val="center"/>
          </w:tcPr>
          <w:p>
            <w:pPr>
              <w:spacing w:line="360" w:lineRule="auto"/>
              <w:rPr>
                <w:rFonts w:hAnsi="宋体"/>
                <w:szCs w:val="21"/>
              </w:rPr>
            </w:pPr>
            <w:r>
              <w:rPr>
                <w:rFonts w:hint="eastAsia" w:hAnsi="宋体"/>
                <w:szCs w:val="21"/>
              </w:rPr>
              <w:t>若无，请打</w:t>
            </w:r>
            <w:r>
              <w:rPr>
                <w:rFonts w:hint="eastAsia"/>
                <w:szCs w:val="21"/>
              </w:rPr>
              <w:t>“/”</w:t>
            </w:r>
            <w:r>
              <w:rPr>
                <w:rFonts w:hint="eastAsia" w:hAnsi="宋体"/>
                <w:szCs w:val="21"/>
              </w:rPr>
              <w:t>号</w:t>
            </w:r>
          </w:p>
        </w:tc>
      </w:tr>
    </w:tbl>
    <w:p>
      <w:pPr>
        <w:snapToGrid w:val="0"/>
        <w:spacing w:after="50" w:line="360" w:lineRule="auto"/>
        <w:jc w:val="left"/>
        <w:rPr>
          <w:rFonts w:ascii="宋体" w:hAnsi="宋体"/>
          <w:szCs w:val="21"/>
        </w:rPr>
      </w:pPr>
      <w:r>
        <w:rPr>
          <w:rFonts w:hint="eastAsia" w:ascii="宋体" w:hAnsi="宋体"/>
          <w:szCs w:val="21"/>
        </w:rPr>
        <w:t>注</w:t>
      </w:r>
      <w:r>
        <w:rPr>
          <w:rFonts w:ascii="宋体" w:hAnsi="宋体"/>
          <w:szCs w:val="21"/>
        </w:rPr>
        <w:t>: 1</w:t>
      </w:r>
      <w:r>
        <w:rPr>
          <w:rFonts w:hint="eastAsia" w:ascii="宋体" w:hAnsi="宋体"/>
          <w:szCs w:val="21"/>
        </w:rPr>
        <w:t>、报价一经涂改，应在涂改处加盖单位公章或者由法定代表人或授权委托人签字或盖章，否则其投标作无效标处理。</w:t>
      </w:r>
    </w:p>
    <w:p>
      <w:pPr>
        <w:snapToGrid w:val="0"/>
        <w:spacing w:after="50" w:line="360" w:lineRule="auto"/>
        <w:ind w:firstLine="420" w:firstLineChars="200"/>
        <w:jc w:val="left"/>
        <w:rPr>
          <w:rFonts w:ascii="宋体" w:hAnsi="宋体"/>
          <w:szCs w:val="21"/>
        </w:rPr>
      </w:pPr>
      <w:r>
        <w:rPr>
          <w:rFonts w:ascii="宋体" w:hAnsi="宋体"/>
          <w:szCs w:val="21"/>
        </w:rPr>
        <w:t>2</w:t>
      </w:r>
      <w:r>
        <w:rPr>
          <w:rFonts w:hint="eastAsia" w:ascii="宋体" w:hAnsi="宋体"/>
          <w:szCs w:val="21"/>
        </w:rPr>
        <w:t>、投标费用包括完成本项目服务所有费用，采购人不再另行支付其他任何形式的费用。</w:t>
      </w:r>
    </w:p>
    <w:p>
      <w:pPr>
        <w:snapToGrid w:val="0"/>
        <w:spacing w:after="50" w:line="360" w:lineRule="auto"/>
        <w:ind w:firstLine="422" w:firstLineChars="200"/>
        <w:jc w:val="left"/>
        <w:rPr>
          <w:rFonts w:hint="default" w:ascii="宋体" w:hAnsi="宋体" w:eastAsia="宋体"/>
          <w:b/>
          <w:bCs/>
          <w:szCs w:val="21"/>
          <w:lang w:val="en-US" w:eastAsia="zh-CN"/>
        </w:rPr>
      </w:pPr>
      <w:r>
        <w:rPr>
          <w:rFonts w:hint="eastAsia" w:ascii="宋体" w:hAnsi="宋体"/>
          <w:b/>
          <w:bCs/>
          <w:szCs w:val="21"/>
          <w:lang w:val="en-US" w:eastAsia="zh-CN"/>
        </w:rPr>
        <w:t>3、</w:t>
      </w:r>
      <w:r>
        <w:rPr>
          <w:rFonts w:hint="eastAsia" w:ascii="Times New Roman" w:hAnsi="宋体" w:eastAsia="宋体" w:cs="Times New Roman"/>
          <w:b/>
          <w:bCs/>
          <w:szCs w:val="21"/>
          <w:lang w:val="en-US" w:eastAsia="zh-CN"/>
        </w:rPr>
        <w:t>投标总价（2年）=投标报价（1年）×2</w:t>
      </w:r>
    </w:p>
    <w:p>
      <w:pPr>
        <w:snapToGrid w:val="0"/>
        <w:spacing w:after="50" w:line="360" w:lineRule="auto"/>
        <w:ind w:firstLine="420" w:firstLineChars="200"/>
        <w:jc w:val="left"/>
        <w:rPr>
          <w:rFonts w:ascii="宋体" w:hAnsi="宋体"/>
          <w:szCs w:val="21"/>
        </w:rPr>
      </w:pPr>
      <w:r>
        <w:rPr>
          <w:rFonts w:hint="eastAsia" w:ascii="宋体" w:hAnsi="宋体"/>
          <w:szCs w:val="21"/>
          <w:lang w:val="en-US" w:eastAsia="zh-CN"/>
        </w:rPr>
        <w:t>4</w:t>
      </w:r>
      <w:r>
        <w:rPr>
          <w:rFonts w:hint="eastAsia" w:ascii="宋体" w:hAnsi="宋体"/>
          <w:szCs w:val="21"/>
        </w:rPr>
        <w:t>、</w:t>
      </w:r>
      <w:r>
        <w:rPr>
          <w:rFonts w:hint="eastAsia" w:ascii="宋体" w:hAnsi="宋体"/>
          <w:szCs w:val="21"/>
          <w:lang w:val="en-US" w:eastAsia="zh-CN"/>
        </w:rPr>
        <w:t>本表中的</w:t>
      </w:r>
      <w:r>
        <w:rPr>
          <w:rFonts w:hint="eastAsia" w:ascii="宋体" w:hAnsi="宋体"/>
          <w:szCs w:val="21"/>
        </w:rPr>
        <w:t>“</w:t>
      </w:r>
      <w:r>
        <w:rPr>
          <w:rFonts w:hint="eastAsia" w:ascii="Times New Roman" w:hAnsi="宋体" w:eastAsia="宋体" w:cs="Times New Roman"/>
          <w:szCs w:val="21"/>
          <w:lang w:val="en-US" w:eastAsia="zh-CN"/>
        </w:rPr>
        <w:t>投标报价（1年）</w:t>
      </w:r>
      <w:r>
        <w:rPr>
          <w:rFonts w:hint="eastAsia" w:ascii="宋体" w:hAnsi="宋体"/>
          <w:szCs w:val="21"/>
        </w:rPr>
        <w:t>”</w:t>
      </w:r>
      <w:r>
        <w:rPr>
          <w:rFonts w:hint="eastAsia" w:ascii="宋体" w:hAnsi="宋体"/>
          <w:szCs w:val="21"/>
          <w:lang w:eastAsia="zh-CN"/>
        </w:rPr>
        <w:t>、“</w:t>
      </w:r>
      <w:r>
        <w:rPr>
          <w:rFonts w:hint="eastAsia" w:ascii="Times New Roman" w:hAnsi="宋体" w:eastAsia="宋体" w:cs="Times New Roman"/>
          <w:szCs w:val="21"/>
          <w:lang w:val="en-US" w:eastAsia="zh-CN"/>
        </w:rPr>
        <w:t>投标总价（2年）</w:t>
      </w:r>
      <w:r>
        <w:rPr>
          <w:rFonts w:hint="eastAsia" w:ascii="宋体" w:hAnsi="宋体"/>
          <w:szCs w:val="21"/>
          <w:lang w:eastAsia="zh-CN"/>
        </w:rPr>
        <w:t>”</w:t>
      </w:r>
      <w:r>
        <w:rPr>
          <w:rFonts w:hint="eastAsia" w:ascii="宋体" w:hAnsi="宋体"/>
          <w:szCs w:val="21"/>
        </w:rPr>
        <w:t>应与“投标报价明细表”中的“</w:t>
      </w:r>
      <w:r>
        <w:rPr>
          <w:rFonts w:hint="eastAsia" w:ascii="Times New Roman" w:hAnsi="宋体" w:eastAsia="宋体" w:cs="Times New Roman"/>
          <w:szCs w:val="21"/>
          <w:lang w:val="en-US" w:eastAsia="zh-CN"/>
        </w:rPr>
        <w:t>投标报价（1年）</w:t>
      </w:r>
      <w:r>
        <w:rPr>
          <w:rFonts w:hint="eastAsia" w:ascii="宋体" w:hAnsi="宋体"/>
          <w:szCs w:val="21"/>
        </w:rPr>
        <w:t>”</w:t>
      </w:r>
      <w:r>
        <w:rPr>
          <w:rFonts w:hint="eastAsia" w:ascii="宋体" w:hAnsi="宋体"/>
          <w:szCs w:val="21"/>
          <w:lang w:eastAsia="zh-CN"/>
        </w:rPr>
        <w:t>、“</w:t>
      </w:r>
      <w:r>
        <w:rPr>
          <w:rFonts w:hint="eastAsia" w:ascii="Times New Roman" w:hAnsi="宋体" w:eastAsia="宋体" w:cs="Times New Roman"/>
          <w:szCs w:val="21"/>
          <w:lang w:val="en-US" w:eastAsia="zh-CN"/>
        </w:rPr>
        <w:t>投标总价（2年）</w:t>
      </w:r>
      <w:r>
        <w:rPr>
          <w:rFonts w:hint="eastAsia" w:ascii="宋体" w:hAnsi="宋体"/>
          <w:szCs w:val="21"/>
          <w:lang w:eastAsia="zh-CN"/>
        </w:rPr>
        <w:t>”</w:t>
      </w:r>
      <w:r>
        <w:rPr>
          <w:rFonts w:hint="eastAsia" w:ascii="宋体" w:hAnsi="宋体"/>
          <w:szCs w:val="21"/>
          <w:lang w:val="en-US" w:eastAsia="zh-CN"/>
        </w:rPr>
        <w:t>对应</w:t>
      </w:r>
      <w:r>
        <w:rPr>
          <w:rFonts w:hint="eastAsia" w:ascii="宋体" w:hAnsi="宋体"/>
          <w:szCs w:val="21"/>
        </w:rPr>
        <w:t>一致。</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cs="宋体"/>
          <w:szCs w:val="21"/>
        </w:rPr>
      </w:pPr>
      <w:r>
        <w:rPr>
          <w:rFonts w:hint="eastAsia" w:ascii="宋体" w:hAnsi="宋体" w:cs="宋体"/>
          <w:szCs w:val="21"/>
        </w:rPr>
        <w:t>供应商名称（盖单位公章）：</w:t>
      </w:r>
    </w:p>
    <w:p>
      <w:pPr>
        <w:spacing w:line="360" w:lineRule="auto"/>
        <w:rPr>
          <w:rFonts w:ascii="宋体" w:hAnsi="宋体" w:cs="宋体"/>
          <w:szCs w:val="21"/>
        </w:rPr>
      </w:pPr>
      <w:r>
        <w:rPr>
          <w:rFonts w:hint="eastAsia" w:ascii="宋体" w:hAnsi="宋体" w:cs="宋体"/>
          <w:szCs w:val="21"/>
        </w:rPr>
        <w:t>法定代表人或授权代表（签字或盖章）：</w:t>
      </w:r>
    </w:p>
    <w:p>
      <w:pPr>
        <w:spacing w:line="360" w:lineRule="auto"/>
        <w:rPr>
          <w:rFonts w:ascii="宋体" w:hAnsi="宋体" w:cs="宋体"/>
          <w:szCs w:val="21"/>
        </w:rPr>
      </w:pPr>
      <w:r>
        <w:rPr>
          <w:rFonts w:hint="eastAsia" w:ascii="宋体" w:hAnsi="宋体" w:cs="宋体"/>
          <w:szCs w:val="21"/>
        </w:rPr>
        <w:t>日期：</w:t>
      </w:r>
    </w:p>
    <w:p>
      <w:pPr>
        <w:rPr>
          <w:rFonts w:ascii="宋体" w:hAnsi="宋体"/>
          <w:szCs w:val="21"/>
        </w:rPr>
      </w:pPr>
      <w:r>
        <w:rPr>
          <w:rFonts w:ascii="宋体" w:hAnsi="宋体"/>
          <w:szCs w:val="21"/>
        </w:rPr>
        <w:br w:type="page"/>
      </w:r>
      <w:r>
        <w:rPr>
          <w:rFonts w:hint="eastAsia" w:ascii="宋体"/>
          <w:b/>
          <w:bCs/>
          <w:kern w:val="0"/>
        </w:rPr>
        <w:t>3.投标报价明细表（格式自拟）</w:t>
      </w:r>
    </w:p>
    <w:p>
      <w:pPr>
        <w:spacing w:line="360" w:lineRule="auto"/>
        <w:rPr>
          <w:rFonts w:ascii="宋体" w:hAnsi="宋体"/>
          <w:szCs w:val="21"/>
        </w:rPr>
      </w:pPr>
      <w:r>
        <w:rPr>
          <w:rFonts w:ascii="宋体" w:hAnsi="宋体"/>
          <w:szCs w:val="21"/>
        </w:rPr>
        <w:t xml:space="preserve">      </w:t>
      </w:r>
      <w:r>
        <w:rPr>
          <w:rFonts w:hint="eastAsia" w:ascii="宋体" w:hAnsi="宋体"/>
          <w:b w:val="0"/>
          <w:bCs w:val="0"/>
          <w:szCs w:val="21"/>
          <w:lang w:val="en-US" w:eastAsia="zh-CN"/>
        </w:rPr>
        <w:t>注：投标报价明细表中须包含</w:t>
      </w:r>
      <w:r>
        <w:rPr>
          <w:rFonts w:hint="eastAsia" w:ascii="Times New Roman" w:hAnsi="宋体" w:eastAsia="宋体" w:cs="Times New Roman"/>
          <w:b w:val="0"/>
          <w:bCs w:val="0"/>
          <w:szCs w:val="21"/>
          <w:lang w:val="en-US" w:eastAsia="zh-CN"/>
        </w:rPr>
        <w:t>投标报价（1年）及投标总价（2年）的费用说明</w:t>
      </w:r>
      <w:r>
        <w:rPr>
          <w:rFonts w:ascii="宋体" w:hAnsi="宋体"/>
          <w:szCs w:val="21"/>
        </w:rPr>
        <w:t xml:space="preserve">              </w:t>
      </w:r>
      <w:r>
        <w:rPr>
          <w:rFonts w:hint="eastAsia" w:ascii="宋体" w:hAnsi="宋体"/>
          <w:szCs w:val="21"/>
        </w:rPr>
        <w:t xml:space="preserve">              </w:t>
      </w:r>
    </w:p>
    <w:p>
      <w:pPr>
        <w:rPr>
          <w:rFonts w:ascii="宋体"/>
          <w:b/>
          <w:bCs/>
          <w:kern w:val="0"/>
        </w:rPr>
      </w:pPr>
    </w:p>
    <w:p>
      <w:pPr>
        <w:rPr>
          <w:rFonts w:hint="eastAsia" w:ascii="宋体"/>
          <w:b/>
          <w:bCs/>
          <w:kern w:val="0"/>
        </w:rPr>
      </w:pPr>
    </w:p>
    <w:p>
      <w:pPr>
        <w:rPr>
          <w:rFonts w:ascii="宋体"/>
          <w:b/>
          <w:bCs/>
          <w:kern w:val="0"/>
        </w:rPr>
      </w:pPr>
      <w:r>
        <w:rPr>
          <w:rFonts w:hint="eastAsia" w:ascii="宋体"/>
          <w:b/>
          <w:bCs/>
          <w:kern w:val="0"/>
        </w:rPr>
        <w:t>4.供应商认为需要提供的其他资料（如有需提供）。</w:t>
      </w:r>
    </w:p>
    <w:p/>
    <w:p>
      <w:pPr>
        <w:snapToGrid w:val="0"/>
        <w:spacing w:line="360" w:lineRule="auto"/>
        <w:jc w:val="center"/>
        <w:rPr>
          <w:rFonts w:hAnsi="宋体" w:cs="方正小标宋简体"/>
          <w:b/>
          <w:szCs w:val="21"/>
        </w:rPr>
      </w:pPr>
      <w:r>
        <w:rPr>
          <w:rFonts w:hAnsi="宋体" w:cs="方正小标宋简体"/>
          <w:b/>
          <w:szCs w:val="21"/>
        </w:rPr>
        <w:br w:type="page"/>
      </w:r>
      <w:r>
        <w:rPr>
          <w:rFonts w:hAnsi="宋体" w:cs="方正小标宋简体"/>
          <w:b/>
          <w:szCs w:val="21"/>
        </w:rPr>
        <w:t>政府采购活动现场确认声明书</w:t>
      </w:r>
    </w:p>
    <w:p>
      <w:pPr>
        <w:snapToGrid w:val="0"/>
        <w:spacing w:before="120" w:after="120" w:line="360" w:lineRule="auto"/>
        <w:rPr>
          <w:rFonts w:ascii="宋体" w:hAnsi="Courier New"/>
          <w:szCs w:val="21"/>
        </w:rPr>
      </w:pPr>
      <w:r>
        <w:rPr>
          <w:rFonts w:hint="eastAsia" w:ascii="宋体" w:hAnsi="Courier New"/>
          <w:szCs w:val="21"/>
        </w:rPr>
        <w:t>致：</w:t>
      </w:r>
      <w:r>
        <w:rPr>
          <w:rFonts w:hint="eastAsia" w:ascii="宋体" w:hAnsi="Courier New"/>
          <w:szCs w:val="21"/>
          <w:u w:val="single"/>
        </w:rPr>
        <w:t>宁波华欣建设项目管理有限公司</w:t>
      </w:r>
    </w:p>
    <w:p>
      <w:pPr>
        <w:spacing w:line="288" w:lineRule="auto"/>
        <w:rPr>
          <w:rFonts w:ascii="宋体" w:hAnsi="宋体"/>
          <w:szCs w:val="21"/>
          <w:u w:val="single"/>
        </w:rPr>
      </w:pPr>
      <w:r>
        <w:rPr>
          <w:rFonts w:ascii="宋体" w:hAnsi="宋体"/>
          <w:szCs w:val="21"/>
        </w:rPr>
        <w:t>本人经由</w:t>
      </w:r>
      <w:r>
        <w:rPr>
          <w:rFonts w:ascii="宋体" w:hAnsi="宋体" w:cs="宋体"/>
          <w:szCs w:val="21"/>
          <w:u w:val="single"/>
        </w:rPr>
        <w:t>（供应商名称）</w:t>
      </w:r>
      <w:r>
        <w:rPr>
          <w:rFonts w:ascii="宋体" w:hAnsi="宋体"/>
          <w:szCs w:val="21"/>
        </w:rPr>
        <w:t>法人代表（负责人）</w:t>
      </w:r>
      <w:r>
        <w:rPr>
          <w:rFonts w:ascii="宋体" w:hAnsi="宋体"/>
          <w:szCs w:val="21"/>
          <w:u w:val="single"/>
        </w:rPr>
        <w:t>（姓名）</w:t>
      </w:r>
      <w:r>
        <w:rPr>
          <w:rFonts w:ascii="宋体" w:hAnsi="宋体"/>
          <w:szCs w:val="21"/>
        </w:rPr>
        <w:t>合法授权参加</w:t>
      </w:r>
      <w:r>
        <w:rPr>
          <w:rFonts w:hint="eastAsia" w:ascii="宋体" w:hAnsi="宋体"/>
          <w:szCs w:val="21"/>
          <w:u w:val="single"/>
        </w:rPr>
        <w:t>（项目名称）</w:t>
      </w:r>
      <w:r>
        <w:rPr>
          <w:rFonts w:hint="eastAsia" w:ascii="宋体" w:hAnsi="宋体"/>
          <w:szCs w:val="21"/>
        </w:rPr>
        <w:t>项目，标项</w:t>
      </w:r>
      <w:r>
        <w:rPr>
          <w:rFonts w:hint="eastAsia" w:ascii="宋体" w:hAnsi="宋体"/>
          <w:szCs w:val="21"/>
          <w:u w:val="single"/>
        </w:rPr>
        <w:t>（标项号）</w:t>
      </w:r>
      <w:r>
        <w:rPr>
          <w:rFonts w:hint="eastAsia" w:ascii="宋体" w:hAnsi="宋体"/>
          <w:szCs w:val="21"/>
        </w:rPr>
        <w:t>；项目</w:t>
      </w:r>
      <w:r>
        <w:rPr>
          <w:rFonts w:ascii="宋体" w:hAnsi="宋体"/>
          <w:szCs w:val="21"/>
        </w:rPr>
        <w:t>编号：</w:t>
      </w:r>
      <w:r>
        <w:rPr>
          <w:rFonts w:hint="eastAsia" w:ascii="宋体" w:hAnsi="宋体"/>
          <w:szCs w:val="21"/>
          <w:u w:val="single"/>
        </w:rPr>
        <w:t>（项目编号），</w:t>
      </w:r>
      <w:r>
        <w:rPr>
          <w:rFonts w:hint="eastAsia" w:ascii="宋体" w:hAnsi="宋体"/>
          <w:szCs w:val="21"/>
        </w:rPr>
        <w:t>标项</w:t>
      </w:r>
      <w:r>
        <w:rPr>
          <w:rFonts w:hint="eastAsia" w:ascii="宋体" w:hAnsi="宋体"/>
          <w:szCs w:val="21"/>
          <w:u w:val="single"/>
        </w:rPr>
        <w:t>（标项号）</w:t>
      </w:r>
      <w:r>
        <w:rPr>
          <w:rFonts w:ascii="宋体" w:hAnsi="宋体"/>
          <w:szCs w:val="21"/>
        </w:rPr>
        <w:t>政府采购活动，经与本单位法人代表（负责人）联系确认，现就有关公平竞争事项郑重声明如下：</w:t>
      </w:r>
    </w:p>
    <w:p>
      <w:pPr>
        <w:widowControl/>
        <w:numPr>
          <w:ilvl w:val="0"/>
          <w:numId w:val="7"/>
        </w:numPr>
        <w:snapToGrid w:val="0"/>
        <w:spacing w:line="360" w:lineRule="auto"/>
        <w:ind w:firstLine="396" w:firstLineChars="189"/>
        <w:rPr>
          <w:rFonts w:ascii="宋体" w:hAnsi="宋体"/>
          <w:szCs w:val="21"/>
        </w:rPr>
      </w:pPr>
      <w:r>
        <w:rPr>
          <w:rFonts w:ascii="宋体" w:hAnsi="宋体"/>
          <w:szCs w:val="21"/>
        </w:rPr>
        <w:t xml:space="preserve">本单位与采购单位之间 </w:t>
      </w:r>
    </w:p>
    <w:p>
      <w:pPr>
        <w:widowControl/>
        <w:snapToGrid w:val="0"/>
        <w:spacing w:line="360" w:lineRule="auto"/>
        <w:ind w:firstLine="420" w:firstLineChars="200"/>
        <w:rPr>
          <w:rFonts w:ascii="宋体" w:hAnsi="宋体"/>
          <w:szCs w:val="21"/>
        </w:rPr>
      </w:pPr>
      <w:r>
        <w:rPr>
          <w:rFonts w:ascii="宋体" w:hAnsi="宋体" w:cs="宋体"/>
          <w:szCs w:val="21"/>
        </w:rPr>
        <w:sym w:font="Wingdings 2" w:char="00A3"/>
      </w:r>
      <w:r>
        <w:rPr>
          <w:rFonts w:ascii="宋体" w:hAnsi="宋体"/>
          <w:szCs w:val="21"/>
        </w:rPr>
        <w:t xml:space="preserve">不存在利害关系 </w:t>
      </w:r>
    </w:p>
    <w:p>
      <w:pPr>
        <w:widowControl/>
        <w:snapToGrid w:val="0"/>
        <w:spacing w:line="360" w:lineRule="auto"/>
        <w:ind w:firstLine="420" w:firstLineChars="200"/>
        <w:rPr>
          <w:rFonts w:ascii="宋体" w:hAnsi="宋体"/>
          <w:szCs w:val="21"/>
        </w:rPr>
      </w:pPr>
      <w:r>
        <w:rPr>
          <w:rFonts w:ascii="宋体" w:hAnsi="宋体" w:cs="宋体"/>
          <w:szCs w:val="21"/>
        </w:rPr>
        <w:t>□</w:t>
      </w:r>
      <w:r>
        <w:rPr>
          <w:rFonts w:ascii="宋体" w:hAnsi="宋体"/>
          <w:szCs w:val="21"/>
        </w:rPr>
        <w:t>存在下列利害关系：</w:t>
      </w:r>
    </w:p>
    <w:p>
      <w:pPr>
        <w:widowControl/>
        <w:snapToGrid w:val="0"/>
        <w:spacing w:line="360" w:lineRule="auto"/>
        <w:ind w:left="397"/>
        <w:rPr>
          <w:rFonts w:ascii="宋体" w:hAnsi="宋体"/>
          <w:szCs w:val="21"/>
        </w:rPr>
      </w:pPr>
      <w:bookmarkStart w:id="20" w:name="_Toc5228_WPSOffice_Level1"/>
      <w:r>
        <w:rPr>
          <w:rFonts w:ascii="宋体" w:hAnsi="宋体"/>
          <w:szCs w:val="21"/>
        </w:rPr>
        <w:t>A.投资关系B.行政隶属关系C.业务指导关系</w:t>
      </w:r>
      <w:bookmarkEnd w:id="20"/>
    </w:p>
    <w:p>
      <w:pPr>
        <w:widowControl/>
        <w:snapToGrid w:val="0"/>
        <w:spacing w:line="360" w:lineRule="auto"/>
        <w:ind w:left="397"/>
        <w:rPr>
          <w:rFonts w:ascii="宋体" w:hAnsi="宋体"/>
          <w:szCs w:val="21"/>
        </w:rPr>
      </w:pPr>
      <w:bookmarkStart w:id="21" w:name="_Toc8363_WPSOffice_Level1"/>
      <w:r>
        <w:rPr>
          <w:rFonts w:ascii="宋体" w:hAnsi="宋体"/>
          <w:szCs w:val="21"/>
        </w:rPr>
        <w:t>D.其他可能影响采购公正的利害关系</w:t>
      </w:r>
      <w:r>
        <w:rPr>
          <w:rFonts w:ascii="宋体" w:hAnsi="宋体"/>
          <w:szCs w:val="21"/>
          <w:u w:val="single"/>
        </w:rPr>
        <w:t xml:space="preserve">（如有，请如实说明） </w:t>
      </w:r>
      <w:r>
        <w:rPr>
          <w:rFonts w:ascii="宋体" w:hAnsi="宋体"/>
          <w:szCs w:val="21"/>
        </w:rPr>
        <w:t>。</w:t>
      </w:r>
      <w:bookmarkEnd w:id="21"/>
    </w:p>
    <w:p>
      <w:pPr>
        <w:widowControl/>
        <w:snapToGrid w:val="0"/>
        <w:spacing w:line="360" w:lineRule="auto"/>
        <w:ind w:firstLine="420" w:firstLineChars="200"/>
        <w:rPr>
          <w:rFonts w:ascii="宋体" w:hAnsi="宋体"/>
          <w:szCs w:val="21"/>
        </w:rPr>
      </w:pPr>
      <w:r>
        <w:rPr>
          <w:rFonts w:ascii="宋体" w:hAnsi="宋体"/>
          <w:szCs w:val="21"/>
        </w:rPr>
        <w:t xml:space="preserve">二、现已清楚知道参加本项目采购活动的其他所有供应商名称，本单位 </w:t>
      </w:r>
    </w:p>
    <w:p>
      <w:pPr>
        <w:widowControl/>
        <w:snapToGrid w:val="0"/>
        <w:spacing w:line="360" w:lineRule="auto"/>
        <w:ind w:firstLine="420" w:firstLineChars="200"/>
        <w:rPr>
          <w:rFonts w:ascii="宋体" w:hAnsi="宋体"/>
          <w:szCs w:val="21"/>
        </w:rPr>
      </w:pPr>
      <w:r>
        <w:rPr>
          <w:rFonts w:ascii="宋体" w:hAnsi="宋体" w:cs="宋体"/>
          <w:szCs w:val="21"/>
        </w:rPr>
        <w:sym w:font="Wingdings 2" w:char="00A3"/>
      </w:r>
      <w:r>
        <w:rPr>
          <w:rFonts w:ascii="宋体" w:hAnsi="宋体" w:cs="宋体"/>
          <w:szCs w:val="21"/>
        </w:rPr>
        <w:t>与其他所有供应商之间均</w:t>
      </w:r>
      <w:r>
        <w:rPr>
          <w:rFonts w:ascii="宋体" w:hAnsi="宋体"/>
          <w:szCs w:val="21"/>
        </w:rPr>
        <w:t xml:space="preserve">不存在利害关系 </w:t>
      </w:r>
    </w:p>
    <w:p>
      <w:pPr>
        <w:widowControl/>
        <w:snapToGrid w:val="0"/>
        <w:spacing w:line="360" w:lineRule="auto"/>
        <w:ind w:firstLine="420" w:firstLineChars="200"/>
        <w:rPr>
          <w:rFonts w:ascii="宋体" w:hAnsi="宋体"/>
          <w:szCs w:val="21"/>
        </w:rPr>
      </w:pPr>
      <w:r>
        <w:rPr>
          <w:rFonts w:ascii="宋体" w:hAnsi="宋体" w:cs="宋体"/>
          <w:szCs w:val="21"/>
        </w:rPr>
        <w:sym w:font="Wingdings 2" w:char="00A3"/>
      </w:r>
      <w:r>
        <w:rPr>
          <w:rFonts w:ascii="宋体" w:hAnsi="宋体" w:cs="宋体"/>
          <w:szCs w:val="21"/>
        </w:rPr>
        <w:t>与</w:t>
      </w:r>
      <w:r>
        <w:rPr>
          <w:rFonts w:ascii="宋体" w:hAnsi="宋体" w:cs="宋体"/>
          <w:szCs w:val="21"/>
          <w:u w:val="single"/>
        </w:rPr>
        <w:t xml:space="preserve"> （供应商名称）</w:t>
      </w:r>
      <w:r>
        <w:rPr>
          <w:rFonts w:ascii="宋体" w:hAnsi="宋体" w:cs="宋体"/>
          <w:szCs w:val="21"/>
        </w:rPr>
        <w:t>之间</w:t>
      </w:r>
      <w:r>
        <w:rPr>
          <w:rFonts w:ascii="宋体" w:hAnsi="宋体"/>
          <w:szCs w:val="21"/>
        </w:rPr>
        <w:t>存在下列利害关系：</w:t>
      </w:r>
    </w:p>
    <w:p>
      <w:pPr>
        <w:widowControl/>
        <w:snapToGrid w:val="0"/>
        <w:spacing w:line="360" w:lineRule="auto"/>
        <w:ind w:firstLine="420" w:firstLineChars="200"/>
        <w:rPr>
          <w:rFonts w:ascii="宋体" w:hAnsi="宋体"/>
          <w:szCs w:val="21"/>
        </w:rPr>
      </w:pPr>
      <w:r>
        <w:rPr>
          <w:rFonts w:ascii="宋体" w:hAnsi="宋体"/>
          <w:szCs w:val="21"/>
        </w:rPr>
        <w:t>A.法定代表人或负责人或实际控制人是同一人</w:t>
      </w:r>
    </w:p>
    <w:p>
      <w:pPr>
        <w:widowControl/>
        <w:snapToGrid w:val="0"/>
        <w:spacing w:line="360" w:lineRule="auto"/>
        <w:ind w:firstLine="420" w:firstLineChars="200"/>
        <w:rPr>
          <w:rFonts w:ascii="宋体" w:hAnsi="宋体"/>
          <w:szCs w:val="21"/>
        </w:rPr>
      </w:pPr>
      <w:r>
        <w:rPr>
          <w:rFonts w:ascii="宋体" w:hAnsi="宋体"/>
          <w:szCs w:val="21"/>
        </w:rPr>
        <w:t>B.法定代表人或负责人或实际控制人是夫妻关系</w:t>
      </w:r>
    </w:p>
    <w:p>
      <w:pPr>
        <w:widowControl/>
        <w:snapToGrid w:val="0"/>
        <w:spacing w:line="360" w:lineRule="auto"/>
        <w:ind w:firstLine="420" w:firstLineChars="200"/>
        <w:rPr>
          <w:rFonts w:ascii="宋体" w:hAnsi="宋体"/>
          <w:szCs w:val="21"/>
        </w:rPr>
      </w:pPr>
      <w:r>
        <w:rPr>
          <w:rFonts w:ascii="宋体" w:hAnsi="宋体"/>
          <w:szCs w:val="21"/>
        </w:rPr>
        <w:t>C.法定代表人或负责人或实际控制人是直系血亲关系</w:t>
      </w:r>
    </w:p>
    <w:p>
      <w:pPr>
        <w:widowControl/>
        <w:snapToGrid w:val="0"/>
        <w:spacing w:line="360" w:lineRule="auto"/>
        <w:ind w:firstLine="420" w:firstLineChars="200"/>
        <w:rPr>
          <w:rFonts w:ascii="宋体" w:hAnsi="宋体"/>
          <w:szCs w:val="21"/>
        </w:rPr>
      </w:pPr>
      <w:r>
        <w:rPr>
          <w:rFonts w:ascii="宋体" w:hAnsi="宋体"/>
          <w:szCs w:val="21"/>
        </w:rPr>
        <w:t>D.法定代表人或负责人或实际控制人存在三代以内旁系血亲关系</w:t>
      </w:r>
    </w:p>
    <w:p>
      <w:pPr>
        <w:widowControl/>
        <w:snapToGrid w:val="0"/>
        <w:spacing w:line="360" w:lineRule="auto"/>
        <w:ind w:firstLine="420" w:firstLineChars="200"/>
        <w:rPr>
          <w:rFonts w:ascii="宋体" w:hAnsi="宋体"/>
          <w:szCs w:val="21"/>
        </w:rPr>
      </w:pPr>
      <w:r>
        <w:rPr>
          <w:rFonts w:ascii="宋体" w:hAnsi="宋体"/>
          <w:szCs w:val="21"/>
        </w:rPr>
        <w:t>E.法定代表人或负责人或实际控制人存在近姻亲关系</w:t>
      </w:r>
    </w:p>
    <w:p>
      <w:pPr>
        <w:widowControl/>
        <w:snapToGrid w:val="0"/>
        <w:spacing w:line="360" w:lineRule="auto"/>
        <w:ind w:firstLine="420" w:firstLineChars="200"/>
        <w:rPr>
          <w:rFonts w:ascii="宋体" w:hAnsi="宋体"/>
          <w:szCs w:val="21"/>
        </w:rPr>
      </w:pPr>
      <w:r>
        <w:rPr>
          <w:rFonts w:ascii="宋体" w:hAnsi="宋体"/>
          <w:szCs w:val="21"/>
        </w:rPr>
        <w:t>F.法定代表人或负责人或实际控制人存在股份控制或实际控制关系</w:t>
      </w:r>
    </w:p>
    <w:p>
      <w:pPr>
        <w:widowControl/>
        <w:snapToGrid w:val="0"/>
        <w:spacing w:line="360" w:lineRule="auto"/>
        <w:ind w:firstLine="420" w:firstLineChars="200"/>
        <w:rPr>
          <w:rFonts w:ascii="宋体" w:hAnsi="宋体"/>
          <w:szCs w:val="21"/>
        </w:rPr>
      </w:pPr>
      <w:r>
        <w:rPr>
          <w:rFonts w:ascii="宋体" w:hAnsi="宋体"/>
          <w:szCs w:val="21"/>
        </w:rPr>
        <w:t>G.存在共同直接或间接投资设立子公司、联营企业和合营企业情况</w:t>
      </w:r>
    </w:p>
    <w:p>
      <w:pPr>
        <w:widowControl/>
        <w:snapToGrid w:val="0"/>
        <w:spacing w:line="360" w:lineRule="auto"/>
        <w:ind w:firstLine="420" w:firstLineChars="200"/>
        <w:rPr>
          <w:rFonts w:ascii="宋体" w:hAnsi="宋体"/>
          <w:szCs w:val="21"/>
        </w:rPr>
      </w:pPr>
      <w:r>
        <w:rPr>
          <w:rFonts w:ascii="宋体" w:hAnsi="宋体"/>
          <w:szCs w:val="21"/>
        </w:rPr>
        <w:t>H.存在分级代理或代销关系、同一生产制造商关系、管理关系、重要业务（占主营业务收入50%以上）或重要财务往来关系（如融资）等其他实质性控制关系</w:t>
      </w:r>
    </w:p>
    <w:p>
      <w:pPr>
        <w:widowControl/>
        <w:snapToGrid w:val="0"/>
        <w:spacing w:line="360" w:lineRule="auto"/>
        <w:ind w:firstLine="420" w:firstLineChars="200"/>
        <w:rPr>
          <w:rFonts w:ascii="宋体" w:hAnsi="宋体"/>
          <w:szCs w:val="21"/>
        </w:rPr>
      </w:pPr>
      <w:bookmarkStart w:id="22" w:name="_Toc27975_WPSOffice_Level1"/>
      <w:r>
        <w:rPr>
          <w:rFonts w:ascii="宋体" w:hAnsi="宋体"/>
          <w:szCs w:val="21"/>
        </w:rPr>
        <w:t>I.其他利害关系情况。</w:t>
      </w:r>
      <w:bookmarkEnd w:id="22"/>
    </w:p>
    <w:p>
      <w:pPr>
        <w:widowControl/>
        <w:numPr>
          <w:ilvl w:val="0"/>
          <w:numId w:val="8"/>
        </w:numPr>
        <w:snapToGrid w:val="0"/>
        <w:spacing w:line="360" w:lineRule="auto"/>
        <w:ind w:firstLine="396" w:firstLineChars="189"/>
        <w:rPr>
          <w:rFonts w:ascii="宋体" w:hAnsi="宋体"/>
          <w:szCs w:val="21"/>
        </w:rPr>
      </w:pPr>
      <w:r>
        <w:rPr>
          <w:rFonts w:ascii="宋体" w:hAnsi="宋体"/>
          <w:szCs w:val="21"/>
        </w:rPr>
        <w:t>现已清楚知道并严格遵守政府采购法律法规和现场纪律。</w:t>
      </w:r>
    </w:p>
    <w:p>
      <w:pPr>
        <w:widowControl/>
        <w:numPr>
          <w:ilvl w:val="0"/>
          <w:numId w:val="8"/>
        </w:numPr>
        <w:snapToGrid w:val="0"/>
        <w:spacing w:line="360" w:lineRule="auto"/>
        <w:ind w:firstLine="396" w:firstLineChars="189"/>
        <w:rPr>
          <w:rFonts w:ascii="宋体" w:hAnsi="宋体"/>
          <w:szCs w:val="21"/>
        </w:rPr>
      </w:pPr>
      <w:r>
        <w:rPr>
          <w:rFonts w:ascii="宋体" w:hAnsi="宋体"/>
          <w:szCs w:val="21"/>
        </w:rPr>
        <w:t>我发现</w:t>
      </w:r>
      <w:r>
        <w:rPr>
          <w:rFonts w:hint="eastAsia" w:ascii="宋体" w:hAnsi="宋体"/>
          <w:szCs w:val="21"/>
          <w:u w:val="single"/>
        </w:rPr>
        <w:t xml:space="preserve">               </w:t>
      </w:r>
      <w:r>
        <w:rPr>
          <w:rFonts w:ascii="宋体" w:hAnsi="宋体"/>
          <w:szCs w:val="21"/>
        </w:rPr>
        <w:t>供应商之间存在或可能存在上述第二条第项利害关系。</w:t>
      </w:r>
    </w:p>
    <w:p>
      <w:pPr>
        <w:snapToGrid w:val="0"/>
        <w:spacing w:line="360" w:lineRule="auto"/>
        <w:ind w:firstLine="420" w:firstLineChars="200"/>
        <w:rPr>
          <w:rFonts w:ascii="宋体" w:hAnsi="宋体"/>
          <w:szCs w:val="21"/>
        </w:rPr>
      </w:pPr>
    </w:p>
    <w:p>
      <w:pPr>
        <w:snapToGrid w:val="0"/>
        <w:spacing w:line="360" w:lineRule="auto"/>
        <w:ind w:firstLine="1365" w:firstLineChars="650"/>
        <w:rPr>
          <w:rFonts w:ascii="宋体" w:hAnsi="宋体"/>
          <w:szCs w:val="21"/>
        </w:rPr>
      </w:pPr>
      <w:r>
        <w:rPr>
          <w:rFonts w:ascii="宋体" w:hAnsi="宋体"/>
          <w:szCs w:val="21"/>
        </w:rPr>
        <w:t>（供应商代表签名）</w:t>
      </w:r>
    </w:p>
    <w:p>
      <w:pPr>
        <w:spacing w:line="360" w:lineRule="auto"/>
        <w:ind w:firstLine="1318" w:firstLineChars="628"/>
        <w:rPr>
          <w:rFonts w:ascii="宋体" w:hAnsi="宋体"/>
          <w:szCs w:val="21"/>
        </w:rPr>
      </w:pPr>
      <w:r>
        <w:rPr>
          <w:rFonts w:ascii="宋体" w:hAnsi="宋体"/>
          <w:szCs w:val="21"/>
        </w:rPr>
        <w:t>年月日</w:t>
      </w:r>
    </w:p>
    <w:p>
      <w:pPr>
        <w:spacing w:line="360" w:lineRule="auto"/>
        <w:rPr>
          <w:rFonts w:ascii="宋体" w:hAnsi="宋体"/>
          <w:szCs w:val="21"/>
        </w:rPr>
      </w:pPr>
    </w:p>
    <w:p>
      <w:pPr>
        <w:rPr>
          <w:rFonts w:ascii="宋体" w:hAnsi="宋体"/>
          <w:b/>
          <w:szCs w:val="21"/>
        </w:rPr>
      </w:pPr>
      <w:bookmarkStart w:id="23" w:name="_Toc13660_WPSOffice_Level1"/>
      <w:r>
        <w:rPr>
          <w:rFonts w:hint="eastAsia" w:ascii="宋体" w:hAnsi="宋体"/>
          <w:b/>
          <w:szCs w:val="21"/>
        </w:rPr>
        <w:t>注：1、本表非投标文件的组成内容，不须在投标文件中提供。</w:t>
      </w:r>
      <w:bookmarkEnd w:id="23"/>
    </w:p>
    <w:p>
      <w:pPr>
        <w:snapToGrid w:val="0"/>
        <w:spacing w:before="120" w:beforeLines="50" w:after="50"/>
        <w:rPr>
          <w:rFonts w:ascii="宋体" w:hAnsi="宋体"/>
          <w:b/>
          <w:szCs w:val="21"/>
        </w:rPr>
        <w:sectPr>
          <w:pgSz w:w="11906" w:h="16838"/>
          <w:pgMar w:top="1985" w:right="1531" w:bottom="1588" w:left="1644" w:header="567" w:footer="624" w:gutter="0"/>
          <w:cols w:space="720" w:num="1"/>
          <w:docGrid w:linePitch="602" w:charSpace="-1675"/>
        </w:sectPr>
      </w:pPr>
      <w:bookmarkStart w:id="24" w:name="_Toc3474_WPSOffice_Level1"/>
      <w:r>
        <w:rPr>
          <w:rFonts w:hint="eastAsia" w:ascii="宋体" w:hAnsi="宋体"/>
          <w:b/>
          <w:szCs w:val="21"/>
        </w:rPr>
        <w:t>2、本表在开标现场由代理机构提供给各供应商，由各供应商签署</w:t>
      </w:r>
      <w:bookmarkEnd w:id="24"/>
      <w:r>
        <w:rPr>
          <w:rFonts w:hint="eastAsia" w:ascii="宋体" w:hAnsi="宋体"/>
          <w:b/>
          <w:szCs w:val="21"/>
        </w:rPr>
        <w:t>（或本项目开始解密至解密结束前，由投标人各供应商签署后发至招标代理邮箱：527886413@qq.com）</w:t>
      </w:r>
    </w:p>
    <w:p>
      <w:pPr>
        <w:rPr>
          <w:rFonts w:ascii="宋体" w:hAnsi="宋体"/>
          <w:b/>
          <w:sz w:val="28"/>
          <w:szCs w:val="28"/>
        </w:rPr>
      </w:pPr>
    </w:p>
    <w:p>
      <w:pPr>
        <w:pStyle w:val="2"/>
        <w:spacing w:after="120" w:afterLines="50" w:line="360" w:lineRule="exact"/>
        <w:rPr>
          <w:rFonts w:ascii="Times New Roman"/>
          <w:sz w:val="28"/>
          <w:szCs w:val="28"/>
        </w:rPr>
      </w:pPr>
      <w:bookmarkStart w:id="25" w:name="_Toc505353803"/>
      <w:r>
        <w:rPr>
          <w:rFonts w:hint="eastAsia" w:ascii="Times New Roman"/>
          <w:sz w:val="28"/>
          <w:szCs w:val="28"/>
        </w:rPr>
        <w:t>银行资信证明</w:t>
      </w:r>
      <w:bookmarkEnd w:id="25"/>
      <w:r>
        <w:rPr>
          <w:rFonts w:hint="eastAsia" w:ascii="Times New Roman"/>
          <w:sz w:val="28"/>
          <w:szCs w:val="28"/>
        </w:rPr>
        <w:t>开具要求（选用）</w:t>
      </w:r>
    </w:p>
    <w:p/>
    <w:p/>
    <w:p>
      <w:pPr>
        <w:spacing w:line="360" w:lineRule="auto"/>
        <w:contextualSpacing/>
        <w:rPr>
          <w:sz w:val="24"/>
          <w:szCs w:val="24"/>
        </w:rPr>
      </w:pPr>
      <w:r>
        <w:rPr>
          <w:rFonts w:hint="eastAsia"/>
          <w:sz w:val="24"/>
          <w:szCs w:val="24"/>
        </w:rPr>
        <w:t>银行资信证明开具要求：</w:t>
      </w:r>
    </w:p>
    <w:p>
      <w:pPr>
        <w:spacing w:line="360" w:lineRule="auto"/>
        <w:ind w:firstLine="480" w:firstLineChars="200"/>
        <w:contextualSpacing/>
        <w:rPr>
          <w:sz w:val="24"/>
          <w:szCs w:val="24"/>
        </w:rPr>
      </w:pPr>
      <w:r>
        <w:rPr>
          <w:rFonts w:hint="eastAsia"/>
          <w:sz w:val="24"/>
          <w:szCs w:val="24"/>
        </w:rPr>
        <w:t>1、非投标人基本账户的开户银行出具的资信证明无效。</w:t>
      </w:r>
    </w:p>
    <w:p>
      <w:pPr>
        <w:spacing w:line="360" w:lineRule="auto"/>
        <w:ind w:firstLine="480" w:firstLineChars="200"/>
        <w:contextualSpacing/>
        <w:rPr>
          <w:sz w:val="24"/>
          <w:szCs w:val="24"/>
        </w:rPr>
      </w:pPr>
      <w:r>
        <w:rPr>
          <w:rFonts w:hint="eastAsia"/>
          <w:sz w:val="24"/>
          <w:szCs w:val="24"/>
        </w:rPr>
        <w:t>2、证明投标人资金往来结算信誉情况良好。</w:t>
      </w:r>
    </w:p>
    <w:p>
      <w:pPr>
        <w:spacing w:line="360" w:lineRule="auto"/>
        <w:ind w:firstLine="480" w:firstLineChars="200"/>
        <w:contextualSpacing/>
        <w:rPr>
          <w:sz w:val="24"/>
          <w:szCs w:val="24"/>
        </w:rPr>
      </w:pPr>
      <w:r>
        <w:rPr>
          <w:rFonts w:hint="eastAsia"/>
          <w:sz w:val="24"/>
          <w:szCs w:val="24"/>
        </w:rPr>
        <w:t>3、落款应有银行公章或银行资信证明专用章或业务专用章及日期。</w:t>
      </w:r>
    </w:p>
    <w:p>
      <w:pPr>
        <w:spacing w:line="360" w:lineRule="auto"/>
        <w:ind w:firstLine="480" w:firstLineChars="200"/>
        <w:contextualSpacing/>
        <w:sectPr>
          <w:headerReference r:id="rId8" w:type="default"/>
          <w:footerReference r:id="rId9" w:type="default"/>
          <w:pgSz w:w="11906" w:h="16838"/>
          <w:pgMar w:top="1985" w:right="1531" w:bottom="1588" w:left="1644" w:header="851" w:footer="992" w:gutter="0"/>
          <w:cols w:space="720" w:num="1"/>
          <w:docGrid w:linePitch="602" w:charSpace="-1675"/>
        </w:sectPr>
      </w:pPr>
      <w:r>
        <w:rPr>
          <w:rFonts w:hint="eastAsia"/>
          <w:sz w:val="24"/>
          <w:szCs w:val="24"/>
        </w:rPr>
        <w:t>4、银行资信证明应是在开标日前六个月之内出具的，否则为无效证明，有关企业资信等级的证明不能替代本证明。</w:t>
      </w:r>
    </w:p>
    <w:tbl>
      <w:tblPr>
        <w:tblStyle w:val="19"/>
        <w:tblW w:w="15077" w:type="dxa"/>
        <w:tblInd w:w="-417" w:type="dxa"/>
        <w:tblLayout w:type="fixed"/>
        <w:tblCellMar>
          <w:top w:w="0" w:type="dxa"/>
          <w:left w:w="108" w:type="dxa"/>
          <w:bottom w:w="0" w:type="dxa"/>
          <w:right w:w="108" w:type="dxa"/>
        </w:tblCellMar>
      </w:tblPr>
      <w:tblGrid>
        <w:gridCol w:w="2003"/>
        <w:gridCol w:w="1512"/>
        <w:gridCol w:w="1779"/>
        <w:gridCol w:w="1677"/>
        <w:gridCol w:w="1252"/>
        <w:gridCol w:w="1494"/>
        <w:gridCol w:w="1536"/>
        <w:gridCol w:w="1297"/>
        <w:gridCol w:w="1287"/>
        <w:gridCol w:w="1234"/>
        <w:gridCol w:w="6"/>
      </w:tblGrid>
      <w:tr>
        <w:tblPrEx>
          <w:tblCellMar>
            <w:top w:w="0" w:type="dxa"/>
            <w:left w:w="108" w:type="dxa"/>
            <w:bottom w:w="0" w:type="dxa"/>
            <w:right w:w="108" w:type="dxa"/>
          </w:tblCellMar>
        </w:tblPrEx>
        <w:trPr>
          <w:trHeight w:val="424" w:hRule="atLeast"/>
        </w:trPr>
        <w:tc>
          <w:tcPr>
            <w:tcW w:w="15077" w:type="dxa"/>
            <w:gridSpan w:val="11"/>
            <w:tcBorders>
              <w:top w:val="nil"/>
              <w:left w:val="nil"/>
              <w:bottom w:val="nil"/>
              <w:right w:val="nil"/>
            </w:tcBorders>
            <w:vAlign w:val="bottom"/>
          </w:tcPr>
          <w:p>
            <w:pPr>
              <w:widowControl/>
              <w:jc w:val="center"/>
              <w:rPr>
                <w:rFonts w:ascii="宋体" w:hAnsi="宋体" w:cs="宋体"/>
                <w:b/>
                <w:bCs/>
                <w:kern w:val="0"/>
                <w:sz w:val="18"/>
                <w:szCs w:val="18"/>
              </w:rPr>
            </w:pPr>
            <w:bookmarkStart w:id="26" w:name="OLE_LINK3"/>
            <w:r>
              <w:rPr>
                <w:rFonts w:hint="eastAsia" w:ascii="宋体" w:hAnsi="宋体" w:cs="宋体"/>
                <w:b/>
                <w:bCs/>
                <w:kern w:val="0"/>
                <w:sz w:val="18"/>
                <w:szCs w:val="18"/>
              </w:rPr>
              <w:t>中小微行业划型标准规定（根据工信部联企业〔2011〕300号制定）</w:t>
            </w:r>
          </w:p>
        </w:tc>
      </w:tr>
      <w:tr>
        <w:tblPrEx>
          <w:tblCellMar>
            <w:top w:w="0" w:type="dxa"/>
            <w:left w:w="108" w:type="dxa"/>
            <w:bottom w:w="0" w:type="dxa"/>
            <w:right w:w="108" w:type="dxa"/>
          </w:tblCellMar>
        </w:tblPrEx>
        <w:trPr>
          <w:gridAfter w:val="1"/>
          <w:wAfter w:w="6" w:type="dxa"/>
          <w:trHeight w:val="459" w:hRule="atLeast"/>
        </w:trPr>
        <w:tc>
          <w:tcPr>
            <w:tcW w:w="2003" w:type="dxa"/>
            <w:vMerge w:val="restart"/>
            <w:tcBorders>
              <w:top w:val="single" w:color="auto" w:sz="8" w:space="0"/>
              <w:left w:val="single" w:color="auto" w:sz="8" w:space="0"/>
              <w:bottom w:val="single" w:color="000000" w:sz="4" w:space="0"/>
              <w:right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行业</w:t>
            </w:r>
          </w:p>
        </w:tc>
        <w:tc>
          <w:tcPr>
            <w:tcW w:w="4968" w:type="dxa"/>
            <w:gridSpan w:val="3"/>
            <w:tcBorders>
              <w:top w:val="single" w:color="auto" w:sz="8" w:space="0"/>
              <w:left w:val="nil"/>
              <w:bottom w:val="single" w:color="auto" w:sz="4" w:space="0"/>
              <w:right w:val="single" w:color="000000" w:sz="8" w:space="0"/>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中型企业</w:t>
            </w:r>
          </w:p>
        </w:tc>
        <w:tc>
          <w:tcPr>
            <w:tcW w:w="4282" w:type="dxa"/>
            <w:gridSpan w:val="3"/>
            <w:tcBorders>
              <w:top w:val="single" w:color="auto" w:sz="8" w:space="0"/>
              <w:left w:val="nil"/>
              <w:bottom w:val="single" w:color="auto" w:sz="4" w:space="0"/>
              <w:right w:val="single" w:color="000000" w:sz="8" w:space="0"/>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小型企业</w:t>
            </w:r>
          </w:p>
        </w:tc>
        <w:tc>
          <w:tcPr>
            <w:tcW w:w="3818" w:type="dxa"/>
            <w:gridSpan w:val="3"/>
            <w:tcBorders>
              <w:top w:val="single" w:color="auto" w:sz="8" w:space="0"/>
              <w:left w:val="nil"/>
              <w:bottom w:val="single" w:color="auto" w:sz="4" w:space="0"/>
              <w:right w:val="single" w:color="000000" w:sz="8" w:space="0"/>
            </w:tcBorders>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微型企业</w:t>
            </w:r>
          </w:p>
        </w:tc>
      </w:tr>
      <w:tr>
        <w:tblPrEx>
          <w:tblCellMar>
            <w:top w:w="0" w:type="dxa"/>
            <w:left w:w="108" w:type="dxa"/>
            <w:bottom w:w="0" w:type="dxa"/>
            <w:right w:w="108" w:type="dxa"/>
          </w:tblCellMar>
        </w:tblPrEx>
        <w:trPr>
          <w:gridAfter w:val="1"/>
          <w:wAfter w:w="6" w:type="dxa"/>
          <w:trHeight w:val="518" w:hRule="atLeast"/>
        </w:trPr>
        <w:tc>
          <w:tcPr>
            <w:tcW w:w="2003" w:type="dxa"/>
            <w:vMerge w:val="continue"/>
            <w:tcBorders>
              <w:top w:val="single" w:color="auto" w:sz="8" w:space="0"/>
              <w:left w:val="single" w:color="auto" w:sz="8" w:space="0"/>
              <w:bottom w:val="single" w:color="000000" w:sz="4" w:space="0"/>
              <w:right w:val="single" w:color="auto" w:sz="8" w:space="0"/>
            </w:tcBorders>
            <w:vAlign w:val="center"/>
          </w:tcPr>
          <w:p>
            <w:pPr>
              <w:widowControl/>
              <w:jc w:val="left"/>
              <w:rPr>
                <w:rFonts w:ascii="宋体" w:hAnsi="宋体" w:cs="宋体"/>
                <w:b/>
                <w:bCs/>
                <w:kern w:val="0"/>
                <w:sz w:val="18"/>
                <w:szCs w:val="18"/>
              </w:rPr>
            </w:pPr>
          </w:p>
        </w:tc>
        <w:tc>
          <w:tcPr>
            <w:tcW w:w="1512"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从业人员X（人）</w:t>
            </w:r>
          </w:p>
        </w:tc>
        <w:tc>
          <w:tcPr>
            <w:tcW w:w="1779"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营业收入Y</w:t>
            </w:r>
          </w:p>
          <w:p>
            <w:pPr>
              <w:widowControl/>
              <w:jc w:val="center"/>
              <w:rPr>
                <w:rFonts w:ascii="宋体" w:hAnsi="宋体" w:cs="宋体"/>
                <w:kern w:val="0"/>
                <w:sz w:val="18"/>
                <w:szCs w:val="18"/>
              </w:rPr>
            </w:pPr>
            <w:r>
              <w:rPr>
                <w:rFonts w:hint="eastAsia" w:ascii="宋体" w:hAnsi="宋体" w:cs="宋体"/>
                <w:kern w:val="0"/>
                <w:sz w:val="18"/>
                <w:szCs w:val="18"/>
              </w:rPr>
              <w:t>（万元）</w:t>
            </w:r>
          </w:p>
        </w:tc>
        <w:tc>
          <w:tcPr>
            <w:tcW w:w="1677" w:type="dxa"/>
            <w:tcBorders>
              <w:top w:val="nil"/>
              <w:left w:val="nil"/>
              <w:bottom w:val="single" w:color="auto" w:sz="4" w:space="0"/>
              <w:right w:val="single" w:color="auto" w:sz="8"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资产总额Z</w:t>
            </w:r>
          </w:p>
          <w:p>
            <w:pPr>
              <w:widowControl/>
              <w:jc w:val="center"/>
              <w:rPr>
                <w:rFonts w:ascii="宋体" w:hAnsi="宋体" w:cs="宋体"/>
                <w:kern w:val="0"/>
                <w:sz w:val="18"/>
                <w:szCs w:val="18"/>
              </w:rPr>
            </w:pPr>
            <w:r>
              <w:rPr>
                <w:rFonts w:hint="eastAsia" w:ascii="宋体" w:hAnsi="宋体" w:cs="宋体"/>
                <w:kern w:val="0"/>
                <w:sz w:val="18"/>
                <w:szCs w:val="18"/>
              </w:rPr>
              <w:t>（万元）</w:t>
            </w:r>
          </w:p>
        </w:tc>
        <w:tc>
          <w:tcPr>
            <w:tcW w:w="1252"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从业人员X（人）</w:t>
            </w:r>
          </w:p>
        </w:tc>
        <w:tc>
          <w:tcPr>
            <w:tcW w:w="1494"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营业收入Y</w:t>
            </w:r>
          </w:p>
          <w:p>
            <w:pPr>
              <w:widowControl/>
              <w:jc w:val="center"/>
              <w:rPr>
                <w:rFonts w:ascii="宋体" w:hAnsi="宋体" w:cs="宋体"/>
                <w:kern w:val="0"/>
                <w:sz w:val="18"/>
                <w:szCs w:val="18"/>
              </w:rPr>
            </w:pPr>
            <w:r>
              <w:rPr>
                <w:rFonts w:hint="eastAsia" w:ascii="宋体" w:hAnsi="宋体" w:cs="宋体"/>
                <w:kern w:val="0"/>
                <w:sz w:val="18"/>
                <w:szCs w:val="18"/>
              </w:rPr>
              <w:t>（万元）</w:t>
            </w:r>
          </w:p>
        </w:tc>
        <w:tc>
          <w:tcPr>
            <w:tcW w:w="1536" w:type="dxa"/>
            <w:tcBorders>
              <w:top w:val="nil"/>
              <w:left w:val="nil"/>
              <w:bottom w:val="single" w:color="auto" w:sz="4" w:space="0"/>
              <w:right w:val="single" w:color="auto" w:sz="8"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资产总额Z</w:t>
            </w:r>
          </w:p>
          <w:p>
            <w:pPr>
              <w:widowControl/>
              <w:jc w:val="center"/>
              <w:rPr>
                <w:rFonts w:ascii="宋体" w:hAnsi="宋体" w:cs="宋体"/>
                <w:kern w:val="0"/>
                <w:sz w:val="18"/>
                <w:szCs w:val="18"/>
              </w:rPr>
            </w:pPr>
            <w:r>
              <w:rPr>
                <w:rFonts w:hint="eastAsia" w:ascii="宋体" w:hAnsi="宋体" w:cs="宋体"/>
                <w:kern w:val="0"/>
                <w:sz w:val="18"/>
                <w:szCs w:val="18"/>
              </w:rPr>
              <w:t>（万元）</w:t>
            </w:r>
          </w:p>
        </w:tc>
        <w:tc>
          <w:tcPr>
            <w:tcW w:w="1297"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从业人员X（人）</w:t>
            </w:r>
          </w:p>
        </w:tc>
        <w:tc>
          <w:tcPr>
            <w:tcW w:w="1287" w:type="dxa"/>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营业收入Y（万元）</w:t>
            </w:r>
          </w:p>
        </w:tc>
        <w:tc>
          <w:tcPr>
            <w:tcW w:w="1234" w:type="dxa"/>
            <w:tcBorders>
              <w:top w:val="nil"/>
              <w:left w:val="nil"/>
              <w:bottom w:val="single" w:color="auto" w:sz="4" w:space="0"/>
              <w:right w:val="single" w:color="auto" w:sz="8"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资产总额Z（万元）</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1、农林牧渔业</w:t>
            </w:r>
          </w:p>
        </w:tc>
        <w:tc>
          <w:tcPr>
            <w:tcW w:w="151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779"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500≤Y＜20000</w:t>
            </w:r>
          </w:p>
        </w:tc>
        <w:tc>
          <w:tcPr>
            <w:tcW w:w="1677"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494"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50≤Y＜500</w:t>
            </w:r>
          </w:p>
        </w:tc>
        <w:tc>
          <w:tcPr>
            <w:tcW w:w="1536"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8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Y＜50</w:t>
            </w:r>
          </w:p>
        </w:tc>
        <w:tc>
          <w:tcPr>
            <w:tcW w:w="1234"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2、工业</w:t>
            </w:r>
          </w:p>
        </w:tc>
        <w:tc>
          <w:tcPr>
            <w:tcW w:w="151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300≤X＜1000</w:t>
            </w:r>
          </w:p>
        </w:tc>
        <w:tc>
          <w:tcPr>
            <w:tcW w:w="1779"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2000≤Y＜40000</w:t>
            </w:r>
          </w:p>
        </w:tc>
        <w:tc>
          <w:tcPr>
            <w:tcW w:w="1677"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20≤X＜300</w:t>
            </w:r>
          </w:p>
        </w:tc>
        <w:tc>
          <w:tcPr>
            <w:tcW w:w="1494"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300≤Y＜2000</w:t>
            </w:r>
          </w:p>
        </w:tc>
        <w:tc>
          <w:tcPr>
            <w:tcW w:w="1536"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X＜20</w:t>
            </w:r>
          </w:p>
        </w:tc>
        <w:tc>
          <w:tcPr>
            <w:tcW w:w="128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Y＜300</w:t>
            </w:r>
          </w:p>
        </w:tc>
        <w:tc>
          <w:tcPr>
            <w:tcW w:w="1234"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3、建筑业</w:t>
            </w:r>
          </w:p>
        </w:tc>
        <w:tc>
          <w:tcPr>
            <w:tcW w:w="151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779"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6000≤Y＜80000</w:t>
            </w:r>
          </w:p>
        </w:tc>
        <w:tc>
          <w:tcPr>
            <w:tcW w:w="1677"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5000≤Z＜80000</w:t>
            </w: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494"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300≤Y＜6000</w:t>
            </w:r>
          </w:p>
        </w:tc>
        <w:tc>
          <w:tcPr>
            <w:tcW w:w="1536"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300≤Z＜5000</w:t>
            </w:r>
          </w:p>
        </w:tc>
        <w:tc>
          <w:tcPr>
            <w:tcW w:w="129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8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Y＜300</w:t>
            </w:r>
          </w:p>
        </w:tc>
        <w:tc>
          <w:tcPr>
            <w:tcW w:w="1234"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Z＜300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4、批发业</w:t>
            </w:r>
          </w:p>
        </w:tc>
        <w:tc>
          <w:tcPr>
            <w:tcW w:w="151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20≤X＜200</w:t>
            </w:r>
          </w:p>
        </w:tc>
        <w:tc>
          <w:tcPr>
            <w:tcW w:w="1779"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5000≤Y＜40000</w:t>
            </w:r>
          </w:p>
        </w:tc>
        <w:tc>
          <w:tcPr>
            <w:tcW w:w="1677"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5≤X＜20</w:t>
            </w:r>
          </w:p>
        </w:tc>
        <w:tc>
          <w:tcPr>
            <w:tcW w:w="1494"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1000≤Y＜5000</w:t>
            </w:r>
          </w:p>
        </w:tc>
        <w:tc>
          <w:tcPr>
            <w:tcW w:w="1536"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X＜5</w:t>
            </w:r>
          </w:p>
        </w:tc>
        <w:tc>
          <w:tcPr>
            <w:tcW w:w="128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Y＜1000</w:t>
            </w:r>
          </w:p>
        </w:tc>
        <w:tc>
          <w:tcPr>
            <w:tcW w:w="1234"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5、零售业</w:t>
            </w:r>
          </w:p>
        </w:tc>
        <w:tc>
          <w:tcPr>
            <w:tcW w:w="151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50≤X＜300</w:t>
            </w:r>
          </w:p>
        </w:tc>
        <w:tc>
          <w:tcPr>
            <w:tcW w:w="1779"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500≤Y＜20000</w:t>
            </w:r>
          </w:p>
        </w:tc>
        <w:tc>
          <w:tcPr>
            <w:tcW w:w="1677"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10≤X＜50</w:t>
            </w:r>
          </w:p>
        </w:tc>
        <w:tc>
          <w:tcPr>
            <w:tcW w:w="1494"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100≤Y＜500</w:t>
            </w:r>
          </w:p>
        </w:tc>
        <w:tc>
          <w:tcPr>
            <w:tcW w:w="1536"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X＜10</w:t>
            </w:r>
          </w:p>
        </w:tc>
        <w:tc>
          <w:tcPr>
            <w:tcW w:w="128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Y＜100</w:t>
            </w:r>
          </w:p>
        </w:tc>
        <w:tc>
          <w:tcPr>
            <w:tcW w:w="1234"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6、交通运输业</w:t>
            </w:r>
          </w:p>
        </w:tc>
        <w:tc>
          <w:tcPr>
            <w:tcW w:w="151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300≤X＜1000</w:t>
            </w:r>
          </w:p>
        </w:tc>
        <w:tc>
          <w:tcPr>
            <w:tcW w:w="1779"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3000≤Y＜30000</w:t>
            </w:r>
          </w:p>
        </w:tc>
        <w:tc>
          <w:tcPr>
            <w:tcW w:w="1677"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20≤X＜300</w:t>
            </w:r>
          </w:p>
        </w:tc>
        <w:tc>
          <w:tcPr>
            <w:tcW w:w="1494"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200≤Y＜3000</w:t>
            </w:r>
          </w:p>
        </w:tc>
        <w:tc>
          <w:tcPr>
            <w:tcW w:w="1536"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X＜20</w:t>
            </w:r>
          </w:p>
        </w:tc>
        <w:tc>
          <w:tcPr>
            <w:tcW w:w="128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V＜200</w:t>
            </w:r>
          </w:p>
        </w:tc>
        <w:tc>
          <w:tcPr>
            <w:tcW w:w="1234"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7、仓储业</w:t>
            </w:r>
          </w:p>
        </w:tc>
        <w:tc>
          <w:tcPr>
            <w:tcW w:w="151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100≤X＜200</w:t>
            </w:r>
          </w:p>
        </w:tc>
        <w:tc>
          <w:tcPr>
            <w:tcW w:w="1779"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1000≤Y＜30000</w:t>
            </w:r>
          </w:p>
        </w:tc>
        <w:tc>
          <w:tcPr>
            <w:tcW w:w="1677"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20≤X＜100</w:t>
            </w:r>
          </w:p>
        </w:tc>
        <w:tc>
          <w:tcPr>
            <w:tcW w:w="1494"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100≤Y＜1000</w:t>
            </w:r>
          </w:p>
        </w:tc>
        <w:tc>
          <w:tcPr>
            <w:tcW w:w="1536"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X＜20</w:t>
            </w:r>
          </w:p>
        </w:tc>
        <w:tc>
          <w:tcPr>
            <w:tcW w:w="128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Y＜100</w:t>
            </w:r>
          </w:p>
        </w:tc>
        <w:tc>
          <w:tcPr>
            <w:tcW w:w="1234"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8、邮政业</w:t>
            </w:r>
          </w:p>
        </w:tc>
        <w:tc>
          <w:tcPr>
            <w:tcW w:w="151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300≤X＜1000</w:t>
            </w:r>
          </w:p>
        </w:tc>
        <w:tc>
          <w:tcPr>
            <w:tcW w:w="1779"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2000≤Y＜30000</w:t>
            </w:r>
          </w:p>
        </w:tc>
        <w:tc>
          <w:tcPr>
            <w:tcW w:w="1677"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20≤X＜300</w:t>
            </w:r>
          </w:p>
        </w:tc>
        <w:tc>
          <w:tcPr>
            <w:tcW w:w="1494"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100≤Y＜2000</w:t>
            </w:r>
          </w:p>
        </w:tc>
        <w:tc>
          <w:tcPr>
            <w:tcW w:w="1536"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X＜20</w:t>
            </w:r>
          </w:p>
        </w:tc>
        <w:tc>
          <w:tcPr>
            <w:tcW w:w="128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Y＜100</w:t>
            </w:r>
          </w:p>
        </w:tc>
        <w:tc>
          <w:tcPr>
            <w:tcW w:w="1234"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xml:space="preserve"> 9、住宿业</w:t>
            </w:r>
          </w:p>
        </w:tc>
        <w:tc>
          <w:tcPr>
            <w:tcW w:w="151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100≤X＜300</w:t>
            </w:r>
          </w:p>
        </w:tc>
        <w:tc>
          <w:tcPr>
            <w:tcW w:w="1779"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2000≤Y＜10000</w:t>
            </w:r>
          </w:p>
        </w:tc>
        <w:tc>
          <w:tcPr>
            <w:tcW w:w="1677"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10≤X＜100</w:t>
            </w:r>
          </w:p>
        </w:tc>
        <w:tc>
          <w:tcPr>
            <w:tcW w:w="1494"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100≤Y＜2000</w:t>
            </w:r>
          </w:p>
        </w:tc>
        <w:tc>
          <w:tcPr>
            <w:tcW w:w="1536"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X＜10</w:t>
            </w:r>
          </w:p>
        </w:tc>
        <w:tc>
          <w:tcPr>
            <w:tcW w:w="128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Y＜100</w:t>
            </w:r>
          </w:p>
        </w:tc>
        <w:tc>
          <w:tcPr>
            <w:tcW w:w="1234"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10、餐饮业</w:t>
            </w:r>
          </w:p>
        </w:tc>
        <w:tc>
          <w:tcPr>
            <w:tcW w:w="151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100≤X＜300</w:t>
            </w:r>
          </w:p>
        </w:tc>
        <w:tc>
          <w:tcPr>
            <w:tcW w:w="1779"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2000≤Y＜10000</w:t>
            </w:r>
          </w:p>
        </w:tc>
        <w:tc>
          <w:tcPr>
            <w:tcW w:w="1677"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10≤X＜100</w:t>
            </w:r>
          </w:p>
        </w:tc>
        <w:tc>
          <w:tcPr>
            <w:tcW w:w="1494"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100≤Y＜2000</w:t>
            </w:r>
          </w:p>
        </w:tc>
        <w:tc>
          <w:tcPr>
            <w:tcW w:w="1536"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X＜10</w:t>
            </w:r>
          </w:p>
        </w:tc>
        <w:tc>
          <w:tcPr>
            <w:tcW w:w="128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V＜100</w:t>
            </w:r>
          </w:p>
        </w:tc>
        <w:tc>
          <w:tcPr>
            <w:tcW w:w="1234"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11、信息传输业</w:t>
            </w:r>
          </w:p>
        </w:tc>
        <w:tc>
          <w:tcPr>
            <w:tcW w:w="151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100≤X＜2000</w:t>
            </w:r>
          </w:p>
        </w:tc>
        <w:tc>
          <w:tcPr>
            <w:tcW w:w="1779"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1000≤Y＜100000</w:t>
            </w:r>
          </w:p>
        </w:tc>
        <w:tc>
          <w:tcPr>
            <w:tcW w:w="1677"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10≤X＜100</w:t>
            </w:r>
          </w:p>
        </w:tc>
        <w:tc>
          <w:tcPr>
            <w:tcW w:w="1494"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100≤Y＜1000</w:t>
            </w:r>
          </w:p>
        </w:tc>
        <w:tc>
          <w:tcPr>
            <w:tcW w:w="1536"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X＜10</w:t>
            </w:r>
          </w:p>
        </w:tc>
        <w:tc>
          <w:tcPr>
            <w:tcW w:w="128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Y＜100</w:t>
            </w:r>
          </w:p>
        </w:tc>
        <w:tc>
          <w:tcPr>
            <w:tcW w:w="1234"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12、软件和信息技术服务业</w:t>
            </w:r>
          </w:p>
        </w:tc>
        <w:tc>
          <w:tcPr>
            <w:tcW w:w="151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100≤X＜300</w:t>
            </w:r>
          </w:p>
        </w:tc>
        <w:tc>
          <w:tcPr>
            <w:tcW w:w="1779"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1000≤Y＜10000</w:t>
            </w:r>
          </w:p>
        </w:tc>
        <w:tc>
          <w:tcPr>
            <w:tcW w:w="1677"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10≤X＜100</w:t>
            </w:r>
          </w:p>
        </w:tc>
        <w:tc>
          <w:tcPr>
            <w:tcW w:w="1494"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50≤Y＜1000</w:t>
            </w:r>
          </w:p>
        </w:tc>
        <w:tc>
          <w:tcPr>
            <w:tcW w:w="1536"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X＜10</w:t>
            </w:r>
          </w:p>
        </w:tc>
        <w:tc>
          <w:tcPr>
            <w:tcW w:w="128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Y＜50</w:t>
            </w:r>
          </w:p>
        </w:tc>
        <w:tc>
          <w:tcPr>
            <w:tcW w:w="1234"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13、房地产开发经营</w:t>
            </w:r>
          </w:p>
        </w:tc>
        <w:tc>
          <w:tcPr>
            <w:tcW w:w="151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779"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1000≤Y＜200000</w:t>
            </w:r>
          </w:p>
        </w:tc>
        <w:tc>
          <w:tcPr>
            <w:tcW w:w="1677"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5000≤Z＜10000</w:t>
            </w: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494"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100≤Y＜1000</w:t>
            </w:r>
          </w:p>
        </w:tc>
        <w:tc>
          <w:tcPr>
            <w:tcW w:w="1536"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2000≤Z＜5000</w:t>
            </w:r>
          </w:p>
        </w:tc>
        <w:tc>
          <w:tcPr>
            <w:tcW w:w="129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8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Y＜100</w:t>
            </w:r>
          </w:p>
        </w:tc>
        <w:tc>
          <w:tcPr>
            <w:tcW w:w="1234"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Z＜2000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14、物业管理</w:t>
            </w:r>
          </w:p>
        </w:tc>
        <w:tc>
          <w:tcPr>
            <w:tcW w:w="151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300≤X＜1000</w:t>
            </w:r>
          </w:p>
        </w:tc>
        <w:tc>
          <w:tcPr>
            <w:tcW w:w="1779"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1000≤Y＜5000</w:t>
            </w:r>
          </w:p>
        </w:tc>
        <w:tc>
          <w:tcPr>
            <w:tcW w:w="1677"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100≤X＜300</w:t>
            </w:r>
          </w:p>
        </w:tc>
        <w:tc>
          <w:tcPr>
            <w:tcW w:w="1494"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500≤Y＜1000</w:t>
            </w:r>
          </w:p>
        </w:tc>
        <w:tc>
          <w:tcPr>
            <w:tcW w:w="1536"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X＜100</w:t>
            </w:r>
          </w:p>
        </w:tc>
        <w:tc>
          <w:tcPr>
            <w:tcW w:w="128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Y＜500</w:t>
            </w:r>
          </w:p>
        </w:tc>
        <w:tc>
          <w:tcPr>
            <w:tcW w:w="1234"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15、租赁和商务服务业</w:t>
            </w:r>
          </w:p>
        </w:tc>
        <w:tc>
          <w:tcPr>
            <w:tcW w:w="151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100≤X＜300</w:t>
            </w:r>
          </w:p>
        </w:tc>
        <w:tc>
          <w:tcPr>
            <w:tcW w:w="1779"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677"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8000≤Z＜120000</w:t>
            </w: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10≤X＜100</w:t>
            </w:r>
          </w:p>
        </w:tc>
        <w:tc>
          <w:tcPr>
            <w:tcW w:w="1494"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536"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100≤Z＜8000</w:t>
            </w:r>
          </w:p>
        </w:tc>
        <w:tc>
          <w:tcPr>
            <w:tcW w:w="129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X＜10</w:t>
            </w:r>
          </w:p>
        </w:tc>
        <w:tc>
          <w:tcPr>
            <w:tcW w:w="1287"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34" w:type="dxa"/>
            <w:tcBorders>
              <w:top w:val="nil"/>
              <w:left w:val="nil"/>
              <w:bottom w:val="single" w:color="auto" w:sz="4"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Z＜100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8" w:space="0"/>
              <w:right w:val="single" w:color="auto"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16、其他未列明行业</w:t>
            </w:r>
          </w:p>
        </w:tc>
        <w:tc>
          <w:tcPr>
            <w:tcW w:w="1512" w:type="dxa"/>
            <w:tcBorders>
              <w:top w:val="nil"/>
              <w:left w:val="nil"/>
              <w:bottom w:val="single" w:color="auto" w:sz="8"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100≤X＜300</w:t>
            </w:r>
          </w:p>
        </w:tc>
        <w:tc>
          <w:tcPr>
            <w:tcW w:w="1779" w:type="dxa"/>
            <w:tcBorders>
              <w:top w:val="nil"/>
              <w:left w:val="nil"/>
              <w:bottom w:val="single" w:color="auto" w:sz="8"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677"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52" w:type="dxa"/>
            <w:tcBorders>
              <w:top w:val="nil"/>
              <w:left w:val="nil"/>
              <w:bottom w:val="single" w:color="auto" w:sz="8"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10≤X＜100</w:t>
            </w:r>
          </w:p>
        </w:tc>
        <w:tc>
          <w:tcPr>
            <w:tcW w:w="1494" w:type="dxa"/>
            <w:tcBorders>
              <w:top w:val="nil"/>
              <w:left w:val="nil"/>
              <w:bottom w:val="single" w:color="auto" w:sz="8"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536"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97" w:type="dxa"/>
            <w:tcBorders>
              <w:top w:val="nil"/>
              <w:left w:val="nil"/>
              <w:bottom w:val="single" w:color="auto" w:sz="8"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X＜10</w:t>
            </w:r>
          </w:p>
        </w:tc>
        <w:tc>
          <w:tcPr>
            <w:tcW w:w="1287" w:type="dxa"/>
            <w:tcBorders>
              <w:top w:val="nil"/>
              <w:left w:val="nil"/>
              <w:bottom w:val="single" w:color="auto" w:sz="8"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c>
          <w:tcPr>
            <w:tcW w:w="1234"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34" w:hRule="atLeast"/>
        </w:trPr>
        <w:tc>
          <w:tcPr>
            <w:tcW w:w="15077" w:type="dxa"/>
            <w:gridSpan w:val="11"/>
            <w:tcBorders>
              <w:top w:val="nil"/>
              <w:left w:val="nil"/>
              <w:bottom w:val="nil"/>
              <w:right w:val="nil"/>
            </w:tcBorders>
          </w:tcPr>
          <w:p>
            <w:pPr>
              <w:widowControl/>
              <w:rPr>
                <w:rFonts w:ascii="宋体" w:hAnsi="宋体" w:cs="宋体"/>
                <w:kern w:val="0"/>
                <w:sz w:val="18"/>
                <w:szCs w:val="18"/>
              </w:rPr>
            </w:pPr>
            <w:r>
              <w:rPr>
                <w:rFonts w:hint="eastAsia" w:ascii="宋体" w:hAnsi="宋体" w:cs="宋体"/>
                <w:kern w:val="0"/>
                <w:sz w:val="18"/>
                <w:szCs w:val="18"/>
              </w:rPr>
              <w:t>说明　1、企业类型的划分以统计部门的统计数据为依据。</w:t>
            </w:r>
          </w:p>
          <w:p>
            <w:pPr>
              <w:widowControl/>
              <w:ind w:firstLine="540" w:firstLineChars="300"/>
              <w:rPr>
                <w:rFonts w:ascii="宋体" w:hAnsi="宋体" w:cs="宋体"/>
                <w:kern w:val="0"/>
                <w:sz w:val="18"/>
                <w:szCs w:val="18"/>
              </w:rPr>
            </w:pPr>
            <w:r>
              <w:rPr>
                <w:rFonts w:hint="eastAsia" w:ascii="宋体" w:hAnsi="宋体" w:cs="宋体"/>
                <w:kern w:val="0"/>
                <w:sz w:val="18"/>
                <w:szCs w:val="18"/>
              </w:rPr>
              <w:t>2、个体工商户和本规定以外的行业，参照本规定进行划型。</w:t>
            </w:r>
          </w:p>
          <w:p>
            <w:pPr>
              <w:widowControl/>
              <w:ind w:firstLine="540" w:firstLineChars="300"/>
              <w:rPr>
                <w:rFonts w:ascii="宋体" w:hAnsi="宋体" w:cs="宋体"/>
                <w:kern w:val="0"/>
                <w:sz w:val="18"/>
                <w:szCs w:val="18"/>
              </w:rPr>
            </w:pPr>
            <w:r>
              <w:rPr>
                <w:rFonts w:hint="eastAsia" w:ascii="宋体" w:hAnsi="宋体" w:cs="宋体"/>
                <w:kern w:val="0"/>
                <w:sz w:val="18"/>
                <w:szCs w:val="18"/>
              </w:rPr>
              <w:t>3、本规定的中型企业标准上限即为大型企业标准的下限。</w:t>
            </w:r>
          </w:p>
        </w:tc>
      </w:tr>
      <w:bookmarkEnd w:id="26"/>
    </w:tbl>
    <w:p>
      <w:pPr>
        <w:rPr>
          <w:rFonts w:ascii="宋体" w:hAnsi="宋体"/>
          <w:szCs w:val="21"/>
        </w:rPr>
      </w:pPr>
    </w:p>
    <w:p/>
    <w:p>
      <w:pPr>
        <w:rPr>
          <w:rFonts w:hAnsi="宋体"/>
        </w:rPr>
      </w:pPr>
    </w:p>
    <w:p/>
    <w:sectPr>
      <w:headerReference r:id="rId10" w:type="default"/>
      <w:footerReference r:id="rId11" w:type="default"/>
      <w:pgSz w:w="16838" w:h="11906" w:orient="landscape"/>
      <w:pgMar w:top="526" w:right="1440" w:bottom="568" w:left="1440" w:header="737" w:footer="62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方正书宋简体">
    <w:altName w:val="微软雅黑"/>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创艺简标宋">
    <w:altName w:val="黑体"/>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altName w:val="黑体"/>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3</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12"/>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2"/>
      </w:rPr>
    </w:pPr>
    <w:r>
      <w:fldChar w:fldCharType="begin"/>
    </w:r>
    <w:r>
      <w:rPr>
        <w:rStyle w:val="22"/>
      </w:rPr>
      <w:instrText xml:space="preserve">PAGE  </w:instrText>
    </w:r>
    <w:r>
      <w:fldChar w:fldCharType="end"/>
    </w:r>
  </w:p>
  <w:p>
    <w:pPr>
      <w:pStyle w:val="1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71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71</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12"/>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72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72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宋体"/>
        <w:snapToGrid w:val="0"/>
        <w:kern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EF804C"/>
    <w:multiLevelType w:val="singleLevel"/>
    <w:tmpl w:val="8DEF804C"/>
    <w:lvl w:ilvl="0" w:tentative="0">
      <w:start w:val="1"/>
      <w:numFmt w:val="decimal"/>
      <w:lvlText w:val="%1."/>
      <w:lvlJc w:val="left"/>
      <w:pPr>
        <w:tabs>
          <w:tab w:val="left" w:pos="312"/>
        </w:tabs>
      </w:pPr>
    </w:lvl>
  </w:abstractNum>
  <w:abstractNum w:abstractNumId="1">
    <w:nsid w:val="8EE5F15A"/>
    <w:multiLevelType w:val="singleLevel"/>
    <w:tmpl w:val="8EE5F15A"/>
    <w:lvl w:ilvl="0" w:tentative="0">
      <w:start w:val="4"/>
      <w:numFmt w:val="chineseCounting"/>
      <w:suff w:val="nothing"/>
      <w:lvlText w:val="（%1）"/>
      <w:lvlJc w:val="left"/>
      <w:rPr>
        <w:rFonts w:hint="eastAsia"/>
      </w:rPr>
    </w:lvl>
  </w:abstractNum>
  <w:abstractNum w:abstractNumId="2">
    <w:nsid w:val="B6A14843"/>
    <w:multiLevelType w:val="singleLevel"/>
    <w:tmpl w:val="B6A14843"/>
    <w:lvl w:ilvl="0" w:tentative="0">
      <w:start w:val="3"/>
      <w:numFmt w:val="chineseCounting"/>
      <w:suff w:val="nothing"/>
      <w:lvlText w:val="（%1）"/>
      <w:lvlJc w:val="left"/>
      <w:rPr>
        <w:rFonts w:hint="eastAsia"/>
      </w:rPr>
    </w:lvl>
  </w:abstractNum>
  <w:abstractNum w:abstractNumId="3">
    <w:nsid w:val="F2EA01CD"/>
    <w:multiLevelType w:val="singleLevel"/>
    <w:tmpl w:val="F2EA01CD"/>
    <w:lvl w:ilvl="0" w:tentative="0">
      <w:start w:val="3"/>
      <w:numFmt w:val="chineseCounting"/>
      <w:suff w:val="nothing"/>
      <w:lvlText w:val="%1、"/>
      <w:lvlJc w:val="left"/>
      <w:rPr>
        <w:rFonts w:hint="eastAsia"/>
      </w:rPr>
    </w:lvl>
  </w:abstractNum>
  <w:abstractNum w:abstractNumId="4">
    <w:nsid w:val="0000000C"/>
    <w:multiLevelType w:val="singleLevel"/>
    <w:tmpl w:val="0000000C"/>
    <w:lvl w:ilvl="0" w:tentative="0">
      <w:start w:val="1"/>
      <w:numFmt w:val="chineseCounting"/>
      <w:suff w:val="nothing"/>
      <w:lvlText w:val="%1、"/>
      <w:lvlJc w:val="left"/>
    </w:lvl>
  </w:abstractNum>
  <w:abstractNum w:abstractNumId="5">
    <w:nsid w:val="0000000D"/>
    <w:multiLevelType w:val="singleLevel"/>
    <w:tmpl w:val="0000000D"/>
    <w:lvl w:ilvl="0" w:tentative="0">
      <w:start w:val="3"/>
      <w:numFmt w:val="chineseCounting"/>
      <w:suff w:val="nothing"/>
      <w:lvlText w:val="%1、"/>
      <w:lvlJc w:val="left"/>
    </w:lvl>
  </w:abstractNum>
  <w:abstractNum w:abstractNumId="6">
    <w:nsid w:val="30C531C3"/>
    <w:multiLevelType w:val="multilevel"/>
    <w:tmpl w:val="30C531C3"/>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7">
    <w:nsid w:val="51668D98"/>
    <w:multiLevelType w:val="singleLevel"/>
    <w:tmpl w:val="51668D98"/>
    <w:lvl w:ilvl="0" w:tentative="0">
      <w:start w:val="3"/>
      <w:numFmt w:val="chineseCounting"/>
      <w:suff w:val="nothing"/>
      <w:lvlText w:val="（%1）"/>
      <w:lvlJc w:val="left"/>
      <w:rPr>
        <w:rFonts w:hint="eastAsia"/>
      </w:rPr>
    </w:lvl>
  </w:abstractNum>
  <w:num w:numId="1">
    <w:abstractNumId w:val="3"/>
  </w:num>
  <w:num w:numId="2">
    <w:abstractNumId w:val="6"/>
  </w:num>
  <w:num w:numId="3">
    <w:abstractNumId w:val="2"/>
  </w:num>
  <w:num w:numId="4">
    <w:abstractNumId w:val="7"/>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YjIwZjU0OWZmNTczZDEyMGZlOTBkMGFhMGFlZDYifQ=="/>
  </w:docVars>
  <w:rsids>
    <w:rsidRoot w:val="00623DD3"/>
    <w:rsid w:val="00002CD1"/>
    <w:rsid w:val="00060527"/>
    <w:rsid w:val="001D1F46"/>
    <w:rsid w:val="001F157A"/>
    <w:rsid w:val="00250115"/>
    <w:rsid w:val="002560BA"/>
    <w:rsid w:val="00264E69"/>
    <w:rsid w:val="00320054"/>
    <w:rsid w:val="00344726"/>
    <w:rsid w:val="0044641B"/>
    <w:rsid w:val="004527D1"/>
    <w:rsid w:val="00473C51"/>
    <w:rsid w:val="00483C0B"/>
    <w:rsid w:val="00540A6F"/>
    <w:rsid w:val="005C1A83"/>
    <w:rsid w:val="00623DD3"/>
    <w:rsid w:val="006A70E0"/>
    <w:rsid w:val="00730323"/>
    <w:rsid w:val="007A4111"/>
    <w:rsid w:val="00934456"/>
    <w:rsid w:val="009660FF"/>
    <w:rsid w:val="009C0957"/>
    <w:rsid w:val="00A67429"/>
    <w:rsid w:val="00B05DB3"/>
    <w:rsid w:val="00BD2468"/>
    <w:rsid w:val="00CC6C85"/>
    <w:rsid w:val="00DF02B4"/>
    <w:rsid w:val="00EA3316"/>
    <w:rsid w:val="00EB0A47"/>
    <w:rsid w:val="00F2443E"/>
    <w:rsid w:val="00F3065B"/>
    <w:rsid w:val="02685C0C"/>
    <w:rsid w:val="050F05C1"/>
    <w:rsid w:val="062E0F1B"/>
    <w:rsid w:val="082154F9"/>
    <w:rsid w:val="0A821835"/>
    <w:rsid w:val="0CBD2B6F"/>
    <w:rsid w:val="0D501777"/>
    <w:rsid w:val="0E364E11"/>
    <w:rsid w:val="0FFA33CC"/>
    <w:rsid w:val="11044486"/>
    <w:rsid w:val="11586695"/>
    <w:rsid w:val="12E76C34"/>
    <w:rsid w:val="13E73EF9"/>
    <w:rsid w:val="16F93033"/>
    <w:rsid w:val="180C0990"/>
    <w:rsid w:val="1BD95DC4"/>
    <w:rsid w:val="1E843671"/>
    <w:rsid w:val="1ECB3353"/>
    <w:rsid w:val="20B35E4D"/>
    <w:rsid w:val="24F35701"/>
    <w:rsid w:val="25657932"/>
    <w:rsid w:val="25783B09"/>
    <w:rsid w:val="2C69776A"/>
    <w:rsid w:val="35286956"/>
    <w:rsid w:val="393F6923"/>
    <w:rsid w:val="3D931088"/>
    <w:rsid w:val="42B15B0D"/>
    <w:rsid w:val="480D7C89"/>
    <w:rsid w:val="48541414"/>
    <w:rsid w:val="515F51BF"/>
    <w:rsid w:val="518E703B"/>
    <w:rsid w:val="5272350A"/>
    <w:rsid w:val="52CD6993"/>
    <w:rsid w:val="54FB5AF8"/>
    <w:rsid w:val="57DC14F6"/>
    <w:rsid w:val="5ACC7530"/>
    <w:rsid w:val="5B8F2A37"/>
    <w:rsid w:val="62063161"/>
    <w:rsid w:val="63B03E93"/>
    <w:rsid w:val="64196048"/>
    <w:rsid w:val="6860298C"/>
    <w:rsid w:val="6C0542D0"/>
    <w:rsid w:val="713A0C0C"/>
    <w:rsid w:val="71CD5C10"/>
    <w:rsid w:val="724E5D98"/>
    <w:rsid w:val="795C05FF"/>
    <w:rsid w:val="7AEB3E1D"/>
    <w:rsid w:val="7B902188"/>
    <w:rsid w:val="7CC16251"/>
    <w:rsid w:val="7EDE3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2"/>
    <w:autoRedefine/>
    <w:qFormat/>
    <w:uiPriority w:val="9"/>
    <w:pPr>
      <w:keepNext/>
      <w:spacing w:line="380" w:lineRule="exact"/>
      <w:jc w:val="center"/>
      <w:outlineLvl w:val="0"/>
    </w:pPr>
    <w:rPr>
      <w:rFonts w:ascii="宋体" w:hAnsi="宋体"/>
      <w:b/>
      <w:kern w:val="44"/>
      <w:sz w:val="44"/>
      <w:szCs w:val="44"/>
    </w:rPr>
  </w:style>
  <w:style w:type="paragraph" w:styleId="3">
    <w:name w:val="heading 2"/>
    <w:basedOn w:val="1"/>
    <w:next w:val="1"/>
    <w:link w:val="37"/>
    <w:autoRedefine/>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1">
    <w:name w:val="Default Paragraph Font"/>
    <w:autoRedefine/>
    <w:semiHidden/>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next w:val="1"/>
    <w:autoRedefine/>
    <w:qFormat/>
    <w:uiPriority w:val="0"/>
    <w:pPr>
      <w:ind w:firstLine="420" w:firstLineChars="200"/>
    </w:pPr>
    <w:rPr>
      <w:rFonts w:ascii="宋体" w:hAnsi="宋体"/>
      <w:spacing w:val="14"/>
      <w:kern w:val="24"/>
      <w:sz w:val="24"/>
      <w:szCs w:val="24"/>
    </w:rPr>
  </w:style>
  <w:style w:type="paragraph" w:styleId="5">
    <w:name w:val="annotation text"/>
    <w:basedOn w:val="1"/>
    <w:autoRedefine/>
    <w:qFormat/>
    <w:uiPriority w:val="99"/>
    <w:pPr>
      <w:jc w:val="left"/>
    </w:pPr>
    <w:rPr>
      <w:rFonts w:ascii="宋体" w:hAnsi="宋体"/>
      <w:szCs w:val="21"/>
    </w:rPr>
  </w:style>
  <w:style w:type="paragraph" w:styleId="6">
    <w:name w:val="Body Text"/>
    <w:basedOn w:val="1"/>
    <w:next w:val="7"/>
    <w:autoRedefine/>
    <w:qFormat/>
    <w:uiPriority w:val="99"/>
    <w:rPr>
      <w:rFonts w:ascii="宋体" w:hAnsi="宋体"/>
      <w:kern w:val="0"/>
      <w:sz w:val="20"/>
    </w:rPr>
  </w:style>
  <w:style w:type="paragraph" w:customStyle="1" w:styleId="7">
    <w:name w:val="自动更正"/>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8">
    <w:name w:val="Body Text Indent"/>
    <w:basedOn w:val="1"/>
    <w:next w:val="1"/>
    <w:autoRedefine/>
    <w:qFormat/>
    <w:uiPriority w:val="0"/>
    <w:pPr>
      <w:spacing w:line="380" w:lineRule="exact"/>
      <w:ind w:firstLine="480"/>
    </w:pPr>
    <w:rPr>
      <w:rFonts w:eastAsia="方正书宋简体"/>
      <w:sz w:val="24"/>
    </w:rPr>
  </w:style>
  <w:style w:type="paragraph" w:styleId="9">
    <w:name w:val="Block Text"/>
    <w:basedOn w:val="1"/>
    <w:autoRedefine/>
    <w:unhideWhenUsed/>
    <w:qFormat/>
    <w:uiPriority w:val="99"/>
    <w:pPr>
      <w:spacing w:after="120"/>
      <w:ind w:left="1440" w:leftChars="700" w:right="1440" w:rightChars="700"/>
    </w:pPr>
  </w:style>
  <w:style w:type="paragraph" w:styleId="10">
    <w:name w:val="Plain Text"/>
    <w:basedOn w:val="1"/>
    <w:next w:val="1"/>
    <w:autoRedefine/>
    <w:qFormat/>
    <w:uiPriority w:val="0"/>
    <w:pPr>
      <w:widowControl/>
      <w:spacing w:before="100" w:beforeAutospacing="1" w:after="100" w:afterAutospacing="1"/>
      <w:jc w:val="left"/>
    </w:pPr>
    <w:rPr>
      <w:rFonts w:ascii="宋体" w:hAnsi="Courier New"/>
      <w:kern w:val="0"/>
      <w:sz w:val="20"/>
    </w:rPr>
  </w:style>
  <w:style w:type="paragraph" w:styleId="11">
    <w:name w:val="Date"/>
    <w:basedOn w:val="1"/>
    <w:next w:val="1"/>
    <w:autoRedefine/>
    <w:qFormat/>
    <w:uiPriority w:val="99"/>
    <w:pPr>
      <w:adjustRightInd w:val="0"/>
      <w:spacing w:line="312" w:lineRule="atLeast"/>
      <w:jc w:val="right"/>
      <w:textAlignment w:val="baseline"/>
    </w:pPr>
    <w:rPr>
      <w:rFonts w:ascii="宋体"/>
      <w:kern w:val="0"/>
      <w:sz w:val="24"/>
    </w:rPr>
  </w:style>
  <w:style w:type="paragraph" w:styleId="12">
    <w:name w:val="footer"/>
    <w:basedOn w:val="1"/>
    <w:autoRedefine/>
    <w:qFormat/>
    <w:uiPriority w:val="99"/>
    <w:pPr>
      <w:tabs>
        <w:tab w:val="center" w:pos="4153"/>
        <w:tab w:val="right" w:pos="8306"/>
      </w:tabs>
      <w:snapToGrid w:val="0"/>
      <w:jc w:val="left"/>
    </w:pPr>
    <w:rPr>
      <w:rFonts w:ascii="宋体" w:hAnsi="宋体"/>
      <w:sz w:val="18"/>
      <w:szCs w:val="18"/>
    </w:rPr>
  </w:style>
  <w:style w:type="paragraph" w:styleId="13">
    <w:name w:val="header"/>
    <w:basedOn w:val="1"/>
    <w:autoRedefine/>
    <w:qFormat/>
    <w:uiPriority w:val="0"/>
    <w:pPr>
      <w:pBdr>
        <w:bottom w:val="single" w:color="auto" w:sz="6" w:space="1"/>
      </w:pBdr>
      <w:tabs>
        <w:tab w:val="center" w:pos="4153"/>
        <w:tab w:val="right" w:pos="8306"/>
      </w:tabs>
      <w:snapToGrid w:val="0"/>
      <w:jc w:val="center"/>
    </w:pPr>
    <w:rPr>
      <w:rFonts w:ascii="宋体" w:hAnsi="宋体"/>
      <w:sz w:val="18"/>
      <w:szCs w:val="18"/>
    </w:rPr>
  </w:style>
  <w:style w:type="paragraph" w:styleId="14">
    <w:name w:val="toc 1"/>
    <w:basedOn w:val="1"/>
    <w:next w:val="1"/>
    <w:autoRedefine/>
    <w:qFormat/>
    <w:uiPriority w:val="39"/>
    <w:pPr>
      <w:tabs>
        <w:tab w:val="right" w:leader="dot" w:pos="8721"/>
      </w:tabs>
      <w:spacing w:line="480" w:lineRule="auto"/>
    </w:pPr>
    <w:rPr>
      <w:rFonts w:ascii="宋体" w:hAnsi="宋体"/>
      <w:color w:val="000000"/>
      <w:sz w:val="32"/>
      <w:szCs w:val="32"/>
    </w:rPr>
  </w:style>
  <w:style w:type="paragraph" w:styleId="15">
    <w:name w:val="HTML Preformatted"/>
    <w:basedOn w:val="1"/>
    <w:autoRedefine/>
    <w:qFormat/>
    <w:uiPriority w:val="99"/>
    <w:rPr>
      <w:rFonts w:ascii="Courier New" w:hAnsi="Courier New"/>
      <w:sz w:val="20"/>
    </w:rPr>
  </w:style>
  <w:style w:type="paragraph" w:styleId="16">
    <w:name w:val="Normal (Web)"/>
    <w:basedOn w:val="1"/>
    <w:autoRedefine/>
    <w:qFormat/>
    <w:uiPriority w:val="99"/>
    <w:pPr>
      <w:widowControl/>
      <w:spacing w:before="100" w:beforeAutospacing="1" w:after="100" w:afterAutospacing="1" w:line="300" w:lineRule="atLeast"/>
      <w:jc w:val="left"/>
    </w:pPr>
    <w:rPr>
      <w:rFonts w:ascii="宋体" w:hAnsi="宋体" w:cs="宋体"/>
      <w:kern w:val="0"/>
      <w:sz w:val="24"/>
      <w:szCs w:val="24"/>
    </w:rPr>
  </w:style>
  <w:style w:type="paragraph" w:styleId="17">
    <w:name w:val="Title"/>
    <w:basedOn w:val="1"/>
    <w:next w:val="1"/>
    <w:autoRedefine/>
    <w:qFormat/>
    <w:uiPriority w:val="0"/>
    <w:pPr>
      <w:spacing w:before="240" w:after="60"/>
      <w:jc w:val="center"/>
      <w:outlineLvl w:val="0"/>
    </w:pPr>
    <w:rPr>
      <w:rFonts w:ascii="Cambria" w:hAnsi="Cambria"/>
      <w:b/>
      <w:sz w:val="32"/>
    </w:rPr>
  </w:style>
  <w:style w:type="paragraph" w:styleId="18">
    <w:name w:val="Body Text First Indent"/>
    <w:basedOn w:val="6"/>
    <w:autoRedefine/>
    <w:qFormat/>
    <w:uiPriority w:val="99"/>
    <w:pPr>
      <w:spacing w:after="120"/>
      <w:ind w:firstLine="420" w:firstLineChars="100"/>
    </w:pPr>
    <w:rPr>
      <w:i/>
      <w:kern w:val="2"/>
      <w:sz w:val="24"/>
    </w:rPr>
  </w:style>
  <w:style w:type="table" w:styleId="20">
    <w:name w:val="Table Grid"/>
    <w:basedOn w:val="19"/>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autoRedefine/>
    <w:qFormat/>
    <w:uiPriority w:val="99"/>
    <w:rPr>
      <w:rFonts w:cs="Times New Roman"/>
    </w:rPr>
  </w:style>
  <w:style w:type="paragraph" w:customStyle="1" w:styleId="23">
    <w:name w:val="_Style 3"/>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24">
    <w:name w:val="List Paragraph"/>
    <w:basedOn w:val="1"/>
    <w:autoRedefine/>
    <w:qFormat/>
    <w:uiPriority w:val="34"/>
    <w:pPr>
      <w:spacing w:line="360" w:lineRule="auto"/>
      <w:ind w:firstLine="420" w:firstLineChars="200"/>
    </w:pPr>
    <w:rPr>
      <w:sz w:val="24"/>
    </w:rPr>
  </w:style>
  <w:style w:type="paragraph" w:customStyle="1" w:styleId="25">
    <w:name w:val="正文段"/>
    <w:basedOn w:val="1"/>
    <w:autoRedefine/>
    <w:qFormat/>
    <w:uiPriority w:val="0"/>
    <w:pPr>
      <w:widowControl/>
      <w:snapToGrid w:val="0"/>
      <w:spacing w:afterLines="50"/>
      <w:ind w:firstLine="200" w:firstLineChars="200"/>
    </w:pPr>
    <w:rPr>
      <w:kern w:val="0"/>
      <w:sz w:val="24"/>
    </w:rPr>
  </w:style>
  <w:style w:type="paragraph" w:customStyle="1" w:styleId="26">
    <w:name w:val="段"/>
    <w:next w:val="1"/>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table" w:customStyle="1" w:styleId="27">
    <w:name w:val="网格型1"/>
    <w:basedOn w:val="19"/>
    <w:autoRedefine/>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
    <w:name w:val="样式 楷体_GB2312 小四 行距: 1.5 倍行距"/>
    <w:basedOn w:val="1"/>
    <w:autoRedefine/>
    <w:qFormat/>
    <w:uiPriority w:val="0"/>
    <w:pPr>
      <w:adjustRightInd w:val="0"/>
      <w:spacing w:line="360" w:lineRule="auto"/>
      <w:ind w:firstLine="200" w:firstLineChars="200"/>
    </w:pPr>
    <w:rPr>
      <w:rFonts w:ascii="楷体_GB2312" w:eastAsia="楷体_GB2312" w:cs="宋体"/>
      <w:kern w:val="0"/>
      <w:sz w:val="28"/>
    </w:rPr>
  </w:style>
  <w:style w:type="character" w:customStyle="1" w:styleId="29">
    <w:name w:val="font01"/>
    <w:basedOn w:val="21"/>
    <w:autoRedefine/>
    <w:qFormat/>
    <w:uiPriority w:val="0"/>
    <w:rPr>
      <w:rFonts w:ascii="宋体" w:hAnsi="宋体" w:eastAsia="宋体"/>
      <w:color w:val="000000"/>
      <w:sz w:val="24"/>
      <w:u w:val="none"/>
    </w:rPr>
  </w:style>
  <w:style w:type="paragraph" w:customStyle="1" w:styleId="30">
    <w:name w:val="表格"/>
    <w:basedOn w:val="1"/>
    <w:next w:val="1"/>
    <w:autoRedefine/>
    <w:qFormat/>
    <w:uiPriority w:val="0"/>
    <w:pPr>
      <w:spacing w:line="276" w:lineRule="auto"/>
      <w:jc w:val="center"/>
    </w:pPr>
    <w:rPr>
      <w:rFonts w:ascii="宋体" w:hAnsi="宋体"/>
      <w:szCs w:val="22"/>
    </w:rPr>
  </w:style>
  <w:style w:type="character" w:customStyle="1" w:styleId="31">
    <w:name w:val="NormalCharacter"/>
    <w:autoRedefine/>
    <w:semiHidden/>
    <w:qFormat/>
    <w:uiPriority w:val="0"/>
  </w:style>
  <w:style w:type="character" w:customStyle="1" w:styleId="32">
    <w:name w:val="标题 1 字符"/>
    <w:link w:val="2"/>
    <w:autoRedefine/>
    <w:qFormat/>
    <w:locked/>
    <w:uiPriority w:val="9"/>
    <w:rPr>
      <w:rFonts w:ascii="宋体" w:hAnsi="宋体"/>
      <w:b/>
      <w:kern w:val="44"/>
      <w:sz w:val="44"/>
      <w:szCs w:val="44"/>
    </w:rPr>
  </w:style>
  <w:style w:type="character" w:customStyle="1" w:styleId="33">
    <w:name w:val="标题 1 Char Char"/>
    <w:autoRedefine/>
    <w:qFormat/>
    <w:uiPriority w:val="0"/>
    <w:rPr>
      <w:rFonts w:eastAsia="宋体"/>
      <w:b/>
      <w:spacing w:val="-2"/>
      <w:sz w:val="24"/>
      <w:lang w:val="en-US" w:eastAsia="zh-CN"/>
    </w:rPr>
  </w:style>
  <w:style w:type="paragraph" w:customStyle="1" w:styleId="34">
    <w:name w:val="纯文本_0_0"/>
    <w:basedOn w:val="35"/>
    <w:autoRedefine/>
    <w:qFormat/>
    <w:uiPriority w:val="0"/>
    <w:rPr>
      <w:rFonts w:ascii="宋体" w:hAnsi="Courier New"/>
      <w:szCs w:val="21"/>
    </w:rPr>
  </w:style>
  <w:style w:type="paragraph" w:customStyle="1" w:styleId="35">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Table Paragraph"/>
    <w:basedOn w:val="1"/>
    <w:autoRedefine/>
    <w:unhideWhenUsed/>
    <w:qFormat/>
    <w:uiPriority w:val="1"/>
    <w:pPr>
      <w:spacing w:before="100" w:beforeAutospacing="1" w:after="100" w:afterAutospacing="1" w:line="360" w:lineRule="auto"/>
    </w:pPr>
    <w:rPr>
      <w:sz w:val="24"/>
      <w:szCs w:val="24"/>
    </w:rPr>
  </w:style>
  <w:style w:type="character" w:customStyle="1" w:styleId="37">
    <w:name w:val="标题 2 字符"/>
    <w:basedOn w:val="21"/>
    <w:link w:val="3"/>
    <w:autoRedefine/>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72</Pages>
  <Words>8104</Words>
  <Characters>46193</Characters>
  <Lines>384</Lines>
  <Paragraphs>108</Paragraphs>
  <TotalTime>2</TotalTime>
  <ScaleCrop>false</ScaleCrop>
  <LinksUpToDate>false</LinksUpToDate>
  <CharactersWithSpaces>54189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2023-12-28T07:36:00Z</dcterms:created>
  <dc:creator>86130</dc:creator>
  <cp:lastModifiedBy>宁波华欣建设项目管理有限公司</cp:lastModifiedBy>
  <cp:lastPrinted>2024-03-06T23:55:00Z</cp:lastPrinted>
  <dcterms:modified xsi:type="dcterms:W3CDTF">2024-03-07T06:10:18Z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7670AD1D7C2D49F3B1C6CC7C69C8A4E2_13</vt:lpwstr>
  </property>
</Properties>
</file>