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156" w:beforeLines="50"/>
        <w:jc w:val="right"/>
        <w:rPr>
          <w:rFonts w:ascii="宋体" w:hAnsi="宋体"/>
          <w:b/>
          <w:color w:val="auto"/>
          <w:sz w:val="30"/>
          <w:szCs w:val="30"/>
          <w:highlight w:val="none"/>
        </w:rPr>
      </w:pPr>
      <w:r>
        <w:rPr>
          <w:sz w:val="48"/>
          <w:highlight w:val="none"/>
        </w:rPr>
        <mc:AlternateContent>
          <mc:Choice Requires="wps">
            <w:drawing>
              <wp:anchor distT="0" distB="0" distL="114300" distR="114300" simplePos="0" relativeHeight="251661312" behindDoc="0" locked="0" layoutInCell="1" allowOverlap="1">
                <wp:simplePos x="0" y="0"/>
                <wp:positionH relativeFrom="column">
                  <wp:posOffset>-2404745</wp:posOffset>
                </wp:positionH>
                <wp:positionV relativeFrom="paragraph">
                  <wp:posOffset>-548005</wp:posOffset>
                </wp:positionV>
                <wp:extent cx="6621780" cy="9108440"/>
                <wp:effectExtent l="4445" t="4445" r="18415" b="15875"/>
                <wp:wrapNone/>
                <wp:docPr id="4" name="文本框 4"/>
                <wp:cNvGraphicFramePr/>
                <a:graphic xmlns:a="http://schemas.openxmlformats.org/drawingml/2006/main">
                  <a:graphicData uri="http://schemas.microsoft.com/office/word/2010/wordprocessingShape">
                    <wps:wsp>
                      <wps:cNvSpPr txBox="1"/>
                      <wps:spPr>
                        <a:xfrm>
                          <a:off x="347345" y="262255"/>
                          <a:ext cx="6621780" cy="91084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316345" cy="8883015"/>
                                  <wp:effectExtent l="0" t="0" r="8255" b="190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a:stretch>
                                            <a:fillRect/>
                                          </a:stretch>
                                        </pic:blipFill>
                                        <pic:spPr>
                                          <a:xfrm>
                                            <a:off x="0" y="0"/>
                                            <a:ext cx="6316345" cy="8883015"/>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35pt;margin-top:-43.15pt;height:717.2pt;width:521.4pt;z-index:251661312;mso-width-relative:page;mso-height-relative:page;" fillcolor="#FFFFFF [3201]" filled="t" stroked="t" coordsize="21600,21600" o:gfxdata="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JXsP9kAAAANAQAADwAAAAAAAAABACAAAAAiAAAAZHJzL2Rvd25yZXYueG1sUEsB&#10;AhQAFAAAAAgAh07iQCMmv9RmAgAAwgQAAA4AAAAAAAAAAQAgAAAAKAEAAGRycy9lMm9Eb2MueG1s&#10;UEsFBgAAAAAGAAYAWQEAAAAGAAAAAA==&#10;">
                <v:fill on="t" focussize="0,0"/>
                <v:stroke weight="0.5pt" color="#000000 [3204]" joinstyle="round"/>
                <v:imagedata o:title=""/>
                <o:lock v:ext="edit" aspectratio="f"/>
                <v:textbo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316345" cy="8883015"/>
                            <wp:effectExtent l="0" t="0" r="8255" b="190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a:stretch>
                                      <a:fillRect/>
                                    </a:stretch>
                                  </pic:blipFill>
                                  <pic:spPr>
                                    <a:xfrm>
                                      <a:off x="0" y="0"/>
                                      <a:ext cx="6316345" cy="8883015"/>
                                    </a:xfrm>
                                    <a:prstGeom prst="rect">
                                      <a:avLst/>
                                    </a:prstGeom>
                                    <a:noFill/>
                                    <a:ln w="9525">
                                      <a:noFill/>
                                    </a:ln>
                                  </pic:spPr>
                                </pic:pic>
                              </a:graphicData>
                            </a:graphic>
                          </wp:inline>
                        </w:drawing>
                      </w:r>
                    </w:p>
                    <w:p/>
                  </w:txbxContent>
                </v:textbox>
              </v:shape>
            </w:pict>
          </mc:Fallback>
        </mc:AlternateContent>
      </w:r>
      <w:r>
        <w:rPr>
          <w:rFonts w:ascii="仿宋_GB2312" w:eastAsia="仿宋_GB2312"/>
          <w:b/>
          <w:bCs/>
          <w:color w:val="auto"/>
          <w:spacing w:val="-20"/>
          <w:kern w:val="0"/>
          <w:sz w:val="48"/>
          <w:szCs w:val="48"/>
          <w:highlight w:val="none"/>
          <w:u w:val="single"/>
        </w:rPr>
        <w:drawing>
          <wp:anchor distT="0" distB="0" distL="114300" distR="114300" simplePos="0" relativeHeight="251660288" behindDoc="0" locked="0" layoutInCell="1" allowOverlap="1">
            <wp:simplePos x="0" y="0"/>
            <wp:positionH relativeFrom="column">
              <wp:posOffset>-114300</wp:posOffset>
            </wp:positionH>
            <wp:positionV relativeFrom="paragraph">
              <wp:posOffset>416560</wp:posOffset>
            </wp:positionV>
            <wp:extent cx="1609090" cy="1036320"/>
            <wp:effectExtent l="0" t="0" r="0" b="0"/>
            <wp:wrapSquare wrapText="bothSides"/>
            <wp:docPr id="2" name="图片 1" descr="C:\Users\DELL\AppData\Local\Temp\WeChat Files\eac2354c04163b3af708a5e41b81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DELL\AppData\Local\Temp\WeChat Files\eac2354c04163b3af708a5e41b81978.png"/>
                    <pic:cNvPicPr>
                      <a:picLocks noChangeAspect="1"/>
                    </pic:cNvPicPr>
                  </pic:nvPicPr>
                  <pic:blipFill>
                    <a:blip r:embed="rId8"/>
                    <a:stretch>
                      <a:fillRect/>
                    </a:stretch>
                  </pic:blipFill>
                  <pic:spPr>
                    <a:xfrm>
                      <a:off x="0" y="0"/>
                      <a:ext cx="1609090" cy="1036320"/>
                    </a:xfrm>
                    <a:prstGeom prst="rect">
                      <a:avLst/>
                    </a:prstGeom>
                    <a:noFill/>
                    <a:ln>
                      <a:noFill/>
                    </a:ln>
                  </pic:spPr>
                </pic:pic>
              </a:graphicData>
            </a:graphic>
          </wp:anchor>
        </w:drawing>
      </w:r>
      <w:r>
        <w:rPr>
          <w:rFonts w:hint="eastAsia" w:ascii="宋体" w:hAnsi="宋体"/>
          <w:b/>
          <w:color w:val="auto"/>
          <w:sz w:val="30"/>
          <w:szCs w:val="30"/>
          <w:highlight w:val="none"/>
        </w:rPr>
        <w:t xml:space="preserve"> </w:t>
      </w:r>
      <w:r>
        <w:rPr>
          <w:rFonts w:ascii="宋体" w:hAnsi="宋体"/>
          <w:b/>
          <w:color w:val="auto"/>
          <w:sz w:val="30"/>
          <w:szCs w:val="30"/>
          <w:highlight w:val="none"/>
        </w:rPr>
        <w:t xml:space="preserve">            </w:t>
      </w:r>
      <w:r>
        <w:rPr>
          <w:rFonts w:hint="eastAsia" w:ascii="宋体" w:hAnsi="宋体"/>
          <w:b/>
          <w:color w:val="auto"/>
          <w:sz w:val="30"/>
          <w:szCs w:val="30"/>
          <w:highlight w:val="none"/>
        </w:rPr>
        <w:t>交易登记号：</w:t>
      </w:r>
      <w:r>
        <w:rPr>
          <w:rFonts w:hint="eastAsia" w:ascii="宋体" w:hAnsi="宋体"/>
          <w:b/>
          <w:color w:val="auto"/>
          <w:sz w:val="30"/>
          <w:szCs w:val="30"/>
          <w:highlight w:val="none"/>
          <w:lang w:eastAsia="zh-CN"/>
        </w:rPr>
        <w:t>GQCG2023013</w:t>
      </w:r>
      <w:r>
        <w:rPr>
          <w:rFonts w:ascii="宋体" w:hAnsi="宋体"/>
          <w:b/>
          <w:color w:val="auto"/>
          <w:sz w:val="30"/>
          <w:szCs w:val="30"/>
          <w:highlight w:val="none"/>
        </w:rPr>
        <w:t xml:space="preserve">   </w:t>
      </w:r>
      <w:r>
        <w:rPr>
          <w:rFonts w:ascii="宋体" w:hAnsi="宋体"/>
          <w:color w:val="auto"/>
          <w:sz w:val="30"/>
          <w:szCs w:val="30"/>
          <w:highlight w:val="none"/>
        </w:rPr>
        <w:tab/>
      </w:r>
      <w:r>
        <w:rPr>
          <w:rFonts w:hint="eastAsia" w:ascii="宋体" w:hAnsi="宋体"/>
          <w:b/>
          <w:color w:val="auto"/>
          <w:sz w:val="30"/>
          <w:szCs w:val="30"/>
          <w:highlight w:val="none"/>
        </w:rPr>
        <w:t xml:space="preserve"> </w:t>
      </w:r>
      <w:r>
        <w:rPr>
          <w:rFonts w:ascii="宋体" w:hAnsi="宋体"/>
          <w:b/>
          <w:color w:val="auto"/>
          <w:sz w:val="30"/>
          <w:szCs w:val="30"/>
          <w:highlight w:val="none"/>
        </w:rPr>
        <w:t xml:space="preserve">  </w:t>
      </w:r>
      <w:r>
        <w:rPr>
          <w:rFonts w:hint="eastAsia" w:ascii="宋体" w:hAnsi="宋体"/>
          <w:b/>
          <w:color w:val="auto"/>
          <w:sz w:val="30"/>
          <w:szCs w:val="30"/>
          <w:highlight w:val="none"/>
        </w:rPr>
        <w:t xml:space="preserve"> </w:t>
      </w:r>
    </w:p>
    <w:p>
      <w:pPr>
        <w:wordWrap w:val="0"/>
        <w:spacing w:before="156" w:beforeLines="50"/>
        <w:jc w:val="right"/>
        <w:rPr>
          <w:rFonts w:ascii="宋体" w:hAnsi="宋体"/>
          <w:color w:val="auto"/>
          <w:sz w:val="30"/>
          <w:szCs w:val="30"/>
          <w:highlight w:val="none"/>
        </w:rPr>
      </w:pPr>
      <w:r>
        <w:rPr>
          <w:rFonts w:hint="eastAsia" w:ascii="宋体" w:hAnsi="宋体"/>
          <w:b/>
          <w:color w:val="auto"/>
          <w:sz w:val="30"/>
          <w:szCs w:val="30"/>
          <w:highlight w:val="none"/>
        </w:rPr>
        <w:t xml:space="preserve">   </w:t>
      </w:r>
      <w:r>
        <w:rPr>
          <w:rFonts w:ascii="宋体" w:hAnsi="宋体"/>
          <w:b/>
          <w:color w:val="auto"/>
          <w:sz w:val="30"/>
          <w:szCs w:val="30"/>
          <w:highlight w:val="none"/>
        </w:rPr>
        <w:t xml:space="preserve">         </w:t>
      </w:r>
      <w:r>
        <w:rPr>
          <w:color w:val="auto"/>
          <w:sz w:val="32"/>
          <w:highlight w:val="none"/>
        </w:rPr>
        <w:t xml:space="preserve">     </w:t>
      </w:r>
      <w:r>
        <w:rPr>
          <w:rFonts w:hint="eastAsia" w:ascii="宋体" w:hAnsi="宋体"/>
          <w:color w:val="auto"/>
          <w:sz w:val="30"/>
          <w:szCs w:val="30"/>
          <w:highlight w:val="none"/>
        </w:rPr>
        <w:t xml:space="preserve"> </w:t>
      </w:r>
    </w:p>
    <w:p>
      <w:pPr>
        <w:spacing w:before="156" w:beforeLines="50"/>
        <w:jc w:val="right"/>
        <w:rPr>
          <w:rFonts w:ascii="宋体" w:hAnsi="宋体"/>
          <w:color w:val="auto"/>
          <w:sz w:val="30"/>
          <w:szCs w:val="30"/>
          <w:highlight w:val="none"/>
        </w:rPr>
      </w:pPr>
    </w:p>
    <w:p>
      <w:pPr>
        <w:widowControl/>
        <w:spacing w:before="120" w:after="120" w:line="440" w:lineRule="exact"/>
        <w:rPr>
          <w:rFonts w:ascii="仿宋" w:hAnsi="仿宋" w:eastAsia="仿宋"/>
          <w:color w:val="auto"/>
          <w:sz w:val="28"/>
          <w:szCs w:val="28"/>
          <w:highlight w:val="none"/>
        </w:rPr>
      </w:pPr>
    </w:p>
    <w:p>
      <w:pPr>
        <w:widowControl/>
        <w:spacing w:before="120" w:after="120"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spacing w:line="360" w:lineRule="auto"/>
        <w:jc w:val="center"/>
        <w:outlineLvl w:val="0"/>
        <w:rPr>
          <w:rFonts w:ascii="宋体" w:hAnsi="宋体"/>
          <w:b/>
          <w:color w:val="auto"/>
          <w:sz w:val="72"/>
          <w:highlight w:val="none"/>
        </w:rPr>
      </w:pPr>
      <w:bookmarkStart w:id="0" w:name="_Toc22019"/>
      <w:r>
        <w:rPr>
          <w:rFonts w:hint="eastAsia" w:ascii="宋体" w:hAnsi="宋体"/>
          <w:b/>
          <w:color w:val="auto"/>
          <w:sz w:val="72"/>
          <w:highlight w:val="none"/>
        </w:rPr>
        <w:t>公开招标采购文件</w:t>
      </w:r>
      <w:bookmarkEnd w:id="0"/>
    </w:p>
    <w:p>
      <w:pPr>
        <w:widowControl/>
        <w:spacing w:before="120" w:after="120"/>
        <w:jc w:val="center"/>
        <w:rPr>
          <w:rFonts w:ascii="仿宋" w:hAnsi="仿宋" w:eastAsia="仿宋"/>
          <w:color w:val="auto"/>
          <w:sz w:val="72"/>
          <w:szCs w:val="72"/>
          <w:highlight w:val="none"/>
        </w:rPr>
      </w:pPr>
    </w:p>
    <w:p>
      <w:pPr>
        <w:pStyle w:val="3"/>
        <w:rPr>
          <w:color w:val="auto"/>
          <w:highlight w:val="none"/>
        </w:rPr>
      </w:pPr>
    </w:p>
    <w:p>
      <w:pPr>
        <w:widowControl/>
        <w:spacing w:before="120" w:after="120" w:line="440" w:lineRule="exact"/>
        <w:ind w:firstLine="640" w:firstLineChars="200"/>
        <w:rPr>
          <w:rFonts w:hint="eastAsia" w:asciiTheme="minorEastAsia" w:hAnsiTheme="minorEastAsia" w:eastAsiaTheme="minorEastAsia"/>
          <w:color w:val="auto"/>
          <w:sz w:val="32"/>
          <w:szCs w:val="28"/>
          <w:highlight w:val="none"/>
          <w:lang w:eastAsia="zh-CN"/>
        </w:rPr>
      </w:pPr>
      <w:r>
        <w:rPr>
          <w:rFonts w:hint="eastAsia" w:asciiTheme="minorEastAsia" w:hAnsiTheme="minorEastAsia" w:eastAsiaTheme="minorEastAsia"/>
          <w:color w:val="auto"/>
          <w:sz w:val="32"/>
          <w:szCs w:val="28"/>
          <w:highlight w:val="none"/>
        </w:rPr>
        <w:t>项目编号：</w:t>
      </w:r>
      <w:r>
        <w:rPr>
          <w:rFonts w:hint="eastAsia" w:asciiTheme="minorEastAsia" w:hAnsiTheme="minorEastAsia" w:eastAsiaTheme="minorEastAsia"/>
          <w:color w:val="auto"/>
          <w:sz w:val="32"/>
          <w:szCs w:val="28"/>
          <w:highlight w:val="none"/>
          <w:lang w:eastAsia="zh-CN"/>
        </w:rPr>
        <w:t>GQCG2023013（HX-2023-1015）</w:t>
      </w:r>
    </w:p>
    <w:p>
      <w:pPr>
        <w:widowControl/>
        <w:spacing w:before="120" w:after="120" w:line="440" w:lineRule="exact"/>
        <w:ind w:firstLine="640" w:firstLineChars="200"/>
        <w:rPr>
          <w:rFonts w:hint="eastAsia" w:asciiTheme="minorEastAsia" w:hAnsiTheme="minorEastAsia" w:eastAsiaTheme="minorEastAsia"/>
          <w:color w:val="auto"/>
          <w:sz w:val="32"/>
          <w:szCs w:val="28"/>
          <w:highlight w:val="none"/>
          <w:lang w:eastAsia="zh-CN"/>
        </w:rPr>
      </w:pPr>
      <w:r>
        <w:rPr>
          <w:rFonts w:hint="eastAsia" w:asciiTheme="minorEastAsia" w:hAnsiTheme="minorEastAsia" w:eastAsiaTheme="minorEastAsia"/>
          <w:color w:val="auto"/>
          <w:sz w:val="32"/>
          <w:szCs w:val="28"/>
          <w:highlight w:val="none"/>
        </w:rPr>
        <w:t>项目名称：</w:t>
      </w:r>
      <w:r>
        <w:rPr>
          <w:rFonts w:hint="eastAsia" w:asciiTheme="minorEastAsia" w:hAnsiTheme="minorEastAsia" w:eastAsiaTheme="minorEastAsia"/>
          <w:color w:val="auto"/>
          <w:sz w:val="32"/>
          <w:szCs w:val="28"/>
          <w:highlight w:val="none"/>
          <w:lang w:eastAsia="zh-CN"/>
        </w:rPr>
        <w:t>2023年-2024年前江街道建设占用耕地耕作层剥离再利用服务（一期）项目</w:t>
      </w:r>
    </w:p>
    <w:p>
      <w:pPr>
        <w:widowControl/>
        <w:spacing w:before="120" w:after="120" w:line="440" w:lineRule="exact"/>
        <w:rPr>
          <w:rFonts w:asciiTheme="minorEastAsia" w:hAnsiTheme="minorEastAsia" w:eastAsiaTheme="minorEastAsia"/>
          <w:color w:val="auto"/>
          <w:sz w:val="32"/>
          <w:szCs w:val="28"/>
          <w:highlight w:val="none"/>
        </w:rPr>
      </w:pPr>
    </w:p>
    <w:p>
      <w:pPr>
        <w:pStyle w:val="48"/>
        <w:jc w:val="both"/>
        <w:rPr>
          <w:rFonts w:asciiTheme="minorEastAsia" w:hAnsiTheme="minorEastAsia" w:eastAsiaTheme="minorEastAsia"/>
          <w:color w:val="auto"/>
          <w:highlight w:val="none"/>
        </w:rPr>
      </w:pPr>
    </w:p>
    <w:p>
      <w:pPr>
        <w:widowControl/>
        <w:spacing w:before="120" w:after="120" w:line="440" w:lineRule="exact"/>
        <w:ind w:firstLine="640" w:firstLineChars="200"/>
        <w:rPr>
          <w:rFonts w:hint="eastAsia" w:asciiTheme="minorEastAsia" w:hAnsiTheme="minorEastAsia" w:eastAsiaTheme="minorEastAsia"/>
          <w:color w:val="auto"/>
          <w:sz w:val="32"/>
          <w:szCs w:val="28"/>
          <w:highlight w:val="none"/>
          <w:lang w:eastAsia="zh-CN"/>
        </w:rPr>
      </w:pPr>
      <w:r>
        <w:rPr>
          <w:rFonts w:hint="eastAsia" w:asciiTheme="minorEastAsia" w:hAnsiTheme="minorEastAsia" w:eastAsiaTheme="minorEastAsia"/>
          <w:color w:val="auto"/>
          <w:sz w:val="32"/>
          <w:szCs w:val="28"/>
          <w:highlight w:val="none"/>
        </w:rPr>
        <w:t>采购单位：</w:t>
      </w:r>
      <w:r>
        <w:rPr>
          <w:rFonts w:hint="eastAsia" w:asciiTheme="minorEastAsia" w:hAnsiTheme="minorEastAsia" w:eastAsiaTheme="minorEastAsia"/>
          <w:color w:val="auto"/>
          <w:sz w:val="32"/>
          <w:szCs w:val="28"/>
          <w:highlight w:val="none"/>
          <w:lang w:eastAsia="zh-CN"/>
        </w:rPr>
        <w:t>宁波市江北狮子山园林工程有限公司</w:t>
      </w:r>
    </w:p>
    <w:p>
      <w:pPr>
        <w:widowControl/>
        <w:spacing w:before="120" w:after="120" w:line="440" w:lineRule="exact"/>
        <w:ind w:firstLine="640" w:firstLineChars="200"/>
        <w:rPr>
          <w:rFonts w:asciiTheme="minorEastAsia" w:hAnsiTheme="minorEastAsia" w:eastAsiaTheme="minorEastAsia"/>
          <w:color w:val="auto"/>
          <w:sz w:val="32"/>
          <w:szCs w:val="28"/>
          <w:highlight w:val="none"/>
        </w:rPr>
      </w:pPr>
      <w:r>
        <w:rPr>
          <w:rFonts w:hint="eastAsia" w:asciiTheme="minorEastAsia" w:hAnsiTheme="minorEastAsia" w:eastAsiaTheme="minorEastAsia"/>
          <w:color w:val="auto"/>
          <w:sz w:val="32"/>
          <w:szCs w:val="28"/>
          <w:highlight w:val="none"/>
        </w:rPr>
        <w:t>招标代理机构：宁波华欣建设项目管理有限公司</w:t>
      </w:r>
    </w:p>
    <w:p>
      <w:pPr>
        <w:widowControl/>
        <w:spacing w:before="120" w:after="120" w:line="440" w:lineRule="exact"/>
        <w:jc w:val="center"/>
        <w:rPr>
          <w:rFonts w:asciiTheme="minorEastAsia" w:hAnsiTheme="minorEastAsia" w:eastAsiaTheme="minorEastAsia"/>
          <w:color w:val="auto"/>
          <w:sz w:val="30"/>
          <w:szCs w:val="30"/>
          <w:highlight w:val="none"/>
        </w:rPr>
      </w:pPr>
    </w:p>
    <w:p>
      <w:pPr>
        <w:widowControl/>
        <w:spacing w:before="120" w:after="120" w:line="440" w:lineRule="exact"/>
        <w:jc w:val="center"/>
        <w:rPr>
          <w:rFonts w:asciiTheme="minorEastAsia" w:hAnsiTheme="minorEastAsia" w:eastAsiaTheme="minorEastAsia"/>
          <w:color w:val="auto"/>
          <w:sz w:val="30"/>
          <w:szCs w:val="30"/>
          <w:highlight w:val="none"/>
        </w:rPr>
      </w:pPr>
    </w:p>
    <w:p>
      <w:pPr>
        <w:pStyle w:val="27"/>
        <w:snapToGrid w:val="0"/>
        <w:spacing w:line="360" w:lineRule="auto"/>
        <w:jc w:val="center"/>
        <w:rPr>
          <w:rFonts w:asciiTheme="minorEastAsia" w:hAnsiTheme="minorEastAsia"/>
          <w:color w:val="auto"/>
          <w:sz w:val="30"/>
          <w:szCs w:val="30"/>
          <w:highlight w:val="none"/>
        </w:rPr>
      </w:pPr>
      <w:r>
        <w:rPr>
          <w:rFonts w:hint="eastAsia" w:asciiTheme="minorEastAsia" w:hAnsiTheme="minorEastAsia"/>
          <w:color w:val="auto"/>
          <w:sz w:val="30"/>
          <w:szCs w:val="30"/>
          <w:highlight w:val="none"/>
        </w:rPr>
        <w:t>202</w:t>
      </w:r>
      <w:r>
        <w:rPr>
          <w:rFonts w:hint="eastAsia" w:asciiTheme="minorEastAsia" w:hAnsiTheme="minorEastAsia"/>
          <w:color w:val="auto"/>
          <w:sz w:val="30"/>
          <w:szCs w:val="30"/>
          <w:highlight w:val="none"/>
          <w:lang w:val="en-US" w:eastAsia="zh-CN"/>
        </w:rPr>
        <w:t>3</w:t>
      </w:r>
      <w:r>
        <w:rPr>
          <w:rFonts w:hint="eastAsia" w:asciiTheme="minorEastAsia" w:hAnsiTheme="minorEastAsia"/>
          <w:color w:val="auto"/>
          <w:sz w:val="30"/>
          <w:szCs w:val="30"/>
          <w:highlight w:val="none"/>
        </w:rPr>
        <w:t>年</w:t>
      </w:r>
      <w:r>
        <w:rPr>
          <w:rFonts w:hint="eastAsia" w:asciiTheme="minorEastAsia" w:hAnsiTheme="minorEastAsia"/>
          <w:color w:val="auto"/>
          <w:sz w:val="30"/>
          <w:szCs w:val="30"/>
          <w:highlight w:val="none"/>
          <w:lang w:val="en-US" w:eastAsia="zh-CN"/>
        </w:rPr>
        <w:t>2</w:t>
      </w:r>
      <w:r>
        <w:rPr>
          <w:rFonts w:hint="eastAsia" w:asciiTheme="minorEastAsia" w:hAnsiTheme="minorEastAsia"/>
          <w:color w:val="auto"/>
          <w:sz w:val="30"/>
          <w:szCs w:val="30"/>
          <w:highlight w:val="none"/>
        </w:rPr>
        <w:t>月</w:t>
      </w:r>
    </w:p>
    <w:p>
      <w:pPr>
        <w:rPr>
          <w:color w:val="auto"/>
          <w:highlight w:val="none"/>
        </w:rPr>
      </w:pPr>
    </w:p>
    <w:p>
      <w:pPr>
        <w:pStyle w:val="2"/>
        <w:rPr>
          <w:color w:val="auto"/>
          <w:highlight w:val="none"/>
        </w:rPr>
      </w:pPr>
    </w:p>
    <w:p>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pPr>
        <w:spacing w:line="1000" w:lineRule="exact"/>
        <w:rPr>
          <w:rFonts w:ascii="宋体" w:hAnsi="宋体"/>
          <w:b/>
          <w:color w:val="auto"/>
          <w:sz w:val="30"/>
          <w:szCs w:val="30"/>
          <w:highlight w:val="none"/>
        </w:rPr>
      </w:pPr>
    </w:p>
    <w:p>
      <w:pPr>
        <w:spacing w:line="1000" w:lineRule="exac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、投标文件应按招标文件要求将“资格文件”、“商务技术文件”、“报价文件”分别编制。</w:t>
      </w:r>
    </w:p>
    <w:p>
      <w:pPr>
        <w:spacing w:line="1000" w:lineRule="exac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、“商务技术文件”中不得出现涉及投标价格的内容，否则作无效标处理。</w:t>
      </w:r>
    </w:p>
    <w:p>
      <w:pPr>
        <w:spacing w:line="1000" w:lineRule="exact"/>
        <w:rPr>
          <w:rFonts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pPr>
        <w:spacing w:line="1000" w:lineRule="exact"/>
        <w:rPr>
          <w:rFonts w:ascii="宋体" w:hAnsi="宋体"/>
          <w:b/>
          <w:color w:val="auto"/>
          <w:sz w:val="30"/>
          <w:szCs w:val="30"/>
          <w:highlight w:val="none"/>
        </w:rPr>
      </w:pPr>
      <w:r>
        <w:rPr>
          <w:rFonts w:hint="eastAsia" w:ascii="宋体" w:hAnsi="宋体"/>
          <w:b/>
          <w:color w:val="auto"/>
          <w:sz w:val="30"/>
          <w:szCs w:val="30"/>
          <w:highlight w:val="none"/>
        </w:rPr>
        <w:t>4、建议供应商自带电脑，以便于开标现场解密投标文件。</w:t>
      </w:r>
    </w:p>
    <w:p>
      <w:pPr>
        <w:jc w:val="center"/>
        <w:rPr>
          <w:rFonts w:ascii="宋体" w:hAnsi="宋体"/>
          <w:b/>
          <w:bCs/>
          <w:color w:val="auto"/>
          <w:sz w:val="32"/>
          <w:szCs w:val="32"/>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sdt>
      <w:sdtPr>
        <w:rPr>
          <w:rFonts w:ascii="宋体" w:hAnsi="宋体" w:eastAsia="宋体" w:cs="Times New Roman"/>
          <w:b/>
          <w:bCs/>
          <w:color w:val="auto"/>
          <w:kern w:val="2"/>
          <w:sz w:val="52"/>
          <w:szCs w:val="52"/>
          <w:highlight w:val="none"/>
          <w:lang w:val="en-US" w:eastAsia="zh-CN" w:bidi="ar-SA"/>
        </w:rPr>
        <w:id w:val="147480248"/>
        <w15:color w:val="DBDBDB"/>
        <w:docPartObj>
          <w:docPartGallery w:val="Table of Contents"/>
          <w:docPartUnique/>
        </w:docPartObj>
      </w:sdtPr>
      <w:sdtEndPr>
        <w:rPr>
          <w:rFonts w:ascii="Times New Roman" w:hAnsi="Times New Roman" w:eastAsia="宋体" w:cs="Times New Roman"/>
          <w:b/>
          <w:bCs/>
          <w:color w:val="auto"/>
          <w:kern w:val="2"/>
          <w:sz w:val="21"/>
          <w:szCs w:val="24"/>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b/>
              <w:bCs/>
              <w:color w:val="auto"/>
              <w:sz w:val="52"/>
              <w:szCs w:val="52"/>
              <w:highlight w:val="none"/>
            </w:rPr>
          </w:pPr>
          <w:r>
            <w:rPr>
              <w:rFonts w:ascii="宋体" w:hAnsi="宋体" w:eastAsia="宋体"/>
              <w:b/>
              <w:bCs/>
              <w:color w:val="auto"/>
              <w:sz w:val="52"/>
              <w:szCs w:val="52"/>
              <w:highlight w:val="none"/>
            </w:rPr>
            <w:t>目录</w:t>
          </w:r>
        </w:p>
        <w:p>
          <w:pPr>
            <w:pStyle w:val="166"/>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color w:val="auto"/>
              <w:sz w:val="32"/>
              <w:szCs w:val="32"/>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sz w:val="32"/>
              <w:szCs w:val="32"/>
              <w:highlight w:val="none"/>
            </w:rPr>
            <w:fldChar w:fldCharType="begin"/>
          </w:r>
          <w:r>
            <w:rPr>
              <w:color w:val="auto"/>
              <w:sz w:val="32"/>
              <w:szCs w:val="32"/>
              <w:highlight w:val="none"/>
            </w:rPr>
            <w:instrText xml:space="preserve"> HYPERLINK \l _Toc12500 </w:instrText>
          </w:r>
          <w:r>
            <w:rPr>
              <w:color w:val="auto"/>
              <w:sz w:val="32"/>
              <w:szCs w:val="32"/>
              <w:highlight w:val="none"/>
            </w:rPr>
            <w:fldChar w:fldCharType="separate"/>
          </w:r>
          <w:r>
            <w:rPr>
              <w:rFonts w:hint="eastAsia"/>
              <w:color w:val="auto"/>
              <w:sz w:val="32"/>
              <w:szCs w:val="32"/>
              <w:highlight w:val="none"/>
            </w:rPr>
            <w:t>第一章  公开招标采购公告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_Toc12500 \h </w:instrText>
          </w:r>
          <w:r>
            <w:rPr>
              <w:color w:val="auto"/>
              <w:sz w:val="32"/>
              <w:szCs w:val="32"/>
              <w:highlight w:val="none"/>
            </w:rPr>
            <w:fldChar w:fldCharType="separate"/>
          </w:r>
          <w:r>
            <w:rPr>
              <w:color w:val="auto"/>
              <w:sz w:val="32"/>
              <w:szCs w:val="32"/>
              <w:highlight w:val="none"/>
            </w:rPr>
            <w:t>4</w:t>
          </w:r>
          <w:r>
            <w:rPr>
              <w:color w:val="auto"/>
              <w:sz w:val="32"/>
              <w:szCs w:val="32"/>
              <w:highlight w:val="none"/>
            </w:rPr>
            <w:fldChar w:fldCharType="end"/>
          </w:r>
          <w:r>
            <w:rPr>
              <w:color w:val="auto"/>
              <w:sz w:val="32"/>
              <w:szCs w:val="32"/>
              <w:highlight w:val="none"/>
            </w:rPr>
            <w:fldChar w:fldCharType="end"/>
          </w:r>
        </w:p>
        <w:p>
          <w:pPr>
            <w:pStyle w:val="166"/>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_Toc27522 </w:instrText>
          </w:r>
          <w:r>
            <w:rPr>
              <w:color w:val="auto"/>
              <w:sz w:val="32"/>
              <w:szCs w:val="32"/>
              <w:highlight w:val="none"/>
            </w:rPr>
            <w:fldChar w:fldCharType="separate"/>
          </w:r>
          <w:r>
            <w:rPr>
              <w:rFonts w:hint="eastAsia"/>
              <w:color w:val="auto"/>
              <w:sz w:val="32"/>
              <w:szCs w:val="32"/>
              <w:highlight w:val="none"/>
            </w:rPr>
            <w:t>第二章  招标需求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_Toc27522 \h </w:instrText>
          </w:r>
          <w:r>
            <w:rPr>
              <w:color w:val="auto"/>
              <w:sz w:val="32"/>
              <w:szCs w:val="32"/>
              <w:highlight w:val="none"/>
            </w:rPr>
            <w:fldChar w:fldCharType="separate"/>
          </w:r>
          <w:r>
            <w:rPr>
              <w:color w:val="auto"/>
              <w:sz w:val="32"/>
              <w:szCs w:val="32"/>
              <w:highlight w:val="none"/>
            </w:rPr>
            <w:t>8</w:t>
          </w:r>
          <w:r>
            <w:rPr>
              <w:color w:val="auto"/>
              <w:sz w:val="32"/>
              <w:szCs w:val="32"/>
              <w:highlight w:val="none"/>
            </w:rPr>
            <w:fldChar w:fldCharType="end"/>
          </w:r>
          <w:r>
            <w:rPr>
              <w:color w:val="auto"/>
              <w:sz w:val="32"/>
              <w:szCs w:val="32"/>
              <w:highlight w:val="none"/>
            </w:rPr>
            <w:fldChar w:fldCharType="end"/>
          </w:r>
        </w:p>
        <w:p>
          <w:pPr>
            <w:pStyle w:val="166"/>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_Toc4885 </w:instrText>
          </w:r>
          <w:r>
            <w:rPr>
              <w:color w:val="auto"/>
              <w:sz w:val="32"/>
              <w:szCs w:val="32"/>
              <w:highlight w:val="none"/>
            </w:rPr>
            <w:fldChar w:fldCharType="separate"/>
          </w:r>
          <w:r>
            <w:rPr>
              <w:rFonts w:hint="eastAsia"/>
              <w:color w:val="auto"/>
              <w:sz w:val="32"/>
              <w:szCs w:val="32"/>
              <w:highlight w:val="none"/>
            </w:rPr>
            <w:t>第三章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_Toc4885 \h </w:instrText>
          </w:r>
          <w:r>
            <w:rPr>
              <w:color w:val="auto"/>
              <w:sz w:val="32"/>
              <w:szCs w:val="32"/>
              <w:highlight w:val="none"/>
            </w:rPr>
            <w:fldChar w:fldCharType="separate"/>
          </w:r>
          <w:r>
            <w:rPr>
              <w:color w:val="auto"/>
              <w:sz w:val="32"/>
              <w:szCs w:val="32"/>
              <w:highlight w:val="none"/>
            </w:rPr>
            <w:t>11</w:t>
          </w:r>
          <w:r>
            <w:rPr>
              <w:color w:val="auto"/>
              <w:sz w:val="32"/>
              <w:szCs w:val="32"/>
              <w:highlight w:val="none"/>
            </w:rPr>
            <w:fldChar w:fldCharType="end"/>
          </w:r>
          <w:r>
            <w:rPr>
              <w:color w:val="auto"/>
              <w:sz w:val="32"/>
              <w:szCs w:val="32"/>
              <w:highlight w:val="none"/>
            </w:rPr>
            <w:fldChar w:fldCharType="end"/>
          </w:r>
        </w:p>
        <w:p>
          <w:pPr>
            <w:pStyle w:val="166"/>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_Toc8593 </w:instrText>
          </w:r>
          <w:r>
            <w:rPr>
              <w:color w:val="auto"/>
              <w:sz w:val="32"/>
              <w:szCs w:val="32"/>
              <w:highlight w:val="none"/>
            </w:rPr>
            <w:fldChar w:fldCharType="separate"/>
          </w:r>
          <w:r>
            <w:rPr>
              <w:rFonts w:hint="eastAsia"/>
              <w:color w:val="auto"/>
              <w:sz w:val="32"/>
              <w:szCs w:val="32"/>
              <w:highlight w:val="none"/>
            </w:rPr>
            <w:t>第四章  评标办法及评分标准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_Toc8593 \h </w:instrText>
          </w:r>
          <w:r>
            <w:rPr>
              <w:color w:val="auto"/>
              <w:sz w:val="32"/>
              <w:szCs w:val="32"/>
              <w:highlight w:val="none"/>
            </w:rPr>
            <w:fldChar w:fldCharType="separate"/>
          </w:r>
          <w:r>
            <w:rPr>
              <w:color w:val="auto"/>
              <w:sz w:val="32"/>
              <w:szCs w:val="32"/>
              <w:highlight w:val="none"/>
            </w:rPr>
            <w:t>25</w:t>
          </w:r>
          <w:r>
            <w:rPr>
              <w:color w:val="auto"/>
              <w:sz w:val="32"/>
              <w:szCs w:val="32"/>
              <w:highlight w:val="none"/>
            </w:rPr>
            <w:fldChar w:fldCharType="end"/>
          </w:r>
          <w:r>
            <w:rPr>
              <w:color w:val="auto"/>
              <w:sz w:val="32"/>
              <w:szCs w:val="32"/>
              <w:highlight w:val="none"/>
            </w:rPr>
            <w:fldChar w:fldCharType="end"/>
          </w:r>
        </w:p>
        <w:p>
          <w:pPr>
            <w:pStyle w:val="166"/>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_Toc12979 </w:instrText>
          </w:r>
          <w:r>
            <w:rPr>
              <w:color w:val="auto"/>
              <w:sz w:val="32"/>
              <w:szCs w:val="32"/>
              <w:highlight w:val="none"/>
            </w:rPr>
            <w:fldChar w:fldCharType="separate"/>
          </w:r>
          <w:r>
            <w:rPr>
              <w:rFonts w:hint="eastAsia"/>
              <w:color w:val="auto"/>
              <w:sz w:val="32"/>
              <w:szCs w:val="32"/>
              <w:highlight w:val="none"/>
            </w:rPr>
            <w:t>第五章  合同主要条款</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_Toc12979 \h </w:instrText>
          </w:r>
          <w:r>
            <w:rPr>
              <w:color w:val="auto"/>
              <w:sz w:val="32"/>
              <w:szCs w:val="32"/>
              <w:highlight w:val="none"/>
            </w:rPr>
            <w:fldChar w:fldCharType="separate"/>
          </w:r>
          <w:r>
            <w:rPr>
              <w:color w:val="auto"/>
              <w:sz w:val="32"/>
              <w:szCs w:val="32"/>
              <w:highlight w:val="none"/>
            </w:rPr>
            <w:t>32</w:t>
          </w:r>
          <w:r>
            <w:rPr>
              <w:color w:val="auto"/>
              <w:sz w:val="32"/>
              <w:szCs w:val="32"/>
              <w:highlight w:val="none"/>
            </w:rPr>
            <w:fldChar w:fldCharType="end"/>
          </w:r>
          <w:r>
            <w:rPr>
              <w:color w:val="auto"/>
              <w:sz w:val="32"/>
              <w:szCs w:val="32"/>
              <w:highlight w:val="none"/>
            </w:rPr>
            <w:fldChar w:fldCharType="end"/>
          </w:r>
        </w:p>
        <w:p>
          <w:pPr>
            <w:pStyle w:val="166"/>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color w:val="auto"/>
              <w:highlight w:val="none"/>
            </w:rPr>
          </w:pPr>
          <w:r>
            <w:rPr>
              <w:color w:val="auto"/>
              <w:sz w:val="32"/>
              <w:szCs w:val="32"/>
              <w:highlight w:val="none"/>
            </w:rPr>
            <w:fldChar w:fldCharType="begin"/>
          </w:r>
          <w:r>
            <w:rPr>
              <w:color w:val="auto"/>
              <w:sz w:val="32"/>
              <w:szCs w:val="32"/>
              <w:highlight w:val="none"/>
            </w:rPr>
            <w:instrText xml:space="preserve"> HYPERLINK \l _Toc20607 </w:instrText>
          </w:r>
          <w:r>
            <w:rPr>
              <w:color w:val="auto"/>
              <w:sz w:val="32"/>
              <w:szCs w:val="32"/>
              <w:highlight w:val="none"/>
            </w:rPr>
            <w:fldChar w:fldCharType="separate"/>
          </w:r>
          <w:r>
            <w:rPr>
              <w:rFonts w:hint="eastAsia"/>
              <w:color w:val="auto"/>
              <w:sz w:val="32"/>
              <w:szCs w:val="32"/>
              <w:highlight w:val="none"/>
            </w:rPr>
            <w:t>第六章　投标文件格式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_Toc20607 \h </w:instrText>
          </w:r>
          <w:r>
            <w:rPr>
              <w:color w:val="auto"/>
              <w:sz w:val="32"/>
              <w:szCs w:val="32"/>
              <w:highlight w:val="none"/>
            </w:rPr>
            <w:fldChar w:fldCharType="separate"/>
          </w:r>
          <w:r>
            <w:rPr>
              <w:color w:val="auto"/>
              <w:sz w:val="32"/>
              <w:szCs w:val="32"/>
              <w:highlight w:val="none"/>
            </w:rPr>
            <w:t>36</w:t>
          </w:r>
          <w:r>
            <w:rPr>
              <w:color w:val="auto"/>
              <w:sz w:val="32"/>
              <w:szCs w:val="32"/>
              <w:highlight w:val="none"/>
            </w:rPr>
            <w:fldChar w:fldCharType="end"/>
          </w:r>
          <w:r>
            <w:rPr>
              <w:color w:val="auto"/>
              <w:sz w:val="32"/>
              <w:szCs w:val="32"/>
              <w:highlight w:val="none"/>
            </w:rPr>
            <w:fldChar w:fldCharType="end"/>
          </w:r>
        </w:p>
        <w:p>
          <w:pPr>
            <w:keepNext w:val="0"/>
            <w:keepLines w:val="0"/>
            <w:pageBreakBefore w:val="0"/>
            <w:kinsoku/>
            <w:wordWrap/>
            <w:overflowPunct/>
            <w:topLinePunct w:val="0"/>
            <w:autoSpaceDE/>
            <w:autoSpaceDN/>
            <w:bidi w:val="0"/>
            <w:adjustRightInd/>
            <w:snapToGrid/>
            <w:spacing w:line="720" w:lineRule="auto"/>
            <w:textAlignment w:val="auto"/>
            <w:rPr>
              <w:color w:val="auto"/>
              <w:highlight w:val="none"/>
            </w:rPr>
          </w:pPr>
          <w:r>
            <w:rPr>
              <w:color w:val="auto"/>
              <w:highlight w:val="none"/>
            </w:rPr>
            <w:fldChar w:fldCharType="end"/>
          </w:r>
        </w:p>
      </w:sdtContent>
    </w:sdt>
    <w:p>
      <w:pPr>
        <w:pStyle w:val="27"/>
        <w:snapToGrid w:val="0"/>
        <w:spacing w:line="440" w:lineRule="exact"/>
        <w:jc w:val="center"/>
        <w:outlineLvl w:val="9"/>
        <w:rPr>
          <w:rStyle w:val="65"/>
          <w:color w:val="auto"/>
          <w:sz w:val="28"/>
          <w:szCs w:val="28"/>
          <w:highlight w:val="none"/>
        </w:rPr>
        <w:sectPr>
          <w:pgSz w:w="11906" w:h="16838"/>
          <w:pgMar w:top="1276" w:right="1800" w:bottom="1440" w:left="1800" w:header="851" w:footer="992" w:gutter="0"/>
          <w:pgNumType w:start="1"/>
          <w:cols w:space="425" w:num="1"/>
          <w:docGrid w:type="lines" w:linePitch="312" w:charSpace="0"/>
        </w:sectPr>
      </w:pPr>
      <w:bookmarkStart w:id="1" w:name="_Toc4218"/>
    </w:p>
    <w:p>
      <w:pPr>
        <w:pStyle w:val="27"/>
        <w:snapToGrid w:val="0"/>
        <w:spacing w:line="440" w:lineRule="exact"/>
        <w:jc w:val="center"/>
        <w:outlineLvl w:val="0"/>
        <w:rPr>
          <w:rFonts w:ascii="黑体" w:hAnsi="宋体" w:eastAsia="黑体"/>
          <w:color w:val="auto"/>
          <w:sz w:val="30"/>
          <w:szCs w:val="30"/>
          <w:highlight w:val="none"/>
        </w:rPr>
      </w:pPr>
      <w:bookmarkStart w:id="2" w:name="_Toc12500"/>
      <w:bookmarkStart w:id="3" w:name="_Toc103030413"/>
      <w:bookmarkStart w:id="4" w:name="_Toc104835478"/>
      <w:r>
        <w:rPr>
          <w:rStyle w:val="65"/>
          <w:rFonts w:hint="eastAsia"/>
          <w:color w:val="auto"/>
          <w:sz w:val="28"/>
          <w:szCs w:val="28"/>
          <w:highlight w:val="none"/>
        </w:rPr>
        <w:t>第一章  公开招标采购公告</w:t>
      </w:r>
      <w:bookmarkEnd w:id="1"/>
      <w:bookmarkEnd w:id="2"/>
      <w:bookmarkEnd w:id="3"/>
      <w:bookmarkEnd w:id="4"/>
      <w:bookmarkStart w:id="5" w:name="_Toc496687407"/>
    </w:p>
    <w:tbl>
      <w:tblPr>
        <w:tblStyle w:val="4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tcPr>
          <w:p>
            <w:pPr>
              <w:tabs>
                <w:tab w:val="left" w:pos="3043"/>
              </w:tabs>
              <w:spacing w:line="400" w:lineRule="exact"/>
              <w:rPr>
                <w:rFonts w:ascii="宋体" w:hAnsi="宋体"/>
                <w:color w:val="auto"/>
                <w:szCs w:val="21"/>
                <w:highlight w:val="none"/>
              </w:rPr>
            </w:pPr>
            <w:r>
              <w:rPr>
                <w:rFonts w:ascii="宋体" w:hAnsi="宋体"/>
                <w:color w:val="auto"/>
                <w:szCs w:val="21"/>
                <w:highlight w:val="none"/>
              </w:rPr>
              <w:t>项目概况：</w:t>
            </w:r>
          </w:p>
          <w:p>
            <w:pPr>
              <w:tabs>
                <w:tab w:val="left" w:pos="2418"/>
              </w:tabs>
              <w:spacing w:line="400" w:lineRule="exact"/>
              <w:ind w:firstLine="210" w:firstLineChars="100"/>
              <w:rPr>
                <w:rFonts w:hint="eastAsia" w:ascii="宋体" w:hAnsi="宋体" w:eastAsia="宋体" w:cs="宋体"/>
                <w:color w:val="auto"/>
                <w:kern w:val="0"/>
                <w:sz w:val="21"/>
                <w:szCs w:val="21"/>
                <w:highlight w:val="none"/>
                <w:shd w:val="clear" w:color="auto" w:fill="FFFFFF"/>
              </w:rPr>
            </w:pPr>
            <w:r>
              <w:rPr>
                <w:rFonts w:hint="eastAsia" w:ascii="宋体" w:hAnsi="宋体"/>
                <w:color w:val="auto"/>
                <w:szCs w:val="21"/>
                <w:highlight w:val="none"/>
                <w:u w:val="single"/>
                <w:lang w:eastAsia="zh-CN"/>
              </w:rPr>
              <w:t>2023年-2024年前江街道建设占用耕地耕作层剥离再利用服务（一期）项目</w:t>
            </w:r>
            <w:r>
              <w:rPr>
                <w:rFonts w:hint="eastAsia" w:ascii="宋体" w:hAnsi="宋体" w:cs="Arial"/>
                <w:color w:val="auto"/>
                <w:szCs w:val="21"/>
                <w:highlight w:val="none"/>
              </w:rPr>
              <w:t>的招标项目的潜在投标人应在政府采购云平台（</w:t>
            </w:r>
            <w:r>
              <w:rPr>
                <w:color w:val="auto"/>
                <w:highlight w:val="none"/>
              </w:rPr>
              <w:fldChar w:fldCharType="begin"/>
            </w:r>
            <w:r>
              <w:rPr>
                <w:color w:val="auto"/>
                <w:highlight w:val="none"/>
              </w:rPr>
              <w:instrText xml:space="preserve"> HYPERLINK "http://www.zcygov.cn）获取（下载）招标文件，并于2022年6月21日13:30" </w:instrText>
            </w:r>
            <w:r>
              <w:rPr>
                <w:color w:val="auto"/>
                <w:highlight w:val="none"/>
              </w:rPr>
              <w:fldChar w:fldCharType="separate"/>
            </w:r>
            <w:r>
              <w:rPr>
                <w:rStyle w:val="57"/>
                <w:rFonts w:hint="eastAsia" w:ascii="宋体" w:hAnsi="宋体" w:cs="Arial"/>
                <w:color w:val="auto"/>
                <w:szCs w:val="21"/>
                <w:highlight w:val="none"/>
                <w:u w:val="none"/>
              </w:rPr>
              <w:t>www.zcygov.cn）获取（下载）招标文件，并于</w:t>
            </w:r>
            <w:r>
              <w:rPr>
                <w:rStyle w:val="57"/>
                <w:rFonts w:hint="eastAsia" w:ascii="宋体" w:hAnsi="宋体" w:cs="Arial"/>
                <w:b/>
                <w:bCs/>
                <w:color w:val="FF0000"/>
                <w:szCs w:val="21"/>
                <w:highlight w:val="none"/>
                <w:u w:val="none"/>
              </w:rPr>
              <w:t>202</w:t>
            </w:r>
            <w:r>
              <w:rPr>
                <w:rStyle w:val="57"/>
                <w:rFonts w:hint="eastAsia" w:ascii="宋体" w:hAnsi="宋体" w:cs="Arial"/>
                <w:b/>
                <w:bCs/>
                <w:color w:val="FF0000"/>
                <w:szCs w:val="21"/>
                <w:highlight w:val="none"/>
                <w:u w:val="none"/>
                <w:lang w:val="en-US" w:eastAsia="zh-CN"/>
              </w:rPr>
              <w:t>3</w:t>
            </w:r>
            <w:r>
              <w:rPr>
                <w:rStyle w:val="57"/>
                <w:rFonts w:hint="eastAsia" w:ascii="宋体" w:hAnsi="宋体" w:cs="Arial"/>
                <w:b/>
                <w:bCs/>
                <w:color w:val="FF0000"/>
                <w:szCs w:val="21"/>
                <w:highlight w:val="none"/>
                <w:u w:val="none"/>
              </w:rPr>
              <w:t>年</w:t>
            </w:r>
            <w:r>
              <w:rPr>
                <w:rStyle w:val="57"/>
                <w:rFonts w:hint="eastAsia" w:ascii="宋体" w:hAnsi="宋体" w:cs="Arial"/>
                <w:b/>
                <w:bCs/>
                <w:color w:val="FF0000"/>
                <w:szCs w:val="21"/>
                <w:highlight w:val="none"/>
                <w:u w:val="none"/>
                <w:lang w:val="en-US" w:eastAsia="zh-CN"/>
              </w:rPr>
              <w:t>03</w:t>
            </w:r>
            <w:r>
              <w:rPr>
                <w:rStyle w:val="57"/>
                <w:rFonts w:hint="eastAsia" w:ascii="宋体" w:hAnsi="宋体" w:cs="Arial"/>
                <w:b/>
                <w:bCs/>
                <w:color w:val="FF0000"/>
                <w:szCs w:val="21"/>
                <w:highlight w:val="none"/>
                <w:u w:val="none"/>
              </w:rPr>
              <w:t>月</w:t>
            </w:r>
            <w:r>
              <w:rPr>
                <w:rStyle w:val="57"/>
                <w:rFonts w:hint="eastAsia" w:ascii="宋体" w:hAnsi="宋体" w:cs="Arial"/>
                <w:b/>
                <w:bCs/>
                <w:color w:val="FF0000"/>
                <w:szCs w:val="21"/>
                <w:highlight w:val="none"/>
                <w:u w:val="none"/>
                <w:lang w:val="en-US" w:eastAsia="zh-CN"/>
              </w:rPr>
              <w:t>30</w:t>
            </w:r>
            <w:r>
              <w:rPr>
                <w:rStyle w:val="57"/>
                <w:rFonts w:hint="eastAsia" w:ascii="宋体" w:hAnsi="宋体" w:cs="Arial"/>
                <w:b/>
                <w:bCs/>
                <w:color w:val="FF0000"/>
                <w:szCs w:val="21"/>
                <w:highlight w:val="none"/>
                <w:u w:val="none"/>
              </w:rPr>
              <w:t>日</w:t>
            </w:r>
            <w:r>
              <w:rPr>
                <w:rStyle w:val="57"/>
                <w:rFonts w:ascii="宋体" w:hAnsi="宋体" w:cs="Arial"/>
                <w:b/>
                <w:bCs/>
                <w:color w:val="FF0000"/>
                <w:szCs w:val="21"/>
                <w:highlight w:val="none"/>
                <w:u w:val="none"/>
              </w:rPr>
              <w:t>13</w:t>
            </w:r>
            <w:r>
              <w:rPr>
                <w:rStyle w:val="57"/>
                <w:rFonts w:hint="eastAsia" w:ascii="宋体" w:hAnsi="宋体" w:cs="Arial"/>
                <w:b/>
                <w:bCs/>
                <w:color w:val="FF0000"/>
                <w:szCs w:val="21"/>
                <w:highlight w:val="none"/>
                <w:u w:val="none"/>
              </w:rPr>
              <w:t>:</w:t>
            </w:r>
            <w:r>
              <w:rPr>
                <w:rStyle w:val="57"/>
                <w:rFonts w:ascii="宋体" w:hAnsi="宋体" w:cs="Arial"/>
                <w:b/>
                <w:bCs/>
                <w:color w:val="FF0000"/>
                <w:szCs w:val="21"/>
                <w:highlight w:val="none"/>
                <w:u w:val="none"/>
              </w:rPr>
              <w:t>30</w:t>
            </w:r>
            <w:r>
              <w:rPr>
                <w:rStyle w:val="57"/>
                <w:rFonts w:ascii="宋体" w:hAnsi="宋体" w:cs="Arial"/>
                <w:color w:val="auto"/>
                <w:szCs w:val="21"/>
                <w:highlight w:val="none"/>
                <w:u w:val="none"/>
              </w:rPr>
              <w:fldChar w:fldCharType="end"/>
            </w:r>
            <w:r>
              <w:rPr>
                <w:rFonts w:hint="eastAsia" w:ascii="宋体" w:hAnsi="宋体" w:cs="Arial"/>
                <w:color w:val="auto"/>
                <w:szCs w:val="21"/>
                <w:highlight w:val="none"/>
              </w:rPr>
              <w:t>（北京时间）前递交（上传）投标文件。</w:t>
            </w:r>
            <w:r>
              <w:rPr>
                <w:rFonts w:ascii="宋体" w:hAnsi="宋体"/>
                <w:b/>
                <w:color w:val="auto"/>
                <w:szCs w:val="21"/>
                <w:highlight w:val="none"/>
              </w:rPr>
              <w:tab/>
            </w:r>
          </w:p>
        </w:tc>
      </w:tr>
    </w:tbl>
    <w:p>
      <w:pPr>
        <w:spacing w:line="400" w:lineRule="exact"/>
        <w:rPr>
          <w:rFonts w:ascii="宋体" w:hAnsi="宋体"/>
          <w:b/>
          <w:color w:val="auto"/>
          <w:szCs w:val="21"/>
          <w:highlight w:val="none"/>
        </w:rPr>
      </w:pPr>
      <w:r>
        <w:rPr>
          <w:rFonts w:ascii="宋体" w:hAnsi="宋体"/>
          <w:b/>
          <w:color w:val="auto"/>
          <w:szCs w:val="21"/>
          <w:highlight w:val="none"/>
        </w:rPr>
        <w:t>一、</w:t>
      </w:r>
      <w:r>
        <w:rPr>
          <w:rFonts w:hint="eastAsia" w:ascii="宋体" w:hAnsi="宋体"/>
          <w:b/>
          <w:color w:val="auto"/>
          <w:szCs w:val="21"/>
          <w:highlight w:val="none"/>
        </w:rPr>
        <w:t>项目基本情况</w:t>
      </w:r>
    </w:p>
    <w:p>
      <w:pPr>
        <w:spacing w:line="400" w:lineRule="exact"/>
        <w:rPr>
          <w:rFonts w:ascii="宋体" w:hAnsi="宋体" w:cs="Arial"/>
          <w:color w:val="auto"/>
          <w:szCs w:val="22"/>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HX-2023-1015</w:t>
      </w:r>
      <w:r>
        <w:rPr>
          <w:rFonts w:hint="eastAsia" w:ascii="宋体" w:hAnsi="宋体" w:cs="Arial"/>
          <w:color w:val="auto"/>
          <w:szCs w:val="22"/>
          <w:highlight w:val="none"/>
        </w:rPr>
        <w:t>（交易登记号：</w:t>
      </w:r>
      <w:r>
        <w:rPr>
          <w:rFonts w:hint="eastAsia" w:ascii="宋体" w:hAnsi="宋体" w:cs="Arial"/>
          <w:color w:val="auto"/>
          <w:szCs w:val="22"/>
          <w:highlight w:val="none"/>
          <w:lang w:eastAsia="zh-CN"/>
        </w:rPr>
        <w:t>GQCG2023013</w:t>
      </w:r>
      <w:r>
        <w:rPr>
          <w:rFonts w:hint="eastAsia" w:ascii="宋体" w:hAnsi="宋体" w:cs="Arial"/>
          <w:color w:val="auto"/>
          <w:szCs w:val="22"/>
          <w:highlight w:val="none"/>
        </w:rPr>
        <w:t>）</w:t>
      </w: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2023年-2024年前江街道建设占用耕地耕作层剥离再利用服务（一期）项目</w:t>
      </w:r>
    </w:p>
    <w:p>
      <w:pPr>
        <w:spacing w:line="400" w:lineRule="exact"/>
        <w:rPr>
          <w:rFonts w:ascii="宋体" w:hAnsi="宋体"/>
          <w:color w:val="auto"/>
          <w:szCs w:val="21"/>
          <w:highlight w:val="none"/>
        </w:rPr>
      </w:pPr>
      <w:r>
        <w:rPr>
          <w:rFonts w:hint="eastAsia" w:ascii="宋体" w:hAnsi="宋体"/>
          <w:color w:val="auto"/>
          <w:szCs w:val="21"/>
          <w:highlight w:val="none"/>
        </w:rPr>
        <w:t>预算金额</w:t>
      </w:r>
      <w:r>
        <w:rPr>
          <w:rFonts w:ascii="宋体" w:hAnsi="宋体"/>
          <w:color w:val="auto"/>
          <w:szCs w:val="21"/>
          <w:highlight w:val="none"/>
        </w:rPr>
        <w:t>（元）</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000000.00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p>
    <w:p>
      <w:pPr>
        <w:spacing w:line="400" w:lineRule="exact"/>
        <w:rPr>
          <w:rFonts w:ascii="宋体" w:hAnsi="宋体"/>
          <w:color w:val="auto"/>
          <w:szCs w:val="21"/>
          <w:highlight w:val="none"/>
        </w:rPr>
      </w:pPr>
      <w:r>
        <w:rPr>
          <w:rFonts w:hint="eastAsia" w:ascii="宋体" w:hAnsi="宋体"/>
          <w:color w:val="auto"/>
          <w:szCs w:val="21"/>
          <w:highlight w:val="none"/>
        </w:rPr>
        <w:t>最高综合单价限价（元/m³）：35</w:t>
      </w:r>
      <w:r>
        <w:rPr>
          <w:rFonts w:ascii="宋体" w:hAnsi="宋体"/>
          <w:color w:val="auto"/>
          <w:szCs w:val="21"/>
          <w:highlight w:val="none"/>
        </w:rPr>
        <w:t>.00</w:t>
      </w:r>
      <w:r>
        <w:rPr>
          <w:rFonts w:hint="eastAsia" w:ascii="宋体" w:hAnsi="宋体" w:eastAsia="宋体" w:cs="宋体"/>
          <w:color w:val="auto"/>
          <w:sz w:val="21"/>
          <w:szCs w:val="21"/>
          <w:highlight w:val="none"/>
          <w:lang w:val="en-US"/>
        </w:rPr>
        <w:t>元/m³</w:t>
      </w:r>
      <w:r>
        <w:rPr>
          <w:rFonts w:hint="eastAsia" w:ascii="宋体" w:hAnsi="宋体"/>
          <w:color w:val="auto"/>
          <w:szCs w:val="21"/>
          <w:highlight w:val="none"/>
        </w:rPr>
        <w:t xml:space="preserve"> </w:t>
      </w:r>
    </w:p>
    <w:p>
      <w:pPr>
        <w:spacing w:line="400" w:lineRule="exact"/>
        <w:rPr>
          <w:rFonts w:ascii="宋体" w:hAnsi="宋体"/>
          <w:color w:val="auto"/>
          <w:szCs w:val="21"/>
          <w:highlight w:val="none"/>
        </w:rPr>
      </w:pPr>
      <w:r>
        <w:rPr>
          <w:rFonts w:hint="eastAsia" w:ascii="宋体" w:hAnsi="宋体"/>
          <w:color w:val="auto"/>
          <w:szCs w:val="21"/>
          <w:highlight w:val="none"/>
        </w:rPr>
        <w:t>采购需求：</w:t>
      </w:r>
    </w:p>
    <w:p>
      <w:pPr>
        <w:spacing w:line="400" w:lineRule="exact"/>
        <w:rPr>
          <w:rFonts w:hint="eastAsia" w:ascii="宋体" w:hAnsi="宋体" w:eastAsia="宋体"/>
          <w:color w:val="auto"/>
          <w:szCs w:val="21"/>
          <w:highlight w:val="none"/>
          <w:lang w:eastAsia="zh-CN"/>
        </w:rPr>
      </w:pPr>
      <w:r>
        <w:rPr>
          <w:rFonts w:ascii="宋体" w:hAnsi="宋体"/>
          <w:color w:val="auto"/>
          <w:szCs w:val="21"/>
          <w:highlight w:val="none"/>
        </w:rPr>
        <w:t>标项名称:</w:t>
      </w:r>
      <w:r>
        <w:rPr>
          <w:rFonts w:hint="eastAsia" w:ascii="宋体" w:hAnsi="宋体"/>
          <w:color w:val="auto"/>
          <w:szCs w:val="21"/>
          <w:highlight w:val="none"/>
        </w:rPr>
        <w:t xml:space="preserve"> </w:t>
      </w:r>
      <w:r>
        <w:rPr>
          <w:rFonts w:hint="eastAsia" w:ascii="宋体" w:hAnsi="宋体"/>
          <w:color w:val="auto"/>
          <w:szCs w:val="21"/>
          <w:highlight w:val="none"/>
          <w:lang w:eastAsia="zh-CN"/>
        </w:rPr>
        <w:t>2023年-2024年前江街道建设占用耕地耕作层剥离再利用服务（一期）项目</w:t>
      </w:r>
    </w:p>
    <w:p>
      <w:pPr>
        <w:spacing w:line="400" w:lineRule="exact"/>
        <w:rPr>
          <w:rFonts w:ascii="宋体" w:hAnsi="宋体"/>
          <w:color w:val="auto"/>
          <w:szCs w:val="21"/>
          <w:highlight w:val="none"/>
        </w:rPr>
      </w:pPr>
      <w:r>
        <w:rPr>
          <w:rFonts w:ascii="宋体" w:hAnsi="宋体"/>
          <w:color w:val="auto"/>
          <w:szCs w:val="21"/>
          <w:highlight w:val="none"/>
        </w:rPr>
        <w:t>数量:</w:t>
      </w:r>
      <w:r>
        <w:rPr>
          <w:rFonts w:hint="eastAsia" w:ascii="宋体" w:hAnsi="宋体"/>
          <w:color w:val="auto"/>
          <w:szCs w:val="21"/>
          <w:highlight w:val="none"/>
        </w:rPr>
        <w:t>1</w:t>
      </w:r>
    </w:p>
    <w:p>
      <w:pPr>
        <w:spacing w:line="400" w:lineRule="exact"/>
        <w:rPr>
          <w:rFonts w:ascii="宋体" w:hAnsi="宋体"/>
          <w:color w:val="auto"/>
          <w:szCs w:val="21"/>
          <w:highlight w:val="none"/>
        </w:rPr>
      </w:pPr>
      <w:r>
        <w:rPr>
          <w:rFonts w:ascii="宋体" w:hAnsi="宋体"/>
          <w:color w:val="auto"/>
          <w:szCs w:val="21"/>
          <w:highlight w:val="none"/>
        </w:rPr>
        <w:t>预算金额（元）</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000000.00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p>
    <w:p>
      <w:pPr>
        <w:spacing w:line="400" w:lineRule="exact"/>
        <w:rPr>
          <w:rFonts w:ascii="宋体" w:hAnsi="宋体"/>
          <w:color w:val="auto"/>
          <w:szCs w:val="21"/>
          <w:highlight w:val="none"/>
        </w:rPr>
      </w:pPr>
      <w:r>
        <w:rPr>
          <w:rFonts w:hint="eastAsia" w:ascii="宋体" w:hAnsi="宋体"/>
          <w:color w:val="auto"/>
          <w:szCs w:val="21"/>
          <w:highlight w:val="none"/>
        </w:rPr>
        <w:t>最高综合单价限价（元/m³）：35</w:t>
      </w:r>
      <w:r>
        <w:rPr>
          <w:rFonts w:ascii="宋体" w:hAnsi="宋体"/>
          <w:color w:val="auto"/>
          <w:szCs w:val="21"/>
          <w:highlight w:val="none"/>
        </w:rPr>
        <w:t>.00</w:t>
      </w:r>
      <w:r>
        <w:rPr>
          <w:rFonts w:hint="eastAsia" w:ascii="宋体" w:hAnsi="宋体" w:eastAsia="宋体" w:cs="宋体"/>
          <w:color w:val="auto"/>
          <w:sz w:val="21"/>
          <w:szCs w:val="21"/>
          <w:highlight w:val="none"/>
          <w:lang w:val="en-US"/>
        </w:rPr>
        <w:t>元/m³</w:t>
      </w:r>
      <w:r>
        <w:rPr>
          <w:rFonts w:hint="eastAsia" w:ascii="宋体" w:hAnsi="宋体"/>
          <w:color w:val="auto"/>
          <w:szCs w:val="21"/>
          <w:highlight w:val="none"/>
        </w:rPr>
        <w:t xml:space="preserve"> </w:t>
      </w:r>
    </w:p>
    <w:p>
      <w:pPr>
        <w:spacing w:line="400" w:lineRule="exact"/>
        <w:rPr>
          <w:rFonts w:ascii="宋体" w:hAnsi="宋体"/>
          <w:color w:val="auto"/>
          <w:szCs w:val="21"/>
          <w:highlight w:val="none"/>
        </w:rPr>
      </w:pPr>
      <w:r>
        <w:rPr>
          <w:rFonts w:ascii="宋体" w:hAnsi="宋体"/>
          <w:color w:val="auto"/>
          <w:szCs w:val="21"/>
          <w:highlight w:val="none"/>
        </w:rPr>
        <w:t>简要规格描述或项目基本概况介绍、用途：</w:t>
      </w:r>
      <w:r>
        <w:rPr>
          <w:rFonts w:hint="eastAsia" w:ascii="宋体" w:hAnsi="宋体"/>
          <w:color w:val="auto"/>
          <w:szCs w:val="21"/>
          <w:highlight w:val="none"/>
          <w:lang w:eastAsia="zh-CN"/>
        </w:rPr>
        <w:t>2023年-2024年前江街道建设占用耕地耕作层剥离再利用服务（一期）项目</w:t>
      </w:r>
      <w:r>
        <w:rPr>
          <w:rFonts w:hint="eastAsia" w:ascii="宋体" w:hAnsi="宋体"/>
          <w:color w:val="auto"/>
          <w:szCs w:val="21"/>
          <w:highlight w:val="none"/>
        </w:rPr>
        <w:t>，</w:t>
      </w:r>
      <w:r>
        <w:rPr>
          <w:rFonts w:ascii="宋体" w:hAnsi="宋体"/>
          <w:color w:val="auto"/>
          <w:szCs w:val="21"/>
          <w:highlight w:val="none"/>
        </w:rPr>
        <w:t>详见招标文件“第二章 招标需求”</w:t>
      </w:r>
    </w:p>
    <w:p>
      <w:pPr>
        <w:spacing w:line="400" w:lineRule="exact"/>
        <w:rPr>
          <w:rFonts w:ascii="宋体" w:hAnsi="宋体" w:cs="宋体"/>
          <w:color w:val="auto"/>
          <w:szCs w:val="21"/>
          <w:highlight w:val="none"/>
        </w:rPr>
      </w:pPr>
      <w:r>
        <w:rPr>
          <w:rFonts w:ascii="宋体" w:hAnsi="宋体"/>
          <w:color w:val="auto"/>
          <w:szCs w:val="21"/>
          <w:highlight w:val="none"/>
        </w:rPr>
        <w:t>备注：</w:t>
      </w:r>
      <w:r>
        <w:rPr>
          <w:rFonts w:hint="eastAsia" w:ascii="宋体" w:hAnsi="宋体"/>
          <w:color w:val="auto"/>
          <w:szCs w:val="21"/>
          <w:highlight w:val="none"/>
        </w:rPr>
        <w:t>/</w:t>
      </w:r>
    </w:p>
    <w:p>
      <w:pPr>
        <w:spacing w:line="400" w:lineRule="exact"/>
        <w:rPr>
          <w:rFonts w:ascii="宋体" w:hAnsi="宋体"/>
          <w:color w:val="auto"/>
          <w:highlight w:val="none"/>
        </w:rPr>
      </w:pPr>
      <w:r>
        <w:rPr>
          <w:rFonts w:hint="eastAsia" w:ascii="宋体" w:hAnsi="宋体"/>
          <w:color w:val="auto"/>
          <w:szCs w:val="21"/>
          <w:highlight w:val="none"/>
        </w:rPr>
        <w:t>服务期限</w:t>
      </w:r>
      <w:r>
        <w:rPr>
          <w:rFonts w:hint="eastAsia"/>
          <w:color w:val="auto"/>
          <w:highlight w:val="none"/>
        </w:rPr>
        <w:t>：</w:t>
      </w:r>
      <w:r>
        <w:rPr>
          <w:rFonts w:hint="eastAsia" w:ascii="宋体" w:hAnsi="宋体" w:eastAsia="宋体" w:cs="Times New Roman"/>
          <w:color w:val="auto"/>
          <w:highlight w:val="none"/>
        </w:rPr>
        <w:t>自合同签订之日起</w:t>
      </w:r>
      <w:r>
        <w:rPr>
          <w:rFonts w:hint="eastAsia" w:ascii="宋体" w:hAnsi="宋体" w:eastAsia="宋体" w:cs="Times New Roman"/>
          <w:color w:val="auto"/>
          <w:highlight w:val="none"/>
          <w:lang w:val="en-US" w:eastAsia="zh-CN"/>
        </w:rPr>
        <w:t>二</w:t>
      </w:r>
      <w:r>
        <w:rPr>
          <w:rFonts w:hint="eastAsia" w:ascii="宋体" w:hAnsi="宋体" w:eastAsia="宋体" w:cs="Times New Roman"/>
          <w:color w:val="auto"/>
          <w:highlight w:val="none"/>
        </w:rPr>
        <w:t>年</w:t>
      </w:r>
      <w:r>
        <w:rPr>
          <w:rFonts w:hint="eastAsia" w:ascii="宋体" w:hAnsi="宋体" w:eastAsia="宋体" w:cs="Times New Roman"/>
          <w:color w:val="auto"/>
          <w:highlight w:val="none"/>
          <w:lang w:val="en-US" w:eastAsia="zh-CN"/>
        </w:rPr>
        <w:t xml:space="preserve">。 </w:t>
      </w:r>
    </w:p>
    <w:p>
      <w:pPr>
        <w:spacing w:line="400" w:lineRule="exact"/>
        <w:rPr>
          <w:rFonts w:ascii="宋体" w:hAnsi="宋体"/>
          <w:color w:val="auto"/>
          <w:szCs w:val="21"/>
          <w:highlight w:val="none"/>
        </w:rPr>
      </w:pPr>
      <w:r>
        <w:rPr>
          <w:rFonts w:hint="eastAsia" w:ascii="宋体" w:hAnsi="宋体"/>
          <w:color w:val="auto"/>
          <w:szCs w:val="21"/>
          <w:highlight w:val="none"/>
        </w:rPr>
        <w:t>本项目（否）接受联合体投标。</w:t>
      </w:r>
    </w:p>
    <w:p>
      <w:pPr>
        <w:spacing w:line="400" w:lineRule="exact"/>
        <w:rPr>
          <w:rFonts w:ascii="宋体" w:hAnsi="宋体"/>
          <w:b/>
          <w:color w:val="auto"/>
          <w:szCs w:val="21"/>
          <w:highlight w:val="none"/>
        </w:rPr>
      </w:pPr>
      <w:r>
        <w:rPr>
          <w:rFonts w:hint="eastAsia" w:ascii="宋体" w:hAnsi="宋体"/>
          <w:b/>
          <w:color w:val="auto"/>
          <w:szCs w:val="21"/>
          <w:highlight w:val="none"/>
        </w:rPr>
        <w:t>二</w:t>
      </w:r>
      <w:r>
        <w:rPr>
          <w:rFonts w:ascii="宋体" w:hAnsi="宋体"/>
          <w:b/>
          <w:color w:val="auto"/>
          <w:szCs w:val="21"/>
          <w:highlight w:val="none"/>
        </w:rPr>
        <w:t>、</w:t>
      </w:r>
      <w:r>
        <w:rPr>
          <w:rFonts w:hint="eastAsia" w:ascii="宋体" w:hAnsi="宋体"/>
          <w:b/>
          <w:color w:val="auto"/>
          <w:szCs w:val="21"/>
          <w:highlight w:val="none"/>
        </w:rPr>
        <w:t>申请人的资格要求：</w:t>
      </w:r>
    </w:p>
    <w:p>
      <w:pPr>
        <w:pStyle w:val="90"/>
        <w:spacing w:afterLines="0" w:line="400" w:lineRule="exact"/>
        <w:ind w:firstLine="0" w:firstLineChars="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pacing w:val="-2"/>
          <w:sz w:val="21"/>
          <w:szCs w:val="21"/>
          <w:highlight w:val="none"/>
        </w:rPr>
        <w:t>满足《中华人民共和国政府采购法》第二十二条规定；未被“信用中国”、中国政府采购网列入失信被执行人、重大税收违法案件当事人名单、政府采购严重违法失信行为记录名单。</w:t>
      </w:r>
    </w:p>
    <w:p>
      <w:pPr>
        <w:pStyle w:val="90"/>
        <w:spacing w:afterLines="0" w:line="400" w:lineRule="exact"/>
        <w:ind w:firstLine="0" w:firstLineChars="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w:t>
      </w:r>
      <w:r>
        <w:rPr>
          <w:rFonts w:ascii="宋体" w:hAnsi="宋体"/>
          <w:color w:val="auto"/>
          <w:sz w:val="21"/>
          <w:szCs w:val="21"/>
          <w:highlight w:val="none"/>
        </w:rPr>
        <w:t>落实政府采购政策需满足的资格要求：无</w:t>
      </w:r>
    </w:p>
    <w:p>
      <w:pPr>
        <w:spacing w:line="400" w:lineRule="exact"/>
        <w:rPr>
          <w:color w:val="auto"/>
          <w:highlight w:val="none"/>
        </w:rPr>
      </w:pPr>
      <w:r>
        <w:rPr>
          <w:rFonts w:ascii="宋体" w:hAnsi="宋体"/>
          <w:color w:val="auto"/>
          <w:szCs w:val="21"/>
          <w:highlight w:val="none"/>
        </w:rPr>
        <w:t>3</w:t>
      </w:r>
      <w:r>
        <w:rPr>
          <w:rFonts w:hint="eastAsia" w:ascii="宋体" w:hAnsi="宋体"/>
          <w:color w:val="auto"/>
          <w:szCs w:val="21"/>
          <w:highlight w:val="none"/>
        </w:rPr>
        <w:t>、本项目的特定资格条件：无</w:t>
      </w:r>
    </w:p>
    <w:p>
      <w:pPr>
        <w:spacing w:line="400" w:lineRule="exact"/>
        <w:rPr>
          <w:rFonts w:ascii="宋体" w:hAnsi="宋体"/>
          <w:b/>
          <w:color w:val="auto"/>
          <w:szCs w:val="21"/>
          <w:highlight w:val="none"/>
        </w:rPr>
      </w:pPr>
      <w:r>
        <w:rPr>
          <w:rFonts w:hint="eastAsia" w:ascii="宋体" w:hAnsi="宋体"/>
          <w:b/>
          <w:color w:val="auto"/>
          <w:szCs w:val="21"/>
          <w:highlight w:val="none"/>
        </w:rPr>
        <w:t xml:space="preserve">三、获取招标文件 </w:t>
      </w:r>
    </w:p>
    <w:p>
      <w:pPr>
        <w:spacing w:line="400" w:lineRule="exact"/>
        <w:rPr>
          <w:rFonts w:ascii="宋体" w:hAnsi="宋体"/>
          <w:color w:val="auto"/>
          <w:szCs w:val="21"/>
          <w:highlight w:val="none"/>
        </w:rPr>
      </w:pPr>
      <w:r>
        <w:rPr>
          <w:rFonts w:hint="eastAsia" w:ascii="宋体" w:hAnsi="宋体"/>
          <w:color w:val="auto"/>
          <w:szCs w:val="21"/>
          <w:highlight w:val="none"/>
        </w:rPr>
        <w:t>时间：/至</w:t>
      </w:r>
      <w:r>
        <w:rPr>
          <w:rFonts w:hint="eastAsia" w:ascii="宋体" w:hAnsi="宋体"/>
          <w:b/>
          <w:bCs/>
          <w:color w:val="FF0000"/>
          <w:szCs w:val="21"/>
          <w:highlight w:val="none"/>
        </w:rPr>
        <w:t>202</w:t>
      </w:r>
      <w:r>
        <w:rPr>
          <w:rFonts w:hint="eastAsia" w:ascii="宋体" w:hAnsi="宋体"/>
          <w:b/>
          <w:bCs/>
          <w:color w:val="FF0000"/>
          <w:szCs w:val="21"/>
          <w:highlight w:val="none"/>
          <w:lang w:val="en-US" w:eastAsia="zh-CN"/>
        </w:rPr>
        <w:t>3</w:t>
      </w:r>
      <w:r>
        <w:rPr>
          <w:rFonts w:hint="eastAsia" w:ascii="宋体" w:hAnsi="宋体"/>
          <w:b/>
          <w:bCs/>
          <w:color w:val="FF0000"/>
          <w:szCs w:val="21"/>
          <w:highlight w:val="none"/>
        </w:rPr>
        <w:t>年</w:t>
      </w:r>
      <w:r>
        <w:rPr>
          <w:rFonts w:hint="eastAsia" w:ascii="宋体" w:hAnsi="宋体" w:cs="Arial"/>
          <w:b/>
          <w:bCs/>
          <w:color w:val="FF0000"/>
          <w:szCs w:val="21"/>
          <w:highlight w:val="none"/>
          <w:u w:val="single"/>
          <w:lang w:val="en-US" w:eastAsia="zh-CN"/>
        </w:rPr>
        <w:t>03</w:t>
      </w:r>
      <w:r>
        <w:rPr>
          <w:rFonts w:hint="eastAsia" w:ascii="宋体" w:hAnsi="宋体"/>
          <w:b/>
          <w:bCs/>
          <w:color w:val="FF0000"/>
          <w:szCs w:val="21"/>
          <w:highlight w:val="none"/>
        </w:rPr>
        <w:t>月</w:t>
      </w:r>
      <w:r>
        <w:rPr>
          <w:rFonts w:hint="eastAsia" w:ascii="宋体" w:hAnsi="宋体" w:cs="Arial"/>
          <w:b/>
          <w:bCs/>
          <w:color w:val="FF0000"/>
          <w:szCs w:val="21"/>
          <w:highlight w:val="none"/>
          <w:u w:val="single"/>
          <w:lang w:val="en-US" w:eastAsia="zh-CN"/>
        </w:rPr>
        <w:t>30</w:t>
      </w:r>
      <w:r>
        <w:rPr>
          <w:rFonts w:hint="eastAsia" w:ascii="宋体" w:hAnsi="宋体"/>
          <w:b/>
          <w:bCs/>
          <w:color w:val="FF0000"/>
          <w:szCs w:val="21"/>
          <w:highlight w:val="none"/>
        </w:rPr>
        <w:t>日</w:t>
      </w:r>
      <w:r>
        <w:rPr>
          <w:rFonts w:hint="eastAsia" w:ascii="宋体" w:hAnsi="宋体"/>
          <w:color w:val="auto"/>
          <w:szCs w:val="21"/>
          <w:highlight w:val="none"/>
        </w:rPr>
        <w:t>，每天上午00:00至12:00，下午12:00至23:59（北京时间，线上获取法定节假日均可，线下获取文件法定节假日除外）</w:t>
      </w:r>
    </w:p>
    <w:p>
      <w:pPr>
        <w:widowControl/>
        <w:spacing w:before="75" w:after="75" w:line="400" w:lineRule="exact"/>
        <w:jc w:val="left"/>
        <w:rPr>
          <w:rFonts w:cs="Arial" w:asciiTheme="minorEastAsia" w:hAnsiTheme="minorEastAsia" w:eastAsiaTheme="minorEastAsia"/>
          <w:color w:val="auto"/>
          <w:kern w:val="0"/>
          <w:szCs w:val="21"/>
          <w:highlight w:val="none"/>
        </w:rPr>
      </w:pPr>
      <w:r>
        <w:rPr>
          <w:rFonts w:cs="Arial" w:asciiTheme="minorEastAsia" w:hAnsiTheme="minorEastAsia" w:eastAsiaTheme="minorEastAsia"/>
          <w:color w:val="auto"/>
          <w:kern w:val="0"/>
          <w:szCs w:val="21"/>
          <w:highlight w:val="none"/>
        </w:rPr>
        <w:t>地点（网址）：政府采购云平台（www.zcygov.cn）</w:t>
      </w:r>
    </w:p>
    <w:p>
      <w:pPr>
        <w:widowControl/>
        <w:spacing w:before="75" w:after="75" w:line="400" w:lineRule="exact"/>
        <w:rPr>
          <w:rFonts w:cs="Arial" w:asciiTheme="minorEastAsia" w:hAnsiTheme="minorEastAsia" w:eastAsiaTheme="minorEastAsia"/>
          <w:color w:val="auto"/>
          <w:kern w:val="0"/>
          <w:szCs w:val="21"/>
          <w:highlight w:val="none"/>
        </w:rPr>
      </w:pPr>
      <w:r>
        <w:rPr>
          <w:rFonts w:cs="Arial" w:asciiTheme="minorEastAsia" w:hAnsiTheme="minorEastAsia" w:eastAsiaTheme="minorEastAsia"/>
          <w:color w:val="auto"/>
          <w:kern w:val="0"/>
          <w:szCs w:val="21"/>
          <w:highlight w:val="none"/>
        </w:rPr>
        <w:t>方式：（1）供应商登录政府采购云平台（www.zcygov.cn）的注册账号后，进入政采云系统“项目采购”模块“获取采购文件”菜单，进行网上获取招标文件。如有疑问请及时咨询网站客服，咨询电话：4008817190。（2）获取招标文件前，供应商应按照《浙江省政府采购供应商注册及诚信管理暂行办法》的规定在“浙江政府采购网”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widowControl/>
        <w:spacing w:before="75" w:after="75" w:line="400" w:lineRule="exact"/>
        <w:jc w:val="left"/>
        <w:rPr>
          <w:rFonts w:cs="Arial" w:asciiTheme="minorEastAsia" w:hAnsiTheme="minorEastAsia" w:eastAsiaTheme="minorEastAsia"/>
          <w:color w:val="auto"/>
          <w:kern w:val="0"/>
          <w:szCs w:val="21"/>
          <w:highlight w:val="none"/>
        </w:rPr>
      </w:pPr>
      <w:r>
        <w:rPr>
          <w:rFonts w:cs="Arial" w:asciiTheme="minorEastAsia" w:hAnsiTheme="minorEastAsia" w:eastAsiaTheme="minorEastAsia"/>
          <w:color w:val="auto"/>
          <w:kern w:val="0"/>
          <w:szCs w:val="21"/>
          <w:highlight w:val="none"/>
        </w:rPr>
        <w:t>售价（元）：0</w:t>
      </w:r>
    </w:p>
    <w:p>
      <w:pPr>
        <w:spacing w:line="400" w:lineRule="exact"/>
        <w:rPr>
          <w:rFonts w:ascii="宋体" w:hAnsi="宋体"/>
          <w:b/>
          <w:color w:val="auto"/>
          <w:szCs w:val="21"/>
          <w:highlight w:val="none"/>
        </w:rPr>
      </w:pPr>
      <w:r>
        <w:rPr>
          <w:rFonts w:hint="eastAsia" w:ascii="宋体" w:hAnsi="宋体"/>
          <w:b/>
          <w:color w:val="auto"/>
          <w:szCs w:val="21"/>
          <w:highlight w:val="none"/>
        </w:rPr>
        <w:t>四、提交投标文件截止时间、开标时间和地点：</w:t>
      </w:r>
    </w:p>
    <w:p>
      <w:pPr>
        <w:spacing w:line="400" w:lineRule="exact"/>
        <w:rPr>
          <w:rFonts w:ascii="宋体" w:hAnsi="宋体"/>
          <w:color w:val="auto"/>
          <w:szCs w:val="21"/>
          <w:highlight w:val="none"/>
        </w:rPr>
      </w:pPr>
      <w:r>
        <w:rPr>
          <w:rFonts w:hint="eastAsia" w:ascii="宋体" w:hAnsi="宋体"/>
          <w:color w:val="auto"/>
          <w:szCs w:val="21"/>
          <w:highlight w:val="none"/>
        </w:rPr>
        <w:t>1、提交投标文件截止时间：</w:t>
      </w:r>
      <w:r>
        <w:rPr>
          <w:rFonts w:hint="eastAsia" w:ascii="宋体" w:hAnsi="宋体"/>
          <w:color w:val="FF0000"/>
          <w:szCs w:val="21"/>
          <w:highlight w:val="none"/>
        </w:rPr>
        <w:t>202</w:t>
      </w:r>
      <w:r>
        <w:rPr>
          <w:rFonts w:hint="eastAsia" w:ascii="宋体" w:hAnsi="宋体"/>
          <w:color w:val="FF0000"/>
          <w:szCs w:val="21"/>
          <w:highlight w:val="none"/>
          <w:lang w:val="en-US" w:eastAsia="zh-CN"/>
        </w:rPr>
        <w:t>3</w:t>
      </w:r>
      <w:r>
        <w:rPr>
          <w:rFonts w:hint="eastAsia" w:ascii="宋体" w:hAnsi="宋体"/>
          <w:color w:val="FF0000"/>
          <w:szCs w:val="21"/>
          <w:highlight w:val="none"/>
        </w:rPr>
        <w:t>年</w:t>
      </w:r>
      <w:r>
        <w:rPr>
          <w:rFonts w:hint="eastAsia" w:ascii="宋体" w:hAnsi="宋体" w:cs="Arial"/>
          <w:color w:val="FF0000"/>
          <w:szCs w:val="21"/>
          <w:highlight w:val="none"/>
          <w:u w:val="single"/>
          <w:lang w:val="en-US" w:eastAsia="zh-CN"/>
        </w:rPr>
        <w:t>03</w:t>
      </w:r>
      <w:r>
        <w:rPr>
          <w:rFonts w:hint="eastAsia" w:ascii="宋体" w:hAnsi="宋体" w:cs="Arial"/>
          <w:color w:val="FF0000"/>
          <w:szCs w:val="21"/>
          <w:highlight w:val="none"/>
        </w:rPr>
        <w:t>月</w:t>
      </w:r>
      <w:r>
        <w:rPr>
          <w:rFonts w:hint="eastAsia" w:ascii="宋体" w:hAnsi="宋体" w:cs="Arial"/>
          <w:color w:val="FF0000"/>
          <w:szCs w:val="21"/>
          <w:highlight w:val="none"/>
          <w:u w:val="single"/>
          <w:lang w:val="en-US" w:eastAsia="zh-CN"/>
        </w:rPr>
        <w:t>30</w:t>
      </w:r>
      <w:r>
        <w:rPr>
          <w:rFonts w:hint="eastAsia" w:ascii="宋体" w:hAnsi="宋体" w:cs="Arial"/>
          <w:color w:val="FF0000"/>
          <w:szCs w:val="21"/>
          <w:highlight w:val="none"/>
        </w:rPr>
        <w:t>日</w:t>
      </w:r>
      <w:r>
        <w:rPr>
          <w:rFonts w:ascii="宋体" w:hAnsi="宋体" w:cs="Arial"/>
          <w:color w:val="FF0000"/>
          <w:szCs w:val="21"/>
          <w:highlight w:val="none"/>
          <w:u w:val="single"/>
        </w:rPr>
        <w:t>13</w:t>
      </w:r>
      <w:r>
        <w:rPr>
          <w:rFonts w:hint="eastAsia" w:ascii="宋体" w:hAnsi="宋体" w:cs="Arial"/>
          <w:color w:val="FF0000"/>
          <w:szCs w:val="21"/>
          <w:highlight w:val="none"/>
        </w:rPr>
        <w:t>:</w:t>
      </w:r>
      <w:r>
        <w:rPr>
          <w:rFonts w:ascii="宋体" w:hAnsi="宋体" w:cs="Arial"/>
          <w:color w:val="FF0000"/>
          <w:szCs w:val="21"/>
          <w:highlight w:val="none"/>
          <w:u w:val="single"/>
        </w:rPr>
        <w:t>30</w:t>
      </w:r>
      <w:r>
        <w:rPr>
          <w:rFonts w:hint="eastAsia" w:ascii="宋体" w:hAnsi="宋体"/>
          <w:color w:val="auto"/>
          <w:szCs w:val="21"/>
          <w:highlight w:val="none"/>
        </w:rPr>
        <w:t>（北京时间）</w:t>
      </w:r>
    </w:p>
    <w:p>
      <w:pPr>
        <w:spacing w:line="400" w:lineRule="exact"/>
        <w:rPr>
          <w:rFonts w:ascii="宋体" w:hAnsi="宋体"/>
          <w:color w:val="auto"/>
          <w:szCs w:val="21"/>
          <w:highlight w:val="none"/>
        </w:rPr>
      </w:pPr>
      <w:r>
        <w:rPr>
          <w:rFonts w:hint="eastAsia" w:ascii="宋体" w:hAnsi="宋体"/>
          <w:color w:val="auto"/>
          <w:szCs w:val="21"/>
          <w:highlight w:val="none"/>
        </w:rPr>
        <w:t>2、投标地点（网址）：宁波市江北区公共资源交易中心开标室（江北区育才路138号北投大厦南楼7楼）本项目通过“政府采购云平台（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7"/>
          <w:rFonts w:hint="eastAsia" w:ascii="宋体" w:hAnsi="宋体"/>
          <w:color w:val="auto"/>
          <w:szCs w:val="21"/>
          <w:highlight w:val="none"/>
          <w:u w:val="none"/>
        </w:rPr>
        <w:t>www.zcygov.cn</w:t>
      </w:r>
      <w:r>
        <w:rPr>
          <w:rStyle w:val="57"/>
          <w:rFonts w:hint="eastAsia" w:ascii="宋体" w:hAnsi="宋体"/>
          <w:color w:val="auto"/>
          <w:szCs w:val="21"/>
          <w:highlight w:val="none"/>
          <w:u w:val="none"/>
        </w:rPr>
        <w:fldChar w:fldCharType="end"/>
      </w:r>
      <w:r>
        <w:rPr>
          <w:rFonts w:hint="eastAsia" w:ascii="宋体" w:hAnsi="宋体"/>
          <w:color w:val="auto"/>
          <w:szCs w:val="21"/>
          <w:highlight w:val="none"/>
        </w:rPr>
        <w:t xml:space="preserve">）”实行在线电子投标。 </w:t>
      </w:r>
    </w:p>
    <w:p>
      <w:pPr>
        <w:spacing w:line="400" w:lineRule="exac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开标时间：</w:t>
      </w:r>
      <w:r>
        <w:rPr>
          <w:rFonts w:hint="eastAsia" w:ascii="宋体" w:hAnsi="宋体"/>
          <w:color w:val="FF0000"/>
          <w:szCs w:val="21"/>
          <w:highlight w:val="none"/>
        </w:rPr>
        <w:t>202</w:t>
      </w:r>
      <w:r>
        <w:rPr>
          <w:rFonts w:hint="eastAsia" w:ascii="宋体" w:hAnsi="宋体"/>
          <w:color w:val="FF0000"/>
          <w:szCs w:val="21"/>
          <w:highlight w:val="none"/>
          <w:lang w:val="en-US" w:eastAsia="zh-CN"/>
        </w:rPr>
        <w:t>3</w:t>
      </w:r>
      <w:r>
        <w:rPr>
          <w:rFonts w:hint="eastAsia" w:ascii="宋体" w:hAnsi="宋体"/>
          <w:color w:val="FF0000"/>
          <w:szCs w:val="21"/>
          <w:highlight w:val="none"/>
        </w:rPr>
        <w:t>年</w:t>
      </w:r>
      <w:r>
        <w:rPr>
          <w:rFonts w:hint="eastAsia" w:ascii="宋体" w:hAnsi="宋体" w:cs="Arial"/>
          <w:color w:val="FF0000"/>
          <w:szCs w:val="21"/>
          <w:highlight w:val="none"/>
          <w:u w:val="single"/>
          <w:lang w:val="en-US" w:eastAsia="zh-CN"/>
        </w:rPr>
        <w:t>03</w:t>
      </w:r>
      <w:r>
        <w:rPr>
          <w:rFonts w:hint="eastAsia" w:ascii="宋体" w:hAnsi="宋体" w:cs="Arial"/>
          <w:color w:val="FF0000"/>
          <w:szCs w:val="21"/>
          <w:highlight w:val="none"/>
        </w:rPr>
        <w:t>月</w:t>
      </w:r>
      <w:r>
        <w:rPr>
          <w:rFonts w:hint="eastAsia" w:ascii="宋体" w:hAnsi="宋体" w:cs="Arial"/>
          <w:color w:val="FF0000"/>
          <w:szCs w:val="21"/>
          <w:highlight w:val="none"/>
          <w:u w:val="single"/>
          <w:lang w:val="en-US" w:eastAsia="zh-CN"/>
        </w:rPr>
        <w:t>30</w:t>
      </w:r>
      <w:r>
        <w:rPr>
          <w:rFonts w:hint="eastAsia" w:ascii="宋体" w:hAnsi="宋体" w:cs="Arial"/>
          <w:color w:val="FF0000"/>
          <w:szCs w:val="21"/>
          <w:highlight w:val="none"/>
        </w:rPr>
        <w:t>日</w:t>
      </w:r>
      <w:r>
        <w:rPr>
          <w:rFonts w:ascii="宋体" w:hAnsi="宋体" w:cs="Arial"/>
          <w:color w:val="FF0000"/>
          <w:szCs w:val="21"/>
          <w:highlight w:val="none"/>
          <w:u w:val="single"/>
        </w:rPr>
        <w:t>13</w:t>
      </w:r>
      <w:r>
        <w:rPr>
          <w:rFonts w:hint="eastAsia" w:ascii="宋体" w:hAnsi="宋体" w:cs="Arial"/>
          <w:color w:val="FF0000"/>
          <w:szCs w:val="21"/>
          <w:highlight w:val="none"/>
        </w:rPr>
        <w:t>:</w:t>
      </w:r>
      <w:r>
        <w:rPr>
          <w:rFonts w:ascii="宋体" w:hAnsi="宋体" w:cs="Arial"/>
          <w:color w:val="FF0000"/>
          <w:szCs w:val="21"/>
          <w:highlight w:val="none"/>
          <w:u w:val="single"/>
        </w:rPr>
        <w:t>30</w:t>
      </w:r>
      <w:r>
        <w:rPr>
          <w:rFonts w:hint="eastAsia" w:ascii="宋体" w:hAnsi="宋体"/>
          <w:color w:val="auto"/>
          <w:szCs w:val="21"/>
          <w:highlight w:val="none"/>
        </w:rPr>
        <w:t>（北京时间）</w:t>
      </w:r>
    </w:p>
    <w:p>
      <w:pPr>
        <w:spacing w:line="400" w:lineRule="exact"/>
        <w:rPr>
          <w:rFonts w:ascii="宋体" w:hAnsi="宋体"/>
          <w:color w:val="auto"/>
          <w:szCs w:val="21"/>
          <w:highlight w:val="none"/>
        </w:rPr>
      </w:pPr>
      <w:r>
        <w:rPr>
          <w:rFonts w:hint="eastAsia" w:ascii="宋体" w:hAnsi="宋体"/>
          <w:color w:val="auto"/>
          <w:szCs w:val="21"/>
          <w:highlight w:val="none"/>
        </w:rPr>
        <w:t>4、开标地点（网址）：宁波市江北区公共资源交易中心开标室（江北区育才路138号北投大厦南楼7楼）本项目通过“政府采购云平台（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7"/>
          <w:rFonts w:hint="eastAsia" w:ascii="宋体" w:hAnsi="宋体"/>
          <w:color w:val="auto"/>
          <w:szCs w:val="21"/>
          <w:highlight w:val="none"/>
          <w:u w:val="none"/>
        </w:rPr>
        <w:t>www.zcygov.cn</w:t>
      </w:r>
      <w:r>
        <w:rPr>
          <w:rStyle w:val="57"/>
          <w:rFonts w:hint="eastAsia" w:ascii="宋体" w:hAnsi="宋体"/>
          <w:color w:val="auto"/>
          <w:szCs w:val="21"/>
          <w:highlight w:val="none"/>
          <w:u w:val="none"/>
        </w:rPr>
        <w:fldChar w:fldCharType="end"/>
      </w:r>
      <w:r>
        <w:rPr>
          <w:rFonts w:hint="eastAsia" w:ascii="宋体" w:hAnsi="宋体"/>
          <w:color w:val="auto"/>
          <w:szCs w:val="21"/>
          <w:highlight w:val="none"/>
        </w:rPr>
        <w:t>）”实行在线电子</w:t>
      </w:r>
      <w:r>
        <w:rPr>
          <w:rFonts w:hint="eastAsia" w:ascii="宋体" w:hAnsi="宋体"/>
          <w:color w:val="auto"/>
          <w:szCs w:val="21"/>
          <w:highlight w:val="none"/>
          <w:lang w:val="en-US" w:eastAsia="zh-CN"/>
        </w:rPr>
        <w:t>开标</w:t>
      </w:r>
      <w:bookmarkStart w:id="209" w:name="_GoBack"/>
      <w:bookmarkEnd w:id="209"/>
      <w:r>
        <w:rPr>
          <w:rFonts w:hint="eastAsia" w:ascii="宋体" w:hAnsi="宋体"/>
          <w:color w:val="auto"/>
          <w:szCs w:val="21"/>
          <w:highlight w:val="none"/>
        </w:rPr>
        <w:t>。</w:t>
      </w:r>
    </w:p>
    <w:p>
      <w:pPr>
        <w:spacing w:line="400" w:lineRule="exact"/>
        <w:rPr>
          <w:rFonts w:ascii="宋体" w:hAnsi="宋体"/>
          <w:b/>
          <w:color w:val="auto"/>
          <w:szCs w:val="21"/>
          <w:highlight w:val="none"/>
        </w:rPr>
      </w:pPr>
      <w:r>
        <w:rPr>
          <w:rFonts w:hint="eastAsia" w:ascii="宋体" w:hAnsi="宋体"/>
          <w:b/>
          <w:color w:val="auto"/>
          <w:szCs w:val="21"/>
          <w:highlight w:val="none"/>
        </w:rPr>
        <w:t xml:space="preserve">五、公告期限 </w:t>
      </w:r>
    </w:p>
    <w:p>
      <w:pPr>
        <w:spacing w:line="400" w:lineRule="exact"/>
        <w:rPr>
          <w:rFonts w:ascii="宋体" w:hAnsi="宋体"/>
          <w:color w:val="auto"/>
          <w:szCs w:val="21"/>
          <w:highlight w:val="none"/>
        </w:rPr>
      </w:pPr>
      <w:r>
        <w:rPr>
          <w:rFonts w:hint="eastAsia" w:ascii="宋体" w:hAnsi="宋体"/>
          <w:color w:val="auto"/>
          <w:szCs w:val="21"/>
          <w:highlight w:val="none"/>
        </w:rPr>
        <w:t>自本公告发布之日起5个工作日。</w:t>
      </w:r>
    </w:p>
    <w:p>
      <w:pPr>
        <w:spacing w:line="400" w:lineRule="exact"/>
        <w:rPr>
          <w:rFonts w:ascii="宋体" w:hAnsi="宋体"/>
          <w:b/>
          <w:color w:val="auto"/>
          <w:szCs w:val="21"/>
          <w:highlight w:val="none"/>
        </w:rPr>
      </w:pPr>
      <w:r>
        <w:rPr>
          <w:rFonts w:hint="eastAsia" w:ascii="宋体" w:hAnsi="宋体"/>
          <w:b/>
          <w:color w:val="auto"/>
          <w:szCs w:val="21"/>
          <w:highlight w:val="none"/>
        </w:rPr>
        <w:t>六、其他补充事宜</w:t>
      </w:r>
    </w:p>
    <w:p>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val="0"/>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3.供应商应于提交投标文件截止时间前将电子投标文件上传到政府采购云平台，并于提交投标文件截止时间前，将以U盘或光盘存储的电子备份投标文件密封后送至开标地点：宁波市江北区公共资源交易中心开标室（江北区育才路138号北投大厦南楼7楼）。</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注：电子备份投标文件自愿提供</w:t>
      </w:r>
      <w:r>
        <w:rPr>
          <w:rFonts w:hint="eastAsia" w:ascii="宋体" w:hAnsi="宋体" w:cs="宋体"/>
          <w:b/>
          <w:bCs/>
          <w:color w:val="auto"/>
          <w:sz w:val="21"/>
          <w:szCs w:val="21"/>
          <w:highlight w:val="none"/>
          <w:lang w:eastAsia="zh-CN"/>
        </w:rPr>
        <w:t>】</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2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电子备份投标文件递交可采用现场递交或</w:t>
      </w:r>
      <w:r>
        <w:rPr>
          <w:rFonts w:hint="eastAsia" w:ascii="宋体" w:hAnsi="宋体" w:cs="宋体"/>
          <w:color w:val="auto"/>
          <w:sz w:val="21"/>
          <w:szCs w:val="21"/>
          <w:highlight w:val="none"/>
          <w:lang w:val="en-US" w:eastAsia="zh-CN"/>
        </w:rPr>
        <w:t>快递</w:t>
      </w:r>
      <w:r>
        <w:rPr>
          <w:rFonts w:hint="eastAsia" w:ascii="宋体" w:hAnsi="宋体" w:eastAsia="宋体" w:cs="宋体"/>
          <w:color w:val="auto"/>
          <w:sz w:val="21"/>
          <w:szCs w:val="21"/>
          <w:highlight w:val="none"/>
        </w:rPr>
        <w:t>邮寄</w:t>
      </w:r>
      <w:r>
        <w:rPr>
          <w:rFonts w:hint="eastAsia" w:ascii="宋体" w:hAnsi="宋体" w:cs="宋体"/>
          <w:color w:val="auto"/>
          <w:sz w:val="21"/>
          <w:szCs w:val="21"/>
          <w:highlight w:val="none"/>
          <w:lang w:val="en-US" w:eastAsia="zh-CN"/>
        </w:rPr>
        <w:t>送达</w:t>
      </w:r>
      <w:r>
        <w:rPr>
          <w:rFonts w:hint="eastAsia" w:ascii="宋体" w:hAnsi="宋体" w:eastAsia="宋体" w:cs="宋体"/>
          <w:color w:val="auto"/>
          <w:sz w:val="21"/>
          <w:szCs w:val="21"/>
          <w:highlight w:val="none"/>
        </w:rPr>
        <w:t>的方式。</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24"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方式一：现场递交方式</w:t>
      </w:r>
      <w:r>
        <w:rPr>
          <w:rFonts w:hint="eastAsia" w:ascii="宋体" w:hAnsi="宋体" w:eastAsia="宋体" w:cs="宋体"/>
          <w:color w:val="auto"/>
          <w:sz w:val="21"/>
          <w:szCs w:val="21"/>
          <w:highlight w:val="none"/>
        </w:rPr>
        <w:t>，供应商可安排一名授权代表在投标截止时间前将电子备份投标文件送至宁波市江北区公共资源交易中心开标室（江北区育才路138号北投大厦南楼7楼）</w:t>
      </w:r>
      <w:r>
        <w:rPr>
          <w:rFonts w:hint="eastAsia" w:ascii="宋体" w:hAnsi="宋体" w:cs="宋体"/>
          <w:color w:val="auto"/>
          <w:sz w:val="21"/>
          <w:szCs w:val="21"/>
          <w:highlight w:val="none"/>
          <w:lang w:eastAsia="zh-CN"/>
        </w:rPr>
        <w:t>。</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24" w:lineRule="auto"/>
        <w:ind w:firstLine="422" w:firstLineChars="200"/>
        <w:textAlignment w:val="auto"/>
        <w:rPr>
          <w:rFonts w:hint="eastAsia"/>
          <w:color w:val="auto"/>
          <w:highlight w:val="none"/>
        </w:rPr>
      </w:pPr>
      <w:r>
        <w:rPr>
          <w:rFonts w:hint="eastAsia" w:ascii="宋体" w:hAnsi="宋体" w:eastAsia="宋体" w:cs="宋体"/>
          <w:b/>
          <w:bCs/>
          <w:color w:val="auto"/>
          <w:sz w:val="21"/>
          <w:szCs w:val="21"/>
          <w:highlight w:val="none"/>
        </w:rPr>
        <w:t>方式二：</w:t>
      </w:r>
      <w:r>
        <w:rPr>
          <w:rFonts w:hint="eastAsia" w:ascii="宋体" w:hAnsi="宋体" w:eastAsia="宋体" w:cs="宋体"/>
          <w:b/>
          <w:bCs/>
          <w:color w:val="auto"/>
          <w:sz w:val="21"/>
          <w:szCs w:val="21"/>
          <w:highlight w:val="none"/>
          <w:lang w:val="en-US" w:eastAsia="zh-CN"/>
        </w:rPr>
        <w:t>快递</w:t>
      </w:r>
      <w:r>
        <w:rPr>
          <w:rFonts w:hint="eastAsia" w:ascii="宋体" w:hAnsi="宋体" w:eastAsia="宋体" w:cs="宋体"/>
          <w:b/>
          <w:bCs/>
          <w:color w:val="auto"/>
          <w:sz w:val="21"/>
          <w:szCs w:val="21"/>
          <w:highlight w:val="none"/>
        </w:rPr>
        <w:t>邮寄送达</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推荐</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rPr>
        <w:t>供应商可以通过</w:t>
      </w:r>
      <w:r>
        <w:rPr>
          <w:rFonts w:hint="eastAsia" w:ascii="宋体" w:hAnsi="宋体" w:eastAsia="宋体" w:cs="宋体"/>
          <w:color w:val="auto"/>
          <w:sz w:val="21"/>
          <w:szCs w:val="21"/>
          <w:highlight w:val="none"/>
          <w:lang w:val="en-US" w:eastAsia="zh-CN"/>
        </w:rPr>
        <w:t>快递</w:t>
      </w:r>
      <w:r>
        <w:rPr>
          <w:rFonts w:hint="eastAsia" w:ascii="宋体" w:hAnsi="宋体" w:eastAsia="宋体" w:cs="宋体"/>
          <w:color w:val="auto"/>
          <w:sz w:val="21"/>
          <w:szCs w:val="21"/>
          <w:highlight w:val="none"/>
        </w:rPr>
        <w:t>邮寄送达电子备份投标文件</w:t>
      </w:r>
      <w:r>
        <w:rPr>
          <w:rFonts w:hint="eastAsia" w:ascii="宋体" w:hAnsi="宋体" w:cs="宋体"/>
          <w:color w:val="auto"/>
          <w:sz w:val="21"/>
          <w:szCs w:val="21"/>
          <w:highlight w:val="none"/>
          <w:lang w:val="en-US" w:eastAsia="zh-CN"/>
        </w:rPr>
        <w:t>（邮寄时须同时邮寄</w:t>
      </w:r>
      <w:r>
        <w:rPr>
          <w:rFonts w:hint="eastAsia" w:ascii="宋体" w:hAnsi="宋体" w:eastAsia="宋体" w:cs="宋体"/>
          <w:color w:val="auto"/>
          <w:sz w:val="21"/>
          <w:szCs w:val="21"/>
          <w:highlight w:val="none"/>
        </w:rPr>
        <w:t>送达地址：</w:t>
      </w:r>
      <w:r>
        <w:rPr>
          <w:rFonts w:hint="eastAsia" w:ascii="宋体" w:hAnsi="宋体" w:eastAsia="宋体" w:cs="宋体"/>
          <w:color w:val="auto"/>
          <w:sz w:val="21"/>
          <w:szCs w:val="21"/>
          <w:highlight w:val="none"/>
          <w:lang w:eastAsia="zh-CN"/>
        </w:rPr>
        <w:t>宁波华欣建设项目管理有限公司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宁波市江北区长兴路715号恒凯大厦60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 xml:space="preserve">唐佳萍 </w:t>
      </w:r>
      <w:r>
        <w:rPr>
          <w:rFonts w:hint="eastAsia" w:ascii="宋体" w:hAnsi="宋体" w:eastAsia="宋体" w:cs="宋体"/>
          <w:color w:val="auto"/>
          <w:sz w:val="21"/>
          <w:szCs w:val="21"/>
          <w:highlight w:val="none"/>
        </w:rPr>
        <w:t>0574-882287</w:t>
      </w:r>
      <w:r>
        <w:rPr>
          <w:rFonts w:hint="eastAsia" w:ascii="宋体" w:hAnsi="宋体" w:cs="宋体"/>
          <w:color w:val="auto"/>
          <w:sz w:val="21"/>
          <w:szCs w:val="21"/>
          <w:highlight w:val="none"/>
          <w:lang w:val="en-US" w:eastAsia="zh-CN"/>
        </w:rPr>
        <w:t>80,13056742230</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1285588203@qq.com），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投标文件邮寄送达截止时间2021年7月"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各供应商应当确保投标文件按照招标文件要求密封且密封包装在邮寄过程保持完好，并必须在邮寄包裹上注明项目名称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因邮寄造成投标文件密封破损而不符合招标文件对投标文件的密封要求、或邮寄过程中导致投标文件未按时送达的，代理机构将拒绝其投标文件。各供应商自行考虑邮寄在途时间，</w:t>
      </w:r>
      <w:r>
        <w:rPr>
          <w:rFonts w:hint="eastAsia" w:ascii="宋体" w:hAnsi="宋体" w:eastAsia="宋体" w:cs="宋体"/>
          <w:color w:val="auto"/>
          <w:szCs w:val="21"/>
          <w:highlight w:val="none"/>
          <w:lang w:val="en-US" w:eastAsia="zh-CN"/>
        </w:rPr>
        <w:t>电子备份投标</w:t>
      </w:r>
      <w:r>
        <w:rPr>
          <w:rFonts w:hint="eastAsia" w:ascii="宋体" w:hAnsi="宋体" w:eastAsia="宋体" w:cs="宋体"/>
          <w:color w:val="auto"/>
          <w:szCs w:val="21"/>
          <w:highlight w:val="none"/>
        </w:rPr>
        <w:t>文件送达时间以采购代理机构工作人员实际签收时间为准。</w:t>
      </w:r>
      <w:r>
        <w:rPr>
          <w:rFonts w:hint="eastAsia" w:ascii="宋体" w:hAnsi="宋体" w:eastAsia="宋体" w:cs="宋体"/>
          <w:b/>
          <w:bCs/>
          <w:color w:val="auto"/>
          <w:szCs w:val="21"/>
          <w:highlight w:val="none"/>
          <w:lang w:val="en-US" w:eastAsia="zh-CN"/>
        </w:rPr>
        <w:t>电子备份投标</w:t>
      </w:r>
      <w:r>
        <w:rPr>
          <w:rFonts w:hint="eastAsia" w:ascii="宋体" w:hAnsi="宋体" w:eastAsia="宋体" w:cs="宋体"/>
          <w:b/>
          <w:bCs/>
          <w:color w:val="auto"/>
          <w:szCs w:val="21"/>
          <w:highlight w:val="none"/>
        </w:rPr>
        <w:t>文件邮寄送达截止时间：</w:t>
      </w:r>
      <w:r>
        <w:rPr>
          <w:rFonts w:hint="eastAsia" w:ascii="宋体" w:hAnsi="宋体" w:eastAsia="宋体" w:cs="宋体"/>
          <w:b/>
          <w:bCs/>
          <w:color w:val="auto"/>
          <w:szCs w:val="21"/>
          <w:highlight w:val="none"/>
          <w:lang w:val="en-US" w:eastAsia="zh-CN"/>
        </w:rPr>
        <w:t>投标截止时间前一个工作日的15:00前</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fldChar w:fldCharType="end"/>
      </w:r>
    </w:p>
    <w:p>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4.开标时间后</w:t>
      </w:r>
      <w:r>
        <w:rPr>
          <w:rFonts w:hint="eastAsia" w:ascii="宋体" w:hAnsi="宋体" w:eastAsia="宋体" w:cs="宋体"/>
          <w:b/>
          <w:bCs/>
          <w:color w:val="auto"/>
          <w:sz w:val="21"/>
          <w:szCs w:val="21"/>
          <w:highlight w:val="none"/>
        </w:rPr>
        <w:t>半小时</w:t>
      </w:r>
      <w:r>
        <w:rPr>
          <w:rFonts w:hint="eastAsia" w:ascii="宋体" w:hAnsi="宋体" w:eastAsia="宋体" w:cs="宋体"/>
          <w:color w:val="auto"/>
          <w:sz w:val="21"/>
          <w:szCs w:val="21"/>
          <w:highlight w:val="none"/>
        </w:rPr>
        <w:t>内供应商可以登录政府采购云平台，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如因系统或部分电子响应文件无法解密，供应商在截止时间前未提交电子备份响应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，视为供应商放弃投标。无论是否启用备份电子投标文件，均不退还供应商。</w:t>
      </w:r>
    </w:p>
    <w:p>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5.本项目实行网上投标，采用电子投标文件。若供应商参与投标，自行承担投标一切费用。</w:t>
      </w:r>
    </w:p>
    <w:p>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制作：（1）应按照本项目采购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①政府采购项目电子交易管理操作指南（视频）：service.zcygov.cn/#/knowledges/CW1EtGwBFdiHxlNd6I3m/7GyLXW0BXgMSmLUuYuPM（电脑登录账号观看）；②政府采购项目电子交易管理操作指南（文本）：service.zcygov.cn/#/knowledges/CW1EtGwBFdiHxlNd6I3m/6IMVAG0BFdiHxlNdQ8Na（电脑登录账号浏览）。（3）以U盘或光盘存储的电子备份投标文件1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自愿提供</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rPr>
        <w:t>，即按“项目采购-电子招投标操作指南”制作的电子备份文件，以用于异常情况处理。</w:t>
      </w:r>
    </w:p>
    <w:p>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8本次政府采购活动有关信息在“浙江政府采购网”、“</w:t>
      </w:r>
      <w:r>
        <w:rPr>
          <w:rFonts w:hint="eastAsia" w:ascii="宋体" w:hAnsi="宋体" w:eastAsia="宋体" w:cs="宋体"/>
          <w:color w:val="auto"/>
          <w:sz w:val="21"/>
          <w:szCs w:val="21"/>
          <w:highlight w:val="none"/>
          <w:lang w:val="en"/>
        </w:rPr>
        <w:t>宁波政府采购网</w:t>
      </w:r>
      <w:r>
        <w:rPr>
          <w:rFonts w:hint="eastAsia" w:ascii="宋体" w:hAnsi="宋体" w:eastAsia="宋体" w:cs="宋体"/>
          <w:color w:val="auto"/>
          <w:sz w:val="21"/>
          <w:szCs w:val="21"/>
          <w:highlight w:val="none"/>
        </w:rPr>
        <w:t>”、“宁波市公共资源交易网（江北分区分网）”、“宁波华欣建设项目管理有限公司”网站上公布，公布信息视同送达所有潜在竞标人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不再采用其它方式传达相关信息，若因未能及时了解到上述网站上发布的相关信息而导致的一切后果自行承担。</w:t>
      </w:r>
    </w:p>
    <w:p>
      <w:pPr>
        <w:widowControl/>
        <w:spacing w:line="400" w:lineRule="exact"/>
        <w:contextualSpacing/>
        <w:rPr>
          <w:rFonts w:ascii="宋体" w:hAnsi="宋体" w:cs="Arial"/>
          <w:b/>
          <w:color w:val="auto"/>
          <w:sz w:val="22"/>
          <w:szCs w:val="22"/>
          <w:highlight w:val="none"/>
        </w:rPr>
      </w:pPr>
      <w:r>
        <w:rPr>
          <w:rFonts w:ascii="宋体" w:hAnsi="宋体" w:cs="宋体"/>
          <w:color w:val="auto"/>
          <w:kern w:val="0"/>
          <w:szCs w:val="21"/>
          <w:highlight w:val="none"/>
        </w:rPr>
        <w:t>  </w:t>
      </w:r>
      <w:r>
        <w:rPr>
          <w:rFonts w:hint="eastAsia" w:ascii="宋体" w:hAnsi="宋体" w:cs="Arial"/>
          <w:b/>
          <w:color w:val="auto"/>
          <w:sz w:val="22"/>
          <w:szCs w:val="22"/>
          <w:highlight w:val="none"/>
        </w:rPr>
        <w:t>七、对本次采购提出询问、质疑、投诉，请按以下方式联系</w:t>
      </w:r>
    </w:p>
    <w:p>
      <w:pPr>
        <w:pStyle w:val="90"/>
        <w:spacing w:after="156" w:line="340" w:lineRule="exact"/>
        <w:ind w:firstLine="420"/>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1.采购人信息</w:t>
      </w:r>
    </w:p>
    <w:p>
      <w:pPr>
        <w:pStyle w:val="90"/>
        <w:spacing w:after="156" w:line="340" w:lineRule="exact"/>
        <w:ind w:firstLine="420"/>
        <w:rPr>
          <w:rFonts w:hint="eastAsia" w:cs="Arial" w:asciiTheme="minorEastAsia" w:hAnsiTheme="minorEastAsia" w:eastAsiaTheme="minorEastAsia"/>
          <w:color w:val="auto"/>
          <w:sz w:val="21"/>
          <w:szCs w:val="21"/>
          <w:highlight w:val="none"/>
          <w:lang w:eastAsia="zh-CN"/>
        </w:rPr>
      </w:pPr>
      <w:r>
        <w:rPr>
          <w:rFonts w:hint="eastAsia" w:cs="Arial" w:asciiTheme="minorEastAsia" w:hAnsiTheme="minorEastAsia" w:eastAsiaTheme="minorEastAsia"/>
          <w:color w:val="auto"/>
          <w:sz w:val="21"/>
          <w:szCs w:val="21"/>
          <w:highlight w:val="none"/>
        </w:rPr>
        <w:t>名  称：</w:t>
      </w:r>
      <w:r>
        <w:rPr>
          <w:rFonts w:hint="eastAsia" w:cs="Arial" w:asciiTheme="minorEastAsia" w:hAnsiTheme="minorEastAsia" w:eastAsiaTheme="minorEastAsia"/>
          <w:color w:val="auto"/>
          <w:sz w:val="21"/>
          <w:szCs w:val="21"/>
          <w:highlight w:val="none"/>
          <w:lang w:eastAsia="zh-CN"/>
        </w:rPr>
        <w:t>宁波市江北狮子山园林工程有限公司</w:t>
      </w:r>
    </w:p>
    <w:p>
      <w:pPr>
        <w:pStyle w:val="90"/>
        <w:keepNext w:val="0"/>
        <w:keepLines w:val="0"/>
        <w:pageBreakBefore w:val="0"/>
        <w:kinsoku/>
        <w:overflowPunct/>
        <w:topLinePunct w:val="0"/>
        <w:autoSpaceDE/>
        <w:autoSpaceDN/>
        <w:bidi w:val="0"/>
        <w:adjustRightInd/>
        <w:spacing w:after="120" w:line="360" w:lineRule="auto"/>
        <w:ind w:firstLine="420"/>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地  址：</w:t>
      </w:r>
      <w:r>
        <w:rPr>
          <w:rFonts w:hint="eastAsia" w:ascii="宋体" w:hAnsi="宋体" w:cs="宋体"/>
          <w:color w:val="auto"/>
          <w:sz w:val="21"/>
          <w:szCs w:val="21"/>
          <w:highlight w:val="none"/>
          <w:lang w:eastAsia="zh-CN"/>
        </w:rPr>
        <w:t>宁波市江北区金山路776号</w:t>
      </w:r>
    </w:p>
    <w:p>
      <w:pPr>
        <w:pStyle w:val="90"/>
        <w:spacing w:after="156" w:line="340" w:lineRule="exact"/>
        <w:ind w:firstLine="420"/>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传  真：/</w:t>
      </w:r>
    </w:p>
    <w:p>
      <w:pPr>
        <w:pStyle w:val="90"/>
        <w:spacing w:after="156" w:line="340" w:lineRule="exact"/>
        <w:ind w:firstLine="420"/>
        <w:rPr>
          <w:rFonts w:hint="eastAsia" w:cs="Arial" w:asciiTheme="minorEastAsia" w:hAnsiTheme="minorEastAsia" w:eastAsiaTheme="minorEastAsia"/>
          <w:color w:val="auto"/>
          <w:sz w:val="21"/>
          <w:szCs w:val="21"/>
          <w:highlight w:val="none"/>
          <w:lang w:eastAsia="zh-CN"/>
        </w:rPr>
      </w:pPr>
      <w:r>
        <w:rPr>
          <w:rFonts w:hint="eastAsia" w:cs="Arial" w:asciiTheme="minorEastAsia" w:hAnsiTheme="minorEastAsia" w:eastAsiaTheme="minorEastAsia"/>
          <w:color w:val="auto"/>
          <w:sz w:val="21"/>
          <w:szCs w:val="21"/>
          <w:highlight w:val="none"/>
        </w:rPr>
        <w:t>项目联系人（询问）：</w:t>
      </w:r>
      <w:r>
        <w:rPr>
          <w:rFonts w:hint="eastAsia" w:cs="Arial" w:asciiTheme="minorEastAsia" w:hAnsiTheme="minorEastAsia" w:eastAsiaTheme="minorEastAsia"/>
          <w:color w:val="auto"/>
          <w:sz w:val="21"/>
          <w:szCs w:val="21"/>
          <w:highlight w:val="none"/>
          <w:lang w:val="en-US" w:eastAsia="zh-CN"/>
        </w:rPr>
        <w:t>陈工</w:t>
      </w:r>
    </w:p>
    <w:p>
      <w:pPr>
        <w:pStyle w:val="90"/>
        <w:spacing w:after="156" w:line="340" w:lineRule="exact"/>
        <w:ind w:firstLine="420"/>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项目联系方式（询问）：</w:t>
      </w:r>
      <w:r>
        <w:rPr>
          <w:rFonts w:hint="eastAsia" w:cs="Arial" w:asciiTheme="minorEastAsia" w:hAnsiTheme="minorEastAsia" w:eastAsiaTheme="minorEastAsia"/>
          <w:color w:val="auto"/>
          <w:sz w:val="21"/>
          <w:szCs w:val="21"/>
          <w:highlight w:val="none"/>
          <w:lang w:eastAsia="zh-CN"/>
        </w:rPr>
        <w:t>0574-</w:t>
      </w:r>
      <w:r>
        <w:rPr>
          <w:rFonts w:hint="eastAsia" w:cs="Arial" w:asciiTheme="minorEastAsia" w:hAnsiTheme="minorEastAsia" w:eastAsiaTheme="minorEastAsia"/>
          <w:color w:val="auto"/>
          <w:sz w:val="21"/>
          <w:szCs w:val="21"/>
          <w:highlight w:val="none"/>
        </w:rPr>
        <w:t>87650859</w:t>
      </w:r>
    </w:p>
    <w:p>
      <w:pPr>
        <w:pStyle w:val="90"/>
        <w:spacing w:after="156" w:line="340" w:lineRule="exact"/>
        <w:ind w:firstLine="420"/>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 xml:space="preserve">2.采购代理机构信息 </w:t>
      </w:r>
    </w:p>
    <w:p>
      <w:pPr>
        <w:pStyle w:val="90"/>
        <w:spacing w:after="156" w:line="340" w:lineRule="exact"/>
        <w:ind w:firstLine="420"/>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名    称：宁波华欣建设项目管理有限公司</w:t>
      </w:r>
    </w:p>
    <w:p>
      <w:pPr>
        <w:pStyle w:val="90"/>
        <w:spacing w:after="156" w:line="340" w:lineRule="exact"/>
        <w:ind w:firstLine="420"/>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地    址：宁波市江北区长兴路715号恒凯大厦6</w:t>
      </w:r>
      <w:r>
        <w:rPr>
          <w:rFonts w:cs="Arial" w:asciiTheme="minorEastAsia" w:hAnsiTheme="minorEastAsia" w:eastAsiaTheme="minorEastAsia"/>
          <w:color w:val="auto"/>
          <w:sz w:val="21"/>
          <w:szCs w:val="21"/>
          <w:highlight w:val="none"/>
        </w:rPr>
        <w:t>05</w:t>
      </w:r>
      <w:r>
        <w:rPr>
          <w:rFonts w:hint="eastAsia" w:cs="Arial" w:asciiTheme="minorEastAsia" w:hAnsiTheme="minorEastAsia" w:eastAsiaTheme="minorEastAsia"/>
          <w:color w:val="auto"/>
          <w:sz w:val="21"/>
          <w:szCs w:val="21"/>
          <w:highlight w:val="none"/>
        </w:rPr>
        <w:t>室</w:t>
      </w:r>
    </w:p>
    <w:p>
      <w:pPr>
        <w:pStyle w:val="90"/>
        <w:spacing w:after="156" w:line="340" w:lineRule="exact"/>
        <w:ind w:firstLine="420"/>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传    真：/</w:t>
      </w:r>
    </w:p>
    <w:p>
      <w:pPr>
        <w:pStyle w:val="90"/>
        <w:spacing w:after="156" w:line="340" w:lineRule="exact"/>
        <w:ind w:firstLine="420"/>
        <w:rPr>
          <w:rFonts w:hint="default" w:cs="Arial" w:asciiTheme="minorEastAsia" w:hAnsiTheme="minorEastAsia" w:eastAsiaTheme="minorEastAsia"/>
          <w:color w:val="auto"/>
          <w:sz w:val="21"/>
          <w:szCs w:val="21"/>
          <w:highlight w:val="none"/>
          <w:lang w:val="en-US" w:eastAsia="zh-CN"/>
        </w:rPr>
      </w:pPr>
      <w:r>
        <w:rPr>
          <w:rFonts w:hint="eastAsia" w:cs="Arial" w:asciiTheme="minorEastAsia" w:hAnsiTheme="minorEastAsia" w:eastAsiaTheme="minorEastAsia"/>
          <w:color w:val="auto"/>
          <w:sz w:val="21"/>
          <w:szCs w:val="21"/>
          <w:highlight w:val="none"/>
        </w:rPr>
        <w:t>项目联系人（询问）：</w:t>
      </w:r>
      <w:r>
        <w:rPr>
          <w:rFonts w:hint="eastAsia" w:cs="Arial" w:asciiTheme="minorEastAsia" w:hAnsiTheme="minorEastAsia" w:eastAsiaTheme="minorEastAsia"/>
          <w:color w:val="auto"/>
          <w:sz w:val="21"/>
          <w:szCs w:val="21"/>
          <w:highlight w:val="none"/>
          <w:lang w:val="en-US" w:eastAsia="zh-CN"/>
        </w:rPr>
        <w:t>唐佳萍、</w:t>
      </w:r>
      <w:r>
        <w:rPr>
          <w:rFonts w:hint="eastAsia" w:cs="Arial" w:asciiTheme="minorEastAsia" w:hAnsiTheme="minorEastAsia" w:eastAsiaTheme="minorEastAsia"/>
          <w:color w:val="auto"/>
          <w:sz w:val="21"/>
          <w:szCs w:val="21"/>
          <w:highlight w:val="none"/>
        </w:rPr>
        <w:t>张霆、田恬、王静</w:t>
      </w:r>
      <w:r>
        <w:rPr>
          <w:rFonts w:hint="eastAsia" w:cs="Arial" w:asciiTheme="minorEastAsia" w:hAnsiTheme="minorEastAsia" w:eastAsiaTheme="minorEastAsia"/>
          <w:color w:val="auto"/>
          <w:sz w:val="21"/>
          <w:szCs w:val="21"/>
          <w:highlight w:val="none"/>
          <w:lang w:eastAsia="zh-CN"/>
        </w:rPr>
        <w:t>、</w:t>
      </w:r>
      <w:r>
        <w:rPr>
          <w:rFonts w:hint="eastAsia" w:cs="Arial" w:asciiTheme="minorEastAsia" w:hAnsiTheme="minorEastAsia" w:eastAsiaTheme="minorEastAsia"/>
          <w:color w:val="auto"/>
          <w:sz w:val="21"/>
          <w:szCs w:val="21"/>
          <w:highlight w:val="none"/>
          <w:lang w:val="en-US" w:eastAsia="zh-CN"/>
        </w:rPr>
        <w:t>陈佳妮</w:t>
      </w:r>
    </w:p>
    <w:p>
      <w:pPr>
        <w:pStyle w:val="90"/>
        <w:spacing w:after="156" w:line="340" w:lineRule="exact"/>
        <w:ind w:firstLine="420"/>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项目联系方式（询问）：</w:t>
      </w:r>
      <w:r>
        <w:rPr>
          <w:rFonts w:cs="Arial" w:asciiTheme="minorEastAsia" w:hAnsiTheme="minorEastAsia" w:eastAsiaTheme="minorEastAsia"/>
          <w:color w:val="auto"/>
          <w:sz w:val="21"/>
          <w:szCs w:val="21"/>
          <w:highlight w:val="none"/>
        </w:rPr>
        <w:t>0574-8</w:t>
      </w:r>
      <w:r>
        <w:rPr>
          <w:rFonts w:hint="eastAsia" w:cs="Arial" w:asciiTheme="minorEastAsia" w:hAnsiTheme="minorEastAsia" w:eastAsiaTheme="minorEastAsia"/>
          <w:color w:val="auto"/>
          <w:sz w:val="21"/>
          <w:szCs w:val="21"/>
          <w:highlight w:val="none"/>
        </w:rPr>
        <w:t>8228780</w:t>
      </w:r>
    </w:p>
    <w:p>
      <w:pPr>
        <w:pStyle w:val="90"/>
        <w:spacing w:after="156" w:line="340" w:lineRule="exact"/>
        <w:ind w:firstLine="420"/>
        <w:rPr>
          <w:rFonts w:hint="eastAsia" w:cs="Arial" w:asciiTheme="minorEastAsia" w:hAnsiTheme="minorEastAsia" w:eastAsiaTheme="minorEastAsia"/>
          <w:color w:val="auto"/>
          <w:sz w:val="21"/>
          <w:szCs w:val="21"/>
          <w:highlight w:val="none"/>
          <w:lang w:eastAsia="zh-CN"/>
        </w:rPr>
      </w:pPr>
      <w:r>
        <w:rPr>
          <w:rFonts w:hint="eastAsia" w:cs="Arial" w:asciiTheme="minorEastAsia" w:hAnsiTheme="minorEastAsia" w:eastAsiaTheme="minorEastAsia"/>
          <w:color w:val="auto"/>
          <w:sz w:val="21"/>
          <w:szCs w:val="21"/>
          <w:highlight w:val="none"/>
        </w:rPr>
        <w:t>质疑联系人：</w:t>
      </w:r>
      <w:r>
        <w:rPr>
          <w:rFonts w:hint="eastAsia" w:cs="Arial" w:asciiTheme="minorEastAsia" w:hAnsiTheme="minorEastAsia" w:eastAsiaTheme="minorEastAsia"/>
          <w:color w:val="auto"/>
          <w:sz w:val="21"/>
          <w:szCs w:val="21"/>
          <w:highlight w:val="none"/>
          <w:lang w:val="en-US" w:eastAsia="zh-CN"/>
        </w:rPr>
        <w:t>陈佳妮</w:t>
      </w:r>
    </w:p>
    <w:p>
      <w:pPr>
        <w:pStyle w:val="90"/>
        <w:spacing w:after="156" w:line="340" w:lineRule="exact"/>
        <w:ind w:firstLine="420"/>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质疑联系方式：</w:t>
      </w:r>
      <w:r>
        <w:rPr>
          <w:rFonts w:cs="Arial" w:asciiTheme="minorEastAsia" w:hAnsiTheme="minorEastAsia" w:eastAsiaTheme="minorEastAsia"/>
          <w:color w:val="auto"/>
          <w:sz w:val="21"/>
          <w:szCs w:val="21"/>
          <w:highlight w:val="none"/>
        </w:rPr>
        <w:t>0574-8</w:t>
      </w:r>
      <w:r>
        <w:rPr>
          <w:rFonts w:hint="eastAsia" w:cs="Arial" w:asciiTheme="minorEastAsia" w:hAnsiTheme="minorEastAsia" w:eastAsiaTheme="minorEastAsia"/>
          <w:color w:val="auto"/>
          <w:sz w:val="21"/>
          <w:szCs w:val="21"/>
          <w:highlight w:val="none"/>
        </w:rPr>
        <w:t>8228779</w:t>
      </w:r>
    </w:p>
    <w:p>
      <w:pPr>
        <w:rPr>
          <w:color w:val="auto"/>
          <w:highlight w:val="none"/>
        </w:rPr>
      </w:pPr>
    </w:p>
    <w:p>
      <w:pPr>
        <w:spacing w:line="400" w:lineRule="exact"/>
        <w:rPr>
          <w:rFonts w:ascii="宋体" w:cs="宋体"/>
          <w:color w:val="auto"/>
          <w:highlight w:val="none"/>
        </w:rPr>
      </w:pPr>
      <w:r>
        <w:rPr>
          <w:rFonts w:hint="eastAsia" w:asci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pacing w:line="400" w:lineRule="exact"/>
        <w:rPr>
          <w:rFonts w:ascii="宋体" w:cs="宋体"/>
          <w:color w:val="auto"/>
          <w:highlight w:val="none"/>
        </w:rPr>
      </w:pPr>
      <w:r>
        <w:rPr>
          <w:rFonts w:hint="eastAsia" w:ascii="宋体" w:cs="宋体"/>
          <w:color w:val="auto"/>
          <w:highlight w:val="none"/>
        </w:rPr>
        <w:t>CA问题联系电话（人工）：汇信CA400-888-4636；天谷CA400-087-8198。</w:t>
      </w:r>
      <w:r>
        <w:rPr>
          <w:rFonts w:hint="eastAsia" w:ascii="宋体" w:cs="宋体"/>
          <w:color w:val="auto"/>
          <w:highlight w:val="none"/>
        </w:rPr>
        <w:br w:type="page"/>
      </w:r>
    </w:p>
    <w:bookmarkEnd w:id="5"/>
    <w:p>
      <w:pPr>
        <w:pStyle w:val="27"/>
        <w:snapToGrid w:val="0"/>
        <w:spacing w:line="440" w:lineRule="exact"/>
        <w:jc w:val="center"/>
        <w:outlineLvl w:val="0"/>
        <w:rPr>
          <w:rStyle w:val="65"/>
          <w:rFonts w:hint="eastAsia"/>
          <w:color w:val="auto"/>
          <w:sz w:val="28"/>
          <w:szCs w:val="28"/>
          <w:highlight w:val="none"/>
        </w:rPr>
      </w:pPr>
      <w:bookmarkStart w:id="6" w:name="_Toc27522"/>
      <w:bookmarkStart w:id="7" w:name="_Toc104835479"/>
      <w:bookmarkStart w:id="8" w:name="_Toc103030414"/>
      <w:r>
        <w:rPr>
          <w:rStyle w:val="65"/>
          <w:rFonts w:hint="eastAsia"/>
          <w:color w:val="auto"/>
          <w:sz w:val="28"/>
          <w:szCs w:val="28"/>
          <w:highlight w:val="none"/>
        </w:rPr>
        <w:t>第二章  招标需求</w:t>
      </w:r>
      <w:bookmarkEnd w:id="6"/>
      <w:bookmarkEnd w:id="7"/>
      <w:bookmarkEnd w:id="8"/>
    </w:p>
    <w:p>
      <w:pPr>
        <w:keepNext w:val="0"/>
        <w:keepLines w:val="0"/>
        <w:pageBreakBefore w:val="0"/>
        <w:widowControl/>
        <w:kinsoku/>
        <w:wordWrap/>
        <w:overflowPunct/>
        <w:topLinePunct w:val="0"/>
        <w:autoSpaceDE/>
        <w:autoSpaceDN/>
        <w:bidi w:val="0"/>
        <w:adjustRightInd/>
        <w:spacing w:line="360" w:lineRule="auto"/>
        <w:textAlignment w:val="auto"/>
        <w:rPr>
          <w:b/>
          <w:color w:val="auto"/>
          <w:szCs w:val="21"/>
          <w:highlight w:val="none"/>
        </w:rPr>
      </w:pPr>
      <w:bookmarkStart w:id="9" w:name="_Toc103030415"/>
      <w:r>
        <w:rPr>
          <w:b/>
          <w:bCs/>
          <w:color w:val="auto"/>
          <w:szCs w:val="21"/>
          <w:highlight w:val="none"/>
        </w:rPr>
        <w:t>一、项目概况</w:t>
      </w:r>
    </w:p>
    <w:p>
      <w:pPr>
        <w:keepNext w:val="0"/>
        <w:keepLines w:val="0"/>
        <w:pageBreakBefore w:val="0"/>
        <w:widowControl/>
        <w:kinsoku/>
        <w:wordWrap/>
        <w:overflowPunct/>
        <w:topLinePunct w:val="0"/>
        <w:autoSpaceDE/>
        <w:autoSpaceDN/>
        <w:bidi w:val="0"/>
        <w:adjustRightInd/>
        <w:spacing w:line="360" w:lineRule="auto"/>
        <w:textAlignment w:val="auto"/>
        <w:rPr>
          <w:rFonts w:hint="eastAsia"/>
          <w:color w:val="auto"/>
          <w:sz w:val="21"/>
          <w:szCs w:val="21"/>
          <w:highlight w:val="none"/>
        </w:rPr>
      </w:pPr>
      <w:r>
        <w:rPr>
          <w:color w:val="auto"/>
          <w:sz w:val="21"/>
          <w:szCs w:val="21"/>
          <w:highlight w:val="none"/>
        </w:rPr>
        <w:t>因建设需要，</w:t>
      </w:r>
      <w:r>
        <w:rPr>
          <w:rFonts w:hint="eastAsia"/>
          <w:color w:val="auto"/>
          <w:sz w:val="21"/>
          <w:szCs w:val="21"/>
          <w:highlight w:val="none"/>
          <w:lang w:eastAsia="zh-CN"/>
        </w:rPr>
        <w:t>宁波市江北狮子山园林工程有限公司</w:t>
      </w:r>
      <w:r>
        <w:rPr>
          <w:color w:val="auto"/>
          <w:sz w:val="21"/>
          <w:szCs w:val="21"/>
          <w:highlight w:val="none"/>
        </w:rPr>
        <w:t>拟对</w:t>
      </w:r>
      <w:r>
        <w:rPr>
          <w:rFonts w:hint="eastAsia"/>
          <w:color w:val="auto"/>
          <w:sz w:val="21"/>
          <w:szCs w:val="21"/>
          <w:highlight w:val="none"/>
          <w:lang w:val="en-US" w:eastAsia="zh-CN"/>
        </w:rPr>
        <w:t>前江街道</w:t>
      </w:r>
      <w:r>
        <w:rPr>
          <w:rFonts w:hint="eastAsia"/>
          <w:color w:val="auto"/>
          <w:sz w:val="21"/>
          <w:szCs w:val="21"/>
          <w:highlight w:val="none"/>
        </w:rPr>
        <w:t>内地块</w:t>
      </w:r>
      <w:r>
        <w:rPr>
          <w:color w:val="auto"/>
          <w:sz w:val="21"/>
          <w:szCs w:val="21"/>
          <w:highlight w:val="none"/>
        </w:rPr>
        <w:t>进行</w:t>
      </w:r>
      <w:r>
        <w:rPr>
          <w:rFonts w:hint="eastAsia"/>
          <w:color w:val="auto"/>
          <w:sz w:val="21"/>
          <w:szCs w:val="21"/>
          <w:highlight w:val="none"/>
        </w:rPr>
        <w:t>耕作层</w:t>
      </w:r>
      <w:r>
        <w:rPr>
          <w:color w:val="auto"/>
          <w:sz w:val="21"/>
          <w:szCs w:val="21"/>
          <w:highlight w:val="none"/>
        </w:rPr>
        <w:t>剥离及清运。具体处置点位于业主指定地点</w:t>
      </w:r>
      <w:r>
        <w:rPr>
          <w:rFonts w:hint="eastAsia"/>
          <w:color w:val="auto"/>
          <w:sz w:val="21"/>
          <w:szCs w:val="21"/>
          <w:highlight w:val="none"/>
        </w:rPr>
        <w:t>。</w:t>
      </w:r>
    </w:p>
    <w:p>
      <w:pPr>
        <w:keepNext w:val="0"/>
        <w:keepLines w:val="0"/>
        <w:pageBreakBefore w:val="0"/>
        <w:widowControl/>
        <w:kinsoku/>
        <w:wordWrap/>
        <w:overflowPunct/>
        <w:topLinePunct w:val="0"/>
        <w:autoSpaceDE/>
        <w:autoSpaceDN/>
        <w:bidi w:val="0"/>
        <w:adjustRightInd/>
        <w:spacing w:line="360" w:lineRule="auto"/>
        <w:textAlignment w:val="auto"/>
        <w:rPr>
          <w:b/>
          <w:bCs/>
          <w:color w:val="auto"/>
          <w:szCs w:val="21"/>
          <w:highlight w:val="none"/>
        </w:rPr>
      </w:pPr>
      <w:r>
        <w:rPr>
          <w:b/>
          <w:bCs/>
          <w:color w:val="auto"/>
          <w:szCs w:val="21"/>
          <w:highlight w:val="none"/>
        </w:rPr>
        <w:t>二、招标技术需求</w:t>
      </w:r>
    </w:p>
    <w:p>
      <w:pPr>
        <w:keepNext w:val="0"/>
        <w:keepLines w:val="0"/>
        <w:pageBreakBefore w:val="0"/>
        <w:widowControl/>
        <w:kinsoku/>
        <w:wordWrap/>
        <w:overflowPunct/>
        <w:topLinePunct w:val="0"/>
        <w:autoSpaceDE/>
        <w:autoSpaceDN/>
        <w:bidi w:val="0"/>
        <w:adjustRightInd/>
        <w:spacing w:line="360" w:lineRule="auto"/>
        <w:textAlignment w:val="auto"/>
        <w:rPr>
          <w:color w:val="auto"/>
          <w:sz w:val="21"/>
          <w:szCs w:val="21"/>
          <w:highlight w:val="none"/>
        </w:rPr>
      </w:pPr>
      <w:r>
        <w:rPr>
          <w:color w:val="auto"/>
          <w:sz w:val="21"/>
          <w:szCs w:val="21"/>
          <w:highlight w:val="none"/>
        </w:rPr>
        <w:t>1.地块面积及方量</w:t>
      </w:r>
      <w:r>
        <w:rPr>
          <w:rFonts w:hint="eastAsia"/>
          <w:color w:val="auto"/>
          <w:sz w:val="21"/>
          <w:szCs w:val="21"/>
          <w:highlight w:val="none"/>
        </w:rPr>
        <w:t>以</w:t>
      </w:r>
      <w:r>
        <w:rPr>
          <w:color w:val="auto"/>
          <w:sz w:val="21"/>
          <w:szCs w:val="21"/>
          <w:highlight w:val="none"/>
        </w:rPr>
        <w:t>具体实施为准</w:t>
      </w:r>
      <w:r>
        <w:rPr>
          <w:rFonts w:hint="eastAsia"/>
          <w:color w:val="auto"/>
          <w:sz w:val="21"/>
          <w:szCs w:val="21"/>
          <w:highlight w:val="none"/>
        </w:rPr>
        <w:t>。</w:t>
      </w:r>
    </w:p>
    <w:p>
      <w:pPr>
        <w:keepNext w:val="0"/>
        <w:keepLines w:val="0"/>
        <w:pageBreakBefore w:val="0"/>
        <w:widowControl/>
        <w:kinsoku/>
        <w:wordWrap/>
        <w:overflowPunct/>
        <w:topLinePunct w:val="0"/>
        <w:autoSpaceDE/>
        <w:autoSpaceDN/>
        <w:bidi w:val="0"/>
        <w:adjustRightInd/>
        <w:spacing w:line="360" w:lineRule="auto"/>
        <w:textAlignment w:val="auto"/>
        <w:rPr>
          <w:color w:val="auto"/>
          <w:sz w:val="21"/>
          <w:szCs w:val="21"/>
          <w:highlight w:val="none"/>
        </w:rPr>
      </w:pPr>
      <w:r>
        <w:rPr>
          <w:color w:val="auto"/>
          <w:sz w:val="21"/>
          <w:szCs w:val="21"/>
          <w:highlight w:val="none"/>
        </w:rPr>
        <w:t>2.技术规范</w:t>
      </w:r>
    </w:p>
    <w:p>
      <w:pPr>
        <w:keepNext w:val="0"/>
        <w:keepLines w:val="0"/>
        <w:pageBreakBefore w:val="0"/>
        <w:widowControl/>
        <w:numPr>
          <w:ilvl w:val="0"/>
          <w:numId w:val="0"/>
        </w:numPr>
        <w:kinsoku/>
        <w:wordWrap/>
        <w:overflowPunct/>
        <w:topLinePunct w:val="0"/>
        <w:autoSpaceDE/>
        <w:autoSpaceDN/>
        <w:bidi w:val="0"/>
        <w:adjustRightInd/>
        <w:spacing w:line="360" w:lineRule="auto"/>
        <w:ind w:leftChars="0"/>
        <w:jc w:val="both"/>
        <w:textAlignment w:val="auto"/>
        <w:rPr>
          <w:color w:val="auto"/>
          <w:sz w:val="21"/>
          <w:szCs w:val="21"/>
          <w:highlight w:val="none"/>
        </w:rPr>
      </w:pPr>
      <w:r>
        <w:rPr>
          <w:rFonts w:hint="eastAsia"/>
          <w:color w:val="auto"/>
          <w:sz w:val="21"/>
          <w:szCs w:val="21"/>
          <w:highlight w:val="none"/>
          <w:lang w:val="en-US" w:eastAsia="zh-CN"/>
        </w:rPr>
        <w:t>2.1</w:t>
      </w:r>
      <w:r>
        <w:rPr>
          <w:color w:val="auto"/>
          <w:sz w:val="21"/>
          <w:szCs w:val="21"/>
          <w:highlight w:val="none"/>
        </w:rPr>
        <w:t>挖土深度</w:t>
      </w:r>
      <w:r>
        <w:rPr>
          <w:rFonts w:hint="eastAsia"/>
          <w:color w:val="auto"/>
          <w:sz w:val="21"/>
          <w:szCs w:val="21"/>
          <w:highlight w:val="none"/>
        </w:rPr>
        <w:t>28㎝</w:t>
      </w:r>
      <w:r>
        <w:rPr>
          <w:color w:val="auto"/>
          <w:sz w:val="21"/>
          <w:szCs w:val="21"/>
          <w:highlight w:val="none"/>
        </w:rPr>
        <w:t>±3</w:t>
      </w:r>
      <w:r>
        <w:rPr>
          <w:rFonts w:hint="eastAsia"/>
          <w:color w:val="auto"/>
          <w:sz w:val="21"/>
          <w:szCs w:val="21"/>
          <w:highlight w:val="none"/>
        </w:rPr>
        <w:t>，</w:t>
      </w:r>
      <w:r>
        <w:rPr>
          <w:color w:val="auto"/>
          <w:sz w:val="21"/>
          <w:szCs w:val="21"/>
          <w:highlight w:val="none"/>
        </w:rPr>
        <w:t>实际测量以第三方测量为准</w:t>
      </w:r>
      <w:r>
        <w:rPr>
          <w:rFonts w:hint="eastAsia"/>
          <w:color w:val="auto"/>
          <w:sz w:val="21"/>
          <w:szCs w:val="21"/>
          <w:highlight w:val="none"/>
        </w:rPr>
        <w:t>，</w:t>
      </w:r>
      <w:r>
        <w:rPr>
          <w:color w:val="auto"/>
          <w:sz w:val="21"/>
          <w:szCs w:val="21"/>
          <w:highlight w:val="none"/>
        </w:rPr>
        <w:t>测量所需费用由招标人承担</w:t>
      </w:r>
      <w:r>
        <w:rPr>
          <w:rFonts w:hint="eastAsia"/>
          <w:color w:val="auto"/>
          <w:sz w:val="21"/>
          <w:szCs w:val="21"/>
          <w:highlight w:val="none"/>
        </w:rPr>
        <w:t>。</w:t>
      </w:r>
    </w:p>
    <w:p>
      <w:pPr>
        <w:keepNext w:val="0"/>
        <w:keepLines w:val="0"/>
        <w:pageBreakBefore w:val="0"/>
        <w:widowControl/>
        <w:kinsoku/>
        <w:wordWrap/>
        <w:overflowPunct/>
        <w:topLinePunct w:val="0"/>
        <w:autoSpaceDE/>
        <w:autoSpaceDN/>
        <w:bidi w:val="0"/>
        <w:adjustRightInd/>
        <w:spacing w:line="360" w:lineRule="auto"/>
        <w:textAlignment w:val="auto"/>
        <w:rPr>
          <w:rFonts w:hint="default" w:eastAsia="宋体"/>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2.2</w:t>
      </w:r>
      <w:r>
        <w:rPr>
          <w:rFonts w:asciiTheme="minorEastAsia" w:hAnsiTheme="minorEastAsia" w:eastAsiaTheme="minorEastAsia"/>
          <w:color w:val="auto"/>
          <w:szCs w:val="21"/>
          <w:highlight w:val="none"/>
        </w:rPr>
        <w:t>表土</w:t>
      </w:r>
      <w:r>
        <w:rPr>
          <w:rFonts w:hint="eastAsia" w:asciiTheme="minorEastAsia" w:hAnsiTheme="minorEastAsia" w:eastAsiaTheme="minorEastAsia"/>
          <w:color w:val="auto"/>
          <w:szCs w:val="21"/>
          <w:highlight w:val="none"/>
        </w:rPr>
        <w:t>剥离</w:t>
      </w:r>
      <w:r>
        <w:rPr>
          <w:rFonts w:asciiTheme="minorEastAsia" w:hAnsiTheme="minorEastAsia" w:eastAsiaTheme="minorEastAsia"/>
          <w:color w:val="auto"/>
          <w:szCs w:val="21"/>
          <w:highlight w:val="none"/>
        </w:rPr>
        <w:t>、运输、倾倒、平整要求：</w:t>
      </w: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t>土地经第三方测量单位测量后，若土地适合剥离，中标人须在相应范围内进行剥离，</w:t>
      </w:r>
      <w:r>
        <w:rPr>
          <w:rFonts w:hint="eastAsia" w:asciiTheme="minorEastAsia" w:hAnsiTheme="minorEastAsia" w:eastAsiaTheme="minorEastAsia"/>
          <w:color w:val="auto"/>
          <w:szCs w:val="21"/>
          <w:highlight w:val="none"/>
        </w:rPr>
        <w:t>人数要求不少于</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人。在挖掘机进场工作之前，应以科学的方法剥离表土，尽量减少对表土的损坏，表土剥离后，将会由</w:t>
      </w:r>
      <w:r>
        <w:rPr>
          <w:rFonts w:hint="eastAsia" w:asciiTheme="minorEastAsia" w:hAnsiTheme="minorEastAsia" w:eastAsiaTheme="minorEastAsia"/>
          <w:color w:val="auto"/>
          <w:szCs w:val="21"/>
          <w:highlight w:val="none"/>
          <w:lang w:eastAsia="zh-CN"/>
        </w:rPr>
        <w:t>宁波市自然资源和规划局江北分局</w:t>
      </w:r>
      <w:r>
        <w:rPr>
          <w:rFonts w:hint="eastAsia" w:asciiTheme="minorEastAsia" w:hAnsiTheme="minorEastAsia" w:eastAsiaTheme="minorEastAsia"/>
          <w:color w:val="auto"/>
          <w:szCs w:val="21"/>
          <w:highlight w:val="none"/>
          <w:lang w:val="en-US" w:eastAsia="zh-CN"/>
        </w:rPr>
        <w:t>等相关部门</w:t>
      </w:r>
      <w:r>
        <w:rPr>
          <w:rFonts w:hint="eastAsia" w:asciiTheme="minorEastAsia" w:hAnsiTheme="minorEastAsia" w:eastAsiaTheme="minorEastAsia"/>
          <w:color w:val="auto"/>
          <w:szCs w:val="21"/>
          <w:highlight w:val="none"/>
        </w:rPr>
        <w:t>进行验收。</w:t>
      </w:r>
      <w:r>
        <w:rPr>
          <w:rFonts w:asciiTheme="minorEastAsia" w:hAnsiTheme="minorEastAsia" w:eastAsiaTheme="minorEastAsia"/>
          <w:color w:val="auto"/>
          <w:szCs w:val="21"/>
          <w:highlight w:val="none"/>
        </w:rPr>
        <w:t>剥离后的土地</w:t>
      </w:r>
      <w:r>
        <w:rPr>
          <w:rFonts w:hint="eastAsia" w:asciiTheme="minorEastAsia" w:hAnsiTheme="minorEastAsia" w:eastAsiaTheme="minorEastAsia"/>
          <w:color w:val="auto"/>
          <w:szCs w:val="21"/>
          <w:highlight w:val="none"/>
        </w:rPr>
        <w:t>呈现出凹凸不平之状，中标人应对地表进行整平，并针对土地压实度进行调整，</w:t>
      </w:r>
      <w:r>
        <w:rPr>
          <w:rFonts w:asciiTheme="minorEastAsia" w:hAnsiTheme="minorEastAsia" w:eastAsiaTheme="minorEastAsia"/>
          <w:color w:val="auto"/>
          <w:szCs w:val="21"/>
          <w:highlight w:val="none"/>
        </w:rPr>
        <w:t>再将表土运输至指定</w:t>
      </w:r>
      <w:r>
        <w:rPr>
          <w:rFonts w:hint="eastAsia" w:asciiTheme="minorEastAsia" w:hAnsiTheme="minorEastAsia" w:eastAsiaTheme="minorEastAsia"/>
          <w:color w:val="auto"/>
          <w:szCs w:val="21"/>
          <w:highlight w:val="none"/>
        </w:rPr>
        <w:t>场地，运输过程中，中标人须确保运输安全并且承担在运输过程中的卫生工作，装卸及运输途中如发生任何事故,</w:t>
      </w:r>
      <w:r>
        <w:rPr>
          <w:rFonts w:asciiTheme="minorEastAsia" w:hAnsiTheme="minorEastAsia" w:eastAsiaTheme="minorEastAsia"/>
          <w:color w:val="auto"/>
          <w:szCs w:val="21"/>
          <w:highlight w:val="none"/>
        </w:rPr>
        <w:t>均由中标人负责。</w:t>
      </w:r>
    </w:p>
    <w:p>
      <w:pPr>
        <w:keepNext w:val="0"/>
        <w:keepLines w:val="0"/>
        <w:pageBreakBefore w:val="0"/>
        <w:widowControl/>
        <w:numPr>
          <w:ilvl w:val="0"/>
          <w:numId w:val="0"/>
        </w:numPr>
        <w:kinsoku/>
        <w:wordWrap/>
        <w:overflowPunct/>
        <w:topLinePunct w:val="0"/>
        <w:autoSpaceDE/>
        <w:autoSpaceDN/>
        <w:bidi w:val="0"/>
        <w:adjustRightInd/>
        <w:spacing w:line="360" w:lineRule="auto"/>
        <w:ind w:leftChars="0"/>
        <w:jc w:val="both"/>
        <w:textAlignment w:val="auto"/>
        <w:rPr>
          <w:rFonts w:hint="eastAsia"/>
          <w:color w:val="auto"/>
          <w:sz w:val="21"/>
          <w:szCs w:val="21"/>
          <w:highlight w:val="none"/>
        </w:rPr>
      </w:pPr>
      <w:r>
        <w:rPr>
          <w:rFonts w:hint="eastAsia"/>
          <w:color w:val="auto"/>
          <w:sz w:val="21"/>
          <w:szCs w:val="21"/>
          <w:highlight w:val="none"/>
          <w:lang w:val="en-US" w:eastAsia="zh-CN"/>
        </w:rPr>
        <w:t>2.3</w:t>
      </w:r>
      <w:r>
        <w:rPr>
          <w:rFonts w:hint="eastAsia"/>
          <w:color w:val="auto"/>
          <w:sz w:val="21"/>
          <w:szCs w:val="21"/>
          <w:highlight w:val="none"/>
        </w:rPr>
        <w:t>处置场地管理：本服务项目由招标人提供处置场地，位于</w:t>
      </w:r>
      <w:r>
        <w:rPr>
          <w:color w:val="auto"/>
          <w:sz w:val="21"/>
          <w:szCs w:val="21"/>
          <w:highlight w:val="none"/>
        </w:rPr>
        <w:t>业主指定地点</w:t>
      </w:r>
      <w:r>
        <w:rPr>
          <w:rFonts w:hint="eastAsia"/>
          <w:color w:val="auto"/>
          <w:sz w:val="21"/>
          <w:szCs w:val="21"/>
          <w:highlight w:val="none"/>
        </w:rPr>
        <w:t>（按实际需要调整位置）。中标人须对处置场地提供专人现场管理，不得有建筑垃圾、渣土、生活垃圾倾倒。招标人将定期对现场进行巡查，如管理不当，招标人有权终止合同，并要求中标人赔偿损失。</w:t>
      </w:r>
    </w:p>
    <w:p>
      <w:pPr>
        <w:keepNext w:val="0"/>
        <w:keepLines w:val="0"/>
        <w:pageBreakBefore w:val="0"/>
        <w:widowControl/>
        <w:numPr>
          <w:ilvl w:val="0"/>
          <w:numId w:val="0"/>
        </w:numPr>
        <w:kinsoku/>
        <w:wordWrap/>
        <w:overflowPunct/>
        <w:topLinePunct w:val="0"/>
        <w:autoSpaceDE/>
        <w:autoSpaceDN/>
        <w:bidi w:val="0"/>
        <w:adjustRightInd/>
        <w:spacing w:line="360" w:lineRule="auto"/>
        <w:ind w:leftChars="0"/>
        <w:jc w:val="both"/>
        <w:textAlignment w:val="auto"/>
        <w:rPr>
          <w:color w:val="auto"/>
          <w:sz w:val="21"/>
          <w:szCs w:val="21"/>
          <w:highlight w:val="none"/>
        </w:rPr>
      </w:pPr>
      <w:r>
        <w:rPr>
          <w:rFonts w:hint="eastAsia"/>
          <w:color w:val="auto"/>
          <w:sz w:val="21"/>
          <w:szCs w:val="21"/>
          <w:highlight w:val="none"/>
          <w:lang w:val="en-US" w:eastAsia="zh-CN"/>
        </w:rPr>
        <w:t>2.4</w:t>
      </w:r>
      <w:r>
        <w:rPr>
          <w:color w:val="auto"/>
          <w:sz w:val="21"/>
          <w:szCs w:val="21"/>
          <w:highlight w:val="none"/>
        </w:rPr>
        <w:t>中标人供应商须在中标后 3 天内将本项目作业方案（包括运输路线、相关临时设施的搭建、相关文明施工的措施等）提交给招标人，并</w:t>
      </w:r>
      <w:r>
        <w:rPr>
          <w:rFonts w:hint="eastAsia"/>
          <w:color w:val="auto"/>
          <w:sz w:val="21"/>
          <w:szCs w:val="21"/>
          <w:highlight w:val="none"/>
        </w:rPr>
        <w:t>在</w:t>
      </w:r>
      <w:r>
        <w:rPr>
          <w:rFonts w:hint="eastAsia"/>
          <w:color w:val="auto"/>
          <w:sz w:val="21"/>
          <w:szCs w:val="21"/>
          <w:highlight w:val="none"/>
          <w:lang w:eastAsia="zh-CN"/>
        </w:rPr>
        <w:t>江北区综合行政执法局前江中队</w:t>
      </w:r>
      <w:r>
        <w:rPr>
          <w:color w:val="auto"/>
          <w:sz w:val="21"/>
          <w:szCs w:val="21"/>
          <w:highlight w:val="none"/>
        </w:rPr>
        <w:t>进行渣土清运备案，经招标人认可后方可实施土方清运工作。</w:t>
      </w:r>
    </w:p>
    <w:p>
      <w:pPr>
        <w:keepNext w:val="0"/>
        <w:keepLines w:val="0"/>
        <w:pageBreakBefore w:val="0"/>
        <w:widowControl/>
        <w:numPr>
          <w:ilvl w:val="0"/>
          <w:numId w:val="0"/>
        </w:numPr>
        <w:kinsoku/>
        <w:wordWrap/>
        <w:overflowPunct/>
        <w:topLinePunct w:val="0"/>
        <w:autoSpaceDE/>
        <w:autoSpaceDN/>
        <w:bidi w:val="0"/>
        <w:adjustRightInd/>
        <w:spacing w:line="360" w:lineRule="auto"/>
        <w:ind w:leftChars="0"/>
        <w:textAlignment w:val="auto"/>
        <w:rPr>
          <w:color w:val="auto"/>
          <w:sz w:val="21"/>
          <w:szCs w:val="21"/>
          <w:highlight w:val="none"/>
        </w:rPr>
      </w:pPr>
      <w:r>
        <w:rPr>
          <w:rFonts w:hint="eastAsia"/>
          <w:color w:val="auto"/>
          <w:sz w:val="21"/>
          <w:szCs w:val="21"/>
          <w:highlight w:val="none"/>
          <w:lang w:val="en-US" w:eastAsia="zh-CN"/>
        </w:rPr>
        <w:t>2.5</w:t>
      </w:r>
      <w:r>
        <w:rPr>
          <w:color w:val="auto"/>
          <w:sz w:val="21"/>
          <w:szCs w:val="21"/>
          <w:highlight w:val="none"/>
        </w:rPr>
        <w:t>中标人供应商在项目实施过程中必须遵守江北区、宁波市相关操作规范，特殊机械操作人员持证上岗、车辆驾驶人员须具有有效的相应车辆等级驾驶证。</w:t>
      </w:r>
    </w:p>
    <w:p>
      <w:pPr>
        <w:keepNext w:val="0"/>
        <w:keepLines w:val="0"/>
        <w:pageBreakBefore w:val="0"/>
        <w:widowControl/>
        <w:kinsoku/>
        <w:wordWrap/>
        <w:overflowPunct/>
        <w:topLinePunct w:val="0"/>
        <w:autoSpaceDE/>
        <w:autoSpaceDN/>
        <w:bidi w:val="0"/>
        <w:adjustRightInd/>
        <w:spacing w:line="360" w:lineRule="auto"/>
        <w:textAlignment w:val="auto"/>
        <w:rPr>
          <w:color w:val="auto"/>
          <w:sz w:val="21"/>
          <w:szCs w:val="21"/>
          <w:highlight w:val="none"/>
        </w:rPr>
      </w:pPr>
      <w:r>
        <w:rPr>
          <w:color w:val="auto"/>
          <w:sz w:val="21"/>
          <w:szCs w:val="21"/>
          <w:highlight w:val="none"/>
        </w:rPr>
        <w:t>3.服务和质量要求</w:t>
      </w:r>
    </w:p>
    <w:p>
      <w:pPr>
        <w:keepNext w:val="0"/>
        <w:keepLines w:val="0"/>
        <w:pageBreakBefore w:val="0"/>
        <w:widowControl/>
        <w:kinsoku/>
        <w:wordWrap/>
        <w:overflowPunct/>
        <w:topLinePunct w:val="0"/>
        <w:autoSpaceDE/>
        <w:autoSpaceDN/>
        <w:bidi w:val="0"/>
        <w:adjustRightInd/>
        <w:spacing w:line="360" w:lineRule="auto"/>
        <w:textAlignment w:val="auto"/>
        <w:rPr>
          <w:rFonts w:hint="eastAsia" w:eastAsia="宋体"/>
          <w:b/>
          <w:bCs/>
          <w:color w:val="FF0000"/>
          <w:sz w:val="21"/>
          <w:szCs w:val="21"/>
          <w:highlight w:val="none"/>
          <w:lang w:eastAsia="zh-CN"/>
        </w:rPr>
      </w:pPr>
      <w:r>
        <w:rPr>
          <w:color w:val="auto"/>
          <w:sz w:val="21"/>
          <w:szCs w:val="21"/>
          <w:highlight w:val="none"/>
        </w:rPr>
        <w:t>3.1 中标人供应商须根据项目实际情况结合服务期限，配备具有相应工作经验的作业人员， 如安全管理人员、特殊机械操作人员、运输车辆驾驶人员等，否则，作无效标处理。</w:t>
      </w:r>
      <w:r>
        <w:rPr>
          <w:rFonts w:hint="eastAsia"/>
          <w:b/>
          <w:bCs/>
          <w:color w:val="FF0000"/>
          <w:sz w:val="21"/>
          <w:szCs w:val="21"/>
          <w:highlight w:val="none"/>
          <w:lang w:eastAsia="zh-CN"/>
        </w:rPr>
        <w:t>（</w:t>
      </w:r>
      <w:r>
        <w:rPr>
          <w:rFonts w:hint="eastAsia"/>
          <w:b/>
          <w:bCs/>
          <w:color w:val="FF0000"/>
          <w:sz w:val="21"/>
          <w:szCs w:val="21"/>
          <w:highlight w:val="none"/>
          <w:lang w:val="en-US" w:eastAsia="zh-CN"/>
        </w:rPr>
        <w:t>注：须提供“相关工作经验人员承诺函”，格式自拟</w:t>
      </w:r>
      <w:r>
        <w:rPr>
          <w:rFonts w:hint="eastAsia"/>
          <w:b/>
          <w:bCs/>
          <w:color w:val="FF0000"/>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color w:val="auto"/>
          <w:sz w:val="21"/>
          <w:szCs w:val="21"/>
          <w:highlight w:val="none"/>
        </w:rPr>
      </w:pPr>
      <w:r>
        <w:rPr>
          <w:color w:val="auto"/>
          <w:sz w:val="21"/>
          <w:szCs w:val="21"/>
          <w:highlight w:val="none"/>
        </w:rPr>
        <w:t>4.安全生产</w:t>
      </w:r>
    </w:p>
    <w:p>
      <w:pPr>
        <w:keepNext w:val="0"/>
        <w:keepLines w:val="0"/>
        <w:pageBreakBefore w:val="0"/>
        <w:widowControl/>
        <w:numPr>
          <w:ilvl w:val="1"/>
          <w:numId w:val="3"/>
        </w:numPr>
        <w:kinsoku/>
        <w:wordWrap/>
        <w:overflowPunct/>
        <w:topLinePunct w:val="0"/>
        <w:autoSpaceDE/>
        <w:autoSpaceDN/>
        <w:bidi w:val="0"/>
        <w:adjustRightInd/>
        <w:spacing w:line="360" w:lineRule="auto"/>
        <w:ind w:left="0" w:firstLine="0"/>
        <w:textAlignment w:val="auto"/>
        <w:rPr>
          <w:color w:val="auto"/>
          <w:sz w:val="21"/>
          <w:szCs w:val="21"/>
          <w:highlight w:val="none"/>
        </w:rPr>
      </w:pPr>
      <w:r>
        <w:rPr>
          <w:color w:val="auto"/>
          <w:sz w:val="21"/>
          <w:szCs w:val="21"/>
          <w:highlight w:val="none"/>
        </w:rPr>
        <w:t>操作工人作业时必须穿工作服、着安全反光背心；</w:t>
      </w:r>
    </w:p>
    <w:p>
      <w:pPr>
        <w:keepNext w:val="0"/>
        <w:keepLines w:val="0"/>
        <w:pageBreakBefore w:val="0"/>
        <w:widowControl/>
        <w:numPr>
          <w:ilvl w:val="1"/>
          <w:numId w:val="3"/>
        </w:numPr>
        <w:kinsoku/>
        <w:wordWrap/>
        <w:overflowPunct/>
        <w:topLinePunct w:val="0"/>
        <w:autoSpaceDE/>
        <w:autoSpaceDN/>
        <w:bidi w:val="0"/>
        <w:adjustRightInd/>
        <w:spacing w:line="360" w:lineRule="auto"/>
        <w:ind w:left="0" w:firstLine="0"/>
        <w:textAlignment w:val="auto"/>
        <w:rPr>
          <w:color w:val="auto"/>
          <w:sz w:val="21"/>
          <w:szCs w:val="21"/>
          <w:highlight w:val="none"/>
        </w:rPr>
      </w:pPr>
      <w:r>
        <w:rPr>
          <w:color w:val="auto"/>
          <w:sz w:val="21"/>
          <w:szCs w:val="21"/>
          <w:highlight w:val="none"/>
        </w:rPr>
        <w:t>车辆行进方向、作业场地周边设置醒目标记，并做好防护措施。</w:t>
      </w:r>
    </w:p>
    <w:p>
      <w:pPr>
        <w:keepNext w:val="0"/>
        <w:keepLines w:val="0"/>
        <w:pageBreakBefore w:val="0"/>
        <w:widowControl/>
        <w:kinsoku/>
        <w:wordWrap/>
        <w:overflowPunct/>
        <w:topLinePunct w:val="0"/>
        <w:autoSpaceDE/>
        <w:autoSpaceDN/>
        <w:bidi w:val="0"/>
        <w:adjustRightInd/>
        <w:spacing w:line="360" w:lineRule="auto"/>
        <w:textAlignment w:val="auto"/>
        <w:rPr>
          <w:color w:val="auto"/>
          <w:sz w:val="21"/>
          <w:szCs w:val="21"/>
          <w:highlight w:val="none"/>
        </w:rPr>
      </w:pPr>
      <w:r>
        <w:rPr>
          <w:color w:val="auto"/>
          <w:sz w:val="21"/>
          <w:szCs w:val="21"/>
          <w:highlight w:val="none"/>
        </w:rPr>
        <w:t>5.员工劳动保障</w:t>
      </w:r>
    </w:p>
    <w:p>
      <w:pPr>
        <w:keepNext w:val="0"/>
        <w:keepLines w:val="0"/>
        <w:pageBreakBefore w:val="0"/>
        <w:widowControl/>
        <w:numPr>
          <w:ilvl w:val="1"/>
          <w:numId w:val="4"/>
        </w:numPr>
        <w:kinsoku/>
        <w:wordWrap/>
        <w:overflowPunct/>
        <w:topLinePunct w:val="0"/>
        <w:autoSpaceDE/>
        <w:autoSpaceDN/>
        <w:bidi w:val="0"/>
        <w:adjustRightInd/>
        <w:spacing w:line="360" w:lineRule="auto"/>
        <w:ind w:left="0" w:firstLine="0"/>
        <w:textAlignment w:val="auto"/>
        <w:rPr>
          <w:color w:val="auto"/>
          <w:sz w:val="21"/>
          <w:szCs w:val="21"/>
          <w:highlight w:val="none"/>
        </w:rPr>
      </w:pPr>
      <w:r>
        <w:rPr>
          <w:color w:val="auto"/>
          <w:sz w:val="21"/>
          <w:szCs w:val="21"/>
          <w:highlight w:val="none"/>
        </w:rPr>
        <w:t>中标人供应商必须与员工签订书面劳动合同；</w:t>
      </w:r>
    </w:p>
    <w:p>
      <w:pPr>
        <w:keepNext w:val="0"/>
        <w:keepLines w:val="0"/>
        <w:pageBreakBefore w:val="0"/>
        <w:widowControl/>
        <w:numPr>
          <w:ilvl w:val="1"/>
          <w:numId w:val="4"/>
        </w:numPr>
        <w:kinsoku/>
        <w:wordWrap/>
        <w:overflowPunct/>
        <w:topLinePunct w:val="0"/>
        <w:autoSpaceDE/>
        <w:autoSpaceDN/>
        <w:bidi w:val="0"/>
        <w:adjustRightInd/>
        <w:spacing w:line="360" w:lineRule="auto"/>
        <w:ind w:left="0" w:firstLine="0"/>
        <w:jc w:val="both"/>
        <w:textAlignment w:val="auto"/>
        <w:rPr>
          <w:color w:val="auto"/>
          <w:sz w:val="21"/>
          <w:szCs w:val="21"/>
          <w:highlight w:val="none"/>
        </w:rPr>
      </w:pPr>
      <w:r>
        <w:rPr>
          <w:color w:val="auto"/>
          <w:sz w:val="21"/>
          <w:szCs w:val="21"/>
          <w:highlight w:val="none"/>
        </w:rPr>
        <w:t>中标人供应商支付员工基本工资（不含加班工资）不能低于当年宁波市人均最低工资标准的 120%，最低工资标准发生变化的，应相应作出调整。不得拖欠员工工资（含加班工资）。中标人申请支付工程进度款时，应当出具员工工资已支付的证明材料，否则招标人有权从工程款中扣除相应费用直接支付给中标人员工。</w:t>
      </w:r>
    </w:p>
    <w:p>
      <w:pPr>
        <w:keepNext w:val="0"/>
        <w:keepLines w:val="0"/>
        <w:pageBreakBefore w:val="0"/>
        <w:widowControl/>
        <w:numPr>
          <w:ilvl w:val="1"/>
          <w:numId w:val="4"/>
        </w:numPr>
        <w:kinsoku/>
        <w:wordWrap/>
        <w:overflowPunct/>
        <w:topLinePunct w:val="0"/>
        <w:autoSpaceDE/>
        <w:autoSpaceDN/>
        <w:bidi w:val="0"/>
        <w:adjustRightInd/>
        <w:spacing w:line="360" w:lineRule="auto"/>
        <w:ind w:left="0" w:firstLine="0"/>
        <w:textAlignment w:val="auto"/>
        <w:rPr>
          <w:rFonts w:hint="eastAsia"/>
          <w:color w:val="auto"/>
          <w:sz w:val="21"/>
          <w:szCs w:val="21"/>
          <w:highlight w:val="none"/>
        </w:rPr>
      </w:pPr>
      <w:r>
        <w:rPr>
          <w:color w:val="auto"/>
          <w:sz w:val="21"/>
          <w:szCs w:val="21"/>
          <w:highlight w:val="none"/>
        </w:rPr>
        <w:t>中标人供应商必须按规定比例为员工购买社会保险，特别要购买工人意外人身保险；</w:t>
      </w:r>
    </w:p>
    <w:p>
      <w:pPr>
        <w:keepNext w:val="0"/>
        <w:keepLines w:val="0"/>
        <w:pageBreakBefore w:val="0"/>
        <w:widowControl/>
        <w:numPr>
          <w:ilvl w:val="1"/>
          <w:numId w:val="4"/>
        </w:numPr>
        <w:kinsoku/>
        <w:wordWrap/>
        <w:overflowPunct/>
        <w:topLinePunct w:val="0"/>
        <w:autoSpaceDE/>
        <w:autoSpaceDN/>
        <w:bidi w:val="0"/>
        <w:adjustRightInd/>
        <w:spacing w:line="360" w:lineRule="auto"/>
        <w:ind w:left="0" w:firstLine="0"/>
        <w:textAlignment w:val="auto"/>
        <w:rPr>
          <w:color w:val="auto"/>
          <w:sz w:val="21"/>
          <w:szCs w:val="21"/>
          <w:highlight w:val="none"/>
        </w:rPr>
      </w:pPr>
      <w:r>
        <w:rPr>
          <w:color w:val="auto"/>
          <w:sz w:val="21"/>
          <w:szCs w:val="21"/>
          <w:highlight w:val="none"/>
        </w:rPr>
        <w:t>中标人供应商必须保障员工正常休息时间，按规定发放加班工资、节假日加班工资以及高温补贴；</w:t>
      </w:r>
    </w:p>
    <w:p>
      <w:pPr>
        <w:keepNext w:val="0"/>
        <w:keepLines w:val="0"/>
        <w:pageBreakBefore w:val="0"/>
        <w:widowControl/>
        <w:numPr>
          <w:ilvl w:val="1"/>
          <w:numId w:val="4"/>
        </w:numPr>
        <w:kinsoku/>
        <w:wordWrap/>
        <w:overflowPunct/>
        <w:topLinePunct w:val="0"/>
        <w:autoSpaceDE/>
        <w:autoSpaceDN/>
        <w:bidi w:val="0"/>
        <w:adjustRightInd/>
        <w:spacing w:line="360" w:lineRule="auto"/>
        <w:ind w:left="0" w:firstLine="0"/>
        <w:textAlignment w:val="auto"/>
        <w:rPr>
          <w:color w:val="auto"/>
          <w:sz w:val="21"/>
          <w:szCs w:val="21"/>
          <w:highlight w:val="none"/>
        </w:rPr>
      </w:pPr>
      <w:r>
        <w:rPr>
          <w:color w:val="auto"/>
          <w:sz w:val="21"/>
          <w:szCs w:val="21"/>
          <w:highlight w:val="none"/>
        </w:rPr>
        <w:t>必须执行《劳动合同法》有关员工保障的其他规定。</w:t>
      </w:r>
    </w:p>
    <w:p>
      <w:pPr>
        <w:keepNext w:val="0"/>
        <w:keepLines w:val="0"/>
        <w:pageBreakBefore w:val="0"/>
        <w:widowControl/>
        <w:kinsoku/>
        <w:wordWrap/>
        <w:overflowPunct/>
        <w:topLinePunct w:val="0"/>
        <w:autoSpaceDE/>
        <w:autoSpaceDN/>
        <w:bidi w:val="0"/>
        <w:adjustRightInd/>
        <w:spacing w:line="360" w:lineRule="auto"/>
        <w:textAlignment w:val="auto"/>
        <w:rPr>
          <w:color w:val="auto"/>
          <w:sz w:val="21"/>
          <w:szCs w:val="21"/>
          <w:highlight w:val="none"/>
        </w:rPr>
      </w:pPr>
      <w:r>
        <w:rPr>
          <w:color w:val="auto"/>
          <w:sz w:val="21"/>
          <w:szCs w:val="21"/>
          <w:highlight w:val="none"/>
        </w:rPr>
        <w:t>6.质量管理和监督措施</w:t>
      </w:r>
    </w:p>
    <w:p>
      <w:pPr>
        <w:keepNext w:val="0"/>
        <w:keepLines w:val="0"/>
        <w:pageBreakBefore w:val="0"/>
        <w:widowControl/>
        <w:numPr>
          <w:ilvl w:val="1"/>
          <w:numId w:val="5"/>
        </w:numPr>
        <w:kinsoku/>
        <w:wordWrap/>
        <w:overflowPunct/>
        <w:topLinePunct w:val="0"/>
        <w:autoSpaceDE/>
        <w:autoSpaceDN/>
        <w:bidi w:val="0"/>
        <w:adjustRightInd/>
        <w:spacing w:line="360" w:lineRule="auto"/>
        <w:ind w:left="0" w:firstLine="0"/>
        <w:textAlignment w:val="auto"/>
        <w:rPr>
          <w:color w:val="auto"/>
          <w:sz w:val="21"/>
          <w:szCs w:val="21"/>
          <w:highlight w:val="none"/>
        </w:rPr>
      </w:pPr>
      <w:r>
        <w:rPr>
          <w:color w:val="auto"/>
          <w:sz w:val="21"/>
          <w:szCs w:val="21"/>
          <w:highlight w:val="none"/>
        </w:rPr>
        <w:t>因中标供应商偷倒、乱倒土方，在其他部门组织的检查中被通报批评的，每次处扣罚30000 元；被各级媒体曝光，或者导致各种渠道的投诉，每经查处一次扣罚 50000 元；相关作业人员违规操作，酒后作业等行为，每次发现扣罚 10000 元。以上扣款，直接从工程进度款中扣除。中标供应商须在招标人指定的时间内进行整改，无特殊原因未完成整改的按前述金额双倍处罚， 情况严重的，招标人有权解除合同。</w:t>
      </w:r>
    </w:p>
    <w:p>
      <w:pPr>
        <w:keepNext w:val="0"/>
        <w:keepLines w:val="0"/>
        <w:pageBreakBefore w:val="0"/>
        <w:widowControl/>
        <w:numPr>
          <w:ilvl w:val="1"/>
          <w:numId w:val="5"/>
        </w:numPr>
        <w:kinsoku/>
        <w:wordWrap/>
        <w:overflowPunct/>
        <w:topLinePunct w:val="0"/>
        <w:autoSpaceDE/>
        <w:autoSpaceDN/>
        <w:bidi w:val="0"/>
        <w:adjustRightInd/>
        <w:spacing w:line="360" w:lineRule="auto"/>
        <w:ind w:left="0" w:firstLine="0"/>
        <w:textAlignment w:val="auto"/>
        <w:rPr>
          <w:color w:val="auto"/>
          <w:sz w:val="21"/>
          <w:szCs w:val="21"/>
          <w:highlight w:val="none"/>
        </w:rPr>
      </w:pPr>
      <w:r>
        <w:rPr>
          <w:color w:val="auto"/>
          <w:sz w:val="21"/>
          <w:szCs w:val="21"/>
          <w:highlight w:val="none"/>
        </w:rPr>
        <w:t>合同期内，因中标供应商管理不善，造成中标人员工一人以上死亡或二人以上重伤并负主要责任的，将终止合同，经济损失和法律责任由中标人承担。</w:t>
      </w:r>
    </w:p>
    <w:p>
      <w:pPr>
        <w:keepNext w:val="0"/>
        <w:keepLines w:val="0"/>
        <w:pageBreakBefore w:val="0"/>
        <w:widowControl/>
        <w:numPr>
          <w:ilvl w:val="1"/>
          <w:numId w:val="5"/>
        </w:numPr>
        <w:kinsoku/>
        <w:wordWrap/>
        <w:overflowPunct/>
        <w:topLinePunct w:val="0"/>
        <w:autoSpaceDE/>
        <w:autoSpaceDN/>
        <w:bidi w:val="0"/>
        <w:adjustRightInd/>
        <w:spacing w:line="360" w:lineRule="auto"/>
        <w:ind w:left="0" w:firstLine="0"/>
        <w:jc w:val="both"/>
        <w:textAlignment w:val="auto"/>
        <w:rPr>
          <w:color w:val="auto"/>
          <w:sz w:val="21"/>
          <w:szCs w:val="21"/>
          <w:highlight w:val="none"/>
        </w:rPr>
      </w:pPr>
      <w:r>
        <w:rPr>
          <w:color w:val="auto"/>
          <w:sz w:val="21"/>
          <w:szCs w:val="21"/>
          <w:highlight w:val="none"/>
        </w:rPr>
        <w:t>合同期内，中标供应商未按时足额发放员工工资（含加班工资）的人数达 5 人以上的， 或中标人拖欠任一名员工工资（含加班工资）达一个月以上的，或中标供应商拖欠员工工资（含加班工资）数额达 5000 元以上的，或宁波市最低工资标准发生变化，中标人拒绝予以相应调整的；将终止合同，经济损失和法律责任由中标供应商承担。</w:t>
      </w:r>
    </w:p>
    <w:p>
      <w:pPr>
        <w:keepNext w:val="0"/>
        <w:keepLines w:val="0"/>
        <w:pageBreakBefore w:val="0"/>
        <w:widowControl/>
        <w:numPr>
          <w:ilvl w:val="1"/>
          <w:numId w:val="5"/>
        </w:numPr>
        <w:kinsoku/>
        <w:wordWrap/>
        <w:overflowPunct/>
        <w:topLinePunct w:val="0"/>
        <w:autoSpaceDE/>
        <w:autoSpaceDN/>
        <w:bidi w:val="0"/>
        <w:adjustRightInd/>
        <w:spacing w:line="360" w:lineRule="auto"/>
        <w:ind w:left="0" w:firstLine="0"/>
        <w:textAlignment w:val="auto"/>
        <w:rPr>
          <w:color w:val="auto"/>
          <w:sz w:val="21"/>
          <w:szCs w:val="21"/>
          <w:highlight w:val="none"/>
        </w:rPr>
      </w:pPr>
      <w:r>
        <w:rPr>
          <w:color w:val="auto"/>
          <w:sz w:val="21"/>
          <w:szCs w:val="21"/>
          <w:highlight w:val="none"/>
        </w:rPr>
        <w:t>中标供应商擅自将服务合同转包或部分分包给第三者，将终止合同，经济损失和法律责任由中标供应商承担。</w:t>
      </w:r>
    </w:p>
    <w:p>
      <w:pPr>
        <w:keepNext w:val="0"/>
        <w:keepLines w:val="0"/>
        <w:pageBreakBefore w:val="0"/>
        <w:widowControl/>
        <w:numPr>
          <w:ilvl w:val="1"/>
          <w:numId w:val="5"/>
        </w:numPr>
        <w:kinsoku/>
        <w:wordWrap/>
        <w:overflowPunct/>
        <w:topLinePunct w:val="0"/>
        <w:autoSpaceDE/>
        <w:autoSpaceDN/>
        <w:bidi w:val="0"/>
        <w:adjustRightInd/>
        <w:spacing w:line="360" w:lineRule="auto"/>
        <w:ind w:left="0" w:firstLine="0"/>
        <w:textAlignment w:val="auto"/>
        <w:rPr>
          <w:color w:val="auto"/>
          <w:sz w:val="21"/>
          <w:szCs w:val="21"/>
          <w:highlight w:val="none"/>
        </w:rPr>
      </w:pPr>
      <w:r>
        <w:rPr>
          <w:color w:val="auto"/>
          <w:sz w:val="21"/>
          <w:szCs w:val="21"/>
          <w:highlight w:val="none"/>
        </w:rPr>
        <w:t>违反劳动合同法或其他相关法律法规，造成恶劣影响，将终止合同，经济损失和法律责任由中标供应商承担。</w:t>
      </w:r>
    </w:p>
    <w:p>
      <w:pPr>
        <w:keepNext w:val="0"/>
        <w:keepLines w:val="0"/>
        <w:pageBreakBefore w:val="0"/>
        <w:widowControl/>
        <w:kinsoku/>
        <w:wordWrap/>
        <w:overflowPunct/>
        <w:topLinePunct w:val="0"/>
        <w:autoSpaceDE/>
        <w:autoSpaceDN/>
        <w:bidi w:val="0"/>
        <w:adjustRightInd/>
        <w:spacing w:line="360" w:lineRule="auto"/>
        <w:textAlignment w:val="auto"/>
        <w:rPr>
          <w:color w:val="auto"/>
          <w:sz w:val="21"/>
          <w:szCs w:val="21"/>
          <w:highlight w:val="none"/>
        </w:rPr>
      </w:pPr>
      <w:r>
        <w:rPr>
          <w:color w:val="auto"/>
          <w:sz w:val="21"/>
          <w:szCs w:val="21"/>
          <w:highlight w:val="none"/>
        </w:rPr>
        <w:t>6.</w:t>
      </w:r>
      <w:r>
        <w:rPr>
          <w:rFonts w:hint="eastAsia"/>
          <w:color w:val="auto"/>
          <w:sz w:val="21"/>
          <w:szCs w:val="21"/>
          <w:highlight w:val="none"/>
        </w:rPr>
        <w:t>6</w:t>
      </w:r>
      <w:r>
        <w:rPr>
          <w:color w:val="auto"/>
          <w:sz w:val="21"/>
          <w:szCs w:val="21"/>
          <w:highlight w:val="none"/>
        </w:rPr>
        <w:t xml:space="preserve"> 因国家建设需要或管理需要，需解除本合同的，采购单位将提前十五天通知中标人，由此造成的经济损失，招标人不负赔偿责任。</w:t>
      </w:r>
    </w:p>
    <w:p>
      <w:pPr>
        <w:keepNext w:val="0"/>
        <w:keepLines w:val="0"/>
        <w:pageBreakBefore w:val="0"/>
        <w:kinsoku/>
        <w:wordWrap/>
        <w:overflowPunct/>
        <w:topLinePunct w:val="0"/>
        <w:autoSpaceDE/>
        <w:autoSpaceDN/>
        <w:bidi w:val="0"/>
        <w:adjustRightInd/>
        <w:spacing w:line="360" w:lineRule="auto"/>
        <w:textAlignment w:val="auto"/>
        <w:rPr>
          <w:rFonts w:hint="default" w:eastAsia="宋体"/>
          <w:color w:val="auto"/>
          <w:highlight w:val="none"/>
          <w:lang w:val="en-US" w:eastAsia="zh-CN"/>
        </w:rPr>
      </w:pPr>
      <w:r>
        <w:rPr>
          <w:rFonts w:hint="eastAsia"/>
          <w:color w:val="auto"/>
          <w:sz w:val="21"/>
          <w:szCs w:val="21"/>
          <w:highlight w:val="none"/>
          <w:lang w:val="en-US" w:eastAsia="zh-CN"/>
        </w:rPr>
        <w:t>7.</w:t>
      </w:r>
      <w:r>
        <w:rPr>
          <w:rFonts w:hint="eastAsia"/>
          <w:color w:val="auto"/>
          <w:highlight w:val="none"/>
          <w:lang w:val="en-US" w:eastAsia="zh-CN"/>
        </w:rPr>
        <w:t>中标单位在服务过程中需充分考虑场地清理、环境卫生等问题，并进行合理处置。</w:t>
      </w:r>
    </w:p>
    <w:p>
      <w:pPr>
        <w:keepNext w:val="0"/>
        <w:keepLines w:val="0"/>
        <w:pageBreakBefore w:val="0"/>
        <w:widowControl/>
        <w:kinsoku/>
        <w:wordWrap/>
        <w:overflowPunct/>
        <w:topLinePunct w:val="0"/>
        <w:autoSpaceDE/>
        <w:autoSpaceDN/>
        <w:bidi w:val="0"/>
        <w:adjustRightInd/>
        <w:spacing w:line="360" w:lineRule="auto"/>
        <w:textAlignment w:val="auto"/>
        <w:rPr>
          <w:b/>
          <w:color w:val="auto"/>
          <w:szCs w:val="21"/>
          <w:highlight w:val="none"/>
        </w:rPr>
      </w:pPr>
      <w:r>
        <w:rPr>
          <w:b/>
          <w:bCs/>
          <w:color w:val="auto"/>
          <w:szCs w:val="21"/>
          <w:highlight w:val="none"/>
        </w:rPr>
        <w:t>三、相关费用及服务期限</w:t>
      </w:r>
    </w:p>
    <w:p>
      <w:pPr>
        <w:keepNext w:val="0"/>
        <w:keepLines w:val="0"/>
        <w:pageBreakBefore w:val="0"/>
        <w:widowControl/>
        <w:kinsoku/>
        <w:wordWrap/>
        <w:overflowPunct/>
        <w:topLinePunct w:val="0"/>
        <w:autoSpaceDE/>
        <w:autoSpaceDN/>
        <w:bidi w:val="0"/>
        <w:adjustRightInd/>
        <w:spacing w:line="360" w:lineRule="auto"/>
        <w:textAlignment w:val="auto"/>
        <w:rPr>
          <w:b/>
          <w:color w:val="auto"/>
          <w:sz w:val="21"/>
          <w:szCs w:val="21"/>
          <w:highlight w:val="none"/>
        </w:rPr>
      </w:pPr>
      <w:r>
        <w:rPr>
          <w:rFonts w:hint="eastAsia"/>
          <w:color w:val="auto"/>
          <w:sz w:val="21"/>
          <w:szCs w:val="21"/>
          <w:highlight w:val="none"/>
        </w:rPr>
        <w:t>▲</w:t>
      </w:r>
      <w:r>
        <w:rPr>
          <w:b/>
          <w:color w:val="auto"/>
          <w:sz w:val="21"/>
          <w:szCs w:val="21"/>
          <w:highlight w:val="none"/>
        </w:rPr>
        <w:t>1.本项目的投标报价包括</w:t>
      </w:r>
      <w:r>
        <w:rPr>
          <w:rFonts w:hint="eastAsia"/>
          <w:b/>
          <w:color w:val="auto"/>
          <w:sz w:val="21"/>
          <w:szCs w:val="21"/>
          <w:highlight w:val="none"/>
        </w:rPr>
        <w:t>剥离</w:t>
      </w:r>
      <w:r>
        <w:rPr>
          <w:b/>
          <w:color w:val="auto"/>
          <w:sz w:val="21"/>
          <w:szCs w:val="21"/>
          <w:highlight w:val="none"/>
        </w:rPr>
        <w:t>、运输、倾倒、平整及</w:t>
      </w:r>
      <w:r>
        <w:rPr>
          <w:rFonts w:hint="eastAsia"/>
          <w:b/>
          <w:color w:val="auto"/>
          <w:sz w:val="21"/>
          <w:szCs w:val="21"/>
          <w:highlight w:val="none"/>
          <w:lang w:val="en-US" w:eastAsia="zh-CN"/>
        </w:rPr>
        <w:t>合同期内</w:t>
      </w:r>
      <w:r>
        <w:rPr>
          <w:b/>
          <w:color w:val="auto"/>
          <w:sz w:val="21"/>
          <w:szCs w:val="21"/>
          <w:highlight w:val="none"/>
        </w:rPr>
        <w:t>的堆放场地日常管理、登记台账、人员基本工资、各类福利和补贴（如加班补贴等）、社保（五金）、各种保险，作业工具等各类耗材费，设施设备管理维护费用（如：作业车辆的燃油费、折旧费及运行维护费等），垃圾处置费，管理费，税金，利润及其他与本次采购相关的一切费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color w:val="auto"/>
          <w:sz w:val="21"/>
          <w:szCs w:val="21"/>
          <w:highlight w:val="none"/>
        </w:rPr>
      </w:pPr>
      <w:r>
        <w:rPr>
          <w:b/>
          <w:color w:val="auto"/>
          <w:sz w:val="21"/>
          <w:szCs w:val="21"/>
          <w:highlight w:val="none"/>
        </w:rPr>
        <w:t>2.</w:t>
      </w:r>
      <w:r>
        <w:rPr>
          <w:color w:val="auto"/>
          <w:sz w:val="21"/>
          <w:szCs w:val="21"/>
          <w:highlight w:val="none"/>
        </w:rPr>
        <w:t>合同期内综合单价不因市场和政策等因素的变动而调整，</w:t>
      </w:r>
      <w:r>
        <w:rPr>
          <w:b/>
          <w:color w:val="auto"/>
          <w:sz w:val="21"/>
          <w:szCs w:val="21"/>
          <w:highlight w:val="none"/>
        </w:rPr>
        <w:t>根据实际深度计算，低于测量深度（31㎝），则结合中标单价，按实结算；大于测量深度（31㎝），则按31㎝计算，不作调整。</w:t>
      </w:r>
      <w:r>
        <w:rPr>
          <w:color w:val="auto"/>
          <w:sz w:val="21"/>
          <w:szCs w:val="21"/>
          <w:highlight w:val="none"/>
        </w:rPr>
        <w:t>则本项目合同价款包干，不作调整。综合单价按</w:t>
      </w:r>
      <w:r>
        <w:rPr>
          <w:b/>
          <w:color w:val="auto"/>
          <w:sz w:val="21"/>
          <w:szCs w:val="21"/>
          <w:highlight w:val="none"/>
        </w:rPr>
        <w:t>处置场地管理</w:t>
      </w:r>
      <w:r>
        <w:rPr>
          <w:rFonts w:hint="eastAsia"/>
          <w:b/>
          <w:color w:val="auto"/>
          <w:sz w:val="21"/>
          <w:szCs w:val="21"/>
          <w:highlight w:val="none"/>
        </w:rPr>
        <w:t>剥离 运输 倾倒 平整及</w:t>
      </w:r>
      <w:r>
        <w:rPr>
          <w:rFonts w:hint="eastAsia"/>
          <w:b/>
          <w:color w:val="auto"/>
          <w:sz w:val="21"/>
          <w:szCs w:val="21"/>
          <w:highlight w:val="none"/>
          <w:lang w:val="en-US" w:eastAsia="zh-CN"/>
        </w:rPr>
        <w:t>合同期内</w:t>
      </w:r>
      <w:r>
        <w:rPr>
          <w:rFonts w:hint="eastAsia"/>
          <w:b/>
          <w:color w:val="auto"/>
          <w:sz w:val="21"/>
          <w:szCs w:val="21"/>
          <w:highlight w:val="none"/>
        </w:rPr>
        <w:t>的堆放场地日常管理 登记台</w:t>
      </w:r>
      <w:r>
        <w:rPr>
          <w:color w:val="auto"/>
          <w:sz w:val="21"/>
          <w:szCs w:val="21"/>
          <w:highlight w:val="none"/>
        </w:rPr>
        <w:t>等综合报价，工作内容包括场内短驳、临时便道的新建、铺设钢板、杂物清理、场地平整、过路费、外运、处置</w:t>
      </w:r>
      <w:r>
        <w:rPr>
          <w:b/>
          <w:color w:val="auto"/>
          <w:sz w:val="21"/>
          <w:szCs w:val="21"/>
          <w:highlight w:val="none"/>
        </w:rPr>
        <w:t>、处置场地管理</w:t>
      </w:r>
      <w:r>
        <w:rPr>
          <w:color w:val="auto"/>
          <w:sz w:val="21"/>
          <w:szCs w:val="21"/>
          <w:highlight w:val="none"/>
        </w:rPr>
        <w:t>等一切内容包含的费用，</w:t>
      </w:r>
      <w:r>
        <w:rPr>
          <w:rFonts w:hint="eastAsia"/>
          <w:b/>
          <w:color w:val="auto"/>
          <w:sz w:val="21"/>
          <w:szCs w:val="21"/>
          <w:highlight w:val="none"/>
        </w:rPr>
        <w:t>外运运距</w:t>
      </w:r>
      <w:r>
        <w:rPr>
          <w:b/>
          <w:color w:val="auto"/>
          <w:sz w:val="21"/>
          <w:szCs w:val="21"/>
          <w:highlight w:val="none"/>
        </w:rPr>
        <w:t>10km以内的不作调整，超过10km运费参照《关于公布宁波市中心城区建筑渣土处理费市场信息参考价的通知》</w:t>
      </w:r>
      <w:r>
        <w:rPr>
          <w:rFonts w:hint="eastAsia"/>
          <w:b/>
          <w:color w:val="auto"/>
          <w:sz w:val="21"/>
          <w:szCs w:val="21"/>
          <w:highlight w:val="none"/>
        </w:rPr>
        <w:t>计算</w:t>
      </w:r>
      <w:r>
        <w:rPr>
          <w:color w:val="auto"/>
          <w:sz w:val="21"/>
          <w:szCs w:val="21"/>
          <w:highlight w:val="none"/>
        </w:rPr>
        <w:t>。</w:t>
      </w:r>
    </w:p>
    <w:p>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jc w:val="left"/>
        <w:textAlignment w:val="auto"/>
        <w:outlineLvl w:val="0"/>
        <w:rPr>
          <w:rStyle w:val="65"/>
          <w:color w:val="auto"/>
          <w:sz w:val="28"/>
          <w:szCs w:val="28"/>
          <w:highlight w:val="none"/>
        </w:rPr>
      </w:pPr>
      <w:bookmarkStart w:id="10" w:name="_Toc9731"/>
      <w:r>
        <w:rPr>
          <w:b/>
          <w:color w:val="auto"/>
          <w:sz w:val="21"/>
          <w:szCs w:val="21"/>
          <w:highlight w:val="none"/>
        </w:rPr>
        <w:t>3.本项目的</w:t>
      </w:r>
      <w:r>
        <w:rPr>
          <w:rFonts w:hint="eastAsia"/>
          <w:b/>
          <w:color w:val="auto"/>
          <w:sz w:val="21"/>
          <w:szCs w:val="21"/>
          <w:highlight w:val="none"/>
          <w:lang w:val="en-US"/>
        </w:rPr>
        <w:t>单个项目的</w:t>
      </w:r>
      <w:r>
        <w:rPr>
          <w:b/>
          <w:color w:val="auto"/>
          <w:sz w:val="21"/>
          <w:szCs w:val="21"/>
          <w:highlight w:val="none"/>
        </w:rPr>
        <w:t>服务期限为接业主通知后 20 天内完成全部地块的</w:t>
      </w:r>
      <w:r>
        <w:rPr>
          <w:rFonts w:hint="eastAsia"/>
          <w:b/>
          <w:color w:val="auto"/>
          <w:sz w:val="21"/>
          <w:szCs w:val="21"/>
          <w:highlight w:val="none"/>
        </w:rPr>
        <w:t>耕作层</w:t>
      </w:r>
      <w:r>
        <w:rPr>
          <w:b/>
          <w:color w:val="auto"/>
          <w:sz w:val="21"/>
          <w:szCs w:val="21"/>
          <w:highlight w:val="none"/>
        </w:rPr>
        <w:t>剥离及清运工作。</w:t>
      </w:r>
      <w:bookmarkEnd w:id="10"/>
    </w:p>
    <w:p>
      <w:pPr>
        <w:rPr>
          <w:rStyle w:val="65"/>
          <w:rFonts w:hint="eastAsia"/>
          <w:color w:val="auto"/>
          <w:sz w:val="28"/>
          <w:szCs w:val="28"/>
          <w:highlight w:val="none"/>
        </w:rPr>
      </w:pPr>
      <w:bookmarkStart w:id="11" w:name="_Toc104835480"/>
    </w:p>
    <w:p>
      <w:pPr>
        <w:rPr>
          <w:rStyle w:val="65"/>
          <w:rFonts w:hint="eastAsia"/>
          <w:color w:val="auto"/>
          <w:sz w:val="28"/>
          <w:szCs w:val="28"/>
          <w:highlight w:val="none"/>
        </w:rPr>
      </w:pPr>
      <w:r>
        <w:rPr>
          <w:rStyle w:val="65"/>
          <w:rFonts w:hint="eastAsia"/>
          <w:color w:val="auto"/>
          <w:sz w:val="28"/>
          <w:szCs w:val="28"/>
          <w:highlight w:val="none"/>
        </w:rPr>
        <w:br w:type="page"/>
      </w:r>
    </w:p>
    <w:p>
      <w:pPr>
        <w:pStyle w:val="27"/>
        <w:snapToGrid w:val="0"/>
        <w:spacing w:line="440" w:lineRule="exact"/>
        <w:jc w:val="center"/>
        <w:outlineLvl w:val="0"/>
        <w:rPr>
          <w:rStyle w:val="65"/>
          <w:rFonts w:hint="eastAsia"/>
          <w:color w:val="auto"/>
          <w:sz w:val="28"/>
          <w:szCs w:val="28"/>
          <w:highlight w:val="none"/>
        </w:rPr>
      </w:pPr>
      <w:bookmarkStart w:id="12" w:name="_Toc4885"/>
      <w:r>
        <w:rPr>
          <w:rStyle w:val="65"/>
          <w:rFonts w:hint="eastAsia"/>
          <w:color w:val="auto"/>
          <w:sz w:val="28"/>
          <w:szCs w:val="28"/>
          <w:highlight w:val="none"/>
        </w:rPr>
        <w:t>第三章  投标人须知</w:t>
      </w:r>
      <w:bookmarkEnd w:id="9"/>
      <w:bookmarkEnd w:id="11"/>
      <w:bookmarkEnd w:id="12"/>
    </w:p>
    <w:p>
      <w:pPr>
        <w:spacing w:line="360" w:lineRule="auto"/>
        <w:jc w:val="center"/>
        <w:rPr>
          <w:b/>
          <w:color w:val="auto"/>
          <w:sz w:val="24"/>
          <w:highlight w:val="none"/>
        </w:rPr>
      </w:pPr>
      <w:r>
        <w:rPr>
          <w:rFonts w:hint="eastAsia"/>
          <w:b/>
          <w:color w:val="auto"/>
          <w:sz w:val="24"/>
          <w:highlight w:val="none"/>
        </w:rPr>
        <w:t>前附表</w:t>
      </w:r>
    </w:p>
    <w:tbl>
      <w:tblPr>
        <w:tblStyle w:val="49"/>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1"/>
        <w:gridCol w:w="7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93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cs="宋体"/>
                <w:color w:val="auto"/>
                <w:sz w:val="21"/>
                <w:szCs w:val="21"/>
                <w:highlight w:val="none"/>
                <w:lang w:eastAsia="zh-CN"/>
              </w:rPr>
              <w:t>宁波市江北狮子山园林工程有限公司</w:t>
            </w:r>
          </w:p>
          <w:p>
            <w:pPr>
              <w:keepNext w:val="0"/>
              <w:keepLines w:val="0"/>
              <w:pageBreakBefore w:val="0"/>
              <w:kinsoku/>
              <w:wordWrap/>
              <w:overflowPunct/>
              <w:topLinePunct w:val="0"/>
              <w:bidi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宁波市江北区金山路776号</w:t>
            </w:r>
          </w:p>
          <w:p>
            <w:pPr>
              <w:spacing w:line="288" w:lineRule="auto"/>
              <w:rPr>
                <w:rFonts w:hint="eastAsia" w:ascii="宋体" w:hAnsi="宋体" w:cs="宋体"/>
                <w:color w:val="auto"/>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陈工</w:t>
            </w:r>
          </w:p>
          <w:p>
            <w:pPr>
              <w:spacing w:line="288"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0574-</w:t>
            </w:r>
            <w:r>
              <w:rPr>
                <w:rFonts w:hint="eastAsia" w:ascii="宋体" w:hAnsi="宋体" w:cs="宋体"/>
                <w:color w:val="auto"/>
                <w:szCs w:val="21"/>
                <w:highlight w:val="none"/>
              </w:rPr>
              <w:t>87650859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9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color w:val="auto"/>
                <w:szCs w:val="21"/>
                <w:highlight w:val="none"/>
              </w:rPr>
            </w:pPr>
            <w:r>
              <w:rPr>
                <w:rFonts w:hint="eastAsia" w:ascii="宋体" w:hAnsi="宋体" w:cs="宋体"/>
                <w:color w:val="auto"/>
                <w:szCs w:val="21"/>
                <w:highlight w:val="none"/>
              </w:rPr>
              <w:t>采购代理机构：宁波华欣建设项目管理有限公司</w:t>
            </w:r>
          </w:p>
          <w:p>
            <w:pPr>
              <w:spacing w:line="288" w:lineRule="auto"/>
              <w:rPr>
                <w:rFonts w:ascii="宋体" w:hAnsi="宋体" w:cs="宋体"/>
                <w:color w:val="auto"/>
                <w:szCs w:val="21"/>
                <w:highlight w:val="none"/>
              </w:rPr>
            </w:pPr>
            <w:r>
              <w:rPr>
                <w:rFonts w:hint="eastAsia" w:ascii="宋体" w:hAnsi="宋体" w:cs="宋体"/>
                <w:color w:val="auto"/>
                <w:szCs w:val="21"/>
                <w:highlight w:val="none"/>
              </w:rPr>
              <w:t>地址：宁波市江北区长兴路715号恒凯大厦60</w:t>
            </w:r>
            <w:r>
              <w:rPr>
                <w:rFonts w:ascii="宋体" w:hAnsi="宋体" w:cs="宋体"/>
                <w:color w:val="auto"/>
                <w:szCs w:val="21"/>
                <w:highlight w:val="none"/>
              </w:rPr>
              <w:t>5</w:t>
            </w:r>
            <w:r>
              <w:rPr>
                <w:rFonts w:hint="eastAsia" w:ascii="宋体" w:hAnsi="宋体" w:cs="宋体"/>
                <w:color w:val="auto"/>
                <w:szCs w:val="21"/>
                <w:highlight w:val="none"/>
              </w:rPr>
              <w:t>室</w:t>
            </w:r>
          </w:p>
          <w:p>
            <w:pPr>
              <w:spacing w:line="288"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唐佳萍、</w:t>
            </w:r>
            <w:r>
              <w:rPr>
                <w:rFonts w:hint="eastAsia" w:cs="Arial" w:asciiTheme="minorEastAsia" w:hAnsiTheme="minorEastAsia" w:eastAsiaTheme="minorEastAsia"/>
                <w:color w:val="auto"/>
                <w:szCs w:val="21"/>
                <w:highlight w:val="none"/>
              </w:rPr>
              <w:t>张霆、田恬、王静</w:t>
            </w:r>
          </w:p>
          <w:p>
            <w:pPr>
              <w:spacing w:line="288"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联系电话：0574-882287</w:t>
            </w:r>
            <w:r>
              <w:rPr>
                <w:rFonts w:hint="eastAsia" w:ascii="宋体" w:hAnsi="宋体" w:cs="宋体"/>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color w:val="auto"/>
                <w:szCs w:val="21"/>
                <w:highlight w:val="none"/>
              </w:rPr>
            </w:pPr>
            <w:r>
              <w:rPr>
                <w:rFonts w:hint="eastAsia" w:ascii="宋体" w:hAnsi="宋体" w:cs="宋体"/>
                <w:color w:val="auto"/>
                <w:szCs w:val="21"/>
                <w:highlight w:val="none"/>
              </w:rPr>
              <w:t>发布媒体：</w:t>
            </w:r>
          </w:p>
          <w:p>
            <w:pPr>
              <w:spacing w:line="288" w:lineRule="auto"/>
              <w:rPr>
                <w:rFonts w:ascii="宋体" w:hAnsi="宋体" w:cs="宋体"/>
                <w:color w:val="auto"/>
                <w:szCs w:val="21"/>
                <w:highlight w:val="none"/>
              </w:rPr>
            </w:pPr>
            <w:r>
              <w:rPr>
                <w:rFonts w:hint="eastAsia" w:ascii="宋体" w:hAnsi="宋体" w:cs="宋体"/>
                <w:color w:val="auto"/>
                <w:szCs w:val="21"/>
                <w:highlight w:val="none"/>
              </w:rPr>
              <w:t xml:space="preserve">浙江政府采购网                    </w:t>
            </w:r>
            <w:r>
              <w:rPr>
                <w:rFonts w:ascii="宋体" w:hAnsi="宋体" w:cs="宋体"/>
                <w:color w:val="auto"/>
                <w:szCs w:val="21"/>
                <w:highlight w:val="none"/>
              </w:rPr>
              <w:t>http://zfcg.czt.zj.gov.cn/</w:t>
            </w:r>
          </w:p>
          <w:p>
            <w:pPr>
              <w:spacing w:line="288" w:lineRule="auto"/>
              <w:rPr>
                <w:rFonts w:ascii="宋体" w:hAnsi="宋体" w:cs="宋体"/>
                <w:color w:val="auto"/>
                <w:szCs w:val="21"/>
                <w:highlight w:val="none"/>
              </w:rPr>
            </w:pPr>
            <w:r>
              <w:rPr>
                <w:rFonts w:hint="eastAsia" w:ascii="宋体" w:hAnsi="宋体" w:cs="宋体"/>
                <w:color w:val="auto"/>
                <w:kern w:val="0"/>
                <w:szCs w:val="21"/>
                <w:highlight w:val="none"/>
                <w:lang w:val="en"/>
              </w:rPr>
              <w:t>宁波市公共资源交易网（江北分区分网）</w:t>
            </w:r>
            <w:r>
              <w:rPr>
                <w:rFonts w:hint="eastAsia" w:ascii="宋体" w:hAnsi="宋体" w:cs="宋体"/>
                <w:color w:val="auto"/>
                <w:szCs w:val="21"/>
                <w:highlight w:val="none"/>
              </w:rPr>
              <w:t xml:space="preserve"> </w:t>
            </w:r>
            <w:r>
              <w:rPr>
                <w:color w:val="auto"/>
                <w:highlight w:val="none"/>
              </w:rPr>
              <w:fldChar w:fldCharType="begin"/>
            </w:r>
            <w:r>
              <w:rPr>
                <w:color w:val="auto"/>
                <w:highlight w:val="none"/>
              </w:rPr>
              <w:instrText xml:space="preserve"> HYPERLINK "http://jiangbei.nbggzy.cn/" </w:instrText>
            </w:r>
            <w:r>
              <w:rPr>
                <w:color w:val="auto"/>
                <w:highlight w:val="none"/>
              </w:rPr>
              <w:fldChar w:fldCharType="separate"/>
            </w:r>
            <w:r>
              <w:rPr>
                <w:rFonts w:ascii="宋体" w:hAnsi="宋体" w:cs="宋体"/>
                <w:color w:val="auto"/>
                <w:szCs w:val="21"/>
                <w:highlight w:val="none"/>
              </w:rPr>
              <w:t>http://jiangbei.nbggzy.cn/</w:t>
            </w:r>
            <w:r>
              <w:rPr>
                <w:rFonts w:ascii="宋体" w:hAnsi="宋体" w:cs="宋体"/>
                <w:color w:val="auto"/>
                <w:szCs w:val="21"/>
                <w:highlight w:val="none"/>
              </w:rPr>
              <w:fldChar w:fldCharType="end"/>
            </w:r>
          </w:p>
          <w:p>
            <w:pPr>
              <w:spacing w:line="288" w:lineRule="auto"/>
              <w:rPr>
                <w:color w:val="auto"/>
                <w:highlight w:val="none"/>
              </w:rPr>
            </w:pPr>
            <w:r>
              <w:rPr>
                <w:rFonts w:hint="eastAsia" w:ascii="宋体" w:hAnsi="宋体" w:cs="宋体"/>
                <w:color w:val="auto"/>
                <w:szCs w:val="21"/>
                <w:highlight w:val="none"/>
              </w:rPr>
              <w:t xml:space="preserve">宁波华欣建设项目管理有限公司 </w:t>
            </w:r>
            <w:r>
              <w:rPr>
                <w:rFonts w:ascii="宋体" w:hAnsi="宋体" w:cs="宋体"/>
                <w:color w:val="auto"/>
                <w:szCs w:val="21"/>
                <w:highlight w:val="none"/>
              </w:rPr>
              <w:t xml:space="preserve">     http://www.hxjsxmgl.com/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79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color w:val="auto"/>
                <w:szCs w:val="21"/>
                <w:highlight w:val="none"/>
                <w:u w:val="single"/>
              </w:rPr>
            </w:pPr>
            <w:r>
              <w:rPr>
                <w:rFonts w:hint="eastAsia" w:ascii="宋体" w:hAnsi="宋体" w:cs="宋体"/>
                <w:color w:val="auto"/>
                <w:szCs w:val="21"/>
                <w:highlight w:val="none"/>
              </w:rPr>
              <w:t>采购资金来源：</w:t>
            </w:r>
            <w:r>
              <w:rPr>
                <w:rFonts w:hint="eastAsia" w:ascii="宋体" w:hAnsi="宋体" w:eastAsia="宋体" w:cs="宋体"/>
                <w:color w:val="auto"/>
                <w:sz w:val="21"/>
                <w:szCs w:val="21"/>
                <w:highlight w:val="none"/>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rPr>
                <w:rFonts w:hint="eastAsia"/>
                <w:color w:val="auto"/>
                <w:highlight w:val="none"/>
              </w:rPr>
            </w:pPr>
            <w:r>
              <w:rPr>
                <w:rFonts w:hint="eastAsia"/>
                <w:color w:val="auto"/>
                <w:highlight w:val="none"/>
              </w:rPr>
              <w:t>现场考察或开标前答疑会：</w:t>
            </w:r>
          </w:p>
          <w:p>
            <w:pPr>
              <w:keepNext w:val="0"/>
              <w:keepLines w:val="0"/>
              <w:pageBreakBefore w:val="0"/>
              <w:kinsoku/>
              <w:wordWrap/>
              <w:overflowPunct/>
              <w:topLinePunct w:val="0"/>
              <w:bidi w:val="0"/>
              <w:spacing w:line="360" w:lineRule="auto"/>
              <w:rPr>
                <w:rFonts w:hint="eastAsia"/>
                <w:color w:val="auto"/>
                <w:highlight w:val="none"/>
              </w:rPr>
            </w:pPr>
            <w:r>
              <w:rPr>
                <w:rFonts w:hint="eastAsia"/>
                <w:color w:val="auto"/>
                <w:highlight w:val="none"/>
              </w:rPr>
              <w:t>现场踏勘：</w:t>
            </w:r>
            <w:r>
              <w:rPr>
                <w:rFonts w:hint="eastAsia"/>
                <w:color w:val="auto"/>
                <w:highlight w:val="none"/>
                <w:lang w:val="en-US"/>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r>
              <w:rPr>
                <w:rFonts w:hint="eastAsia"/>
                <w:color w:val="auto"/>
                <w:highlight w:val="none"/>
              </w:rPr>
              <w:t>；</w:t>
            </w:r>
          </w:p>
          <w:p>
            <w:pPr>
              <w:spacing w:line="288" w:lineRule="auto"/>
              <w:rPr>
                <w:rFonts w:ascii="宋体" w:hAnsi="宋体" w:cs="宋体"/>
                <w:color w:val="auto"/>
                <w:szCs w:val="21"/>
                <w:highlight w:val="none"/>
              </w:rPr>
            </w:pPr>
            <w:r>
              <w:rPr>
                <w:rFonts w:hint="eastAsia"/>
                <w:color w:val="auto"/>
                <w:highlight w:val="none"/>
              </w:rPr>
              <w:t>标前答疑会：不组织。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9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color w:val="auto"/>
                <w:szCs w:val="21"/>
                <w:highlight w:val="none"/>
              </w:rPr>
            </w:pPr>
            <w:r>
              <w:rPr>
                <w:rFonts w:hint="eastAsia" w:ascii="宋体" w:hAnsi="宋体" w:cs="宋体"/>
                <w:color w:val="auto"/>
                <w:szCs w:val="21"/>
                <w:highlight w:val="none"/>
              </w:rPr>
              <w:t>备选投标方案：</w:t>
            </w:r>
            <w:r>
              <w:rPr>
                <w:rFonts w:hint="eastAsia" w:ascii="宋体" w:hAnsi="宋体" w:cs="宋体"/>
                <w:iCs/>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ascii="宋体" w:hAnsi="宋体" w:cs="宋体"/>
                <w:color w:val="auto"/>
                <w:szCs w:val="21"/>
                <w:highlight w:val="none"/>
              </w:rPr>
              <w:t>7</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▲投标报价及费用：</w:t>
            </w:r>
          </w:p>
          <w:p>
            <w:pPr>
              <w:keepNext w:val="0"/>
              <w:keepLines w:val="0"/>
              <w:pageBreakBefore w:val="0"/>
              <w:kinsoku/>
              <w:wordWrap/>
              <w:overflowPunct/>
              <w:topLinePunct w:val="0"/>
              <w:bidi w:val="0"/>
              <w:spacing w:line="360" w:lineRule="auto"/>
              <w:rPr>
                <w:bCs/>
                <w:color w:val="auto"/>
                <w:kern w:val="28"/>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bCs/>
                <w:color w:val="auto"/>
                <w:kern w:val="28"/>
                <w:sz w:val="21"/>
                <w:szCs w:val="21"/>
                <w:highlight w:val="none"/>
              </w:rPr>
              <w:t>本项目投标应以人民币报价；</w:t>
            </w:r>
          </w:p>
          <w:p>
            <w:pPr>
              <w:numPr>
                <w:ilvl w:val="0"/>
                <w:numId w:val="0"/>
              </w:numPr>
              <w:spacing w:line="360" w:lineRule="auto"/>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投标</w:t>
            </w:r>
            <w:r>
              <w:rPr>
                <w:color w:val="auto"/>
                <w:sz w:val="21"/>
                <w:szCs w:val="21"/>
                <w:highlight w:val="none"/>
              </w:rPr>
              <w:t>报价包括</w:t>
            </w:r>
            <w:r>
              <w:rPr>
                <w:rFonts w:hint="eastAsia"/>
                <w:color w:val="auto"/>
                <w:sz w:val="21"/>
                <w:szCs w:val="21"/>
                <w:highlight w:val="none"/>
              </w:rPr>
              <w:t>剥离、</w:t>
            </w:r>
            <w:r>
              <w:rPr>
                <w:color w:val="auto"/>
                <w:sz w:val="21"/>
                <w:szCs w:val="21"/>
                <w:highlight w:val="none"/>
              </w:rPr>
              <w:t>运输</w:t>
            </w:r>
            <w:r>
              <w:rPr>
                <w:rFonts w:hint="eastAsia"/>
                <w:color w:val="auto"/>
                <w:sz w:val="21"/>
                <w:szCs w:val="21"/>
                <w:highlight w:val="none"/>
              </w:rPr>
              <w:t>、</w:t>
            </w:r>
            <w:r>
              <w:rPr>
                <w:color w:val="auto"/>
                <w:sz w:val="21"/>
                <w:szCs w:val="21"/>
                <w:highlight w:val="none"/>
              </w:rPr>
              <w:t>倾倒</w:t>
            </w:r>
            <w:r>
              <w:rPr>
                <w:rFonts w:hint="eastAsia"/>
                <w:color w:val="auto"/>
                <w:sz w:val="21"/>
                <w:szCs w:val="21"/>
                <w:highlight w:val="none"/>
              </w:rPr>
              <w:t>、</w:t>
            </w:r>
            <w:r>
              <w:rPr>
                <w:color w:val="auto"/>
                <w:sz w:val="21"/>
                <w:szCs w:val="21"/>
                <w:highlight w:val="none"/>
              </w:rPr>
              <w:t>平整及</w:t>
            </w:r>
            <w:r>
              <w:rPr>
                <w:rFonts w:hint="eastAsia"/>
                <w:b/>
                <w:color w:val="auto"/>
                <w:sz w:val="21"/>
                <w:szCs w:val="21"/>
                <w:highlight w:val="none"/>
                <w:lang w:val="en-US" w:eastAsia="zh-CN"/>
              </w:rPr>
              <w:t>合同期内</w:t>
            </w:r>
            <w:r>
              <w:rPr>
                <w:color w:val="auto"/>
                <w:sz w:val="21"/>
                <w:szCs w:val="21"/>
                <w:highlight w:val="none"/>
              </w:rPr>
              <w:t>的堆放场地日常管理</w:t>
            </w:r>
            <w:r>
              <w:rPr>
                <w:rFonts w:hint="eastAsia"/>
                <w:color w:val="auto"/>
                <w:sz w:val="21"/>
                <w:szCs w:val="21"/>
                <w:highlight w:val="none"/>
              </w:rPr>
              <w:t>、</w:t>
            </w:r>
            <w:r>
              <w:rPr>
                <w:color w:val="auto"/>
                <w:sz w:val="21"/>
                <w:szCs w:val="21"/>
                <w:highlight w:val="none"/>
              </w:rPr>
              <w:t>登记台账</w:t>
            </w:r>
            <w:r>
              <w:rPr>
                <w:rFonts w:hint="eastAsia"/>
                <w:color w:val="auto"/>
                <w:sz w:val="21"/>
                <w:szCs w:val="21"/>
                <w:highlight w:val="none"/>
              </w:rPr>
              <w:t>、</w:t>
            </w:r>
            <w:r>
              <w:rPr>
                <w:color w:val="auto"/>
                <w:sz w:val="21"/>
                <w:szCs w:val="21"/>
                <w:highlight w:val="none"/>
              </w:rPr>
              <w:t>人员基本工资、各类福利和补贴（如加班补贴等）、社保（五金）、各种保险，作业工具等各类耗材费，设施设备管理维护费用（如：作业车辆的燃油费、折旧费及运行维护费等），垃圾处置费，管理费，税金，利润及其他与本次采购相关的一切费用</w:t>
            </w:r>
            <w:r>
              <w:rPr>
                <w:rFonts w:hint="eastAsia"/>
                <w:color w:val="auto"/>
                <w:sz w:val="21"/>
                <w:szCs w:val="21"/>
                <w:highlight w:val="none"/>
              </w:rPr>
              <w:t>。</w:t>
            </w:r>
          </w:p>
          <w:p>
            <w:pPr>
              <w:numPr>
                <w:ilvl w:val="0"/>
                <w:numId w:val="0"/>
              </w:numPr>
              <w:spacing w:line="360" w:lineRule="auto"/>
              <w:rPr>
                <w:bCs/>
                <w:color w:val="auto"/>
                <w:kern w:val="28"/>
                <w:sz w:val="21"/>
                <w:szCs w:val="21"/>
                <w:highlight w:val="none"/>
              </w:rPr>
            </w:pPr>
            <w:r>
              <w:rPr>
                <w:rFonts w:hint="eastAsia"/>
                <w:bCs/>
                <w:color w:val="auto"/>
                <w:kern w:val="28"/>
                <w:sz w:val="21"/>
                <w:szCs w:val="21"/>
                <w:highlight w:val="none"/>
                <w:lang w:eastAsia="zh-CN"/>
              </w:rPr>
              <w:t>（</w:t>
            </w:r>
            <w:r>
              <w:rPr>
                <w:rFonts w:hint="eastAsia"/>
                <w:bCs/>
                <w:color w:val="auto"/>
                <w:kern w:val="28"/>
                <w:sz w:val="21"/>
                <w:szCs w:val="21"/>
                <w:highlight w:val="none"/>
                <w:lang w:val="en-US" w:eastAsia="zh-CN"/>
              </w:rPr>
              <w:t>3</w:t>
            </w:r>
            <w:r>
              <w:rPr>
                <w:rFonts w:hint="eastAsia"/>
                <w:bCs/>
                <w:color w:val="auto"/>
                <w:kern w:val="28"/>
                <w:sz w:val="21"/>
                <w:szCs w:val="21"/>
                <w:highlight w:val="none"/>
                <w:lang w:eastAsia="zh-CN"/>
              </w:rPr>
              <w:t>）</w:t>
            </w:r>
            <w:r>
              <w:rPr>
                <w:bCs/>
                <w:color w:val="auto"/>
                <w:kern w:val="28"/>
                <w:sz w:val="21"/>
                <w:szCs w:val="21"/>
                <w:highlight w:val="none"/>
              </w:rPr>
              <w:t>不论投标结果如何，投标人均应自行承担所有与投标有关的全部费用。</w:t>
            </w:r>
          </w:p>
          <w:p>
            <w:pPr>
              <w:spacing w:line="360" w:lineRule="auto"/>
              <w:rPr>
                <w:b/>
                <w:bCs/>
                <w:color w:val="auto"/>
                <w:kern w:val="28"/>
                <w:sz w:val="21"/>
                <w:szCs w:val="21"/>
                <w:highlight w:val="none"/>
              </w:rPr>
            </w:pPr>
            <w:r>
              <w:rPr>
                <w:rFonts w:hint="eastAsia"/>
                <w:bCs/>
                <w:color w:val="auto"/>
                <w:kern w:val="28"/>
                <w:sz w:val="21"/>
                <w:szCs w:val="21"/>
                <w:highlight w:val="none"/>
                <w:lang w:eastAsia="zh-CN"/>
              </w:rPr>
              <w:t>（</w:t>
            </w:r>
            <w:r>
              <w:rPr>
                <w:rFonts w:hint="eastAsia"/>
                <w:bCs/>
                <w:color w:val="auto"/>
                <w:kern w:val="28"/>
                <w:sz w:val="21"/>
                <w:szCs w:val="21"/>
                <w:highlight w:val="none"/>
                <w:lang w:val="en-US" w:eastAsia="zh-CN"/>
              </w:rPr>
              <w:t>4</w:t>
            </w:r>
            <w:r>
              <w:rPr>
                <w:rFonts w:hint="eastAsia"/>
                <w:bCs/>
                <w:color w:val="auto"/>
                <w:kern w:val="28"/>
                <w:sz w:val="21"/>
                <w:szCs w:val="21"/>
                <w:highlight w:val="none"/>
                <w:lang w:eastAsia="zh-CN"/>
              </w:rPr>
              <w:t>）</w:t>
            </w:r>
            <w:r>
              <w:rPr>
                <w:bCs/>
                <w:color w:val="auto"/>
                <w:kern w:val="28"/>
                <w:sz w:val="21"/>
                <w:szCs w:val="21"/>
                <w:highlight w:val="none"/>
              </w:rPr>
              <w:t>本项目</w:t>
            </w:r>
            <w:r>
              <w:rPr>
                <w:rFonts w:hint="eastAsia"/>
                <w:color w:val="auto"/>
                <w:sz w:val="21"/>
                <w:szCs w:val="21"/>
                <w:highlight w:val="none"/>
              </w:rPr>
              <w:t>最高综合单价限价</w:t>
            </w:r>
            <w:r>
              <w:rPr>
                <w:rFonts w:hint="eastAsia"/>
                <w:color w:val="auto"/>
                <w:sz w:val="21"/>
                <w:szCs w:val="21"/>
                <w:highlight w:val="none"/>
                <w:lang w:val="en-US"/>
              </w:rPr>
              <w:t>：</w:t>
            </w:r>
            <w:r>
              <w:rPr>
                <w:color w:val="auto"/>
                <w:sz w:val="21"/>
                <w:szCs w:val="21"/>
                <w:highlight w:val="none"/>
                <w:lang w:val="en-US"/>
              </w:rPr>
              <w:t>35元</w:t>
            </w:r>
            <w:r>
              <w:rPr>
                <w:rFonts w:hint="eastAsia"/>
                <w:color w:val="auto"/>
                <w:sz w:val="21"/>
                <w:szCs w:val="21"/>
                <w:highlight w:val="none"/>
                <w:lang w:val="en-US"/>
              </w:rPr>
              <w:t>/m³</w:t>
            </w:r>
            <w:r>
              <w:rPr>
                <w:b/>
                <w:bCs/>
                <w:color w:val="auto"/>
                <w:kern w:val="28"/>
                <w:sz w:val="21"/>
                <w:szCs w:val="21"/>
                <w:highlight w:val="none"/>
              </w:rPr>
              <w:t>。</w:t>
            </w:r>
          </w:p>
          <w:p>
            <w:pPr>
              <w:keepNext w:val="0"/>
              <w:keepLines w:val="0"/>
              <w:pageBreakBefore w:val="0"/>
              <w:kinsoku/>
              <w:wordWrap/>
              <w:overflowPunct/>
              <w:topLinePunct w:val="0"/>
              <w:bidi w:val="0"/>
              <w:spacing w:line="360" w:lineRule="auto"/>
              <w:rPr>
                <w:b/>
                <w:bCs/>
                <w:color w:val="auto"/>
                <w:kern w:val="28"/>
                <w:szCs w:val="21"/>
                <w:highlight w:val="none"/>
              </w:rPr>
            </w:pPr>
            <w:r>
              <w:rPr>
                <w:b/>
                <w:bCs/>
                <w:color w:val="auto"/>
                <w:kern w:val="28"/>
                <w:szCs w:val="21"/>
                <w:highlight w:val="none"/>
              </w:rPr>
              <w:t>超过最高</w:t>
            </w:r>
            <w:r>
              <w:rPr>
                <w:rFonts w:hint="eastAsia"/>
                <w:b/>
                <w:bCs/>
                <w:color w:val="auto"/>
                <w:kern w:val="28"/>
                <w:szCs w:val="21"/>
                <w:highlight w:val="none"/>
              </w:rPr>
              <w:t>综合单价</w:t>
            </w:r>
            <w:r>
              <w:rPr>
                <w:b/>
                <w:bCs/>
                <w:color w:val="auto"/>
                <w:kern w:val="28"/>
                <w:szCs w:val="21"/>
                <w:highlight w:val="none"/>
              </w:rPr>
              <w:t>限价的投标报价作废标处理。</w:t>
            </w:r>
          </w:p>
          <w:p>
            <w:pPr>
              <w:spacing w:line="288" w:lineRule="auto"/>
              <w:rPr>
                <w:color w:val="auto"/>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ascii="宋体" w:hAnsi="宋体" w:cs="宋体"/>
                <w:color w:val="auto"/>
                <w:szCs w:val="21"/>
                <w:highlight w:val="none"/>
              </w:rPr>
              <w:t>8</w:t>
            </w:r>
          </w:p>
        </w:tc>
        <w:tc>
          <w:tcPr>
            <w:tcW w:w="79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color w:val="auto"/>
                <w:szCs w:val="21"/>
                <w:highlight w:val="none"/>
              </w:rPr>
            </w:pPr>
            <w:r>
              <w:rPr>
                <w:rFonts w:hint="eastAsia" w:ascii="宋体" w:hAnsi="宋体" w:cs="宋体"/>
                <w:color w:val="auto"/>
                <w:szCs w:val="21"/>
                <w:highlight w:val="none"/>
              </w:rPr>
              <w:t>▲投标有效期：</w:t>
            </w:r>
            <w:r>
              <w:rPr>
                <w:rFonts w:hint="eastAsia" w:ascii="宋体" w:hAnsi="宋体" w:cs="宋体"/>
                <w:color w:val="auto"/>
                <w:szCs w:val="21"/>
                <w:highlight w:val="none"/>
                <w:u w:val="single"/>
              </w:rPr>
              <w:t>90</w:t>
            </w:r>
            <w:r>
              <w:rPr>
                <w:rFonts w:hint="eastAsia" w:ascii="宋体" w:hAnsi="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ascii="宋体" w:hAnsi="宋体" w:cs="宋体"/>
                <w:color w:val="auto"/>
                <w:szCs w:val="21"/>
                <w:highlight w:val="none"/>
              </w:rPr>
              <w:t>9</w:t>
            </w:r>
          </w:p>
        </w:tc>
        <w:tc>
          <w:tcPr>
            <w:tcW w:w="79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color w:val="auto"/>
                <w:szCs w:val="21"/>
                <w:highlight w:val="none"/>
              </w:rPr>
            </w:pPr>
            <w:r>
              <w:rPr>
                <w:rFonts w:hint="eastAsia" w:ascii="宋体" w:hAnsi="宋体" w:cs="宋体"/>
                <w:color w:val="auto"/>
                <w:szCs w:val="21"/>
                <w:highlight w:val="none"/>
              </w:rPr>
              <w:t>投标文件组</w:t>
            </w:r>
            <w:r>
              <w:rPr>
                <w:rFonts w:hint="eastAsia" w:ascii="宋体" w:hAnsi="宋体" w:eastAsia="宋体" w:cs="宋体"/>
                <w:color w:val="auto"/>
                <w:szCs w:val="21"/>
                <w:highlight w:val="none"/>
              </w:rPr>
              <w:t>成：</w:t>
            </w:r>
            <w:r>
              <w:rPr>
                <w:rFonts w:hint="eastAsia" w:ascii="宋体" w:hAnsi="宋体" w:eastAsia="宋体" w:cs="宋体"/>
                <w:color w:val="auto"/>
                <w:szCs w:val="21"/>
                <w:highlight w:val="none"/>
                <w:lang w:val="en-US" w:eastAsia="zh-CN"/>
              </w:rPr>
              <w:t>详见</w:t>
            </w:r>
            <w:r>
              <w:rPr>
                <w:rFonts w:hint="eastAsia" w:ascii="宋体" w:hAnsi="宋体" w:eastAsia="宋体" w:cs="宋体"/>
                <w:color w:val="auto"/>
                <w:szCs w:val="21"/>
                <w:highlight w:val="none"/>
              </w:rPr>
              <w:t>投标人须知正文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w:t>
            </w:r>
          </w:p>
        </w:tc>
        <w:tc>
          <w:tcPr>
            <w:tcW w:w="793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color w:val="auto"/>
                <w:szCs w:val="21"/>
                <w:highlight w:val="none"/>
              </w:rPr>
            </w:pPr>
            <w:r>
              <w:rPr>
                <w:rFonts w:hint="eastAsia" w:ascii="宋体" w:hAnsi="宋体" w:cs="宋体"/>
                <w:color w:val="auto"/>
                <w:szCs w:val="21"/>
                <w:highlight w:val="none"/>
              </w:rPr>
              <w:t>本项目实行网上投标，供应商应准备以下投标文件：</w:t>
            </w:r>
          </w:p>
          <w:p>
            <w:pPr>
              <w:spacing w:line="288" w:lineRule="auto"/>
              <w:rPr>
                <w:rFonts w:ascii="宋体" w:hAnsi="宋体" w:cs="宋体"/>
                <w:color w:val="auto"/>
                <w:szCs w:val="21"/>
                <w:highlight w:val="none"/>
              </w:rPr>
            </w:pPr>
            <w:r>
              <w:rPr>
                <w:rFonts w:hint="eastAsia" w:ascii="宋体" w:hAnsi="宋体" w:cs="宋体"/>
                <w:color w:val="auto"/>
                <w:szCs w:val="21"/>
                <w:highlight w:val="none"/>
              </w:rPr>
              <w:t>（1）上传到政府采购云平台的电子投标文件（含资格文件、商务技术文件、报价文件）1份。</w:t>
            </w:r>
          </w:p>
          <w:p>
            <w:pPr>
              <w:spacing w:line="288" w:lineRule="auto"/>
              <w:rPr>
                <w:rFonts w:ascii="宋体" w:hAnsi="宋体" w:cs="宋体"/>
                <w:color w:val="auto"/>
                <w:szCs w:val="21"/>
                <w:highlight w:val="none"/>
              </w:rPr>
            </w:pPr>
            <w:r>
              <w:rPr>
                <w:rFonts w:hint="eastAsia" w:ascii="宋体" w:hAnsi="宋体" w:cs="宋体"/>
                <w:color w:val="auto"/>
                <w:szCs w:val="21"/>
                <w:highlight w:val="none"/>
              </w:rPr>
              <w:t>（2）以U盘或光盘存储的电子备份投标文件（含资格文件、商务技术文件、报价文件）1份</w:t>
            </w:r>
            <w:r>
              <w:rPr>
                <w:rFonts w:hint="eastAsia" w:ascii="宋体" w:hAnsi="宋体" w:cs="宋体"/>
                <w:b/>
                <w:bCs/>
                <w:color w:val="auto"/>
                <w:szCs w:val="21"/>
                <w:highlight w:val="none"/>
              </w:rPr>
              <w:t>（自愿提供，用于异常情况处理）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p>
        </w:tc>
        <w:tc>
          <w:tcPr>
            <w:tcW w:w="7938"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投标截止时间及地点：</w:t>
            </w:r>
            <w:r>
              <w:rPr>
                <w:rFonts w:hint="eastAsia" w:ascii="宋体" w:hAnsi="宋体" w:cs="宋体"/>
                <w:color w:val="auto"/>
                <w:szCs w:val="21"/>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p>
        </w:tc>
        <w:tc>
          <w:tcPr>
            <w:tcW w:w="7938"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开标时间及地点：</w:t>
            </w:r>
            <w:r>
              <w:rPr>
                <w:rFonts w:hint="eastAsia" w:ascii="宋体" w:hAnsi="宋体" w:cs="宋体"/>
                <w:color w:val="auto"/>
                <w:szCs w:val="21"/>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3</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签订合同时间：中标通知书发出之日起</w:t>
            </w:r>
            <w:r>
              <w:rPr>
                <w:rFonts w:hint="eastAsia" w:ascii="宋体" w:hAnsi="宋体" w:cs="宋体"/>
                <w:color w:val="auto"/>
                <w:szCs w:val="21"/>
                <w:highlight w:val="none"/>
                <w:u w:val="single"/>
              </w:rPr>
              <w:t>30</w:t>
            </w:r>
            <w:r>
              <w:rPr>
                <w:rFonts w:hint="eastAsia" w:ascii="宋体" w:hAnsi="宋体" w:cs="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color w:val="auto"/>
                <w:highlight w:val="none"/>
              </w:rPr>
            </w:pPr>
            <w:r>
              <w:rPr>
                <w:rFonts w:hint="eastAsia"/>
                <w:color w:val="auto"/>
                <w:highlight w:val="none"/>
              </w:rPr>
              <w:t>▲履约保证金：</w:t>
            </w:r>
          </w:p>
          <w:p>
            <w:pPr>
              <w:autoSpaceDE w:val="0"/>
              <w:autoSpaceDN w:val="0"/>
              <w:spacing w:line="288" w:lineRule="auto"/>
              <w:textAlignment w:val="bottom"/>
              <w:rPr>
                <w:rFonts w:hint="eastAsia" w:ascii="Times New Roman" w:hAnsi="Times New Roman" w:eastAsia="宋体" w:cs="Times New Roman"/>
                <w:color w:val="auto"/>
                <w:highlight w:val="none"/>
              </w:rPr>
            </w:pPr>
            <w:r>
              <w:rPr>
                <w:rFonts w:hint="eastAsia" w:ascii="宋体" w:hAnsi="宋体" w:eastAsia="宋体" w:cs="宋体"/>
                <w:color w:val="auto"/>
                <w:sz w:val="21"/>
                <w:szCs w:val="21"/>
                <w:highlight w:val="none"/>
              </w:rPr>
              <w:t>▲</w:t>
            </w:r>
            <w:r>
              <w:rPr>
                <w:rFonts w:hint="eastAsia" w:ascii="Times New Roman" w:hAnsi="Times New Roman" w:eastAsia="宋体" w:cs="Times New Roman"/>
                <w:color w:val="auto"/>
                <w:highlight w:val="none"/>
              </w:rPr>
              <w:t>履约保证金的收取及退还：</w:t>
            </w:r>
          </w:p>
          <w:p>
            <w:pPr>
              <w:autoSpaceDE w:val="0"/>
              <w:autoSpaceDN w:val="0"/>
              <w:spacing w:line="288" w:lineRule="auto"/>
              <w:textAlignment w:val="bottom"/>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1.履约保证金的金额：在签订合同之</w:t>
            </w:r>
            <w:r>
              <w:rPr>
                <w:rFonts w:hint="eastAsia" w:ascii="Times New Roman" w:hAnsi="Times New Roman" w:eastAsia="宋体" w:cs="Times New Roman"/>
                <w:color w:val="auto"/>
                <w:highlight w:val="none"/>
                <w:lang w:val="en-US" w:eastAsia="zh-CN"/>
              </w:rPr>
              <w:t>后</w:t>
            </w:r>
            <w:r>
              <w:rPr>
                <w:rFonts w:hint="eastAsia" w:ascii="Times New Roman" w:hAnsi="Times New Roman" w:eastAsia="宋体" w:cs="Times New Roman"/>
                <w:color w:val="auto"/>
                <w:highlight w:val="none"/>
              </w:rPr>
              <w:t>，中标人向采购人提供</w:t>
            </w:r>
            <w:r>
              <w:rPr>
                <w:rFonts w:hint="eastAsia" w:ascii="Times New Roman" w:hAnsi="Times New Roman" w:eastAsia="宋体" w:cs="Times New Roman"/>
                <w:color w:val="auto"/>
                <w:highlight w:val="none"/>
                <w:lang w:val="en-US" w:eastAsia="zh-CN"/>
              </w:rPr>
              <w:t>合同总价的1%</w:t>
            </w:r>
            <w:r>
              <w:rPr>
                <w:rFonts w:hint="eastAsia" w:ascii="Times New Roman" w:hAnsi="Times New Roman" w:eastAsia="宋体" w:cs="Times New Roman"/>
                <w:color w:val="auto"/>
                <w:highlight w:val="none"/>
              </w:rPr>
              <w:t>作为履约保证金；</w:t>
            </w:r>
          </w:p>
          <w:p>
            <w:pPr>
              <w:autoSpaceDE w:val="0"/>
              <w:autoSpaceDN w:val="0"/>
              <w:spacing w:line="288" w:lineRule="auto"/>
              <w:textAlignment w:val="bottom"/>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2.履约保证金形式：履约保证金形式：电汇、网银、银行保函（采购人认可的银行开具的保函）、保险保单；</w:t>
            </w:r>
          </w:p>
          <w:p>
            <w:pPr>
              <w:autoSpaceDE w:val="0"/>
              <w:autoSpaceDN w:val="0"/>
              <w:spacing w:line="288" w:lineRule="auto"/>
              <w:textAlignment w:val="bottom"/>
              <w:rPr>
                <w:color w:val="auto"/>
                <w:highlight w:val="none"/>
              </w:rPr>
            </w:pPr>
            <w:r>
              <w:rPr>
                <w:rFonts w:hint="eastAsia" w:ascii="Times New Roman" w:hAnsi="Times New Roman" w:eastAsia="宋体" w:cs="Times New Roman"/>
                <w:color w:val="auto"/>
                <w:highlight w:val="none"/>
              </w:rPr>
              <w:t>3.</w:t>
            </w:r>
            <w:r>
              <w:rPr>
                <w:rFonts w:hint="eastAsia" w:ascii="Times New Roman" w:hAnsi="Times New Roman" w:eastAsia="宋体" w:cs="Times New Roman"/>
                <w:color w:val="auto"/>
                <w:highlight w:val="none"/>
                <w:lang w:val="en-US"/>
              </w:rPr>
              <w:t>履约保证金于合同履行完毕后(除违反招标文件中规定的投标人应尽的义务造成履约保证金被罚没的情况外 )</w:t>
            </w:r>
            <w:r>
              <w:rPr>
                <w:rFonts w:hint="eastAsia" w:ascii="Times New Roman" w:hAnsi="Times New Roman" w:eastAsia="宋体" w:cs="Times New Roman"/>
                <w:color w:val="auto"/>
                <w:highlight w:val="none"/>
                <w:lang w:val="en-US" w:eastAsia="zh-CN"/>
              </w:rPr>
              <w:t>30日历天内</w:t>
            </w:r>
            <w:r>
              <w:rPr>
                <w:rFonts w:hint="eastAsia" w:ascii="Times New Roman" w:hAnsi="Times New Roman" w:eastAsia="宋体" w:cs="Times New Roman"/>
                <w:color w:val="auto"/>
                <w:highlight w:val="none"/>
                <w:lang w:val="en-US"/>
              </w:rPr>
              <w:t>退还（不计息）</w:t>
            </w:r>
            <w:r>
              <w:rPr>
                <w:rFonts w:hint="eastAsia" w:ascii="Times New Roman" w:hAnsi="Times New Roman" w:eastAsia="宋体" w:cs="Times New Roman"/>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ascii="宋体" w:hAnsi="宋体" w:cs="宋体"/>
                <w:color w:val="auto"/>
                <w:szCs w:val="21"/>
                <w:highlight w:val="none"/>
              </w:rPr>
              <w:t>15</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1、招标代理机构按照</w:t>
            </w:r>
            <w:r>
              <w:rPr>
                <w:rFonts w:hint="eastAsia"/>
                <w:bCs/>
                <w:color w:val="auto"/>
                <w:szCs w:val="21"/>
                <w:highlight w:val="none"/>
              </w:rPr>
              <w:t>宁波市中介超市网就本项目竞报价格</w:t>
            </w:r>
            <w:r>
              <w:rPr>
                <w:rFonts w:hint="eastAsia"/>
                <w:bCs/>
                <w:color w:val="auto"/>
                <w:szCs w:val="21"/>
                <w:highlight w:val="none"/>
                <w:u w:val="single"/>
              </w:rPr>
              <w:t>人民币</w:t>
            </w:r>
            <w:r>
              <w:rPr>
                <w:rFonts w:hint="eastAsia"/>
                <w:bCs/>
                <w:color w:val="auto"/>
                <w:szCs w:val="21"/>
                <w:highlight w:val="none"/>
                <w:u w:val="single"/>
                <w:lang w:val="en-US" w:eastAsia="zh-CN"/>
              </w:rPr>
              <w:t>16200</w:t>
            </w:r>
            <w:r>
              <w:rPr>
                <w:bCs/>
                <w:color w:val="auto"/>
                <w:szCs w:val="21"/>
                <w:highlight w:val="none"/>
                <w:u w:val="single"/>
              </w:rPr>
              <w:t>元</w:t>
            </w:r>
            <w:r>
              <w:rPr>
                <w:rFonts w:hint="eastAsia" w:ascii="宋体" w:hAnsi="宋体" w:cs="宋体"/>
                <w:color w:val="auto"/>
                <w:szCs w:val="21"/>
                <w:highlight w:val="none"/>
              </w:rPr>
              <w:t>向中标人收取中标服务费。</w:t>
            </w:r>
          </w:p>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2、中标人在接到通知时向招标代理公司支付中标服务费，并领取中标通知书。</w:t>
            </w:r>
          </w:p>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3、招标代理服务费只收现金、银行票汇款、电汇款。</w:t>
            </w:r>
          </w:p>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4、服务费缴纳：</w:t>
            </w:r>
          </w:p>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账户名称：宁波华欣建设项目管理有限公司</w:t>
            </w:r>
          </w:p>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开户银行：宁波银行股份有限公司慈城支行</w:t>
            </w:r>
          </w:p>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账号：40070122000123279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ascii="宋体" w:hAnsi="宋体" w:cs="宋体"/>
                <w:color w:val="auto"/>
                <w:szCs w:val="21"/>
                <w:highlight w:val="none"/>
              </w:rPr>
              <w:t>16</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288" w:lineRule="auto"/>
              <w:jc w:val="left"/>
              <w:rPr>
                <w:rFonts w:hint="eastAsia"/>
                <w:color w:val="auto"/>
                <w:highlight w:val="none"/>
              </w:rPr>
            </w:pPr>
            <w:r>
              <w:rPr>
                <w:rFonts w:hint="eastAsia"/>
                <w:color w:val="auto"/>
                <w:highlight w:val="none"/>
              </w:rPr>
              <w:t>▲付款方法和条件：</w:t>
            </w:r>
          </w:p>
          <w:p>
            <w:pPr>
              <w:widowControl/>
              <w:autoSpaceDE w:val="0"/>
              <w:autoSpaceDN w:val="0"/>
              <w:adjustRightInd w:val="0"/>
              <w:spacing w:line="288" w:lineRule="auto"/>
              <w:rPr>
                <w:color w:val="auto"/>
                <w:highlight w:val="none"/>
              </w:rPr>
            </w:pPr>
            <w:r>
              <w:rPr>
                <w:rFonts w:hint="eastAsia" w:ascii="Times New Roman" w:hAnsi="Times New Roman" w:cs="Times New Roman"/>
                <w:color w:val="auto"/>
                <w:highlight w:val="none"/>
                <w:lang w:eastAsia="zh-CN"/>
              </w:rPr>
              <w:t>按单个项目支付，以经过区保护耕地（永久基本农田）和全域土地综合整治与生态修复领导小组办公室审核的建设占用耕地耕作层剥离</w:t>
            </w:r>
            <w:r>
              <w:rPr>
                <w:rFonts w:hint="eastAsia" w:ascii="Times New Roman" w:hAnsi="Times New Roman" w:cs="Times New Roman"/>
                <w:color w:val="auto"/>
                <w:highlight w:val="none"/>
                <w:lang w:val="en-US" w:eastAsia="zh-CN"/>
              </w:rPr>
              <w:t>方量</w:t>
            </w:r>
            <w:r>
              <w:rPr>
                <w:rFonts w:hint="eastAsia" w:ascii="Times New Roman" w:hAnsi="Times New Roman" w:cs="Times New Roman"/>
                <w:color w:val="auto"/>
                <w:highlight w:val="none"/>
                <w:lang w:eastAsia="zh-CN"/>
              </w:rPr>
              <w:t>为单位，项目完工并经业主初步验收合格后，支付至项目结算价的60%；通过宁波市自然资源和规划局江北分局耕作层剥离验收、资金到位后支付至项目结算价的90%，剩余部分服务期满后通过业主验收后支付，计量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ascii="宋体" w:hAnsi="宋体" w:cs="宋体"/>
                <w:color w:val="auto"/>
                <w:szCs w:val="21"/>
                <w:highlight w:val="none"/>
              </w:rPr>
              <w:t>17</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288" w:lineRule="auto"/>
              <w:rPr>
                <w:rFonts w:ascii="宋体" w:hAnsi="宋体" w:cs="宋体"/>
                <w:b/>
                <w:color w:val="auto"/>
                <w:szCs w:val="21"/>
                <w:highlight w:val="none"/>
              </w:rPr>
            </w:pPr>
            <w:r>
              <w:rPr>
                <w:rFonts w:hint="eastAsia"/>
                <w:color w:val="auto"/>
                <w:highlight w:val="none"/>
              </w:rPr>
              <w:t>▲服务期限：</w:t>
            </w:r>
            <w:r>
              <w:rPr>
                <w:rFonts w:hint="eastAsia" w:ascii="宋体" w:hAnsi="宋体" w:eastAsia="宋体" w:cs="Times New Roman"/>
                <w:color w:val="auto"/>
                <w:highlight w:val="none"/>
              </w:rPr>
              <w:t>自合同签订之日起</w:t>
            </w:r>
            <w:r>
              <w:rPr>
                <w:rFonts w:hint="eastAsia" w:ascii="宋体" w:hAnsi="宋体" w:eastAsia="宋体" w:cs="Times New Roman"/>
                <w:color w:val="auto"/>
                <w:highlight w:val="none"/>
                <w:lang w:val="en-US" w:eastAsia="zh-CN"/>
              </w:rPr>
              <w:t>二</w:t>
            </w:r>
            <w:r>
              <w:rPr>
                <w:rFonts w:hint="eastAsia" w:ascii="宋体" w:hAnsi="宋体" w:eastAsia="宋体" w:cs="Times New Roman"/>
                <w:color w:val="auto"/>
                <w:highlight w:val="none"/>
              </w:rPr>
              <w:t>年</w:t>
            </w:r>
            <w:r>
              <w:rPr>
                <w:rFonts w:hint="eastAsia" w:ascii="宋体" w:hAnsi="宋体" w:eastAsia="宋体" w:cs="Times New Roman"/>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auto"/>
                <w:szCs w:val="21"/>
                <w:highlight w:val="none"/>
              </w:rPr>
            </w:pPr>
            <w:r>
              <w:rPr>
                <w:rFonts w:ascii="宋体" w:hAnsi="宋体" w:cs="宋体"/>
                <w:color w:val="auto"/>
                <w:szCs w:val="21"/>
                <w:highlight w:val="none"/>
              </w:rPr>
              <w:t>18</w:t>
            </w:r>
          </w:p>
        </w:tc>
        <w:tc>
          <w:tcPr>
            <w:tcW w:w="793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eastAsia="宋体"/>
                <w:color w:val="auto"/>
                <w:highlight w:val="none"/>
                <w:lang w:eastAsia="zh-CN"/>
              </w:rPr>
            </w:pPr>
            <w:r>
              <w:rPr>
                <w:rFonts w:hint="eastAsia" w:ascii="宋体" w:hAnsi="宋体" w:eastAsia="宋体" w:cs="宋体"/>
                <w:color w:val="auto"/>
                <w:sz w:val="21"/>
                <w:szCs w:val="21"/>
                <w:highlight w:val="none"/>
              </w:rPr>
              <w:t>中标候选人数量：</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名</w:t>
            </w:r>
            <w:r>
              <w:rPr>
                <w:rFonts w:hint="eastAsia" w:ascii="宋体" w:hAnsi="宋体" w:cs="宋体"/>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793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中标人确定：</w:t>
            </w:r>
            <w:r>
              <w:rPr>
                <w:rFonts w:hint="eastAsia" w:ascii="宋体" w:hAnsi="宋体" w:eastAsia="宋体" w:cs="宋体"/>
                <w:iCs/>
                <w:color w:val="auto"/>
                <w:sz w:val="21"/>
                <w:szCs w:val="21"/>
                <w:highlight w:val="none"/>
              </w:rPr>
              <w:t>采购人委托评标委员会直接确定</w:t>
            </w:r>
            <w:r>
              <w:rPr>
                <w:rFonts w:hint="eastAsia" w:ascii="宋体" w:hAnsi="宋体" w:eastAsia="宋体" w:cs="宋体"/>
                <w:iCs/>
                <w:color w:val="auto"/>
                <w:sz w:val="21"/>
                <w:szCs w:val="21"/>
                <w:highlight w:val="none"/>
                <w:lang w:val="en-US" w:eastAsia="zh-CN"/>
              </w:rPr>
              <w:t>第一中标候选人为</w:t>
            </w:r>
            <w:r>
              <w:rPr>
                <w:rFonts w:hint="eastAsia" w:ascii="宋体" w:hAnsi="宋体" w:eastAsia="宋体" w:cs="宋体"/>
                <w:iCs/>
                <w:color w:val="auto"/>
                <w:sz w:val="21"/>
                <w:szCs w:val="21"/>
                <w:highlight w:val="none"/>
              </w:rPr>
              <w:t>中标人</w:t>
            </w:r>
            <w:r>
              <w:rPr>
                <w:rFonts w:hint="eastAsia" w:ascii="宋体" w:hAnsi="宋体" w:eastAsia="宋体" w:cs="宋体"/>
                <w:i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7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采购标的对应的中小企业划分标准所属行业</w:t>
            </w:r>
            <w:r>
              <w:rPr>
                <w:rFonts w:hint="eastAsia" w:ascii="宋体" w:hAnsi="宋体" w:eastAsia="宋体" w:cs="宋体"/>
                <w:b/>
                <w:bCs/>
                <w:color w:val="auto"/>
                <w:sz w:val="21"/>
                <w:szCs w:val="21"/>
                <w:highlight w:val="none"/>
                <w:lang w:eastAsia="zh-CN"/>
              </w:rPr>
              <w:t>：</w:t>
            </w:r>
          </w:p>
          <w:p>
            <w:pPr>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标项1 </w:t>
            </w:r>
            <w:r>
              <w:rPr>
                <w:rFonts w:hint="eastAsia" w:ascii="宋体" w:hAnsi="宋体" w:eastAsia="宋体" w:cs="宋体"/>
                <w:color w:val="auto"/>
                <w:kern w:val="0"/>
                <w:sz w:val="21"/>
                <w:szCs w:val="21"/>
                <w:highlight w:val="none"/>
              </w:rPr>
              <w:t>，属于</w:t>
            </w:r>
            <w:r>
              <w:rPr>
                <w:rFonts w:hint="eastAsia" w:ascii="宋体" w:hAnsi="宋体" w:eastAsia="宋体" w:cs="宋体"/>
                <w:b/>
                <w:bCs/>
                <w:color w:val="auto"/>
                <w:sz w:val="21"/>
                <w:szCs w:val="21"/>
                <w:highlight w:val="none"/>
                <w:u w:val="single"/>
                <w:lang w:val="en-US" w:eastAsia="zh-CN"/>
              </w:rPr>
              <w:t xml:space="preserve"> 农林牧渔业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793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解释：本招标文件的解释权属于招标采购单位。</w:t>
            </w:r>
          </w:p>
        </w:tc>
      </w:tr>
    </w:tbl>
    <w:p>
      <w:pPr>
        <w:pStyle w:val="27"/>
        <w:snapToGrid w:val="0"/>
        <w:spacing w:line="240" w:lineRule="auto"/>
        <w:jc w:val="center"/>
        <w:rPr>
          <w:rFonts w:hAnsi="宋体"/>
          <w:b/>
          <w:color w:val="auto"/>
          <w:sz w:val="30"/>
          <w:szCs w:val="30"/>
          <w:highlight w:val="none"/>
        </w:rPr>
      </w:pPr>
      <w:r>
        <w:rPr>
          <w:rFonts w:hAnsi="宋体"/>
          <w:b/>
          <w:color w:val="auto"/>
          <w:sz w:val="30"/>
          <w:szCs w:val="30"/>
          <w:highlight w:val="none"/>
        </w:rPr>
        <w:br w:type="page"/>
      </w:r>
      <w:r>
        <w:rPr>
          <w:rFonts w:hint="eastAsia" w:hAnsi="宋体"/>
          <w:b/>
          <w:color w:val="auto"/>
          <w:sz w:val="30"/>
          <w:szCs w:val="30"/>
          <w:highlight w:val="none"/>
        </w:rPr>
        <w:t>投标人须知正文</w:t>
      </w:r>
    </w:p>
    <w:p>
      <w:pPr>
        <w:spacing w:line="360" w:lineRule="auto"/>
        <w:contextualSpacing/>
        <w:rPr>
          <w:rFonts w:ascii="宋体" w:hAnsi="宋体" w:cs="宋体"/>
          <w:b/>
          <w:color w:val="auto"/>
          <w:szCs w:val="21"/>
          <w:highlight w:val="none"/>
        </w:rPr>
      </w:pPr>
      <w:bookmarkStart w:id="13" w:name="_Toc425780268"/>
      <w:bookmarkStart w:id="14" w:name="_Toc496003202"/>
      <w:bookmarkStart w:id="15" w:name="_Toc505353781"/>
      <w:bookmarkStart w:id="16" w:name="_Toc498429630"/>
      <w:bookmarkStart w:id="17" w:name="_Toc425151724"/>
      <w:bookmarkStart w:id="18" w:name="_Toc467683125"/>
      <w:bookmarkStart w:id="19" w:name="_Toc103030416"/>
      <w:bookmarkStart w:id="20" w:name="_Toc430790205"/>
      <w:bookmarkStart w:id="21" w:name="_Toc429407684"/>
      <w:r>
        <w:rPr>
          <w:rFonts w:hint="eastAsia" w:ascii="宋体" w:hAnsi="宋体" w:cs="宋体"/>
          <w:b/>
          <w:color w:val="auto"/>
          <w:szCs w:val="21"/>
          <w:highlight w:val="none"/>
        </w:rPr>
        <w:t>一、说明</w:t>
      </w:r>
      <w:bookmarkEnd w:id="13"/>
      <w:bookmarkEnd w:id="14"/>
      <w:bookmarkEnd w:id="15"/>
      <w:bookmarkEnd w:id="16"/>
      <w:bookmarkEnd w:id="17"/>
      <w:bookmarkEnd w:id="18"/>
      <w:bookmarkEnd w:id="19"/>
      <w:bookmarkEnd w:id="20"/>
      <w:bookmarkEnd w:id="21"/>
    </w:p>
    <w:p>
      <w:pPr>
        <w:spacing w:line="360" w:lineRule="auto"/>
        <w:contextualSpacing/>
        <w:rPr>
          <w:rFonts w:ascii="宋体" w:hAnsi="宋体" w:cs="宋体"/>
          <w:color w:val="auto"/>
          <w:szCs w:val="21"/>
          <w:highlight w:val="none"/>
        </w:rPr>
      </w:pPr>
      <w:bookmarkStart w:id="22" w:name="_Toc425151725"/>
      <w:bookmarkStart w:id="23" w:name="_Toc430790206"/>
      <w:bookmarkStart w:id="24" w:name="_Toc425780269"/>
      <w:bookmarkStart w:id="25" w:name="_Toc162252738"/>
      <w:bookmarkStart w:id="26" w:name="_Toc429407685"/>
      <w:r>
        <w:rPr>
          <w:rFonts w:hint="eastAsia" w:ascii="宋体" w:hAnsi="宋体" w:cs="宋体"/>
          <w:color w:val="auto"/>
          <w:szCs w:val="21"/>
          <w:highlight w:val="none"/>
        </w:rPr>
        <w:t>1、项目概况</w:t>
      </w:r>
      <w:bookmarkEnd w:id="22"/>
      <w:bookmarkEnd w:id="23"/>
      <w:bookmarkEnd w:id="24"/>
      <w:bookmarkEnd w:id="25"/>
      <w:bookmarkEnd w:id="26"/>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1.1采购人的项目（载明在《投标人须知》中）已经政府采购行政管理部门批准。采购人委托宁波华欣建设项目管理有限公司代理本次招标采购工作。有关采购人、采购代理机构的名称、联系人、电话等信息载明在《投标人须知》中。</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1.2经批准的本次采购方式载明在《投标人须知》中。</w:t>
      </w:r>
    </w:p>
    <w:p>
      <w:pPr>
        <w:spacing w:line="360" w:lineRule="auto"/>
        <w:contextualSpacing/>
        <w:rPr>
          <w:rFonts w:ascii="宋体" w:hAnsi="宋体" w:cs="宋体"/>
          <w:b/>
          <w:color w:val="auto"/>
          <w:szCs w:val="21"/>
          <w:highlight w:val="none"/>
        </w:rPr>
      </w:pPr>
      <w:bookmarkStart w:id="27" w:name="_Toc429407686"/>
      <w:bookmarkStart w:id="28" w:name="_Toc498429631"/>
      <w:bookmarkStart w:id="29" w:name="_Toc430790207"/>
      <w:bookmarkStart w:id="30" w:name="_Toc496003203"/>
      <w:bookmarkStart w:id="31" w:name="_Toc425151726"/>
      <w:bookmarkStart w:id="32" w:name="_Toc103030417"/>
      <w:bookmarkStart w:id="33" w:name="_Toc505353782"/>
      <w:bookmarkStart w:id="34" w:name="_Toc467683126"/>
      <w:bookmarkStart w:id="35" w:name="_Toc425780270"/>
      <w:r>
        <w:rPr>
          <w:rFonts w:hint="eastAsia" w:ascii="宋体" w:hAnsi="宋体" w:cs="宋体"/>
          <w:b/>
          <w:color w:val="auto"/>
          <w:szCs w:val="21"/>
          <w:highlight w:val="none"/>
        </w:rPr>
        <w:t>二、投标人</w:t>
      </w:r>
      <w:bookmarkEnd w:id="27"/>
      <w:bookmarkEnd w:id="28"/>
      <w:bookmarkEnd w:id="29"/>
      <w:bookmarkEnd w:id="30"/>
      <w:bookmarkEnd w:id="31"/>
      <w:bookmarkEnd w:id="32"/>
      <w:bookmarkEnd w:id="33"/>
      <w:bookmarkEnd w:id="34"/>
      <w:bookmarkEnd w:id="35"/>
    </w:p>
    <w:p>
      <w:pPr>
        <w:spacing w:line="360" w:lineRule="auto"/>
        <w:contextualSpacing/>
        <w:rPr>
          <w:rFonts w:ascii="宋体" w:hAnsi="宋体" w:cs="宋体"/>
          <w:color w:val="auto"/>
          <w:szCs w:val="21"/>
          <w:highlight w:val="none"/>
        </w:rPr>
      </w:pPr>
      <w:bookmarkStart w:id="36" w:name="_Toc430790208"/>
      <w:bookmarkStart w:id="37" w:name="_Toc425780271"/>
      <w:bookmarkStart w:id="38" w:name="_Toc425151727"/>
      <w:bookmarkStart w:id="39" w:name="_Toc429407687"/>
      <w:r>
        <w:rPr>
          <w:rFonts w:hint="eastAsia" w:ascii="宋体" w:hAnsi="宋体" w:cs="宋体"/>
          <w:color w:val="auto"/>
          <w:szCs w:val="21"/>
          <w:highlight w:val="none"/>
        </w:rPr>
        <w:t>2、合格的投标人</w:t>
      </w:r>
      <w:bookmarkEnd w:id="36"/>
      <w:bookmarkEnd w:id="37"/>
      <w:bookmarkEnd w:id="38"/>
      <w:bookmarkEnd w:id="39"/>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2.1投标人应该是符合第一章公开招标采购公告中《投标人须知》的报名条件，符合、承认并承诺履行本采购文件各项要求的具有独立法人资格的中国境内企业或组织。</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2.2参加本次投标活动的投标人应具备以下条件，并遵守国家有关的法律、法令和条例的规定：</w:t>
      </w:r>
    </w:p>
    <w:p>
      <w:pPr>
        <w:tabs>
          <w:tab w:val="left" w:pos="709"/>
        </w:tabs>
        <w:spacing w:line="360" w:lineRule="auto"/>
        <w:ind w:firstLine="420" w:firstLineChars="200"/>
        <w:contextualSpacing/>
        <w:rPr>
          <w:rFonts w:ascii="宋体" w:hAnsi="宋体" w:cs="宋体"/>
          <w:color w:val="auto"/>
          <w:szCs w:val="21"/>
          <w:highlight w:val="none"/>
        </w:rPr>
      </w:pPr>
      <w:bookmarkStart w:id="40" w:name="_Toc425151728"/>
      <w:bookmarkStart w:id="41" w:name="_Toc430790209"/>
      <w:bookmarkStart w:id="42" w:name="_Toc425780272"/>
      <w:bookmarkStart w:id="43" w:name="_Toc429407688"/>
      <w:r>
        <w:rPr>
          <w:rFonts w:hint="eastAsia" w:ascii="宋体" w:hAnsi="宋体" w:cs="宋体"/>
          <w:color w:val="auto"/>
          <w:szCs w:val="21"/>
          <w:highlight w:val="none"/>
        </w:rPr>
        <w:t>（1）具有良好的商业信誉和健全的财务会计制度；</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（2）具有履行合同要求提供服务所必须的设备、人员和专业技术能力；</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（3）有依法缴纳税收和社会保障资金的良好纪录；</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（4）参加本次投标活动之前三年内经营活动无重大违法纪录；</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（5）满足采购人为获得满意服务供应而提出的其他要求。（见采购文件中资格要求）</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（6）单位负责人为同一人或者存在直接控股、管理关系的不同供应商，不得参加同一合同项下的政府采购活动；</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（7）除单一来源采购项目外，为采购项目提供整体设计、规范编制或者项目管理、监理、检测等服务的供应商，不得再参加该采购项目的其他采购活动。</w:t>
      </w:r>
    </w:p>
    <w:p>
      <w:pPr>
        <w:pStyle w:val="2"/>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）满足本项目的特定资格条件。</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3、投标人代表</w:t>
      </w:r>
      <w:bookmarkEnd w:id="40"/>
      <w:bookmarkEnd w:id="41"/>
      <w:bookmarkEnd w:id="42"/>
      <w:bookmarkEnd w:id="43"/>
    </w:p>
    <w:p>
      <w:pPr>
        <w:tabs>
          <w:tab w:val="left" w:pos="709"/>
        </w:tabs>
        <w:spacing w:line="360" w:lineRule="auto"/>
        <w:ind w:firstLine="420" w:firstLineChars="200"/>
        <w:contextualSpacing/>
        <w:rPr>
          <w:rFonts w:ascii="宋体" w:hAnsi="宋体" w:cs="宋体"/>
          <w:color w:val="auto"/>
          <w:szCs w:val="21"/>
          <w:highlight w:val="none"/>
        </w:rPr>
      </w:pPr>
      <w:bookmarkStart w:id="44" w:name="_Toc429407689"/>
      <w:bookmarkStart w:id="45" w:name="_Toc425151729"/>
      <w:bookmarkStart w:id="46" w:name="_Toc430790210"/>
      <w:bookmarkStart w:id="47" w:name="_Toc425780273"/>
      <w:r>
        <w:rPr>
          <w:rFonts w:hint="eastAsia" w:ascii="宋体" w:hAnsi="宋体" w:cs="宋体"/>
          <w:color w:val="auto"/>
          <w:szCs w:val="21"/>
          <w:highlight w:val="none"/>
        </w:rPr>
        <w:t>若投标人为具有独立法人资格的中国境内企业或组织必须为该企业或组织的人员，若投标人为自然人必须为中国合法公民。</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4、投标费用</w:t>
      </w:r>
      <w:bookmarkEnd w:id="44"/>
      <w:bookmarkEnd w:id="45"/>
      <w:bookmarkEnd w:id="46"/>
      <w:bookmarkEnd w:id="47"/>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不论招标的结果如何，投标人自行承担其参加本次投标有关的全部费用。</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5、特别说明（针对货物采购）：不适用。</w:t>
      </w:r>
    </w:p>
    <w:p>
      <w:pPr>
        <w:spacing w:line="360" w:lineRule="auto"/>
        <w:contextualSpacing/>
        <w:rPr>
          <w:rFonts w:ascii="宋体" w:hAnsi="宋体" w:cs="宋体"/>
          <w:b/>
          <w:color w:val="auto"/>
          <w:szCs w:val="21"/>
          <w:highlight w:val="none"/>
        </w:rPr>
      </w:pPr>
      <w:bookmarkStart w:id="48" w:name="_Toc496003204"/>
      <w:bookmarkStart w:id="49" w:name="_Toc103030418"/>
      <w:bookmarkStart w:id="50" w:name="_Toc505353783"/>
      <w:bookmarkStart w:id="51" w:name="_Toc498429632"/>
      <w:r>
        <w:rPr>
          <w:rFonts w:hint="eastAsia" w:ascii="宋体" w:hAnsi="宋体" w:cs="宋体"/>
          <w:b/>
          <w:color w:val="auto"/>
          <w:szCs w:val="21"/>
          <w:highlight w:val="none"/>
        </w:rPr>
        <w:t>三、采购文件</w:t>
      </w:r>
      <w:bookmarkEnd w:id="48"/>
      <w:bookmarkEnd w:id="49"/>
      <w:bookmarkEnd w:id="50"/>
      <w:bookmarkEnd w:id="51"/>
    </w:p>
    <w:p>
      <w:pPr>
        <w:spacing w:line="360" w:lineRule="auto"/>
        <w:contextualSpacing/>
        <w:rPr>
          <w:rFonts w:ascii="宋体" w:hAnsi="宋体" w:cs="宋体"/>
          <w:color w:val="auto"/>
          <w:szCs w:val="21"/>
          <w:highlight w:val="none"/>
        </w:rPr>
      </w:pPr>
      <w:bookmarkStart w:id="52" w:name="_Toc425780275"/>
      <w:bookmarkStart w:id="53" w:name="_Toc429407691"/>
      <w:bookmarkStart w:id="54" w:name="_Toc430790212"/>
      <w:bookmarkStart w:id="55" w:name="_Toc425151731"/>
      <w:r>
        <w:rPr>
          <w:rFonts w:hint="eastAsia" w:ascii="宋体" w:hAnsi="宋体" w:cs="宋体"/>
          <w:color w:val="auto"/>
          <w:szCs w:val="21"/>
          <w:highlight w:val="none"/>
        </w:rPr>
        <w:t>6、采购文件的构成</w:t>
      </w:r>
      <w:bookmarkEnd w:id="52"/>
      <w:bookmarkEnd w:id="53"/>
      <w:bookmarkEnd w:id="54"/>
      <w:bookmarkEnd w:id="55"/>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采购文件含有以下部分，文本条款装订成册。内容如下：</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第一章 公开招标采购公告</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第二章 招标需求</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第三章 投标人须知</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第四章 评标办法及评分标准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第五章 合同主要条款</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第六章 投标文件格式</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投标人应详细阅读采购文件的全部内容和要求，不按采购文件的要求递交投标文件和资料导致的风险由投标人承担。</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7、质疑与投诉</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7.1</w:t>
      </w:r>
      <w:r>
        <w:rPr>
          <w:rFonts w:hint="eastAsia" w:ascii="宋体" w:hAnsi="宋体" w:cs="宋体"/>
          <w:color w:val="auto"/>
          <w:szCs w:val="21"/>
          <w:highlight w:val="none"/>
        </w:rPr>
        <w:tab/>
      </w:r>
      <w:r>
        <w:rPr>
          <w:rFonts w:hint="eastAsia" w:ascii="宋体" w:hAnsi="宋体" w:cs="宋体"/>
          <w:color w:val="auto"/>
          <w:szCs w:val="21"/>
          <w:highlight w:val="none"/>
        </w:rPr>
        <w:t>投标人认为采购文件、采购过程和中标、成交结果使自己的权益受到损害的，可以在知道或者应知其权益受到损害之日起七个工作日内，以书面形式或者通过政采云平台在线向采购人和采购代理机构提出质疑</w:t>
      </w:r>
      <w:r>
        <w:rPr>
          <w:rFonts w:hint="eastAsia" w:ascii="宋体" w:hAnsi="宋体" w:cs="宋体"/>
          <w:b/>
          <w:color w:val="auto"/>
          <w:szCs w:val="21"/>
          <w:highlight w:val="none"/>
        </w:rPr>
        <w:t>（注：投标人须在法定质疑期内一次性提出针对同一采购程序环节的质疑）</w:t>
      </w:r>
      <w:r>
        <w:rPr>
          <w:rFonts w:hint="eastAsia" w:ascii="宋体" w:hAnsi="宋体" w:cs="宋体"/>
          <w:color w:val="auto"/>
          <w:szCs w:val="21"/>
          <w:highlight w:val="none"/>
        </w:rPr>
        <w:t>。潜在投标人的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s="宋体"/>
          <w:color w:val="auto"/>
          <w:szCs w:val="21"/>
          <w:highlight w:val="none"/>
        </w:rPr>
        <w:tab/>
      </w:r>
      <w:r>
        <w:rPr>
          <w:rFonts w:hint="eastAsia" w:ascii="宋体" w:hAnsi="宋体" w:cs="宋体"/>
          <w:color w:val="auto"/>
          <w:szCs w:val="21"/>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7.3</w:t>
      </w:r>
      <w:r>
        <w:rPr>
          <w:rFonts w:hint="eastAsia" w:ascii="宋体" w:hAnsi="宋体" w:cs="宋体"/>
          <w:color w:val="auto"/>
          <w:szCs w:val="21"/>
          <w:highlight w:val="none"/>
        </w:rPr>
        <w:tab/>
      </w:r>
      <w:r>
        <w:rPr>
          <w:rFonts w:hint="eastAsia" w:ascii="宋体" w:hAnsi="宋体" w:cs="宋体"/>
          <w:color w:val="auto"/>
          <w:szCs w:val="21"/>
          <w:highlight w:val="none"/>
        </w:rPr>
        <w:t>采购代理机构发送的答疑文件是采购文件的组成部分，对投标人具有约束力。</w:t>
      </w:r>
    </w:p>
    <w:p>
      <w:pPr>
        <w:tabs>
          <w:tab w:val="left" w:pos="709"/>
        </w:tabs>
        <w:spacing w:line="360" w:lineRule="auto"/>
        <w:ind w:firstLine="420" w:firstLineChars="200"/>
        <w:contextualSpacing/>
        <w:rPr>
          <w:rFonts w:ascii="宋体" w:hAnsi="宋体" w:cs="宋体"/>
          <w:color w:val="auto"/>
          <w:szCs w:val="21"/>
          <w:highlight w:val="none"/>
        </w:rPr>
      </w:pPr>
      <w:bookmarkStart w:id="56" w:name="_Hlk49407732"/>
      <w:r>
        <w:rPr>
          <w:rFonts w:hint="eastAsia" w:ascii="宋体" w:hAnsi="宋体" w:cs="宋体"/>
          <w:color w:val="auto"/>
          <w:szCs w:val="21"/>
          <w:highlight w:val="none"/>
        </w:rPr>
        <w:t>7.4未尽事宜，见《政府采购质疑和投诉办法》（中华人民共和国财政部令第94号）。</w:t>
      </w:r>
    </w:p>
    <w:bookmarkEnd w:id="56"/>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8、采购文件的澄清与修改</w:t>
      </w:r>
    </w:p>
    <w:p>
      <w:pPr>
        <w:tabs>
          <w:tab w:val="left" w:pos="709"/>
        </w:tabs>
        <w:spacing w:line="360" w:lineRule="auto"/>
        <w:ind w:firstLine="420" w:firstLineChars="200"/>
        <w:contextualSpacing/>
        <w:rPr>
          <w:rFonts w:ascii="宋体" w:hAnsi="宋体" w:cs="宋体"/>
          <w:color w:val="auto"/>
          <w:szCs w:val="21"/>
          <w:highlight w:val="none"/>
        </w:rPr>
      </w:pPr>
      <w:bookmarkStart w:id="57" w:name="_Toc496003205"/>
      <w:bookmarkStart w:id="58" w:name="_Toc456853670"/>
      <w:bookmarkStart w:id="59" w:name="_Toc445193545"/>
      <w:r>
        <w:rPr>
          <w:rFonts w:hint="eastAsia" w:ascii="宋体" w:hAnsi="宋体" w:cs="宋体"/>
          <w:color w:val="auto"/>
          <w:szCs w:val="21"/>
          <w:highlight w:val="none"/>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澄清或者修改的内容可能影响投标文件编制的，采购人或者采购代理机构应当在投标截止时间至少15日前，以书面形式通知所有获取采购文件的潜在投标人；不足15日的，采购人或者采购代理机构应当顺延提交投标文件的截止时间。</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8.2采购代理机构必须以书面形式答复投标人要求澄清的问题，并将不包含问题来源的答复书面通知所有获取采购文件的投标人；除书面答复以外的其他澄清方式及澄清内容均无效。</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8.3采购文件澄清、答复、修改、补充的内容为采购文件的组成部分。当采购文件与采购文件的答复、澄清、修改、补充通知就同一内容的表述不一致时，以最后发出的书面文件为准。</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8.4采购文件的澄清、答复、修改或补充都应该通过本代理机构以法定形式发布，采购人非通过本机构，不得擅自澄清、答复、修改或补充采购文件。</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9、关于分公司投标</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除银行、保险、石油石化、电力、电信、移动、联通等特殊行业外。法人的分支机构由于不能独立承担民事责任，不能以分支机构的身份参加政府采购，只能法人身份参加。 </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10、关于知识产权</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10.1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10.2投标报价应包含所有应向所有权人支付的专利权、商标权或其它知识产权的一切相关费用。</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10.3系统软件、通用软件必须是具有在中国境内的合法使用权或版权的正版软件，涉及到第三方提出侵权或知识产权的起诉及支付版税等费用由供应商承担所有责任及费用。</w:t>
      </w:r>
    </w:p>
    <w:p>
      <w:pPr>
        <w:spacing w:line="360" w:lineRule="auto"/>
        <w:contextualSpacing/>
        <w:rPr>
          <w:rFonts w:ascii="宋体" w:hAnsi="宋体" w:cs="宋体"/>
          <w:b/>
          <w:color w:val="auto"/>
          <w:szCs w:val="21"/>
          <w:highlight w:val="none"/>
        </w:rPr>
      </w:pPr>
      <w:bookmarkStart w:id="60" w:name="_Toc498429633"/>
      <w:bookmarkStart w:id="61" w:name="_Toc103030419"/>
      <w:bookmarkStart w:id="62" w:name="_Toc505353784"/>
      <w:r>
        <w:rPr>
          <w:rFonts w:hint="eastAsia" w:ascii="宋体" w:hAnsi="宋体" w:cs="宋体"/>
          <w:b/>
          <w:color w:val="auto"/>
          <w:szCs w:val="21"/>
          <w:highlight w:val="none"/>
        </w:rPr>
        <w:t>四、投标文件</w:t>
      </w:r>
      <w:bookmarkEnd w:id="57"/>
      <w:bookmarkEnd w:id="58"/>
      <w:bookmarkEnd w:id="59"/>
      <w:bookmarkEnd w:id="60"/>
      <w:bookmarkEnd w:id="61"/>
      <w:bookmarkEnd w:id="62"/>
    </w:p>
    <w:p>
      <w:pPr>
        <w:spacing w:line="360" w:lineRule="auto"/>
        <w:rPr>
          <w:rFonts w:ascii="宋体" w:hAnsi="宋体" w:cs="宋体"/>
          <w:color w:val="auto"/>
          <w:szCs w:val="21"/>
          <w:highlight w:val="none"/>
        </w:rPr>
      </w:pPr>
      <w:bookmarkStart w:id="63" w:name="_Toc336528584"/>
      <w:r>
        <w:rPr>
          <w:rFonts w:hint="eastAsia" w:ascii="宋体" w:hAnsi="宋体" w:cs="宋体"/>
          <w:color w:val="auto"/>
          <w:szCs w:val="21"/>
          <w:highlight w:val="none"/>
        </w:rPr>
        <w:t>11、投标文件的组成</w:t>
      </w:r>
      <w:bookmarkEnd w:id="63"/>
    </w:p>
    <w:p>
      <w:pPr>
        <w:spacing w:line="360" w:lineRule="auto"/>
        <w:rPr>
          <w:rFonts w:ascii="宋体" w:hAnsi="宋体" w:cs="宋体"/>
          <w:color w:val="auto"/>
          <w:szCs w:val="21"/>
          <w:highlight w:val="none"/>
        </w:rPr>
      </w:pPr>
      <w:r>
        <w:rPr>
          <w:rFonts w:hint="eastAsia" w:ascii="宋体" w:hAnsi="宋体" w:cs="宋体"/>
          <w:color w:val="auto"/>
          <w:szCs w:val="21"/>
          <w:highlight w:val="none"/>
        </w:rPr>
        <w:t>11.1投标文件分为资格文件、报价文件、商务技术文件三部分；</w:t>
      </w:r>
    </w:p>
    <w:p>
      <w:pPr>
        <w:spacing w:line="360" w:lineRule="auto"/>
        <w:rPr>
          <w:rFonts w:ascii="宋体" w:hAnsi="宋体" w:cs="宋体"/>
          <w:b/>
          <w:color w:val="auto"/>
          <w:szCs w:val="21"/>
          <w:highlight w:val="none"/>
        </w:rPr>
      </w:pPr>
      <w:bookmarkStart w:id="64" w:name="_Toc430790217"/>
      <w:bookmarkStart w:id="65" w:name="_Toc425151736"/>
      <w:bookmarkStart w:id="66" w:name="_Toc429407696"/>
      <w:bookmarkStart w:id="67" w:name="_Toc425780280"/>
      <w:bookmarkStart w:id="68" w:name="_Toc336528601"/>
      <w:r>
        <w:rPr>
          <w:rFonts w:hint="eastAsia" w:ascii="宋体" w:hAnsi="宋体" w:cs="宋体"/>
          <w:b/>
          <w:color w:val="auto"/>
          <w:szCs w:val="21"/>
          <w:highlight w:val="none"/>
        </w:rPr>
        <w:t>资格文件格式（包括但不限于以下内容）：</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bookmarkStart w:id="69" w:name="_Hlk49407807"/>
      <w:r>
        <w:rPr>
          <w:rFonts w:hint="eastAsia" w:ascii="宋体" w:hAnsi="宋体" w:eastAsia="宋体" w:cs="Times New Roman"/>
          <w:color w:val="auto"/>
          <w:szCs w:val="21"/>
          <w:highlight w:val="none"/>
          <w:lang w:val="en-US" w:eastAsia="zh-CN"/>
        </w:rPr>
        <w:t>（1）合法有效的营业执照副本（或事业法人登记证副本或其他登记证明材料）原件扫描件或者电子营业执照加盖供应商公章（复印件盖单位公章）；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（2）符合参加政府采购活动应当具备的一般条件的承诺函 （格式见招标文件第六章）；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（3）非联合体投标（须提供非联合体投标承诺书）</w:t>
      </w:r>
      <w:r>
        <w:rPr>
          <w:rFonts w:hint="eastAsia" w:ascii="宋体" w:hAnsi="宋体" w:eastAsia="宋体" w:cs="宋体"/>
          <w:color w:val="auto"/>
          <w:sz w:val="18"/>
          <w:szCs w:val="18"/>
          <w:highlight w:val="none"/>
          <w:lang w:val="en-US" w:eastAsia="zh-CN"/>
        </w:rPr>
        <w:t>（格式自拟）</w:t>
      </w:r>
      <w:r>
        <w:rPr>
          <w:rFonts w:hint="eastAsia" w:ascii="宋体" w:hAnsi="宋体" w:eastAsia="宋体" w:cs="Times New Roman"/>
          <w:color w:val="auto"/>
          <w:szCs w:val="21"/>
          <w:highlight w:val="none"/>
          <w:lang w:val="en-US" w:eastAsia="zh-CN"/>
        </w:rPr>
        <w:t>；</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（4）投标人认为需要提供的其他相关资料（如有）；</w:t>
      </w:r>
    </w:p>
    <w:p>
      <w:pPr>
        <w:tabs>
          <w:tab w:val="left" w:pos="1418"/>
        </w:tabs>
        <w:spacing w:line="360" w:lineRule="auto"/>
        <w:contextualSpacing/>
        <w:rPr>
          <w:rFonts w:ascii="宋体" w:hAnsi="宋体" w:cs="宋体"/>
          <w:color w:val="auto"/>
          <w:spacing w:val="-2"/>
          <w:szCs w:val="21"/>
          <w:highlight w:val="none"/>
        </w:rPr>
      </w:pPr>
      <w:r>
        <w:rPr>
          <w:rFonts w:hint="eastAsia" w:ascii="宋体" w:hAnsi="宋体" w:cs="宋体"/>
          <w:color w:val="auto"/>
          <w:spacing w:val="-2"/>
          <w:szCs w:val="21"/>
          <w:highlight w:val="none"/>
        </w:rPr>
        <w:t>注：采购人或采购代理机构在资格审查时，通过“信用中国”网站(www.creditchina.gov.cn)、中国政府采购网(www.ccgp.gov.cn) 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商务技术文件格式（包括但不限于以下内容）：</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（1）符合性自查表（格式详见招标文件第六章）；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（2）评分索引表（格式详见招标文件第六章）；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）投标书（格式详见招标文件第六章） ；</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）合法有效的营业执照副本（或事业法人登记证副本或其他登记证明材料）原件扫描件或者电子营业执照加盖供应商公章（复印件盖单位公章）；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股东成员组成说明书（供应商须提供股东成员组成说明书（格式自拟），加盖供应商公章；或从“国家企业信用信息公示系统”、“宁波市企业信用网”等相关网站里打印有股东成员名称的相关页面，加盖供应商公章）；</w:t>
      </w:r>
    </w:p>
    <w:p>
      <w:pPr>
        <w:pStyle w:val="61"/>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kern w:val="2"/>
          <w:sz w:val="21"/>
          <w:szCs w:val="21"/>
          <w:highlight w:val="none"/>
          <w:lang w:val="en-US" w:eastAsia="zh-CN" w:bidi="ar-SA"/>
        </w:rPr>
        <w:t>授权委托书（投标文件由授权代表签字的须提供）、法定代表人身份证明（格式详见第六章）；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）“本单位不存在与其他投标人的投标文件出自同一终端设备或在相同Internet主机分配地址（相同IP地址）网上报名投标的承诺”的承诺书（格式自拟）；</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）技术条款响应表（详见招标文件第六章）；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）商务条款响应表（详见招标文件第六章）；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kern w:val="2"/>
          <w:sz w:val="21"/>
          <w:szCs w:val="21"/>
          <w:highlight w:val="none"/>
          <w:lang w:val="en-US" w:eastAsia="zh-CN" w:bidi="ar-SA"/>
        </w:rPr>
        <w:t>投标人基本情况表（格式详见招标文件第六章） ；</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）拟派项目负责人简历表（格式详见招标文件第六章）；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）拟投入的人员配备情况表（格式详见招标文件第六章）；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）相关工作经验人员承诺函（格式自拟）；</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）人员工资承诺函（格式自拟）；</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15</w:t>
      </w:r>
      <w:r>
        <w:rPr>
          <w:rFonts w:hint="eastAsia" w:ascii="宋体" w:hAnsi="宋体" w:eastAsia="宋体" w:cs="Times New Roman"/>
          <w:color w:val="auto"/>
          <w:szCs w:val="21"/>
          <w:highlight w:val="none"/>
          <w:lang w:val="en-US" w:eastAsia="zh-CN"/>
        </w:rPr>
        <w:t>）</w:t>
      </w:r>
      <w:r>
        <w:rPr>
          <w:rFonts w:hint="eastAsia" w:ascii="宋体" w:hAnsi="宋体" w:eastAsia="宋体" w:cs="宋体"/>
          <w:color w:val="auto"/>
          <w:szCs w:val="21"/>
          <w:highlight w:val="none"/>
          <w:lang w:val="en-US" w:eastAsia="zh-CN"/>
        </w:rPr>
        <w:t>针对本项目拟投入设备承诺函</w:t>
      </w:r>
      <w:r>
        <w:rPr>
          <w:rFonts w:hint="eastAsia" w:ascii="宋体" w:hAnsi="宋体" w:eastAsia="宋体" w:cs="Times New Roman"/>
          <w:color w:val="auto"/>
          <w:szCs w:val="21"/>
          <w:highlight w:val="none"/>
          <w:lang w:val="en-US" w:eastAsia="zh-CN"/>
        </w:rPr>
        <w:t>（格式详见招标文件第六章）；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w:t>
      </w:r>
      <w:r>
        <w:rPr>
          <w:rFonts w:hint="eastAsia" w:ascii="宋体" w:hAnsi="宋体" w:eastAsia="宋体" w:cs="宋体"/>
          <w:color w:val="auto"/>
          <w:szCs w:val="21"/>
          <w:highlight w:val="none"/>
          <w:lang w:val="en-US" w:eastAsia="zh-CN"/>
        </w:rPr>
        <w:t>投标人同类项目业绩一览表（格式详见招标文件</w:t>
      </w:r>
      <w:r>
        <w:rPr>
          <w:rFonts w:hint="eastAsia" w:ascii="宋体" w:hAnsi="宋体" w:eastAsia="宋体" w:cs="Times New Roman"/>
          <w:color w:val="auto"/>
          <w:szCs w:val="21"/>
          <w:highlight w:val="none"/>
          <w:lang w:val="en-US" w:eastAsia="zh-CN"/>
        </w:rPr>
        <w:t>第六章）；</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）投标人实力（格式自拟）；</w:t>
      </w:r>
    </w:p>
    <w:p>
      <w:pPr>
        <w:pageBreakBefore w:val="0"/>
        <w:kinsoku/>
        <w:overflowPunct/>
        <w:topLinePunct w:val="0"/>
        <w:bidi w:val="0"/>
        <w:spacing w:line="360" w:lineRule="auto"/>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）项目总体实施方案（包含但不限于每月养护方案，重难点分析及解决方案，应急保障措施，质量保证承诺，人员及设备管理方案，安全生产、文明施工、环保措施等）（格式自拟）；</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）第四章“评标办法及评分标准”中“商务和技术评分表”要求提供的资料（如有）；</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20</w:t>
      </w:r>
      <w:r>
        <w:rPr>
          <w:rFonts w:hint="eastAsia" w:ascii="宋体" w:hAnsi="宋体" w:eastAsia="宋体" w:cs="Times New Roman"/>
          <w:color w:val="auto"/>
          <w:szCs w:val="21"/>
          <w:highlight w:val="none"/>
          <w:lang w:val="en-US" w:eastAsia="zh-CN"/>
        </w:rPr>
        <w:t>）供应商认为需要的其他资料（如有需提供）。</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报价文件格式（包含但不限于以下内容）</w:t>
      </w:r>
    </w:p>
    <w:bookmarkEnd w:id="69"/>
    <w:p>
      <w:pPr>
        <w:pageBreakBefore w:val="0"/>
        <w:kinsoku/>
        <w:overflowPunct/>
        <w:topLinePunct w:val="0"/>
        <w:bidi w:val="0"/>
        <w:spacing w:line="360" w:lineRule="auto"/>
        <w:ind w:left="420" w:leftChars="200" w:firstLine="0" w:firstLineChars="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）开标一览表（详见招标文件第六章）；</w:t>
      </w:r>
      <w:r>
        <w:rPr>
          <w:rFonts w:hint="eastAsia" w:ascii="宋体" w:hAnsi="宋体" w:eastAsia="宋体" w:cs="Times New Roman"/>
          <w:color w:val="auto"/>
          <w:szCs w:val="21"/>
          <w:highlight w:val="none"/>
          <w:lang w:val="en-US" w:eastAsia="zh-CN"/>
        </w:rPr>
        <w:br w:type="textWrapping"/>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）投标报价明细表（详见招标文件第六章）；</w:t>
      </w:r>
      <w:r>
        <w:rPr>
          <w:rFonts w:hint="eastAsia" w:ascii="宋体" w:hAnsi="宋体" w:eastAsia="宋体" w:cs="Times New Roman"/>
          <w:color w:val="auto"/>
          <w:szCs w:val="21"/>
          <w:highlight w:val="none"/>
          <w:lang w:val="en-US" w:eastAsia="zh-CN"/>
        </w:rPr>
        <w:br w:type="textWrapping"/>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）中小企业声明函（详见招标文件第六章）；</w:t>
      </w:r>
      <w:r>
        <w:rPr>
          <w:rFonts w:hint="eastAsia" w:ascii="宋体" w:hAnsi="宋体" w:eastAsia="宋体" w:cs="Times New Roman"/>
          <w:color w:val="auto"/>
          <w:szCs w:val="21"/>
          <w:highlight w:val="none"/>
          <w:lang w:val="en-US" w:eastAsia="zh-CN"/>
        </w:rPr>
        <w:br w:type="textWrapping"/>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）残疾人福利性单位声明函（如有需提供）（详见招标文件第六章）；</w:t>
      </w:r>
      <w:r>
        <w:rPr>
          <w:rFonts w:hint="eastAsia" w:ascii="宋体" w:hAnsi="宋体" w:eastAsia="宋体" w:cs="Times New Roman"/>
          <w:color w:val="auto"/>
          <w:szCs w:val="21"/>
          <w:highlight w:val="none"/>
          <w:lang w:val="en-US" w:eastAsia="zh-CN"/>
        </w:rPr>
        <w:br w:type="textWrapping"/>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）供应商认为需要提供的其他资料（如有需提供）。</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11.2本次招标对投标文件组成要求，表述在《投标人须知》中。</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12、投标报价</w:t>
      </w:r>
      <w:bookmarkEnd w:id="64"/>
      <w:bookmarkEnd w:id="65"/>
      <w:bookmarkEnd w:id="66"/>
      <w:bookmarkEnd w:id="67"/>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12.1投标人应全面充分了解本招标项目的全部内容及要求以及服务现场的基本条件，按照《投标人须知》规定与要求报价，并包含服务过程中可能涉及的所有费用。</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12.2所有投标报价必须以人民币报价，不接受外币报价。</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12.3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12.4投标报价在合同执行过程中是固定不变的，投标人不得以任何理由予以变更。任何包含价格调整要求的投标，将被认为是非实质性响应的投标而导致投标无效。</w:t>
      </w:r>
    </w:p>
    <w:p>
      <w:pPr>
        <w:spacing w:line="360" w:lineRule="auto"/>
        <w:contextualSpacing/>
        <w:rPr>
          <w:rFonts w:ascii="宋体" w:hAnsi="宋体" w:cs="宋体"/>
          <w:color w:val="auto"/>
          <w:szCs w:val="21"/>
          <w:highlight w:val="none"/>
        </w:rPr>
      </w:pPr>
      <w:bookmarkStart w:id="70" w:name="_Toc430790218"/>
      <w:bookmarkStart w:id="71" w:name="_Toc429407697"/>
      <w:bookmarkStart w:id="72" w:name="_Toc425151737"/>
      <w:bookmarkStart w:id="73" w:name="_Toc425780281"/>
      <w:r>
        <w:rPr>
          <w:rFonts w:hint="eastAsia" w:ascii="宋体" w:hAnsi="宋体" w:cs="宋体"/>
          <w:color w:val="auto"/>
          <w:szCs w:val="21"/>
          <w:highlight w:val="none"/>
        </w:rPr>
        <w:t>13、投标文件编写</w:t>
      </w:r>
      <w:bookmarkEnd w:id="70"/>
      <w:bookmarkEnd w:id="71"/>
      <w:bookmarkEnd w:id="72"/>
      <w:bookmarkEnd w:id="73"/>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13.1投标文件应表述准确、完整、详细，并按统一格式填写。开标一览表系开标仪式上唱标的内容，应按格式完整填写。投标文件因表达不清楚所引起的后果由投标人负责。</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13.2投标语言：中文。除签名、盖章、专用名称等特殊情形外，以中文汉语以外的文字表述的投标文件视同未提供。</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13.3投标文件中所使用的计量单位，除非本采购文件“招标内容及要求”有特殊要求，应采用国家法定计量单位。</w:t>
      </w:r>
    </w:p>
    <w:p>
      <w:pPr>
        <w:spacing w:line="360" w:lineRule="auto"/>
        <w:contextualSpacing/>
        <w:rPr>
          <w:rFonts w:ascii="宋体" w:hAnsi="宋体" w:cs="宋体"/>
          <w:color w:val="auto"/>
          <w:szCs w:val="21"/>
          <w:highlight w:val="none"/>
        </w:rPr>
      </w:pPr>
      <w:bookmarkStart w:id="74" w:name="_Toc425780282"/>
      <w:bookmarkStart w:id="75" w:name="_Toc430790219"/>
      <w:bookmarkStart w:id="76" w:name="_Toc429407698"/>
      <w:bookmarkStart w:id="77" w:name="_Toc425151738"/>
      <w:r>
        <w:rPr>
          <w:rFonts w:hint="eastAsia" w:ascii="宋体" w:hAnsi="宋体" w:cs="宋体"/>
          <w:color w:val="auto"/>
          <w:szCs w:val="21"/>
          <w:highlight w:val="none"/>
        </w:rPr>
        <w:t>14、投标文件的有效期</w:t>
      </w:r>
      <w:bookmarkEnd w:id="74"/>
      <w:bookmarkEnd w:id="75"/>
      <w:bookmarkEnd w:id="76"/>
      <w:bookmarkEnd w:id="77"/>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14.1投标文件应在《投标人须知》规定的投标有效期内保持有效。有效期短于规定期限的，将导致投标无效而被拒绝。</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14.2在特殊情况下，在原投标有效期截止之前，应采购人的要求，采购代理机构可要求投标人延长投标文件的有效期，这种要求的提出和投标人的答复都应以书面（含传真）的形式进行。</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14.3中标人的投标文件自开标之日起至合同履行完毕止均应保持有效。</w:t>
      </w:r>
      <w:bookmarkStart w:id="78" w:name="_Toc445193546"/>
      <w:bookmarkStart w:id="79" w:name="_Toc425780284"/>
      <w:bookmarkStart w:id="80" w:name="_Toc430790221"/>
      <w:bookmarkStart w:id="81" w:name="_Toc456853671"/>
      <w:bookmarkStart w:id="82" w:name="_Toc496003206"/>
      <w:bookmarkStart w:id="83" w:name="_Toc425151740"/>
      <w:bookmarkStart w:id="84" w:name="_Toc429407700"/>
      <w:bookmarkStart w:id="85" w:name="_Toc498429634"/>
      <w:bookmarkStart w:id="86" w:name="_Toc505353785"/>
      <w:bookmarkStart w:id="87" w:name="_Toc425151741"/>
      <w:bookmarkStart w:id="88" w:name="_Toc430790222"/>
      <w:bookmarkStart w:id="89" w:name="_Toc425780285"/>
      <w:bookmarkStart w:id="90" w:name="_Toc429407701"/>
    </w:p>
    <w:p>
      <w:pPr>
        <w:spacing w:line="360" w:lineRule="auto"/>
        <w:contextualSpacing/>
        <w:rPr>
          <w:rFonts w:ascii="宋体" w:hAnsi="宋体" w:cs="宋体"/>
          <w:b/>
          <w:color w:val="auto"/>
          <w:szCs w:val="21"/>
          <w:highlight w:val="none"/>
        </w:rPr>
      </w:pPr>
      <w:bookmarkStart w:id="91" w:name="_Toc103030420"/>
      <w:r>
        <w:rPr>
          <w:rFonts w:hint="eastAsia" w:ascii="宋体" w:hAnsi="宋体" w:cs="宋体"/>
          <w:b/>
          <w:color w:val="auto"/>
          <w:szCs w:val="21"/>
          <w:highlight w:val="none"/>
        </w:rPr>
        <w:t>五、投标文件的递交</w:t>
      </w:r>
      <w:bookmarkEnd w:id="78"/>
      <w:bookmarkEnd w:id="79"/>
      <w:bookmarkEnd w:id="80"/>
      <w:bookmarkEnd w:id="81"/>
      <w:bookmarkEnd w:id="82"/>
      <w:bookmarkEnd w:id="83"/>
      <w:bookmarkEnd w:id="84"/>
      <w:bookmarkEnd w:id="85"/>
      <w:bookmarkEnd w:id="86"/>
      <w:bookmarkEnd w:id="91"/>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15、投标文件的签署及装订</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15.1对本采购文件相关部分提供的各种文件、表格、格式，投标人应按采购文件要求填写、签署和加盖公章。</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15.2投标文件必须按采购文件规定的格式加盖公章、法定代表人签字（或盖章或电子章）、投标代表人签字（或盖章或电子章）。</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15.3投标文件应按各组成部分内容进行整理、编排、立目、索引、注明页码，以有利阅读评审。</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15.4投标文件的组成与份数</w:t>
      </w:r>
    </w:p>
    <w:p>
      <w:pPr>
        <w:tabs>
          <w:tab w:val="left" w:pos="709"/>
        </w:tabs>
        <w:spacing w:line="360" w:lineRule="auto"/>
        <w:ind w:firstLine="420" w:firstLineChars="200"/>
        <w:contextualSpacing/>
        <w:rPr>
          <w:rFonts w:ascii="宋体" w:hAnsi="宋体" w:cs="宋体"/>
          <w:color w:val="auto"/>
          <w:szCs w:val="21"/>
          <w:highlight w:val="none"/>
        </w:rPr>
      </w:pPr>
      <w:bookmarkStart w:id="92" w:name="_Toc429407702"/>
      <w:bookmarkStart w:id="93" w:name="_Toc425151742"/>
      <w:bookmarkStart w:id="94" w:name="_Toc425780286"/>
      <w:bookmarkStart w:id="95" w:name="_Toc430790223"/>
      <w:r>
        <w:rPr>
          <w:rFonts w:hint="eastAsia" w:ascii="宋体" w:hAnsi="宋体" w:cs="宋体"/>
          <w:color w:val="auto"/>
          <w:szCs w:val="21"/>
          <w:highlight w:val="none"/>
        </w:rPr>
        <w:t>本项目实行网上投标，供应商应准备以下投标文件：</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（1）上传到政府采购云平台的电子投标文件（含资格文件、商务技术文件、报价文件）1份。</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（2）以U盘或光盘存储的电子备份投标文件（含资格文件、商务技术文件、报价文件）1份</w:t>
      </w:r>
      <w:r>
        <w:rPr>
          <w:rFonts w:hint="eastAsia" w:ascii="宋体" w:hAnsi="宋体" w:cs="宋体"/>
          <w:b/>
          <w:bCs/>
          <w:color w:val="auto"/>
          <w:szCs w:val="21"/>
          <w:highlight w:val="none"/>
        </w:rPr>
        <w:t>（自愿提供，用于异常情况处理）。</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15.5电子投标文件应根据政府采购云平台的要求及本采购文件规定的格式和顺序编制电子投标文件并进行关联定位。</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15.6电子备份投标文件应保证同上传至政府采购云平台的电子投标文件内容相一致。</w:t>
      </w:r>
    </w:p>
    <w:p>
      <w:pPr>
        <w:spacing w:line="360" w:lineRule="auto"/>
        <w:contextualSpacing/>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rPr>
        <w:t>15.7纸质版投标文件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本项目不适用</w:t>
      </w:r>
      <w:r>
        <w:rPr>
          <w:rFonts w:hint="eastAsia" w:ascii="宋体" w:hAnsi="宋体" w:cs="宋体"/>
          <w:b/>
          <w:bCs/>
          <w:color w:val="auto"/>
          <w:szCs w:val="21"/>
          <w:highlight w:val="none"/>
          <w:lang w:eastAsia="zh-CN"/>
        </w:rPr>
        <w:t>）</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（1）投标文件应按采购文件要求由资格文件、商务技术文件和报价文件三部分组成。三部分分别编制并单独装订成册。投标文件的封面应注明“正本”、“副本”字样。</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（2）投标文件的正本必须打印，在封面加盖公章并注明“正本”字样。副本可以提交正本的复印件，在封面加盖公章并注明“副本”字样。若正本与副本不符，以正本为准。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（3）投标文件一般不得涂改和增删，如发现有错漏必需修改，在涂改或增删之处必须有投标人法定代表人或授权代表的签字或盖章。否则，评标委员会将不接受该修改。</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（4）投标文件因字迹潦草或表达不清楚所引起的后果由投标人负责。</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16、投标文件的密封、标记和递送</w:t>
      </w:r>
      <w:bookmarkEnd w:id="92"/>
      <w:bookmarkEnd w:id="93"/>
      <w:bookmarkEnd w:id="94"/>
      <w:bookmarkEnd w:id="95"/>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16.1以U盘或光盘存储的电子备份投标文件用分带密封后递交。</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16.2纸质备份投标文件，要求分别按资格文件（正本、副本）、商务技术文件（正本、副本）和报价文件（正本、副本）三部分分开包装。</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本项目不适用</w:t>
      </w:r>
      <w:r>
        <w:rPr>
          <w:rFonts w:hint="eastAsia" w:ascii="宋体" w:hAnsi="宋体" w:cs="宋体"/>
          <w:b/>
          <w:bCs/>
          <w:color w:val="auto"/>
          <w:szCs w:val="21"/>
          <w:highlight w:val="none"/>
          <w:lang w:eastAsia="zh-CN"/>
        </w:rPr>
        <w:t>）</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16.3投标文件的包装封面上应注明投标人名称、投标人地址、投标文件名称(电子备份投标文件/资格文件/商务技术文件/报价文件)、投标项目名称、项目编号，并加盖投标人公章。</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16.4未按规定密封或标记的投标文件将被拒绝，由此造成投标文件被误投或提前拆封的风险由供应商承担。</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16.5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16.6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60" w:lineRule="auto"/>
        <w:contextualSpacing/>
        <w:rPr>
          <w:rFonts w:ascii="宋体" w:hAnsi="宋体" w:cs="宋体"/>
          <w:color w:val="auto"/>
          <w:szCs w:val="21"/>
          <w:highlight w:val="none"/>
        </w:rPr>
      </w:pPr>
      <w:bookmarkStart w:id="96" w:name="_Toc430790224"/>
      <w:bookmarkStart w:id="97" w:name="_Toc429407703"/>
      <w:bookmarkStart w:id="98" w:name="_Toc425151743"/>
      <w:bookmarkStart w:id="99" w:name="_Toc425780287"/>
      <w:r>
        <w:rPr>
          <w:rFonts w:hint="eastAsia" w:ascii="宋体" w:hAnsi="宋体" w:cs="宋体"/>
          <w:color w:val="auto"/>
          <w:szCs w:val="21"/>
          <w:highlight w:val="none"/>
        </w:rPr>
        <w:t>17、</w:t>
      </w:r>
      <w:bookmarkEnd w:id="96"/>
      <w:bookmarkEnd w:id="97"/>
      <w:bookmarkEnd w:id="98"/>
      <w:bookmarkEnd w:id="99"/>
      <w:r>
        <w:rPr>
          <w:rFonts w:hint="eastAsia" w:ascii="宋体" w:hAnsi="宋体" w:cs="宋体"/>
          <w:color w:val="auto"/>
          <w:szCs w:val="21"/>
          <w:highlight w:val="none"/>
        </w:rPr>
        <w:t>投标文件的效力：</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投标文件的启用，按先后顺位分别为电子投标文件、以U盘或光盘存储的电子备份投标文件。在下一顺位的投标文件启用时，前一顺位的投标文件自动失效。</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360" w:lineRule="auto"/>
        <w:contextualSpacing/>
        <w:rPr>
          <w:rFonts w:ascii="宋体" w:hAnsi="宋体" w:cs="宋体"/>
          <w:color w:val="auto"/>
          <w:szCs w:val="21"/>
          <w:highlight w:val="none"/>
        </w:rPr>
      </w:pPr>
      <w:bookmarkStart w:id="100" w:name="_Toc430790225"/>
      <w:bookmarkStart w:id="101" w:name="_Toc425151744"/>
      <w:bookmarkStart w:id="102" w:name="_Toc425780288"/>
      <w:bookmarkStart w:id="103" w:name="_Toc429407704"/>
      <w:r>
        <w:rPr>
          <w:rFonts w:hint="eastAsia" w:ascii="宋体" w:hAnsi="宋体" w:cs="宋体"/>
          <w:color w:val="auto"/>
          <w:szCs w:val="21"/>
          <w:highlight w:val="none"/>
        </w:rPr>
        <w:t>18、投标文件的修改和撤回</w:t>
      </w:r>
      <w:bookmarkEnd w:id="100"/>
      <w:bookmarkEnd w:id="101"/>
      <w:bookmarkEnd w:id="102"/>
      <w:bookmarkEnd w:id="103"/>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18.1投标文件递交以后，在投标截止时间之前，投标人可以要求修改或撤回已上传的电子档投标文件。</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18.2在投标截止时间之后，投标人不得对其投标文件进行修改。</w:t>
      </w:r>
    </w:p>
    <w:bookmarkEnd w:id="87"/>
    <w:bookmarkEnd w:id="88"/>
    <w:bookmarkEnd w:id="89"/>
    <w:bookmarkEnd w:id="90"/>
    <w:p>
      <w:pPr>
        <w:spacing w:line="360" w:lineRule="auto"/>
        <w:contextualSpacing/>
        <w:rPr>
          <w:rFonts w:ascii="宋体" w:hAnsi="宋体" w:cs="宋体"/>
          <w:b/>
          <w:color w:val="auto"/>
          <w:szCs w:val="21"/>
          <w:highlight w:val="none"/>
        </w:rPr>
      </w:pPr>
      <w:bookmarkStart w:id="104" w:name="_Toc505353786"/>
      <w:bookmarkStart w:id="105" w:name="_Toc445193547"/>
      <w:bookmarkStart w:id="106" w:name="_Toc456853672"/>
      <w:bookmarkStart w:id="107" w:name="_Toc103030421"/>
      <w:bookmarkStart w:id="108" w:name="_Toc425151745"/>
      <w:bookmarkStart w:id="109" w:name="_Toc425780289"/>
      <w:bookmarkStart w:id="110" w:name="_Toc498429635"/>
      <w:bookmarkStart w:id="111" w:name="_Toc496003207"/>
      <w:bookmarkStart w:id="112" w:name="_Toc429407705"/>
      <w:bookmarkStart w:id="113" w:name="_Toc430790226"/>
      <w:r>
        <w:rPr>
          <w:rFonts w:hint="eastAsia" w:ascii="宋体" w:hAnsi="宋体" w:cs="宋体"/>
          <w:b/>
          <w:color w:val="auto"/>
          <w:szCs w:val="21"/>
          <w:highlight w:val="none"/>
        </w:rPr>
        <w:t>六、开标</w:t>
      </w:r>
      <w:bookmarkEnd w:id="104"/>
      <w:bookmarkEnd w:id="105"/>
      <w:bookmarkEnd w:id="106"/>
      <w:bookmarkEnd w:id="107"/>
      <w:bookmarkEnd w:id="108"/>
      <w:bookmarkEnd w:id="109"/>
      <w:bookmarkEnd w:id="110"/>
      <w:bookmarkEnd w:id="111"/>
      <w:bookmarkEnd w:id="112"/>
      <w:bookmarkEnd w:id="113"/>
    </w:p>
    <w:p>
      <w:pPr>
        <w:spacing w:line="360" w:lineRule="auto"/>
        <w:rPr>
          <w:rFonts w:ascii="宋体" w:hAnsi="宋体" w:cs="宋体"/>
          <w:color w:val="auto"/>
          <w:szCs w:val="21"/>
          <w:highlight w:val="none"/>
        </w:rPr>
      </w:pPr>
      <w:bookmarkStart w:id="114" w:name="_Toc425780291"/>
      <w:bookmarkStart w:id="115" w:name="_Toc496003208"/>
      <w:bookmarkStart w:id="116" w:name="_Toc445193548"/>
      <w:bookmarkStart w:id="117" w:name="_Toc498429636"/>
      <w:bookmarkStart w:id="118" w:name="_Toc425151747"/>
      <w:bookmarkStart w:id="119" w:name="_Toc429407707"/>
      <w:bookmarkStart w:id="120" w:name="_Toc430790228"/>
      <w:bookmarkStart w:id="121" w:name="_Toc456853673"/>
      <w:bookmarkStart w:id="122" w:name="_Toc505353787"/>
      <w:r>
        <w:rPr>
          <w:rFonts w:hint="eastAsia" w:ascii="宋体" w:hAnsi="宋体" w:cs="宋体"/>
          <w:color w:val="auto"/>
          <w:szCs w:val="21"/>
          <w:highlight w:val="none"/>
        </w:rPr>
        <w:t>19、开标准备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采购代理机构将组织各投标人法定代表人或其授权代表分别登记、签到，无关人员不得进入现场。投标人的法定代表人或其授权代表应确保手机畅通并及时关注加入的政采云项目情况。投标人未参加开标的，视同认可开标结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19.2采购代理机构接收投标文件并登记，各投标人法定代表人或其授权代表对投标文件的递交记录情况进行签字确认。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20、开标程序：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20.1电子招投标开标程序：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（1）投标截止时间后，供应商登录政府采购云平台，用“项目采购-开标评标”功能对电子投标文件进行在线解密，在线解密电子投标文件时间为开标时间后30分钟内。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政府采购云平台开启已解密投标人的“资格文件、商务技术文件”，待评标委员会资格审查、技术商务评审结束并公布资格审查、技术商务评分结果后，再开启已解密投标人的“报价文件”并做开标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（3）在政府采购云平台公布评审结果。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（4）开标会议结束。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20.2线下开标程序：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人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20.3开标程序：分两阶段开标。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第一阶段开标：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（1）宣布开标；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（2）介绍开标现场的人员情况；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（3）宣读递交投标文件的供应商名单、开标纪律、应当回避的情形等注意事项；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（4）供应商签署不存在影响公平竞争的《政府采购活动现场确认声明书》；</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（5）供应商代表查验投标文件密封情况；确认无误后按照供应商提交投标文件的先后顺序，先拆封“资格文件、商务技术文件”，宣读供应商名称、投标文件份数等内容，并做开标记录；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（6）第一阶段开标记录签字确认；</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（7）告知供应商第二阶段开标的有关事宜；</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（8）第一阶段开标结束。</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第二阶段开标：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（1）宣告资格文件、商务技术文件评审无效供应商名单及理由，供应商代表收回未拆封的报价文件并签字确认；</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（2）公布经资格文件、商务技术文件评审符合招标文件要求的供应商名单及其技术资信商务分情况；</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代表查验“报价文件”密封情况，确认无误后按第一阶段开标顺序拆封除无效标外的供应商的“报价文件”，宣读投标文件正本中“开标一览表”内容，以及采购人认为必要的其他内容与记录，并做开标记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（4）第二阶段开标记录签字确认；</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休会，评标委员会对“报价文件”进行评审；</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（5）主持人宣布复会，公布中标候选人名单及采购人最终确定中标供应商名单的时间和公告方式等；</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（6）第二阶段开标结束。</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3、投标截止时间止，有效供应商不足3家的，不得开标，本次采购活动终止。</w:t>
      </w:r>
    </w:p>
    <w:p>
      <w:pPr>
        <w:spacing w:line="360" w:lineRule="auto"/>
        <w:contextualSpacing/>
        <w:rPr>
          <w:rFonts w:ascii="宋体" w:hAnsi="宋体" w:cs="宋体"/>
          <w:b/>
          <w:color w:val="auto"/>
          <w:szCs w:val="21"/>
          <w:highlight w:val="none"/>
        </w:rPr>
      </w:pPr>
      <w:bookmarkStart w:id="123" w:name="_Toc103030422"/>
      <w:r>
        <w:rPr>
          <w:rFonts w:hint="eastAsia" w:ascii="宋体" w:hAnsi="宋体" w:cs="宋体"/>
          <w:b/>
          <w:color w:val="auto"/>
          <w:szCs w:val="21"/>
          <w:highlight w:val="none"/>
        </w:rPr>
        <w:t>七、评标和定标</w:t>
      </w:r>
      <w:bookmarkEnd w:id="114"/>
      <w:bookmarkEnd w:id="115"/>
      <w:bookmarkEnd w:id="116"/>
      <w:bookmarkEnd w:id="117"/>
      <w:bookmarkEnd w:id="118"/>
      <w:bookmarkEnd w:id="119"/>
      <w:bookmarkEnd w:id="120"/>
      <w:bookmarkEnd w:id="121"/>
      <w:bookmarkEnd w:id="122"/>
      <w:bookmarkEnd w:id="123"/>
    </w:p>
    <w:p>
      <w:pPr>
        <w:spacing w:line="360" w:lineRule="auto"/>
        <w:contextualSpacing/>
        <w:rPr>
          <w:rFonts w:ascii="宋体" w:hAnsi="宋体" w:cs="宋体"/>
          <w:color w:val="auto"/>
          <w:szCs w:val="21"/>
          <w:highlight w:val="none"/>
        </w:rPr>
      </w:pPr>
      <w:bookmarkStart w:id="124" w:name="_Toc430790229"/>
      <w:bookmarkStart w:id="125" w:name="_Toc425780292"/>
      <w:bookmarkStart w:id="126" w:name="_Toc429407708"/>
      <w:bookmarkStart w:id="127" w:name="_Toc425151748"/>
      <w:r>
        <w:rPr>
          <w:rFonts w:hint="eastAsia" w:ascii="宋体" w:hAnsi="宋体" w:cs="宋体"/>
          <w:color w:val="auto"/>
          <w:szCs w:val="21"/>
          <w:highlight w:val="none"/>
        </w:rPr>
        <w:t>21、评标委员会</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受采购人的委托，采购代理机构根据有关的法律法规组建评标委员会，评标委员会负责评标工作。评标委员会由采购人代表和评审专家组成，如采购人代表不参加，则全部由评审专家组成。评审专家将在开标日之前在管理部门的评标专家库中随机抽取。评标委员会成员名单在招标结果确定之前依法保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21.2评标委员会将遵循公平、公正、科学择优的原则和规定的程序进行评标，并且只依据投标文件本身对招标文件的响应情况进行评审。</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21.3评标委员会将核对投标价格和服务内容，对发现的价格计算错误按下述原则处理：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（1）投标文件中开标一览表内容与投标文件中相应内容不一致的，以开标一览表为准；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（2）投标文件的大写金额和小写金额不一致的，以大写金额为准；</w:t>
      </w:r>
    </w:p>
    <w:p>
      <w:pPr>
        <w:spacing w:line="360" w:lineRule="auto"/>
        <w:ind w:firstLine="420" w:firstLineChars="200"/>
        <w:contextualSpacing/>
        <w:rPr>
          <w:rFonts w:ascii="宋体" w:hAnsi="宋体" w:cs="宋体"/>
          <w:color w:val="auto"/>
          <w:spacing w:val="-4"/>
          <w:szCs w:val="21"/>
          <w:highlight w:val="none"/>
        </w:rPr>
      </w:pPr>
      <w:r>
        <w:rPr>
          <w:rFonts w:hint="eastAsia" w:ascii="宋体" w:hAnsi="宋体" w:cs="宋体"/>
          <w:color w:val="auto"/>
          <w:szCs w:val="21"/>
          <w:highlight w:val="none"/>
        </w:rPr>
        <w:t>（3）</w:t>
      </w:r>
      <w:r>
        <w:rPr>
          <w:rFonts w:hint="eastAsia" w:ascii="宋体" w:hAnsi="宋体" w:cs="宋体"/>
          <w:color w:val="auto"/>
          <w:spacing w:val="-4"/>
          <w:szCs w:val="21"/>
          <w:highlight w:val="none"/>
        </w:rPr>
        <w:t>单价金额小数点或者百分比有明显错位的，以开标一览表的总价为准，并修改单价；</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同时出现两种以上不一致的，按照前款规定的顺序修正。修正后的报价经投标人确认后产生约束力，投标人不确认的，其投标无效。</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21.4评标委员会根据采购文件中所列的具体标准，对投标文件进行评审和比较。</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21.5在评审过程中若发现投标文件的正本与副本不一致，则以正本为准。</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22、澄清问题的形式</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或者由法定代表人或其授权的代表签字，书面澄清、说明或者补正将作为投标内容的一部分。投标人的澄清、说明或者补正不得超出投标文件的范围或者改变投标文件的实质性内容。</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23、评标办法</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23.1本项目采用综合评分法。本次招标采用的评标方法具体说明载明在采购文件“评标办法”部分中。</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23.2综合评分法：</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投标文件满足采购文件全部实质性要求，且按照评审因素的量化指标评审得分最高的投标人为中标候选人的评标方法。</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24、评标程序和原则</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24.1评标程序：遵循初步审查、澄清有关问题、比较与评价、推荐中标候选人的程序依次进行。</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24.2初步审查：包含资格性审查和符合性审查。初步审查不合格者投标无效。</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（1）资格性审查：</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依据法律法规和采购文件的规定，采购人或采购代理机构对各投标人的投标资格合格性、资格文件完整性和有效性等方面进行审查，以确定投标人是否具备投标资格。</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（2）符合性检查：</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依据采购文件的规定，评标委员会从投标文件的有效性、完整性和对采购文件的响应程度进行审查，以确定是否对采购文件的要求作出实质性响应。</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24.3澄清有关问题：按第22条规定进行。</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24.4比较与评价：</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24.4.1技术商务评价：按照采购文件的要求和《评标标准》对照投标文件的响应进行技术商务评价，评定其偏差程度，并计算其相应的技术商务评分分值。</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24.4.2综合评价：对经过技术商务评价的投标，按《评标标准》规定的评价办法进行综合评价，并按以下原则进行评审计算：</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综合评分法的最终得分计算：综合得分=报价得分+技术商务评审得分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综合评价结束，按照上述第23条规定，列出进入最终评审各投标人排序次序。</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24.5推荐中标候选人：按25条规定推荐中标候选人。</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25、推荐中标候选人</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评标委员会根据各有效投标人的综合得分由高到低排定顺序，推荐本项目的中标候选人。</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26、招标方式转换</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公开招标数额标准以上的招标项目，投标截止后投标人不足3家或者通过资格审查或符合性审查的投标人不足3家的，除招标任务取消情形外，按照以下方式处理： </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26.1采购文件存在不合理条款或者招标程序不符合规定的，采购人、采购代理机构改正后依法重新招标; </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26.2采购文件没有不合理条款、招标程序符合规定，需要采用其他招标方式招标的，采购人依法报监管部门批准。 </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27、评标过程的监控与保密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27.1本项目评标过程实行全程录音、录像监控，投标人在评标过程中所进行的试图影响评标结果的不公正活动，可能导致其投标被拒绝。</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27.2开标后到中标通知书发出之前，所有涉及评标委员会名单以及对投标文件的澄清、评价、比较等情况，评标委员会成员、采购人和采购代理机构的有关人员均不得向投标人或其他无关人员透露。</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28、确定中标人、评标结果公示与质疑</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28.1采购代理机构在评标结束后2个工作日内将评标报告交采购人确认，采购人在收到评标报告之日起5个工作日内在评标报告确定的中标候选人中按顺序确定中标人。</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28.2代理机构自中标人确定之日起2个工作日内，在发布招标公告的网站上对中标结果进行公示，中标结果公告期限为1个工作日。</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28.3投标人若对评标结果有异议，可在中标公告期限届满之日起按相关规定向采购人提出书面质疑，质疑书应该有质疑人名称、地址、公章、法定代表人签名盖章、联系人姓名、联系电话、传真以及被质疑人名称及联系方式，被质疑招标项目名称、编号及招标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bookmarkEnd w:id="124"/>
    <w:bookmarkEnd w:id="125"/>
    <w:bookmarkEnd w:id="126"/>
    <w:bookmarkEnd w:id="127"/>
    <w:p>
      <w:pPr>
        <w:spacing w:line="360" w:lineRule="auto"/>
        <w:contextualSpacing/>
        <w:rPr>
          <w:rFonts w:ascii="宋体" w:hAnsi="宋体" w:cs="宋体"/>
          <w:b/>
          <w:color w:val="auto"/>
          <w:szCs w:val="21"/>
          <w:highlight w:val="none"/>
        </w:rPr>
      </w:pPr>
      <w:bookmarkStart w:id="128" w:name="_Toc422996749"/>
      <w:bookmarkEnd w:id="128"/>
      <w:bookmarkStart w:id="129" w:name="_Toc422996819"/>
      <w:bookmarkEnd w:id="129"/>
      <w:bookmarkStart w:id="130" w:name="_Toc422996750"/>
      <w:bookmarkEnd w:id="130"/>
      <w:bookmarkStart w:id="131" w:name="_Toc422996818"/>
      <w:bookmarkEnd w:id="131"/>
      <w:bookmarkStart w:id="132" w:name="_Toc496003209"/>
      <w:bookmarkStart w:id="133" w:name="_Toc103030423"/>
      <w:bookmarkStart w:id="134" w:name="_Toc498429637"/>
      <w:bookmarkStart w:id="135" w:name="_Toc425151756"/>
      <w:bookmarkStart w:id="136" w:name="_Toc430790237"/>
      <w:bookmarkStart w:id="137" w:name="_Toc429407716"/>
      <w:bookmarkStart w:id="138" w:name="_Toc425780300"/>
      <w:bookmarkStart w:id="139" w:name="_Toc456853674"/>
      <w:bookmarkStart w:id="140" w:name="_Toc505353788"/>
      <w:bookmarkStart w:id="141" w:name="_Toc445193549"/>
      <w:r>
        <w:rPr>
          <w:rFonts w:hint="eastAsia" w:ascii="宋体" w:hAnsi="宋体" w:cs="宋体"/>
          <w:b/>
          <w:color w:val="auto"/>
          <w:szCs w:val="21"/>
          <w:highlight w:val="none"/>
        </w:rPr>
        <w:t>八、无效投标认定</w:t>
      </w:r>
      <w:bookmarkEnd w:id="132"/>
      <w:bookmarkEnd w:id="133"/>
      <w:bookmarkEnd w:id="134"/>
      <w:bookmarkEnd w:id="135"/>
      <w:bookmarkEnd w:id="136"/>
      <w:bookmarkEnd w:id="137"/>
      <w:bookmarkEnd w:id="138"/>
      <w:bookmarkEnd w:id="139"/>
      <w:bookmarkEnd w:id="140"/>
      <w:bookmarkEnd w:id="141"/>
    </w:p>
    <w:p>
      <w:pPr>
        <w:spacing w:line="360" w:lineRule="auto"/>
        <w:contextualSpacing/>
        <w:rPr>
          <w:rFonts w:ascii="宋体" w:hAnsi="宋体" w:cs="宋体"/>
          <w:color w:val="auto"/>
          <w:szCs w:val="21"/>
          <w:highlight w:val="none"/>
        </w:rPr>
      </w:pPr>
      <w:bookmarkStart w:id="142" w:name="_Toc425780301"/>
      <w:bookmarkStart w:id="143" w:name="_Toc425151757"/>
      <w:bookmarkStart w:id="144" w:name="_Toc429407717"/>
      <w:bookmarkStart w:id="145" w:name="_Toc430790238"/>
      <w:r>
        <w:rPr>
          <w:rFonts w:hint="eastAsia" w:ascii="宋体" w:hAnsi="宋体" w:cs="宋体"/>
          <w:color w:val="auto"/>
          <w:szCs w:val="21"/>
          <w:highlight w:val="none"/>
        </w:rPr>
        <w:t>29、实质上没有响应采购文件要求的投标将被视为无效投标。</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29.1在资格审查时，不具备采购文件中规定的资格要求的，或者资格文件不全的，投标文件将被视为无效。</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29.2在符合性审查时，如发现下列情形之一的，投标文件将被视为无效：</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（1）投标文件未按采购文件要求签署、签章的；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（2）投标有效期不满足采购文件要求的；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（3）明显不符合采购文件要求的，或者与采购文件中标注“</w:t>
      </w:r>
      <w:r>
        <w:rPr>
          <w:rFonts w:hint="eastAsia"/>
          <w:color w:val="auto"/>
          <w:highlight w:val="none"/>
        </w:rPr>
        <w:t>▲</w:t>
      </w:r>
      <w:r>
        <w:rPr>
          <w:rFonts w:hint="eastAsia" w:hAnsi="宋体" w:eastAsia="宋体" w:cs="宋体"/>
          <w:color w:val="auto"/>
          <w:sz w:val="21"/>
          <w:szCs w:val="21"/>
          <w:highlight w:val="none"/>
        </w:rPr>
        <w:t>”的条款发生实质性偏离的；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（4）投标文件中含有采购人不能接受的附加条件的；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（5）投标声明书无法定代表人签名，或委托人未提供法定代表人授权委托书、填写项目不齐全的；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（6）投标文件格式不规范、提供资料不齐全或者内容虚假的；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（7）投标文件的实质性内容未使用中文表述、表述不明确、前后矛盾或者使用计量单位不符合采购文件要求的（经评标委员会认定并允许其当场更正的笔误除外）；</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（8）投标文件的关键内容字迹模糊、无法辨认的，或者投标文件中经修正的内容字迹模糊难以辨认或者修改处未按规定签署、盖章的；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（9）法律、法规和采购文件规定的其他无效情形。</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29.3在技术商务评审时，如发现下列情形之一的，投标文件将被视为无效：</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（1）未提供或未如实提供投标货物的技术参数，或者投标文件标明的响应或偏离与事实不符或虚假投标的；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（2）明显不符合采购文件要求的规格型号、质量标准，或者与采购文件中标“</w:t>
      </w:r>
      <w:r>
        <w:rPr>
          <w:rFonts w:hint="eastAsia"/>
          <w:color w:val="auto"/>
          <w:highlight w:val="none"/>
        </w:rPr>
        <w:t>▲</w:t>
      </w:r>
      <w:r>
        <w:rPr>
          <w:rFonts w:hint="eastAsia" w:hAnsi="宋体" w:eastAsia="宋体" w:cs="宋体"/>
          <w:color w:val="auto"/>
          <w:sz w:val="21"/>
          <w:szCs w:val="21"/>
          <w:highlight w:val="none"/>
        </w:rPr>
        <w:t>”的技术指标、主要功能项目发生实质性偏离的；</w:t>
      </w:r>
    </w:p>
    <w:p>
      <w:pPr>
        <w:pStyle w:val="20"/>
        <w:spacing w:line="360" w:lineRule="auto"/>
        <w:ind w:right="-252"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（3）投标技术方案不明确，存在一个或一个以上备选（替代）投标方案的。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29.4在报价评审时，如发现下列情形之一的，投标文件将被视为无效：</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（1）</w:t>
      </w:r>
      <w:r>
        <w:rPr>
          <w:rFonts w:hint="eastAsia" w:hAnsi="宋体" w:eastAsia="宋体" w:cs="宋体"/>
          <w:bCs/>
          <w:color w:val="auto"/>
          <w:sz w:val="21"/>
          <w:szCs w:val="21"/>
          <w:highlight w:val="none"/>
        </w:rPr>
        <w:t>报价超过采购文件中规定的预算金额或者最高限价的</w:t>
      </w:r>
      <w:r>
        <w:rPr>
          <w:rFonts w:hint="eastAsia" w:hAnsi="宋体" w:eastAsia="宋体" w:cs="宋体"/>
          <w:color w:val="auto"/>
          <w:sz w:val="21"/>
          <w:szCs w:val="21"/>
          <w:highlight w:val="none"/>
        </w:rPr>
        <w:t>；</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（2）</w:t>
      </w:r>
      <w:r>
        <w:rPr>
          <w:rFonts w:hint="eastAsia" w:hAnsi="宋体" w:eastAsia="宋体" w:cs="宋体"/>
          <w:bCs/>
          <w:color w:val="auto"/>
          <w:sz w:val="21"/>
          <w:szCs w:val="21"/>
          <w:highlight w:val="none"/>
        </w:rPr>
        <w:t>未采用采购文件要求的报价形式报价的</w:t>
      </w:r>
      <w:r>
        <w:rPr>
          <w:rFonts w:hint="eastAsia" w:hAnsi="宋体" w:eastAsia="宋体" w:cs="宋体"/>
          <w:color w:val="auto"/>
          <w:sz w:val="21"/>
          <w:szCs w:val="21"/>
          <w:highlight w:val="none"/>
        </w:rPr>
        <w:t>；</w:t>
      </w:r>
    </w:p>
    <w:p>
      <w:pPr>
        <w:pStyle w:val="20"/>
        <w:spacing w:line="360" w:lineRule="auto"/>
        <w:ind w:right="-252"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（3）投标报价具有选择性的；</w:t>
      </w:r>
    </w:p>
    <w:p>
      <w:pPr>
        <w:pStyle w:val="20"/>
        <w:spacing w:line="360" w:lineRule="auto"/>
        <w:ind w:right="-252"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w:t>
      </w:r>
      <w:r>
        <w:rPr>
          <w:rFonts w:hAnsi="宋体" w:eastAsia="宋体" w:cs="宋体"/>
          <w:color w:val="auto"/>
          <w:sz w:val="21"/>
          <w:szCs w:val="21"/>
          <w:highlight w:val="none"/>
        </w:rPr>
        <w:t>4</w:t>
      </w:r>
      <w:r>
        <w:rPr>
          <w:rFonts w:hint="eastAsia" w:hAnsi="宋体" w:eastAsia="宋体" w:cs="宋体"/>
          <w:color w:val="auto"/>
          <w:sz w:val="21"/>
          <w:szCs w:val="21"/>
          <w:highlight w:val="none"/>
        </w:rPr>
        <w:t>）投标报价中出现重大缺项、漏项的；</w:t>
      </w:r>
    </w:p>
    <w:p>
      <w:pPr>
        <w:pStyle w:val="20"/>
        <w:spacing w:line="360" w:lineRule="auto"/>
        <w:ind w:right="-252"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int="eastAsia" w:hAnsi="宋体" w:eastAsia="宋体" w:cs="宋体"/>
          <w:bCs/>
          <w:color w:val="auto"/>
          <w:sz w:val="21"/>
          <w:szCs w:val="21"/>
          <w:highlight w:val="none"/>
        </w:rPr>
        <w:t>采购文件规定的其他无效情形。</w:t>
      </w:r>
    </w:p>
    <w:p>
      <w:pPr>
        <w:pStyle w:val="20"/>
        <w:spacing w:line="360" w:lineRule="auto"/>
        <w:ind w:right="-252" w:firstLine="404" w:firstLineChars="200"/>
        <w:contextualSpacing/>
        <w:rPr>
          <w:rFonts w:hAnsi="宋体" w:eastAsia="宋体" w:cs="宋体"/>
          <w:color w:val="auto"/>
          <w:sz w:val="21"/>
          <w:szCs w:val="21"/>
          <w:highlight w:val="none"/>
        </w:rPr>
      </w:pPr>
      <w:r>
        <w:rPr>
          <w:rFonts w:hint="eastAsia" w:hAnsi="宋体" w:eastAsia="宋体" w:cs="宋体"/>
          <w:bCs/>
          <w:color w:val="auto"/>
          <w:sz w:val="21"/>
          <w:szCs w:val="21"/>
          <w:highlight w:val="none"/>
        </w:rPr>
        <w:t>29.5不同投标人的投标文件出自同一终端设备或在相同Internet主机分配地址（相同IP地址）网上报名投标的。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29.6被拒绝的投标文件为无效。</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29.7有行贿犯罪记录的投标人将被视为无效或取消中标资格。</w:t>
      </w:r>
    </w:p>
    <w:bookmarkEnd w:id="142"/>
    <w:bookmarkEnd w:id="143"/>
    <w:bookmarkEnd w:id="144"/>
    <w:bookmarkEnd w:id="145"/>
    <w:p>
      <w:pPr>
        <w:spacing w:line="360" w:lineRule="auto"/>
        <w:contextualSpacing/>
        <w:rPr>
          <w:rFonts w:ascii="宋体" w:hAnsi="宋体" w:cs="宋体"/>
          <w:b/>
          <w:color w:val="auto"/>
          <w:szCs w:val="21"/>
          <w:highlight w:val="none"/>
        </w:rPr>
      </w:pPr>
      <w:bookmarkStart w:id="146" w:name="_Toc429407718"/>
      <w:bookmarkStart w:id="147" w:name="_Toc505353789"/>
      <w:bookmarkStart w:id="148" w:name="_Toc425151758"/>
      <w:bookmarkStart w:id="149" w:name="_Toc445193550"/>
      <w:bookmarkStart w:id="150" w:name="_Toc498429638"/>
      <w:bookmarkStart w:id="151" w:name="_Toc496003210"/>
      <w:bookmarkStart w:id="152" w:name="_Toc430790239"/>
      <w:bookmarkStart w:id="153" w:name="_Toc425780302"/>
      <w:bookmarkStart w:id="154" w:name="_Toc103030424"/>
      <w:bookmarkStart w:id="155" w:name="_Toc456853675"/>
      <w:r>
        <w:rPr>
          <w:rFonts w:hint="eastAsia" w:ascii="宋体" w:hAnsi="宋体" w:cs="宋体"/>
          <w:b/>
          <w:color w:val="auto"/>
          <w:szCs w:val="21"/>
          <w:highlight w:val="none"/>
        </w:rPr>
        <w:t>九、授予合同</w:t>
      </w:r>
      <w:bookmarkEnd w:id="146"/>
      <w:bookmarkEnd w:id="147"/>
      <w:bookmarkEnd w:id="148"/>
      <w:bookmarkEnd w:id="149"/>
      <w:bookmarkEnd w:id="150"/>
      <w:bookmarkEnd w:id="151"/>
      <w:bookmarkEnd w:id="152"/>
      <w:bookmarkEnd w:id="153"/>
      <w:bookmarkEnd w:id="154"/>
      <w:bookmarkEnd w:id="155"/>
    </w:p>
    <w:p>
      <w:pPr>
        <w:spacing w:line="360" w:lineRule="auto"/>
        <w:contextualSpacing/>
        <w:rPr>
          <w:rFonts w:ascii="宋体" w:hAnsi="宋体" w:cs="宋体"/>
          <w:color w:val="auto"/>
          <w:szCs w:val="21"/>
          <w:highlight w:val="none"/>
        </w:rPr>
      </w:pPr>
      <w:bookmarkStart w:id="156" w:name="_Toc429407719"/>
      <w:bookmarkStart w:id="157" w:name="_Toc430790240"/>
      <w:bookmarkStart w:id="158" w:name="_Toc425151759"/>
      <w:bookmarkStart w:id="159" w:name="_Toc425780303"/>
      <w:r>
        <w:rPr>
          <w:rFonts w:hint="eastAsia" w:ascii="宋体" w:hAnsi="宋体" w:cs="宋体"/>
          <w:color w:val="auto"/>
          <w:szCs w:val="21"/>
          <w:highlight w:val="none"/>
        </w:rPr>
        <w:t>3</w:t>
      </w:r>
      <w:r>
        <w:rPr>
          <w:rFonts w:ascii="宋体" w:hAnsi="宋体" w:cs="宋体"/>
          <w:color w:val="auto"/>
          <w:szCs w:val="21"/>
          <w:highlight w:val="none"/>
        </w:rPr>
        <w:t>0</w:t>
      </w:r>
      <w:r>
        <w:rPr>
          <w:rFonts w:hint="eastAsia" w:ascii="宋体" w:hAnsi="宋体" w:cs="宋体"/>
          <w:color w:val="auto"/>
          <w:szCs w:val="21"/>
          <w:highlight w:val="none"/>
        </w:rPr>
        <w:t>、中标通知</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0</w:t>
      </w:r>
      <w:r>
        <w:rPr>
          <w:rFonts w:hint="eastAsia" w:ascii="宋体" w:hAnsi="宋体" w:cs="宋体"/>
          <w:color w:val="auto"/>
          <w:szCs w:val="21"/>
          <w:highlight w:val="none"/>
        </w:rPr>
        <w:t>.1在发布中标结果公告同时，本采购代理公司向中标供应商发出中标通知书，中标通知书对采购人和中标供应商具有同等法律效力。</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0</w:t>
      </w:r>
      <w:r>
        <w:rPr>
          <w:rFonts w:hint="eastAsia" w:ascii="宋体" w:hAnsi="宋体" w:cs="宋体"/>
          <w:color w:val="auto"/>
          <w:szCs w:val="21"/>
          <w:highlight w:val="none"/>
        </w:rPr>
        <w:t>.2中标人按下述第3</w:t>
      </w:r>
      <w:r>
        <w:rPr>
          <w:rFonts w:ascii="宋体" w:hAnsi="宋体" w:cs="宋体"/>
          <w:color w:val="auto"/>
          <w:szCs w:val="21"/>
          <w:highlight w:val="none"/>
        </w:rPr>
        <w:t>1</w:t>
      </w:r>
      <w:r>
        <w:rPr>
          <w:rFonts w:hint="eastAsia" w:ascii="宋体" w:hAnsi="宋体" w:cs="宋体"/>
          <w:color w:val="auto"/>
          <w:szCs w:val="21"/>
          <w:highlight w:val="none"/>
        </w:rPr>
        <w:t>条规定与采购人签订合同，中标通知书是合同的组成部分。</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、签订合同</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.1中标人在本采购代理机构发出中标通知书的30日内，应与采购人按照采购文件和中标人的投标文件的约定内容签订书面合同。</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.2采购文件、中标人的投标文件及在评标过程中提交的澄清文件均应作为合同附件。</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、履约保证金</w:t>
      </w:r>
    </w:p>
    <w:bookmarkEnd w:id="156"/>
    <w:bookmarkEnd w:id="157"/>
    <w:bookmarkEnd w:id="158"/>
    <w:bookmarkEnd w:id="159"/>
    <w:p>
      <w:pPr>
        <w:spacing w:line="360" w:lineRule="auto"/>
        <w:ind w:firstLine="420" w:firstLineChars="200"/>
        <w:rPr>
          <w:rFonts w:ascii="宋体" w:hAnsi="宋体" w:cs="宋体"/>
          <w:color w:val="auto"/>
          <w:szCs w:val="21"/>
          <w:highlight w:val="none"/>
        </w:rPr>
      </w:pPr>
      <w:bookmarkStart w:id="160" w:name="_Toc103030425"/>
      <w:bookmarkStart w:id="161" w:name="_Hlk49412371"/>
      <w:r>
        <w:rPr>
          <w:rFonts w:hint="eastAsia" w:ascii="宋体" w:hAnsi="宋体" w:cs="宋体"/>
          <w:color w:val="auto"/>
          <w:szCs w:val="21"/>
          <w:highlight w:val="none"/>
          <w:lang w:val="en-US" w:eastAsia="zh-CN"/>
        </w:rPr>
        <w:t>32.1</w:t>
      </w:r>
      <w:r>
        <w:rPr>
          <w:rFonts w:hint="eastAsia" w:ascii="宋体" w:hAnsi="宋体" w:cs="宋体"/>
          <w:color w:val="auto"/>
          <w:szCs w:val="21"/>
          <w:highlight w:val="none"/>
        </w:rPr>
        <w:t>履约保证金的收取及退还：合同金额的1％计收，项目验收结束后及时退还。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32.2</w:t>
      </w:r>
      <w:r>
        <w:rPr>
          <w:rFonts w:hint="eastAsia" w:ascii="宋体" w:hAnsi="宋体" w:cs="宋体"/>
          <w:color w:val="auto"/>
          <w:szCs w:val="21"/>
          <w:highlight w:val="none"/>
        </w:rPr>
        <w:t>履约保证金形式：电汇、网银、银行保函（采购人认可的银行开具的保函）、保险保单。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32.3</w:t>
      </w:r>
      <w:r>
        <w:rPr>
          <w:rFonts w:hint="eastAsia" w:ascii="宋体" w:hAnsi="宋体" w:cs="宋体"/>
          <w:color w:val="auto"/>
          <w:szCs w:val="21"/>
          <w:highlight w:val="none"/>
        </w:rPr>
        <w:t>签订合同后，如中标人不按双方合同约定履约，则没收其全部履约保证金，履约保证金不足以赔偿损失的，按实际损失赔偿。</w:t>
      </w:r>
    </w:p>
    <w:p>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rPr>
        <w:t>十、履约验收</w:t>
      </w:r>
      <w:bookmarkEnd w:id="160"/>
    </w:p>
    <w:p>
      <w:pPr>
        <w:pStyle w:val="2"/>
        <w:spacing w:after="0"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3</w:t>
      </w:r>
      <w:r>
        <w:rPr>
          <w:rFonts w:hint="eastAsia" w:ascii="宋体" w:hAnsi="宋体" w:cs="宋体"/>
          <w:color w:val="auto"/>
          <w:sz w:val="21"/>
          <w:szCs w:val="21"/>
          <w:highlight w:val="none"/>
        </w:rPr>
        <w:t>、采购人负责对中标供应商的履约行为进行验收。政府向社会公众提供的公共服务项目，验收时应当邀请服务对象参与并出具意见，验收结果应当向社会公告。</w:t>
      </w:r>
    </w:p>
    <w:p>
      <w:pPr>
        <w:spacing w:line="360" w:lineRule="auto"/>
        <w:contextualSpacing/>
        <w:rPr>
          <w:rFonts w:ascii="宋体" w:hAnsi="宋体" w:cs="宋体"/>
          <w:b/>
          <w:color w:val="auto"/>
          <w:szCs w:val="21"/>
          <w:highlight w:val="none"/>
        </w:rPr>
      </w:pPr>
      <w:bookmarkStart w:id="162" w:name="_Toc103030426"/>
      <w:r>
        <w:rPr>
          <w:rFonts w:hint="eastAsia" w:ascii="宋体" w:hAnsi="宋体" w:cs="宋体"/>
          <w:b/>
          <w:color w:val="auto"/>
          <w:szCs w:val="21"/>
          <w:highlight w:val="none"/>
        </w:rPr>
        <w:t>十一、招标服务费用</w:t>
      </w:r>
      <w:bookmarkEnd w:id="162"/>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4</w:t>
      </w:r>
      <w:r>
        <w:rPr>
          <w:rFonts w:hint="eastAsia" w:ascii="宋体" w:hAnsi="宋体" w:cs="宋体"/>
          <w:color w:val="auto"/>
          <w:szCs w:val="21"/>
          <w:highlight w:val="none"/>
        </w:rPr>
        <w:t>、招标服务费</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中标人应向本采购代理机构支付招标服务费。招标服务费的收费依据及相关规定载明在采购文件《投标人须知》中。</w:t>
      </w:r>
    </w:p>
    <w:bookmarkEnd w:id="161"/>
    <w:p>
      <w:pPr>
        <w:spacing w:line="360" w:lineRule="auto"/>
        <w:contextualSpacing/>
        <w:rPr>
          <w:rFonts w:ascii="宋体" w:hAnsi="宋体" w:cs="宋体"/>
          <w:b/>
          <w:color w:val="auto"/>
          <w:szCs w:val="21"/>
          <w:highlight w:val="none"/>
        </w:rPr>
      </w:pPr>
      <w:bookmarkStart w:id="163" w:name="_Toc103030427"/>
      <w:bookmarkStart w:id="164" w:name="_Toc505353791"/>
      <w:bookmarkStart w:id="165" w:name="_Toc425151765"/>
      <w:bookmarkStart w:id="166" w:name="_Toc429407725"/>
      <w:bookmarkStart w:id="167" w:name="_Toc430790246"/>
      <w:bookmarkStart w:id="168" w:name="_Toc498429640"/>
      <w:bookmarkStart w:id="169" w:name="_Toc425780309"/>
      <w:bookmarkStart w:id="170" w:name="_Toc496003211"/>
      <w:bookmarkStart w:id="171" w:name="_Toc456853677"/>
      <w:bookmarkStart w:id="172" w:name="_Toc445193552"/>
      <w:bookmarkStart w:id="173" w:name="_Hlk49412452"/>
      <w:r>
        <w:rPr>
          <w:rFonts w:hint="eastAsia" w:ascii="宋体" w:hAnsi="宋体" w:cs="宋体"/>
          <w:b/>
          <w:color w:val="auto"/>
          <w:szCs w:val="21"/>
          <w:highlight w:val="none"/>
        </w:rPr>
        <w:t>十二、政府采购活动中有关中小企业的相关规定</w:t>
      </w:r>
      <w:bookmarkEnd w:id="163"/>
    </w:p>
    <w:p>
      <w:pPr>
        <w:spacing w:line="360" w:lineRule="auto"/>
        <w:contextualSpacing/>
        <w:jc w:val="center"/>
        <w:rPr>
          <w:rFonts w:ascii="宋体" w:hAnsi="宋体" w:cs="宋体"/>
          <w:b/>
          <w:color w:val="auto"/>
          <w:szCs w:val="21"/>
          <w:highlight w:val="none"/>
        </w:rPr>
      </w:pPr>
      <w:r>
        <w:rPr>
          <w:rFonts w:hint="eastAsia" w:ascii="宋体" w:hAnsi="宋体" w:cs="宋体"/>
          <w:b/>
          <w:color w:val="auto"/>
          <w:szCs w:val="21"/>
          <w:highlight w:val="none"/>
        </w:rPr>
        <w:t>（采购进口产品的项目不适用）</w:t>
      </w:r>
      <w:bookmarkEnd w:id="164"/>
      <w:bookmarkEnd w:id="165"/>
      <w:bookmarkEnd w:id="166"/>
      <w:bookmarkEnd w:id="167"/>
      <w:bookmarkEnd w:id="168"/>
      <w:bookmarkEnd w:id="169"/>
      <w:bookmarkEnd w:id="170"/>
      <w:bookmarkEnd w:id="171"/>
      <w:bookmarkEnd w:id="172"/>
    </w:p>
    <w:bookmarkEnd w:id="68"/>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、参加政府采购活动的中小企业（含中型、小型、微型企业，其他地方同）应当同时符合以下条件：</w:t>
      </w:r>
    </w:p>
    <w:p>
      <w:pPr>
        <w:widowControl/>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lang w:bidi="ar"/>
        </w:rPr>
        <w:t>3</w:t>
      </w:r>
      <w:r>
        <w:rPr>
          <w:rFonts w:ascii="宋体" w:hAnsi="宋体" w:cs="宋体"/>
          <w:color w:val="auto"/>
          <w:szCs w:val="21"/>
          <w:highlight w:val="none"/>
          <w:lang w:bidi="ar"/>
        </w:rPr>
        <w:t>5</w:t>
      </w:r>
      <w:r>
        <w:rPr>
          <w:rFonts w:hint="eastAsia" w:ascii="宋体" w:hAnsi="宋体" w:cs="宋体"/>
          <w:color w:val="auto"/>
          <w:szCs w:val="21"/>
          <w:highlight w:val="none"/>
          <w:lang w:bidi="ar"/>
        </w:rPr>
        <w:t>.1符合中小企业划分标准（具体见工信部联企业[2011]300号）；</w:t>
      </w:r>
    </w:p>
    <w:p>
      <w:pPr>
        <w:widowControl/>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lang w:bidi="ar"/>
        </w:rPr>
        <w:t>3</w:t>
      </w:r>
      <w:r>
        <w:rPr>
          <w:rFonts w:ascii="宋体" w:hAnsi="宋体" w:cs="宋体"/>
          <w:color w:val="auto"/>
          <w:szCs w:val="21"/>
          <w:highlight w:val="none"/>
          <w:lang w:bidi="ar"/>
        </w:rPr>
        <w:t>5</w:t>
      </w:r>
      <w:r>
        <w:rPr>
          <w:rFonts w:hint="eastAsia" w:ascii="宋体" w:hAnsi="宋体" w:cs="宋体"/>
          <w:color w:val="auto"/>
          <w:szCs w:val="21"/>
          <w:highlight w:val="none"/>
          <w:lang w:bidi="ar"/>
        </w:rPr>
        <w:t>.2提供本企业制造的货物、承担的工程或者服务，或者提供其他中小企业制造的货物。本项所称货物不包括使用大型企业注册商标的货物。</w:t>
      </w:r>
    </w:p>
    <w:p>
      <w:pPr>
        <w:widowControl/>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lang w:bidi="ar"/>
        </w:rPr>
        <w:t>3</w:t>
      </w:r>
      <w:r>
        <w:rPr>
          <w:rFonts w:ascii="宋体" w:hAnsi="宋体" w:cs="宋体"/>
          <w:color w:val="auto"/>
          <w:szCs w:val="21"/>
          <w:highlight w:val="none"/>
          <w:lang w:bidi="ar"/>
        </w:rPr>
        <w:t>5</w:t>
      </w:r>
      <w:r>
        <w:rPr>
          <w:rFonts w:hint="eastAsia" w:ascii="宋体" w:hAnsi="宋体" w:cs="宋体"/>
          <w:color w:val="auto"/>
          <w:szCs w:val="21"/>
          <w:highlight w:val="none"/>
          <w:lang w:bidi="ar"/>
        </w:rPr>
        <w:t>.3小型、微型企业提供中型企业制造的货物的，视同为中型企业。</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6</w:t>
      </w:r>
      <w:r>
        <w:rPr>
          <w:rFonts w:hint="eastAsia" w:ascii="宋体" w:hAnsi="宋体" w:cs="宋体"/>
          <w:color w:val="auto"/>
          <w:szCs w:val="21"/>
          <w:highlight w:val="none"/>
        </w:rPr>
        <w:t>、参加政府采购活动的中小企业应当提供《中小企业声明函》。</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rFonts w:hint="eastAsia" w:ascii="宋体" w:hAnsi="宋体" w:cs="宋体"/>
          <w:color w:val="auto"/>
          <w:szCs w:val="21"/>
          <w:highlight w:val="none"/>
        </w:rPr>
        <w:t>、对于非专门面向中小企业的项目，对小型和微型企业产品的价格应给予10％的扣除，用扣除后的价格参与评审。具体扣除比例见第四部分 评标办法及评分标准（如有）。</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8</w:t>
      </w:r>
      <w:r>
        <w:rPr>
          <w:rFonts w:hint="eastAsia" w:ascii="宋体" w:hAnsi="宋体" w:cs="宋体"/>
          <w:color w:val="auto"/>
          <w:szCs w:val="21"/>
          <w:highlight w:val="none"/>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pPr>
        <w:spacing w:line="360" w:lineRule="auto"/>
        <w:contextualSpacing/>
        <w:rPr>
          <w:rFonts w:ascii="宋体" w:hAnsi="宋体" w:cs="宋体"/>
          <w:color w:val="auto"/>
          <w:szCs w:val="21"/>
          <w:highlight w:val="none"/>
        </w:rPr>
      </w:pPr>
      <w:r>
        <w:rPr>
          <w:rFonts w:ascii="宋体" w:hAnsi="宋体" w:cs="宋体"/>
          <w:color w:val="auto"/>
          <w:szCs w:val="21"/>
          <w:highlight w:val="none"/>
        </w:rPr>
        <w:t>39</w:t>
      </w:r>
      <w:r>
        <w:rPr>
          <w:rFonts w:hint="eastAsia" w:ascii="宋体" w:hAnsi="宋体" w:cs="宋体"/>
          <w:color w:val="auto"/>
          <w:szCs w:val="21"/>
          <w:highlight w:val="none"/>
        </w:rPr>
        <w:t>、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0</w:t>
      </w:r>
      <w:r>
        <w:rPr>
          <w:rFonts w:hint="eastAsia" w:ascii="宋体" w:hAnsi="宋体" w:cs="宋体"/>
          <w:color w:val="auto"/>
          <w:szCs w:val="21"/>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根据《关于促进残疾人就业政府采购政策的通知》（财库[2017]141号）规定，在政府采购活动中，残疾人福利性单位视同小型、微型企业。残疾人福利性单位参加政府采购活动时，提供《残疾人福利性单位声明函》。</w:t>
      </w:r>
    </w:p>
    <w:bookmarkEnd w:id="173"/>
    <w:p>
      <w:pPr>
        <w:rPr>
          <w:rFonts w:ascii="宋体" w:hAnsi="宋体"/>
          <w:color w:val="auto"/>
          <w:szCs w:val="21"/>
          <w:highlight w:val="none"/>
        </w:rPr>
      </w:pPr>
      <w:r>
        <w:rPr>
          <w:rFonts w:hint="eastAsia" w:ascii="宋体" w:hAnsi="宋体"/>
          <w:b/>
          <w:color w:val="auto"/>
          <w:szCs w:val="21"/>
          <w:highlight w:val="none"/>
        </w:rPr>
        <w:br w:type="page"/>
      </w:r>
      <w:bookmarkStart w:id="174" w:name="_Toc490748641"/>
    </w:p>
    <w:bookmarkEnd w:id="174"/>
    <w:p>
      <w:pPr>
        <w:pStyle w:val="27"/>
        <w:snapToGrid w:val="0"/>
        <w:spacing w:line="440" w:lineRule="exact"/>
        <w:jc w:val="center"/>
        <w:outlineLvl w:val="0"/>
        <w:rPr>
          <w:rStyle w:val="65"/>
          <w:rFonts w:hint="eastAsia"/>
          <w:color w:val="auto"/>
          <w:sz w:val="28"/>
          <w:szCs w:val="28"/>
          <w:highlight w:val="none"/>
        </w:rPr>
      </w:pPr>
      <w:bookmarkStart w:id="175" w:name="_Toc8593"/>
      <w:bookmarkStart w:id="176" w:name="_Toc10383"/>
      <w:bookmarkStart w:id="177" w:name="_Toc104835481"/>
      <w:bookmarkStart w:id="178" w:name="_Toc103030428"/>
      <w:r>
        <w:rPr>
          <w:rStyle w:val="65"/>
          <w:rFonts w:hint="eastAsia"/>
          <w:color w:val="auto"/>
          <w:sz w:val="28"/>
          <w:szCs w:val="28"/>
          <w:highlight w:val="none"/>
        </w:rPr>
        <w:t>第四章  评标办法及评分标准</w:t>
      </w:r>
      <w:bookmarkEnd w:id="175"/>
      <w:bookmarkEnd w:id="176"/>
      <w:bookmarkEnd w:id="177"/>
      <w:bookmarkEnd w:id="178"/>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为公正、公平、科学地选择中标人，根据《中华人民共和国政府采购法》等有关法律法规的规定，并结合本项目的实际，制定本评标方法及评标标准。</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一、总则</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1、本项目评标方法：综合评分法。</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2、综合评分总分为100分，由技术资信商务分、价格分两部分组成，具体分值见评标标准。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3、评标委员会成员根据采购文件规定的评标程序、评标方法和评标标准对各投标人进行独立评审，对各投标人的综合评分=技术资信商务分+价格分。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4、各投标人最终得分：计算各评标委员会成员对各投标人的综合评分的算术平均值（保留小数点后二位）。</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5、评标结果排序：按照各投标人最终得分由高到低顺序排列。得分相同的，按投标报价由低到高顺序排列。得分且投标报价相同的并列。</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6、确定中标候选人名单：按照采购文件规定的中标候选人数量确定中标候选人名单，按照评标结果排序，最终得分排名第一的候选人为中标人。</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二、政府采购政策的具体落实</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1、本次采购为非专门面向中小企业，采购标的对应的中小企业划分标准所属行业子包1为</w:t>
      </w:r>
      <w:r>
        <w:rPr>
          <w:rFonts w:hint="eastAsia" w:ascii="宋体" w:hAnsi="宋体" w:cs="宋体"/>
          <w:b/>
          <w:bCs/>
          <w:color w:val="FF0000"/>
          <w:szCs w:val="21"/>
          <w:highlight w:val="none"/>
          <w:u w:val="single"/>
        </w:rPr>
        <w:t>农林牧渔业</w:t>
      </w:r>
      <w:r>
        <w:rPr>
          <w:rFonts w:hint="eastAsia" w:ascii="宋体" w:hAnsi="宋体" w:cs="宋体"/>
          <w:color w:val="auto"/>
          <w:szCs w:val="21"/>
          <w:highlight w:val="none"/>
        </w:rPr>
        <w:t>行业。</w:t>
      </w:r>
      <w:r>
        <w:rPr>
          <w:rFonts w:hint="eastAsia" w:ascii="宋体" w:hAnsi="宋体" w:cs="仿宋"/>
          <w:color w:val="auto"/>
          <w:szCs w:val="21"/>
          <w:highlight w:val="none"/>
        </w:rPr>
        <w:t>本次评标将对中小企业声明函满足招标文件要求的</w:t>
      </w:r>
      <w:r>
        <w:rPr>
          <w:rFonts w:hint="eastAsia" w:ascii="宋体" w:hAnsi="宋体" w:cs="仿宋"/>
          <w:color w:val="auto"/>
          <w:szCs w:val="21"/>
          <w:highlight w:val="none"/>
          <w:lang w:val="en-US" w:eastAsia="zh-CN"/>
        </w:rPr>
        <w:t>工程</w:t>
      </w:r>
      <w:r>
        <w:rPr>
          <w:rFonts w:hint="eastAsia" w:ascii="宋体" w:hAnsi="宋体" w:cs="仿宋"/>
          <w:color w:val="auto"/>
          <w:szCs w:val="21"/>
          <w:highlight w:val="none"/>
        </w:rPr>
        <w:t>承接企业均为小微企业的价格给予</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%的扣除，用扣除后的价格参与评审。价格扣除只用于评审过程，如中标，中标价格仍按照其投标价格进行公示。</w:t>
      </w:r>
    </w:p>
    <w:p>
      <w:pPr>
        <w:spacing w:line="360" w:lineRule="exact"/>
        <w:rPr>
          <w:rFonts w:ascii="宋体" w:hAnsi="宋体"/>
          <w:color w:val="auto"/>
          <w:szCs w:val="21"/>
          <w:highlight w:val="none"/>
        </w:rPr>
      </w:pPr>
      <w:r>
        <w:rPr>
          <w:rFonts w:hint="eastAsia" w:ascii="宋体" w:hAnsi="宋体"/>
          <w:color w:val="auto"/>
          <w:szCs w:val="21"/>
          <w:highlight w:val="none"/>
        </w:rPr>
        <w:t>2、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szCs w:val="21"/>
          <w:highlight w:val="none"/>
        </w:rPr>
        <w:t>www.ccgp.gov.cn</w:t>
      </w:r>
      <w:r>
        <w:rPr>
          <w:rFonts w:hint="eastAsia" w:ascii="宋体" w:hAnsi="宋体"/>
          <w:color w:val="auto"/>
          <w:szCs w:val="21"/>
          <w:highlight w:val="none"/>
        </w:rPr>
        <w:fldChar w:fldCharType="end"/>
      </w:r>
      <w:r>
        <w:rPr>
          <w:rFonts w:hint="eastAsia" w:ascii="宋体" w:hAnsi="宋体"/>
          <w:color w:val="auto"/>
          <w:szCs w:val="21"/>
          <w:highlight w:val="none"/>
        </w:rPr>
        <w:t>）节能产品、环境标志产品查询结果不相符的评标委员会将不予认可，不得享受技术加分。由多个产品集成的项目（标项），必须所有产品符合上述要求才能享受技术加分。（不适用）</w:t>
      </w:r>
    </w:p>
    <w:p>
      <w:pPr>
        <w:spacing w:line="360" w:lineRule="exact"/>
        <w:jc w:val="left"/>
        <w:rPr>
          <w:rFonts w:ascii="宋体" w:hAnsi="宋体"/>
          <w:color w:val="auto"/>
          <w:szCs w:val="21"/>
          <w:highlight w:val="none"/>
        </w:rPr>
      </w:pPr>
      <w:r>
        <w:rPr>
          <w:rFonts w:hint="eastAsia" w:ascii="宋体" w:hAnsi="宋体"/>
          <w:color w:val="auto"/>
          <w:szCs w:val="21"/>
          <w:highlight w:val="none"/>
        </w:rPr>
        <w:t>3、评标委员会成员对需要共同认定的事项存在争议的，应当按照少数服从多数的原则作出结论。</w:t>
      </w:r>
    </w:p>
    <w:p>
      <w:pPr>
        <w:spacing w:line="36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pPr>
        <w:spacing w:line="36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pPr>
        <w:spacing w:line="36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pPr>
        <w:spacing w:line="36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pPr>
        <w:spacing w:line="36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pPr>
        <w:spacing w:line="360" w:lineRule="exact"/>
        <w:ind w:firstLine="420" w:firstLineChars="200"/>
        <w:jc w:val="left"/>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在评标过程中，发现的价格计算错误按下述原则修正：</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（1）投标文件中开标一览表内容与政采云系统“开标一览表”中录入的内容不一致的，以投标文件中开标一览表为准；</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（2）投标文件中开标一览表内容与投标文件中相应内容不一致的，以开标一览表为准；</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（3）大写金额和小写金额不一致的，以大写金额为准；</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（4）单价金额小数点或者百分比有明显错位的，以开标一览表的总价为准，并修改单价；</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（5）总价金额与按单价汇总金额不一致的，以单价金额计算结果为准。</w:t>
      </w:r>
    </w:p>
    <w:p>
      <w:pPr>
        <w:spacing w:line="360" w:lineRule="exact"/>
        <w:ind w:firstLine="420" w:firstLineChars="200"/>
        <w:jc w:val="left"/>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同时出现两种以上不一致的，按照前款规定的顺序修正。修正后的报价经供应商确认后产生约束力，供应商不确认的，其投标无效。</w:t>
      </w:r>
    </w:p>
    <w:p>
      <w:pPr>
        <w:spacing w:line="360" w:lineRule="exact"/>
        <w:ind w:firstLine="420" w:firstLineChars="200"/>
        <w:jc w:val="left"/>
        <w:rPr>
          <w:rFonts w:ascii="宋体" w:hAnsi="宋体"/>
          <w:color w:val="auto"/>
          <w:highlight w:val="none"/>
        </w:rPr>
      </w:pPr>
      <w:r>
        <w:rPr>
          <w:rFonts w:ascii="宋体" w:hAnsi="宋体"/>
          <w:color w:val="auto"/>
          <w:szCs w:val="21"/>
          <w:highlight w:val="none"/>
        </w:rPr>
        <w:t>2.2.3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pPr>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非单一产品采购项目，多家供应商提供的核心产品品牌相同的，按上述规定处理。</w:t>
      </w:r>
    </w:p>
    <w:p>
      <w:pPr>
        <w:spacing w:line="360" w:lineRule="exact"/>
        <w:ind w:firstLine="420" w:firstLineChars="200"/>
        <w:jc w:val="left"/>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pPr>
        <w:spacing w:line="360" w:lineRule="exact"/>
        <w:ind w:firstLine="420" w:firstLineChars="200"/>
        <w:jc w:val="left"/>
        <w:rPr>
          <w:rFonts w:ascii="宋体" w:hAnsi="宋体"/>
          <w:color w:val="auto"/>
          <w:szCs w:val="21"/>
          <w:highlight w:val="none"/>
        </w:rPr>
      </w:pPr>
      <w:r>
        <w:rPr>
          <w:rFonts w:ascii="宋体" w:hAnsi="宋体"/>
          <w:color w:val="auto"/>
          <w:szCs w:val="21"/>
          <w:highlight w:val="none"/>
        </w:rPr>
        <w:t>2.2.5</w:t>
      </w:r>
      <w:r>
        <w:rPr>
          <w:rFonts w:hint="eastAsia" w:ascii="宋体" w:hAnsi="宋体"/>
          <w:color w:val="auto"/>
          <w:szCs w:val="21"/>
          <w:highlight w:val="none"/>
        </w:rPr>
        <w:t>综合评估：供应商的综合得分为商务和技术得分与报价得分之和。</w:t>
      </w:r>
    </w:p>
    <w:p>
      <w:pPr>
        <w:spacing w:line="36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6推荐中标候选人：按综合得分由高到低的排序，推荐中标候选人。若供应商的综合得分相等，则投标报价低者列前；若投标报价也相同时，采取随机抽签的方式确定排序。</w:t>
      </w:r>
    </w:p>
    <w:p>
      <w:pPr>
        <w:spacing w:line="36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评标委员会按综合得分由高到低的排序，向采购人推荐中标候选人。代理机构应当自评审结束之日起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pPr>
        <w:spacing w:line="36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36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pPr>
        <w:spacing w:line="36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开标现场，供应商安排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评标委员会组长将问题汇总后向供应商发出书面“采购响应文件问题澄清通知”，供应商应对需要澄清的问题作书面回答，该书面澄清应当由</w:t>
      </w:r>
      <w:r>
        <w:rPr>
          <w:rFonts w:hint="eastAsia" w:ascii="宋体" w:hAnsi="宋体"/>
          <w:color w:val="auto"/>
          <w:szCs w:val="21"/>
          <w:highlight w:val="none"/>
        </w:rPr>
        <w:t>供应商的法定代表人或授权代表签字</w:t>
      </w:r>
      <w:r>
        <w:rPr>
          <w:rFonts w:hint="eastAsia" w:ascii="宋体" w:hAnsi="宋体" w:cs="宋体"/>
          <w:color w:val="auto"/>
          <w:highlight w:val="none"/>
        </w:rPr>
        <w:t>或者加盖供应商公章。书面澄清将作为投标文件内容的一部分，具有相应的法律效力。</w:t>
      </w:r>
    </w:p>
    <w:p>
      <w:pPr>
        <w:spacing w:line="360" w:lineRule="exact"/>
        <w:ind w:firstLine="420" w:firstLineChars="200"/>
        <w:jc w:val="left"/>
        <w:rPr>
          <w:rFonts w:ascii="宋体" w:hAnsi="宋体" w:cs="宋体"/>
          <w:color w:val="auto"/>
          <w:highlight w:val="none"/>
        </w:rPr>
      </w:pPr>
      <w:r>
        <w:rPr>
          <w:rFonts w:ascii="宋体" w:hAnsi="宋体" w:cs="宋体"/>
          <w:color w:val="auto"/>
          <w:highlight w:val="none"/>
        </w:rPr>
        <w:t>3.4</w:t>
      </w:r>
      <w:r>
        <w:rPr>
          <w:rFonts w:hint="eastAsia" w:ascii="宋体" w:hAnsi="宋体" w:cs="宋体"/>
          <w:color w:val="auto"/>
          <w:highlight w:val="none"/>
        </w:rPr>
        <w:t>供应商未在截止时间前完成澄清，将被视作自动放弃。</w:t>
      </w:r>
    </w:p>
    <w:p>
      <w:pPr>
        <w:spacing w:line="36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pPr>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投标截止时间止，供应商少于</w:t>
      </w:r>
      <w:r>
        <w:rPr>
          <w:rFonts w:ascii="宋体" w:hAnsi="宋体"/>
          <w:color w:val="auto"/>
          <w:szCs w:val="21"/>
          <w:highlight w:val="none"/>
        </w:rPr>
        <w:t>3</w:t>
      </w:r>
      <w:r>
        <w:rPr>
          <w:rFonts w:hint="eastAsia" w:ascii="宋体" w:hAnsi="宋体"/>
          <w:color w:val="auto"/>
          <w:szCs w:val="21"/>
          <w:highlight w:val="none"/>
        </w:rPr>
        <w:t>个的；</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评标委员会评标过程中，有效供应商少于</w:t>
      </w:r>
      <w:r>
        <w:rPr>
          <w:rFonts w:ascii="宋体" w:hAnsi="宋体"/>
          <w:color w:val="auto"/>
          <w:szCs w:val="21"/>
          <w:highlight w:val="none"/>
        </w:rPr>
        <w:t>3</w:t>
      </w:r>
      <w:r>
        <w:rPr>
          <w:rFonts w:hint="eastAsia" w:ascii="宋体" w:hAnsi="宋体"/>
          <w:color w:val="auto"/>
          <w:szCs w:val="21"/>
          <w:highlight w:val="none"/>
        </w:rPr>
        <w:t>个的；</w:t>
      </w:r>
    </w:p>
    <w:p>
      <w:pPr>
        <w:widowControl/>
        <w:spacing w:line="360" w:lineRule="exact"/>
        <w:ind w:firstLine="420" w:firstLineChars="200"/>
        <w:jc w:val="left"/>
        <w:rPr>
          <w:color w:val="auto"/>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pStyle w:val="3"/>
        <w:rPr>
          <w:color w:val="auto"/>
          <w:highlight w:val="none"/>
        </w:rPr>
      </w:pPr>
    </w:p>
    <w:p>
      <w:pPr>
        <w:pStyle w:val="3"/>
        <w:rPr>
          <w:color w:val="auto"/>
          <w:highlight w:val="none"/>
        </w:rPr>
      </w:pPr>
    </w:p>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附表1资格审查内容（兼审查表）</w:t>
      </w:r>
    </w:p>
    <w:tbl>
      <w:tblPr>
        <w:tblStyle w:val="4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2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4"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3124"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要求说明</w:t>
            </w:r>
          </w:p>
        </w:tc>
        <w:tc>
          <w:tcPr>
            <w:tcW w:w="5948"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704"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3124" w:type="dxa"/>
            <w:vAlign w:val="center"/>
          </w:tcPr>
          <w:p>
            <w:pPr>
              <w:snapToGrid w:val="0"/>
              <w:spacing w:line="320" w:lineRule="exact"/>
              <w:rPr>
                <w:rFonts w:ascii="宋体" w:hAnsi="宋体" w:cs="宋体"/>
                <w:color w:val="auto"/>
                <w:sz w:val="18"/>
                <w:szCs w:val="18"/>
                <w:highlight w:val="none"/>
              </w:rPr>
            </w:pPr>
            <w:r>
              <w:rPr>
                <w:rFonts w:hint="eastAsia" w:ascii="宋体" w:hAnsi="宋体" w:cs="宋体"/>
                <w:color w:val="auto"/>
                <w:sz w:val="18"/>
                <w:szCs w:val="18"/>
                <w:highlight w:val="none"/>
              </w:rPr>
              <w:t>符合《中华人民共和国政府采购法》第二十二条的一般资格条件的规定：</w:t>
            </w:r>
          </w:p>
          <w:p>
            <w:pPr>
              <w:snapToGrid w:val="0"/>
              <w:spacing w:line="320" w:lineRule="exact"/>
              <w:rPr>
                <w:rFonts w:ascii="宋体" w:hAnsi="宋体" w:cs="宋体"/>
                <w:color w:val="auto"/>
                <w:sz w:val="18"/>
                <w:szCs w:val="18"/>
                <w:highlight w:val="none"/>
              </w:rPr>
            </w:pPr>
          </w:p>
        </w:tc>
        <w:tc>
          <w:tcPr>
            <w:tcW w:w="5948" w:type="dxa"/>
            <w:vAlign w:val="center"/>
          </w:tcPr>
          <w:p>
            <w:pPr>
              <w:snapToGrid w:val="0"/>
              <w:spacing w:line="320" w:lineRule="exact"/>
              <w:rPr>
                <w:rFonts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（1）有效的企业法人营业执照（或事业法人登记证）、其他组织（个体工商户）的营业执照或者民办非企业单位登记证书（复印件盖单位公章）；</w:t>
            </w:r>
            <w:r>
              <w:rPr>
                <w:rFonts w:hint="eastAsia" w:ascii="宋体" w:hAnsi="宋体" w:cs="宋体"/>
                <w:color w:val="auto"/>
                <w:sz w:val="18"/>
                <w:szCs w:val="18"/>
                <w:highlight w:val="none"/>
              </w:rPr>
              <w:t xml:space="preserve">  </w:t>
            </w:r>
          </w:p>
          <w:p>
            <w:pPr>
              <w:snapToGrid w:val="0"/>
              <w:spacing w:line="320" w:lineRule="exact"/>
              <w:rPr>
                <w:rFonts w:ascii="宋体" w:hAnsi="宋体" w:cs="宋体"/>
                <w:color w:val="auto"/>
                <w:highlight w:val="none"/>
              </w:rPr>
            </w:pPr>
            <w:r>
              <w:rPr>
                <w:rFonts w:hint="eastAsia" w:ascii="宋体" w:hAnsi="宋体" w:cs="宋体"/>
                <w:color w:val="auto"/>
                <w:sz w:val="18"/>
                <w:szCs w:val="18"/>
                <w:highlight w:val="none"/>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3124" w:type="dxa"/>
            <w:vAlign w:val="center"/>
          </w:tcPr>
          <w:p>
            <w:pPr>
              <w:snapToGrid w:val="0"/>
              <w:spacing w:line="320" w:lineRule="exact"/>
              <w:rPr>
                <w:rFonts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未被“信用中国”（www.creditchina.gov.cn)、中国政府采购网（www.ccgp.gov.cn）列入失信被执行人、重大税收违法案件当事人名单、政府采购严重违法失信行为记录名单。</w:t>
            </w:r>
          </w:p>
        </w:tc>
        <w:tc>
          <w:tcPr>
            <w:tcW w:w="5948" w:type="dxa"/>
            <w:vAlign w:val="center"/>
          </w:tcPr>
          <w:p>
            <w:pPr>
              <w:snapToGrid w:val="0"/>
              <w:spacing w:line="320" w:lineRule="exact"/>
              <w:rPr>
                <w:rFonts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（3）未被信用中国网站（</w:t>
            </w:r>
            <w:r>
              <w:rPr>
                <w:rFonts w:hint="eastAsia" w:ascii="宋体" w:hAnsi="宋体" w:eastAsia="宋体" w:cs="宋体"/>
                <w:color w:val="auto"/>
                <w:sz w:val="18"/>
                <w:szCs w:val="18"/>
                <w:highlight w:val="none"/>
                <w:lang w:val="en-US" w:eastAsia="zh-CN"/>
              </w:rPr>
              <w:fldChar w:fldCharType="begin"/>
            </w:r>
            <w:r>
              <w:rPr>
                <w:rFonts w:hint="eastAsia" w:ascii="宋体" w:hAnsi="宋体" w:eastAsia="宋体" w:cs="宋体"/>
                <w:color w:val="auto"/>
                <w:sz w:val="18"/>
                <w:szCs w:val="18"/>
                <w:highlight w:val="none"/>
                <w:lang w:val="en-US" w:eastAsia="zh-CN"/>
              </w:rPr>
              <w:instrText xml:space="preserve"> HYPERLINK "http://www.creditchina.gov.cn" </w:instrText>
            </w:r>
            <w:r>
              <w:rPr>
                <w:rFonts w:hint="eastAsia" w:ascii="宋体" w:hAnsi="宋体" w:eastAsia="宋体" w:cs="宋体"/>
                <w:color w:val="auto"/>
                <w:sz w:val="18"/>
                <w:szCs w:val="18"/>
                <w:highlight w:val="none"/>
                <w:lang w:val="en-US" w:eastAsia="zh-CN"/>
              </w:rPr>
              <w:fldChar w:fldCharType="separate"/>
            </w:r>
            <w:r>
              <w:rPr>
                <w:rFonts w:hint="eastAsia" w:ascii="宋体" w:hAnsi="宋体" w:eastAsia="宋体" w:cs="宋体"/>
                <w:color w:val="auto"/>
                <w:sz w:val="18"/>
                <w:szCs w:val="18"/>
                <w:highlight w:val="none"/>
                <w:lang w:val="en-US" w:eastAsia="zh-CN"/>
              </w:rPr>
              <w:t>www.creditchina.gov.cn</w:t>
            </w:r>
            <w:r>
              <w:rPr>
                <w:rFonts w:hint="eastAsia" w:ascii="宋体" w:hAnsi="宋体" w:eastAsia="宋体" w:cs="宋体"/>
                <w:color w:val="auto"/>
                <w:sz w:val="18"/>
                <w:szCs w:val="18"/>
                <w:highlight w:val="none"/>
                <w:lang w:val="en-US" w:eastAsia="zh-CN"/>
              </w:rPr>
              <w:fldChar w:fldCharType="end"/>
            </w:r>
            <w:r>
              <w:rPr>
                <w:rFonts w:hint="eastAsia" w:ascii="宋体" w:hAnsi="宋体" w:eastAsia="宋体" w:cs="宋体"/>
                <w:color w:val="auto"/>
                <w:sz w:val="18"/>
                <w:szCs w:val="18"/>
                <w:highlight w:val="none"/>
                <w:lang w:val="en-US" w:eastAsia="zh-CN"/>
              </w:rPr>
              <w:t>）列入失信被执行人、重大税收违法案件当事人名单，未被中国政府采购网（www.ccgp.gov.cn）列入政府采购严重违法失信行为记录名单。（以采购代理机构于投标截止日当天在信用中国网站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4"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3124" w:type="dxa"/>
            <w:vAlign w:val="center"/>
          </w:tcPr>
          <w:p>
            <w:pPr>
              <w:spacing w:line="320" w:lineRule="exact"/>
              <w:rPr>
                <w:rFonts w:ascii="宋体" w:hAnsi="宋体" w:cs="宋体"/>
                <w:color w:val="auto"/>
                <w:sz w:val="18"/>
                <w:szCs w:val="18"/>
                <w:highlight w:val="none"/>
              </w:rPr>
            </w:pPr>
            <w:r>
              <w:rPr>
                <w:rFonts w:hint="eastAsia" w:ascii="宋体" w:hAnsi="宋体" w:cs="宋体"/>
                <w:color w:val="auto"/>
                <w:sz w:val="18"/>
                <w:szCs w:val="18"/>
                <w:highlight w:val="none"/>
              </w:rPr>
              <w:t>本项目的特定资格条件：无</w:t>
            </w:r>
          </w:p>
        </w:tc>
        <w:tc>
          <w:tcPr>
            <w:tcW w:w="5948" w:type="dxa"/>
            <w:vAlign w:val="center"/>
          </w:tcPr>
          <w:p>
            <w:pPr>
              <w:snapToGrid w:val="0"/>
              <w:spacing w:line="320" w:lineRule="exact"/>
              <w:rPr>
                <w:rFonts w:ascii="宋体" w:hAnsi="宋体" w:cs="宋体"/>
                <w:color w:val="auto"/>
                <w:sz w:val="18"/>
                <w:szCs w:val="18"/>
                <w:highlight w:val="none"/>
              </w:rPr>
            </w:pPr>
            <w:r>
              <w:rPr>
                <w:rFonts w:hint="eastAsia" w:ascii="宋体" w:hAnsi="宋体" w:cs="宋体"/>
                <w:color w:val="auto"/>
                <w:sz w:val="18"/>
                <w:szCs w:val="18"/>
                <w:highlight w:val="none"/>
              </w:rPr>
              <w:t>本项目的特定资格条件：无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3124" w:type="dxa"/>
            <w:vAlign w:val="center"/>
          </w:tcPr>
          <w:p>
            <w:pPr>
              <w:spacing w:line="320" w:lineRule="exact"/>
              <w:jc w:val="left"/>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本项目不接受联合体投标</w:t>
            </w:r>
          </w:p>
        </w:tc>
        <w:tc>
          <w:tcPr>
            <w:tcW w:w="5948" w:type="dxa"/>
            <w:vAlign w:val="center"/>
          </w:tcPr>
          <w:p>
            <w:pPr>
              <w:spacing w:line="320" w:lineRule="exact"/>
              <w:jc w:val="left"/>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不得为联合体</w:t>
            </w:r>
            <w:r>
              <w:rPr>
                <w:rFonts w:hint="eastAsia" w:ascii="宋体" w:hAnsi="宋体" w:eastAsia="宋体" w:cs="宋体"/>
                <w:color w:val="auto"/>
                <w:sz w:val="18"/>
                <w:szCs w:val="18"/>
                <w:highlight w:val="none"/>
                <w:lang w:eastAsia="zh-CN"/>
              </w:rPr>
              <w:t>：</w:t>
            </w:r>
            <w:r>
              <w:rPr>
                <w:rFonts w:hint="eastAsia" w:ascii="宋体" w:hAnsi="宋体" w:eastAsia="宋体" w:cs="宋体"/>
                <w:b/>
                <w:bCs/>
                <w:color w:val="FF0000"/>
                <w:sz w:val="18"/>
                <w:szCs w:val="18"/>
                <w:highlight w:val="none"/>
                <w:lang w:val="en-US" w:eastAsia="zh-CN"/>
              </w:rPr>
              <w:t>须提供非联合体投标承诺书（格式自拟）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8" w:type="dxa"/>
            <w:gridSpan w:val="2"/>
            <w:vAlign w:val="center"/>
          </w:tcPr>
          <w:p>
            <w:pPr>
              <w:spacing w:line="320" w:lineRule="exact"/>
              <w:jc w:val="center"/>
              <w:rPr>
                <w:rFonts w:ascii="宋体" w:hAnsi="宋体" w:cs="宋体"/>
                <w:color w:val="auto"/>
                <w:szCs w:val="21"/>
                <w:highlight w:val="none"/>
              </w:rPr>
            </w:pPr>
            <w:r>
              <w:rPr>
                <w:rFonts w:hint="eastAsia" w:ascii="宋体" w:hAnsi="宋体" w:cs="宋体"/>
                <w:b/>
                <w:color w:val="auto"/>
                <w:szCs w:val="21"/>
                <w:highlight w:val="none"/>
              </w:rPr>
              <w:t>资格性审查结论</w:t>
            </w:r>
          </w:p>
        </w:tc>
        <w:tc>
          <w:tcPr>
            <w:tcW w:w="5948" w:type="dxa"/>
            <w:vAlign w:val="center"/>
          </w:tcPr>
          <w:p>
            <w:pPr>
              <w:spacing w:line="320" w:lineRule="exact"/>
              <w:rPr>
                <w:rFonts w:ascii="宋体" w:hAnsi="宋体" w:cs="宋体"/>
                <w:color w:val="auto"/>
                <w:szCs w:val="21"/>
                <w:highlight w:val="none"/>
              </w:rPr>
            </w:pPr>
          </w:p>
        </w:tc>
      </w:tr>
    </w:tbl>
    <w:p>
      <w:pPr>
        <w:spacing w:line="360" w:lineRule="exact"/>
        <w:rPr>
          <w:rFonts w:ascii="宋体" w:hAnsi="宋体" w:cs="宋体"/>
          <w:b/>
          <w:color w:val="auto"/>
          <w:szCs w:val="21"/>
          <w:highlight w:val="none"/>
        </w:rPr>
      </w:pPr>
      <w:r>
        <w:rPr>
          <w:rFonts w:hint="eastAsia" w:ascii="宋体" w:hAnsi="宋体" w:cs="宋体"/>
          <w:b/>
          <w:color w:val="auto"/>
          <w:szCs w:val="21"/>
          <w:highlight w:val="none"/>
        </w:rPr>
        <w:t>注：1、上述资格文件未按招标文件要求附入投标文件中的，资格性审查不合格。</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2、上述审查项目中，任意一项不符合的，资格性审查不合格。</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3、采购人、代理机构将于开标当天通过“信用中国”网站查询供应商、联合体成员（如有）失信被执行人、重大税收违法案件当事人信用记录，通过中国政府采购网查询供应商、联合体成员（如有）政府采购严重违法失信行为信用记录。若供应商、联合体成员（如有）被列入失信被执行人、重大税收违法案件当事人名单、政府采购严重违法失信行为记录名单，其资格审查为不合格，其投标将被认定为无效投标。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（二）、符合性审查</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由评标委员会对符合资格要求的投标人的投标文件进行符合性审查，以确定其是否满足采购文件的商务、技术等实质性要求。符合性审查不合格的投标人，不得进入下一步评审。符合性审查后，有效投标人不足三家的，不得继续评标。</w:t>
      </w:r>
    </w:p>
    <w:p>
      <w:pPr>
        <w:widowControl/>
        <w:snapToGrid w:val="0"/>
        <w:spacing w:line="360" w:lineRule="auto"/>
        <w:jc w:val="center"/>
        <w:rPr>
          <w:rFonts w:ascii="宋体" w:hAnsi="宋体" w:cs="宋体"/>
          <w:b/>
          <w:color w:val="auto"/>
          <w:szCs w:val="21"/>
          <w:highlight w:val="none"/>
        </w:rPr>
      </w:pPr>
    </w:p>
    <w:p>
      <w:pPr>
        <w:widowControl/>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附表2符合性审查表</w:t>
      </w:r>
    </w:p>
    <w:tbl>
      <w:tblPr>
        <w:tblStyle w:val="49"/>
        <w:tblW w:w="96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9"/>
        <w:gridCol w:w="69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序号</w:t>
            </w:r>
          </w:p>
        </w:tc>
        <w:tc>
          <w:tcPr>
            <w:tcW w:w="1959" w:type="dxa"/>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审查项目</w:t>
            </w:r>
          </w:p>
        </w:tc>
        <w:tc>
          <w:tcPr>
            <w:tcW w:w="6945" w:type="dxa"/>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959"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供应商名称</w:t>
            </w:r>
          </w:p>
        </w:tc>
        <w:tc>
          <w:tcPr>
            <w:tcW w:w="6945" w:type="dxa"/>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与有效的企业法人营业执照（或事业法人登记证）、其他组织（个体工商户）的营业执照或者民办非企业单位登记证书复印件一致。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959"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投标有效期</w:t>
            </w:r>
          </w:p>
        </w:tc>
        <w:tc>
          <w:tcPr>
            <w:tcW w:w="6945"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满足招标文件要求。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959"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法定代表人身份证明和法定代表人授权书</w:t>
            </w:r>
          </w:p>
        </w:tc>
        <w:tc>
          <w:tcPr>
            <w:tcW w:w="6945"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投标文件由法定代表人签字的，提供“法定代表人身份证明”；</w:t>
            </w:r>
          </w:p>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投标文件由授权代表签字的，提供“法定代表人身份证明”和“法定代表人授权书”。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959"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投标文件的签署盖章</w:t>
            </w:r>
          </w:p>
        </w:tc>
        <w:tc>
          <w:tcPr>
            <w:tcW w:w="6945" w:type="dxa"/>
            <w:vAlign w:val="center"/>
          </w:tcPr>
          <w:p>
            <w:pPr>
              <w:spacing w:line="360" w:lineRule="exact"/>
              <w:rPr>
                <w:rFonts w:ascii="宋体" w:hAnsi="宋体" w:cs="宋体"/>
                <w:color w:val="auto"/>
                <w:sz w:val="18"/>
                <w:szCs w:val="18"/>
                <w:highlight w:val="none"/>
              </w:rPr>
            </w:pPr>
            <w:r>
              <w:rPr>
                <w:rFonts w:hint="eastAsia"/>
                <w:color w:val="auto"/>
                <w:sz w:val="18"/>
                <w:szCs w:val="18"/>
                <w:highlight w:val="none"/>
              </w:rPr>
              <w:t>符合招标文件的要求</w:t>
            </w:r>
            <w:r>
              <w:rPr>
                <w:rFonts w:hint="eastAsia" w:ascii="宋体" w:hAnsi="宋体" w:cs="宋体"/>
                <w:color w:val="auto"/>
                <w:sz w:val="18"/>
                <w:szCs w:val="18"/>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1959" w:type="dxa"/>
            <w:vAlign w:val="center"/>
          </w:tcPr>
          <w:p>
            <w:pPr>
              <w:spacing w:line="360" w:lineRule="exact"/>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股东成员组成说明书</w:t>
            </w:r>
          </w:p>
        </w:tc>
        <w:tc>
          <w:tcPr>
            <w:tcW w:w="6945" w:type="dxa"/>
            <w:vAlign w:val="center"/>
          </w:tcPr>
          <w:p>
            <w:pPr>
              <w:spacing w:line="360" w:lineRule="exact"/>
              <w:rPr>
                <w:rFonts w:hint="eastAsia"/>
                <w:color w:val="auto"/>
                <w:sz w:val="18"/>
                <w:szCs w:val="18"/>
                <w:highlight w:val="none"/>
              </w:rPr>
            </w:pPr>
            <w:r>
              <w:rPr>
                <w:rFonts w:hint="eastAsia" w:ascii="宋体" w:hAnsi="宋体" w:eastAsia="宋体" w:cs="宋体"/>
                <w:color w:val="auto"/>
                <w:sz w:val="18"/>
                <w:szCs w:val="18"/>
                <w:highlight w:val="none"/>
                <w:lang w:val="en-US" w:eastAsia="zh-CN"/>
              </w:rPr>
              <w:t>股东成员组成说明书（供应商须提供股东成员组成说明书（格式自拟），加盖供应商公章；或从“国家企业信用信息公示系统”、“宁波市企业信用网”等相关网站里打印有股东成员名称的相关页面，加盖供应商公章）</w:t>
            </w:r>
            <w:r>
              <w:rPr>
                <w:rFonts w:hint="eastAsia" w:ascii="宋体" w:hAnsi="宋体" w:cs="宋体"/>
                <w:color w:val="auto"/>
                <w:sz w:val="18"/>
                <w:szCs w:val="18"/>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vAlign w:val="center"/>
          </w:tcPr>
          <w:p>
            <w:pPr>
              <w:spacing w:line="36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6</w:t>
            </w:r>
          </w:p>
        </w:tc>
        <w:tc>
          <w:tcPr>
            <w:tcW w:w="1959" w:type="dxa"/>
            <w:vMerge w:val="restart"/>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其他</w:t>
            </w:r>
          </w:p>
        </w:tc>
        <w:tc>
          <w:tcPr>
            <w:tcW w:w="6945"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对同个子包或项目不允许提供两个投标方案。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0" w:type="dxa"/>
            <w:vAlign w:val="center"/>
          </w:tcPr>
          <w:p>
            <w:pPr>
              <w:spacing w:line="36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7</w:t>
            </w:r>
          </w:p>
        </w:tc>
        <w:tc>
          <w:tcPr>
            <w:tcW w:w="1959" w:type="dxa"/>
            <w:vMerge w:val="continue"/>
            <w:vAlign w:val="center"/>
          </w:tcPr>
          <w:p>
            <w:pPr>
              <w:spacing w:line="360" w:lineRule="exact"/>
              <w:rPr>
                <w:rFonts w:ascii="宋体" w:hAnsi="宋体" w:cs="宋体"/>
                <w:color w:val="auto"/>
                <w:sz w:val="18"/>
                <w:szCs w:val="18"/>
                <w:highlight w:val="none"/>
              </w:rPr>
            </w:pPr>
          </w:p>
        </w:tc>
        <w:tc>
          <w:tcPr>
            <w:tcW w:w="6945"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不允许出现与招标文件有重大偏离的投标文件。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0" w:type="dxa"/>
            <w:vAlign w:val="center"/>
          </w:tcPr>
          <w:p>
            <w:pPr>
              <w:spacing w:line="36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8</w:t>
            </w:r>
          </w:p>
        </w:tc>
        <w:tc>
          <w:tcPr>
            <w:tcW w:w="1959" w:type="dxa"/>
            <w:vMerge w:val="continue"/>
            <w:vAlign w:val="center"/>
          </w:tcPr>
          <w:p>
            <w:pPr>
              <w:spacing w:line="360" w:lineRule="exact"/>
              <w:rPr>
                <w:rFonts w:ascii="宋体" w:hAnsi="宋体" w:cs="宋体"/>
                <w:color w:val="auto"/>
                <w:sz w:val="18"/>
                <w:szCs w:val="18"/>
                <w:highlight w:val="none"/>
              </w:rPr>
            </w:pPr>
          </w:p>
        </w:tc>
        <w:tc>
          <w:tcPr>
            <w:tcW w:w="6945"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供应商不得在投标活动中提供任何虚假材料或从事其他违法活动的。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20" w:type="dxa"/>
            <w:vAlign w:val="center"/>
          </w:tcPr>
          <w:p>
            <w:pPr>
              <w:spacing w:line="36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9</w:t>
            </w:r>
          </w:p>
        </w:tc>
        <w:tc>
          <w:tcPr>
            <w:tcW w:w="1959" w:type="dxa"/>
            <w:vMerge w:val="continue"/>
            <w:vAlign w:val="center"/>
          </w:tcPr>
          <w:p>
            <w:pPr>
              <w:spacing w:line="360" w:lineRule="exact"/>
              <w:rPr>
                <w:rFonts w:ascii="宋体" w:hAnsi="宋体" w:cs="宋体"/>
                <w:color w:val="auto"/>
                <w:sz w:val="18"/>
                <w:szCs w:val="18"/>
                <w:highlight w:val="none"/>
              </w:rPr>
            </w:pPr>
          </w:p>
        </w:tc>
        <w:tc>
          <w:tcPr>
            <w:tcW w:w="6945"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评标委员会经过审查，未认定供应商虚假应标、串通投标的</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有下列情形之一的，视为供应商串通投标：</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（1）不同供应商的投标文件由同一单位或者个人编制；</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（2）不同供应商委托同一单位或者个人办理投标事宜；</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（3）不同供应商的投标文件载明的项目管理成员或者联系人员为同一人；</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（4）不同供应商的投标文件异常一致或者投标报价呈规律性差异；</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（5）不同供应商的投标文件相互混装；</w:t>
            </w:r>
          </w:p>
          <w:p>
            <w:pPr>
              <w:widowControl/>
              <w:spacing w:line="360" w:lineRule="exact"/>
              <w:jc w:val="left"/>
              <w:rPr>
                <w:color w:val="auto"/>
                <w:highlight w:val="none"/>
              </w:rPr>
            </w:pPr>
            <w:r>
              <w:rPr>
                <w:rFonts w:hint="eastAsia" w:ascii="宋体" w:hAnsi="宋体" w:cs="宋体"/>
                <w:color w:val="auto"/>
                <w:sz w:val="18"/>
                <w:szCs w:val="18"/>
                <w:highlight w:val="none"/>
              </w:rPr>
              <w:t>（6)</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单位负责人为同一人或者存在直接控股、管理关系的不同供应商,参加同一合同项下的政府采购活动。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vAlign w:val="center"/>
          </w:tcPr>
          <w:p>
            <w:pPr>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1959" w:type="dxa"/>
            <w:vMerge w:val="continue"/>
            <w:vAlign w:val="center"/>
          </w:tcPr>
          <w:p>
            <w:pPr>
              <w:spacing w:line="360" w:lineRule="exact"/>
              <w:rPr>
                <w:rFonts w:ascii="宋体" w:hAnsi="宋体" w:cs="宋体"/>
                <w:color w:val="auto"/>
                <w:sz w:val="18"/>
                <w:szCs w:val="18"/>
                <w:highlight w:val="none"/>
              </w:rPr>
            </w:pPr>
          </w:p>
        </w:tc>
        <w:tc>
          <w:tcPr>
            <w:tcW w:w="6945"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符合法律、法规和招标文件中规定的其他实质性要求（实质性要求招标文件中“▲”标记）。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vAlign w:val="center"/>
          </w:tcPr>
          <w:p>
            <w:pPr>
              <w:spacing w:line="36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11</w:t>
            </w:r>
          </w:p>
        </w:tc>
        <w:tc>
          <w:tcPr>
            <w:tcW w:w="1959" w:type="dxa"/>
            <w:vAlign w:val="center"/>
          </w:tcPr>
          <w:p>
            <w:pPr>
              <w:spacing w:line="360" w:lineRule="exact"/>
              <w:rPr>
                <w:rFonts w:ascii="宋体" w:hAnsi="宋体" w:cs="宋体"/>
                <w:color w:val="auto"/>
                <w:sz w:val="18"/>
                <w:szCs w:val="18"/>
                <w:highlight w:val="none"/>
              </w:rPr>
            </w:pPr>
          </w:p>
        </w:tc>
        <w:tc>
          <w:tcPr>
            <w:tcW w:w="6945" w:type="dxa"/>
            <w:vAlign w:val="center"/>
          </w:tcPr>
          <w:p>
            <w:pPr>
              <w:spacing w:line="360" w:lineRule="exact"/>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不同投标人的投标文件出自同一终端设备或在相同Internet主机分配地址（相同IP地址）网上报名投标的作无效标处理</w:t>
            </w:r>
            <w:r>
              <w:rPr>
                <w:rFonts w:hint="eastAsia" w:ascii="宋体" w:hAnsi="宋体" w:eastAsia="宋体" w:cs="宋体"/>
                <w:color w:val="auto"/>
                <w:sz w:val="18"/>
                <w:szCs w:val="18"/>
                <w:highlight w:val="none"/>
                <w:lang w:eastAsia="zh-CN"/>
              </w:rPr>
              <w:t>。</w:t>
            </w:r>
            <w:r>
              <w:rPr>
                <w:rFonts w:hint="eastAsia" w:ascii="宋体" w:hAnsi="宋体" w:eastAsia="宋体" w:cs="宋体"/>
                <w:b/>
                <w:bCs/>
                <w:color w:val="FF0000"/>
                <w:sz w:val="18"/>
                <w:szCs w:val="18"/>
                <w:highlight w:val="none"/>
                <w:lang w:eastAsia="zh-CN"/>
              </w:rPr>
              <w:t>（</w:t>
            </w:r>
            <w:r>
              <w:rPr>
                <w:rFonts w:hint="eastAsia" w:ascii="宋体" w:hAnsi="宋体" w:eastAsia="宋体" w:cs="宋体"/>
                <w:b/>
                <w:bCs/>
                <w:color w:val="FF0000"/>
                <w:sz w:val="18"/>
                <w:szCs w:val="18"/>
                <w:highlight w:val="none"/>
                <w:lang w:val="en-US" w:eastAsia="zh-CN"/>
              </w:rPr>
              <w:t>需提供承诺书，格式自拟</w:t>
            </w:r>
            <w:r>
              <w:rPr>
                <w:rFonts w:hint="eastAsia" w:ascii="宋体" w:hAnsi="宋体" w:eastAsia="宋体" w:cs="宋体"/>
                <w:b/>
                <w:bCs/>
                <w:color w:val="FF0000"/>
                <w:sz w:val="18"/>
                <w:szCs w:val="18"/>
                <w:highlight w:val="none"/>
                <w:lang w:eastAsia="zh-CN"/>
              </w:rPr>
              <w:t>）</w:t>
            </w:r>
          </w:p>
        </w:tc>
      </w:tr>
    </w:tbl>
    <w:p>
      <w:pPr>
        <w:spacing w:before="156" w:beforeLines="50" w:after="156" w:afterLines="50" w:line="360" w:lineRule="auto"/>
        <w:rPr>
          <w:rFonts w:ascii="宋体" w:hAnsi="宋体" w:cs="宋体"/>
          <w:b/>
          <w:color w:val="auto"/>
          <w:highlight w:val="none"/>
        </w:rPr>
      </w:pPr>
      <w:r>
        <w:rPr>
          <w:rFonts w:hint="eastAsia" w:ascii="宋体" w:hAnsi="宋体" w:cs="宋体"/>
          <w:b/>
          <w:color w:val="auto"/>
          <w:highlight w:val="none"/>
        </w:rPr>
        <w:t>注：1、上述审查项目中，任意一项不符合的，符合性审查不合格。</w:t>
      </w:r>
    </w:p>
    <w:p>
      <w:pPr>
        <w:spacing w:before="156" w:beforeLines="50" w:after="156" w:afterLines="50" w:line="360" w:lineRule="auto"/>
        <w:jc w:val="center"/>
        <w:rPr>
          <w:rFonts w:ascii="宋体" w:hAnsi="宋体" w:cs="宋体"/>
          <w:b/>
          <w:color w:val="auto"/>
          <w:szCs w:val="21"/>
          <w:highlight w:val="none"/>
        </w:rPr>
      </w:pPr>
    </w:p>
    <w:p>
      <w:pPr>
        <w:spacing w:before="156" w:beforeLines="50" w:after="156" w:afterLines="50" w:line="360" w:lineRule="auto"/>
        <w:jc w:val="center"/>
        <w:rPr>
          <w:rFonts w:ascii="宋体" w:hAnsi="宋体" w:cs="宋体"/>
          <w:color w:val="auto"/>
          <w:szCs w:val="21"/>
          <w:highlight w:val="none"/>
        </w:rPr>
      </w:pPr>
      <w:r>
        <w:rPr>
          <w:rFonts w:ascii="宋体" w:hAnsi="宋体" w:cs="宋体"/>
          <w:b/>
          <w:color w:val="auto"/>
          <w:szCs w:val="21"/>
          <w:highlight w:val="none"/>
        </w:rPr>
        <w:t>附表</w:t>
      </w:r>
      <w:r>
        <w:rPr>
          <w:rFonts w:hint="eastAsia" w:ascii="宋体" w:hAnsi="宋体" w:cs="宋体"/>
          <w:b/>
          <w:color w:val="auto"/>
          <w:szCs w:val="21"/>
          <w:highlight w:val="none"/>
        </w:rPr>
        <w:t>3：</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b/>
          <w:color w:val="auto"/>
          <w:szCs w:val="21"/>
          <w:highlight w:val="none"/>
        </w:rPr>
        <w:t>技术资信商务评分表</w:t>
      </w:r>
      <w:r>
        <w:rPr>
          <w:rFonts w:hint="eastAsia" w:ascii="宋体" w:hAnsi="宋体" w:cs="宋体"/>
          <w:b/>
          <w:color w:val="auto"/>
          <w:szCs w:val="21"/>
          <w:highlight w:val="none"/>
        </w:rPr>
        <w:t>（兼评委打分表）</w:t>
      </w:r>
    </w:p>
    <w:tbl>
      <w:tblPr>
        <w:tblStyle w:val="4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24"/>
        <w:gridCol w:w="723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2" w:type="dxa"/>
            <w:vMerge w:val="restart"/>
            <w:vAlign w:val="center"/>
          </w:tcPr>
          <w:p>
            <w:pPr>
              <w:adjustRightInd w:val="0"/>
              <w:snapToGrid w:val="0"/>
              <w:spacing w:line="320" w:lineRule="exact"/>
              <w:jc w:val="center"/>
              <w:rPr>
                <w:rFonts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技</w:t>
            </w:r>
          </w:p>
          <w:p>
            <w:pPr>
              <w:adjustRightInd w:val="0"/>
              <w:snapToGrid w:val="0"/>
              <w:spacing w:line="320" w:lineRule="exact"/>
              <w:jc w:val="center"/>
              <w:rPr>
                <w:rFonts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术</w:t>
            </w:r>
          </w:p>
          <w:p>
            <w:pPr>
              <w:adjustRightInd w:val="0"/>
              <w:snapToGrid w:val="0"/>
              <w:spacing w:line="320" w:lineRule="exact"/>
              <w:jc w:val="center"/>
              <w:rPr>
                <w:rFonts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商</w:t>
            </w:r>
          </w:p>
          <w:p>
            <w:pPr>
              <w:adjustRightInd w:val="0"/>
              <w:snapToGrid w:val="0"/>
              <w:spacing w:line="320" w:lineRule="exact"/>
              <w:jc w:val="center"/>
              <w:rPr>
                <w:rFonts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务</w:t>
            </w:r>
          </w:p>
          <w:p>
            <w:pPr>
              <w:adjustRightInd w:val="0"/>
              <w:snapToGrid w:val="0"/>
              <w:spacing w:line="320" w:lineRule="exact"/>
              <w:jc w:val="center"/>
              <w:rPr>
                <w:rFonts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分</w:t>
            </w:r>
          </w:p>
          <w:p>
            <w:pPr>
              <w:adjustRightInd w:val="0"/>
              <w:snapToGrid w:val="0"/>
              <w:spacing w:line="320" w:lineRule="exact"/>
              <w:jc w:val="center"/>
              <w:rPr>
                <w:rFonts w:cs="宋体" w:asciiTheme="minorEastAsia" w:hAnsiTheme="minorEastAsia" w:eastAsiaTheme="minorEastAsia"/>
                <w:bCs/>
                <w:color w:val="auto"/>
                <w:sz w:val="18"/>
                <w:szCs w:val="18"/>
                <w:highlight w:val="none"/>
              </w:rPr>
            </w:pPr>
            <w:r>
              <w:rPr>
                <w:rFonts w:cs="宋体" w:asciiTheme="minorEastAsia" w:hAnsiTheme="minorEastAsia" w:eastAsiaTheme="minorEastAsia"/>
                <w:bCs/>
                <w:color w:val="auto"/>
                <w:sz w:val="18"/>
                <w:szCs w:val="18"/>
                <w:highlight w:val="none"/>
              </w:rPr>
              <w:t>60</w:t>
            </w:r>
          </w:p>
          <w:p>
            <w:pPr>
              <w:adjustRightInd w:val="0"/>
              <w:snapToGrid w:val="0"/>
              <w:spacing w:line="320" w:lineRule="exact"/>
              <w:jc w:val="center"/>
              <w:rPr>
                <w:rFonts w:cs="宋体" w:asciiTheme="minorEastAsia" w:hAnsiTheme="minorEastAsia" w:eastAsiaTheme="minorEastAsia"/>
                <w:bCs/>
                <w:color w:val="auto"/>
                <w:sz w:val="18"/>
                <w:szCs w:val="18"/>
                <w:highlight w:val="none"/>
              </w:rPr>
            </w:pPr>
            <w:r>
              <w:rPr>
                <w:rFonts w:cs="宋体" w:asciiTheme="minorEastAsia" w:hAnsiTheme="minorEastAsia" w:eastAsiaTheme="minorEastAsia"/>
                <w:bCs/>
                <w:color w:val="auto"/>
                <w:sz w:val="18"/>
                <w:szCs w:val="18"/>
                <w:highlight w:val="none"/>
              </w:rPr>
              <w:t>分</w:t>
            </w:r>
          </w:p>
        </w:tc>
        <w:tc>
          <w:tcPr>
            <w:tcW w:w="1124" w:type="dxa"/>
            <w:vAlign w:val="center"/>
          </w:tcPr>
          <w:p>
            <w:pPr>
              <w:adjustRightInd w:val="0"/>
              <w:snapToGrid w:val="0"/>
              <w:spacing w:line="320" w:lineRule="exact"/>
              <w:jc w:val="center"/>
              <w:rPr>
                <w:rFonts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序号</w:t>
            </w:r>
          </w:p>
        </w:tc>
        <w:tc>
          <w:tcPr>
            <w:tcW w:w="7230" w:type="dxa"/>
            <w:vAlign w:val="center"/>
          </w:tcPr>
          <w:p>
            <w:pPr>
              <w:adjustRightInd w:val="0"/>
              <w:snapToGrid w:val="0"/>
              <w:spacing w:line="320" w:lineRule="exact"/>
              <w:jc w:val="center"/>
              <w:rPr>
                <w:rFonts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评分内容和标准</w:t>
            </w:r>
          </w:p>
        </w:tc>
        <w:tc>
          <w:tcPr>
            <w:tcW w:w="708" w:type="dxa"/>
            <w:vAlign w:val="center"/>
          </w:tcPr>
          <w:p>
            <w:pPr>
              <w:adjustRightInd w:val="0"/>
              <w:snapToGrid w:val="0"/>
              <w:spacing w:line="320" w:lineRule="exact"/>
              <w:jc w:val="center"/>
              <w:rPr>
                <w:rFonts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72" w:type="dxa"/>
            <w:vMerge w:val="continue"/>
          </w:tcPr>
          <w:p>
            <w:pPr>
              <w:spacing w:line="320" w:lineRule="exact"/>
              <w:jc w:val="center"/>
              <w:rPr>
                <w:rFonts w:cs="宋体" w:asciiTheme="minorEastAsia" w:hAnsiTheme="minorEastAsia" w:eastAsiaTheme="minorEastAsia"/>
                <w:bCs/>
                <w:color w:val="auto"/>
                <w:sz w:val="18"/>
                <w:szCs w:val="18"/>
                <w:highlight w:val="none"/>
              </w:rPr>
            </w:pPr>
          </w:p>
        </w:tc>
        <w:tc>
          <w:tcPr>
            <w:tcW w:w="1124" w:type="dxa"/>
            <w:vMerge w:val="restart"/>
            <w:vAlign w:val="center"/>
          </w:tcPr>
          <w:p>
            <w:pPr>
              <w:spacing w:line="320" w:lineRule="exact"/>
              <w:jc w:val="center"/>
              <w:rPr>
                <w:rFonts w:cs="宋体" w:asciiTheme="minorEastAsia" w:hAnsiTheme="minorEastAsia" w:eastAsiaTheme="minorEastAsia"/>
                <w:bCs/>
                <w:color w:val="auto"/>
                <w:sz w:val="18"/>
                <w:szCs w:val="18"/>
                <w:highlight w:val="none"/>
              </w:rPr>
            </w:pPr>
            <w:r>
              <w:rPr>
                <w:rFonts w:hint="eastAsia" w:cs="宋体" w:asciiTheme="minorEastAsia" w:hAnsiTheme="minorEastAsia" w:eastAsiaTheme="minorEastAsia"/>
                <w:bCs/>
                <w:color w:val="auto"/>
                <w:sz w:val="18"/>
                <w:szCs w:val="18"/>
                <w:highlight w:val="none"/>
              </w:rPr>
              <w:t>1.服务管理方案</w:t>
            </w:r>
          </w:p>
          <w:p>
            <w:pPr>
              <w:spacing w:line="320" w:lineRule="exact"/>
              <w:jc w:val="center"/>
              <w:rPr>
                <w:rFonts w:cs="宋体" w:asciiTheme="minorEastAsia" w:hAnsiTheme="minorEastAsia" w:eastAsiaTheme="minorEastAsia"/>
                <w:bCs/>
                <w:color w:val="auto"/>
                <w:sz w:val="18"/>
                <w:szCs w:val="18"/>
                <w:highlight w:val="none"/>
              </w:rPr>
            </w:pPr>
          </w:p>
        </w:tc>
        <w:tc>
          <w:tcPr>
            <w:tcW w:w="7230" w:type="dxa"/>
            <w:vAlign w:val="center"/>
          </w:tcPr>
          <w:p>
            <w:pPr>
              <w:spacing w:line="32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安全防护、文明施工措施及管理目标：</w:t>
            </w:r>
          </w:p>
          <w:p>
            <w:pPr>
              <w:spacing w:line="320" w:lineRule="exact"/>
              <w:rPr>
                <w:rFonts w:cs="宋体" w:asciiTheme="minorEastAsia" w:hAnsiTheme="minorEastAsia" w:eastAsiaTheme="minorEastAsia"/>
                <w:color w:val="auto"/>
                <w:kern w:val="0"/>
                <w:sz w:val="18"/>
                <w:szCs w:val="18"/>
                <w:highlight w:val="none"/>
                <w:lang w:val="zh-CN"/>
              </w:rPr>
            </w:pPr>
            <w:r>
              <w:rPr>
                <w:rFonts w:hint="eastAsia" w:cs="宋体" w:asciiTheme="minorEastAsia" w:hAnsiTheme="minorEastAsia" w:eastAsiaTheme="minorEastAsia"/>
                <w:color w:val="auto"/>
                <w:kern w:val="0"/>
                <w:sz w:val="18"/>
                <w:szCs w:val="18"/>
                <w:highlight w:val="none"/>
                <w:lang w:val="zh-CN"/>
              </w:rPr>
              <w:t>评标委员会根据投标人提供的</w:t>
            </w:r>
            <w:r>
              <w:rPr>
                <w:rFonts w:asciiTheme="minorEastAsia" w:hAnsiTheme="minorEastAsia" w:eastAsiaTheme="minorEastAsia"/>
                <w:color w:val="auto"/>
                <w:sz w:val="18"/>
                <w:szCs w:val="18"/>
                <w:highlight w:val="none"/>
              </w:rPr>
              <w:t>安全防护、文明施工措施及管理目标</w:t>
            </w:r>
            <w:r>
              <w:rPr>
                <w:rFonts w:hint="eastAsia" w:cs="宋体" w:asciiTheme="minorEastAsia" w:hAnsiTheme="minorEastAsia" w:eastAsiaTheme="minorEastAsia"/>
                <w:color w:val="auto"/>
                <w:kern w:val="0"/>
                <w:sz w:val="18"/>
                <w:szCs w:val="18"/>
                <w:highlight w:val="none"/>
                <w:lang w:val="zh-CN"/>
              </w:rPr>
              <w:t>进行综合评议。</w:t>
            </w:r>
          </w:p>
          <w:p>
            <w:pPr>
              <w:pStyle w:val="61"/>
              <w:spacing w:line="320" w:lineRule="exact"/>
              <w:ind w:firstLine="0" w:firstLine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管理目标明确，有针对性，科学合理，措施方法全面、具体。内容完整，设计合理，完全符合采购人要求的得1</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.0分、内容完整，设计合理，但存在一定问题，基本符合采购人要求的得</w:t>
            </w: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.0分、内容不完整或设计有欠缺，偏离采购人要求的得</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.0-0.0分。</w:t>
            </w:r>
          </w:p>
        </w:tc>
        <w:tc>
          <w:tcPr>
            <w:tcW w:w="708" w:type="dxa"/>
            <w:vAlign w:val="center"/>
          </w:tcPr>
          <w:p>
            <w:pPr>
              <w:spacing w:line="320" w:lineRule="exact"/>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72" w:type="dxa"/>
            <w:vMerge w:val="continue"/>
          </w:tcPr>
          <w:p>
            <w:pPr>
              <w:spacing w:line="320" w:lineRule="exact"/>
              <w:jc w:val="center"/>
              <w:rPr>
                <w:rFonts w:cs="宋体" w:asciiTheme="minorEastAsia" w:hAnsiTheme="minorEastAsia" w:eastAsiaTheme="minorEastAsia"/>
                <w:bCs/>
                <w:color w:val="auto"/>
                <w:sz w:val="18"/>
                <w:szCs w:val="18"/>
                <w:highlight w:val="none"/>
              </w:rPr>
            </w:pPr>
          </w:p>
        </w:tc>
        <w:tc>
          <w:tcPr>
            <w:tcW w:w="1124" w:type="dxa"/>
            <w:vMerge w:val="continue"/>
            <w:vAlign w:val="center"/>
          </w:tcPr>
          <w:p>
            <w:pPr>
              <w:spacing w:line="320" w:lineRule="exact"/>
              <w:jc w:val="center"/>
              <w:rPr>
                <w:rFonts w:cs="宋体" w:asciiTheme="minorEastAsia" w:hAnsiTheme="minorEastAsia" w:eastAsiaTheme="minorEastAsia"/>
                <w:bCs/>
                <w:color w:val="auto"/>
                <w:sz w:val="18"/>
                <w:szCs w:val="18"/>
                <w:highlight w:val="none"/>
              </w:rPr>
            </w:pPr>
          </w:p>
        </w:tc>
        <w:tc>
          <w:tcPr>
            <w:tcW w:w="7230" w:type="dxa"/>
            <w:vAlign w:val="center"/>
          </w:tcPr>
          <w:p>
            <w:pPr>
              <w:spacing w:line="32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质量控制主要措施及管理目标：</w:t>
            </w:r>
          </w:p>
          <w:p>
            <w:pPr>
              <w:spacing w:line="320" w:lineRule="exact"/>
              <w:rPr>
                <w:rFonts w:cs="宋体" w:asciiTheme="minorEastAsia" w:hAnsiTheme="minorEastAsia" w:eastAsiaTheme="minorEastAsia"/>
                <w:color w:val="auto"/>
                <w:kern w:val="0"/>
                <w:sz w:val="18"/>
                <w:szCs w:val="18"/>
                <w:highlight w:val="none"/>
                <w:lang w:val="zh-CN"/>
              </w:rPr>
            </w:pPr>
            <w:r>
              <w:rPr>
                <w:rFonts w:hint="eastAsia" w:cs="宋体" w:asciiTheme="minorEastAsia" w:hAnsiTheme="minorEastAsia" w:eastAsiaTheme="minorEastAsia"/>
                <w:color w:val="auto"/>
                <w:kern w:val="0"/>
                <w:sz w:val="18"/>
                <w:szCs w:val="18"/>
                <w:highlight w:val="none"/>
                <w:lang w:val="zh-CN"/>
              </w:rPr>
              <w:t>评标委员会根据投标人提供的</w:t>
            </w:r>
            <w:r>
              <w:rPr>
                <w:rFonts w:asciiTheme="minorEastAsia" w:hAnsiTheme="minorEastAsia" w:eastAsiaTheme="minorEastAsia"/>
                <w:color w:val="auto"/>
                <w:sz w:val="18"/>
                <w:szCs w:val="18"/>
                <w:highlight w:val="none"/>
              </w:rPr>
              <w:t>质量控制主要措施及管理目标</w:t>
            </w:r>
            <w:r>
              <w:rPr>
                <w:rFonts w:hint="eastAsia" w:cs="宋体" w:asciiTheme="minorEastAsia" w:hAnsiTheme="minorEastAsia" w:eastAsiaTheme="minorEastAsia"/>
                <w:color w:val="auto"/>
                <w:kern w:val="0"/>
                <w:sz w:val="18"/>
                <w:szCs w:val="18"/>
                <w:highlight w:val="none"/>
                <w:lang w:val="zh-CN"/>
              </w:rPr>
              <w:t>进行综合评议。</w:t>
            </w:r>
          </w:p>
          <w:p>
            <w:pPr>
              <w:pStyle w:val="61"/>
              <w:spacing w:line="320" w:lineRule="exact"/>
              <w:ind w:firstLine="0" w:firstLine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质量控制目标明确，有针对性，科学合理，措施方法全面、具体。内容完整，设计合理，完全符合采购人要求的得1</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.0分、内容完整，设计合理，但存在一定问题，基本符合采购人要求的得</w:t>
            </w: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.0分、内容不完整或设计有欠缺，偏离采购人要求的得</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.0-0.0分。</w:t>
            </w:r>
          </w:p>
        </w:tc>
        <w:tc>
          <w:tcPr>
            <w:tcW w:w="708" w:type="dxa"/>
            <w:vAlign w:val="center"/>
          </w:tcPr>
          <w:p>
            <w:pPr>
              <w:spacing w:line="320" w:lineRule="exact"/>
              <w:jc w:val="center"/>
              <w:rPr>
                <w:rFonts w:cs="宋体" w:asciiTheme="minorEastAsia" w:hAnsiTheme="minorEastAsia" w:eastAsiaTheme="minorEastAsia"/>
                <w:color w:val="auto"/>
                <w:kern w:val="0"/>
                <w:sz w:val="18"/>
                <w:szCs w:val="18"/>
                <w:highlight w:val="none"/>
                <w:lang w:val="zh-CN"/>
              </w:rPr>
            </w:pPr>
            <w:r>
              <w:rPr>
                <w:rFonts w:asciiTheme="minorEastAsia" w:hAnsiTheme="minorEastAsia" w:eastAsiaTheme="minorEastAsia"/>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72" w:type="dxa"/>
            <w:vMerge w:val="continue"/>
          </w:tcPr>
          <w:p>
            <w:pPr>
              <w:spacing w:line="320" w:lineRule="exact"/>
              <w:jc w:val="center"/>
              <w:rPr>
                <w:rFonts w:cs="宋体" w:asciiTheme="minorEastAsia" w:hAnsiTheme="minorEastAsia" w:eastAsiaTheme="minorEastAsia"/>
                <w:bCs/>
                <w:color w:val="auto"/>
                <w:sz w:val="18"/>
                <w:szCs w:val="18"/>
                <w:highlight w:val="none"/>
              </w:rPr>
            </w:pPr>
          </w:p>
        </w:tc>
        <w:tc>
          <w:tcPr>
            <w:tcW w:w="1124" w:type="dxa"/>
            <w:vMerge w:val="continue"/>
            <w:vAlign w:val="center"/>
          </w:tcPr>
          <w:p>
            <w:pPr>
              <w:spacing w:line="320" w:lineRule="exact"/>
              <w:jc w:val="center"/>
              <w:rPr>
                <w:rFonts w:cs="宋体" w:asciiTheme="minorEastAsia" w:hAnsiTheme="minorEastAsia" w:eastAsiaTheme="minorEastAsia"/>
                <w:bCs/>
                <w:color w:val="auto"/>
                <w:sz w:val="18"/>
                <w:szCs w:val="18"/>
                <w:highlight w:val="none"/>
              </w:rPr>
            </w:pPr>
          </w:p>
        </w:tc>
        <w:tc>
          <w:tcPr>
            <w:tcW w:w="7230" w:type="dxa"/>
            <w:vAlign w:val="center"/>
          </w:tcPr>
          <w:p>
            <w:pPr>
              <w:spacing w:line="32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进度控制主要措施及管理目标：</w:t>
            </w:r>
          </w:p>
          <w:p>
            <w:pPr>
              <w:spacing w:line="320" w:lineRule="exact"/>
              <w:rPr>
                <w:rFonts w:cs="宋体" w:asciiTheme="minorEastAsia" w:hAnsiTheme="minorEastAsia" w:eastAsiaTheme="minorEastAsia"/>
                <w:color w:val="auto"/>
                <w:kern w:val="0"/>
                <w:sz w:val="18"/>
                <w:szCs w:val="18"/>
                <w:highlight w:val="none"/>
                <w:lang w:val="zh-CN"/>
              </w:rPr>
            </w:pPr>
            <w:r>
              <w:rPr>
                <w:rFonts w:hint="eastAsia" w:cs="宋体" w:asciiTheme="minorEastAsia" w:hAnsiTheme="minorEastAsia" w:eastAsiaTheme="minorEastAsia"/>
                <w:color w:val="auto"/>
                <w:kern w:val="0"/>
                <w:sz w:val="18"/>
                <w:szCs w:val="18"/>
                <w:highlight w:val="none"/>
                <w:lang w:val="zh-CN"/>
              </w:rPr>
              <w:t>评标委员会根据投标人提供的</w:t>
            </w:r>
            <w:r>
              <w:rPr>
                <w:rFonts w:asciiTheme="minorEastAsia" w:hAnsiTheme="minorEastAsia" w:eastAsiaTheme="minorEastAsia"/>
                <w:color w:val="auto"/>
                <w:sz w:val="18"/>
                <w:szCs w:val="18"/>
                <w:highlight w:val="none"/>
              </w:rPr>
              <w:t>进度控制主要措施及管理目标</w:t>
            </w:r>
            <w:r>
              <w:rPr>
                <w:rFonts w:hint="eastAsia" w:cs="宋体" w:asciiTheme="minorEastAsia" w:hAnsiTheme="minorEastAsia" w:eastAsiaTheme="minorEastAsia"/>
                <w:color w:val="auto"/>
                <w:kern w:val="0"/>
                <w:sz w:val="18"/>
                <w:szCs w:val="18"/>
                <w:highlight w:val="none"/>
                <w:lang w:val="zh-CN"/>
              </w:rPr>
              <w:t>进行综合评议。</w:t>
            </w:r>
          </w:p>
          <w:p>
            <w:pPr>
              <w:pStyle w:val="61"/>
              <w:spacing w:line="320" w:lineRule="exact"/>
              <w:ind w:firstLine="0" w:firstLine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进度控制目标明确，有针对性，科学合理，措施方法全面、具体。内容完整，设计合理，完全符合采购人要求的得1</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.0分、内容完整，设计合理，但存在一定问题，基本符合采购人要求的得</w:t>
            </w: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.0分、内容不完整或设计有欠缺，偏离采购人要求的得</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.0-0.0分。</w:t>
            </w:r>
          </w:p>
        </w:tc>
        <w:tc>
          <w:tcPr>
            <w:tcW w:w="708" w:type="dxa"/>
            <w:vAlign w:val="center"/>
          </w:tcPr>
          <w:p>
            <w:pPr>
              <w:spacing w:line="320" w:lineRule="exac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72" w:type="dxa"/>
            <w:vMerge w:val="continue"/>
          </w:tcPr>
          <w:p>
            <w:pPr>
              <w:spacing w:line="320" w:lineRule="exact"/>
              <w:jc w:val="center"/>
              <w:rPr>
                <w:rFonts w:cs="宋体" w:asciiTheme="minorEastAsia" w:hAnsiTheme="minorEastAsia" w:eastAsiaTheme="minorEastAsia"/>
                <w:bCs/>
                <w:color w:val="auto"/>
                <w:sz w:val="18"/>
                <w:szCs w:val="18"/>
                <w:highlight w:val="none"/>
              </w:rPr>
            </w:pPr>
          </w:p>
        </w:tc>
        <w:tc>
          <w:tcPr>
            <w:tcW w:w="1124" w:type="dxa"/>
            <w:vMerge w:val="continue"/>
            <w:vAlign w:val="center"/>
          </w:tcPr>
          <w:p>
            <w:pPr>
              <w:spacing w:line="320" w:lineRule="exact"/>
              <w:jc w:val="center"/>
              <w:rPr>
                <w:rFonts w:cs="宋体" w:asciiTheme="minorEastAsia" w:hAnsiTheme="minorEastAsia" w:eastAsiaTheme="minorEastAsia"/>
                <w:bCs/>
                <w:color w:val="auto"/>
                <w:sz w:val="18"/>
                <w:szCs w:val="18"/>
                <w:highlight w:val="none"/>
              </w:rPr>
            </w:pPr>
          </w:p>
        </w:tc>
        <w:tc>
          <w:tcPr>
            <w:tcW w:w="7230" w:type="dxa"/>
            <w:vAlign w:val="center"/>
          </w:tcPr>
          <w:p>
            <w:pPr>
              <w:spacing w:line="32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项目作业组织方案：</w:t>
            </w:r>
          </w:p>
          <w:p>
            <w:pPr>
              <w:spacing w:line="320" w:lineRule="exact"/>
              <w:rPr>
                <w:rFonts w:cs="宋体" w:asciiTheme="minorEastAsia" w:hAnsiTheme="minorEastAsia" w:eastAsiaTheme="minorEastAsia"/>
                <w:color w:val="auto"/>
                <w:kern w:val="0"/>
                <w:sz w:val="18"/>
                <w:szCs w:val="18"/>
                <w:highlight w:val="none"/>
                <w:lang w:val="zh-CN"/>
              </w:rPr>
            </w:pPr>
            <w:r>
              <w:rPr>
                <w:rFonts w:hint="eastAsia" w:cs="宋体" w:asciiTheme="minorEastAsia" w:hAnsiTheme="minorEastAsia" w:eastAsiaTheme="minorEastAsia"/>
                <w:color w:val="auto"/>
                <w:kern w:val="0"/>
                <w:sz w:val="18"/>
                <w:szCs w:val="18"/>
                <w:highlight w:val="none"/>
                <w:lang w:val="zh-CN"/>
              </w:rPr>
              <w:t>评标委员会根据投标人提供的</w:t>
            </w:r>
            <w:r>
              <w:rPr>
                <w:rFonts w:asciiTheme="minorEastAsia" w:hAnsiTheme="minorEastAsia" w:eastAsiaTheme="minorEastAsia"/>
                <w:color w:val="auto"/>
                <w:sz w:val="18"/>
                <w:szCs w:val="18"/>
                <w:highlight w:val="none"/>
              </w:rPr>
              <w:t>项目作业组织方案</w:t>
            </w:r>
            <w:r>
              <w:rPr>
                <w:rFonts w:hint="eastAsia" w:cs="宋体" w:asciiTheme="minorEastAsia" w:hAnsiTheme="minorEastAsia" w:eastAsiaTheme="minorEastAsia"/>
                <w:color w:val="auto"/>
                <w:kern w:val="0"/>
                <w:sz w:val="18"/>
                <w:szCs w:val="18"/>
                <w:highlight w:val="none"/>
                <w:lang w:val="zh-CN"/>
              </w:rPr>
              <w:t>进行综合评议。</w:t>
            </w:r>
          </w:p>
          <w:p>
            <w:pPr>
              <w:pStyle w:val="61"/>
              <w:spacing w:line="320" w:lineRule="exact"/>
              <w:ind w:firstLine="0" w:firstLineChars="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组织方案全面</w:t>
            </w:r>
            <w:r>
              <w:rPr>
                <w:rFonts w:hint="eastAsia" w:asciiTheme="minorEastAsia" w:hAnsiTheme="minorEastAsia" w:eastAsiaTheme="minorEastAsia"/>
                <w:color w:val="auto"/>
                <w:sz w:val="18"/>
                <w:szCs w:val="18"/>
                <w:highlight w:val="none"/>
              </w:rPr>
              <w:t>，科学合理、目标明确、措施方法完善。内容完整，设计合理，完全符合采购人要求的得1</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.0分、内容完整，设计合理，但存在一定问题，基本符合采购人要求的得</w:t>
            </w: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.0-</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.0分、内容不完整或设计有欠缺，偏离采购人要求的得</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.0-0.0分。</w:t>
            </w:r>
          </w:p>
        </w:tc>
        <w:tc>
          <w:tcPr>
            <w:tcW w:w="708" w:type="dxa"/>
            <w:vAlign w:val="center"/>
          </w:tcPr>
          <w:p>
            <w:pPr>
              <w:spacing w:line="320" w:lineRule="exact"/>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572" w:type="dxa"/>
            <w:vMerge w:val="continue"/>
          </w:tcPr>
          <w:p>
            <w:pPr>
              <w:spacing w:line="320" w:lineRule="exact"/>
              <w:jc w:val="center"/>
              <w:rPr>
                <w:rFonts w:cs="宋体" w:asciiTheme="minorEastAsia" w:hAnsiTheme="minorEastAsia" w:eastAsiaTheme="minorEastAsia"/>
                <w:bCs/>
                <w:color w:val="auto"/>
                <w:sz w:val="18"/>
                <w:szCs w:val="18"/>
                <w:highlight w:val="none"/>
              </w:rPr>
            </w:pPr>
          </w:p>
        </w:tc>
        <w:tc>
          <w:tcPr>
            <w:tcW w:w="1124" w:type="dxa"/>
            <w:vAlign w:val="center"/>
          </w:tcPr>
          <w:p>
            <w:pPr>
              <w:spacing w:line="320" w:lineRule="exact"/>
              <w:jc w:val="center"/>
              <w:rPr>
                <w:rFonts w:cs="宋体" w:asciiTheme="minorEastAsia" w:hAnsiTheme="minorEastAsia" w:eastAsiaTheme="minorEastAsia"/>
                <w:bCs/>
                <w:color w:val="auto"/>
                <w:spacing w:val="-16"/>
                <w:sz w:val="18"/>
                <w:szCs w:val="18"/>
                <w:highlight w:val="none"/>
              </w:rPr>
            </w:pPr>
            <w:r>
              <w:rPr>
                <w:rFonts w:cs="宋体" w:asciiTheme="minorEastAsia" w:hAnsiTheme="minorEastAsia" w:eastAsiaTheme="minorEastAsia"/>
                <w:bCs/>
                <w:color w:val="auto"/>
                <w:sz w:val="18"/>
                <w:szCs w:val="18"/>
                <w:highlight w:val="none"/>
              </w:rPr>
              <w:t>2.</w:t>
            </w:r>
            <w:r>
              <w:rPr>
                <w:rFonts w:hint="eastAsia" w:cs="宋体" w:asciiTheme="minorEastAsia" w:hAnsiTheme="minorEastAsia" w:eastAsiaTheme="minorEastAsia"/>
                <w:bCs/>
                <w:color w:val="auto"/>
                <w:sz w:val="18"/>
                <w:szCs w:val="18"/>
                <w:highlight w:val="none"/>
              </w:rPr>
              <w:t>拟派项目负责人能力</w:t>
            </w:r>
          </w:p>
        </w:tc>
        <w:tc>
          <w:tcPr>
            <w:tcW w:w="7230" w:type="dxa"/>
            <w:vAlign w:val="center"/>
          </w:tcPr>
          <w:p>
            <w:pPr>
              <w:spacing w:line="320" w:lineRule="exact"/>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lang w:val="zh-CN"/>
              </w:rPr>
              <w:t>评标委员会根据投标人拟派的项目负责人能力进行综合评议：</w:t>
            </w:r>
          </w:p>
          <w:p>
            <w:pPr>
              <w:spacing w:line="320" w:lineRule="exac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拟派项目负责人专业性强，相关工作经验丰富，能完全满足本项目需要的得</w:t>
            </w:r>
            <w:r>
              <w:rPr>
                <w:rFonts w:hint="eastAsia" w:ascii="宋体" w:hAnsi="宋体" w:eastAsia="宋体" w:cs="宋体"/>
                <w:color w:val="auto"/>
                <w:kern w:val="0"/>
                <w:sz w:val="18"/>
                <w:szCs w:val="18"/>
                <w:highlight w:val="none"/>
                <w:lang w:val="zh-CN"/>
              </w:rPr>
              <w:t>10.0-7.0分；</w:t>
            </w:r>
          </w:p>
          <w:p>
            <w:pPr>
              <w:spacing w:line="320" w:lineRule="exac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拟派项目负责人专业性较强，有相关工作经验，能基本满足本项目需要的得</w:t>
            </w:r>
            <w:r>
              <w:rPr>
                <w:rFonts w:hint="eastAsia" w:ascii="宋体" w:hAnsi="宋体" w:eastAsia="宋体" w:cs="宋体"/>
                <w:color w:val="auto"/>
                <w:kern w:val="0"/>
                <w:sz w:val="18"/>
                <w:szCs w:val="18"/>
                <w:highlight w:val="none"/>
                <w:lang w:val="zh-CN"/>
              </w:rPr>
              <w:t>10.0-7.0分；</w:t>
            </w:r>
          </w:p>
          <w:p>
            <w:pPr>
              <w:spacing w:line="320" w:lineRule="exact"/>
              <w:rPr>
                <w:rFonts w:hint="eastAsia" w:ascii="宋体" w:hAnsi="宋体" w:eastAsia="宋体" w:cs="宋体"/>
                <w:color w:val="auto"/>
                <w:kern w:val="0"/>
                <w:sz w:val="18"/>
                <w:szCs w:val="18"/>
                <w:highlight w:val="none"/>
                <w:lang w:val="zh-CN"/>
              </w:rPr>
            </w:pPr>
            <w:r>
              <w:rPr>
                <w:rFonts w:hint="eastAsia" w:ascii="宋体" w:hAnsi="宋体" w:cs="宋体"/>
                <w:color w:val="auto"/>
                <w:kern w:val="0"/>
                <w:sz w:val="18"/>
                <w:szCs w:val="18"/>
                <w:highlight w:val="none"/>
                <w:lang w:val="en-US" w:eastAsia="zh-CN"/>
              </w:rPr>
              <w:t>拟派项目负责人</w:t>
            </w:r>
            <w:r>
              <w:rPr>
                <w:rFonts w:hint="eastAsia" w:ascii="宋体" w:hAnsi="宋体" w:eastAsia="宋体" w:cs="宋体"/>
                <w:color w:val="auto"/>
                <w:kern w:val="0"/>
                <w:sz w:val="18"/>
                <w:szCs w:val="18"/>
                <w:highlight w:val="none"/>
                <w:lang w:val="zh-CN"/>
              </w:rPr>
              <w:t>专业水平一般，</w:t>
            </w:r>
            <w:r>
              <w:rPr>
                <w:rFonts w:hint="eastAsia" w:ascii="宋体" w:hAnsi="宋体" w:cs="宋体"/>
                <w:color w:val="auto"/>
                <w:kern w:val="0"/>
                <w:sz w:val="18"/>
                <w:szCs w:val="18"/>
                <w:highlight w:val="none"/>
                <w:lang w:val="en-US" w:eastAsia="zh-CN"/>
              </w:rPr>
              <w:t>相关工作经验较少，无法满足本项目需求的</w:t>
            </w:r>
            <w:r>
              <w:rPr>
                <w:rFonts w:hint="eastAsia" w:ascii="宋体" w:hAnsi="宋体" w:eastAsia="宋体" w:cs="宋体"/>
                <w:color w:val="auto"/>
                <w:kern w:val="0"/>
                <w:sz w:val="18"/>
                <w:szCs w:val="18"/>
                <w:highlight w:val="none"/>
                <w:lang w:val="zh-CN"/>
              </w:rPr>
              <w:t>得3.0-0.0分；</w:t>
            </w:r>
          </w:p>
          <w:p>
            <w:pPr>
              <w:spacing w:line="320" w:lineRule="exact"/>
              <w:rPr>
                <w:rFonts w:asciiTheme="minorEastAsia" w:hAnsiTheme="minorEastAsia" w:eastAsiaTheme="minorEastAsia"/>
                <w:color w:val="auto"/>
                <w:sz w:val="18"/>
                <w:szCs w:val="18"/>
                <w:highlight w:val="none"/>
              </w:rPr>
            </w:pPr>
            <w:r>
              <w:rPr>
                <w:rFonts w:hint="eastAsia" w:ascii="宋体" w:hAnsi="宋体" w:eastAsia="宋体" w:cs="宋体"/>
                <w:color w:val="auto"/>
                <w:kern w:val="0"/>
                <w:sz w:val="18"/>
                <w:szCs w:val="18"/>
                <w:highlight w:val="none"/>
                <w:lang w:val="zh-CN"/>
              </w:rPr>
              <w:t>注：投标文件中须附项目负责人身份证复印件、相关证书</w:t>
            </w:r>
            <w:r>
              <w:rPr>
                <w:rFonts w:hint="eastAsia" w:ascii="宋体" w:hAnsi="宋体" w:cs="宋体"/>
                <w:color w:val="auto"/>
                <w:kern w:val="0"/>
                <w:sz w:val="18"/>
                <w:szCs w:val="18"/>
                <w:highlight w:val="none"/>
                <w:lang w:val="zh-CN"/>
              </w:rPr>
              <w:t>（</w:t>
            </w:r>
            <w:r>
              <w:rPr>
                <w:rFonts w:hint="eastAsia" w:ascii="宋体" w:hAnsi="宋体" w:cs="宋体"/>
                <w:color w:val="auto"/>
                <w:kern w:val="0"/>
                <w:sz w:val="18"/>
                <w:szCs w:val="18"/>
                <w:highlight w:val="none"/>
                <w:lang w:val="en-US" w:eastAsia="zh-CN"/>
              </w:rPr>
              <w:t>如有</w:t>
            </w:r>
            <w:r>
              <w:rPr>
                <w:rFonts w:hint="eastAsia" w:ascii="宋体" w:hAnsi="宋体" w:cs="宋体"/>
                <w:color w:val="auto"/>
                <w:kern w:val="0"/>
                <w:sz w:val="18"/>
                <w:szCs w:val="18"/>
                <w:highlight w:val="none"/>
                <w:lang w:val="zh-CN"/>
              </w:rPr>
              <w:t>）</w:t>
            </w:r>
            <w:r>
              <w:rPr>
                <w:rFonts w:hint="eastAsia" w:ascii="宋体" w:hAnsi="宋体" w:eastAsia="宋体" w:cs="宋体"/>
                <w:color w:val="auto"/>
                <w:kern w:val="0"/>
                <w:sz w:val="18"/>
                <w:szCs w:val="18"/>
                <w:highlight w:val="none"/>
                <w:lang w:val="zh-CN"/>
              </w:rPr>
              <w:t>、社保证明复印件（须提交公告发布之日前三个月任意一个月的社会保险证明）；均须加盖投标人公章。</w:t>
            </w:r>
          </w:p>
        </w:tc>
        <w:tc>
          <w:tcPr>
            <w:tcW w:w="708" w:type="dxa"/>
            <w:vAlign w:val="center"/>
          </w:tcPr>
          <w:p>
            <w:pPr>
              <w:spacing w:line="320" w:lineRule="exact"/>
              <w:jc w:val="center"/>
              <w:rPr>
                <w:rFonts w:cs="宋体" w:asciiTheme="minorEastAsia" w:hAnsiTheme="minorEastAsia" w:eastAsiaTheme="minorEastAsia"/>
                <w:color w:val="auto"/>
                <w:kern w:val="0"/>
                <w:sz w:val="18"/>
                <w:szCs w:val="18"/>
                <w:highlight w:val="none"/>
                <w:lang w:val="zh-CN"/>
              </w:rPr>
            </w:pPr>
            <w:r>
              <w:rPr>
                <w:rFonts w:cs="宋体" w:asciiTheme="minorEastAsia" w:hAnsiTheme="minorEastAsia" w:eastAsiaTheme="minorEastAsia"/>
                <w:color w:val="auto"/>
                <w:kern w:val="0"/>
                <w:sz w:val="18"/>
                <w:szCs w:val="18"/>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72" w:type="dxa"/>
            <w:vMerge w:val="continue"/>
          </w:tcPr>
          <w:p>
            <w:pPr>
              <w:spacing w:line="320" w:lineRule="exact"/>
              <w:jc w:val="center"/>
              <w:rPr>
                <w:rFonts w:cs="宋体" w:asciiTheme="minorEastAsia" w:hAnsiTheme="minorEastAsia" w:eastAsiaTheme="minorEastAsia"/>
                <w:bCs/>
                <w:color w:val="auto"/>
                <w:sz w:val="18"/>
                <w:szCs w:val="18"/>
                <w:highlight w:val="none"/>
              </w:rPr>
            </w:pPr>
          </w:p>
        </w:tc>
        <w:tc>
          <w:tcPr>
            <w:tcW w:w="1124" w:type="dxa"/>
            <w:vAlign w:val="center"/>
          </w:tcPr>
          <w:p>
            <w:pPr>
              <w:spacing w:line="320" w:lineRule="exact"/>
              <w:jc w:val="center"/>
              <w:rPr>
                <w:rFonts w:cs="宋体" w:asciiTheme="minorEastAsia" w:hAnsiTheme="minorEastAsia" w:eastAsiaTheme="minorEastAsia"/>
                <w:bCs/>
                <w:color w:val="auto"/>
                <w:sz w:val="18"/>
                <w:szCs w:val="18"/>
                <w:highlight w:val="none"/>
              </w:rPr>
            </w:pPr>
            <w:r>
              <w:rPr>
                <w:rFonts w:cs="宋体" w:asciiTheme="minorEastAsia" w:hAnsiTheme="minorEastAsia" w:eastAsiaTheme="minorEastAsia"/>
                <w:bCs/>
                <w:color w:val="auto"/>
                <w:sz w:val="18"/>
                <w:szCs w:val="18"/>
                <w:highlight w:val="none"/>
              </w:rPr>
              <w:t>3.</w:t>
            </w:r>
            <w:r>
              <w:rPr>
                <w:rFonts w:hint="eastAsia" w:cs="宋体" w:asciiTheme="minorEastAsia" w:hAnsiTheme="minorEastAsia" w:eastAsiaTheme="minorEastAsia"/>
                <w:bCs/>
                <w:color w:val="auto"/>
                <w:sz w:val="18"/>
                <w:szCs w:val="18"/>
                <w:highlight w:val="none"/>
              </w:rPr>
              <w:t>拟投入本项目的设备情况</w:t>
            </w:r>
          </w:p>
        </w:tc>
        <w:tc>
          <w:tcPr>
            <w:tcW w:w="7230" w:type="dxa"/>
            <w:vAlign w:val="center"/>
          </w:tcPr>
          <w:p>
            <w:pPr>
              <w:adjustRightInd w:val="0"/>
              <w:spacing w:line="320" w:lineRule="exact"/>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lang w:val="zh-CN"/>
              </w:rPr>
              <w:t>评标委员会</w:t>
            </w:r>
            <w:r>
              <w:rPr>
                <w:rFonts w:hint="eastAsia" w:asciiTheme="minorEastAsia" w:hAnsiTheme="minorEastAsia" w:eastAsiaTheme="minorEastAsia"/>
                <w:color w:val="auto"/>
                <w:sz w:val="18"/>
                <w:szCs w:val="18"/>
                <w:highlight w:val="none"/>
              </w:rPr>
              <w:t>根据投标人提供的</w:t>
            </w:r>
            <w:r>
              <w:rPr>
                <w:rFonts w:hint="eastAsia" w:cs="宋体" w:asciiTheme="minorEastAsia" w:hAnsiTheme="minorEastAsia" w:eastAsiaTheme="minorEastAsia"/>
                <w:bCs/>
                <w:color w:val="auto"/>
                <w:sz w:val="18"/>
                <w:szCs w:val="18"/>
                <w:highlight w:val="none"/>
              </w:rPr>
              <w:t>拟投入本项目的设备情况</w:t>
            </w:r>
            <w:r>
              <w:rPr>
                <w:rFonts w:hint="eastAsia" w:asciiTheme="minorEastAsia" w:hAnsiTheme="minorEastAsia" w:eastAsiaTheme="minorEastAsia"/>
                <w:color w:val="auto"/>
                <w:sz w:val="18"/>
                <w:szCs w:val="18"/>
                <w:highlight w:val="none"/>
              </w:rPr>
              <w:t>（包含设备配置的数量、种类等）进行综合评议</w:t>
            </w:r>
            <w:r>
              <w:rPr>
                <w:rFonts w:hint="eastAsia" w:cs="宋体" w:asciiTheme="minorEastAsia" w:hAnsiTheme="minorEastAsia" w:eastAsiaTheme="minorEastAsia"/>
                <w:color w:val="auto"/>
                <w:kern w:val="0"/>
                <w:sz w:val="18"/>
                <w:szCs w:val="18"/>
                <w:highlight w:val="none"/>
                <w:lang w:val="zh-CN"/>
              </w:rPr>
              <w:t>：</w:t>
            </w:r>
          </w:p>
          <w:p>
            <w:pPr>
              <w:adjustRightInd w:val="0"/>
              <w:spacing w:line="320" w:lineRule="exac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拟投入的车辆、设备齐全，配置科学合理的得</w:t>
            </w:r>
            <w:r>
              <w:rPr>
                <w:rFonts w:hint="eastAsia" w:asciiTheme="minorEastAsia" w:hAnsiTheme="minorEastAsia" w:eastAsiaTheme="minorEastAsia"/>
                <w:color w:val="auto"/>
                <w:sz w:val="18"/>
                <w:szCs w:val="18"/>
                <w:highlight w:val="none"/>
                <w:lang w:val="en-US" w:eastAsia="zh-CN"/>
              </w:rPr>
              <w:t>7</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rPr>
              <w:t>.0分；</w:t>
            </w:r>
          </w:p>
          <w:p>
            <w:pPr>
              <w:adjustRightInd w:val="0"/>
              <w:spacing w:line="320" w:lineRule="exac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拟投入的车辆、设备齐全，配置合理性等方面略有欠缺的得</w:t>
            </w:r>
            <w:r>
              <w:rPr>
                <w:rFonts w:hint="eastAsia" w:asciiTheme="minorEastAsia" w:hAnsiTheme="minorEastAsia" w:eastAsiaTheme="minorEastAsia"/>
                <w:color w:val="auto"/>
                <w:sz w:val="18"/>
                <w:szCs w:val="18"/>
                <w:highlight w:val="none"/>
                <w:lang w:val="en-US" w:eastAsia="zh-CN"/>
              </w:rPr>
              <w:t>5</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分；</w:t>
            </w:r>
          </w:p>
          <w:p>
            <w:pPr>
              <w:adjustRightInd w:val="0"/>
              <w:spacing w:line="320" w:lineRule="exac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拟投入的车辆、设备在配置齐全性、科学和理性等方面都有所欠缺的得</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分；</w:t>
            </w:r>
          </w:p>
          <w:p>
            <w:pPr>
              <w:adjustRightInd w:val="0"/>
              <w:spacing w:line="320" w:lineRule="exact"/>
              <w:rPr>
                <w:rFonts w:cs="宋体" w:asciiTheme="minorEastAsia" w:hAnsiTheme="minorEastAsia" w:eastAsiaTheme="minorEastAsia"/>
                <w:color w:val="auto"/>
                <w:kern w:val="0"/>
                <w:sz w:val="18"/>
                <w:szCs w:val="18"/>
                <w:highlight w:val="none"/>
                <w:lang w:val="zh-CN"/>
              </w:rPr>
            </w:pPr>
            <w:r>
              <w:rPr>
                <w:rFonts w:hint="eastAsia" w:asciiTheme="minorEastAsia" w:hAnsiTheme="minorEastAsia" w:eastAsiaTheme="minorEastAsia"/>
                <w:color w:val="auto"/>
                <w:sz w:val="18"/>
                <w:szCs w:val="18"/>
                <w:highlight w:val="none"/>
              </w:rPr>
              <w:t>注：投标文件中须附《针对本项目拟投入设备承诺函》（格式详见招标文件第六章），未提供或提供不全或提供无效的均不得分。</w:t>
            </w:r>
          </w:p>
        </w:tc>
        <w:tc>
          <w:tcPr>
            <w:tcW w:w="708" w:type="dxa"/>
            <w:vAlign w:val="center"/>
          </w:tcPr>
          <w:p>
            <w:pPr>
              <w:spacing w:line="320" w:lineRule="exact"/>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2" w:type="dxa"/>
            <w:vMerge w:val="continue"/>
          </w:tcPr>
          <w:p>
            <w:pPr>
              <w:spacing w:line="320" w:lineRule="exact"/>
              <w:jc w:val="center"/>
              <w:rPr>
                <w:rFonts w:cs="宋体" w:asciiTheme="minorEastAsia" w:hAnsiTheme="minorEastAsia" w:eastAsiaTheme="minorEastAsia"/>
                <w:bCs/>
                <w:color w:val="auto"/>
                <w:sz w:val="18"/>
                <w:szCs w:val="18"/>
                <w:highlight w:val="none"/>
              </w:rPr>
            </w:pPr>
          </w:p>
        </w:tc>
        <w:tc>
          <w:tcPr>
            <w:tcW w:w="1124" w:type="dxa"/>
            <w:vAlign w:val="center"/>
          </w:tcPr>
          <w:p>
            <w:pPr>
              <w:spacing w:line="320" w:lineRule="exact"/>
              <w:jc w:val="center"/>
              <w:rPr>
                <w:rFonts w:cs="宋体" w:asciiTheme="minorEastAsia" w:hAnsiTheme="minorEastAsia" w:eastAsiaTheme="minorEastAsia"/>
                <w:bCs/>
                <w:color w:val="auto"/>
                <w:sz w:val="18"/>
                <w:szCs w:val="18"/>
                <w:highlight w:val="none"/>
              </w:rPr>
            </w:pPr>
            <w:r>
              <w:rPr>
                <w:rFonts w:cs="宋体" w:asciiTheme="minorEastAsia" w:hAnsiTheme="minorEastAsia" w:eastAsiaTheme="minorEastAsia"/>
                <w:bCs/>
                <w:color w:val="auto"/>
                <w:sz w:val="18"/>
                <w:szCs w:val="18"/>
                <w:highlight w:val="none"/>
              </w:rPr>
              <w:t>4.</w:t>
            </w:r>
            <w:r>
              <w:rPr>
                <w:rFonts w:hint="eastAsia" w:cs="宋体" w:asciiTheme="minorEastAsia" w:hAnsiTheme="minorEastAsia" w:eastAsiaTheme="minorEastAsia"/>
                <w:bCs/>
                <w:color w:val="auto"/>
                <w:sz w:val="18"/>
                <w:szCs w:val="18"/>
                <w:highlight w:val="none"/>
              </w:rPr>
              <w:t>业绩</w:t>
            </w:r>
          </w:p>
        </w:tc>
        <w:tc>
          <w:tcPr>
            <w:tcW w:w="7230" w:type="dxa"/>
            <w:vAlign w:val="center"/>
          </w:tcPr>
          <w:p>
            <w:pPr>
              <w:pStyle w:val="48"/>
              <w:spacing w:line="320" w:lineRule="exact"/>
              <w:jc w:val="both"/>
              <w:rPr>
                <w:rFonts w:cs="宋体" w:asciiTheme="minorEastAsia" w:hAnsiTheme="minorEastAsia" w:eastAsiaTheme="minorEastAsia"/>
                <w:color w:val="auto"/>
                <w:sz w:val="18"/>
                <w:szCs w:val="18"/>
                <w:highlight w:val="none"/>
                <w:lang w:val="zh-CN"/>
              </w:rPr>
            </w:pPr>
            <w:r>
              <w:rPr>
                <w:rFonts w:hint="eastAsia" w:cs="宋体" w:asciiTheme="minorEastAsia" w:hAnsiTheme="minorEastAsia" w:eastAsiaTheme="minorEastAsia"/>
                <w:color w:val="auto"/>
                <w:sz w:val="18"/>
                <w:szCs w:val="18"/>
                <w:highlight w:val="none"/>
                <w:lang w:val="zh-CN"/>
              </w:rPr>
              <w:t>投标人自20</w:t>
            </w:r>
            <w:r>
              <w:rPr>
                <w:rFonts w:hint="eastAsia" w:cs="宋体" w:asciiTheme="minorEastAsia" w:hAnsiTheme="minorEastAsia" w:eastAsiaTheme="minorEastAsia"/>
                <w:color w:val="auto"/>
                <w:sz w:val="18"/>
                <w:szCs w:val="18"/>
                <w:highlight w:val="none"/>
                <w:lang w:val="en-US" w:eastAsia="zh-CN"/>
              </w:rPr>
              <w:t>20</w:t>
            </w:r>
            <w:r>
              <w:rPr>
                <w:rFonts w:hint="eastAsia" w:cs="宋体" w:asciiTheme="minorEastAsia" w:hAnsiTheme="minorEastAsia" w:eastAsiaTheme="minorEastAsia"/>
                <w:color w:val="auto"/>
                <w:sz w:val="18"/>
                <w:szCs w:val="18"/>
                <w:highlight w:val="none"/>
                <w:lang w:val="zh-CN"/>
              </w:rPr>
              <w:t>年1月1日（含）完成过同</w:t>
            </w:r>
            <w:r>
              <w:rPr>
                <w:rFonts w:hint="eastAsia" w:cs="宋体" w:asciiTheme="minorEastAsia" w:hAnsiTheme="minorEastAsia" w:eastAsiaTheme="minorEastAsia"/>
                <w:color w:val="auto"/>
                <w:sz w:val="18"/>
                <w:szCs w:val="18"/>
                <w:highlight w:val="none"/>
              </w:rPr>
              <w:t>类项目业绩</w:t>
            </w:r>
            <w:r>
              <w:rPr>
                <w:rFonts w:hint="eastAsia" w:cs="宋体" w:asciiTheme="minorEastAsia" w:hAnsiTheme="minorEastAsia" w:eastAsiaTheme="minorEastAsia"/>
                <w:color w:val="auto"/>
                <w:sz w:val="18"/>
                <w:szCs w:val="18"/>
                <w:highlight w:val="none"/>
                <w:lang w:val="zh-CN"/>
              </w:rPr>
              <w:t>的，每提供一个业绩得1分，最高得</w:t>
            </w:r>
            <w:r>
              <w:rPr>
                <w:rFonts w:hint="eastAsia" w:cs="宋体" w:asciiTheme="minorEastAsia" w:hAnsiTheme="minorEastAsia" w:eastAsiaTheme="minorEastAsia"/>
                <w:color w:val="auto"/>
                <w:sz w:val="18"/>
                <w:szCs w:val="18"/>
                <w:highlight w:val="none"/>
                <w:lang w:val="en-US" w:eastAsia="zh-CN"/>
              </w:rPr>
              <w:t>3</w:t>
            </w:r>
            <w:r>
              <w:rPr>
                <w:rFonts w:hint="eastAsia" w:cs="宋体" w:asciiTheme="minorEastAsia" w:hAnsiTheme="minorEastAsia" w:eastAsiaTheme="minorEastAsia"/>
                <w:color w:val="auto"/>
                <w:sz w:val="18"/>
                <w:szCs w:val="18"/>
                <w:highlight w:val="none"/>
                <w:lang w:val="zh-CN"/>
              </w:rPr>
              <w:t>分。合同有效性认定：投标人须在投标文件中提供合同复印件并加盖公章，业绩认定时间以合同签订时间为准。</w:t>
            </w:r>
          </w:p>
        </w:tc>
        <w:tc>
          <w:tcPr>
            <w:tcW w:w="708" w:type="dxa"/>
            <w:vAlign w:val="center"/>
          </w:tcPr>
          <w:p>
            <w:pPr>
              <w:spacing w:line="320" w:lineRule="exact"/>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72" w:type="dxa"/>
            <w:vMerge w:val="continue"/>
          </w:tcPr>
          <w:p>
            <w:pPr>
              <w:autoSpaceDE w:val="0"/>
              <w:autoSpaceDN w:val="0"/>
              <w:adjustRightInd w:val="0"/>
              <w:spacing w:line="320" w:lineRule="exact"/>
              <w:jc w:val="left"/>
              <w:rPr>
                <w:rFonts w:cs="宋体" w:asciiTheme="minorEastAsia" w:hAnsiTheme="minorEastAsia" w:eastAsiaTheme="minorEastAsia"/>
                <w:bCs/>
                <w:color w:val="auto"/>
                <w:sz w:val="18"/>
                <w:szCs w:val="18"/>
                <w:highlight w:val="none"/>
                <w:lang w:val="zh-CN"/>
              </w:rPr>
            </w:pPr>
          </w:p>
        </w:tc>
        <w:tc>
          <w:tcPr>
            <w:tcW w:w="9062" w:type="dxa"/>
            <w:gridSpan w:val="3"/>
          </w:tcPr>
          <w:p>
            <w:pPr>
              <w:autoSpaceDE w:val="0"/>
              <w:autoSpaceDN w:val="0"/>
              <w:adjustRightInd w:val="0"/>
              <w:spacing w:line="320" w:lineRule="exact"/>
              <w:jc w:val="left"/>
              <w:rPr>
                <w:rFonts w:cs="宋体" w:asciiTheme="minorEastAsia" w:hAnsiTheme="minorEastAsia" w:eastAsiaTheme="minorEastAsia"/>
                <w:bCs/>
                <w:color w:val="auto"/>
                <w:sz w:val="18"/>
                <w:szCs w:val="18"/>
                <w:highlight w:val="none"/>
                <w:lang w:val="zh-CN"/>
              </w:rPr>
            </w:pPr>
            <w:r>
              <w:rPr>
                <w:rFonts w:hint="eastAsia" w:cs="宋体" w:asciiTheme="minorEastAsia" w:hAnsiTheme="minorEastAsia" w:eastAsiaTheme="minorEastAsia"/>
                <w:bCs/>
                <w:color w:val="auto"/>
                <w:sz w:val="18"/>
                <w:szCs w:val="18"/>
                <w:highlight w:val="none"/>
                <w:lang w:val="zh-CN"/>
              </w:rPr>
              <w:t>注：</w:t>
            </w:r>
          </w:p>
          <w:p>
            <w:pPr>
              <w:autoSpaceDE w:val="0"/>
              <w:autoSpaceDN w:val="0"/>
              <w:adjustRightInd w:val="0"/>
              <w:spacing w:line="320" w:lineRule="exact"/>
              <w:jc w:val="left"/>
              <w:rPr>
                <w:rFonts w:cs="宋体" w:asciiTheme="minorEastAsia" w:hAnsiTheme="minorEastAsia" w:eastAsiaTheme="minorEastAsia"/>
                <w:bCs/>
                <w:color w:val="auto"/>
                <w:sz w:val="18"/>
                <w:szCs w:val="18"/>
                <w:highlight w:val="none"/>
                <w:lang w:val="zh-CN"/>
              </w:rPr>
            </w:pPr>
            <w:r>
              <w:rPr>
                <w:rFonts w:hint="eastAsia" w:cs="宋体" w:asciiTheme="minorEastAsia" w:hAnsiTheme="minorEastAsia" w:eastAsiaTheme="minorEastAsia"/>
                <w:bCs/>
                <w:color w:val="auto"/>
                <w:sz w:val="18"/>
                <w:szCs w:val="18"/>
                <w:highlight w:val="none"/>
                <w:lang w:val="zh-CN"/>
              </w:rPr>
              <w:t>1、评委在上表设定的分值范围内打分(四舍五入保留一位小数)，对缺项的项目按零分计。分数汇总后，计算算术平均值做为资信技术分，平均分值计算四舍五入保留小数点后两位。</w:t>
            </w:r>
          </w:p>
          <w:p>
            <w:pPr>
              <w:autoSpaceDE w:val="0"/>
              <w:autoSpaceDN w:val="0"/>
              <w:adjustRightInd w:val="0"/>
              <w:spacing w:line="320" w:lineRule="exact"/>
              <w:jc w:val="left"/>
              <w:rPr>
                <w:rFonts w:cs="宋体" w:asciiTheme="minorEastAsia" w:hAnsiTheme="minorEastAsia" w:eastAsiaTheme="minorEastAsia"/>
                <w:bCs/>
                <w:color w:val="auto"/>
                <w:sz w:val="18"/>
                <w:szCs w:val="18"/>
                <w:highlight w:val="none"/>
                <w:lang w:val="zh-CN"/>
              </w:rPr>
            </w:pPr>
            <w:r>
              <w:rPr>
                <w:rFonts w:hint="eastAsia" w:cs="宋体" w:asciiTheme="minorEastAsia" w:hAnsiTheme="minorEastAsia" w:eastAsiaTheme="minorEastAsia"/>
                <w:bCs/>
                <w:color w:val="auto"/>
                <w:sz w:val="18"/>
                <w:szCs w:val="18"/>
                <w:highlight w:val="none"/>
                <w:lang w:val="zh-CN"/>
              </w:rPr>
              <w:t>2、表中分值重叠数下限包括本数，上限不包括本数。</w:t>
            </w:r>
          </w:p>
        </w:tc>
      </w:tr>
    </w:tbl>
    <w:p>
      <w:pPr>
        <w:spacing w:line="360" w:lineRule="auto"/>
        <w:jc w:val="center"/>
        <w:rPr>
          <w:rFonts w:hint="eastAsia" w:ascii="宋体" w:hAnsi="宋体" w:cs="宋体"/>
          <w:b/>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附表4报价文件初步审查表</w:t>
      </w:r>
    </w:p>
    <w:tbl>
      <w:tblPr>
        <w:tblStyle w:val="49"/>
        <w:tblW w:w="93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715"/>
        <w:gridCol w:w="20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1" w:type="dxa"/>
            <w:vAlign w:val="center"/>
          </w:tcPr>
          <w:p>
            <w:pPr>
              <w:spacing w:line="360" w:lineRule="auto"/>
              <w:jc w:val="left"/>
              <w:rPr>
                <w:rFonts w:ascii="宋体" w:hAnsi="宋体" w:cs="宋体"/>
                <w:b/>
                <w:color w:val="auto"/>
                <w:sz w:val="18"/>
                <w:szCs w:val="18"/>
                <w:highlight w:val="none"/>
              </w:rPr>
            </w:pPr>
            <w:r>
              <w:rPr>
                <w:rFonts w:hint="eastAsia" w:ascii="宋体" w:hAnsi="宋体" w:cs="宋体"/>
                <w:b/>
                <w:color w:val="auto"/>
                <w:sz w:val="18"/>
                <w:szCs w:val="18"/>
                <w:highlight w:val="none"/>
              </w:rPr>
              <w:t>序号</w:t>
            </w:r>
          </w:p>
        </w:tc>
        <w:tc>
          <w:tcPr>
            <w:tcW w:w="6715" w:type="dxa"/>
            <w:vAlign w:val="center"/>
          </w:tcPr>
          <w:p>
            <w:pPr>
              <w:spacing w:line="360" w:lineRule="auto"/>
              <w:jc w:val="left"/>
              <w:rPr>
                <w:rFonts w:ascii="宋体" w:hAnsi="宋体" w:cs="宋体"/>
                <w:b/>
                <w:color w:val="auto"/>
                <w:sz w:val="18"/>
                <w:szCs w:val="18"/>
                <w:highlight w:val="none"/>
              </w:rPr>
            </w:pPr>
            <w:r>
              <w:rPr>
                <w:rFonts w:hint="eastAsia" w:ascii="宋体" w:hAnsi="宋体" w:cs="宋体"/>
                <w:b/>
                <w:color w:val="auto"/>
                <w:sz w:val="18"/>
                <w:szCs w:val="18"/>
                <w:highlight w:val="none"/>
              </w:rPr>
              <w:t>要求说明</w:t>
            </w:r>
          </w:p>
        </w:tc>
        <w:tc>
          <w:tcPr>
            <w:tcW w:w="2002" w:type="dxa"/>
            <w:vAlign w:val="center"/>
          </w:tcPr>
          <w:p>
            <w:pPr>
              <w:spacing w:line="360" w:lineRule="auto"/>
              <w:jc w:val="left"/>
              <w:rPr>
                <w:rFonts w:ascii="宋体" w:hAnsi="宋体" w:cs="宋体"/>
                <w:b/>
                <w:color w:val="auto"/>
                <w:sz w:val="18"/>
                <w:szCs w:val="18"/>
                <w:highlight w:val="none"/>
              </w:rPr>
            </w:pPr>
            <w:r>
              <w:rPr>
                <w:rFonts w:hint="eastAsia" w:ascii="宋体" w:hAnsi="宋体" w:cs="宋体"/>
                <w:b/>
                <w:color w:val="auto"/>
                <w:sz w:val="18"/>
                <w:szCs w:val="18"/>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41" w:type="dxa"/>
            <w:vAlign w:val="center"/>
          </w:tcPr>
          <w:p>
            <w:pPr>
              <w:spacing w:line="360" w:lineRule="auto"/>
              <w:jc w:val="center"/>
              <w:rPr>
                <w:rFonts w:ascii="宋体" w:hAnsi="宋体" w:cs="宋体"/>
                <w:color w:val="auto"/>
                <w:sz w:val="18"/>
                <w:szCs w:val="18"/>
                <w:highlight w:val="none"/>
              </w:rPr>
            </w:pPr>
            <w:bookmarkStart w:id="179" w:name="_Toc1519"/>
            <w:bookmarkStart w:id="180" w:name="_Toc103030429"/>
            <w:bookmarkStart w:id="181" w:name="_Toc28886"/>
            <w:r>
              <w:rPr>
                <w:rFonts w:hint="eastAsia" w:ascii="宋体" w:hAnsi="宋体" w:cs="宋体"/>
                <w:color w:val="auto"/>
                <w:sz w:val="18"/>
                <w:szCs w:val="18"/>
                <w:highlight w:val="none"/>
              </w:rPr>
              <w:t>1</w:t>
            </w:r>
            <w:bookmarkEnd w:id="179"/>
            <w:bookmarkEnd w:id="180"/>
            <w:bookmarkEnd w:id="181"/>
          </w:p>
        </w:tc>
        <w:tc>
          <w:tcPr>
            <w:tcW w:w="6715"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按照采购文件规定要求签署或盖章；</w:t>
            </w:r>
          </w:p>
        </w:tc>
        <w:tc>
          <w:tcPr>
            <w:tcW w:w="2002"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6715"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投标文件项目齐全；</w:t>
            </w:r>
          </w:p>
        </w:tc>
        <w:tc>
          <w:tcPr>
            <w:tcW w:w="2002"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6715"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采用人民币报价或者按照采购文件标明的币种报价的；</w:t>
            </w:r>
          </w:p>
        </w:tc>
        <w:tc>
          <w:tcPr>
            <w:tcW w:w="2002"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6715"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不存在报价超出</w:t>
            </w:r>
            <w:r>
              <w:rPr>
                <w:rFonts w:hint="eastAsia" w:ascii="宋体" w:hAnsi="宋体" w:eastAsia="宋体" w:cs="宋体"/>
                <w:color w:val="auto"/>
                <w:sz w:val="18"/>
                <w:szCs w:val="18"/>
                <w:highlight w:val="none"/>
              </w:rPr>
              <w:t>最高限价</w:t>
            </w:r>
            <w:r>
              <w:rPr>
                <w:rFonts w:hint="eastAsia" w:ascii="宋体" w:hAnsi="宋体" w:eastAsia="宋体" w:cs="宋体"/>
                <w:color w:val="auto"/>
                <w:sz w:val="18"/>
                <w:szCs w:val="18"/>
                <w:highlight w:val="none"/>
                <w:lang w:val="en-US" w:eastAsia="zh-CN"/>
              </w:rPr>
              <w:t>或</w:t>
            </w:r>
            <w:r>
              <w:rPr>
                <w:rFonts w:hint="eastAsia" w:ascii="宋体" w:hAnsi="宋体" w:eastAsia="宋体" w:cs="宋体"/>
                <w:color w:val="auto"/>
                <w:sz w:val="18"/>
                <w:szCs w:val="18"/>
                <w:highlight w:val="none"/>
              </w:rPr>
              <w:t>最高综合单价限价，</w:t>
            </w:r>
            <w:r>
              <w:rPr>
                <w:rFonts w:hint="eastAsia" w:ascii="宋体" w:hAnsi="宋体" w:cs="宋体"/>
                <w:color w:val="auto"/>
                <w:sz w:val="18"/>
                <w:szCs w:val="18"/>
                <w:highlight w:val="none"/>
              </w:rPr>
              <w:t>或者超出采购预算金额，采购人不能支付的情形；</w:t>
            </w:r>
          </w:p>
        </w:tc>
        <w:tc>
          <w:tcPr>
            <w:tcW w:w="2002"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6715"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不存在投标报价具有选择性的情形；</w:t>
            </w:r>
          </w:p>
        </w:tc>
        <w:tc>
          <w:tcPr>
            <w:tcW w:w="2002"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6715"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投标报价中未出现重大缺项、漏项；</w:t>
            </w:r>
          </w:p>
        </w:tc>
        <w:tc>
          <w:tcPr>
            <w:tcW w:w="2002"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1" w:type="dxa"/>
            <w:vAlign w:val="center"/>
          </w:tcPr>
          <w:p>
            <w:pPr>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7</w:t>
            </w:r>
          </w:p>
        </w:tc>
        <w:tc>
          <w:tcPr>
            <w:tcW w:w="6715"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投标文件（报价文件）内容与投标文件（商务技术文件）内容不存在重大差异的；</w:t>
            </w:r>
          </w:p>
        </w:tc>
        <w:tc>
          <w:tcPr>
            <w:tcW w:w="2002"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ascii="宋体" w:hAnsi="宋体" w:cs="宋体"/>
                <w:color w:val="auto"/>
                <w:sz w:val="18"/>
                <w:szCs w:val="18"/>
                <w:highlight w:val="none"/>
              </w:rPr>
            </w:pPr>
            <w:r>
              <w:rPr>
                <w:rFonts w:ascii="宋体" w:hAnsi="宋体" w:cs="宋体"/>
                <w:color w:val="auto"/>
                <w:sz w:val="18"/>
                <w:szCs w:val="18"/>
                <w:highlight w:val="none"/>
              </w:rPr>
              <w:t>8</w:t>
            </w:r>
          </w:p>
        </w:tc>
        <w:tc>
          <w:tcPr>
            <w:tcW w:w="6715"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不存在法律、法规和采购文件规定的其他无效情形；</w:t>
            </w:r>
          </w:p>
        </w:tc>
        <w:tc>
          <w:tcPr>
            <w:tcW w:w="2002" w:type="dxa"/>
            <w:vAlign w:val="center"/>
          </w:tcPr>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356" w:type="dxa"/>
            <w:gridSpan w:val="2"/>
            <w:vAlign w:val="center"/>
          </w:tcPr>
          <w:p>
            <w:pPr>
              <w:spacing w:line="360" w:lineRule="auto"/>
              <w:jc w:val="center"/>
              <w:rPr>
                <w:rFonts w:ascii="宋体" w:hAnsi="宋体" w:cs="宋体"/>
                <w:color w:val="auto"/>
                <w:sz w:val="18"/>
                <w:szCs w:val="18"/>
                <w:highlight w:val="none"/>
              </w:rPr>
            </w:pPr>
            <w:r>
              <w:rPr>
                <w:rFonts w:hint="eastAsia" w:ascii="宋体" w:hAnsi="宋体" w:cs="宋体"/>
                <w:b/>
                <w:color w:val="auto"/>
                <w:sz w:val="18"/>
                <w:szCs w:val="18"/>
                <w:highlight w:val="none"/>
              </w:rPr>
              <w:t>初步审查结论</w:t>
            </w:r>
          </w:p>
        </w:tc>
        <w:tc>
          <w:tcPr>
            <w:tcW w:w="2002" w:type="dxa"/>
            <w:vAlign w:val="center"/>
          </w:tcPr>
          <w:p>
            <w:pPr>
              <w:spacing w:line="360" w:lineRule="auto"/>
              <w:jc w:val="left"/>
              <w:rPr>
                <w:rFonts w:ascii="宋体" w:hAnsi="宋体" w:cs="宋体"/>
                <w:color w:val="auto"/>
                <w:sz w:val="18"/>
                <w:szCs w:val="18"/>
                <w:highlight w:val="none"/>
              </w:rPr>
            </w:pPr>
          </w:p>
        </w:tc>
      </w:tr>
    </w:tbl>
    <w:p>
      <w:pPr>
        <w:pStyle w:val="2"/>
        <w:spacing w:line="360" w:lineRule="auto"/>
        <w:rPr>
          <w:rFonts w:ascii="宋体" w:hAnsi="宋体" w:cs="宋体"/>
          <w:color w:val="auto"/>
          <w:sz w:val="20"/>
          <w:szCs w:val="18"/>
          <w:highlight w:val="none"/>
        </w:rPr>
      </w:pPr>
      <w:r>
        <w:rPr>
          <w:rFonts w:hint="eastAsia" w:ascii="宋体" w:hAnsi="宋体" w:cs="宋体"/>
          <w:b/>
          <w:color w:val="auto"/>
          <w:sz w:val="20"/>
          <w:szCs w:val="18"/>
          <w:highlight w:val="none"/>
        </w:rPr>
        <w:t>注：上述审查项目中，任意一项不符合的，报价审查不合格。</w:t>
      </w:r>
    </w:p>
    <w:p>
      <w:pPr>
        <w:widowControl/>
        <w:snapToGrid w:val="0"/>
        <w:spacing w:line="360" w:lineRule="auto"/>
        <w:jc w:val="center"/>
        <w:rPr>
          <w:rFonts w:ascii="宋体" w:hAnsi="宋体" w:cs="宋体"/>
          <w:b/>
          <w:color w:val="auto"/>
          <w:szCs w:val="21"/>
          <w:highlight w:val="none"/>
        </w:rPr>
      </w:pPr>
    </w:p>
    <w:p>
      <w:pPr>
        <w:widowControl/>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附表5价格评分表</w:t>
      </w:r>
    </w:p>
    <w:tbl>
      <w:tblPr>
        <w:tblStyle w:val="4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39" w:type="dxa"/>
            <w:vAlign w:val="center"/>
          </w:tcPr>
          <w:p>
            <w:pPr>
              <w:spacing w:line="27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价格分（</w:t>
            </w:r>
            <w:r>
              <w:rPr>
                <w:rFonts w:ascii="宋体" w:hAnsi="宋体" w:cs="宋体"/>
                <w:b/>
                <w:color w:val="auto"/>
                <w:kern w:val="0"/>
                <w:szCs w:val="21"/>
                <w:highlight w:val="none"/>
              </w:rPr>
              <w:t>4</w:t>
            </w:r>
            <w:r>
              <w:rPr>
                <w:rFonts w:hint="eastAsia" w:ascii="宋体" w:hAnsi="宋体" w:cs="宋体"/>
                <w:b/>
                <w:color w:val="auto"/>
                <w:kern w:val="0"/>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9639" w:type="dxa"/>
            <w:vAlign w:val="center"/>
          </w:tcPr>
          <w:p>
            <w:pPr>
              <w:spacing w:line="276"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投标报价得分（</w:t>
            </w:r>
            <w:r>
              <w:rPr>
                <w:rFonts w:ascii="宋体" w:hAnsi="宋体" w:cs="宋体"/>
                <w:color w:val="auto"/>
                <w:kern w:val="0"/>
                <w:sz w:val="20"/>
                <w:szCs w:val="21"/>
                <w:highlight w:val="none"/>
              </w:rPr>
              <w:t>4</w:t>
            </w:r>
            <w:r>
              <w:rPr>
                <w:rFonts w:hint="eastAsia" w:ascii="宋体" w:hAnsi="宋体" w:cs="宋体"/>
                <w:color w:val="auto"/>
                <w:kern w:val="0"/>
                <w:sz w:val="20"/>
                <w:szCs w:val="21"/>
                <w:highlight w:val="none"/>
              </w:rPr>
              <w:t>0分）：</w:t>
            </w:r>
          </w:p>
          <w:p>
            <w:pPr>
              <w:spacing w:line="276" w:lineRule="auto"/>
              <w:rPr>
                <w:rFonts w:ascii="宋体" w:hAnsi="宋体"/>
                <w:color w:val="auto"/>
                <w:sz w:val="20"/>
                <w:szCs w:val="21"/>
                <w:highlight w:val="none"/>
              </w:rPr>
            </w:pPr>
            <w:r>
              <w:rPr>
                <w:rFonts w:hint="eastAsia" w:ascii="宋体" w:hAnsi="宋体" w:cs="宋体"/>
                <w:color w:val="auto"/>
                <w:kern w:val="0"/>
                <w:sz w:val="20"/>
                <w:szCs w:val="21"/>
                <w:highlight w:val="none"/>
              </w:rPr>
              <w:t>参与评审的价格=投标报价</w:t>
            </w:r>
            <w:r>
              <w:rPr>
                <w:rFonts w:hint="eastAsia" w:ascii="宋体" w:hAnsi="宋体"/>
                <w:color w:val="auto"/>
                <w:sz w:val="20"/>
                <w:szCs w:val="21"/>
                <w:highlight w:val="none"/>
              </w:rPr>
              <w:t>×[1-小微企业价格扣除优惠值</w:t>
            </w:r>
            <w:r>
              <w:rPr>
                <w:rFonts w:hint="eastAsia" w:ascii="宋体" w:hAnsi="宋体"/>
                <w:color w:val="auto"/>
                <w:sz w:val="20"/>
                <w:szCs w:val="21"/>
                <w:highlight w:val="none"/>
                <w:lang w:val="en-US" w:eastAsia="zh-CN"/>
              </w:rPr>
              <w:t>5</w:t>
            </w:r>
            <w:r>
              <w:rPr>
                <w:rFonts w:hint="eastAsia" w:ascii="宋体" w:hAnsi="宋体"/>
                <w:color w:val="auto"/>
                <w:sz w:val="20"/>
                <w:szCs w:val="21"/>
                <w:highlight w:val="none"/>
              </w:rPr>
              <w:t>%（如有）]</w:t>
            </w:r>
          </w:p>
          <w:p>
            <w:pPr>
              <w:spacing w:line="276"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基准价：满足招标文件要求（资信、商务及技术审查合格）且参与评审的价格最低的报价为基准价，得满分</w:t>
            </w:r>
            <w:r>
              <w:rPr>
                <w:rFonts w:ascii="宋体" w:hAnsi="宋体" w:cs="宋体"/>
                <w:color w:val="auto"/>
                <w:kern w:val="0"/>
                <w:sz w:val="20"/>
                <w:szCs w:val="21"/>
                <w:highlight w:val="none"/>
              </w:rPr>
              <w:t>4</w:t>
            </w:r>
            <w:r>
              <w:rPr>
                <w:rFonts w:hint="eastAsia" w:ascii="宋体" w:hAnsi="宋体" w:cs="宋体"/>
                <w:color w:val="auto"/>
                <w:kern w:val="0"/>
                <w:sz w:val="20"/>
                <w:szCs w:val="21"/>
                <w:highlight w:val="none"/>
              </w:rPr>
              <w:t>0分</w:t>
            </w:r>
          </w:p>
          <w:p>
            <w:pPr>
              <w:spacing w:line="276"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其他投标报价得分计算公式如下：</w:t>
            </w:r>
          </w:p>
          <w:p>
            <w:pPr>
              <w:spacing w:line="276"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投标价得分=（评标基准价/参与评审的价格）×</w:t>
            </w:r>
            <w:r>
              <w:rPr>
                <w:rFonts w:ascii="宋体" w:hAnsi="宋体" w:cs="宋体"/>
                <w:color w:val="auto"/>
                <w:kern w:val="0"/>
                <w:sz w:val="20"/>
                <w:szCs w:val="21"/>
                <w:highlight w:val="none"/>
              </w:rPr>
              <w:t>4</w:t>
            </w:r>
            <w:r>
              <w:rPr>
                <w:rFonts w:hint="eastAsia" w:ascii="宋体" w:hAnsi="宋体" w:cs="宋体"/>
                <w:color w:val="auto"/>
                <w:kern w:val="0"/>
                <w:sz w:val="20"/>
                <w:szCs w:val="21"/>
                <w:highlight w:val="none"/>
              </w:rPr>
              <w:t>0%×100</w:t>
            </w:r>
          </w:p>
          <w:p>
            <w:pPr>
              <w:spacing w:line="276" w:lineRule="auto"/>
              <w:rPr>
                <w:rFonts w:ascii="宋体" w:hAnsi="宋体"/>
                <w:color w:val="auto"/>
                <w:sz w:val="20"/>
                <w:szCs w:val="21"/>
                <w:highlight w:val="none"/>
              </w:rPr>
            </w:pPr>
            <w:r>
              <w:rPr>
                <w:rFonts w:hint="eastAsia" w:ascii="宋体" w:hAnsi="宋体"/>
                <w:color w:val="auto"/>
                <w:sz w:val="20"/>
                <w:szCs w:val="21"/>
                <w:highlight w:val="none"/>
              </w:rPr>
              <w:t>投标报价得分以四舍五入保留小数点后两位。</w:t>
            </w:r>
          </w:p>
          <w:p>
            <w:pPr>
              <w:spacing w:line="276" w:lineRule="auto"/>
              <w:rPr>
                <w:rFonts w:ascii="宋体" w:hAnsi="宋体"/>
                <w:color w:val="auto"/>
                <w:szCs w:val="21"/>
                <w:highlight w:val="none"/>
              </w:rPr>
            </w:pPr>
            <w:r>
              <w:rPr>
                <w:rFonts w:hint="eastAsia" w:ascii="宋体" w:hAnsi="宋体" w:cs="宋体"/>
                <w:color w:val="auto"/>
                <w:kern w:val="0"/>
                <w:sz w:val="20"/>
                <w:szCs w:val="21"/>
                <w:highlight w:val="none"/>
              </w:rPr>
              <w:t>（小微企业提供佐证证明）</w:t>
            </w:r>
          </w:p>
        </w:tc>
      </w:tr>
    </w:tbl>
    <w:p>
      <w:pPr>
        <w:spacing w:line="400" w:lineRule="exact"/>
        <w:jc w:val="left"/>
        <w:rPr>
          <w:rFonts w:hint="eastAsia" w:ascii="宋体" w:hAnsi="宋体"/>
          <w:color w:val="auto"/>
          <w:szCs w:val="21"/>
          <w:highlight w:val="none"/>
        </w:rPr>
      </w:pPr>
      <w:r>
        <w:rPr>
          <w:rFonts w:hint="eastAsia" w:ascii="宋体" w:hAnsi="宋体"/>
          <w:b/>
          <w:color w:val="auto"/>
          <w:sz w:val="18"/>
          <w:szCs w:val="18"/>
          <w:highlight w:val="none"/>
        </w:rPr>
        <w:t>注：1、本项目为非专门面向中小企业的采购项目，根据《政府采购促进中小企业发展暂行办法》（财库〔</w:t>
      </w:r>
      <w:r>
        <w:rPr>
          <w:rFonts w:hint="eastAsia" w:ascii="宋体" w:hAnsi="宋体"/>
          <w:b/>
          <w:color w:val="auto"/>
          <w:sz w:val="18"/>
          <w:szCs w:val="18"/>
          <w:highlight w:val="none"/>
          <w:lang w:val="en-US" w:eastAsia="zh-CN"/>
        </w:rPr>
        <w:t>2022</w:t>
      </w:r>
      <w:r>
        <w:rPr>
          <w:rFonts w:hint="eastAsia" w:ascii="宋体" w:hAnsi="宋体"/>
          <w:b/>
          <w:color w:val="auto"/>
          <w:sz w:val="18"/>
          <w:szCs w:val="18"/>
          <w:highlight w:val="none"/>
        </w:rPr>
        <w:t>〕</w:t>
      </w:r>
      <w:r>
        <w:rPr>
          <w:rFonts w:hint="eastAsia" w:ascii="宋体" w:hAnsi="宋体"/>
          <w:b/>
          <w:color w:val="auto"/>
          <w:sz w:val="18"/>
          <w:szCs w:val="18"/>
          <w:highlight w:val="none"/>
          <w:lang w:val="en-US" w:eastAsia="zh-CN"/>
        </w:rPr>
        <w:t>19</w:t>
      </w:r>
      <w:r>
        <w:rPr>
          <w:rFonts w:hint="eastAsia" w:ascii="宋体" w:hAnsi="宋体"/>
          <w:b/>
          <w:color w:val="auto"/>
          <w:sz w:val="18"/>
          <w:szCs w:val="18"/>
          <w:highlight w:val="none"/>
        </w:rPr>
        <w:t>号）的规定，对小型和微型企业产品的价格给予</w:t>
      </w:r>
      <w:r>
        <w:rPr>
          <w:rFonts w:hint="eastAsia" w:ascii="宋体" w:hAnsi="宋体"/>
          <w:b/>
          <w:color w:val="auto"/>
          <w:sz w:val="18"/>
          <w:szCs w:val="18"/>
          <w:highlight w:val="none"/>
          <w:lang w:val="en-US" w:eastAsia="zh-CN"/>
        </w:rPr>
        <w:t>5</w:t>
      </w:r>
      <w:r>
        <w:rPr>
          <w:rFonts w:hint="eastAsia" w:ascii="宋体" w:hAnsi="宋体"/>
          <w:b/>
          <w:color w:val="auto"/>
          <w:sz w:val="18"/>
          <w:szCs w:val="18"/>
          <w:highlight w:val="none"/>
        </w:rPr>
        <w:t>%的扣除，用扣除后的价格参与评审。符合要求的监狱企业和残疾人福利性单位视作小微企业: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根据《关于促进残疾人就业政府采购政策的通知》（财库[2017]141号）规定，残疾人福利性单位视同小型、微型企业（残疾人福利性单位属于小型、微型企业的，不重复享受政策）。</w:t>
      </w:r>
    </w:p>
    <w:p>
      <w:pPr>
        <w:rPr>
          <w:color w:val="auto"/>
          <w:highlight w:val="none"/>
        </w:rPr>
      </w:pPr>
    </w:p>
    <w:p>
      <w:pPr>
        <w:rPr>
          <w:rStyle w:val="65"/>
          <w:color w:val="auto"/>
          <w:sz w:val="28"/>
          <w:szCs w:val="28"/>
          <w:highlight w:val="none"/>
        </w:rPr>
      </w:pPr>
      <w:bookmarkStart w:id="182" w:name="_Toc17069"/>
    </w:p>
    <w:p>
      <w:pPr>
        <w:pStyle w:val="3"/>
        <w:rPr>
          <w:color w:val="auto"/>
          <w:sz w:val="28"/>
          <w:highlight w:val="none"/>
        </w:rPr>
      </w:pPr>
    </w:p>
    <w:p>
      <w:pPr>
        <w:pStyle w:val="3"/>
        <w:rPr>
          <w:color w:val="auto"/>
          <w:highlight w:val="none"/>
        </w:rPr>
      </w:pPr>
    </w:p>
    <w:p>
      <w:pPr>
        <w:rPr>
          <w:rStyle w:val="65"/>
          <w:rFonts w:hint="eastAsia"/>
          <w:color w:val="auto"/>
          <w:sz w:val="28"/>
          <w:szCs w:val="28"/>
          <w:highlight w:val="none"/>
        </w:rPr>
      </w:pPr>
      <w:bookmarkStart w:id="183" w:name="_Toc103030430"/>
      <w:bookmarkStart w:id="184" w:name="_Toc104835482"/>
      <w:r>
        <w:rPr>
          <w:rStyle w:val="65"/>
          <w:rFonts w:hint="eastAsia"/>
          <w:color w:val="auto"/>
          <w:sz w:val="28"/>
          <w:szCs w:val="28"/>
          <w:highlight w:val="none"/>
        </w:rPr>
        <w:br w:type="page"/>
      </w:r>
    </w:p>
    <w:p>
      <w:pPr>
        <w:pStyle w:val="27"/>
        <w:snapToGrid w:val="0"/>
        <w:spacing w:line="440" w:lineRule="exact"/>
        <w:jc w:val="center"/>
        <w:outlineLvl w:val="0"/>
        <w:rPr>
          <w:rStyle w:val="65"/>
          <w:rFonts w:hint="eastAsia"/>
          <w:color w:val="auto"/>
          <w:sz w:val="28"/>
          <w:szCs w:val="28"/>
          <w:highlight w:val="none"/>
        </w:rPr>
      </w:pPr>
      <w:bookmarkStart w:id="185" w:name="_Toc12979"/>
      <w:r>
        <w:rPr>
          <w:rStyle w:val="65"/>
          <w:rFonts w:hint="eastAsia"/>
          <w:color w:val="auto"/>
          <w:sz w:val="28"/>
          <w:szCs w:val="28"/>
          <w:highlight w:val="none"/>
        </w:rPr>
        <w:t>第五章  合同主要条款</w:t>
      </w:r>
      <w:bookmarkEnd w:id="182"/>
      <w:bookmarkEnd w:id="183"/>
      <w:bookmarkEnd w:id="184"/>
      <w:bookmarkEnd w:id="185"/>
    </w:p>
    <w:p>
      <w:pPr>
        <w:snapToGrid w:val="0"/>
        <w:spacing w:before="156" w:beforeLines="50" w:after="156" w:afterLines="50" w:line="440" w:lineRule="exact"/>
        <w:rPr>
          <w:rFonts w:ascii="宋体" w:hAnsi="宋体"/>
          <w:b/>
          <w:bCs/>
          <w:color w:val="auto"/>
          <w:sz w:val="36"/>
          <w:szCs w:val="20"/>
          <w:highlight w:val="none"/>
        </w:rPr>
      </w:pPr>
    </w:p>
    <w:p>
      <w:pPr>
        <w:snapToGrid w:val="0"/>
        <w:spacing w:before="156" w:beforeLines="50" w:after="156" w:afterLines="50" w:line="360" w:lineRule="auto"/>
        <w:jc w:val="center"/>
        <w:rPr>
          <w:rFonts w:hAnsi="宋体"/>
          <w:b/>
          <w:color w:val="auto"/>
          <w:sz w:val="30"/>
          <w:szCs w:val="32"/>
          <w:highlight w:val="none"/>
        </w:rPr>
      </w:pPr>
      <w:bookmarkStart w:id="186" w:name="_Toc496687423"/>
      <w:r>
        <w:rPr>
          <w:rFonts w:hint="eastAsia" w:hAnsi="宋体"/>
          <w:b/>
          <w:color w:val="auto"/>
          <w:sz w:val="30"/>
          <w:szCs w:val="32"/>
          <w:highlight w:val="none"/>
        </w:rPr>
        <w:t>浙江省政府采购合同指引</w:t>
      </w:r>
    </w:p>
    <w:p>
      <w:pPr>
        <w:keepNext w:val="0"/>
        <w:keepLines w:val="0"/>
        <w:pageBreakBefore w:val="0"/>
        <w:kinsoku/>
        <w:wordWrap/>
        <w:overflowPunct/>
        <w:topLinePunct w:val="0"/>
        <w:autoSpaceDE/>
        <w:autoSpaceDN/>
        <w:bidi w:val="0"/>
        <w:adjustRightInd/>
        <w:snapToGrid w:val="0"/>
        <w:spacing w:line="360" w:lineRule="auto"/>
        <w:ind w:left="0"/>
        <w:jc w:val="center"/>
        <w:rPr>
          <w:rFonts w:hAnsi="宋体"/>
          <w:b/>
          <w:color w:val="auto"/>
          <w:sz w:val="30"/>
          <w:szCs w:val="32"/>
          <w:highlight w:val="none"/>
        </w:rPr>
      </w:pPr>
      <w:r>
        <w:rPr>
          <w:rFonts w:hint="eastAsia" w:hAnsi="宋体"/>
          <w:b/>
          <w:color w:val="auto"/>
          <w:sz w:val="30"/>
          <w:szCs w:val="32"/>
          <w:highlight w:val="none"/>
        </w:rPr>
        <w:t>（合同</w:t>
      </w:r>
      <w:r>
        <w:rPr>
          <w:rFonts w:hAnsi="宋体"/>
          <w:b/>
          <w:color w:val="auto"/>
          <w:sz w:val="30"/>
          <w:szCs w:val="32"/>
          <w:highlight w:val="none"/>
        </w:rPr>
        <w:t>为</w:t>
      </w:r>
      <w:r>
        <w:rPr>
          <w:rFonts w:hint="eastAsia" w:hAnsi="宋体"/>
          <w:b/>
          <w:color w:val="auto"/>
          <w:sz w:val="30"/>
          <w:szCs w:val="32"/>
          <w:highlight w:val="none"/>
        </w:rPr>
        <w:t>参考</w:t>
      </w:r>
      <w:r>
        <w:rPr>
          <w:rFonts w:hAnsi="宋体"/>
          <w:b/>
          <w:color w:val="auto"/>
          <w:sz w:val="30"/>
          <w:szCs w:val="32"/>
          <w:highlight w:val="none"/>
        </w:rPr>
        <w:t>范本，仅供参考</w:t>
      </w:r>
      <w:r>
        <w:rPr>
          <w:rFonts w:hint="eastAsia" w:hAnsi="宋体"/>
          <w:b/>
          <w:color w:val="auto"/>
          <w:sz w:val="30"/>
          <w:szCs w:val="32"/>
          <w:highlight w:val="none"/>
        </w:rPr>
        <w:t>）</w:t>
      </w:r>
    </w:p>
    <w:p>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项目编号：</w:t>
      </w:r>
    </w:p>
    <w:p>
      <w:pPr>
        <w:keepNext w:val="0"/>
        <w:keepLines w:val="0"/>
        <w:pageBreakBefore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p>
    <w:p>
      <w:pPr>
        <w:keepNext w:val="0"/>
        <w:keepLines w:val="0"/>
        <w:pageBreakBefore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乙方：（中标人）</w:t>
      </w:r>
    </w:p>
    <w:p>
      <w:pPr>
        <w:keepNext w:val="0"/>
        <w:keepLines w:val="0"/>
        <w:pageBreakBefore w:val="0"/>
        <w:widowControl/>
        <w:kinsoku/>
        <w:wordWrap/>
        <w:overflowPunct/>
        <w:topLinePunct w:val="0"/>
        <w:autoSpaceDE/>
        <w:autoSpaceDN/>
        <w:bidi w:val="0"/>
        <w:adjustRightInd/>
        <w:spacing w:line="360" w:lineRule="auto"/>
        <w:ind w:left="0"/>
        <w:rPr>
          <w:rFonts w:hint="eastAsia" w:hAnsi="宋体"/>
          <w:color w:val="auto"/>
          <w:sz w:val="21"/>
          <w:szCs w:val="21"/>
          <w:highlight w:val="none"/>
        </w:rPr>
      </w:pPr>
      <w:r>
        <w:rPr>
          <w:rFonts w:hint="eastAsia" w:hAnsi="宋体"/>
          <w:color w:val="auto"/>
          <w:sz w:val="21"/>
          <w:szCs w:val="21"/>
          <w:highlight w:val="none"/>
          <w:u w:val="single"/>
        </w:rPr>
        <w:t xml:space="preserve">                  </w:t>
      </w:r>
      <w:r>
        <w:rPr>
          <w:rFonts w:hint="eastAsia" w:hAnsi="宋体"/>
          <w:color w:val="auto"/>
          <w:sz w:val="21"/>
          <w:szCs w:val="21"/>
          <w:highlight w:val="none"/>
        </w:rPr>
        <w:t>通过公开招投标方式落实实施单位，经政府采购后确认为</w:t>
      </w:r>
      <w:r>
        <w:rPr>
          <w:rFonts w:hint="eastAsia" w:hAnsi="宋体"/>
          <w:color w:val="auto"/>
          <w:sz w:val="21"/>
          <w:szCs w:val="21"/>
          <w:highlight w:val="none"/>
          <w:u w:val="single"/>
          <w:lang w:val="en-US" w:eastAsia="zh-CN"/>
        </w:rPr>
        <w:t>（项目名称）</w:t>
      </w:r>
      <w:r>
        <w:rPr>
          <w:rFonts w:hAnsi="宋体"/>
          <w:color w:val="auto"/>
          <w:sz w:val="21"/>
          <w:szCs w:val="21"/>
          <w:highlight w:val="none"/>
          <w:u w:val="single"/>
        </w:rPr>
        <w:t>项目</w:t>
      </w:r>
      <w:r>
        <w:rPr>
          <w:rFonts w:hint="eastAsia" w:hAnsi="宋体"/>
          <w:color w:val="auto"/>
          <w:sz w:val="21"/>
          <w:szCs w:val="21"/>
          <w:highlight w:val="none"/>
        </w:rPr>
        <w:t>的中标方。现根据《中华人民共和国民法典》和招标文件相关规定，甲、乙双方在平等的基础上经充分协商，达成如下协议：</w:t>
      </w:r>
    </w:p>
    <w:p>
      <w:pPr>
        <w:pStyle w:val="27"/>
        <w:keepNext w:val="0"/>
        <w:keepLines w:val="0"/>
        <w:pageBreakBefore w:val="0"/>
        <w:widowControl/>
        <w:numPr>
          <w:ilvl w:val="0"/>
          <w:numId w:val="6"/>
        </w:numPr>
        <w:kinsoku/>
        <w:wordWrap/>
        <w:overflowPunct/>
        <w:topLinePunct w:val="0"/>
        <w:autoSpaceDE/>
        <w:autoSpaceDN/>
        <w:bidi w:val="0"/>
        <w:adjustRightInd/>
        <w:spacing w:before="0" w:beforeLines="0" w:after="0" w:afterLines="0" w:line="360" w:lineRule="auto"/>
        <w:ind w:left="0"/>
        <w:jc w:val="both"/>
        <w:rPr>
          <w:rFonts w:hAnsi="宋体" w:cs="Arial"/>
          <w:b/>
          <w:bCs/>
          <w:color w:val="auto"/>
          <w:sz w:val="21"/>
          <w:szCs w:val="21"/>
          <w:highlight w:val="none"/>
        </w:rPr>
      </w:pPr>
      <w:r>
        <w:rPr>
          <w:rFonts w:hint="eastAsia" w:hAnsi="宋体" w:cs="Arial"/>
          <w:b/>
          <w:bCs/>
          <w:color w:val="auto"/>
          <w:sz w:val="21"/>
          <w:szCs w:val="21"/>
          <w:highlight w:val="none"/>
        </w:rPr>
        <w:t>服务内容：</w:t>
      </w:r>
    </w:p>
    <w:p>
      <w:pPr>
        <w:keepNext w:val="0"/>
        <w:keepLines w:val="0"/>
        <w:pageBreakBefore w:val="0"/>
        <w:widowControl/>
        <w:kinsoku/>
        <w:wordWrap/>
        <w:overflowPunct/>
        <w:topLinePunct w:val="0"/>
        <w:autoSpaceDE/>
        <w:autoSpaceDN/>
        <w:bidi w:val="0"/>
        <w:adjustRightInd/>
        <w:spacing w:line="360" w:lineRule="auto"/>
        <w:ind w:left="0"/>
        <w:rPr>
          <w:color w:val="auto"/>
          <w:szCs w:val="21"/>
          <w:highlight w:val="none"/>
        </w:rPr>
      </w:pPr>
      <w:r>
        <w:rPr>
          <w:color w:val="auto"/>
          <w:sz w:val="21"/>
          <w:szCs w:val="21"/>
          <w:highlight w:val="none"/>
        </w:rPr>
        <w:t>因建设需要，</w:t>
      </w:r>
      <w:r>
        <w:rPr>
          <w:rFonts w:hint="eastAsia"/>
          <w:color w:val="auto"/>
          <w:sz w:val="21"/>
          <w:szCs w:val="21"/>
          <w:highlight w:val="none"/>
          <w:lang w:val="en-US" w:eastAsia="zh-CN"/>
        </w:rPr>
        <w:t>前江街道</w:t>
      </w:r>
      <w:r>
        <w:rPr>
          <w:color w:val="auto"/>
          <w:sz w:val="21"/>
          <w:szCs w:val="21"/>
          <w:highlight w:val="none"/>
        </w:rPr>
        <w:t>拟对</w:t>
      </w:r>
      <w:r>
        <w:rPr>
          <w:rFonts w:hint="eastAsia"/>
          <w:color w:val="auto"/>
          <w:sz w:val="21"/>
          <w:szCs w:val="21"/>
          <w:highlight w:val="none"/>
        </w:rPr>
        <w:t>以下地块</w:t>
      </w:r>
      <w:r>
        <w:rPr>
          <w:color w:val="auto"/>
          <w:sz w:val="21"/>
          <w:szCs w:val="21"/>
          <w:highlight w:val="none"/>
        </w:rPr>
        <w:t>进行</w:t>
      </w:r>
      <w:r>
        <w:rPr>
          <w:rFonts w:hint="eastAsia"/>
          <w:color w:val="auto"/>
          <w:sz w:val="21"/>
          <w:szCs w:val="21"/>
          <w:highlight w:val="none"/>
        </w:rPr>
        <w:t>耕作层</w:t>
      </w:r>
      <w:r>
        <w:rPr>
          <w:color w:val="auto"/>
          <w:sz w:val="21"/>
          <w:szCs w:val="21"/>
          <w:highlight w:val="none"/>
        </w:rPr>
        <w:t>剥离及清运</w:t>
      </w:r>
      <w:r>
        <w:rPr>
          <w:rFonts w:hint="eastAsia"/>
          <w:color w:val="auto"/>
          <w:sz w:val="21"/>
          <w:szCs w:val="21"/>
          <w:highlight w:val="none"/>
        </w:rPr>
        <w:t>。</w:t>
      </w:r>
      <w:r>
        <w:rPr>
          <w:color w:val="auto"/>
          <w:sz w:val="21"/>
          <w:szCs w:val="21"/>
          <w:highlight w:val="none"/>
        </w:rPr>
        <w:t>处置点位于业主指定地点。</w:t>
      </w:r>
    </w:p>
    <w:p>
      <w:pPr>
        <w:pStyle w:val="27"/>
        <w:keepNext w:val="0"/>
        <w:keepLines w:val="0"/>
        <w:pageBreakBefore w:val="0"/>
        <w:widowControl/>
        <w:numPr>
          <w:ilvl w:val="0"/>
          <w:numId w:val="6"/>
        </w:numPr>
        <w:kinsoku/>
        <w:wordWrap/>
        <w:overflowPunct/>
        <w:topLinePunct w:val="0"/>
        <w:autoSpaceDE/>
        <w:autoSpaceDN/>
        <w:bidi w:val="0"/>
        <w:adjustRightInd/>
        <w:spacing w:before="0" w:beforeLines="0" w:after="0" w:afterLines="0" w:line="360" w:lineRule="auto"/>
        <w:ind w:left="0"/>
        <w:jc w:val="both"/>
        <w:rPr>
          <w:rFonts w:hAnsi="宋体" w:cs="Arial"/>
          <w:b/>
          <w:bCs/>
          <w:color w:val="auto"/>
          <w:sz w:val="21"/>
          <w:szCs w:val="21"/>
          <w:highlight w:val="none"/>
        </w:rPr>
      </w:pPr>
      <w:r>
        <w:rPr>
          <w:rFonts w:hAnsi="宋体" w:cs="Arial"/>
          <w:b/>
          <w:bCs/>
          <w:color w:val="auto"/>
          <w:sz w:val="21"/>
          <w:szCs w:val="21"/>
          <w:highlight w:val="none"/>
        </w:rPr>
        <w:t>招标技术需求</w:t>
      </w:r>
    </w:p>
    <w:p>
      <w:pPr>
        <w:keepNext w:val="0"/>
        <w:keepLines w:val="0"/>
        <w:pageBreakBefore w:val="0"/>
        <w:widowControl/>
        <w:kinsoku/>
        <w:wordWrap/>
        <w:overflowPunct/>
        <w:topLinePunct w:val="0"/>
        <w:autoSpaceDE/>
        <w:autoSpaceDN/>
        <w:bidi w:val="0"/>
        <w:adjustRightInd/>
        <w:spacing w:line="360" w:lineRule="auto"/>
        <w:ind w:left="0"/>
        <w:rPr>
          <w:color w:val="auto"/>
          <w:sz w:val="21"/>
          <w:szCs w:val="21"/>
          <w:highlight w:val="none"/>
        </w:rPr>
      </w:pPr>
      <w:r>
        <w:rPr>
          <w:color w:val="auto"/>
          <w:sz w:val="21"/>
          <w:szCs w:val="21"/>
          <w:highlight w:val="none"/>
        </w:rPr>
        <w:t>1.地块面积及方量以具体实施为准。</w:t>
      </w:r>
    </w:p>
    <w:p>
      <w:pPr>
        <w:keepNext w:val="0"/>
        <w:keepLines w:val="0"/>
        <w:pageBreakBefore w:val="0"/>
        <w:widowControl/>
        <w:kinsoku/>
        <w:wordWrap/>
        <w:overflowPunct/>
        <w:topLinePunct w:val="0"/>
        <w:autoSpaceDE/>
        <w:autoSpaceDN/>
        <w:bidi w:val="0"/>
        <w:adjustRightInd/>
        <w:spacing w:line="360" w:lineRule="auto"/>
        <w:ind w:left="0"/>
        <w:rPr>
          <w:color w:val="auto"/>
          <w:sz w:val="21"/>
          <w:szCs w:val="21"/>
          <w:highlight w:val="none"/>
        </w:rPr>
      </w:pPr>
      <w:r>
        <w:rPr>
          <w:color w:val="auto"/>
          <w:sz w:val="21"/>
          <w:szCs w:val="21"/>
          <w:highlight w:val="none"/>
        </w:rPr>
        <w:t>2.技术规范</w:t>
      </w:r>
    </w:p>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jc w:val="both"/>
        <w:rPr>
          <w:color w:val="auto"/>
          <w:sz w:val="21"/>
          <w:szCs w:val="21"/>
          <w:highlight w:val="none"/>
        </w:rPr>
      </w:pPr>
      <w:r>
        <w:rPr>
          <w:rFonts w:hint="eastAsia"/>
          <w:color w:val="auto"/>
          <w:sz w:val="21"/>
          <w:szCs w:val="21"/>
          <w:highlight w:val="none"/>
          <w:lang w:val="en-US" w:eastAsia="zh-CN"/>
        </w:rPr>
        <w:t>2.1</w:t>
      </w:r>
      <w:r>
        <w:rPr>
          <w:color w:val="auto"/>
          <w:sz w:val="21"/>
          <w:szCs w:val="21"/>
          <w:highlight w:val="none"/>
        </w:rPr>
        <w:t>挖土深度</w:t>
      </w:r>
      <w:r>
        <w:rPr>
          <w:rFonts w:hint="eastAsia"/>
          <w:color w:val="auto"/>
          <w:sz w:val="21"/>
          <w:szCs w:val="21"/>
          <w:highlight w:val="none"/>
        </w:rPr>
        <w:t>28㎝</w:t>
      </w:r>
      <w:r>
        <w:rPr>
          <w:color w:val="auto"/>
          <w:sz w:val="21"/>
          <w:szCs w:val="21"/>
          <w:highlight w:val="none"/>
        </w:rPr>
        <w:t>±3</w:t>
      </w:r>
      <w:r>
        <w:rPr>
          <w:rFonts w:hint="eastAsia"/>
          <w:color w:val="auto"/>
          <w:sz w:val="21"/>
          <w:szCs w:val="21"/>
          <w:highlight w:val="none"/>
        </w:rPr>
        <w:t>，</w:t>
      </w:r>
      <w:r>
        <w:rPr>
          <w:color w:val="auto"/>
          <w:sz w:val="21"/>
          <w:szCs w:val="21"/>
          <w:highlight w:val="none"/>
        </w:rPr>
        <w:t>实际测量以第三方测量为准测量所需费用由</w:t>
      </w:r>
      <w:r>
        <w:rPr>
          <w:rFonts w:hint="eastAsia"/>
          <w:color w:val="auto"/>
          <w:sz w:val="21"/>
          <w:szCs w:val="21"/>
          <w:highlight w:val="none"/>
          <w:lang w:val="en-US" w:eastAsia="zh-CN"/>
        </w:rPr>
        <w:t>甲方</w:t>
      </w:r>
      <w:r>
        <w:rPr>
          <w:color w:val="auto"/>
          <w:sz w:val="21"/>
          <w:szCs w:val="21"/>
          <w:highlight w:val="none"/>
        </w:rPr>
        <w:t>承担</w:t>
      </w:r>
      <w:r>
        <w:rPr>
          <w:rFonts w:hint="eastAsia"/>
          <w:color w:val="auto"/>
          <w:sz w:val="21"/>
          <w:szCs w:val="21"/>
          <w:highlight w:val="none"/>
        </w:rPr>
        <w:t>。</w:t>
      </w:r>
    </w:p>
    <w:p>
      <w:pPr>
        <w:keepNext w:val="0"/>
        <w:keepLines w:val="0"/>
        <w:pageBreakBefore w:val="0"/>
        <w:widowControl/>
        <w:kinsoku/>
        <w:wordWrap/>
        <w:overflowPunct/>
        <w:topLinePunct w:val="0"/>
        <w:autoSpaceDE/>
        <w:autoSpaceDN/>
        <w:bidi w:val="0"/>
        <w:adjustRightInd/>
        <w:spacing w:line="360" w:lineRule="auto"/>
        <w:ind w:left="0"/>
        <w:rPr>
          <w:b/>
          <w:color w:val="auto"/>
          <w:sz w:val="20"/>
          <w:highlight w:val="none"/>
        </w:rPr>
      </w:pPr>
      <w:r>
        <w:rPr>
          <w:rFonts w:hint="eastAsia" w:asciiTheme="minorEastAsia" w:hAnsiTheme="minorEastAsia" w:eastAsiaTheme="minorEastAsia"/>
          <w:color w:val="auto"/>
          <w:szCs w:val="21"/>
          <w:highlight w:val="none"/>
          <w:lang w:val="en-US" w:eastAsia="zh-CN"/>
        </w:rPr>
        <w:t>2.2</w:t>
      </w:r>
      <w:r>
        <w:rPr>
          <w:rFonts w:asciiTheme="minorEastAsia" w:hAnsiTheme="minorEastAsia" w:eastAsiaTheme="minorEastAsia"/>
          <w:color w:val="auto"/>
          <w:szCs w:val="21"/>
          <w:highlight w:val="none"/>
        </w:rPr>
        <w:t>表土</w:t>
      </w:r>
      <w:r>
        <w:rPr>
          <w:rFonts w:hint="eastAsia" w:asciiTheme="minorEastAsia" w:hAnsiTheme="minorEastAsia" w:eastAsiaTheme="minorEastAsia"/>
          <w:color w:val="auto"/>
          <w:szCs w:val="21"/>
          <w:highlight w:val="none"/>
        </w:rPr>
        <w:t>剥离</w:t>
      </w:r>
      <w:r>
        <w:rPr>
          <w:rFonts w:asciiTheme="minorEastAsia" w:hAnsiTheme="minorEastAsia" w:eastAsiaTheme="minorEastAsia"/>
          <w:color w:val="auto"/>
          <w:szCs w:val="21"/>
          <w:highlight w:val="none"/>
        </w:rPr>
        <w:t>、运输、倾倒、平整要求：土地经第三方测量单位测量后，若土地适合剥离，</w:t>
      </w:r>
      <w:r>
        <w:rPr>
          <w:rFonts w:hint="eastAsia" w:asciiTheme="minorEastAsia" w:hAnsiTheme="minorEastAsia" w:eastAsiaTheme="minorEastAsia"/>
          <w:color w:val="auto"/>
          <w:szCs w:val="21"/>
          <w:highlight w:val="none"/>
          <w:lang w:eastAsia="zh-CN"/>
        </w:rPr>
        <w:t>乙方</w:t>
      </w:r>
      <w:r>
        <w:rPr>
          <w:rFonts w:asciiTheme="minorEastAsia" w:hAnsiTheme="minorEastAsia" w:eastAsiaTheme="minorEastAsia"/>
          <w:color w:val="auto"/>
          <w:szCs w:val="21"/>
          <w:highlight w:val="none"/>
        </w:rPr>
        <w:t>须在相应范围内进行剥离，</w:t>
      </w:r>
      <w:r>
        <w:rPr>
          <w:rFonts w:hint="eastAsia" w:asciiTheme="minorEastAsia" w:hAnsiTheme="minorEastAsia" w:eastAsiaTheme="minorEastAsia"/>
          <w:color w:val="auto"/>
          <w:szCs w:val="21"/>
          <w:highlight w:val="none"/>
        </w:rPr>
        <w:t>人数要求不少于</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人。在挖掘机进场工作之前，应以科学的方法剥离表土，尽量减少对表土的损坏，表土剥离后，将会由区宁波市自然资源和规划局江北分局等相关部门进行验收。</w:t>
      </w:r>
      <w:r>
        <w:rPr>
          <w:rFonts w:asciiTheme="minorEastAsia" w:hAnsiTheme="minorEastAsia" w:eastAsiaTheme="minorEastAsia"/>
          <w:color w:val="auto"/>
          <w:szCs w:val="21"/>
          <w:highlight w:val="none"/>
        </w:rPr>
        <w:t>剥离后的土地</w:t>
      </w:r>
      <w:r>
        <w:rPr>
          <w:rFonts w:hint="eastAsia" w:asciiTheme="minorEastAsia" w:hAnsiTheme="minorEastAsia" w:eastAsiaTheme="minorEastAsia"/>
          <w:color w:val="auto"/>
          <w:szCs w:val="21"/>
          <w:highlight w:val="none"/>
        </w:rPr>
        <w:t>呈现出凹凸不平之状，</w:t>
      </w:r>
      <w:r>
        <w:rPr>
          <w:rFonts w:hint="eastAsia" w:asciiTheme="minorEastAsia" w:hAnsiTheme="minorEastAsia" w:eastAsiaTheme="minorEastAsia"/>
          <w:color w:val="auto"/>
          <w:szCs w:val="21"/>
          <w:highlight w:val="none"/>
          <w:lang w:eastAsia="zh-CN"/>
        </w:rPr>
        <w:t>乙方</w:t>
      </w:r>
      <w:r>
        <w:rPr>
          <w:rFonts w:hint="eastAsia" w:asciiTheme="minorEastAsia" w:hAnsiTheme="minorEastAsia" w:eastAsiaTheme="minorEastAsia"/>
          <w:color w:val="auto"/>
          <w:szCs w:val="21"/>
          <w:highlight w:val="none"/>
        </w:rPr>
        <w:t>应对地表进行整平，并针对土地压实度进行调整，</w:t>
      </w:r>
      <w:r>
        <w:rPr>
          <w:rFonts w:asciiTheme="minorEastAsia" w:hAnsiTheme="minorEastAsia" w:eastAsiaTheme="minorEastAsia"/>
          <w:color w:val="auto"/>
          <w:szCs w:val="21"/>
          <w:highlight w:val="none"/>
        </w:rPr>
        <w:t>再将表土运输至指定</w:t>
      </w:r>
      <w:r>
        <w:rPr>
          <w:rFonts w:hint="eastAsia" w:asciiTheme="minorEastAsia" w:hAnsiTheme="minorEastAsia" w:eastAsiaTheme="minorEastAsia"/>
          <w:color w:val="auto"/>
          <w:szCs w:val="21"/>
          <w:highlight w:val="none"/>
        </w:rPr>
        <w:t>场地，运输过程中，</w:t>
      </w:r>
      <w:r>
        <w:rPr>
          <w:rFonts w:hint="eastAsia" w:asciiTheme="minorEastAsia" w:hAnsiTheme="minorEastAsia" w:eastAsiaTheme="minorEastAsia"/>
          <w:color w:val="auto"/>
          <w:szCs w:val="21"/>
          <w:highlight w:val="none"/>
          <w:lang w:eastAsia="zh-CN"/>
        </w:rPr>
        <w:t>乙方</w:t>
      </w:r>
      <w:r>
        <w:rPr>
          <w:rFonts w:hint="eastAsia" w:asciiTheme="minorEastAsia" w:hAnsiTheme="minorEastAsia" w:eastAsiaTheme="minorEastAsia"/>
          <w:color w:val="auto"/>
          <w:szCs w:val="21"/>
          <w:highlight w:val="none"/>
        </w:rPr>
        <w:t>须确保运输安全并且承担在运输过程中的卫生工作，装卸及运输途中如发生任何事故,</w:t>
      </w:r>
      <w:r>
        <w:rPr>
          <w:rFonts w:asciiTheme="minorEastAsia" w:hAnsiTheme="minorEastAsia" w:eastAsiaTheme="minorEastAsia"/>
          <w:color w:val="auto"/>
          <w:szCs w:val="21"/>
          <w:highlight w:val="none"/>
        </w:rPr>
        <w:t>均由</w:t>
      </w:r>
      <w:r>
        <w:rPr>
          <w:rFonts w:hint="eastAsia" w:asciiTheme="minorEastAsia" w:hAnsiTheme="minorEastAsia" w:eastAsiaTheme="minorEastAsia"/>
          <w:color w:val="auto"/>
          <w:szCs w:val="21"/>
          <w:highlight w:val="none"/>
          <w:lang w:eastAsia="zh-CN"/>
        </w:rPr>
        <w:t>乙方</w:t>
      </w:r>
      <w:r>
        <w:rPr>
          <w:rFonts w:asciiTheme="minorEastAsia" w:hAnsiTheme="minorEastAsia" w:eastAsiaTheme="minorEastAsia"/>
          <w:color w:val="auto"/>
          <w:szCs w:val="21"/>
          <w:highlight w:val="none"/>
        </w:rPr>
        <w:t>负责。</w:t>
      </w:r>
    </w:p>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jc w:val="both"/>
        <w:rPr>
          <w:rFonts w:hint="eastAsia"/>
          <w:color w:val="auto"/>
          <w:sz w:val="21"/>
          <w:szCs w:val="21"/>
          <w:highlight w:val="none"/>
        </w:rPr>
      </w:pPr>
      <w:r>
        <w:rPr>
          <w:rFonts w:hint="eastAsia"/>
          <w:color w:val="auto"/>
          <w:sz w:val="21"/>
          <w:szCs w:val="21"/>
          <w:highlight w:val="none"/>
          <w:lang w:val="en-US" w:eastAsia="zh-CN"/>
        </w:rPr>
        <w:t>2.3</w:t>
      </w:r>
      <w:r>
        <w:rPr>
          <w:rFonts w:hint="eastAsia"/>
          <w:color w:val="auto"/>
          <w:sz w:val="21"/>
          <w:szCs w:val="21"/>
          <w:highlight w:val="none"/>
        </w:rPr>
        <w:t>处置场地管理：本服务项目由</w:t>
      </w:r>
      <w:r>
        <w:rPr>
          <w:rFonts w:hint="eastAsia"/>
          <w:color w:val="auto"/>
          <w:sz w:val="21"/>
          <w:szCs w:val="21"/>
          <w:highlight w:val="none"/>
          <w:lang w:val="en-US" w:eastAsia="zh-CN"/>
        </w:rPr>
        <w:t>甲方</w:t>
      </w:r>
      <w:r>
        <w:rPr>
          <w:rFonts w:hint="eastAsia"/>
          <w:color w:val="auto"/>
          <w:sz w:val="21"/>
          <w:szCs w:val="21"/>
          <w:highlight w:val="none"/>
        </w:rPr>
        <w:t>提供处置场地，位于</w:t>
      </w:r>
      <w:r>
        <w:rPr>
          <w:color w:val="auto"/>
          <w:sz w:val="21"/>
          <w:szCs w:val="21"/>
          <w:highlight w:val="none"/>
        </w:rPr>
        <w:t>业主指定地点</w:t>
      </w:r>
      <w:r>
        <w:rPr>
          <w:rFonts w:hint="eastAsia"/>
          <w:color w:val="auto"/>
          <w:sz w:val="21"/>
          <w:szCs w:val="21"/>
          <w:highlight w:val="none"/>
        </w:rPr>
        <w:t>（按实际需要调整位置）。</w:t>
      </w:r>
      <w:r>
        <w:rPr>
          <w:rFonts w:hint="eastAsia"/>
          <w:color w:val="auto"/>
          <w:sz w:val="21"/>
          <w:szCs w:val="21"/>
          <w:highlight w:val="none"/>
          <w:lang w:eastAsia="zh-CN"/>
        </w:rPr>
        <w:t>乙方</w:t>
      </w:r>
      <w:r>
        <w:rPr>
          <w:rFonts w:hint="eastAsia"/>
          <w:color w:val="auto"/>
          <w:sz w:val="21"/>
          <w:szCs w:val="21"/>
          <w:highlight w:val="none"/>
        </w:rPr>
        <w:t>须对处置场地提供专人现场管理，不得有建筑垃圾、渣土、生活垃圾倾倒。</w:t>
      </w:r>
      <w:r>
        <w:rPr>
          <w:rFonts w:hint="eastAsia"/>
          <w:color w:val="auto"/>
          <w:sz w:val="21"/>
          <w:szCs w:val="21"/>
          <w:highlight w:val="none"/>
          <w:lang w:eastAsia="zh-CN"/>
        </w:rPr>
        <w:t>甲方</w:t>
      </w:r>
      <w:r>
        <w:rPr>
          <w:rFonts w:hint="eastAsia"/>
          <w:color w:val="auto"/>
          <w:sz w:val="21"/>
          <w:szCs w:val="21"/>
          <w:highlight w:val="none"/>
        </w:rPr>
        <w:t>将定期对现场进行巡查，如管理不当，</w:t>
      </w:r>
      <w:r>
        <w:rPr>
          <w:rFonts w:hint="eastAsia"/>
          <w:color w:val="auto"/>
          <w:sz w:val="21"/>
          <w:szCs w:val="21"/>
          <w:highlight w:val="none"/>
          <w:lang w:eastAsia="zh-CN"/>
        </w:rPr>
        <w:t>甲方</w:t>
      </w:r>
      <w:r>
        <w:rPr>
          <w:rFonts w:hint="eastAsia"/>
          <w:color w:val="auto"/>
          <w:sz w:val="21"/>
          <w:szCs w:val="21"/>
          <w:highlight w:val="none"/>
        </w:rPr>
        <w:t>有权终止合同，并要求</w:t>
      </w:r>
      <w:r>
        <w:rPr>
          <w:rFonts w:hint="eastAsia"/>
          <w:color w:val="auto"/>
          <w:sz w:val="21"/>
          <w:szCs w:val="21"/>
          <w:highlight w:val="none"/>
          <w:lang w:eastAsia="zh-CN"/>
        </w:rPr>
        <w:t>乙方</w:t>
      </w:r>
      <w:r>
        <w:rPr>
          <w:rFonts w:hint="eastAsia"/>
          <w:color w:val="auto"/>
          <w:sz w:val="21"/>
          <w:szCs w:val="21"/>
          <w:highlight w:val="none"/>
        </w:rPr>
        <w:t>赔偿损失。</w:t>
      </w:r>
    </w:p>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jc w:val="both"/>
        <w:rPr>
          <w:color w:val="auto"/>
          <w:sz w:val="21"/>
          <w:szCs w:val="21"/>
          <w:highlight w:val="none"/>
        </w:rPr>
      </w:pPr>
      <w:r>
        <w:rPr>
          <w:rFonts w:hint="eastAsia"/>
          <w:color w:val="auto"/>
          <w:sz w:val="21"/>
          <w:szCs w:val="21"/>
          <w:highlight w:val="none"/>
          <w:lang w:val="en-US" w:eastAsia="zh-CN"/>
        </w:rPr>
        <w:t>2.4</w:t>
      </w:r>
      <w:r>
        <w:rPr>
          <w:rFonts w:hint="eastAsia"/>
          <w:color w:val="auto"/>
          <w:sz w:val="21"/>
          <w:szCs w:val="21"/>
          <w:highlight w:val="none"/>
          <w:lang w:eastAsia="zh-CN"/>
        </w:rPr>
        <w:t>乙方</w:t>
      </w:r>
      <w:r>
        <w:rPr>
          <w:color w:val="auto"/>
          <w:sz w:val="21"/>
          <w:szCs w:val="21"/>
          <w:highlight w:val="none"/>
        </w:rPr>
        <w:t>供应商须在中标后 3 天内将本项目作业方案（包括运输路线、相关临时设施的搭建、相关文明施工的措施等）提交给</w:t>
      </w:r>
      <w:r>
        <w:rPr>
          <w:rFonts w:hint="eastAsia"/>
          <w:color w:val="auto"/>
          <w:sz w:val="21"/>
          <w:szCs w:val="21"/>
          <w:highlight w:val="none"/>
          <w:lang w:eastAsia="zh-CN"/>
        </w:rPr>
        <w:t>甲方</w:t>
      </w:r>
      <w:r>
        <w:rPr>
          <w:color w:val="auto"/>
          <w:sz w:val="21"/>
          <w:szCs w:val="21"/>
          <w:highlight w:val="none"/>
        </w:rPr>
        <w:t>，并在</w:t>
      </w:r>
      <w:r>
        <w:rPr>
          <w:rFonts w:hint="eastAsia"/>
          <w:color w:val="auto"/>
          <w:sz w:val="21"/>
          <w:szCs w:val="21"/>
          <w:highlight w:val="none"/>
          <w:lang w:val="en-US" w:eastAsia="zh-CN"/>
        </w:rPr>
        <w:t>江北区综合行政执法局前江中队</w:t>
      </w:r>
      <w:r>
        <w:rPr>
          <w:color w:val="auto"/>
          <w:sz w:val="21"/>
          <w:szCs w:val="21"/>
          <w:highlight w:val="none"/>
        </w:rPr>
        <w:t>进行渣土清运备案，经</w:t>
      </w:r>
      <w:r>
        <w:rPr>
          <w:rFonts w:hint="eastAsia"/>
          <w:color w:val="auto"/>
          <w:sz w:val="21"/>
          <w:szCs w:val="21"/>
          <w:highlight w:val="none"/>
          <w:lang w:eastAsia="zh-CN"/>
        </w:rPr>
        <w:t>甲方</w:t>
      </w:r>
      <w:r>
        <w:rPr>
          <w:color w:val="auto"/>
          <w:sz w:val="21"/>
          <w:szCs w:val="21"/>
          <w:highlight w:val="none"/>
        </w:rPr>
        <w:t>认可后方可实施土方清运工作。</w:t>
      </w:r>
    </w:p>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jc w:val="both"/>
        <w:rPr>
          <w:color w:val="auto"/>
          <w:sz w:val="21"/>
          <w:szCs w:val="21"/>
          <w:highlight w:val="none"/>
        </w:rPr>
      </w:pPr>
      <w:r>
        <w:rPr>
          <w:rFonts w:hint="eastAsia"/>
          <w:color w:val="auto"/>
          <w:sz w:val="21"/>
          <w:szCs w:val="21"/>
          <w:highlight w:val="none"/>
          <w:lang w:val="en-US" w:eastAsia="zh-CN"/>
        </w:rPr>
        <w:t>2.5</w:t>
      </w:r>
      <w:r>
        <w:rPr>
          <w:rFonts w:hint="eastAsia"/>
          <w:color w:val="auto"/>
          <w:sz w:val="21"/>
          <w:szCs w:val="21"/>
          <w:highlight w:val="none"/>
          <w:lang w:eastAsia="zh-CN"/>
        </w:rPr>
        <w:t>乙方</w:t>
      </w:r>
      <w:r>
        <w:rPr>
          <w:color w:val="auto"/>
          <w:sz w:val="21"/>
          <w:szCs w:val="21"/>
          <w:highlight w:val="none"/>
        </w:rPr>
        <w:t>供应商在项目实施过程中必须遵守江北区、宁波市相关操作规范，特殊机械操作人员持证上岗、车辆驾驶人员须具有有效的相应车辆等级驾驶证。</w:t>
      </w:r>
    </w:p>
    <w:p>
      <w:pPr>
        <w:keepNext w:val="0"/>
        <w:keepLines w:val="0"/>
        <w:pageBreakBefore w:val="0"/>
        <w:widowControl/>
        <w:kinsoku/>
        <w:wordWrap/>
        <w:overflowPunct/>
        <w:topLinePunct w:val="0"/>
        <w:autoSpaceDE/>
        <w:autoSpaceDN/>
        <w:bidi w:val="0"/>
        <w:adjustRightInd/>
        <w:spacing w:line="360" w:lineRule="auto"/>
        <w:ind w:left="0"/>
        <w:rPr>
          <w:color w:val="auto"/>
          <w:sz w:val="21"/>
          <w:szCs w:val="21"/>
          <w:highlight w:val="none"/>
        </w:rPr>
      </w:pPr>
      <w:r>
        <w:rPr>
          <w:color w:val="auto"/>
          <w:sz w:val="21"/>
          <w:szCs w:val="21"/>
          <w:highlight w:val="none"/>
        </w:rPr>
        <w:t>3.服务和质量要求</w:t>
      </w:r>
    </w:p>
    <w:p>
      <w:pPr>
        <w:keepNext w:val="0"/>
        <w:keepLines w:val="0"/>
        <w:pageBreakBefore w:val="0"/>
        <w:widowControl/>
        <w:kinsoku/>
        <w:wordWrap/>
        <w:overflowPunct/>
        <w:topLinePunct w:val="0"/>
        <w:autoSpaceDE/>
        <w:autoSpaceDN/>
        <w:bidi w:val="0"/>
        <w:adjustRightInd/>
        <w:spacing w:line="360" w:lineRule="auto"/>
        <w:ind w:left="0"/>
        <w:rPr>
          <w:color w:val="auto"/>
          <w:sz w:val="21"/>
          <w:szCs w:val="21"/>
          <w:highlight w:val="none"/>
        </w:rPr>
      </w:pPr>
      <w:r>
        <w:rPr>
          <w:color w:val="auto"/>
          <w:sz w:val="21"/>
          <w:szCs w:val="21"/>
          <w:highlight w:val="none"/>
        </w:rPr>
        <w:t xml:space="preserve">3.1 </w:t>
      </w:r>
      <w:r>
        <w:rPr>
          <w:rFonts w:hint="eastAsia"/>
          <w:color w:val="auto"/>
          <w:sz w:val="21"/>
          <w:szCs w:val="21"/>
          <w:highlight w:val="none"/>
          <w:lang w:eastAsia="zh-CN"/>
        </w:rPr>
        <w:t>乙方</w:t>
      </w:r>
      <w:r>
        <w:rPr>
          <w:color w:val="auto"/>
          <w:sz w:val="21"/>
          <w:szCs w:val="21"/>
          <w:highlight w:val="none"/>
        </w:rPr>
        <w:t>供应商须根据项目实际情况结合服务期限，配备具有相应工作经验的作业人员， 如安全管理人员、特殊机械操作人员、运输车辆驾驶人员等，否则，作无效标处理。</w:t>
      </w:r>
    </w:p>
    <w:p>
      <w:pPr>
        <w:keepNext w:val="0"/>
        <w:keepLines w:val="0"/>
        <w:pageBreakBefore w:val="0"/>
        <w:widowControl/>
        <w:kinsoku/>
        <w:wordWrap/>
        <w:overflowPunct/>
        <w:topLinePunct w:val="0"/>
        <w:autoSpaceDE/>
        <w:autoSpaceDN/>
        <w:bidi w:val="0"/>
        <w:adjustRightInd/>
        <w:spacing w:line="360" w:lineRule="auto"/>
        <w:ind w:left="0"/>
        <w:rPr>
          <w:color w:val="auto"/>
          <w:sz w:val="21"/>
          <w:szCs w:val="21"/>
          <w:highlight w:val="none"/>
        </w:rPr>
      </w:pPr>
      <w:r>
        <w:rPr>
          <w:color w:val="auto"/>
          <w:sz w:val="21"/>
          <w:szCs w:val="21"/>
          <w:highlight w:val="none"/>
        </w:rPr>
        <w:t>4.安全生产</w:t>
      </w:r>
    </w:p>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Pr>
          <w:color w:val="auto"/>
          <w:sz w:val="21"/>
          <w:szCs w:val="21"/>
          <w:highlight w:val="none"/>
        </w:rPr>
      </w:pPr>
      <w:r>
        <w:rPr>
          <w:rFonts w:hint="eastAsia"/>
          <w:color w:val="auto"/>
          <w:sz w:val="21"/>
          <w:szCs w:val="21"/>
          <w:highlight w:val="none"/>
          <w:lang w:val="en-US" w:eastAsia="zh-CN"/>
        </w:rPr>
        <w:t>4.1</w:t>
      </w:r>
      <w:r>
        <w:rPr>
          <w:color w:val="auto"/>
          <w:sz w:val="21"/>
          <w:szCs w:val="21"/>
          <w:highlight w:val="none"/>
        </w:rPr>
        <w:t>操作工人作业时必须穿工作服、着安全反光背心；</w:t>
      </w:r>
    </w:p>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rPr>
          <w:color w:val="auto"/>
          <w:sz w:val="21"/>
          <w:szCs w:val="21"/>
          <w:highlight w:val="none"/>
        </w:rPr>
      </w:pPr>
      <w:r>
        <w:rPr>
          <w:rFonts w:hint="eastAsia"/>
          <w:color w:val="auto"/>
          <w:sz w:val="21"/>
          <w:szCs w:val="21"/>
          <w:highlight w:val="none"/>
          <w:lang w:val="en-US" w:eastAsia="zh-CN"/>
        </w:rPr>
        <w:t>4.2</w:t>
      </w:r>
      <w:r>
        <w:rPr>
          <w:color w:val="auto"/>
          <w:sz w:val="21"/>
          <w:szCs w:val="21"/>
          <w:highlight w:val="none"/>
        </w:rPr>
        <w:t>车辆行进方向、作业场地周边设置醒目标记，并做好防护措施。</w:t>
      </w:r>
    </w:p>
    <w:p>
      <w:pPr>
        <w:keepNext w:val="0"/>
        <w:keepLines w:val="0"/>
        <w:pageBreakBefore w:val="0"/>
        <w:widowControl/>
        <w:kinsoku/>
        <w:wordWrap/>
        <w:overflowPunct/>
        <w:topLinePunct w:val="0"/>
        <w:autoSpaceDE/>
        <w:autoSpaceDN/>
        <w:bidi w:val="0"/>
        <w:adjustRightInd/>
        <w:spacing w:line="360" w:lineRule="auto"/>
        <w:ind w:left="0"/>
        <w:rPr>
          <w:color w:val="auto"/>
          <w:sz w:val="21"/>
          <w:szCs w:val="21"/>
          <w:highlight w:val="none"/>
        </w:rPr>
      </w:pPr>
      <w:r>
        <w:rPr>
          <w:color w:val="auto"/>
          <w:sz w:val="21"/>
          <w:szCs w:val="21"/>
          <w:highlight w:val="none"/>
        </w:rPr>
        <w:t>5.员工劳动保障</w:t>
      </w:r>
    </w:p>
    <w:p>
      <w:pPr>
        <w:keepNext w:val="0"/>
        <w:keepLines w:val="0"/>
        <w:pageBreakBefore w:val="0"/>
        <w:widowControl/>
        <w:numPr>
          <w:ilvl w:val="1"/>
          <w:numId w:val="7"/>
        </w:numPr>
        <w:kinsoku/>
        <w:wordWrap/>
        <w:overflowPunct/>
        <w:topLinePunct w:val="0"/>
        <w:autoSpaceDE/>
        <w:autoSpaceDN/>
        <w:bidi w:val="0"/>
        <w:adjustRightInd/>
        <w:spacing w:line="360" w:lineRule="auto"/>
        <w:ind w:left="0" w:hanging="504"/>
        <w:rPr>
          <w:color w:val="auto"/>
          <w:sz w:val="21"/>
          <w:szCs w:val="21"/>
          <w:highlight w:val="none"/>
        </w:rPr>
      </w:pPr>
      <w:r>
        <w:rPr>
          <w:rFonts w:hint="eastAsia"/>
          <w:color w:val="auto"/>
          <w:sz w:val="21"/>
          <w:szCs w:val="21"/>
          <w:highlight w:val="none"/>
          <w:lang w:eastAsia="zh-CN"/>
        </w:rPr>
        <w:t>乙方</w:t>
      </w:r>
      <w:r>
        <w:rPr>
          <w:color w:val="auto"/>
          <w:sz w:val="21"/>
          <w:szCs w:val="21"/>
          <w:highlight w:val="none"/>
        </w:rPr>
        <w:t>供应商必须与员工签订书面劳动合同；</w:t>
      </w:r>
    </w:p>
    <w:p>
      <w:pPr>
        <w:keepNext w:val="0"/>
        <w:keepLines w:val="0"/>
        <w:pageBreakBefore w:val="0"/>
        <w:widowControl/>
        <w:numPr>
          <w:ilvl w:val="1"/>
          <w:numId w:val="7"/>
        </w:numPr>
        <w:kinsoku/>
        <w:wordWrap/>
        <w:overflowPunct/>
        <w:topLinePunct w:val="0"/>
        <w:autoSpaceDE/>
        <w:autoSpaceDN/>
        <w:bidi w:val="0"/>
        <w:adjustRightInd/>
        <w:spacing w:line="360" w:lineRule="auto"/>
        <w:ind w:left="0" w:firstLine="0"/>
        <w:jc w:val="both"/>
        <w:rPr>
          <w:color w:val="auto"/>
          <w:sz w:val="21"/>
          <w:szCs w:val="21"/>
          <w:highlight w:val="none"/>
        </w:rPr>
      </w:pPr>
      <w:r>
        <w:rPr>
          <w:rFonts w:hint="eastAsia"/>
          <w:color w:val="auto"/>
          <w:sz w:val="21"/>
          <w:szCs w:val="21"/>
          <w:highlight w:val="none"/>
          <w:lang w:eastAsia="zh-CN"/>
        </w:rPr>
        <w:t>乙方</w:t>
      </w:r>
      <w:r>
        <w:rPr>
          <w:color w:val="auto"/>
          <w:sz w:val="21"/>
          <w:szCs w:val="21"/>
          <w:highlight w:val="none"/>
        </w:rPr>
        <w:t>供应商支付员工基本工资（不含加班工资）不能低于当年宁波市人均最低工资标准的 120%，最低工资标准发生变化的，应相应作出调整。不得拖欠员工工资（含加班工资）。</w:t>
      </w:r>
      <w:r>
        <w:rPr>
          <w:rFonts w:hint="eastAsia"/>
          <w:color w:val="auto"/>
          <w:sz w:val="21"/>
          <w:szCs w:val="21"/>
          <w:highlight w:val="none"/>
          <w:lang w:eastAsia="zh-CN"/>
        </w:rPr>
        <w:t>乙方</w:t>
      </w:r>
      <w:r>
        <w:rPr>
          <w:color w:val="auto"/>
          <w:sz w:val="21"/>
          <w:szCs w:val="21"/>
          <w:highlight w:val="none"/>
        </w:rPr>
        <w:t>申请支付工程进度款时，应当出具员工工资已支付的证明材料，否则</w:t>
      </w:r>
      <w:r>
        <w:rPr>
          <w:rFonts w:hint="eastAsia"/>
          <w:color w:val="auto"/>
          <w:sz w:val="21"/>
          <w:szCs w:val="21"/>
          <w:highlight w:val="none"/>
          <w:lang w:eastAsia="zh-CN"/>
        </w:rPr>
        <w:t>甲方</w:t>
      </w:r>
      <w:r>
        <w:rPr>
          <w:color w:val="auto"/>
          <w:sz w:val="21"/>
          <w:szCs w:val="21"/>
          <w:highlight w:val="none"/>
        </w:rPr>
        <w:t>有权从工程款中扣除相应费用直接支付给</w:t>
      </w:r>
      <w:r>
        <w:rPr>
          <w:rFonts w:hint="eastAsia"/>
          <w:color w:val="auto"/>
          <w:sz w:val="21"/>
          <w:szCs w:val="21"/>
          <w:highlight w:val="none"/>
          <w:lang w:eastAsia="zh-CN"/>
        </w:rPr>
        <w:t>乙方</w:t>
      </w:r>
      <w:r>
        <w:rPr>
          <w:color w:val="auto"/>
          <w:sz w:val="21"/>
          <w:szCs w:val="21"/>
          <w:highlight w:val="none"/>
        </w:rPr>
        <w:t>员工。</w:t>
      </w:r>
    </w:p>
    <w:p>
      <w:pPr>
        <w:keepNext w:val="0"/>
        <w:keepLines w:val="0"/>
        <w:pageBreakBefore w:val="0"/>
        <w:widowControl/>
        <w:numPr>
          <w:ilvl w:val="1"/>
          <w:numId w:val="7"/>
        </w:numPr>
        <w:kinsoku/>
        <w:wordWrap/>
        <w:overflowPunct/>
        <w:topLinePunct w:val="0"/>
        <w:autoSpaceDE/>
        <w:autoSpaceDN/>
        <w:bidi w:val="0"/>
        <w:adjustRightInd/>
        <w:spacing w:line="360" w:lineRule="auto"/>
        <w:ind w:left="0" w:firstLine="0"/>
        <w:rPr>
          <w:rFonts w:hint="eastAsia"/>
          <w:color w:val="auto"/>
          <w:sz w:val="21"/>
          <w:szCs w:val="21"/>
          <w:highlight w:val="none"/>
        </w:rPr>
      </w:pPr>
      <w:r>
        <w:rPr>
          <w:rFonts w:hint="eastAsia"/>
          <w:color w:val="auto"/>
          <w:sz w:val="21"/>
          <w:szCs w:val="21"/>
          <w:highlight w:val="none"/>
          <w:lang w:eastAsia="zh-CN"/>
        </w:rPr>
        <w:t>乙方</w:t>
      </w:r>
      <w:r>
        <w:rPr>
          <w:color w:val="auto"/>
          <w:sz w:val="21"/>
          <w:szCs w:val="21"/>
          <w:highlight w:val="none"/>
        </w:rPr>
        <w:t>供应商必须按规定比例为员工购买社会保险，特别要购买工人意外人身保险；</w:t>
      </w:r>
    </w:p>
    <w:p>
      <w:pPr>
        <w:keepNext w:val="0"/>
        <w:keepLines w:val="0"/>
        <w:pageBreakBefore w:val="0"/>
        <w:widowControl/>
        <w:numPr>
          <w:ilvl w:val="1"/>
          <w:numId w:val="7"/>
        </w:numPr>
        <w:kinsoku/>
        <w:wordWrap/>
        <w:overflowPunct/>
        <w:topLinePunct w:val="0"/>
        <w:autoSpaceDE/>
        <w:autoSpaceDN/>
        <w:bidi w:val="0"/>
        <w:adjustRightInd/>
        <w:spacing w:line="360" w:lineRule="auto"/>
        <w:ind w:left="0" w:firstLine="0"/>
        <w:rPr>
          <w:color w:val="auto"/>
          <w:sz w:val="21"/>
          <w:szCs w:val="21"/>
          <w:highlight w:val="none"/>
        </w:rPr>
      </w:pPr>
      <w:r>
        <w:rPr>
          <w:rFonts w:hint="eastAsia"/>
          <w:color w:val="auto"/>
          <w:sz w:val="21"/>
          <w:szCs w:val="21"/>
          <w:highlight w:val="none"/>
          <w:lang w:eastAsia="zh-CN"/>
        </w:rPr>
        <w:t>乙方</w:t>
      </w:r>
      <w:r>
        <w:rPr>
          <w:color w:val="auto"/>
          <w:sz w:val="21"/>
          <w:szCs w:val="21"/>
          <w:highlight w:val="none"/>
        </w:rPr>
        <w:t>供应商必须保障员工正常休息时间，按规定发放加班工资、节假日加班工资以及高温补贴；</w:t>
      </w:r>
    </w:p>
    <w:p>
      <w:pPr>
        <w:keepNext w:val="0"/>
        <w:keepLines w:val="0"/>
        <w:pageBreakBefore w:val="0"/>
        <w:widowControl/>
        <w:numPr>
          <w:ilvl w:val="1"/>
          <w:numId w:val="7"/>
        </w:numPr>
        <w:kinsoku/>
        <w:wordWrap/>
        <w:overflowPunct/>
        <w:topLinePunct w:val="0"/>
        <w:autoSpaceDE/>
        <w:autoSpaceDN/>
        <w:bidi w:val="0"/>
        <w:adjustRightInd/>
        <w:spacing w:line="360" w:lineRule="auto"/>
        <w:ind w:left="0" w:firstLine="0"/>
        <w:rPr>
          <w:color w:val="auto"/>
          <w:sz w:val="21"/>
          <w:szCs w:val="21"/>
          <w:highlight w:val="none"/>
        </w:rPr>
      </w:pPr>
      <w:r>
        <w:rPr>
          <w:color w:val="auto"/>
          <w:sz w:val="21"/>
          <w:szCs w:val="21"/>
          <w:highlight w:val="none"/>
        </w:rPr>
        <w:t>必须执行《劳动合同法》有关员工保障的其他规定。</w:t>
      </w:r>
    </w:p>
    <w:p>
      <w:pPr>
        <w:keepNext w:val="0"/>
        <w:keepLines w:val="0"/>
        <w:pageBreakBefore w:val="0"/>
        <w:widowControl/>
        <w:kinsoku/>
        <w:wordWrap/>
        <w:overflowPunct/>
        <w:topLinePunct w:val="0"/>
        <w:autoSpaceDE/>
        <w:autoSpaceDN/>
        <w:bidi w:val="0"/>
        <w:adjustRightInd/>
        <w:spacing w:line="360" w:lineRule="auto"/>
        <w:ind w:left="0"/>
        <w:rPr>
          <w:color w:val="auto"/>
          <w:sz w:val="21"/>
          <w:szCs w:val="21"/>
          <w:highlight w:val="none"/>
        </w:rPr>
      </w:pPr>
      <w:r>
        <w:rPr>
          <w:color w:val="auto"/>
          <w:sz w:val="21"/>
          <w:szCs w:val="21"/>
          <w:highlight w:val="none"/>
        </w:rPr>
        <w:t>6.质量管理和监督措施</w:t>
      </w:r>
    </w:p>
    <w:p>
      <w:pPr>
        <w:keepNext w:val="0"/>
        <w:keepLines w:val="0"/>
        <w:pageBreakBefore w:val="0"/>
        <w:widowControl/>
        <w:numPr>
          <w:ilvl w:val="1"/>
          <w:numId w:val="8"/>
        </w:numPr>
        <w:kinsoku/>
        <w:wordWrap/>
        <w:overflowPunct/>
        <w:topLinePunct w:val="0"/>
        <w:autoSpaceDE/>
        <w:autoSpaceDN/>
        <w:bidi w:val="0"/>
        <w:adjustRightInd/>
        <w:spacing w:line="360" w:lineRule="auto"/>
        <w:ind w:left="0" w:firstLine="0"/>
        <w:rPr>
          <w:color w:val="auto"/>
          <w:sz w:val="21"/>
          <w:szCs w:val="21"/>
          <w:highlight w:val="none"/>
        </w:rPr>
      </w:pPr>
      <w:r>
        <w:rPr>
          <w:color w:val="auto"/>
          <w:sz w:val="21"/>
          <w:szCs w:val="21"/>
          <w:highlight w:val="none"/>
        </w:rPr>
        <w:t>因</w:t>
      </w:r>
      <w:r>
        <w:rPr>
          <w:rFonts w:hint="eastAsia"/>
          <w:color w:val="auto"/>
          <w:sz w:val="21"/>
          <w:szCs w:val="21"/>
          <w:highlight w:val="none"/>
          <w:lang w:val="en-US" w:eastAsia="zh-CN"/>
        </w:rPr>
        <w:t>乙方</w:t>
      </w:r>
      <w:r>
        <w:rPr>
          <w:color w:val="auto"/>
          <w:sz w:val="21"/>
          <w:szCs w:val="21"/>
          <w:highlight w:val="none"/>
        </w:rPr>
        <w:t>偷倒、乱倒土方，在其他部门组织的检查中被通报批评的，每次处扣罚30000 元；被各级媒体曝光，或者导致各种渠道的投诉，每经查处一次扣罚 50000 元；相关作业人员违规操作，酒后作业等行为，每次发现扣罚 10000 元。以上扣款，直接从工程进度款中扣除。</w:t>
      </w:r>
      <w:r>
        <w:rPr>
          <w:rFonts w:hint="eastAsia"/>
          <w:color w:val="auto"/>
          <w:sz w:val="21"/>
          <w:szCs w:val="21"/>
          <w:highlight w:val="none"/>
          <w:lang w:val="en-US" w:eastAsia="zh-CN"/>
        </w:rPr>
        <w:t>乙方</w:t>
      </w:r>
      <w:r>
        <w:rPr>
          <w:color w:val="auto"/>
          <w:sz w:val="21"/>
          <w:szCs w:val="21"/>
          <w:highlight w:val="none"/>
        </w:rPr>
        <w:t>须在</w:t>
      </w:r>
      <w:r>
        <w:rPr>
          <w:rFonts w:hint="eastAsia"/>
          <w:color w:val="auto"/>
          <w:sz w:val="21"/>
          <w:szCs w:val="21"/>
          <w:highlight w:val="none"/>
          <w:lang w:eastAsia="zh-CN"/>
        </w:rPr>
        <w:t>甲方</w:t>
      </w:r>
      <w:r>
        <w:rPr>
          <w:color w:val="auto"/>
          <w:sz w:val="21"/>
          <w:szCs w:val="21"/>
          <w:highlight w:val="none"/>
        </w:rPr>
        <w:t>指定的时间内进行整改，无特殊原因未完成整改的按前述金额双倍处罚， 情况严重的，</w:t>
      </w:r>
      <w:r>
        <w:rPr>
          <w:rFonts w:hint="eastAsia"/>
          <w:color w:val="auto"/>
          <w:sz w:val="21"/>
          <w:szCs w:val="21"/>
          <w:highlight w:val="none"/>
          <w:lang w:eastAsia="zh-CN"/>
        </w:rPr>
        <w:t>甲方</w:t>
      </w:r>
      <w:r>
        <w:rPr>
          <w:color w:val="auto"/>
          <w:sz w:val="21"/>
          <w:szCs w:val="21"/>
          <w:highlight w:val="none"/>
        </w:rPr>
        <w:t>有权解除合同。</w:t>
      </w:r>
    </w:p>
    <w:p>
      <w:pPr>
        <w:keepNext w:val="0"/>
        <w:keepLines w:val="0"/>
        <w:pageBreakBefore w:val="0"/>
        <w:widowControl/>
        <w:numPr>
          <w:ilvl w:val="1"/>
          <w:numId w:val="8"/>
        </w:numPr>
        <w:kinsoku/>
        <w:wordWrap/>
        <w:overflowPunct/>
        <w:topLinePunct w:val="0"/>
        <w:autoSpaceDE/>
        <w:autoSpaceDN/>
        <w:bidi w:val="0"/>
        <w:adjustRightInd/>
        <w:spacing w:line="360" w:lineRule="auto"/>
        <w:ind w:left="0" w:firstLine="0"/>
        <w:rPr>
          <w:color w:val="auto"/>
          <w:sz w:val="21"/>
          <w:szCs w:val="21"/>
          <w:highlight w:val="none"/>
        </w:rPr>
      </w:pPr>
      <w:r>
        <w:rPr>
          <w:color w:val="auto"/>
          <w:sz w:val="21"/>
          <w:szCs w:val="21"/>
          <w:highlight w:val="none"/>
        </w:rPr>
        <w:t>合同期内，因</w:t>
      </w:r>
      <w:r>
        <w:rPr>
          <w:rFonts w:hint="eastAsia"/>
          <w:color w:val="auto"/>
          <w:sz w:val="21"/>
          <w:szCs w:val="21"/>
          <w:highlight w:val="none"/>
          <w:lang w:val="en-US" w:eastAsia="zh-CN"/>
        </w:rPr>
        <w:t>乙方</w:t>
      </w:r>
      <w:r>
        <w:rPr>
          <w:color w:val="auto"/>
          <w:sz w:val="21"/>
          <w:szCs w:val="21"/>
          <w:highlight w:val="none"/>
        </w:rPr>
        <w:t>管理不善，造成</w:t>
      </w:r>
      <w:r>
        <w:rPr>
          <w:rFonts w:hint="eastAsia"/>
          <w:color w:val="auto"/>
          <w:sz w:val="21"/>
          <w:szCs w:val="21"/>
          <w:highlight w:val="none"/>
          <w:lang w:eastAsia="zh-CN"/>
        </w:rPr>
        <w:t>乙方</w:t>
      </w:r>
      <w:r>
        <w:rPr>
          <w:color w:val="auto"/>
          <w:sz w:val="21"/>
          <w:szCs w:val="21"/>
          <w:highlight w:val="none"/>
        </w:rPr>
        <w:t>员工一人以上死亡或二人以上重伤并负主要责任的，将终止合同，经济损失和法律责任由</w:t>
      </w:r>
      <w:r>
        <w:rPr>
          <w:rFonts w:hint="eastAsia"/>
          <w:color w:val="auto"/>
          <w:sz w:val="21"/>
          <w:szCs w:val="21"/>
          <w:highlight w:val="none"/>
          <w:lang w:eastAsia="zh-CN"/>
        </w:rPr>
        <w:t>乙方</w:t>
      </w:r>
      <w:r>
        <w:rPr>
          <w:color w:val="auto"/>
          <w:sz w:val="21"/>
          <w:szCs w:val="21"/>
          <w:highlight w:val="none"/>
        </w:rPr>
        <w:t>承担。</w:t>
      </w:r>
    </w:p>
    <w:p>
      <w:pPr>
        <w:keepNext w:val="0"/>
        <w:keepLines w:val="0"/>
        <w:pageBreakBefore w:val="0"/>
        <w:widowControl/>
        <w:numPr>
          <w:ilvl w:val="1"/>
          <w:numId w:val="8"/>
        </w:numPr>
        <w:kinsoku/>
        <w:wordWrap/>
        <w:overflowPunct/>
        <w:topLinePunct w:val="0"/>
        <w:autoSpaceDE/>
        <w:autoSpaceDN/>
        <w:bidi w:val="0"/>
        <w:adjustRightInd/>
        <w:spacing w:line="360" w:lineRule="auto"/>
        <w:ind w:left="0" w:firstLine="0"/>
        <w:jc w:val="both"/>
        <w:rPr>
          <w:color w:val="auto"/>
          <w:sz w:val="21"/>
          <w:szCs w:val="21"/>
          <w:highlight w:val="none"/>
        </w:rPr>
      </w:pPr>
      <w:r>
        <w:rPr>
          <w:color w:val="auto"/>
          <w:sz w:val="21"/>
          <w:szCs w:val="21"/>
          <w:highlight w:val="none"/>
        </w:rPr>
        <w:t>合同期内，</w:t>
      </w:r>
      <w:r>
        <w:rPr>
          <w:rFonts w:hint="eastAsia"/>
          <w:color w:val="auto"/>
          <w:sz w:val="21"/>
          <w:szCs w:val="21"/>
          <w:highlight w:val="none"/>
          <w:lang w:val="en-US" w:eastAsia="zh-CN"/>
        </w:rPr>
        <w:t>乙方</w:t>
      </w:r>
      <w:r>
        <w:rPr>
          <w:color w:val="auto"/>
          <w:sz w:val="21"/>
          <w:szCs w:val="21"/>
          <w:highlight w:val="none"/>
        </w:rPr>
        <w:t>未按时足额发放员工工资（含加班工资）的人数达 5 人以上的， 或</w:t>
      </w:r>
      <w:r>
        <w:rPr>
          <w:rFonts w:hint="eastAsia"/>
          <w:color w:val="auto"/>
          <w:sz w:val="21"/>
          <w:szCs w:val="21"/>
          <w:highlight w:val="none"/>
          <w:lang w:eastAsia="zh-CN"/>
        </w:rPr>
        <w:t>乙方</w:t>
      </w:r>
      <w:r>
        <w:rPr>
          <w:color w:val="auto"/>
          <w:sz w:val="21"/>
          <w:szCs w:val="21"/>
          <w:highlight w:val="none"/>
        </w:rPr>
        <w:t>拖欠任一名员工工资（含加班工资）达一个月以上的，或</w:t>
      </w:r>
      <w:r>
        <w:rPr>
          <w:rFonts w:hint="eastAsia"/>
          <w:color w:val="auto"/>
          <w:sz w:val="21"/>
          <w:szCs w:val="21"/>
          <w:highlight w:val="none"/>
          <w:lang w:val="en-US" w:eastAsia="zh-CN"/>
        </w:rPr>
        <w:t>乙方</w:t>
      </w:r>
      <w:r>
        <w:rPr>
          <w:color w:val="auto"/>
          <w:sz w:val="21"/>
          <w:szCs w:val="21"/>
          <w:highlight w:val="none"/>
        </w:rPr>
        <w:t>拖欠员工工资（含加班工资）数额达 5000 元以上的，或宁波市最低工资标准发生变化，</w:t>
      </w:r>
      <w:r>
        <w:rPr>
          <w:rFonts w:hint="eastAsia"/>
          <w:color w:val="auto"/>
          <w:sz w:val="21"/>
          <w:szCs w:val="21"/>
          <w:highlight w:val="none"/>
          <w:lang w:eastAsia="zh-CN"/>
        </w:rPr>
        <w:t>乙方</w:t>
      </w:r>
      <w:r>
        <w:rPr>
          <w:color w:val="auto"/>
          <w:sz w:val="21"/>
          <w:szCs w:val="21"/>
          <w:highlight w:val="none"/>
        </w:rPr>
        <w:t>拒绝予以相应调整的；将终止合同，经济损失和法律责任由</w:t>
      </w:r>
      <w:r>
        <w:rPr>
          <w:rFonts w:hint="eastAsia"/>
          <w:color w:val="auto"/>
          <w:sz w:val="21"/>
          <w:szCs w:val="21"/>
          <w:highlight w:val="none"/>
          <w:lang w:val="en-US" w:eastAsia="zh-CN"/>
        </w:rPr>
        <w:t>乙方</w:t>
      </w:r>
      <w:r>
        <w:rPr>
          <w:color w:val="auto"/>
          <w:sz w:val="21"/>
          <w:szCs w:val="21"/>
          <w:highlight w:val="none"/>
        </w:rPr>
        <w:t>承担。</w:t>
      </w:r>
    </w:p>
    <w:p>
      <w:pPr>
        <w:keepNext w:val="0"/>
        <w:keepLines w:val="0"/>
        <w:pageBreakBefore w:val="0"/>
        <w:widowControl/>
        <w:numPr>
          <w:ilvl w:val="1"/>
          <w:numId w:val="8"/>
        </w:numPr>
        <w:kinsoku/>
        <w:wordWrap/>
        <w:overflowPunct/>
        <w:topLinePunct w:val="0"/>
        <w:autoSpaceDE/>
        <w:autoSpaceDN/>
        <w:bidi w:val="0"/>
        <w:adjustRightInd/>
        <w:spacing w:line="360" w:lineRule="auto"/>
        <w:ind w:left="0" w:firstLine="0"/>
        <w:rPr>
          <w:color w:val="auto"/>
          <w:sz w:val="21"/>
          <w:szCs w:val="21"/>
          <w:highlight w:val="none"/>
        </w:rPr>
      </w:pPr>
      <w:r>
        <w:rPr>
          <w:rFonts w:hint="eastAsia"/>
          <w:color w:val="auto"/>
          <w:sz w:val="21"/>
          <w:szCs w:val="21"/>
          <w:highlight w:val="none"/>
          <w:lang w:val="en-US" w:eastAsia="zh-CN"/>
        </w:rPr>
        <w:t>乙方</w:t>
      </w:r>
      <w:r>
        <w:rPr>
          <w:color w:val="auto"/>
          <w:sz w:val="21"/>
          <w:szCs w:val="21"/>
          <w:highlight w:val="none"/>
        </w:rPr>
        <w:t>擅自将服务合同转包或部分分包给第三者，将终止合同，经济损失和法律责任由</w:t>
      </w:r>
      <w:r>
        <w:rPr>
          <w:rFonts w:hint="eastAsia"/>
          <w:color w:val="auto"/>
          <w:sz w:val="21"/>
          <w:szCs w:val="21"/>
          <w:highlight w:val="none"/>
          <w:lang w:val="en-US" w:eastAsia="zh-CN"/>
        </w:rPr>
        <w:t>乙方</w:t>
      </w:r>
      <w:r>
        <w:rPr>
          <w:color w:val="auto"/>
          <w:sz w:val="21"/>
          <w:szCs w:val="21"/>
          <w:highlight w:val="none"/>
        </w:rPr>
        <w:t>承担。</w:t>
      </w:r>
    </w:p>
    <w:p>
      <w:pPr>
        <w:keepNext w:val="0"/>
        <w:keepLines w:val="0"/>
        <w:pageBreakBefore w:val="0"/>
        <w:widowControl/>
        <w:numPr>
          <w:ilvl w:val="1"/>
          <w:numId w:val="8"/>
        </w:numPr>
        <w:kinsoku/>
        <w:wordWrap/>
        <w:overflowPunct/>
        <w:topLinePunct w:val="0"/>
        <w:autoSpaceDE/>
        <w:autoSpaceDN/>
        <w:bidi w:val="0"/>
        <w:adjustRightInd/>
        <w:spacing w:line="360" w:lineRule="auto"/>
        <w:ind w:left="0" w:firstLine="0"/>
        <w:rPr>
          <w:color w:val="auto"/>
          <w:sz w:val="21"/>
          <w:szCs w:val="21"/>
          <w:highlight w:val="none"/>
        </w:rPr>
      </w:pPr>
      <w:r>
        <w:rPr>
          <w:color w:val="auto"/>
          <w:sz w:val="21"/>
          <w:szCs w:val="21"/>
          <w:highlight w:val="none"/>
        </w:rPr>
        <w:t>违反劳动合同法或其他相关法律法规，造成恶劣影响，将终止合同，经济损失和法律责任由</w:t>
      </w:r>
      <w:r>
        <w:rPr>
          <w:rFonts w:hint="eastAsia"/>
          <w:color w:val="auto"/>
          <w:sz w:val="21"/>
          <w:szCs w:val="21"/>
          <w:highlight w:val="none"/>
          <w:lang w:val="en-US" w:eastAsia="zh-CN"/>
        </w:rPr>
        <w:t>乙方</w:t>
      </w:r>
      <w:r>
        <w:rPr>
          <w:color w:val="auto"/>
          <w:sz w:val="21"/>
          <w:szCs w:val="21"/>
          <w:highlight w:val="none"/>
        </w:rPr>
        <w:t>承担。</w:t>
      </w:r>
    </w:p>
    <w:p>
      <w:pPr>
        <w:keepNext w:val="0"/>
        <w:keepLines w:val="0"/>
        <w:pageBreakBefore w:val="0"/>
        <w:widowControl/>
        <w:kinsoku/>
        <w:wordWrap/>
        <w:overflowPunct/>
        <w:topLinePunct w:val="0"/>
        <w:autoSpaceDE/>
        <w:autoSpaceDN/>
        <w:bidi w:val="0"/>
        <w:adjustRightInd/>
        <w:spacing w:line="360" w:lineRule="auto"/>
        <w:ind w:left="0"/>
        <w:rPr>
          <w:color w:val="auto"/>
          <w:sz w:val="21"/>
          <w:szCs w:val="21"/>
          <w:highlight w:val="none"/>
        </w:rPr>
      </w:pPr>
      <w:r>
        <w:rPr>
          <w:color w:val="auto"/>
          <w:sz w:val="21"/>
          <w:szCs w:val="21"/>
          <w:highlight w:val="none"/>
        </w:rPr>
        <w:t>6.7 因国家建设需要或管理需要，需解除本合同的，采购单位将提前十五天通知</w:t>
      </w:r>
      <w:r>
        <w:rPr>
          <w:rFonts w:hint="eastAsia"/>
          <w:color w:val="auto"/>
          <w:sz w:val="21"/>
          <w:szCs w:val="21"/>
          <w:highlight w:val="none"/>
          <w:lang w:eastAsia="zh-CN"/>
        </w:rPr>
        <w:t>乙方</w:t>
      </w:r>
      <w:r>
        <w:rPr>
          <w:color w:val="auto"/>
          <w:sz w:val="21"/>
          <w:szCs w:val="21"/>
          <w:highlight w:val="none"/>
        </w:rPr>
        <w:t>，由此造成的经济损失，</w:t>
      </w:r>
      <w:r>
        <w:rPr>
          <w:rFonts w:hint="eastAsia"/>
          <w:color w:val="auto"/>
          <w:sz w:val="21"/>
          <w:szCs w:val="21"/>
          <w:highlight w:val="none"/>
          <w:lang w:eastAsia="zh-CN"/>
        </w:rPr>
        <w:t>甲方</w:t>
      </w:r>
      <w:r>
        <w:rPr>
          <w:color w:val="auto"/>
          <w:sz w:val="21"/>
          <w:szCs w:val="21"/>
          <w:highlight w:val="none"/>
        </w:rPr>
        <w:t>不负赔偿责任。</w:t>
      </w:r>
    </w:p>
    <w:p>
      <w:pPr>
        <w:keepNext w:val="0"/>
        <w:keepLines w:val="0"/>
        <w:pageBreakBefore w:val="0"/>
        <w:widowControl/>
        <w:kinsoku/>
        <w:wordWrap/>
        <w:overflowPunct/>
        <w:topLinePunct w:val="0"/>
        <w:autoSpaceDE/>
        <w:autoSpaceDN/>
        <w:bidi w:val="0"/>
        <w:adjustRightInd/>
        <w:spacing w:line="360" w:lineRule="auto"/>
        <w:ind w:left="0"/>
        <w:rPr>
          <w:color w:val="auto"/>
          <w:sz w:val="21"/>
          <w:szCs w:val="21"/>
          <w:highlight w:val="none"/>
        </w:rPr>
      </w:pPr>
      <w:r>
        <w:rPr>
          <w:rFonts w:hint="eastAsia"/>
          <w:color w:val="auto"/>
          <w:sz w:val="21"/>
          <w:szCs w:val="21"/>
          <w:highlight w:val="none"/>
          <w:lang w:val="en-US" w:eastAsia="zh-CN"/>
        </w:rPr>
        <w:t>7.乙方在服务过程中需充分考虑场地清理、环境卫生等问题，并进行合理处置。</w:t>
      </w:r>
    </w:p>
    <w:p>
      <w:pPr>
        <w:pStyle w:val="27"/>
        <w:keepNext w:val="0"/>
        <w:keepLines w:val="0"/>
        <w:pageBreakBefore w:val="0"/>
        <w:widowControl/>
        <w:numPr>
          <w:ilvl w:val="0"/>
          <w:numId w:val="6"/>
        </w:numPr>
        <w:kinsoku/>
        <w:wordWrap/>
        <w:overflowPunct/>
        <w:topLinePunct w:val="0"/>
        <w:autoSpaceDE/>
        <w:autoSpaceDN/>
        <w:bidi w:val="0"/>
        <w:adjustRightInd/>
        <w:spacing w:before="0" w:beforeLines="0" w:after="0" w:afterLines="0" w:line="360" w:lineRule="auto"/>
        <w:ind w:left="0"/>
        <w:jc w:val="both"/>
        <w:rPr>
          <w:rFonts w:hAnsi="宋体" w:cs="Arial"/>
          <w:b/>
          <w:bCs/>
          <w:color w:val="auto"/>
          <w:sz w:val="21"/>
          <w:szCs w:val="21"/>
          <w:highlight w:val="none"/>
        </w:rPr>
      </w:pPr>
      <w:r>
        <w:rPr>
          <w:rFonts w:hAnsi="宋体" w:cs="Arial"/>
          <w:b/>
          <w:bCs/>
          <w:color w:val="auto"/>
          <w:sz w:val="21"/>
          <w:szCs w:val="21"/>
          <w:highlight w:val="none"/>
        </w:rPr>
        <w:t>相关费用及服务期限</w:t>
      </w:r>
    </w:p>
    <w:p>
      <w:pPr>
        <w:keepNext w:val="0"/>
        <w:keepLines w:val="0"/>
        <w:pageBreakBefore w:val="0"/>
        <w:widowControl/>
        <w:kinsoku/>
        <w:wordWrap/>
        <w:overflowPunct/>
        <w:topLinePunct w:val="0"/>
        <w:autoSpaceDE/>
        <w:autoSpaceDN/>
        <w:bidi w:val="0"/>
        <w:adjustRightInd/>
        <w:spacing w:line="360" w:lineRule="auto"/>
        <w:ind w:left="0"/>
        <w:rPr>
          <w:b/>
          <w:color w:val="auto"/>
          <w:szCs w:val="21"/>
          <w:highlight w:val="none"/>
        </w:rPr>
      </w:pPr>
      <w:r>
        <w:rPr>
          <w:rFonts w:hint="eastAsia"/>
          <w:color w:val="auto"/>
          <w:szCs w:val="21"/>
          <w:highlight w:val="none"/>
        </w:rPr>
        <w:t>▲</w:t>
      </w:r>
      <w:r>
        <w:rPr>
          <w:b/>
          <w:color w:val="auto"/>
          <w:szCs w:val="21"/>
          <w:highlight w:val="none"/>
        </w:rPr>
        <w:t>1.本项目的投标报价包括投标报价包括</w:t>
      </w:r>
      <w:r>
        <w:rPr>
          <w:rFonts w:hint="eastAsia"/>
          <w:b/>
          <w:color w:val="auto"/>
          <w:szCs w:val="21"/>
          <w:highlight w:val="none"/>
        </w:rPr>
        <w:t>剥离</w:t>
      </w:r>
      <w:r>
        <w:rPr>
          <w:b/>
          <w:color w:val="auto"/>
          <w:szCs w:val="21"/>
          <w:highlight w:val="none"/>
        </w:rPr>
        <w:t>、运输、倾倒、平整及</w:t>
      </w:r>
      <w:r>
        <w:rPr>
          <w:rFonts w:hint="eastAsia"/>
          <w:b/>
          <w:color w:val="auto"/>
          <w:sz w:val="21"/>
          <w:szCs w:val="21"/>
          <w:highlight w:val="none"/>
          <w:lang w:val="en-US" w:eastAsia="zh-CN"/>
        </w:rPr>
        <w:t>合同期内</w:t>
      </w:r>
      <w:r>
        <w:rPr>
          <w:b/>
          <w:color w:val="auto"/>
          <w:szCs w:val="21"/>
          <w:highlight w:val="none"/>
        </w:rPr>
        <w:t>的堆放场地日常管理、登记台账、人员基本工资、各类福利和补贴（如加班补贴等）、社保（五金）、各种保险，作业工具等各类耗材费，设施设备管理维护费用（如：作业车辆的燃油费、折旧费及运行维护费等），垃圾处置费，管理费，税金，利润及其他与本次采购相关的一切费用。</w:t>
      </w:r>
    </w:p>
    <w:p>
      <w:pPr>
        <w:keepNext w:val="0"/>
        <w:keepLines w:val="0"/>
        <w:pageBreakBefore w:val="0"/>
        <w:widowControl/>
        <w:kinsoku/>
        <w:wordWrap/>
        <w:overflowPunct/>
        <w:topLinePunct w:val="0"/>
        <w:autoSpaceDE/>
        <w:autoSpaceDN/>
        <w:bidi w:val="0"/>
        <w:adjustRightInd/>
        <w:spacing w:line="360" w:lineRule="auto"/>
        <w:ind w:left="0"/>
        <w:rPr>
          <w:b/>
          <w:color w:val="auto"/>
          <w:szCs w:val="21"/>
          <w:highlight w:val="none"/>
        </w:rPr>
      </w:pPr>
      <w:r>
        <w:rPr>
          <w:b/>
          <w:color w:val="auto"/>
          <w:szCs w:val="21"/>
          <w:highlight w:val="none"/>
        </w:rPr>
        <w:t>3.本项目</w:t>
      </w:r>
      <w:r>
        <w:rPr>
          <w:rFonts w:hint="eastAsia"/>
          <w:b/>
          <w:color w:val="auto"/>
          <w:szCs w:val="21"/>
          <w:highlight w:val="none"/>
          <w:lang w:val="en-US"/>
        </w:rPr>
        <w:t>单个项目</w:t>
      </w:r>
      <w:r>
        <w:rPr>
          <w:b/>
          <w:color w:val="auto"/>
          <w:szCs w:val="21"/>
          <w:highlight w:val="none"/>
        </w:rPr>
        <w:t>服务期限为接业主通知后 20 天内完成全部地块的</w:t>
      </w:r>
      <w:r>
        <w:rPr>
          <w:rFonts w:hint="eastAsia"/>
          <w:b/>
          <w:color w:val="auto"/>
          <w:szCs w:val="21"/>
          <w:highlight w:val="none"/>
        </w:rPr>
        <w:t>耕作层</w:t>
      </w:r>
      <w:r>
        <w:rPr>
          <w:b/>
          <w:color w:val="auto"/>
          <w:szCs w:val="21"/>
          <w:highlight w:val="none"/>
        </w:rPr>
        <w:t>剥离及清运工作。</w:t>
      </w:r>
    </w:p>
    <w:p>
      <w:pPr>
        <w:pStyle w:val="27"/>
        <w:keepNext w:val="0"/>
        <w:keepLines w:val="0"/>
        <w:pageBreakBefore w:val="0"/>
        <w:widowControl/>
        <w:numPr>
          <w:ilvl w:val="0"/>
          <w:numId w:val="6"/>
        </w:numPr>
        <w:kinsoku/>
        <w:wordWrap/>
        <w:overflowPunct/>
        <w:topLinePunct w:val="0"/>
        <w:autoSpaceDE/>
        <w:autoSpaceDN/>
        <w:bidi w:val="0"/>
        <w:adjustRightInd/>
        <w:spacing w:before="0" w:beforeLines="0" w:after="0" w:afterLines="0" w:line="360" w:lineRule="auto"/>
        <w:ind w:left="0"/>
        <w:jc w:val="both"/>
        <w:rPr>
          <w:rFonts w:hint="eastAsia" w:hAnsi="宋体" w:cs="Arial"/>
          <w:b/>
          <w:bCs/>
          <w:color w:val="auto"/>
          <w:sz w:val="21"/>
          <w:szCs w:val="21"/>
          <w:highlight w:val="none"/>
        </w:rPr>
      </w:pPr>
      <w:r>
        <w:rPr>
          <w:rFonts w:hAnsi="宋体" w:cs="Arial"/>
          <w:b/>
          <w:bCs/>
          <w:color w:val="auto"/>
          <w:sz w:val="21"/>
          <w:szCs w:val="21"/>
          <w:highlight w:val="none"/>
        </w:rPr>
        <w:t>合同金额</w:t>
      </w:r>
    </w:p>
    <w:p>
      <w:pPr>
        <w:keepNext w:val="0"/>
        <w:keepLines w:val="0"/>
        <w:pageBreakBefore w:val="0"/>
        <w:widowControl/>
        <w:kinsoku/>
        <w:wordWrap/>
        <w:overflowPunct/>
        <w:topLinePunct w:val="0"/>
        <w:autoSpaceDE/>
        <w:autoSpaceDN/>
        <w:bidi w:val="0"/>
        <w:adjustRightInd/>
        <w:spacing w:line="360" w:lineRule="auto"/>
        <w:ind w:left="0"/>
        <w:rPr>
          <w:color w:val="auto"/>
          <w:sz w:val="21"/>
          <w:szCs w:val="21"/>
          <w:highlight w:val="none"/>
        </w:rPr>
      </w:pPr>
      <w:r>
        <w:rPr>
          <w:color w:val="auto"/>
          <w:sz w:val="21"/>
          <w:szCs w:val="21"/>
          <w:highlight w:val="none"/>
        </w:rPr>
        <w:t>1.本合同</w:t>
      </w:r>
      <w:r>
        <w:rPr>
          <w:rFonts w:hint="eastAsia"/>
          <w:color w:val="auto"/>
          <w:sz w:val="21"/>
          <w:szCs w:val="21"/>
          <w:highlight w:val="none"/>
          <w:lang w:val="en-US" w:eastAsia="zh-CN"/>
        </w:rPr>
        <w:t>预估总金额为</w:t>
      </w:r>
      <w:r>
        <w:rPr>
          <w:color w:val="auto"/>
          <w:sz w:val="21"/>
          <w:szCs w:val="21"/>
          <w:highlight w:val="none"/>
        </w:rPr>
        <w:t>（大写）：人民币</w:t>
      </w:r>
      <w:r>
        <w:rPr>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r>
        <w:rPr>
          <w:rFonts w:hint="eastAsia"/>
          <w:color w:val="auto"/>
          <w:sz w:val="21"/>
          <w:szCs w:val="21"/>
          <w:highlight w:val="none"/>
          <w:lang w:val="en-US" w:eastAsia="zh-CN"/>
        </w:rPr>
        <w:t>（小写¥</w:t>
      </w:r>
      <w:r>
        <w:rPr>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lang w:val="en-US"/>
        </w:rPr>
        <w:t xml:space="preserve">    </w:t>
      </w:r>
      <w:r>
        <w:rPr>
          <w:color w:val="auto"/>
          <w:sz w:val="21"/>
          <w:szCs w:val="21"/>
          <w:highlight w:val="none"/>
        </w:rPr>
        <w:t>元</w:t>
      </w:r>
      <w:r>
        <w:rPr>
          <w:rFonts w:hint="eastAsia"/>
          <w:color w:val="auto"/>
          <w:sz w:val="21"/>
          <w:szCs w:val="21"/>
          <w:highlight w:val="none"/>
          <w:lang w:val="en-US" w:eastAsia="zh-CN"/>
        </w:rPr>
        <w:t>）；</w:t>
      </w:r>
      <w:r>
        <w:rPr>
          <w:rFonts w:hint="eastAsia" w:ascii="宋体" w:hAnsi="宋体"/>
          <w:color w:val="auto"/>
          <w:szCs w:val="21"/>
          <w:highlight w:val="none"/>
        </w:rPr>
        <w:t>综合单价</w:t>
      </w:r>
      <w:r>
        <w:rPr>
          <w:color w:val="auto"/>
          <w:sz w:val="21"/>
          <w:szCs w:val="21"/>
          <w:highlight w:val="none"/>
        </w:rPr>
        <w:t>金额为（大写）：人民币</w:t>
      </w:r>
      <w:r>
        <w:rPr>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r>
        <w:rPr>
          <w:rFonts w:hint="eastAsia"/>
          <w:color w:val="auto"/>
          <w:sz w:val="21"/>
          <w:szCs w:val="21"/>
          <w:highlight w:val="none"/>
          <w:lang w:val="en-US" w:eastAsia="zh-CN"/>
        </w:rPr>
        <w:t>每立方米</w:t>
      </w:r>
      <w:r>
        <w:rPr>
          <w:rFonts w:hint="eastAsia"/>
          <w:color w:val="auto"/>
          <w:sz w:val="21"/>
          <w:szCs w:val="21"/>
          <w:highlight w:val="none"/>
          <w:lang w:eastAsia="zh-CN"/>
        </w:rPr>
        <w:t>（</w:t>
      </w:r>
      <w:r>
        <w:rPr>
          <w:rFonts w:hint="eastAsia"/>
          <w:color w:val="auto"/>
          <w:sz w:val="21"/>
          <w:szCs w:val="21"/>
          <w:highlight w:val="none"/>
          <w:lang w:val="en-US" w:eastAsia="zh-CN"/>
        </w:rPr>
        <w:t>小写¥</w:t>
      </w:r>
      <w:r>
        <w:rPr>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lang w:val="en-US"/>
        </w:rPr>
        <w:t xml:space="preserve">    </w:t>
      </w:r>
      <w:r>
        <w:rPr>
          <w:color w:val="auto"/>
          <w:sz w:val="21"/>
          <w:szCs w:val="21"/>
          <w:highlight w:val="none"/>
        </w:rPr>
        <w:t xml:space="preserve">元/ </w:t>
      </w:r>
      <w:r>
        <w:rPr>
          <w:rFonts w:hint="eastAsia"/>
          <w:color w:val="auto"/>
          <w:sz w:val="21"/>
          <w:szCs w:val="21"/>
          <w:highlight w:val="none"/>
        </w:rPr>
        <w:t>m³</w:t>
      </w:r>
      <w:r>
        <w:rPr>
          <w:rFonts w:hint="eastAsia"/>
          <w:color w:val="auto"/>
          <w:sz w:val="21"/>
          <w:szCs w:val="21"/>
          <w:highlight w:val="none"/>
          <w:lang w:eastAsia="zh-CN"/>
        </w:rPr>
        <w:t>）</w:t>
      </w:r>
      <w:r>
        <w:rPr>
          <w:color w:val="auto"/>
          <w:sz w:val="21"/>
          <w:szCs w:val="21"/>
          <w:highlight w:val="none"/>
        </w:rPr>
        <w:t>。此费用包括</w:t>
      </w:r>
      <w:r>
        <w:rPr>
          <w:rFonts w:hint="eastAsia"/>
          <w:color w:val="auto"/>
          <w:sz w:val="21"/>
          <w:szCs w:val="21"/>
          <w:highlight w:val="none"/>
        </w:rPr>
        <w:t>剥离、</w:t>
      </w:r>
      <w:r>
        <w:rPr>
          <w:color w:val="auto"/>
          <w:sz w:val="21"/>
          <w:szCs w:val="21"/>
          <w:highlight w:val="none"/>
        </w:rPr>
        <w:t>运输</w:t>
      </w:r>
      <w:r>
        <w:rPr>
          <w:rFonts w:hint="eastAsia"/>
          <w:color w:val="auto"/>
          <w:sz w:val="21"/>
          <w:szCs w:val="21"/>
          <w:highlight w:val="none"/>
        </w:rPr>
        <w:t>、</w:t>
      </w:r>
      <w:r>
        <w:rPr>
          <w:color w:val="auto"/>
          <w:sz w:val="21"/>
          <w:szCs w:val="21"/>
          <w:highlight w:val="none"/>
        </w:rPr>
        <w:t>倾倒</w:t>
      </w:r>
      <w:r>
        <w:rPr>
          <w:rFonts w:hint="eastAsia"/>
          <w:color w:val="auto"/>
          <w:sz w:val="21"/>
          <w:szCs w:val="21"/>
          <w:highlight w:val="none"/>
        </w:rPr>
        <w:t>、</w:t>
      </w:r>
      <w:r>
        <w:rPr>
          <w:color w:val="auto"/>
          <w:sz w:val="21"/>
          <w:szCs w:val="21"/>
          <w:highlight w:val="none"/>
        </w:rPr>
        <w:t>平整及</w:t>
      </w:r>
      <w:r>
        <w:rPr>
          <w:rFonts w:hint="eastAsia"/>
          <w:b/>
          <w:color w:val="auto"/>
          <w:sz w:val="21"/>
          <w:szCs w:val="21"/>
          <w:highlight w:val="none"/>
          <w:lang w:val="en-US" w:eastAsia="zh-CN"/>
        </w:rPr>
        <w:t>合同期内</w:t>
      </w:r>
      <w:r>
        <w:rPr>
          <w:color w:val="auto"/>
          <w:sz w:val="21"/>
          <w:szCs w:val="21"/>
          <w:highlight w:val="none"/>
        </w:rPr>
        <w:t>的堆放场地日常管理</w:t>
      </w:r>
      <w:r>
        <w:rPr>
          <w:rFonts w:hint="eastAsia"/>
          <w:color w:val="auto"/>
          <w:sz w:val="21"/>
          <w:szCs w:val="21"/>
          <w:highlight w:val="none"/>
        </w:rPr>
        <w:t>、</w:t>
      </w:r>
      <w:r>
        <w:rPr>
          <w:color w:val="auto"/>
          <w:sz w:val="21"/>
          <w:szCs w:val="21"/>
          <w:highlight w:val="none"/>
        </w:rPr>
        <w:t>登记台账</w:t>
      </w:r>
      <w:r>
        <w:rPr>
          <w:rFonts w:hint="eastAsia"/>
          <w:color w:val="auto"/>
          <w:sz w:val="21"/>
          <w:szCs w:val="21"/>
          <w:highlight w:val="none"/>
        </w:rPr>
        <w:t>、</w:t>
      </w:r>
      <w:r>
        <w:rPr>
          <w:color w:val="auto"/>
          <w:sz w:val="21"/>
          <w:szCs w:val="21"/>
          <w:highlight w:val="none"/>
        </w:rPr>
        <w:t>人员基本工资、各类福利和补贴（如加班补贴等）、社保（五金）、各种保险，作业工具等各类耗材费，设施设备管理维护费用（如：作业车辆的燃油费、折旧费及运行维护费等），垃圾处置费，管理费，税金，利润及其他与本次采购相关的一切费用。</w:t>
      </w:r>
    </w:p>
    <w:p>
      <w:pPr>
        <w:keepNext w:val="0"/>
        <w:keepLines w:val="0"/>
        <w:pageBreakBefore w:val="0"/>
        <w:widowControl/>
        <w:kinsoku/>
        <w:wordWrap/>
        <w:overflowPunct/>
        <w:topLinePunct w:val="0"/>
        <w:autoSpaceDE/>
        <w:autoSpaceDN/>
        <w:bidi w:val="0"/>
        <w:adjustRightInd/>
        <w:spacing w:line="360" w:lineRule="auto"/>
        <w:ind w:left="0"/>
        <w:rPr>
          <w:rFonts w:hint="eastAsia"/>
          <w:color w:val="auto"/>
          <w:sz w:val="21"/>
          <w:szCs w:val="21"/>
          <w:highlight w:val="none"/>
        </w:rPr>
      </w:pPr>
      <w:r>
        <w:rPr>
          <w:color w:val="auto"/>
          <w:sz w:val="21"/>
          <w:szCs w:val="21"/>
          <w:highlight w:val="none"/>
        </w:rPr>
        <w:t>2. 合同期内综合单价不因市场和政策等因素的变动而调整，</w:t>
      </w:r>
      <w:r>
        <w:rPr>
          <w:b/>
          <w:color w:val="auto"/>
          <w:sz w:val="21"/>
          <w:szCs w:val="21"/>
          <w:highlight w:val="none"/>
        </w:rPr>
        <w:t>根据实际深度计算，低于测量深度（31㎝），则结合中标单价，按实结算；大于测量深度（31㎝），则按31㎝计算，不作调整。</w:t>
      </w:r>
      <w:r>
        <w:rPr>
          <w:color w:val="auto"/>
          <w:sz w:val="21"/>
          <w:szCs w:val="21"/>
          <w:highlight w:val="none"/>
        </w:rPr>
        <w:t>则本项目合同价款包干，不作调整。综合单价按</w:t>
      </w:r>
      <w:r>
        <w:rPr>
          <w:b/>
          <w:color w:val="auto"/>
          <w:sz w:val="21"/>
          <w:szCs w:val="21"/>
          <w:highlight w:val="none"/>
        </w:rPr>
        <w:t>处置场地管理</w:t>
      </w:r>
      <w:r>
        <w:rPr>
          <w:rFonts w:hint="eastAsia"/>
          <w:b/>
          <w:color w:val="auto"/>
          <w:sz w:val="21"/>
          <w:szCs w:val="21"/>
          <w:highlight w:val="none"/>
        </w:rPr>
        <w:t>剥离 运输 倾倒 平整及</w:t>
      </w:r>
      <w:r>
        <w:rPr>
          <w:rFonts w:hint="eastAsia"/>
          <w:b/>
          <w:color w:val="auto"/>
          <w:sz w:val="21"/>
          <w:szCs w:val="21"/>
          <w:highlight w:val="none"/>
          <w:lang w:val="en-US" w:eastAsia="zh-CN"/>
        </w:rPr>
        <w:t>合同期内</w:t>
      </w:r>
      <w:r>
        <w:rPr>
          <w:rFonts w:hint="eastAsia"/>
          <w:b/>
          <w:color w:val="auto"/>
          <w:sz w:val="21"/>
          <w:szCs w:val="21"/>
          <w:highlight w:val="none"/>
        </w:rPr>
        <w:t>的堆放场地日常管理 登记台</w:t>
      </w:r>
      <w:r>
        <w:rPr>
          <w:color w:val="auto"/>
          <w:sz w:val="21"/>
          <w:szCs w:val="21"/>
          <w:highlight w:val="none"/>
        </w:rPr>
        <w:t>等综合报价，工作内容包括场内短驳、临时便道的新建、铺设钢板、杂物清理、场地平整、过路费、外运、处置</w:t>
      </w:r>
      <w:r>
        <w:rPr>
          <w:b/>
          <w:color w:val="auto"/>
          <w:sz w:val="21"/>
          <w:szCs w:val="21"/>
          <w:highlight w:val="none"/>
        </w:rPr>
        <w:t>、处置场地管理</w:t>
      </w:r>
      <w:r>
        <w:rPr>
          <w:color w:val="auto"/>
          <w:sz w:val="21"/>
          <w:szCs w:val="21"/>
          <w:highlight w:val="none"/>
        </w:rPr>
        <w:t>等一切内容包含的费用，</w:t>
      </w:r>
      <w:r>
        <w:rPr>
          <w:rFonts w:hint="eastAsia"/>
          <w:b/>
          <w:color w:val="auto"/>
          <w:sz w:val="21"/>
          <w:szCs w:val="21"/>
          <w:highlight w:val="none"/>
        </w:rPr>
        <w:t>外运运距</w:t>
      </w:r>
      <w:r>
        <w:rPr>
          <w:b/>
          <w:color w:val="auto"/>
          <w:sz w:val="21"/>
          <w:szCs w:val="21"/>
          <w:highlight w:val="none"/>
        </w:rPr>
        <w:t>10km以内的不作调整，超过10km运费参照《关于公布宁波市中心城区建筑渣土处理费市场信息参考价的通知》</w:t>
      </w:r>
      <w:r>
        <w:rPr>
          <w:rFonts w:hint="eastAsia"/>
          <w:b/>
          <w:color w:val="auto"/>
          <w:sz w:val="21"/>
          <w:szCs w:val="21"/>
          <w:highlight w:val="none"/>
        </w:rPr>
        <w:t>计算</w:t>
      </w:r>
      <w:r>
        <w:rPr>
          <w:color w:val="auto"/>
          <w:sz w:val="21"/>
          <w:szCs w:val="21"/>
          <w:highlight w:val="none"/>
        </w:rPr>
        <w:t>。</w:t>
      </w:r>
    </w:p>
    <w:p>
      <w:pPr>
        <w:pStyle w:val="27"/>
        <w:keepNext w:val="0"/>
        <w:keepLines w:val="0"/>
        <w:pageBreakBefore w:val="0"/>
        <w:widowControl/>
        <w:numPr>
          <w:ilvl w:val="0"/>
          <w:numId w:val="6"/>
        </w:numPr>
        <w:kinsoku/>
        <w:wordWrap/>
        <w:overflowPunct/>
        <w:topLinePunct w:val="0"/>
        <w:autoSpaceDE/>
        <w:autoSpaceDN/>
        <w:bidi w:val="0"/>
        <w:adjustRightInd/>
        <w:snapToGrid w:val="0"/>
        <w:spacing w:before="0" w:beforeLines="0" w:after="0" w:afterLines="0" w:line="360" w:lineRule="auto"/>
        <w:ind w:left="0"/>
        <w:jc w:val="both"/>
        <w:rPr>
          <w:b/>
          <w:color w:val="auto"/>
          <w:szCs w:val="21"/>
          <w:highlight w:val="none"/>
        </w:rPr>
      </w:pPr>
      <w:r>
        <w:rPr>
          <w:rFonts w:hint="eastAsia" w:hAnsi="宋体" w:cs="Arial"/>
          <w:b/>
          <w:bCs/>
          <w:color w:val="auto"/>
          <w:sz w:val="21"/>
          <w:szCs w:val="21"/>
          <w:highlight w:val="none"/>
        </w:rPr>
        <w:t>付款方式：</w:t>
      </w:r>
      <w:r>
        <w:rPr>
          <w:rFonts w:hint="eastAsia" w:hAnsi="Calibri"/>
          <w:color w:val="auto"/>
          <w:sz w:val="21"/>
          <w:szCs w:val="21"/>
          <w:highlight w:val="none"/>
          <w:u w:val="single"/>
          <w:lang w:val="en-US" w:eastAsia="zh-CN" w:bidi="ar-SA"/>
        </w:rPr>
        <w:t xml:space="preserve">                            </w:t>
      </w:r>
      <w:r>
        <w:rPr>
          <w:rFonts w:hint="eastAsia" w:hAnsi="Calibri"/>
          <w:color w:val="auto"/>
          <w:sz w:val="21"/>
          <w:szCs w:val="21"/>
          <w:highlight w:val="none"/>
          <w:lang w:val="en-US" w:eastAsia="zh-CN" w:bidi="ar-SA"/>
        </w:rPr>
        <w:t xml:space="preserve"> </w:t>
      </w:r>
      <w:r>
        <w:rPr>
          <w:rFonts w:hint="eastAsia" w:hAnsi="Calibri"/>
          <w:color w:val="auto"/>
          <w:sz w:val="21"/>
          <w:szCs w:val="21"/>
          <w:highlight w:val="none"/>
          <w:lang w:val="en-US" w:bidi="ar-SA"/>
        </w:rPr>
        <w:t>。</w:t>
      </w:r>
    </w:p>
    <w:p>
      <w:pPr>
        <w:pStyle w:val="27"/>
        <w:keepNext w:val="0"/>
        <w:keepLines w:val="0"/>
        <w:pageBreakBefore w:val="0"/>
        <w:widowControl/>
        <w:numPr>
          <w:ilvl w:val="0"/>
          <w:numId w:val="6"/>
        </w:numPr>
        <w:kinsoku/>
        <w:wordWrap/>
        <w:overflowPunct/>
        <w:topLinePunct w:val="0"/>
        <w:autoSpaceDE/>
        <w:autoSpaceDN/>
        <w:bidi w:val="0"/>
        <w:adjustRightInd/>
        <w:snapToGrid w:val="0"/>
        <w:spacing w:before="0" w:beforeLines="0" w:after="0" w:afterLines="0" w:line="360" w:lineRule="auto"/>
        <w:ind w:left="0"/>
        <w:jc w:val="both"/>
        <w:rPr>
          <w:b/>
          <w:color w:val="auto"/>
          <w:szCs w:val="21"/>
          <w:highlight w:val="none"/>
        </w:rPr>
      </w:pPr>
      <w:r>
        <w:rPr>
          <w:rFonts w:hint="eastAsia" w:hAnsi="宋体" w:cs="Arial"/>
          <w:b/>
          <w:bCs/>
          <w:color w:val="auto"/>
          <w:sz w:val="21"/>
          <w:szCs w:val="21"/>
          <w:highlight w:val="none"/>
        </w:rPr>
        <w:t>服务期限：</w:t>
      </w:r>
      <w:r>
        <w:rPr>
          <w:rFonts w:hint="eastAsia" w:hAnsi="Calibri"/>
          <w:color w:val="auto"/>
          <w:sz w:val="21"/>
          <w:szCs w:val="21"/>
          <w:highlight w:val="none"/>
          <w:u w:val="single"/>
          <w:lang w:val="en-US" w:eastAsia="zh-CN" w:bidi="ar-SA"/>
        </w:rPr>
        <w:t xml:space="preserve">                            </w:t>
      </w:r>
      <w:r>
        <w:rPr>
          <w:rFonts w:hint="eastAsia" w:hAnsi="Calibri"/>
          <w:color w:val="auto"/>
          <w:sz w:val="21"/>
          <w:szCs w:val="21"/>
          <w:highlight w:val="none"/>
          <w:lang w:val="en-US" w:eastAsia="zh-CN" w:bidi="ar-SA"/>
        </w:rPr>
        <w:t xml:space="preserve"> </w:t>
      </w:r>
      <w:r>
        <w:rPr>
          <w:rFonts w:hint="eastAsia" w:hAnsi="Calibri"/>
          <w:color w:val="auto"/>
          <w:sz w:val="21"/>
          <w:szCs w:val="21"/>
          <w:highlight w:val="none"/>
          <w:lang w:val="en-US" w:bidi="ar-SA"/>
        </w:rPr>
        <w:t>。</w:t>
      </w:r>
    </w:p>
    <w:p>
      <w:pPr>
        <w:pStyle w:val="27"/>
        <w:keepNext w:val="0"/>
        <w:keepLines w:val="0"/>
        <w:pageBreakBefore w:val="0"/>
        <w:widowControl/>
        <w:numPr>
          <w:ilvl w:val="0"/>
          <w:numId w:val="6"/>
        </w:numPr>
        <w:kinsoku/>
        <w:wordWrap/>
        <w:overflowPunct/>
        <w:topLinePunct w:val="0"/>
        <w:autoSpaceDE/>
        <w:autoSpaceDN/>
        <w:bidi w:val="0"/>
        <w:adjustRightInd/>
        <w:spacing w:before="0" w:beforeLines="0" w:after="0" w:afterLines="0" w:line="360" w:lineRule="auto"/>
        <w:ind w:left="0"/>
        <w:jc w:val="both"/>
        <w:rPr>
          <w:rFonts w:hAnsi="宋体" w:cs="Arial"/>
          <w:b/>
          <w:bCs/>
          <w:color w:val="auto"/>
          <w:sz w:val="21"/>
          <w:szCs w:val="21"/>
          <w:highlight w:val="none"/>
        </w:rPr>
      </w:pPr>
      <w:r>
        <w:rPr>
          <w:rFonts w:hint="eastAsia" w:hAnsi="宋体" w:cs="Arial"/>
          <w:b/>
          <w:bCs/>
          <w:color w:val="auto"/>
          <w:sz w:val="21"/>
          <w:szCs w:val="21"/>
          <w:highlight w:val="none"/>
        </w:rPr>
        <w:t>转包或分包：</w:t>
      </w:r>
    </w:p>
    <w:p>
      <w:pPr>
        <w:keepNext w:val="0"/>
        <w:keepLines w:val="0"/>
        <w:pageBreakBefore w:val="0"/>
        <w:kinsoku/>
        <w:wordWrap/>
        <w:overflowPunct/>
        <w:topLinePunct w:val="0"/>
        <w:autoSpaceDE/>
        <w:autoSpaceDN/>
        <w:bidi w:val="0"/>
        <w:adjustRightInd/>
        <w:snapToGrid w:val="0"/>
        <w:spacing w:line="360" w:lineRule="auto"/>
        <w:ind w:left="0" w:firstLine="210" w:firstLineChars="100"/>
        <w:rPr>
          <w:rFonts w:hint="eastAsia"/>
          <w:color w:val="auto"/>
          <w:sz w:val="21"/>
          <w:szCs w:val="21"/>
          <w:highlight w:val="none"/>
        </w:rPr>
      </w:pPr>
      <w:r>
        <w:rPr>
          <w:color w:val="auto"/>
          <w:sz w:val="21"/>
          <w:szCs w:val="21"/>
          <w:highlight w:val="none"/>
        </w:rPr>
        <w:t>1</w:t>
      </w:r>
      <w:r>
        <w:rPr>
          <w:rFonts w:hint="eastAsia"/>
          <w:color w:val="auto"/>
          <w:sz w:val="21"/>
          <w:szCs w:val="21"/>
          <w:highlight w:val="none"/>
        </w:rPr>
        <w:t>.本合同范围的服务，应由</w:t>
      </w:r>
      <w:r>
        <w:rPr>
          <w:color w:val="auto"/>
          <w:sz w:val="21"/>
          <w:szCs w:val="21"/>
          <w:highlight w:val="none"/>
        </w:rPr>
        <w:t>乙</w:t>
      </w:r>
      <w:r>
        <w:rPr>
          <w:rFonts w:hint="eastAsia"/>
          <w:color w:val="auto"/>
          <w:sz w:val="21"/>
          <w:szCs w:val="21"/>
          <w:highlight w:val="none"/>
        </w:rPr>
        <w:t>方直接供应，不得转让他人供应；</w:t>
      </w:r>
    </w:p>
    <w:p>
      <w:pPr>
        <w:keepNext w:val="0"/>
        <w:keepLines w:val="0"/>
        <w:pageBreakBefore w:val="0"/>
        <w:kinsoku/>
        <w:wordWrap/>
        <w:overflowPunct/>
        <w:topLinePunct w:val="0"/>
        <w:autoSpaceDE/>
        <w:autoSpaceDN/>
        <w:bidi w:val="0"/>
        <w:adjustRightInd/>
        <w:snapToGrid w:val="0"/>
        <w:spacing w:line="360" w:lineRule="auto"/>
        <w:ind w:left="0" w:firstLine="210" w:firstLineChars="100"/>
        <w:rPr>
          <w:rFonts w:hint="eastAsia"/>
          <w:color w:val="auto"/>
          <w:sz w:val="21"/>
          <w:szCs w:val="21"/>
          <w:highlight w:val="none"/>
        </w:rPr>
      </w:pPr>
      <w:r>
        <w:rPr>
          <w:color w:val="auto"/>
          <w:sz w:val="21"/>
          <w:szCs w:val="21"/>
          <w:highlight w:val="none"/>
        </w:rPr>
        <w:t>2</w:t>
      </w:r>
      <w:r>
        <w:rPr>
          <w:rFonts w:hint="eastAsia"/>
          <w:color w:val="auto"/>
          <w:sz w:val="21"/>
          <w:szCs w:val="21"/>
          <w:highlight w:val="none"/>
        </w:rPr>
        <w:t>.</w:t>
      </w:r>
      <w:r>
        <w:rPr>
          <w:color w:val="auto"/>
          <w:sz w:val="21"/>
          <w:szCs w:val="21"/>
          <w:highlight w:val="none"/>
        </w:rPr>
        <w:t xml:space="preserve"> </w:t>
      </w:r>
      <w:r>
        <w:rPr>
          <w:rFonts w:hint="eastAsia"/>
          <w:color w:val="auto"/>
          <w:sz w:val="21"/>
          <w:szCs w:val="21"/>
          <w:highlight w:val="none"/>
        </w:rPr>
        <w:t>除非得到甲方的书面同意，</w:t>
      </w:r>
      <w:r>
        <w:rPr>
          <w:color w:val="auto"/>
          <w:sz w:val="21"/>
          <w:szCs w:val="21"/>
          <w:highlight w:val="none"/>
        </w:rPr>
        <w:t>乙</w:t>
      </w:r>
      <w:r>
        <w:rPr>
          <w:rFonts w:hint="eastAsia"/>
          <w:color w:val="auto"/>
          <w:sz w:val="21"/>
          <w:szCs w:val="21"/>
          <w:highlight w:val="none"/>
        </w:rPr>
        <w:t>方不得将本合同范围的服务全部或部分分包给他人供应；</w:t>
      </w:r>
    </w:p>
    <w:p>
      <w:pPr>
        <w:keepNext w:val="0"/>
        <w:keepLines w:val="0"/>
        <w:pageBreakBefore w:val="0"/>
        <w:kinsoku/>
        <w:wordWrap/>
        <w:overflowPunct/>
        <w:topLinePunct w:val="0"/>
        <w:autoSpaceDE/>
        <w:autoSpaceDN/>
        <w:bidi w:val="0"/>
        <w:adjustRightInd/>
        <w:snapToGrid w:val="0"/>
        <w:spacing w:line="360" w:lineRule="auto"/>
        <w:ind w:left="0" w:firstLine="210" w:firstLineChars="100"/>
        <w:rPr>
          <w:rFonts w:hint="eastAsia"/>
          <w:color w:val="auto"/>
          <w:sz w:val="21"/>
          <w:szCs w:val="21"/>
          <w:highlight w:val="none"/>
        </w:rPr>
      </w:pPr>
      <w:r>
        <w:rPr>
          <w:color w:val="auto"/>
          <w:sz w:val="21"/>
          <w:szCs w:val="21"/>
          <w:highlight w:val="none"/>
        </w:rPr>
        <w:t>3</w:t>
      </w:r>
      <w:r>
        <w:rPr>
          <w:rFonts w:hint="eastAsia"/>
          <w:color w:val="auto"/>
          <w:sz w:val="21"/>
          <w:szCs w:val="21"/>
          <w:highlight w:val="none"/>
        </w:rPr>
        <w:t>.如有转让和未经甲方同意的分包行为，甲方有权解除合同，并追究乙方的违约责任。</w:t>
      </w:r>
    </w:p>
    <w:p>
      <w:pPr>
        <w:pStyle w:val="27"/>
        <w:keepNext w:val="0"/>
        <w:keepLines w:val="0"/>
        <w:pageBreakBefore w:val="0"/>
        <w:numPr>
          <w:ilvl w:val="0"/>
          <w:numId w:val="6"/>
        </w:numPr>
        <w:kinsoku/>
        <w:wordWrap/>
        <w:overflowPunct/>
        <w:topLinePunct w:val="0"/>
        <w:autoSpaceDE/>
        <w:autoSpaceDN/>
        <w:bidi w:val="0"/>
        <w:adjustRightInd/>
        <w:snapToGrid w:val="0"/>
        <w:spacing w:before="0" w:beforeLines="0" w:after="0" w:afterLines="0" w:line="360" w:lineRule="auto"/>
        <w:ind w:left="0" w:hanging="360"/>
        <w:jc w:val="both"/>
        <w:rPr>
          <w:rFonts w:hAnsi="宋体"/>
          <w:b/>
          <w:color w:val="auto"/>
          <w:sz w:val="21"/>
          <w:szCs w:val="21"/>
          <w:highlight w:val="none"/>
        </w:rPr>
      </w:pPr>
      <w:r>
        <w:rPr>
          <w:rFonts w:hAnsi="宋体"/>
          <w:b/>
          <w:color w:val="auto"/>
          <w:sz w:val="21"/>
          <w:szCs w:val="21"/>
          <w:highlight w:val="none"/>
        </w:rPr>
        <w:t>知识产权</w:t>
      </w:r>
    </w:p>
    <w:p>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left="0"/>
        <w:rPr>
          <w:rFonts w:hAnsi="宋体"/>
          <w:b/>
          <w:bCs/>
          <w:color w:val="auto"/>
          <w:sz w:val="21"/>
          <w:szCs w:val="21"/>
          <w:highlight w:val="none"/>
        </w:rPr>
      </w:pPr>
      <w:r>
        <w:rPr>
          <w:rFonts w:hAnsi="宋体"/>
          <w:color w:val="auto"/>
          <w:sz w:val="21"/>
          <w:szCs w:val="21"/>
          <w:highlight w:val="none"/>
        </w:rPr>
        <w:t>乙方应保证提供服务过程中不会侵犯任何第三方的</w:t>
      </w:r>
      <w:r>
        <w:rPr>
          <w:rFonts w:hAnsi="宋体"/>
          <w:b/>
          <w:color w:val="auto"/>
          <w:sz w:val="21"/>
          <w:szCs w:val="21"/>
          <w:highlight w:val="none"/>
        </w:rPr>
        <w:t>知识产权</w:t>
      </w:r>
      <w:r>
        <w:rPr>
          <w:rFonts w:hAnsi="宋体"/>
          <w:b/>
          <w:bCs/>
          <w:color w:val="auto"/>
          <w:sz w:val="21"/>
          <w:szCs w:val="21"/>
          <w:highlight w:val="none"/>
        </w:rPr>
        <w:t>。</w:t>
      </w:r>
    </w:p>
    <w:p>
      <w:pPr>
        <w:pStyle w:val="27"/>
        <w:keepNext w:val="0"/>
        <w:keepLines w:val="0"/>
        <w:pageBreakBefore w:val="0"/>
        <w:widowControl/>
        <w:numPr>
          <w:ilvl w:val="0"/>
          <w:numId w:val="6"/>
        </w:numPr>
        <w:kinsoku/>
        <w:wordWrap/>
        <w:overflowPunct/>
        <w:topLinePunct w:val="0"/>
        <w:autoSpaceDE/>
        <w:autoSpaceDN/>
        <w:bidi w:val="0"/>
        <w:adjustRightInd/>
        <w:spacing w:before="0" w:beforeLines="0" w:after="0" w:afterLines="0" w:line="360" w:lineRule="auto"/>
        <w:ind w:left="0"/>
        <w:jc w:val="both"/>
        <w:rPr>
          <w:rFonts w:hint="eastAsia" w:hAnsi="宋体" w:cs="Arial"/>
          <w:b/>
          <w:bCs/>
          <w:color w:val="auto"/>
          <w:sz w:val="21"/>
          <w:szCs w:val="21"/>
          <w:highlight w:val="none"/>
        </w:rPr>
      </w:pPr>
      <w:r>
        <w:rPr>
          <w:rFonts w:hint="eastAsia" w:hAnsi="宋体" w:cs="Arial"/>
          <w:b/>
          <w:bCs/>
          <w:color w:val="auto"/>
          <w:sz w:val="21"/>
          <w:szCs w:val="21"/>
          <w:highlight w:val="none"/>
        </w:rPr>
        <w:t>人员要求</w:t>
      </w:r>
    </w:p>
    <w:p>
      <w:pPr>
        <w:keepNext w:val="0"/>
        <w:keepLines w:val="0"/>
        <w:pageBreakBefore w:val="0"/>
        <w:widowControl/>
        <w:numPr>
          <w:ilvl w:val="0"/>
          <w:numId w:val="9"/>
        </w:numPr>
        <w:kinsoku/>
        <w:wordWrap/>
        <w:overflowPunct/>
        <w:topLinePunct w:val="0"/>
        <w:autoSpaceDE/>
        <w:autoSpaceDN/>
        <w:bidi w:val="0"/>
        <w:adjustRightInd/>
        <w:spacing w:line="360" w:lineRule="auto"/>
        <w:ind w:left="0"/>
        <w:textAlignment w:val="bottom"/>
        <w:rPr>
          <w:rFonts w:hint="eastAsia"/>
          <w:bCs/>
          <w:color w:val="auto"/>
          <w:szCs w:val="21"/>
          <w:highlight w:val="none"/>
        </w:rPr>
      </w:pPr>
      <w:r>
        <w:rPr>
          <w:rFonts w:hint="eastAsia"/>
          <w:color w:val="auto"/>
          <w:sz w:val="21"/>
          <w:szCs w:val="21"/>
          <w:highlight w:val="none"/>
        </w:rPr>
        <w:t>乙方拟派项目经理姓名：</w:t>
      </w:r>
      <w:r>
        <w:rPr>
          <w:rFonts w:hint="eastAsia" w:cs="Arial"/>
          <w:bCs/>
          <w:color w:val="auto"/>
          <w:szCs w:val="21"/>
          <w:highlight w:val="none"/>
          <w:u w:val="single"/>
        </w:rPr>
        <w:t xml:space="preserve">                </w:t>
      </w:r>
      <w:r>
        <w:rPr>
          <w:rFonts w:hint="eastAsia" w:cs="Arial"/>
          <w:bCs/>
          <w:color w:val="auto"/>
          <w:szCs w:val="21"/>
          <w:highlight w:val="none"/>
        </w:rPr>
        <w:t>，</w:t>
      </w:r>
      <w:r>
        <w:rPr>
          <w:rFonts w:hint="eastAsia"/>
          <w:bCs/>
          <w:color w:val="auto"/>
          <w:szCs w:val="21"/>
          <w:highlight w:val="none"/>
        </w:rPr>
        <w:t xml:space="preserve"> </w:t>
      </w:r>
    </w:p>
    <w:p>
      <w:pPr>
        <w:pStyle w:val="27"/>
        <w:keepNext w:val="0"/>
        <w:keepLines w:val="0"/>
        <w:pageBreakBefore w:val="0"/>
        <w:widowControl/>
        <w:numPr>
          <w:ilvl w:val="0"/>
          <w:numId w:val="6"/>
        </w:numPr>
        <w:kinsoku/>
        <w:wordWrap/>
        <w:overflowPunct/>
        <w:topLinePunct w:val="0"/>
        <w:autoSpaceDE/>
        <w:autoSpaceDN/>
        <w:bidi w:val="0"/>
        <w:adjustRightInd/>
        <w:spacing w:before="0" w:beforeLines="0" w:after="0" w:afterLines="0" w:line="360" w:lineRule="auto"/>
        <w:ind w:left="0"/>
        <w:rPr>
          <w:rFonts w:hint="eastAsia" w:hAnsi="宋体" w:cs="Arial"/>
          <w:b/>
          <w:bCs/>
          <w:color w:val="auto"/>
          <w:sz w:val="21"/>
          <w:szCs w:val="21"/>
          <w:highlight w:val="none"/>
        </w:rPr>
      </w:pPr>
      <w:r>
        <w:rPr>
          <w:rFonts w:hint="eastAsia" w:hAnsi="宋体" w:cs="Arial"/>
          <w:b/>
          <w:bCs/>
          <w:color w:val="auto"/>
          <w:sz w:val="21"/>
          <w:szCs w:val="21"/>
          <w:highlight w:val="none"/>
        </w:rPr>
        <w:t>履约保证金</w:t>
      </w:r>
    </w:p>
    <w:p>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textAlignment w:val="bottom"/>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履约保证金金额</w:t>
      </w:r>
      <w:r>
        <w:rPr>
          <w:rFonts w:hint="eastAsia"/>
          <w:color w:val="auto"/>
          <w:sz w:val="21"/>
          <w:szCs w:val="21"/>
          <w:highlight w:val="none"/>
          <w:u w:val="single"/>
          <w:lang w:val="en-US" w:eastAsia="zh-CN"/>
        </w:rPr>
        <w:t xml:space="preserve">     </w:t>
      </w:r>
      <w:r>
        <w:rPr>
          <w:rFonts w:hint="eastAsia"/>
          <w:color w:val="auto"/>
          <w:sz w:val="21"/>
          <w:szCs w:val="21"/>
          <w:highlight w:val="none"/>
        </w:rPr>
        <w:t>。</w:t>
      </w:r>
    </w:p>
    <w:p>
      <w:pPr>
        <w:keepNext w:val="0"/>
        <w:keepLines w:val="0"/>
        <w:pageBreakBefore w:val="0"/>
        <w:widowControl/>
        <w:numPr>
          <w:ilvl w:val="0"/>
          <w:numId w:val="9"/>
        </w:numPr>
        <w:kinsoku/>
        <w:wordWrap/>
        <w:overflowPunct/>
        <w:topLinePunct w:val="0"/>
        <w:autoSpaceDE/>
        <w:autoSpaceDN/>
        <w:bidi w:val="0"/>
        <w:adjustRightInd/>
        <w:spacing w:line="360" w:lineRule="auto"/>
        <w:ind w:left="0"/>
        <w:textAlignment w:val="bottom"/>
        <w:rPr>
          <w:rFonts w:hint="eastAsia"/>
          <w:color w:val="auto"/>
          <w:sz w:val="21"/>
          <w:szCs w:val="21"/>
          <w:highlight w:val="none"/>
        </w:rPr>
      </w:pPr>
      <w:r>
        <w:rPr>
          <w:rFonts w:hint="eastAsia"/>
          <w:color w:val="auto"/>
          <w:sz w:val="21"/>
          <w:szCs w:val="21"/>
          <w:highlight w:val="none"/>
        </w:rPr>
        <w:t>履约保证金形式：</w:t>
      </w:r>
      <w:r>
        <w:rPr>
          <w:rFonts w:hint="eastAsia"/>
          <w:color w:val="auto"/>
          <w:sz w:val="21"/>
          <w:szCs w:val="21"/>
          <w:highlight w:val="none"/>
          <w:u w:val="single"/>
          <w:lang w:val="en-US" w:eastAsia="zh-CN"/>
        </w:rPr>
        <w:t xml:space="preserve">     </w:t>
      </w:r>
      <w:r>
        <w:rPr>
          <w:rFonts w:hint="eastAsia"/>
          <w:color w:val="auto"/>
          <w:sz w:val="21"/>
          <w:szCs w:val="21"/>
          <w:highlight w:val="none"/>
        </w:rPr>
        <w:t>。</w:t>
      </w:r>
    </w:p>
    <w:p>
      <w:pPr>
        <w:keepNext w:val="0"/>
        <w:keepLines w:val="0"/>
        <w:pageBreakBefore w:val="0"/>
        <w:widowControl/>
        <w:numPr>
          <w:ilvl w:val="0"/>
          <w:numId w:val="9"/>
        </w:numPr>
        <w:kinsoku/>
        <w:wordWrap/>
        <w:overflowPunct/>
        <w:topLinePunct w:val="0"/>
        <w:autoSpaceDE/>
        <w:autoSpaceDN/>
        <w:bidi w:val="0"/>
        <w:adjustRightInd/>
        <w:spacing w:line="360" w:lineRule="auto"/>
        <w:ind w:left="0"/>
        <w:textAlignment w:val="bottom"/>
        <w:rPr>
          <w:rFonts w:hint="eastAsia"/>
          <w:color w:val="auto"/>
          <w:sz w:val="21"/>
          <w:szCs w:val="21"/>
          <w:highlight w:val="none"/>
        </w:rPr>
      </w:pPr>
      <w:r>
        <w:rPr>
          <w:rFonts w:hint="eastAsia"/>
          <w:color w:val="auto"/>
          <w:sz w:val="21"/>
          <w:szCs w:val="21"/>
          <w:highlight w:val="none"/>
        </w:rPr>
        <w:t>履约保证金退还：</w:t>
      </w:r>
      <w:r>
        <w:rPr>
          <w:rFonts w:hint="eastAsia"/>
          <w:color w:val="auto"/>
          <w:sz w:val="21"/>
          <w:szCs w:val="21"/>
          <w:highlight w:val="none"/>
          <w:lang w:val="en-US"/>
        </w:rPr>
        <w:t>履约保证金于合同履行完毕后(除违反招标文件中规定的投标人应尽的义务造成履约保证金被罚没的情况外 )</w:t>
      </w:r>
      <w:r>
        <w:rPr>
          <w:rFonts w:hint="eastAsia"/>
          <w:color w:val="auto"/>
          <w:sz w:val="21"/>
          <w:szCs w:val="21"/>
          <w:highlight w:val="none"/>
          <w:lang w:val="en-US" w:eastAsia="zh-CN"/>
        </w:rPr>
        <w:t>30日历天内</w:t>
      </w:r>
      <w:r>
        <w:rPr>
          <w:rFonts w:hint="eastAsia"/>
          <w:color w:val="auto"/>
          <w:sz w:val="21"/>
          <w:szCs w:val="21"/>
          <w:highlight w:val="none"/>
          <w:lang w:val="en-US"/>
        </w:rPr>
        <w:t>退还（不计息）</w:t>
      </w:r>
      <w:r>
        <w:rPr>
          <w:rFonts w:hint="eastAsia"/>
          <w:color w:val="auto"/>
          <w:sz w:val="21"/>
          <w:szCs w:val="21"/>
          <w:highlight w:val="none"/>
          <w:lang w:val="en-US" w:eastAsia="zh-CN"/>
        </w:rPr>
        <w:t>。</w:t>
      </w:r>
    </w:p>
    <w:p>
      <w:pPr>
        <w:pStyle w:val="27"/>
        <w:keepNext w:val="0"/>
        <w:keepLines w:val="0"/>
        <w:pageBreakBefore w:val="0"/>
        <w:widowControl/>
        <w:numPr>
          <w:ilvl w:val="0"/>
          <w:numId w:val="6"/>
        </w:numPr>
        <w:kinsoku/>
        <w:wordWrap/>
        <w:overflowPunct/>
        <w:topLinePunct w:val="0"/>
        <w:autoSpaceDE/>
        <w:autoSpaceDN/>
        <w:bidi w:val="0"/>
        <w:adjustRightInd/>
        <w:spacing w:before="0" w:beforeLines="0" w:after="0" w:afterLines="0" w:line="360" w:lineRule="auto"/>
        <w:ind w:left="0"/>
        <w:jc w:val="both"/>
        <w:rPr>
          <w:rFonts w:hint="eastAsia" w:hAnsi="宋体" w:cs="Arial"/>
          <w:b/>
          <w:bCs/>
          <w:color w:val="auto"/>
          <w:sz w:val="21"/>
          <w:szCs w:val="21"/>
          <w:highlight w:val="none"/>
        </w:rPr>
      </w:pPr>
      <w:r>
        <w:rPr>
          <w:rFonts w:hint="eastAsia" w:hAnsi="宋体" w:cs="Arial"/>
          <w:b/>
          <w:bCs/>
          <w:color w:val="auto"/>
          <w:sz w:val="21"/>
          <w:szCs w:val="21"/>
          <w:highlight w:val="none"/>
        </w:rPr>
        <w:t>验收</w:t>
      </w:r>
    </w:p>
    <w:p>
      <w:pPr>
        <w:keepNext w:val="0"/>
        <w:keepLines w:val="0"/>
        <w:pageBreakBefore w:val="0"/>
        <w:widowControl/>
        <w:kinsoku/>
        <w:wordWrap/>
        <w:overflowPunct/>
        <w:topLinePunct w:val="0"/>
        <w:autoSpaceDE/>
        <w:autoSpaceDN/>
        <w:bidi w:val="0"/>
        <w:adjustRightInd/>
        <w:snapToGrid w:val="0"/>
        <w:spacing w:line="360" w:lineRule="auto"/>
        <w:ind w:left="0"/>
        <w:rPr>
          <w:color w:val="auto"/>
          <w:szCs w:val="21"/>
          <w:highlight w:val="none"/>
        </w:rPr>
      </w:pPr>
      <w:r>
        <w:rPr>
          <w:rFonts w:hint="eastAsia"/>
          <w:color w:val="auto"/>
          <w:sz w:val="21"/>
          <w:szCs w:val="21"/>
          <w:highlight w:val="none"/>
          <w:lang w:val="en-US"/>
        </w:rPr>
        <w:t>按照乙方提供的投标文件及乙方和甲方签订的政府采购合同为标准进行验收。</w:t>
      </w:r>
    </w:p>
    <w:p>
      <w:pPr>
        <w:pStyle w:val="27"/>
        <w:keepNext w:val="0"/>
        <w:keepLines w:val="0"/>
        <w:pageBreakBefore w:val="0"/>
        <w:widowControl/>
        <w:numPr>
          <w:ilvl w:val="0"/>
          <w:numId w:val="6"/>
        </w:numPr>
        <w:kinsoku/>
        <w:wordWrap/>
        <w:overflowPunct/>
        <w:topLinePunct w:val="0"/>
        <w:autoSpaceDE/>
        <w:autoSpaceDN/>
        <w:bidi w:val="0"/>
        <w:adjustRightInd/>
        <w:spacing w:before="0" w:beforeLines="0" w:after="0" w:afterLines="0" w:line="360" w:lineRule="auto"/>
        <w:ind w:left="0"/>
        <w:jc w:val="both"/>
        <w:rPr>
          <w:rFonts w:hint="eastAsia" w:hAnsi="宋体" w:cs="Arial"/>
          <w:b/>
          <w:bCs/>
          <w:color w:val="auto"/>
          <w:sz w:val="21"/>
          <w:szCs w:val="21"/>
          <w:highlight w:val="none"/>
        </w:rPr>
      </w:pPr>
      <w:r>
        <w:rPr>
          <w:rFonts w:hint="eastAsia" w:hAnsi="宋体" w:cs="Arial"/>
          <w:b/>
          <w:bCs/>
          <w:color w:val="auto"/>
          <w:sz w:val="21"/>
          <w:szCs w:val="21"/>
          <w:highlight w:val="none"/>
        </w:rPr>
        <w:t>税费：</w:t>
      </w:r>
      <w:r>
        <w:rPr>
          <w:rFonts w:hint="eastAsia" w:hAnsi="宋体"/>
          <w:color w:val="auto"/>
          <w:sz w:val="21"/>
          <w:szCs w:val="21"/>
          <w:highlight w:val="none"/>
          <w:lang w:val="en-US"/>
        </w:rPr>
        <w:t>本合同执行中相关的一切税费均由乙方负担。</w:t>
      </w:r>
    </w:p>
    <w:p>
      <w:pPr>
        <w:pStyle w:val="27"/>
        <w:keepNext w:val="0"/>
        <w:keepLines w:val="0"/>
        <w:pageBreakBefore w:val="0"/>
        <w:widowControl/>
        <w:numPr>
          <w:ilvl w:val="0"/>
          <w:numId w:val="6"/>
        </w:numPr>
        <w:kinsoku/>
        <w:wordWrap/>
        <w:overflowPunct/>
        <w:topLinePunct w:val="0"/>
        <w:autoSpaceDE/>
        <w:autoSpaceDN/>
        <w:bidi w:val="0"/>
        <w:adjustRightInd/>
        <w:spacing w:before="0" w:beforeLines="0" w:after="0" w:afterLines="0" w:line="360" w:lineRule="auto"/>
        <w:ind w:left="0"/>
        <w:jc w:val="both"/>
        <w:rPr>
          <w:rFonts w:hint="eastAsia" w:hAnsi="宋体" w:cs="Arial"/>
          <w:b/>
          <w:bCs/>
          <w:color w:val="auto"/>
          <w:sz w:val="21"/>
          <w:szCs w:val="21"/>
          <w:highlight w:val="none"/>
        </w:rPr>
      </w:pPr>
      <w:r>
        <w:rPr>
          <w:rFonts w:hint="eastAsia" w:hAnsi="宋体" w:cs="Arial"/>
          <w:b/>
          <w:bCs/>
          <w:color w:val="auto"/>
          <w:sz w:val="21"/>
          <w:szCs w:val="21"/>
          <w:highlight w:val="none"/>
        </w:rPr>
        <w:t>附则</w:t>
      </w:r>
    </w:p>
    <w:p>
      <w:pPr>
        <w:keepNext w:val="0"/>
        <w:keepLines w:val="0"/>
        <w:pageBreakBefore w:val="0"/>
        <w:widowControl/>
        <w:numPr>
          <w:ilvl w:val="0"/>
          <w:numId w:val="10"/>
        </w:numPr>
        <w:kinsoku/>
        <w:wordWrap/>
        <w:overflowPunct/>
        <w:topLinePunct w:val="0"/>
        <w:autoSpaceDE/>
        <w:autoSpaceDN/>
        <w:bidi w:val="0"/>
        <w:adjustRightInd/>
        <w:snapToGrid w:val="0"/>
        <w:spacing w:line="360" w:lineRule="auto"/>
        <w:ind w:left="0"/>
        <w:rPr>
          <w:rFonts w:hint="eastAsia"/>
          <w:color w:val="auto"/>
          <w:sz w:val="21"/>
          <w:szCs w:val="21"/>
          <w:highlight w:val="none"/>
          <w:lang w:val="en-US"/>
        </w:rPr>
      </w:pPr>
      <w:r>
        <w:rPr>
          <w:rFonts w:hint="eastAsia"/>
          <w:color w:val="auto"/>
          <w:sz w:val="21"/>
          <w:szCs w:val="21"/>
          <w:highlight w:val="none"/>
          <w:lang w:val="en-US"/>
        </w:rPr>
        <w:t>因自然灾害等不可抗力因素造成本合同经济损失的，甲、乙双方共同协商妥善解决。</w:t>
      </w:r>
    </w:p>
    <w:p>
      <w:pPr>
        <w:keepNext w:val="0"/>
        <w:keepLines w:val="0"/>
        <w:pageBreakBefore w:val="0"/>
        <w:widowControl/>
        <w:numPr>
          <w:ilvl w:val="0"/>
          <w:numId w:val="10"/>
        </w:numPr>
        <w:kinsoku/>
        <w:wordWrap/>
        <w:overflowPunct/>
        <w:topLinePunct w:val="0"/>
        <w:autoSpaceDE/>
        <w:autoSpaceDN/>
        <w:bidi w:val="0"/>
        <w:adjustRightInd/>
        <w:snapToGrid w:val="0"/>
        <w:spacing w:line="360" w:lineRule="auto"/>
        <w:ind w:left="0"/>
        <w:rPr>
          <w:rFonts w:hint="eastAsia"/>
          <w:color w:val="auto"/>
          <w:sz w:val="21"/>
          <w:szCs w:val="21"/>
          <w:highlight w:val="none"/>
          <w:lang w:val="en-US"/>
        </w:rPr>
      </w:pPr>
      <w:r>
        <w:rPr>
          <w:rFonts w:hint="eastAsia"/>
          <w:color w:val="auto"/>
          <w:sz w:val="21"/>
          <w:szCs w:val="21"/>
          <w:highlight w:val="none"/>
          <w:lang w:val="en-US"/>
        </w:rPr>
        <w:t>本合同招标文件作为合同附件，对合同条款具有补充作用。</w:t>
      </w:r>
    </w:p>
    <w:p>
      <w:pPr>
        <w:pStyle w:val="27"/>
        <w:keepNext w:val="0"/>
        <w:keepLines w:val="0"/>
        <w:pageBreakBefore w:val="0"/>
        <w:numPr>
          <w:ilvl w:val="0"/>
          <w:numId w:val="10"/>
        </w:numPr>
        <w:kinsoku/>
        <w:wordWrap/>
        <w:overflowPunct/>
        <w:topLinePunct w:val="0"/>
        <w:autoSpaceDE/>
        <w:autoSpaceDN/>
        <w:bidi w:val="0"/>
        <w:adjustRightInd/>
        <w:snapToGrid w:val="0"/>
        <w:spacing w:before="0" w:beforeLines="0" w:after="0" w:afterLines="0" w:line="360" w:lineRule="auto"/>
        <w:ind w:left="0"/>
        <w:jc w:val="both"/>
        <w:rPr>
          <w:rFonts w:hAnsi="宋体"/>
          <w:color w:val="auto"/>
          <w:sz w:val="21"/>
          <w:szCs w:val="21"/>
          <w:highlight w:val="none"/>
        </w:rPr>
      </w:pPr>
      <w:r>
        <w:rPr>
          <w:rFonts w:hAnsi="宋体"/>
          <w:color w:val="auto"/>
          <w:sz w:val="21"/>
          <w:szCs w:val="21"/>
          <w:highlight w:val="none"/>
        </w:rPr>
        <w:t>乙方应按招标文件规定向甲方提供服务。</w:t>
      </w:r>
    </w:p>
    <w:p>
      <w:pPr>
        <w:pStyle w:val="27"/>
        <w:keepNext w:val="0"/>
        <w:keepLines w:val="0"/>
        <w:pageBreakBefore w:val="0"/>
        <w:numPr>
          <w:ilvl w:val="0"/>
          <w:numId w:val="10"/>
        </w:numPr>
        <w:kinsoku/>
        <w:wordWrap/>
        <w:overflowPunct/>
        <w:topLinePunct w:val="0"/>
        <w:autoSpaceDE/>
        <w:autoSpaceDN/>
        <w:bidi w:val="0"/>
        <w:adjustRightInd/>
        <w:snapToGrid w:val="0"/>
        <w:spacing w:before="0" w:beforeLines="0" w:after="0" w:afterLines="0" w:line="360" w:lineRule="auto"/>
        <w:ind w:left="0"/>
        <w:jc w:val="both"/>
        <w:rPr>
          <w:rFonts w:hAnsi="宋体"/>
          <w:color w:val="auto"/>
          <w:sz w:val="21"/>
          <w:szCs w:val="21"/>
          <w:highlight w:val="none"/>
        </w:rPr>
      </w:pPr>
      <w:r>
        <w:rPr>
          <w:rFonts w:hAnsi="宋体"/>
          <w:color w:val="auto"/>
          <w:sz w:val="21"/>
          <w:szCs w:val="21"/>
          <w:highlight w:val="none"/>
        </w:rPr>
        <w:t>乙方提供的成果在服务质量保证期内发生故障，乙方应负责免费提供后续服务。对达不到要求者，根据实际情况，经双方协商，可按以下办法处理：</w:t>
      </w:r>
    </w:p>
    <w:p>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left="0"/>
        <w:rPr>
          <w:rFonts w:hAnsi="宋体"/>
          <w:color w:val="auto"/>
          <w:sz w:val="21"/>
          <w:szCs w:val="21"/>
          <w:highlight w:val="none"/>
        </w:rPr>
      </w:pPr>
      <w:r>
        <w:rPr>
          <w:rFonts w:hAnsi="宋体"/>
          <w:color w:val="auto"/>
          <w:sz w:val="21"/>
          <w:szCs w:val="21"/>
          <w:highlight w:val="none"/>
        </w:rPr>
        <w:t>⑴重做：由乙方承担所发生的全部费用。</w:t>
      </w:r>
    </w:p>
    <w:p>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left="0"/>
        <w:rPr>
          <w:rFonts w:hAnsi="宋体"/>
          <w:color w:val="auto"/>
          <w:sz w:val="21"/>
          <w:szCs w:val="21"/>
          <w:highlight w:val="none"/>
        </w:rPr>
      </w:pPr>
      <w:r>
        <w:rPr>
          <w:rFonts w:hAnsi="宋体"/>
          <w:color w:val="auto"/>
          <w:sz w:val="21"/>
          <w:szCs w:val="21"/>
          <w:highlight w:val="none"/>
        </w:rPr>
        <w:t>⑵贬值处理：由甲乙双方合议定价。</w:t>
      </w:r>
    </w:p>
    <w:p>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left="0"/>
        <w:rPr>
          <w:rFonts w:hAnsi="宋体"/>
          <w:color w:val="auto"/>
          <w:sz w:val="21"/>
          <w:szCs w:val="21"/>
          <w:highlight w:val="none"/>
        </w:rPr>
      </w:pPr>
      <w:r>
        <w:rPr>
          <w:rFonts w:hAnsi="宋体"/>
          <w:color w:val="auto"/>
          <w:sz w:val="21"/>
          <w:szCs w:val="21"/>
          <w:highlight w:val="none"/>
        </w:rPr>
        <w:t>⑶解除合同。</w:t>
      </w:r>
    </w:p>
    <w:p>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left="0"/>
        <w:rPr>
          <w:rFonts w:hAnsi="宋体"/>
          <w:color w:val="auto"/>
          <w:sz w:val="21"/>
          <w:szCs w:val="21"/>
          <w:highlight w:val="none"/>
        </w:rPr>
      </w:pPr>
      <w:r>
        <w:rPr>
          <w:rFonts w:hint="eastAsia" w:hAnsi="宋体"/>
          <w:color w:val="auto"/>
          <w:sz w:val="21"/>
          <w:szCs w:val="21"/>
          <w:highlight w:val="none"/>
        </w:rPr>
        <w:t>（5）</w:t>
      </w:r>
      <w:r>
        <w:rPr>
          <w:rFonts w:hAnsi="宋体"/>
          <w:color w:val="auto"/>
          <w:sz w:val="21"/>
          <w:szCs w:val="21"/>
          <w:highlight w:val="none"/>
        </w:rPr>
        <w:t>如在使用过程中发生问题，乙方在接到甲方通知后在△小时内到达甲方现场。</w:t>
      </w:r>
    </w:p>
    <w:p>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left="0"/>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6</w:t>
      </w:r>
      <w:r>
        <w:rPr>
          <w:rFonts w:hint="eastAsia" w:hAnsi="宋体"/>
          <w:color w:val="auto"/>
          <w:sz w:val="21"/>
          <w:szCs w:val="21"/>
          <w:highlight w:val="none"/>
        </w:rPr>
        <w:t>）</w:t>
      </w:r>
      <w:r>
        <w:rPr>
          <w:rFonts w:hAnsi="宋体"/>
          <w:color w:val="auto"/>
          <w:sz w:val="21"/>
          <w:szCs w:val="21"/>
          <w:highlight w:val="none"/>
        </w:rPr>
        <w:t>在质量保证期内，乙方应对出现的质量及安全问题负责处理解决并承担一切费用。</w:t>
      </w:r>
    </w:p>
    <w:p>
      <w:pPr>
        <w:pStyle w:val="27"/>
        <w:keepNext w:val="0"/>
        <w:keepLines w:val="0"/>
        <w:pageBreakBefore w:val="0"/>
        <w:kinsoku/>
        <w:wordWrap/>
        <w:overflowPunct/>
        <w:topLinePunct w:val="0"/>
        <w:autoSpaceDE/>
        <w:autoSpaceDN/>
        <w:bidi w:val="0"/>
        <w:adjustRightInd/>
        <w:snapToGrid w:val="0"/>
        <w:spacing w:before="0" w:beforeLines="0" w:after="0" w:afterLines="0" w:line="360" w:lineRule="auto"/>
        <w:ind w:left="0"/>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7</w:t>
      </w:r>
      <w:r>
        <w:rPr>
          <w:rFonts w:hint="eastAsia" w:hAnsi="宋体"/>
          <w:color w:val="auto"/>
          <w:sz w:val="21"/>
          <w:szCs w:val="21"/>
          <w:highlight w:val="none"/>
        </w:rPr>
        <w:t>）未尽事宜，甲、乙双方协商解决，并作出书面补充协议。补充协议与本合同具有同等效力。</w:t>
      </w:r>
    </w:p>
    <w:p>
      <w:pPr>
        <w:pStyle w:val="27"/>
        <w:keepNext w:val="0"/>
        <w:keepLines w:val="0"/>
        <w:pageBreakBefore w:val="0"/>
        <w:widowControl/>
        <w:numPr>
          <w:ilvl w:val="0"/>
          <w:numId w:val="6"/>
        </w:numPr>
        <w:kinsoku/>
        <w:wordWrap/>
        <w:overflowPunct/>
        <w:topLinePunct w:val="0"/>
        <w:autoSpaceDE/>
        <w:autoSpaceDN/>
        <w:bidi w:val="0"/>
        <w:adjustRightInd/>
        <w:spacing w:before="0" w:beforeLines="0" w:after="0" w:afterLines="0" w:line="360" w:lineRule="auto"/>
        <w:ind w:left="0"/>
        <w:jc w:val="both"/>
        <w:rPr>
          <w:rFonts w:hint="eastAsia" w:hAnsi="宋体"/>
          <w:color w:val="auto"/>
          <w:sz w:val="21"/>
          <w:szCs w:val="21"/>
          <w:highlight w:val="none"/>
        </w:rPr>
      </w:pPr>
      <w:r>
        <w:rPr>
          <w:rFonts w:hint="eastAsia" w:hAnsi="宋体" w:cs="Arial"/>
          <w:b/>
          <w:bCs/>
          <w:color w:val="auto"/>
          <w:sz w:val="21"/>
          <w:szCs w:val="21"/>
          <w:highlight w:val="none"/>
        </w:rPr>
        <w:t>本合同壹式肆份，甲、乙双方各执贰份。经甲、乙双方盖章及法定代表人（负责人）或授权人签字后生效。</w:t>
      </w:r>
    </w:p>
    <w:tbl>
      <w:tblPr>
        <w:tblStyle w:val="49"/>
        <w:tblW w:w="8310" w:type="dxa"/>
        <w:tblInd w:w="105" w:type="dxa"/>
        <w:tblLayout w:type="fixed"/>
        <w:tblCellMar>
          <w:top w:w="0" w:type="dxa"/>
          <w:left w:w="108" w:type="dxa"/>
          <w:bottom w:w="0" w:type="dxa"/>
          <w:right w:w="108" w:type="dxa"/>
        </w:tblCellMar>
      </w:tblPr>
      <w:tblGrid>
        <w:gridCol w:w="4159"/>
        <w:gridCol w:w="4151"/>
      </w:tblGrid>
      <w:tr>
        <w:tblPrEx>
          <w:tblCellMar>
            <w:top w:w="0" w:type="dxa"/>
            <w:left w:w="108" w:type="dxa"/>
            <w:bottom w:w="0" w:type="dxa"/>
            <w:right w:w="108" w:type="dxa"/>
          </w:tblCellMar>
        </w:tblPrEx>
        <w:tc>
          <w:tcPr>
            <w:tcW w:w="4159" w:type="dxa"/>
            <w:noWrap w:val="0"/>
            <w:vAlign w:val="top"/>
          </w:tcPr>
          <w:p>
            <w:pPr>
              <w:pStyle w:val="27"/>
              <w:widowControl/>
              <w:spacing w:before="0" w:beforeLines="0" w:after="0" w:afterLines="0" w:line="480" w:lineRule="auto"/>
              <w:rPr>
                <w:rFonts w:hint="eastAsia" w:hAnsi="宋体"/>
                <w:color w:val="auto"/>
                <w:sz w:val="21"/>
                <w:szCs w:val="21"/>
                <w:highlight w:val="none"/>
                <w:lang w:eastAsia="zh-CN"/>
              </w:rPr>
            </w:pPr>
            <w:r>
              <w:rPr>
                <w:rFonts w:hint="eastAsia" w:hAnsi="宋体"/>
                <w:color w:val="auto"/>
                <w:sz w:val="21"/>
                <w:szCs w:val="21"/>
                <w:highlight w:val="none"/>
                <w:lang w:eastAsia="zh-CN"/>
              </w:rPr>
              <w:t>甲方：</w:t>
            </w:r>
          </w:p>
        </w:tc>
        <w:tc>
          <w:tcPr>
            <w:tcW w:w="4151" w:type="dxa"/>
            <w:noWrap w:val="0"/>
            <w:vAlign w:val="top"/>
          </w:tcPr>
          <w:p>
            <w:pPr>
              <w:pStyle w:val="27"/>
              <w:widowControl/>
              <w:spacing w:before="0" w:beforeLines="0" w:after="0" w:afterLines="0" w:line="480" w:lineRule="auto"/>
              <w:rPr>
                <w:rFonts w:hint="eastAsia" w:hAnsi="宋体"/>
                <w:color w:val="auto"/>
                <w:sz w:val="21"/>
                <w:szCs w:val="21"/>
                <w:highlight w:val="none"/>
                <w:lang w:eastAsia="zh-CN"/>
              </w:rPr>
            </w:pPr>
            <w:r>
              <w:rPr>
                <w:rFonts w:hint="eastAsia" w:hAnsi="宋体"/>
                <w:color w:val="auto"/>
                <w:sz w:val="21"/>
                <w:szCs w:val="21"/>
                <w:highlight w:val="none"/>
                <w:lang w:eastAsia="zh-CN"/>
              </w:rPr>
              <w:t>乙方：</w:t>
            </w:r>
          </w:p>
        </w:tc>
      </w:tr>
      <w:tr>
        <w:tblPrEx>
          <w:tblCellMar>
            <w:top w:w="0" w:type="dxa"/>
            <w:left w:w="108" w:type="dxa"/>
            <w:bottom w:w="0" w:type="dxa"/>
            <w:right w:w="108" w:type="dxa"/>
          </w:tblCellMar>
        </w:tblPrEx>
        <w:tc>
          <w:tcPr>
            <w:tcW w:w="4159" w:type="dxa"/>
            <w:noWrap w:val="0"/>
            <w:vAlign w:val="top"/>
          </w:tcPr>
          <w:p>
            <w:pPr>
              <w:pStyle w:val="27"/>
              <w:widowControl/>
              <w:spacing w:before="0" w:beforeLines="0" w:after="0" w:afterLines="0" w:line="480" w:lineRule="auto"/>
              <w:rPr>
                <w:rFonts w:hint="eastAsia" w:hAnsi="宋体"/>
                <w:color w:val="auto"/>
                <w:sz w:val="21"/>
                <w:szCs w:val="21"/>
                <w:highlight w:val="none"/>
                <w:lang w:eastAsia="zh-CN"/>
              </w:rPr>
            </w:pPr>
            <w:r>
              <w:rPr>
                <w:rFonts w:hint="eastAsia" w:hAnsi="宋体"/>
                <w:color w:val="auto"/>
                <w:sz w:val="21"/>
                <w:szCs w:val="21"/>
                <w:highlight w:val="none"/>
                <w:lang w:eastAsia="zh-CN"/>
              </w:rPr>
              <w:t>地址：</w:t>
            </w:r>
          </w:p>
        </w:tc>
        <w:tc>
          <w:tcPr>
            <w:tcW w:w="4151" w:type="dxa"/>
            <w:noWrap w:val="0"/>
            <w:vAlign w:val="top"/>
          </w:tcPr>
          <w:p>
            <w:pPr>
              <w:pStyle w:val="27"/>
              <w:widowControl/>
              <w:spacing w:before="0" w:beforeLines="0" w:after="0" w:afterLines="0" w:line="480" w:lineRule="auto"/>
              <w:rPr>
                <w:rFonts w:hint="eastAsia" w:hAnsi="宋体"/>
                <w:color w:val="auto"/>
                <w:sz w:val="21"/>
                <w:szCs w:val="21"/>
                <w:highlight w:val="none"/>
                <w:lang w:eastAsia="zh-CN"/>
              </w:rPr>
            </w:pPr>
            <w:r>
              <w:rPr>
                <w:rFonts w:hint="eastAsia" w:hAnsi="宋体"/>
                <w:color w:val="auto"/>
                <w:sz w:val="21"/>
                <w:szCs w:val="21"/>
                <w:highlight w:val="none"/>
                <w:lang w:eastAsia="zh-CN"/>
              </w:rPr>
              <w:t>地址：</w:t>
            </w:r>
          </w:p>
        </w:tc>
      </w:tr>
      <w:tr>
        <w:tblPrEx>
          <w:tblCellMar>
            <w:top w:w="0" w:type="dxa"/>
            <w:left w:w="108" w:type="dxa"/>
            <w:bottom w:w="0" w:type="dxa"/>
            <w:right w:w="108" w:type="dxa"/>
          </w:tblCellMar>
        </w:tblPrEx>
        <w:tc>
          <w:tcPr>
            <w:tcW w:w="4159" w:type="dxa"/>
            <w:noWrap w:val="0"/>
            <w:vAlign w:val="top"/>
          </w:tcPr>
          <w:p>
            <w:pPr>
              <w:pStyle w:val="27"/>
              <w:widowControl/>
              <w:spacing w:before="0" w:beforeLines="0" w:after="0" w:afterLines="0" w:line="480" w:lineRule="auto"/>
              <w:rPr>
                <w:rFonts w:hint="eastAsia" w:hAnsi="宋体"/>
                <w:color w:val="auto"/>
                <w:sz w:val="21"/>
                <w:szCs w:val="21"/>
                <w:highlight w:val="none"/>
                <w:lang w:eastAsia="zh-CN"/>
              </w:rPr>
            </w:pPr>
            <w:r>
              <w:rPr>
                <w:rFonts w:hint="eastAsia" w:hAnsi="宋体"/>
                <w:color w:val="auto"/>
                <w:sz w:val="21"/>
                <w:szCs w:val="21"/>
                <w:highlight w:val="none"/>
                <w:lang w:eastAsia="zh-CN"/>
              </w:rPr>
              <w:t>法定（授权）代表人：</w:t>
            </w:r>
          </w:p>
        </w:tc>
        <w:tc>
          <w:tcPr>
            <w:tcW w:w="4151" w:type="dxa"/>
            <w:noWrap w:val="0"/>
            <w:vAlign w:val="top"/>
          </w:tcPr>
          <w:p>
            <w:pPr>
              <w:pStyle w:val="27"/>
              <w:widowControl/>
              <w:spacing w:before="0" w:beforeLines="0" w:after="0" w:afterLines="0" w:line="480" w:lineRule="auto"/>
              <w:rPr>
                <w:rFonts w:hint="eastAsia" w:hAnsi="宋体"/>
                <w:color w:val="auto"/>
                <w:sz w:val="21"/>
                <w:szCs w:val="21"/>
                <w:highlight w:val="none"/>
                <w:lang w:eastAsia="zh-CN"/>
              </w:rPr>
            </w:pPr>
            <w:r>
              <w:rPr>
                <w:rFonts w:hint="eastAsia" w:hAnsi="宋体"/>
                <w:color w:val="auto"/>
                <w:sz w:val="21"/>
                <w:szCs w:val="21"/>
                <w:highlight w:val="none"/>
                <w:lang w:eastAsia="zh-CN"/>
              </w:rPr>
              <w:t>法定（授权）代表人：</w:t>
            </w:r>
          </w:p>
        </w:tc>
      </w:tr>
      <w:tr>
        <w:tblPrEx>
          <w:tblCellMar>
            <w:top w:w="0" w:type="dxa"/>
            <w:left w:w="108" w:type="dxa"/>
            <w:bottom w:w="0" w:type="dxa"/>
            <w:right w:w="108" w:type="dxa"/>
          </w:tblCellMar>
        </w:tblPrEx>
        <w:tc>
          <w:tcPr>
            <w:tcW w:w="4159" w:type="dxa"/>
            <w:noWrap w:val="0"/>
            <w:vAlign w:val="top"/>
          </w:tcPr>
          <w:p>
            <w:pPr>
              <w:pStyle w:val="27"/>
              <w:widowControl/>
              <w:spacing w:before="0" w:beforeLines="0" w:after="0" w:afterLines="0" w:line="480" w:lineRule="auto"/>
              <w:rPr>
                <w:rFonts w:hint="eastAsia" w:hAnsi="宋体"/>
                <w:color w:val="auto"/>
                <w:sz w:val="21"/>
                <w:szCs w:val="21"/>
                <w:highlight w:val="none"/>
                <w:lang w:eastAsia="zh-CN"/>
              </w:rPr>
            </w:pPr>
            <w:r>
              <w:rPr>
                <w:rFonts w:hint="eastAsia" w:hAnsi="宋体"/>
                <w:color w:val="auto"/>
                <w:sz w:val="21"/>
                <w:szCs w:val="21"/>
                <w:highlight w:val="none"/>
                <w:lang w:eastAsia="zh-CN"/>
              </w:rPr>
              <w:t>签字日期：      年  月  日</w:t>
            </w:r>
          </w:p>
        </w:tc>
        <w:tc>
          <w:tcPr>
            <w:tcW w:w="4151" w:type="dxa"/>
            <w:noWrap w:val="0"/>
            <w:vAlign w:val="top"/>
          </w:tcPr>
          <w:p>
            <w:pPr>
              <w:pStyle w:val="27"/>
              <w:widowControl/>
              <w:spacing w:before="0" w:beforeLines="0" w:after="0" w:afterLines="0" w:line="480" w:lineRule="auto"/>
              <w:rPr>
                <w:rFonts w:hint="eastAsia" w:hAnsi="宋体"/>
                <w:color w:val="auto"/>
                <w:sz w:val="21"/>
                <w:szCs w:val="21"/>
                <w:highlight w:val="none"/>
                <w:lang w:eastAsia="zh-CN"/>
              </w:rPr>
            </w:pPr>
            <w:r>
              <w:rPr>
                <w:rFonts w:hint="eastAsia" w:hAnsi="宋体"/>
                <w:color w:val="auto"/>
                <w:sz w:val="21"/>
                <w:szCs w:val="21"/>
                <w:highlight w:val="none"/>
                <w:lang w:eastAsia="zh-CN"/>
              </w:rPr>
              <w:t>签字日期：      年  月  日</w:t>
            </w:r>
          </w:p>
        </w:tc>
      </w:tr>
    </w:tbl>
    <w:p>
      <w:pPr>
        <w:snapToGrid w:val="0"/>
        <w:spacing w:before="120" w:after="120" w:line="400" w:lineRule="exact"/>
        <w:rPr>
          <w:rFonts w:hAnsi="宋体"/>
          <w:bCs/>
          <w:color w:val="auto"/>
          <w:kern w:val="0"/>
          <w:szCs w:val="21"/>
          <w:highlight w:val="none"/>
        </w:rPr>
      </w:pPr>
    </w:p>
    <w:p>
      <w:pPr>
        <w:snapToGrid w:val="0"/>
        <w:spacing w:before="120" w:after="120" w:line="400" w:lineRule="exact"/>
        <w:rPr>
          <w:rFonts w:hAnsi="宋体"/>
          <w:bCs/>
          <w:color w:val="auto"/>
          <w:kern w:val="0"/>
          <w:szCs w:val="21"/>
          <w:highlight w:val="none"/>
        </w:rPr>
      </w:pPr>
    </w:p>
    <w:p>
      <w:pPr>
        <w:snapToGrid w:val="0"/>
        <w:spacing w:before="120" w:after="120" w:line="400" w:lineRule="exact"/>
        <w:rPr>
          <w:rFonts w:hAnsi="宋体"/>
          <w:bCs/>
          <w:color w:val="auto"/>
          <w:kern w:val="0"/>
          <w:szCs w:val="21"/>
          <w:highlight w:val="none"/>
        </w:rPr>
      </w:pPr>
    </w:p>
    <w:p>
      <w:pPr>
        <w:snapToGrid w:val="0"/>
        <w:spacing w:before="120" w:after="120" w:line="400" w:lineRule="exact"/>
        <w:rPr>
          <w:bCs/>
          <w:color w:val="auto"/>
          <w:kern w:val="0"/>
          <w:szCs w:val="21"/>
          <w:highlight w:val="none"/>
        </w:rPr>
      </w:pPr>
      <w:r>
        <w:rPr>
          <w:bCs/>
          <w:color w:val="auto"/>
          <w:kern w:val="0"/>
          <w:szCs w:val="21"/>
          <w:highlight w:val="none"/>
        </w:rPr>
        <w:t xml:space="preserve">                                </w:t>
      </w:r>
      <w:bookmarkStart w:id="187" w:name="_Toc5767"/>
    </w:p>
    <w:p>
      <w:pPr>
        <w:pStyle w:val="27"/>
        <w:snapToGrid w:val="0"/>
        <w:spacing w:line="440" w:lineRule="exact"/>
        <w:outlineLvl w:val="9"/>
        <w:rPr>
          <w:rFonts w:ascii="Times New Roman" w:hAnsi="Times New Roman" w:eastAsia="宋体" w:cs="Times New Roman"/>
          <w:b/>
          <w:bCs/>
          <w:color w:val="auto"/>
          <w:kern w:val="44"/>
          <w:sz w:val="28"/>
          <w:szCs w:val="28"/>
          <w:highlight w:val="none"/>
        </w:rPr>
      </w:pPr>
      <w:bookmarkStart w:id="188" w:name="_Toc103030431"/>
    </w:p>
    <w:p>
      <w:pPr>
        <w:rPr>
          <w:color w:val="auto"/>
          <w:highlight w:val="none"/>
        </w:rPr>
      </w:pPr>
    </w:p>
    <w:p>
      <w:pPr>
        <w:pStyle w:val="2"/>
        <w:rPr>
          <w:color w:val="auto"/>
          <w:highlight w:val="none"/>
        </w:rPr>
      </w:pPr>
    </w:p>
    <w:p>
      <w:pPr>
        <w:pStyle w:val="3"/>
        <w:rPr>
          <w:color w:val="auto"/>
          <w:highlight w:val="none"/>
        </w:rPr>
      </w:pPr>
    </w:p>
    <w:p>
      <w:pPr>
        <w:rPr>
          <w:rStyle w:val="65"/>
          <w:rFonts w:hint="eastAsia"/>
          <w:color w:val="auto"/>
          <w:sz w:val="28"/>
          <w:szCs w:val="28"/>
          <w:highlight w:val="none"/>
        </w:rPr>
      </w:pPr>
      <w:bookmarkStart w:id="189" w:name="_Toc104835483"/>
      <w:r>
        <w:rPr>
          <w:rStyle w:val="65"/>
          <w:rFonts w:hint="eastAsia"/>
          <w:color w:val="auto"/>
          <w:sz w:val="28"/>
          <w:szCs w:val="28"/>
          <w:highlight w:val="none"/>
        </w:rPr>
        <w:br w:type="page"/>
      </w:r>
    </w:p>
    <w:p>
      <w:pPr>
        <w:pStyle w:val="27"/>
        <w:snapToGrid w:val="0"/>
        <w:spacing w:line="440" w:lineRule="exact"/>
        <w:jc w:val="center"/>
        <w:outlineLvl w:val="0"/>
        <w:rPr>
          <w:rStyle w:val="65"/>
          <w:rFonts w:hint="eastAsia"/>
          <w:color w:val="auto"/>
          <w:sz w:val="28"/>
          <w:szCs w:val="28"/>
          <w:highlight w:val="none"/>
        </w:rPr>
      </w:pPr>
      <w:bookmarkStart w:id="190" w:name="_Toc20607"/>
      <w:r>
        <w:rPr>
          <w:rStyle w:val="65"/>
          <w:rFonts w:hint="eastAsia"/>
          <w:color w:val="auto"/>
          <w:sz w:val="28"/>
          <w:szCs w:val="28"/>
          <w:highlight w:val="none"/>
        </w:rPr>
        <w:t>第六章　投标文件格式</w:t>
      </w:r>
      <w:bookmarkEnd w:id="186"/>
      <w:bookmarkEnd w:id="187"/>
      <w:bookmarkEnd w:id="188"/>
      <w:bookmarkEnd w:id="189"/>
      <w:bookmarkEnd w:id="190"/>
    </w:p>
    <w:p>
      <w:pPr>
        <w:pStyle w:val="27"/>
        <w:snapToGrid w:val="0"/>
        <w:spacing w:line="440" w:lineRule="exact"/>
        <w:jc w:val="center"/>
        <w:outlineLvl w:val="9"/>
        <w:rPr>
          <w:rFonts w:ascii="黑体" w:hAnsi="宋体" w:eastAsia="黑体"/>
          <w:color w:val="auto"/>
          <w:sz w:val="30"/>
          <w:szCs w:val="30"/>
          <w:highlight w:val="none"/>
        </w:rPr>
      </w:pPr>
    </w:p>
    <w:p>
      <w:pPr>
        <w:ind w:firstLine="964" w:firstLineChars="400"/>
        <w:rPr>
          <w:b/>
          <w:color w:val="auto"/>
          <w:sz w:val="24"/>
          <w:highlight w:val="none"/>
        </w:rPr>
      </w:pPr>
      <w:bookmarkStart w:id="191" w:name="_Toc103030432"/>
      <w:bookmarkStart w:id="192" w:name="_Toc3144"/>
      <w:r>
        <w:rPr>
          <w:rFonts w:hint="eastAsia"/>
          <w:b/>
          <w:color w:val="auto"/>
          <w:sz w:val="24"/>
          <w:highlight w:val="none"/>
        </w:rPr>
        <w:t>一、投标文件外层包装封面格式</w:t>
      </w:r>
      <w:bookmarkEnd w:id="191"/>
      <w:bookmarkEnd w:id="192"/>
    </w:p>
    <w:p>
      <w:pPr>
        <w:snapToGrid w:val="0"/>
        <w:spacing w:before="156" w:beforeLines="50" w:after="50" w:line="440" w:lineRule="exact"/>
        <w:jc w:val="center"/>
        <w:rPr>
          <w:rFonts w:ascii="宋体" w:hAnsi="宋体"/>
          <w:color w:val="auto"/>
          <w:szCs w:val="21"/>
          <w:highlight w:val="none"/>
        </w:rPr>
      </w:pPr>
    </w:p>
    <w:p>
      <w:pPr>
        <w:snapToGrid w:val="0"/>
        <w:spacing w:before="156" w:beforeLines="50" w:after="50"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56" w:beforeLines="50" w:after="50"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napToGrid w:val="0"/>
        <w:spacing w:before="156" w:beforeLines="50" w:after="50" w:line="440" w:lineRule="exact"/>
        <w:rPr>
          <w:rFonts w:ascii="宋体" w:hAnsi="宋体"/>
          <w:bCs/>
          <w:color w:val="auto"/>
          <w:szCs w:val="21"/>
          <w:highlight w:val="none"/>
        </w:rPr>
      </w:pPr>
    </w:p>
    <w:p>
      <w:pPr>
        <w:snapToGrid w:val="0"/>
        <w:spacing w:before="156" w:beforeLines="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项目名称：</w:t>
      </w:r>
    </w:p>
    <w:p>
      <w:pPr>
        <w:snapToGrid w:val="0"/>
        <w:spacing w:before="156" w:beforeLines="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项目编号：</w:t>
      </w:r>
    </w:p>
    <w:p>
      <w:pPr>
        <w:snapToGrid w:val="0"/>
        <w:spacing w:before="156" w:beforeLines="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子包：/</w:t>
      </w:r>
    </w:p>
    <w:p>
      <w:pPr>
        <w:snapToGrid w:val="0"/>
        <w:spacing w:before="156" w:beforeLines="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投标文件名称：资格文件/商务技术文件/报价文件/电子备份投标文件</w:t>
      </w:r>
    </w:p>
    <w:p>
      <w:pPr>
        <w:snapToGrid w:val="0"/>
        <w:spacing w:before="156" w:beforeLines="50" w:after="50" w:line="440" w:lineRule="exact"/>
        <w:ind w:firstLine="932" w:firstLineChars="444"/>
        <w:rPr>
          <w:rFonts w:ascii="宋体" w:hAnsi="宋体"/>
          <w:bCs/>
          <w:color w:val="auto"/>
          <w:szCs w:val="21"/>
          <w:highlight w:val="none"/>
        </w:rPr>
      </w:pPr>
    </w:p>
    <w:p>
      <w:pPr>
        <w:pStyle w:val="15"/>
        <w:snapToGrid w:val="0"/>
        <w:spacing w:before="50" w:after="50" w:line="440" w:lineRule="exact"/>
        <w:ind w:firstLine="932" w:firstLineChars="444"/>
        <w:rPr>
          <w:rFonts w:ascii="宋体" w:hAnsi="宋体"/>
          <w:bCs/>
          <w:color w:val="auto"/>
          <w:szCs w:val="21"/>
          <w:highlight w:val="none"/>
        </w:rPr>
      </w:pPr>
    </w:p>
    <w:p>
      <w:pPr>
        <w:pStyle w:val="15"/>
        <w:snapToGrid w:val="0"/>
        <w:spacing w:before="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供应商名称：</w:t>
      </w:r>
    </w:p>
    <w:p>
      <w:pPr>
        <w:pStyle w:val="15"/>
        <w:snapToGrid w:val="0"/>
        <w:spacing w:before="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供应商地址：</w:t>
      </w:r>
    </w:p>
    <w:p>
      <w:pPr>
        <w:pStyle w:val="15"/>
        <w:snapToGrid w:val="0"/>
        <w:spacing w:before="50" w:after="50" w:line="440" w:lineRule="exact"/>
        <w:ind w:firstLine="932" w:firstLineChars="444"/>
        <w:jc w:val="center"/>
        <w:rPr>
          <w:rFonts w:ascii="宋体" w:hAnsi="宋体"/>
          <w:bCs/>
          <w:color w:val="auto"/>
          <w:szCs w:val="21"/>
          <w:highlight w:val="none"/>
        </w:rPr>
      </w:pPr>
    </w:p>
    <w:p>
      <w:pPr>
        <w:pStyle w:val="15"/>
        <w:snapToGrid w:val="0"/>
        <w:spacing w:before="50" w:after="50" w:line="440" w:lineRule="exact"/>
        <w:ind w:firstLine="932" w:firstLineChars="444"/>
        <w:jc w:val="center"/>
        <w:rPr>
          <w:rFonts w:ascii="宋体" w:hAnsi="宋体"/>
          <w:bCs/>
          <w:color w:val="auto"/>
          <w:szCs w:val="21"/>
          <w:highlight w:val="none"/>
        </w:rPr>
      </w:pPr>
      <w:r>
        <w:rPr>
          <w:rFonts w:hint="eastAsia" w:ascii="宋体" w:hAnsi="宋体"/>
          <w:bCs/>
          <w:color w:val="auto"/>
          <w:szCs w:val="21"/>
          <w:highlight w:val="none"/>
        </w:rPr>
        <w:t>开标时启封</w:t>
      </w:r>
    </w:p>
    <w:p>
      <w:pPr>
        <w:snapToGrid w:val="0"/>
        <w:spacing w:before="156" w:beforeLines="50" w:after="50" w:line="440" w:lineRule="exact"/>
        <w:ind w:firstLine="3570" w:firstLineChars="1700"/>
        <w:rPr>
          <w:rFonts w:ascii="宋体" w:hAnsi="宋体"/>
          <w:bCs/>
          <w:color w:val="auto"/>
          <w:szCs w:val="21"/>
          <w:highlight w:val="none"/>
        </w:rPr>
      </w:pPr>
    </w:p>
    <w:p>
      <w:pPr>
        <w:pStyle w:val="15"/>
        <w:snapToGrid w:val="0"/>
        <w:spacing w:before="50" w:after="50" w:line="440" w:lineRule="exact"/>
        <w:ind w:firstLine="840" w:firstLineChars="400"/>
        <w:rPr>
          <w:rFonts w:ascii="宋体" w:hAnsi="宋体"/>
          <w:bCs/>
          <w:color w:val="auto"/>
          <w:szCs w:val="21"/>
          <w:highlight w:val="none"/>
        </w:rPr>
      </w:pPr>
    </w:p>
    <w:p>
      <w:pPr>
        <w:pStyle w:val="15"/>
        <w:snapToGrid w:val="0"/>
        <w:spacing w:before="50" w:after="50" w:line="440" w:lineRule="exact"/>
        <w:ind w:firstLine="873" w:firstLineChars="416"/>
        <w:rPr>
          <w:rFonts w:ascii="宋体" w:hAnsi="宋体"/>
          <w:color w:val="auto"/>
          <w:szCs w:val="21"/>
          <w:highlight w:val="none"/>
        </w:rPr>
      </w:pPr>
    </w:p>
    <w:p>
      <w:pPr>
        <w:snapToGrid w:val="0"/>
        <w:spacing w:before="156" w:beforeLines="50" w:after="50" w:line="440" w:lineRule="exact"/>
        <w:ind w:firstLine="645"/>
        <w:jc w:val="center"/>
        <w:rPr>
          <w:rFonts w:ascii="宋体" w:hAnsi="宋体"/>
          <w:color w:val="auto"/>
          <w:szCs w:val="21"/>
          <w:highlight w:val="none"/>
        </w:rPr>
      </w:pPr>
      <w:r>
        <w:rPr>
          <w:rFonts w:hint="eastAsia" w:ascii="宋体" w:hAnsi="宋体"/>
          <w:color w:val="auto"/>
          <w:szCs w:val="21"/>
          <w:highlight w:val="none"/>
        </w:rPr>
        <w:t>投标单位全称（公章）</w:t>
      </w:r>
    </w:p>
    <w:p>
      <w:pPr>
        <w:snapToGrid w:val="0"/>
        <w:spacing w:before="156" w:beforeLines="50" w:after="50" w:line="440" w:lineRule="exact"/>
        <w:ind w:firstLine="645"/>
        <w:jc w:val="center"/>
        <w:rPr>
          <w:rFonts w:ascii="宋体" w:hAnsi="宋体"/>
          <w:color w:val="auto"/>
          <w:szCs w:val="21"/>
          <w:highlight w:val="none"/>
        </w:rPr>
      </w:pPr>
      <w:r>
        <w:rPr>
          <w:rFonts w:hint="eastAsia" w:ascii="宋体" w:hAnsi="宋体"/>
          <w:color w:val="auto"/>
          <w:szCs w:val="21"/>
          <w:highlight w:val="none"/>
        </w:rPr>
        <w:t>年   月   日</w:t>
      </w:r>
    </w:p>
    <w:p>
      <w:pPr>
        <w:rPr>
          <w:color w:val="auto"/>
          <w:sz w:val="24"/>
          <w:highlight w:val="none"/>
        </w:rPr>
      </w:pPr>
      <w:r>
        <w:rPr>
          <w:rFonts w:hint="eastAsia"/>
          <w:color w:val="auto"/>
          <w:sz w:val="24"/>
          <w:highlight w:val="none"/>
        </w:rPr>
        <w:br w:type="page"/>
      </w:r>
    </w:p>
    <w:p>
      <w:pPr>
        <w:ind w:firstLine="964" w:firstLineChars="400"/>
        <w:rPr>
          <w:b/>
          <w:color w:val="auto"/>
          <w:sz w:val="24"/>
          <w:highlight w:val="none"/>
        </w:rPr>
      </w:pPr>
      <w:bookmarkStart w:id="193" w:name="_Toc103030433"/>
      <w:bookmarkStart w:id="194" w:name="_Toc3910"/>
      <w:r>
        <w:rPr>
          <w:rFonts w:hint="eastAsia"/>
          <w:b/>
          <w:color w:val="auto"/>
          <w:sz w:val="24"/>
          <w:highlight w:val="none"/>
        </w:rPr>
        <w:t>二、投标文件封面格式</w:t>
      </w:r>
      <w:bookmarkEnd w:id="193"/>
      <w:bookmarkEnd w:id="194"/>
    </w:p>
    <w:p>
      <w:pPr>
        <w:spacing w:line="300" w:lineRule="auto"/>
        <w:ind w:right="240"/>
        <w:jc w:val="right"/>
        <w:rPr>
          <w:rFonts w:ascii="宋体" w:hAnsi="宋体"/>
          <w:color w:val="auto"/>
          <w:sz w:val="24"/>
          <w:highlight w:val="none"/>
        </w:rPr>
      </w:pPr>
      <w:r>
        <w:rPr>
          <w:rFonts w:hint="eastAsia" w:ascii="宋体" w:hAnsi="宋体"/>
          <w:b/>
          <w:bCs/>
          <w:color w:val="auto"/>
          <w:sz w:val="24"/>
          <w:highlight w:val="none"/>
        </w:rPr>
        <w:t>正本/副本</w:t>
      </w:r>
    </w:p>
    <w:p>
      <w:pPr>
        <w:spacing w:line="300" w:lineRule="auto"/>
        <w:jc w:val="center"/>
        <w:rPr>
          <w:rFonts w:ascii="宋体" w:hAnsi="宋体"/>
          <w:color w:val="auto"/>
          <w:szCs w:val="21"/>
          <w:highlight w:val="none"/>
        </w:rPr>
      </w:pPr>
    </w:p>
    <w:p>
      <w:pPr>
        <w:spacing w:line="300" w:lineRule="auto"/>
        <w:ind w:firstLine="2951" w:firstLineChars="1050"/>
        <w:rPr>
          <w:rFonts w:ascii="宋体" w:hAnsi="宋体"/>
          <w:b/>
          <w:bCs/>
          <w:color w:val="auto"/>
          <w:sz w:val="28"/>
          <w:szCs w:val="28"/>
          <w:highlight w:val="none"/>
        </w:rPr>
      </w:pPr>
    </w:p>
    <w:p>
      <w:pPr>
        <w:spacing w:line="300" w:lineRule="auto"/>
        <w:jc w:val="center"/>
        <w:rPr>
          <w:rFonts w:ascii="宋体" w:hAnsi="宋体"/>
          <w:b/>
          <w:bCs/>
          <w:color w:val="auto"/>
          <w:sz w:val="28"/>
          <w:szCs w:val="28"/>
          <w:highlight w:val="none"/>
        </w:rPr>
      </w:pPr>
      <w:r>
        <w:rPr>
          <w:rFonts w:hint="eastAsia" w:ascii="宋体" w:hAnsi="宋体"/>
          <w:b/>
          <w:bCs/>
          <w:color w:val="auto"/>
          <w:sz w:val="28"/>
          <w:szCs w:val="28"/>
          <w:highlight w:val="none"/>
        </w:rPr>
        <w:t>资格文件/商务技术文件/报价文件</w:t>
      </w:r>
    </w:p>
    <w:p>
      <w:pPr>
        <w:spacing w:line="300" w:lineRule="auto"/>
        <w:ind w:firstLine="1260" w:firstLineChars="600"/>
        <w:rPr>
          <w:rFonts w:ascii="宋体" w:hAnsi="宋体"/>
          <w:color w:val="auto"/>
          <w:szCs w:val="21"/>
          <w:highlight w:val="none"/>
        </w:rPr>
      </w:pPr>
    </w:p>
    <w:p>
      <w:pPr>
        <w:spacing w:line="360" w:lineRule="auto"/>
        <w:ind w:firstLine="1260" w:firstLineChars="600"/>
        <w:rPr>
          <w:rFonts w:ascii="宋体" w:hAnsi="宋体"/>
          <w:color w:val="auto"/>
          <w:szCs w:val="21"/>
          <w:highlight w:val="none"/>
        </w:rPr>
      </w:pPr>
      <w:r>
        <w:rPr>
          <w:rFonts w:hint="eastAsia" w:ascii="宋体" w:hAnsi="宋体"/>
          <w:color w:val="auto"/>
          <w:szCs w:val="21"/>
          <w:highlight w:val="none"/>
        </w:rPr>
        <w:t>项目名称：</w:t>
      </w:r>
    </w:p>
    <w:p>
      <w:pPr>
        <w:spacing w:line="360" w:lineRule="auto"/>
        <w:ind w:firstLine="1260" w:firstLineChars="600"/>
        <w:rPr>
          <w:rFonts w:ascii="宋体" w:hAnsi="宋体"/>
          <w:color w:val="auto"/>
          <w:szCs w:val="21"/>
          <w:highlight w:val="none"/>
        </w:rPr>
      </w:pPr>
    </w:p>
    <w:p>
      <w:pPr>
        <w:spacing w:line="360" w:lineRule="auto"/>
        <w:ind w:firstLine="1260" w:firstLineChars="600"/>
        <w:rPr>
          <w:rFonts w:ascii="宋体" w:hAnsi="宋体"/>
          <w:color w:val="auto"/>
          <w:szCs w:val="21"/>
          <w:highlight w:val="none"/>
        </w:rPr>
      </w:pPr>
      <w:r>
        <w:rPr>
          <w:rFonts w:hint="eastAsia" w:ascii="宋体" w:hAnsi="宋体"/>
          <w:color w:val="auto"/>
          <w:szCs w:val="21"/>
          <w:highlight w:val="none"/>
        </w:rPr>
        <w:t>项目编号：</w:t>
      </w:r>
    </w:p>
    <w:p>
      <w:pPr>
        <w:spacing w:line="360" w:lineRule="auto"/>
        <w:ind w:firstLine="1260" w:firstLineChars="600"/>
        <w:rPr>
          <w:rFonts w:ascii="宋体" w:hAnsi="宋体"/>
          <w:color w:val="auto"/>
          <w:szCs w:val="21"/>
          <w:highlight w:val="none"/>
        </w:rPr>
      </w:pPr>
    </w:p>
    <w:p>
      <w:pPr>
        <w:spacing w:line="360" w:lineRule="auto"/>
        <w:ind w:firstLine="1260" w:firstLineChars="600"/>
        <w:rPr>
          <w:rFonts w:ascii="宋体" w:hAnsi="宋体"/>
          <w:color w:val="auto"/>
          <w:szCs w:val="21"/>
          <w:highlight w:val="none"/>
        </w:rPr>
      </w:pPr>
      <w:r>
        <w:rPr>
          <w:rFonts w:hint="eastAsia" w:ascii="宋体" w:hAnsi="宋体"/>
          <w:color w:val="auto"/>
          <w:szCs w:val="21"/>
          <w:highlight w:val="none"/>
        </w:rPr>
        <w:t>子包：/</w:t>
      </w:r>
    </w:p>
    <w:p>
      <w:pPr>
        <w:spacing w:line="360" w:lineRule="auto"/>
        <w:ind w:firstLine="1260" w:firstLineChars="600"/>
        <w:rPr>
          <w:rFonts w:ascii="宋体" w:hAnsi="宋体"/>
          <w:color w:val="auto"/>
          <w:szCs w:val="21"/>
          <w:highlight w:val="none"/>
        </w:rPr>
      </w:pPr>
    </w:p>
    <w:p>
      <w:pPr>
        <w:spacing w:line="360" w:lineRule="auto"/>
        <w:ind w:firstLine="1260" w:firstLineChars="600"/>
        <w:rPr>
          <w:rFonts w:ascii="宋体" w:hAnsi="宋体"/>
          <w:color w:val="auto"/>
          <w:szCs w:val="21"/>
          <w:highlight w:val="none"/>
        </w:rPr>
      </w:pPr>
      <w:r>
        <w:rPr>
          <w:rFonts w:hint="eastAsia" w:ascii="宋体" w:hAnsi="宋体"/>
          <w:color w:val="auto"/>
          <w:szCs w:val="21"/>
          <w:highlight w:val="none"/>
        </w:rPr>
        <w:t>供应商名称：</w:t>
      </w:r>
    </w:p>
    <w:p>
      <w:pPr>
        <w:spacing w:line="360" w:lineRule="auto"/>
        <w:ind w:firstLine="1260" w:firstLineChars="600"/>
        <w:rPr>
          <w:rFonts w:ascii="宋体" w:hAnsi="宋体"/>
          <w:color w:val="auto"/>
          <w:szCs w:val="21"/>
          <w:highlight w:val="none"/>
        </w:rPr>
      </w:pPr>
    </w:p>
    <w:p>
      <w:pPr>
        <w:spacing w:line="360" w:lineRule="auto"/>
        <w:ind w:firstLine="1260" w:firstLineChars="600"/>
        <w:rPr>
          <w:rFonts w:ascii="宋体" w:hAnsi="宋体"/>
          <w:color w:val="auto"/>
          <w:szCs w:val="21"/>
          <w:highlight w:val="none"/>
        </w:rPr>
      </w:pPr>
      <w:r>
        <w:rPr>
          <w:rFonts w:hint="eastAsia" w:ascii="宋体" w:hAnsi="宋体"/>
          <w:color w:val="auto"/>
          <w:szCs w:val="21"/>
          <w:highlight w:val="none"/>
        </w:rPr>
        <w:t>供应商地址：</w:t>
      </w: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r>
        <w:rPr>
          <w:rFonts w:hint="eastAsia" w:ascii="宋体" w:hAnsi="宋体"/>
          <w:color w:val="auto"/>
          <w:szCs w:val="21"/>
          <w:highlight w:val="none"/>
        </w:rPr>
        <w:t xml:space="preserve">       投标单位全称（盖章）</w:t>
      </w:r>
    </w:p>
    <w:p>
      <w:pPr>
        <w:spacing w:line="300" w:lineRule="auto"/>
        <w:ind w:firstLine="3465" w:firstLineChars="1650"/>
        <w:rPr>
          <w:rFonts w:ascii="宋体" w:hAnsi="宋体"/>
          <w:color w:val="auto"/>
          <w:szCs w:val="21"/>
          <w:highlight w:val="none"/>
        </w:rPr>
      </w:pPr>
      <w:r>
        <w:rPr>
          <w:rFonts w:hint="eastAsia" w:ascii="宋体" w:hAnsi="宋体"/>
          <w:color w:val="auto"/>
          <w:szCs w:val="21"/>
          <w:highlight w:val="none"/>
        </w:rPr>
        <w:t xml:space="preserve">    年  月  日</w:t>
      </w:r>
    </w:p>
    <w:p>
      <w:pPr>
        <w:rPr>
          <w:rFonts w:ascii="宋体" w:hAnsi="宋体"/>
          <w:b/>
          <w:color w:val="auto"/>
          <w:szCs w:val="21"/>
          <w:highlight w:val="none"/>
        </w:rPr>
      </w:pPr>
    </w:p>
    <w:p>
      <w:pPr>
        <w:pStyle w:val="20"/>
        <w:snapToGrid w:val="0"/>
        <w:spacing w:line="440" w:lineRule="exact"/>
        <w:ind w:firstLine="0"/>
        <w:rPr>
          <w:rFonts w:hAnsi="宋体"/>
          <w:b/>
          <w:bCs/>
          <w:color w:val="auto"/>
          <w:kern w:val="44"/>
          <w:sz w:val="21"/>
          <w:szCs w:val="21"/>
          <w:highlight w:val="none"/>
        </w:rPr>
      </w:pPr>
    </w:p>
    <w:p>
      <w:pPr>
        <w:pStyle w:val="20"/>
        <w:snapToGrid w:val="0"/>
        <w:spacing w:line="440" w:lineRule="exact"/>
        <w:jc w:val="center"/>
        <w:rPr>
          <w:rFonts w:hAnsi="宋体"/>
          <w:b/>
          <w:bCs/>
          <w:color w:val="auto"/>
          <w:kern w:val="44"/>
          <w:sz w:val="21"/>
          <w:szCs w:val="21"/>
          <w:highlight w:val="none"/>
        </w:rPr>
      </w:pPr>
    </w:p>
    <w:p>
      <w:pPr>
        <w:pStyle w:val="20"/>
        <w:snapToGrid w:val="0"/>
        <w:spacing w:line="440" w:lineRule="exact"/>
        <w:jc w:val="center"/>
        <w:rPr>
          <w:rFonts w:hAnsi="宋体"/>
          <w:b/>
          <w:bCs/>
          <w:color w:val="auto"/>
          <w:kern w:val="44"/>
          <w:sz w:val="24"/>
          <w:szCs w:val="24"/>
          <w:highlight w:val="none"/>
        </w:rPr>
      </w:pPr>
    </w:p>
    <w:p>
      <w:pPr>
        <w:pStyle w:val="20"/>
        <w:snapToGrid w:val="0"/>
        <w:spacing w:line="440" w:lineRule="exact"/>
        <w:jc w:val="center"/>
        <w:rPr>
          <w:rFonts w:hAnsi="宋体"/>
          <w:b/>
          <w:bCs/>
          <w:color w:val="auto"/>
          <w:kern w:val="44"/>
          <w:sz w:val="24"/>
          <w:szCs w:val="24"/>
          <w:highlight w:val="none"/>
        </w:rPr>
      </w:pPr>
    </w:p>
    <w:p>
      <w:pPr>
        <w:pStyle w:val="20"/>
        <w:snapToGrid w:val="0"/>
        <w:spacing w:line="440" w:lineRule="exact"/>
        <w:jc w:val="center"/>
        <w:rPr>
          <w:rFonts w:hAnsi="宋体"/>
          <w:b/>
          <w:bCs/>
          <w:color w:val="auto"/>
          <w:kern w:val="44"/>
          <w:sz w:val="24"/>
          <w:szCs w:val="24"/>
          <w:highlight w:val="none"/>
        </w:rPr>
      </w:pPr>
    </w:p>
    <w:p>
      <w:pPr>
        <w:pStyle w:val="20"/>
        <w:snapToGrid w:val="0"/>
        <w:spacing w:line="440" w:lineRule="exact"/>
        <w:ind w:firstLine="0"/>
        <w:rPr>
          <w:rFonts w:hAnsi="宋体"/>
          <w:b/>
          <w:bCs/>
          <w:color w:val="auto"/>
          <w:kern w:val="44"/>
          <w:sz w:val="24"/>
          <w:szCs w:val="24"/>
          <w:highlight w:val="none"/>
        </w:rPr>
      </w:pPr>
    </w:p>
    <w:p>
      <w:pPr>
        <w:snapToGrid w:val="0"/>
        <w:spacing w:line="360" w:lineRule="auto"/>
        <w:jc w:val="left"/>
        <w:rPr>
          <w:color w:val="auto"/>
          <w:highlight w:val="none"/>
        </w:rPr>
      </w:pPr>
      <w:r>
        <w:rPr>
          <w:rFonts w:hint="eastAsia" w:ascii="宋体" w:hAnsi="宋体"/>
          <w:b/>
          <w:color w:val="auto"/>
          <w:szCs w:val="21"/>
          <w:highlight w:val="none"/>
        </w:rPr>
        <w:br w:type="page"/>
      </w:r>
      <w:r>
        <w:rPr>
          <w:rFonts w:hint="eastAsia" w:ascii="Arial" w:hAnsi="宋体" w:cs="Arial"/>
          <w:b/>
          <w:color w:val="auto"/>
          <w:szCs w:val="21"/>
          <w:highlight w:val="none"/>
        </w:rPr>
        <w:t>三、资格文件格式（包括但不限于以下内容）：</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（1）合法有效的营业执照副本（或事业法人登记证副本或其他登记证明材料）原件扫描件或者电子营业执照加盖供应商公章（复印件盖单位公章）；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（2）符合参加政府采购活动应当具备的一般条件的承诺函 （格式见招标文件第六章）；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（3）非联合体投标（须提供非联合体投标承诺书）（格式自拟）；</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（4）投标人认为需要提供的其他相关资料（如有）；</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注：采购人或采购代理机构在资格审查时，通过“信用中国”网站(www.creditchina.gov.cn)、中国政府采购网(www.ccgp.gov.cn) 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w:t>
      </w:r>
      <w:r>
        <w:rPr>
          <w:rFonts w:hint="eastAsia" w:ascii="宋体" w:hAnsi="宋体" w:cs="Times New Roman"/>
          <w:color w:val="auto"/>
          <w:szCs w:val="21"/>
          <w:highlight w:val="none"/>
          <w:lang w:val="en-US" w:eastAsia="zh-CN"/>
        </w:rPr>
        <w:t>乙方</w:t>
      </w:r>
      <w:r>
        <w:rPr>
          <w:rFonts w:hint="eastAsia" w:ascii="宋体" w:hAnsi="宋体" w:eastAsia="宋体" w:cs="Times New Roman"/>
          <w:color w:val="auto"/>
          <w:szCs w:val="21"/>
          <w:highlight w:val="none"/>
          <w:lang w:val="en-US" w:eastAsia="zh-CN"/>
        </w:rPr>
        <w:t>进行查询，如</w:t>
      </w:r>
      <w:r>
        <w:rPr>
          <w:rFonts w:hint="eastAsia" w:ascii="宋体" w:hAnsi="宋体" w:cs="Times New Roman"/>
          <w:color w:val="auto"/>
          <w:szCs w:val="21"/>
          <w:highlight w:val="none"/>
          <w:lang w:val="en-US" w:eastAsia="zh-CN"/>
        </w:rPr>
        <w:t>乙方</w:t>
      </w:r>
      <w:r>
        <w:rPr>
          <w:rFonts w:hint="eastAsia" w:ascii="宋体" w:hAnsi="宋体" w:eastAsia="宋体" w:cs="Times New Roman"/>
          <w:color w:val="auto"/>
          <w:szCs w:val="21"/>
          <w:highlight w:val="none"/>
          <w:lang w:val="en-US" w:eastAsia="zh-CN"/>
        </w:rPr>
        <w:t>为失信被执行人的，则取消中标资格。</w:t>
      </w:r>
    </w:p>
    <w:p>
      <w:pPr>
        <w:rPr>
          <w:rFonts w:ascii="宋体" w:hAnsi="宋体"/>
          <w:color w:val="auto"/>
          <w:szCs w:val="21"/>
          <w:highlight w:val="none"/>
        </w:rPr>
      </w:pPr>
      <w:r>
        <w:rPr>
          <w:rFonts w:hint="eastAsia" w:ascii="宋体" w:hAnsi="宋体"/>
          <w:color w:val="auto"/>
          <w:szCs w:val="21"/>
          <w:highlight w:val="none"/>
        </w:rPr>
        <w:br w:type="page"/>
      </w:r>
    </w:p>
    <w:p>
      <w:pPr>
        <w:numPr>
          <w:ilvl w:val="0"/>
          <w:numId w:val="0"/>
        </w:numP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合法</w:t>
      </w:r>
      <w:r>
        <w:rPr>
          <w:rFonts w:hint="eastAsia" w:ascii="宋体" w:hAnsi="宋体" w:eastAsia="宋体" w:cs="宋体"/>
          <w:b/>
          <w:bCs/>
          <w:color w:val="auto"/>
          <w:szCs w:val="21"/>
          <w:highlight w:val="none"/>
        </w:rPr>
        <w:t>有效的营业执照副本（或事业法人登记证副本或其他登记证明材料）原件扫描件或者电子营业执照加盖供应商公章；</w:t>
      </w:r>
    </w:p>
    <w:p>
      <w:pPr>
        <w:numPr>
          <w:ilvl w:val="0"/>
          <w:numId w:val="0"/>
        </w:numPr>
        <w:rPr>
          <w:rFonts w:hint="eastAsia"/>
          <w:b/>
          <w:color w:val="auto"/>
          <w:sz w:val="24"/>
          <w:highlight w:val="none"/>
        </w:rPr>
      </w:pPr>
    </w:p>
    <w:p>
      <w:pPr>
        <w:pStyle w:val="61"/>
        <w:rPr>
          <w:rFonts w:hint="eastAsia"/>
          <w:color w:val="auto"/>
          <w:highlight w:val="none"/>
        </w:rPr>
      </w:pPr>
    </w:p>
    <w:p>
      <w:pPr>
        <w:keepNext w:val="0"/>
        <w:keepLines w:val="0"/>
        <w:pageBreakBefore w:val="0"/>
        <w:widowControl w:val="0"/>
        <w:kinsoku/>
        <w:wordWrap/>
        <w:overflowPunct/>
        <w:topLinePunct w:val="0"/>
        <w:bidi w:val="0"/>
        <w:spacing w:line="360" w:lineRule="auto"/>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b/>
          <w:bCs/>
          <w:color w:val="auto"/>
          <w:szCs w:val="21"/>
          <w:highlight w:val="none"/>
        </w:rPr>
        <w:t>符合参加政府采购活动应当具备的一般条件的承诺函</w:t>
      </w:r>
      <w:r>
        <w:rPr>
          <w:rFonts w:hint="eastAsia" w:ascii="宋体" w:hAnsi="宋体" w:cs="宋体"/>
          <w:b/>
          <w:bCs/>
          <w:color w:val="auto"/>
          <w:szCs w:val="21"/>
          <w:highlight w:val="none"/>
          <w:lang w:eastAsia="zh-CN"/>
        </w:rPr>
        <w:t>；</w:t>
      </w:r>
    </w:p>
    <w:p>
      <w:pPr>
        <w:keepNext w:val="0"/>
        <w:keepLines w:val="0"/>
        <w:pageBreakBefore w:val="0"/>
        <w:widowControl w:val="0"/>
        <w:kinsoku/>
        <w:wordWrap/>
        <w:overflowPunct/>
        <w:topLinePunct w:val="0"/>
        <w:bidi w:val="0"/>
        <w:spacing w:line="360" w:lineRule="auto"/>
        <w:textAlignment w:val="auto"/>
        <w:rPr>
          <w:rFonts w:ascii="宋体" w:hAnsi="宋体"/>
          <w:b/>
          <w:color w:val="auto"/>
          <w:sz w:val="24"/>
          <w:szCs w:val="21"/>
          <w:highlight w:val="none"/>
        </w:rPr>
      </w:pPr>
      <w:r>
        <w:rPr>
          <w:rFonts w:hint="eastAsia" w:ascii="宋体" w:hAnsi="宋体"/>
          <w:b/>
          <w:color w:val="auto"/>
          <w:sz w:val="24"/>
          <w:szCs w:val="21"/>
          <w:highlight w:val="none"/>
        </w:rPr>
        <w:t xml:space="preserve">       </w:t>
      </w:r>
      <w:r>
        <w:rPr>
          <w:rFonts w:ascii="宋体" w:hAnsi="宋体"/>
          <w:b/>
          <w:color w:val="auto"/>
          <w:sz w:val="24"/>
          <w:szCs w:val="21"/>
          <w:highlight w:val="none"/>
        </w:rPr>
        <w:t xml:space="preserve">   </w:t>
      </w:r>
      <w:r>
        <w:rPr>
          <w:rFonts w:hint="eastAsia" w:ascii="宋体" w:hAnsi="宋体"/>
          <w:b/>
          <w:color w:val="auto"/>
          <w:sz w:val="24"/>
          <w:szCs w:val="21"/>
          <w:highlight w:val="none"/>
        </w:rPr>
        <w:t>符合参加政府采购活动应当具备的一般条件的承诺函</w:t>
      </w:r>
    </w:p>
    <w:p>
      <w:pPr>
        <w:pStyle w:val="48"/>
        <w:keepNext w:val="0"/>
        <w:keepLines w:val="0"/>
        <w:pageBreakBefore w:val="0"/>
        <w:widowControl w:val="0"/>
        <w:kinsoku/>
        <w:wordWrap/>
        <w:overflowPunct/>
        <w:topLinePunct w:val="0"/>
        <w:bidi w:val="0"/>
        <w:spacing w:after="0" w:line="360" w:lineRule="auto"/>
        <w:ind w:firstLine="210"/>
        <w:textAlignment w:val="auto"/>
        <w:rPr>
          <w:color w:val="auto"/>
          <w:highlight w:val="none"/>
        </w:rPr>
      </w:pPr>
    </w:p>
    <w:p>
      <w:pPr>
        <w:keepNext w:val="0"/>
        <w:keepLines w:val="0"/>
        <w:pageBreakBefore w:val="0"/>
        <w:widowControl w:val="0"/>
        <w:kinsoku/>
        <w:wordWrap/>
        <w:overflowPunct/>
        <w:topLinePunct w:val="0"/>
        <w:bidi w:val="0"/>
        <w:snapToGrid w:val="0"/>
        <w:spacing w:line="360" w:lineRule="auto"/>
        <w:textAlignment w:val="auto"/>
        <w:rPr>
          <w:rFonts w:ascii="宋体" w:hAnsi="宋体" w:cs="仿宋"/>
          <w:color w:val="auto"/>
          <w:sz w:val="22"/>
          <w:highlight w:val="none"/>
        </w:rPr>
      </w:pPr>
      <w:r>
        <w:rPr>
          <w:rFonts w:hint="eastAsia" w:ascii="宋体" w:hAnsi="宋体" w:cs="仿宋"/>
          <w:color w:val="auto"/>
          <w:sz w:val="22"/>
          <w:highlight w:val="none"/>
        </w:rPr>
        <w:t>（采购人）、（采购代理机构）：</w:t>
      </w:r>
    </w:p>
    <w:p>
      <w:pPr>
        <w:keepNext w:val="0"/>
        <w:keepLines w:val="0"/>
        <w:pageBreakBefore w:val="0"/>
        <w:widowControl w:val="0"/>
        <w:kinsoku/>
        <w:wordWrap/>
        <w:overflowPunct/>
        <w:topLinePunct w:val="0"/>
        <w:bidi w:val="0"/>
        <w:snapToGrid w:val="0"/>
        <w:spacing w:line="360" w:lineRule="auto"/>
        <w:ind w:firstLine="440" w:firstLineChars="200"/>
        <w:textAlignment w:val="auto"/>
        <w:rPr>
          <w:rFonts w:ascii="宋体" w:hAnsi="宋体" w:cs="仿宋"/>
          <w:color w:val="auto"/>
          <w:sz w:val="22"/>
          <w:highlight w:val="none"/>
        </w:rPr>
      </w:pPr>
      <w:r>
        <w:rPr>
          <w:rFonts w:hint="eastAsia" w:ascii="宋体" w:hAnsi="宋体" w:cs="仿宋"/>
          <w:color w:val="auto"/>
          <w:sz w:val="22"/>
          <w:highlight w:val="none"/>
        </w:rPr>
        <w:t>我方参与（项目名称）【招标编号：（采购编号）】政府采购活动，郑重承诺：</w:t>
      </w:r>
    </w:p>
    <w:p>
      <w:pPr>
        <w:keepNext w:val="0"/>
        <w:keepLines w:val="0"/>
        <w:pageBreakBefore w:val="0"/>
        <w:widowControl w:val="0"/>
        <w:kinsoku/>
        <w:wordWrap/>
        <w:overflowPunct/>
        <w:topLinePunct w:val="0"/>
        <w:bidi w:val="0"/>
        <w:snapToGrid w:val="0"/>
        <w:spacing w:line="360" w:lineRule="auto"/>
        <w:ind w:firstLine="330" w:firstLineChars="150"/>
        <w:textAlignment w:val="auto"/>
        <w:rPr>
          <w:rFonts w:ascii="宋体" w:hAnsi="宋体" w:cs="仿宋"/>
          <w:color w:val="auto"/>
          <w:sz w:val="22"/>
          <w:highlight w:val="none"/>
        </w:rPr>
      </w:pPr>
      <w:r>
        <w:rPr>
          <w:rFonts w:hint="eastAsia" w:ascii="宋体" w:hAnsi="宋体" w:cs="仿宋"/>
          <w:color w:val="auto"/>
          <w:sz w:val="22"/>
          <w:highlight w:val="none"/>
        </w:rPr>
        <w:t>（一）具备《中华人民共和国政府采购法》第二十二条第一款规定的条件：</w:t>
      </w:r>
    </w:p>
    <w:p>
      <w:pPr>
        <w:keepNext w:val="0"/>
        <w:keepLines w:val="0"/>
        <w:pageBreakBefore w:val="0"/>
        <w:widowControl w:val="0"/>
        <w:kinsoku/>
        <w:wordWrap/>
        <w:overflowPunct/>
        <w:topLinePunct w:val="0"/>
        <w:bidi w:val="0"/>
        <w:snapToGrid w:val="0"/>
        <w:spacing w:line="360" w:lineRule="auto"/>
        <w:ind w:firstLine="440" w:firstLineChars="200"/>
        <w:textAlignment w:val="auto"/>
        <w:rPr>
          <w:rFonts w:ascii="宋体" w:hAnsi="宋体" w:cs="仿宋"/>
          <w:color w:val="auto"/>
          <w:sz w:val="22"/>
          <w:highlight w:val="none"/>
        </w:rPr>
      </w:pPr>
      <w:r>
        <w:rPr>
          <w:rFonts w:hint="eastAsia" w:ascii="宋体" w:hAnsi="宋体" w:cs="仿宋"/>
          <w:color w:val="auto"/>
          <w:sz w:val="22"/>
          <w:highlight w:val="none"/>
        </w:rPr>
        <w:t>1、具有独立承担民事责任的能力；</w:t>
      </w:r>
    </w:p>
    <w:p>
      <w:pPr>
        <w:keepNext w:val="0"/>
        <w:keepLines w:val="0"/>
        <w:pageBreakBefore w:val="0"/>
        <w:widowControl w:val="0"/>
        <w:kinsoku/>
        <w:wordWrap/>
        <w:overflowPunct/>
        <w:topLinePunct w:val="0"/>
        <w:bidi w:val="0"/>
        <w:snapToGrid w:val="0"/>
        <w:spacing w:line="360" w:lineRule="auto"/>
        <w:ind w:firstLine="440" w:firstLineChars="200"/>
        <w:textAlignment w:val="auto"/>
        <w:rPr>
          <w:rFonts w:ascii="宋体" w:hAnsi="宋体" w:cs="仿宋"/>
          <w:color w:val="auto"/>
          <w:sz w:val="22"/>
          <w:highlight w:val="none"/>
        </w:rPr>
      </w:pPr>
      <w:r>
        <w:rPr>
          <w:rFonts w:hint="eastAsia" w:ascii="宋体" w:hAnsi="宋体" w:cs="仿宋"/>
          <w:color w:val="auto"/>
          <w:sz w:val="22"/>
          <w:highlight w:val="none"/>
        </w:rPr>
        <w:t xml:space="preserve">2、具有良好的商业信誉和健全的财务会计制度； </w:t>
      </w:r>
    </w:p>
    <w:p>
      <w:pPr>
        <w:keepNext w:val="0"/>
        <w:keepLines w:val="0"/>
        <w:pageBreakBefore w:val="0"/>
        <w:widowControl w:val="0"/>
        <w:kinsoku/>
        <w:wordWrap/>
        <w:overflowPunct/>
        <w:topLinePunct w:val="0"/>
        <w:bidi w:val="0"/>
        <w:snapToGrid w:val="0"/>
        <w:spacing w:line="360" w:lineRule="auto"/>
        <w:ind w:firstLine="440" w:firstLineChars="200"/>
        <w:textAlignment w:val="auto"/>
        <w:rPr>
          <w:rFonts w:ascii="宋体" w:hAnsi="宋体" w:cs="仿宋"/>
          <w:color w:val="auto"/>
          <w:sz w:val="22"/>
          <w:highlight w:val="none"/>
        </w:rPr>
      </w:pPr>
      <w:r>
        <w:rPr>
          <w:rFonts w:hint="eastAsia" w:ascii="宋体" w:hAnsi="宋体" w:cs="仿宋"/>
          <w:color w:val="auto"/>
          <w:sz w:val="22"/>
          <w:highlight w:val="none"/>
        </w:rPr>
        <w:t>3、具有履行合同所必需的设备和专业技术能力；</w:t>
      </w:r>
    </w:p>
    <w:p>
      <w:pPr>
        <w:keepNext w:val="0"/>
        <w:keepLines w:val="0"/>
        <w:pageBreakBefore w:val="0"/>
        <w:widowControl w:val="0"/>
        <w:kinsoku/>
        <w:wordWrap/>
        <w:overflowPunct/>
        <w:topLinePunct w:val="0"/>
        <w:bidi w:val="0"/>
        <w:snapToGrid w:val="0"/>
        <w:spacing w:line="360" w:lineRule="auto"/>
        <w:ind w:firstLine="440" w:firstLineChars="200"/>
        <w:textAlignment w:val="auto"/>
        <w:rPr>
          <w:rFonts w:ascii="宋体" w:hAnsi="宋体" w:cs="仿宋"/>
          <w:color w:val="auto"/>
          <w:sz w:val="22"/>
          <w:highlight w:val="none"/>
        </w:rPr>
      </w:pPr>
      <w:r>
        <w:rPr>
          <w:rFonts w:hint="eastAsia" w:ascii="宋体" w:hAnsi="宋体" w:cs="仿宋"/>
          <w:color w:val="auto"/>
          <w:sz w:val="22"/>
          <w:highlight w:val="none"/>
        </w:rPr>
        <w:t>4、有依法缴纳税收和社会保障资金的良好记录；</w:t>
      </w:r>
    </w:p>
    <w:p>
      <w:pPr>
        <w:keepNext w:val="0"/>
        <w:keepLines w:val="0"/>
        <w:pageBreakBefore w:val="0"/>
        <w:widowControl w:val="0"/>
        <w:kinsoku/>
        <w:wordWrap/>
        <w:overflowPunct/>
        <w:topLinePunct w:val="0"/>
        <w:bidi w:val="0"/>
        <w:snapToGrid w:val="0"/>
        <w:spacing w:line="360" w:lineRule="auto"/>
        <w:ind w:firstLine="440" w:firstLineChars="200"/>
        <w:textAlignment w:val="auto"/>
        <w:rPr>
          <w:rFonts w:ascii="宋体" w:hAnsi="宋体" w:cs="仿宋"/>
          <w:color w:val="auto"/>
          <w:sz w:val="22"/>
          <w:highlight w:val="none"/>
        </w:rPr>
      </w:pPr>
      <w:r>
        <w:rPr>
          <w:rFonts w:hint="eastAsia" w:ascii="宋体" w:hAnsi="宋体" w:cs="仿宋"/>
          <w:color w:val="auto"/>
          <w:sz w:val="22"/>
          <w:highlight w:val="none"/>
        </w:rPr>
        <w:t>5、参加政府采购活动前三年内，在经营活动中没有重大违法记录；</w:t>
      </w:r>
    </w:p>
    <w:p>
      <w:pPr>
        <w:keepNext w:val="0"/>
        <w:keepLines w:val="0"/>
        <w:pageBreakBefore w:val="0"/>
        <w:widowControl w:val="0"/>
        <w:kinsoku/>
        <w:wordWrap/>
        <w:overflowPunct/>
        <w:topLinePunct w:val="0"/>
        <w:bidi w:val="0"/>
        <w:snapToGrid w:val="0"/>
        <w:spacing w:line="360" w:lineRule="auto"/>
        <w:ind w:firstLine="440" w:firstLineChars="200"/>
        <w:textAlignment w:val="auto"/>
        <w:rPr>
          <w:rFonts w:ascii="宋体" w:hAnsi="宋体" w:cs="仿宋"/>
          <w:color w:val="auto"/>
          <w:sz w:val="22"/>
          <w:highlight w:val="none"/>
        </w:rPr>
      </w:pPr>
      <w:r>
        <w:rPr>
          <w:rFonts w:hint="eastAsia" w:ascii="宋体" w:hAnsi="宋体" w:cs="仿宋"/>
          <w:color w:val="auto"/>
          <w:sz w:val="22"/>
          <w:highlight w:val="none"/>
        </w:rPr>
        <w:t>6、具有法律、行政法规规定的其他条件。</w:t>
      </w:r>
    </w:p>
    <w:p>
      <w:pPr>
        <w:keepNext w:val="0"/>
        <w:keepLines w:val="0"/>
        <w:pageBreakBefore w:val="0"/>
        <w:widowControl w:val="0"/>
        <w:kinsoku/>
        <w:wordWrap/>
        <w:overflowPunct/>
        <w:topLinePunct w:val="0"/>
        <w:bidi w:val="0"/>
        <w:snapToGrid w:val="0"/>
        <w:spacing w:line="360" w:lineRule="auto"/>
        <w:ind w:firstLine="440" w:firstLineChars="200"/>
        <w:textAlignment w:val="auto"/>
        <w:rPr>
          <w:rFonts w:ascii="宋体" w:hAnsi="宋体" w:cs="仿宋"/>
          <w:color w:val="auto"/>
          <w:sz w:val="22"/>
          <w:highlight w:val="none"/>
        </w:rPr>
      </w:pPr>
      <w:r>
        <w:rPr>
          <w:rFonts w:hint="eastAsia" w:ascii="宋体" w:hAnsi="宋体" w:cs="仿宋"/>
          <w:color w:val="auto"/>
          <w:sz w:val="22"/>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bidi w:val="0"/>
        <w:snapToGrid w:val="0"/>
        <w:spacing w:line="360" w:lineRule="auto"/>
        <w:ind w:firstLine="440" w:firstLineChars="200"/>
        <w:textAlignment w:val="auto"/>
        <w:rPr>
          <w:rFonts w:ascii="宋体" w:hAnsi="宋体" w:cs="仿宋"/>
          <w:color w:val="auto"/>
          <w:sz w:val="22"/>
          <w:highlight w:val="none"/>
        </w:rPr>
      </w:pPr>
      <w:r>
        <w:rPr>
          <w:rFonts w:hint="eastAsia" w:ascii="宋体" w:hAnsi="宋体" w:cs="仿宋"/>
          <w:color w:val="auto"/>
          <w:sz w:val="22"/>
          <w:highlight w:val="none"/>
        </w:rPr>
        <w:t>（三）不存在以下情况：</w:t>
      </w:r>
    </w:p>
    <w:p>
      <w:pPr>
        <w:keepNext w:val="0"/>
        <w:keepLines w:val="0"/>
        <w:pageBreakBefore w:val="0"/>
        <w:widowControl w:val="0"/>
        <w:kinsoku/>
        <w:wordWrap/>
        <w:overflowPunct/>
        <w:topLinePunct w:val="0"/>
        <w:bidi w:val="0"/>
        <w:snapToGrid w:val="0"/>
        <w:spacing w:line="360" w:lineRule="auto"/>
        <w:ind w:firstLine="440" w:firstLineChars="200"/>
        <w:textAlignment w:val="auto"/>
        <w:rPr>
          <w:rFonts w:ascii="宋体" w:hAnsi="宋体" w:cs="仿宋"/>
          <w:color w:val="auto"/>
          <w:sz w:val="22"/>
          <w:highlight w:val="none"/>
        </w:rPr>
      </w:pPr>
      <w:r>
        <w:rPr>
          <w:rFonts w:hint="eastAsia" w:ascii="宋体" w:hAnsi="宋体" w:cs="仿宋"/>
          <w:color w:val="auto"/>
          <w:sz w:val="22"/>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bidi w:val="0"/>
        <w:snapToGrid w:val="0"/>
        <w:spacing w:line="360" w:lineRule="auto"/>
        <w:ind w:firstLine="440" w:firstLineChars="200"/>
        <w:textAlignment w:val="auto"/>
        <w:rPr>
          <w:rFonts w:ascii="宋体" w:hAnsi="宋体" w:cs="仿宋"/>
          <w:color w:val="auto"/>
          <w:sz w:val="22"/>
          <w:highlight w:val="none"/>
        </w:rPr>
      </w:pPr>
      <w:r>
        <w:rPr>
          <w:rFonts w:hint="eastAsia" w:ascii="宋体" w:hAnsi="宋体" w:cs="仿宋"/>
          <w:color w:val="auto"/>
          <w:sz w:val="22"/>
          <w:highlight w:val="none"/>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bidi w:val="0"/>
        <w:snapToGrid w:val="0"/>
        <w:spacing w:line="360" w:lineRule="auto"/>
        <w:ind w:firstLine="5060" w:firstLineChars="2300"/>
        <w:textAlignment w:val="auto"/>
        <w:rPr>
          <w:rFonts w:ascii="宋体" w:hAnsi="宋体" w:cs="仿宋"/>
          <w:color w:val="auto"/>
          <w:kern w:val="0"/>
          <w:sz w:val="22"/>
          <w:highlight w:val="none"/>
          <w:lang w:val="zh-CN"/>
        </w:rPr>
      </w:pPr>
    </w:p>
    <w:p>
      <w:pPr>
        <w:keepNext w:val="0"/>
        <w:keepLines w:val="0"/>
        <w:pageBreakBefore w:val="0"/>
        <w:widowControl w:val="0"/>
        <w:kinsoku/>
        <w:wordWrap/>
        <w:overflowPunct/>
        <w:topLinePunct w:val="0"/>
        <w:bidi w:val="0"/>
        <w:snapToGrid w:val="0"/>
        <w:spacing w:line="360" w:lineRule="auto"/>
        <w:ind w:firstLine="5060" w:firstLineChars="2300"/>
        <w:textAlignment w:val="auto"/>
        <w:rPr>
          <w:rFonts w:ascii="宋体" w:hAnsi="宋体" w:cs="仿宋"/>
          <w:color w:val="auto"/>
          <w:kern w:val="0"/>
          <w:sz w:val="22"/>
          <w:highlight w:val="none"/>
          <w:lang w:val="zh-CN"/>
        </w:rPr>
      </w:pPr>
    </w:p>
    <w:p>
      <w:pPr>
        <w:keepNext w:val="0"/>
        <w:keepLines w:val="0"/>
        <w:pageBreakBefore w:val="0"/>
        <w:widowControl w:val="0"/>
        <w:kinsoku/>
        <w:wordWrap/>
        <w:overflowPunct/>
        <w:topLinePunct w:val="0"/>
        <w:bidi w:val="0"/>
        <w:snapToGrid w:val="0"/>
        <w:spacing w:line="360" w:lineRule="auto"/>
        <w:ind w:left="4200" w:leftChars="2000"/>
        <w:textAlignment w:val="auto"/>
        <w:rPr>
          <w:rFonts w:ascii="宋体" w:hAnsi="宋体" w:cs="仿宋"/>
          <w:color w:val="auto"/>
          <w:kern w:val="0"/>
          <w:sz w:val="22"/>
          <w:highlight w:val="none"/>
        </w:rPr>
      </w:pPr>
      <w:r>
        <w:rPr>
          <w:rFonts w:hint="eastAsia" w:ascii="宋体" w:hAnsi="宋体" w:cs="仿宋"/>
          <w:color w:val="auto"/>
          <w:kern w:val="0"/>
          <w:sz w:val="22"/>
          <w:highlight w:val="none"/>
          <w:lang w:val="zh-CN"/>
        </w:rPr>
        <w:t>投标人名称：</w:t>
      </w:r>
    </w:p>
    <w:p>
      <w:pPr>
        <w:keepNext w:val="0"/>
        <w:keepLines w:val="0"/>
        <w:pageBreakBefore w:val="0"/>
        <w:widowControl w:val="0"/>
        <w:kinsoku/>
        <w:wordWrap/>
        <w:overflowPunct/>
        <w:topLinePunct w:val="0"/>
        <w:bidi w:val="0"/>
        <w:snapToGrid w:val="0"/>
        <w:spacing w:line="360" w:lineRule="auto"/>
        <w:ind w:left="4200" w:leftChars="2000"/>
        <w:textAlignment w:val="auto"/>
        <w:rPr>
          <w:rFonts w:ascii="宋体" w:hAnsi="宋体" w:cs="仿宋"/>
          <w:color w:val="auto"/>
          <w:kern w:val="0"/>
          <w:sz w:val="22"/>
          <w:highlight w:val="none"/>
        </w:rPr>
      </w:pPr>
      <w:r>
        <w:rPr>
          <w:rFonts w:hint="eastAsia" w:ascii="宋体" w:hAnsi="宋体" w:cs="仿宋"/>
          <w:color w:val="auto"/>
          <w:kern w:val="0"/>
          <w:sz w:val="22"/>
          <w:highlight w:val="none"/>
          <w:lang w:val="zh-CN"/>
        </w:rPr>
        <w:t>日期</w:t>
      </w:r>
      <w:r>
        <w:rPr>
          <w:rFonts w:hint="eastAsia" w:ascii="宋体" w:hAnsi="宋体" w:cs="仿宋"/>
          <w:color w:val="auto"/>
          <w:kern w:val="0"/>
          <w:sz w:val="22"/>
          <w:highlight w:val="none"/>
        </w:rPr>
        <w:t xml:space="preserve">：  年  </w:t>
      </w:r>
      <w:r>
        <w:rPr>
          <w:rFonts w:hint="eastAsia" w:ascii="宋体" w:hAnsi="宋体" w:cs="仿宋"/>
          <w:color w:val="auto"/>
          <w:kern w:val="0"/>
          <w:sz w:val="22"/>
          <w:highlight w:val="none"/>
          <w:lang w:val="zh-CN"/>
        </w:rPr>
        <w:t>月</w:t>
      </w:r>
      <w:r>
        <w:rPr>
          <w:rFonts w:hint="eastAsia" w:ascii="宋体" w:hAnsi="宋体" w:cs="仿宋"/>
          <w:color w:val="auto"/>
          <w:kern w:val="0"/>
          <w:sz w:val="22"/>
          <w:highlight w:val="none"/>
        </w:rPr>
        <w:t xml:space="preserve">   </w:t>
      </w:r>
      <w:r>
        <w:rPr>
          <w:rFonts w:hint="eastAsia" w:ascii="宋体" w:hAnsi="宋体" w:cs="仿宋"/>
          <w:color w:val="auto"/>
          <w:kern w:val="0"/>
          <w:sz w:val="22"/>
          <w:highlight w:val="none"/>
          <w:lang w:val="zh-CN"/>
        </w:rPr>
        <w:t>日</w:t>
      </w:r>
    </w:p>
    <w:p>
      <w:pPr>
        <w:numPr>
          <w:ilvl w:val="0"/>
          <w:numId w:val="0"/>
        </w:numPr>
        <w:rPr>
          <w:rFonts w:hint="eastAsia"/>
          <w:b/>
          <w:color w:val="auto"/>
          <w:sz w:val="24"/>
          <w:highlight w:val="none"/>
        </w:rPr>
      </w:pPr>
    </w:p>
    <w:p>
      <w:pPr>
        <w:numPr>
          <w:ilvl w:val="0"/>
          <w:numId w:val="0"/>
        </w:numPr>
        <w:rPr>
          <w:rFonts w:hint="eastAsia" w:ascii="宋体" w:hAnsi="宋体" w:eastAsia="宋体" w:cs="宋体"/>
          <w:b/>
          <w:bCs/>
          <w:color w:val="auto"/>
          <w:szCs w:val="21"/>
          <w:highlight w:val="none"/>
          <w:lang w:val="en-US" w:eastAsia="zh-CN"/>
        </w:rPr>
      </w:pPr>
    </w:p>
    <w:p>
      <w:pPr>
        <w:numPr>
          <w:ilvl w:val="0"/>
          <w:numId w:val="0"/>
        </w:numPr>
        <w:rPr>
          <w:rFonts w:hint="eastAsia" w:ascii="宋体" w:hAnsi="宋体" w:eastAsia="宋体" w:cs="宋体"/>
          <w:b/>
          <w:bCs/>
          <w:color w:val="auto"/>
          <w:szCs w:val="21"/>
          <w:highlight w:val="none"/>
          <w:lang w:val="en-US" w:eastAsia="zh-CN"/>
        </w:rPr>
      </w:pPr>
    </w:p>
    <w:p>
      <w:pPr>
        <w:numPr>
          <w:ilvl w:val="0"/>
          <w:numId w:val="0"/>
        </w:numP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3.非联合体投标（须提供非联合体投标承诺书）（格式自拟）；</w:t>
      </w:r>
    </w:p>
    <w:p>
      <w:pPr>
        <w:snapToGrid w:val="0"/>
        <w:rPr>
          <w:rFonts w:ascii="宋体" w:hAnsi="宋体"/>
          <w:b/>
          <w:color w:val="auto"/>
          <w:szCs w:val="21"/>
          <w:highlight w:val="none"/>
        </w:rPr>
      </w:pPr>
    </w:p>
    <w:p>
      <w:pPr>
        <w:rPr>
          <w:rFonts w:ascii="宋体" w:hAnsi="宋体" w:cs="Arial"/>
          <w:b/>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en-US" w:eastAsia="zh-CN"/>
        </w:rPr>
        <w:t>.投标人认为需要提供的其他相关资料（如有需提</w:t>
      </w:r>
      <w:r>
        <w:rPr>
          <w:rFonts w:hint="eastAsia" w:ascii="宋体" w:hAnsi="宋体" w:eastAsia="宋体" w:cs="宋体"/>
          <w:b/>
          <w:bCs/>
          <w:color w:val="auto"/>
          <w:szCs w:val="21"/>
          <w:highlight w:val="none"/>
        </w:rPr>
        <w:t>供）。</w:t>
      </w:r>
      <w:r>
        <w:rPr>
          <w:rFonts w:hint="eastAsia" w:ascii="宋体" w:hAnsi="宋体" w:cs="Arial"/>
          <w:b/>
          <w:color w:val="auto"/>
          <w:szCs w:val="21"/>
          <w:highlight w:val="none"/>
        </w:rPr>
        <w:br w:type="page"/>
      </w:r>
    </w:p>
    <w:p>
      <w:pPr>
        <w:snapToGrid w:val="0"/>
        <w:spacing w:line="360" w:lineRule="auto"/>
        <w:jc w:val="left"/>
        <w:rPr>
          <w:rFonts w:ascii="Arial" w:hAnsi="宋体" w:cs="Arial"/>
          <w:b/>
          <w:color w:val="auto"/>
          <w:szCs w:val="21"/>
          <w:highlight w:val="none"/>
        </w:rPr>
      </w:pPr>
      <w:r>
        <w:rPr>
          <w:rFonts w:hint="eastAsia" w:ascii="Arial" w:hAnsi="宋体" w:cs="Arial"/>
          <w:b/>
          <w:color w:val="auto"/>
          <w:szCs w:val="21"/>
          <w:highlight w:val="none"/>
        </w:rPr>
        <w:t>四、商务技术文件格式（包括但不限于以下内容）：</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（1）符合性自查表（格式详见招标文件第六章）；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（2）评分索引表（格式详见招标文件第六章）；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（3）投标书（格式详见招标文件第六章） ；</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（4）合法有效的营业执照副本（或事业法人登记证副本或其他登记证明材料）原件扫描件或者电子营业执照加盖供应商公章（复印件盖单位公章）；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股东成员组成说明书（供应商须提供股东成员组成说明书（格式自拟），加盖供应商公章；或从“国家企业信用信息公示系统”、“宁波市企业信用网”等相关网站里打印有股东成员名称的相关页面，加盖供应商公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(6)授权委托书（投标文件由授权代表签字的须提供）、法定代表人身份证明（格式详见第六章）；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（7）“本单位不存在与其他投标人的投标文件出自同一终端设备或在相同Internet主机分配地址（相同IP地址）网上报名投标的承诺”的承诺书（格式自拟）；</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（8）技术条款响应表（详见招标文件第六章）；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（9）商务条款响应表（详见招标文件第六章）；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（10）投标人基本情况表（格式详见招标文件第六章） ；</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（11）拟派项目负责人简历表（格式详见招标文件第六章）；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（12）拟投入的人员配备情况表（格式详见招标文件第六章）；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（13）相关工作经验人员承诺函（格式自拟）；</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（14）人员工资承诺函（格式自拟）；</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（15）针对本项目拟投入设备承诺函（格式详见招标文件第六章）；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（16）投标人同类项目业绩一览表（格式详见招标文件第六章）；</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（17）投标人实力（格式自拟）；</w:t>
      </w:r>
    </w:p>
    <w:p>
      <w:pPr>
        <w:pageBreakBefore w:val="0"/>
        <w:kinsoku/>
        <w:overflowPunct/>
        <w:topLinePunct w:val="0"/>
        <w:bidi w:val="0"/>
        <w:spacing w:line="360" w:lineRule="auto"/>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（18）项目总体实施方案（包含但不限于每月养护方案，重难点分析及解决方案，应急保障措施，质量保证承诺，人员及设备管理方案，安全生产、文明施工、环保措施等）（格式自拟）；</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（19）第四章“评标办法及评分标准”中“商务和技术评分表”要求提供的资料（如有）；</w:t>
      </w:r>
    </w:p>
    <w:p>
      <w:pPr>
        <w:pageBreakBefore w:val="0"/>
        <w:kinsoku/>
        <w:overflowPunct/>
        <w:topLinePunct w:val="0"/>
        <w:bidi w:val="0"/>
        <w:spacing w:line="360"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（20）供应商认为需要的其他资料（如有需提供）。</w:t>
      </w:r>
    </w:p>
    <w:p>
      <w:pPr>
        <w:pageBreakBefore w:val="0"/>
        <w:kinsoku/>
        <w:overflowPunct/>
        <w:topLinePunct w:val="0"/>
        <w:bidi w:val="0"/>
        <w:spacing w:line="360" w:lineRule="auto"/>
        <w:ind w:firstLine="420" w:firstLineChars="200"/>
        <w:jc w:val="left"/>
        <w:rPr>
          <w:rFonts w:hint="eastAsia" w:ascii="宋体" w:hAnsi="宋体" w:eastAsia="宋体" w:cs="Times New Roman"/>
          <w:color w:val="auto"/>
          <w:szCs w:val="21"/>
          <w:highlight w:val="none"/>
          <w:lang w:val="en-US" w:eastAsia="zh-CN"/>
        </w:rPr>
      </w:pPr>
    </w:p>
    <w:p>
      <w:pP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br w:type="page"/>
      </w:r>
    </w:p>
    <w:p>
      <w:pPr>
        <w:numPr>
          <w:ilvl w:val="0"/>
          <w:numId w:val="0"/>
        </w:numPr>
        <w:ind w:leftChars="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.符合性自查表</w:t>
      </w:r>
    </w:p>
    <w:p>
      <w:pPr>
        <w:pStyle w:val="2"/>
        <w:jc w:val="center"/>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符合性自查表</w:t>
      </w:r>
    </w:p>
    <w:tbl>
      <w:tblPr>
        <w:tblStyle w:val="49"/>
        <w:tblW w:w="96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367"/>
        <w:gridCol w:w="5478"/>
        <w:gridCol w:w="1119"/>
        <w:gridCol w:w="11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top"/>
          </w:tcPr>
          <w:p>
            <w:pPr>
              <w:pageBreakBefore w:val="0"/>
              <w:topLinePunct w:val="0"/>
              <w:bidi w:val="0"/>
              <w:spacing w:line="360" w:lineRule="auto"/>
              <w:ind w:left="0" w:leftChars="0" w:right="0"/>
              <w:jc w:val="center"/>
              <w:rPr>
                <w:rFonts w:ascii="宋体" w:hAnsi="宋体" w:cs="宋体"/>
                <w:b/>
                <w:color w:val="auto"/>
                <w:sz w:val="18"/>
                <w:szCs w:val="18"/>
                <w:highlight w:val="none"/>
              </w:rPr>
            </w:pPr>
            <w:r>
              <w:rPr>
                <w:rFonts w:hint="eastAsia" w:ascii="宋体" w:hAnsi="宋体" w:cs="宋体"/>
                <w:b/>
                <w:color w:val="auto"/>
                <w:sz w:val="18"/>
                <w:szCs w:val="18"/>
                <w:highlight w:val="none"/>
              </w:rPr>
              <w:t>序号</w:t>
            </w:r>
          </w:p>
        </w:tc>
        <w:tc>
          <w:tcPr>
            <w:tcW w:w="1367" w:type="dxa"/>
            <w:noWrap w:val="0"/>
            <w:vAlign w:val="top"/>
          </w:tcPr>
          <w:p>
            <w:pPr>
              <w:pageBreakBefore w:val="0"/>
              <w:topLinePunct w:val="0"/>
              <w:bidi w:val="0"/>
              <w:spacing w:line="360" w:lineRule="auto"/>
              <w:ind w:left="0" w:leftChars="0" w:right="0"/>
              <w:jc w:val="center"/>
              <w:rPr>
                <w:rFonts w:ascii="宋体" w:hAnsi="宋体" w:cs="宋体"/>
                <w:b/>
                <w:color w:val="auto"/>
                <w:sz w:val="18"/>
                <w:szCs w:val="18"/>
                <w:highlight w:val="none"/>
              </w:rPr>
            </w:pPr>
            <w:r>
              <w:rPr>
                <w:rFonts w:hint="eastAsia" w:ascii="宋体" w:hAnsi="宋体" w:cs="宋体"/>
                <w:b/>
                <w:color w:val="auto"/>
                <w:sz w:val="18"/>
                <w:szCs w:val="18"/>
                <w:highlight w:val="none"/>
              </w:rPr>
              <w:t>审查项目</w:t>
            </w:r>
          </w:p>
        </w:tc>
        <w:tc>
          <w:tcPr>
            <w:tcW w:w="5478" w:type="dxa"/>
            <w:noWrap w:val="0"/>
            <w:vAlign w:val="top"/>
          </w:tcPr>
          <w:p>
            <w:pPr>
              <w:pageBreakBefore w:val="0"/>
              <w:topLinePunct w:val="0"/>
              <w:bidi w:val="0"/>
              <w:spacing w:line="360" w:lineRule="auto"/>
              <w:ind w:left="0" w:leftChars="0" w:right="0"/>
              <w:jc w:val="center"/>
              <w:rPr>
                <w:rFonts w:ascii="宋体" w:hAnsi="宋体" w:cs="宋体"/>
                <w:b/>
                <w:color w:val="auto"/>
                <w:sz w:val="18"/>
                <w:szCs w:val="18"/>
                <w:highlight w:val="none"/>
              </w:rPr>
            </w:pPr>
            <w:r>
              <w:rPr>
                <w:rFonts w:hint="eastAsia" w:ascii="宋体" w:hAnsi="宋体" w:cs="宋体"/>
                <w:b/>
                <w:color w:val="auto"/>
                <w:sz w:val="18"/>
                <w:szCs w:val="18"/>
                <w:highlight w:val="none"/>
              </w:rPr>
              <w:t>要求</w:t>
            </w:r>
          </w:p>
        </w:tc>
        <w:tc>
          <w:tcPr>
            <w:tcW w:w="1119" w:type="dxa"/>
            <w:noWrap w:val="0"/>
            <w:vAlign w:val="center"/>
          </w:tcPr>
          <w:p>
            <w:pPr>
              <w:pageBreakBefore w:val="0"/>
              <w:topLinePunct w:val="0"/>
              <w:bidi w:val="0"/>
              <w:spacing w:line="360" w:lineRule="auto"/>
              <w:ind w:left="0" w:leftChars="0" w:right="0"/>
              <w:rPr>
                <w:rFonts w:hint="eastAsia" w:ascii="Times New Roman" w:hAnsi="Times New Roman"/>
                <w:b/>
                <w:color w:val="auto"/>
                <w:sz w:val="18"/>
                <w:szCs w:val="18"/>
                <w:highlight w:val="none"/>
              </w:rPr>
            </w:pPr>
            <w:r>
              <w:rPr>
                <w:rFonts w:hint="eastAsia"/>
                <w:b/>
                <w:color w:val="auto"/>
                <w:sz w:val="18"/>
                <w:szCs w:val="18"/>
                <w:highlight w:val="none"/>
              </w:rPr>
              <w:t>自查结论</w:t>
            </w:r>
          </w:p>
        </w:tc>
        <w:tc>
          <w:tcPr>
            <w:tcW w:w="1101" w:type="dxa"/>
            <w:noWrap w:val="0"/>
            <w:vAlign w:val="center"/>
          </w:tcPr>
          <w:p>
            <w:pPr>
              <w:pageBreakBefore w:val="0"/>
              <w:topLinePunct w:val="0"/>
              <w:bidi w:val="0"/>
              <w:spacing w:line="360" w:lineRule="auto"/>
              <w:ind w:left="0" w:leftChars="0" w:right="0"/>
              <w:rPr>
                <w:rFonts w:hint="eastAsia" w:ascii="Times New Roman" w:hAnsi="Times New Roman"/>
                <w:b/>
                <w:color w:val="auto"/>
                <w:sz w:val="18"/>
                <w:szCs w:val="18"/>
                <w:highlight w:val="none"/>
              </w:rPr>
            </w:pPr>
            <w:r>
              <w:rPr>
                <w:rFonts w:hint="eastAsia"/>
                <w:b/>
                <w:color w:val="auto"/>
                <w:sz w:val="18"/>
                <w:szCs w:val="18"/>
                <w:highlight w:val="none"/>
              </w:rPr>
              <w:t>证明资料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367" w:type="dxa"/>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r>
              <w:rPr>
                <w:rFonts w:hint="eastAsia" w:ascii="宋体" w:hAnsi="宋体" w:eastAsia="宋体" w:cs="宋体"/>
                <w:color w:val="auto"/>
                <w:sz w:val="18"/>
                <w:szCs w:val="18"/>
                <w:highlight w:val="none"/>
              </w:rPr>
              <w:t>供应商名称</w:t>
            </w:r>
          </w:p>
        </w:tc>
        <w:tc>
          <w:tcPr>
            <w:tcW w:w="5478" w:type="dxa"/>
            <w:noWrap w:val="0"/>
            <w:vAlign w:val="top"/>
          </w:tcPr>
          <w:p>
            <w:pPr>
              <w:pageBreakBefore w:val="0"/>
              <w:topLinePunct w:val="0"/>
              <w:bidi w:val="0"/>
              <w:spacing w:line="360" w:lineRule="auto"/>
              <w:ind w:left="0" w:leftChars="0" w:right="0"/>
              <w:rPr>
                <w:rFonts w:ascii="宋体" w:hAnsi="宋体" w:cs="宋体"/>
                <w:color w:val="auto"/>
                <w:sz w:val="18"/>
                <w:szCs w:val="18"/>
                <w:highlight w:val="none"/>
              </w:rPr>
            </w:pPr>
            <w:r>
              <w:rPr>
                <w:rFonts w:hint="eastAsia" w:ascii="宋体" w:hAnsi="宋体" w:eastAsia="宋体" w:cs="宋体"/>
                <w:color w:val="auto"/>
                <w:sz w:val="18"/>
                <w:szCs w:val="18"/>
                <w:highlight w:val="none"/>
              </w:rPr>
              <w:t>与有效的企业法人营业执照（或事业法人登记证）、其他组织（个体工商户）的营业执照或者民办非企业单位登记证书复印件一致。</w:t>
            </w:r>
          </w:p>
        </w:tc>
        <w:tc>
          <w:tcPr>
            <w:tcW w:w="1119"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□通过 </w:t>
            </w:r>
          </w:p>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□不通过</w:t>
            </w:r>
          </w:p>
        </w:tc>
        <w:tc>
          <w:tcPr>
            <w:tcW w:w="1101"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第（ ）页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20"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2</w:t>
            </w:r>
          </w:p>
        </w:tc>
        <w:tc>
          <w:tcPr>
            <w:tcW w:w="1367" w:type="dxa"/>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r>
              <w:rPr>
                <w:rFonts w:hint="eastAsia" w:ascii="宋体" w:hAnsi="宋体" w:eastAsia="宋体" w:cs="宋体"/>
                <w:color w:val="auto"/>
                <w:sz w:val="18"/>
                <w:szCs w:val="18"/>
                <w:highlight w:val="none"/>
              </w:rPr>
              <w:t>投标有效期</w:t>
            </w:r>
          </w:p>
        </w:tc>
        <w:tc>
          <w:tcPr>
            <w:tcW w:w="5478" w:type="dxa"/>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r>
              <w:rPr>
                <w:rFonts w:hint="eastAsia" w:cs="宋体"/>
                <w:color w:val="auto"/>
                <w:sz w:val="18"/>
                <w:szCs w:val="18"/>
                <w:highlight w:val="none"/>
              </w:rPr>
              <w:t>满足招标文件要求</w:t>
            </w:r>
            <w:r>
              <w:rPr>
                <w:rFonts w:hint="eastAsia"/>
                <w:color w:val="auto"/>
                <w:sz w:val="18"/>
                <w:szCs w:val="18"/>
                <w:highlight w:val="none"/>
              </w:rPr>
              <w:t>。</w:t>
            </w:r>
          </w:p>
        </w:tc>
        <w:tc>
          <w:tcPr>
            <w:tcW w:w="1119"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□通过 </w:t>
            </w:r>
          </w:p>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□不通过</w:t>
            </w:r>
          </w:p>
        </w:tc>
        <w:tc>
          <w:tcPr>
            <w:tcW w:w="1101"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第（ ）页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20"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1367" w:type="dxa"/>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r>
              <w:rPr>
                <w:rFonts w:hint="eastAsia" w:ascii="宋体" w:hAnsi="宋体" w:cs="宋体"/>
                <w:color w:val="auto"/>
                <w:sz w:val="18"/>
                <w:szCs w:val="18"/>
                <w:highlight w:val="none"/>
              </w:rPr>
              <w:t>法定代表人身份证明和法定代表人授权书</w:t>
            </w:r>
          </w:p>
        </w:tc>
        <w:tc>
          <w:tcPr>
            <w:tcW w:w="5478" w:type="dxa"/>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r>
              <w:rPr>
                <w:rFonts w:hint="eastAsia" w:ascii="宋体" w:hAnsi="宋体" w:cs="宋体"/>
                <w:color w:val="auto"/>
                <w:sz w:val="18"/>
                <w:szCs w:val="18"/>
                <w:highlight w:val="none"/>
              </w:rPr>
              <w:t>投标文件由法定代表人签字的，提供“法定代表人身份证明”；</w:t>
            </w:r>
          </w:p>
          <w:p>
            <w:pPr>
              <w:pageBreakBefore w:val="0"/>
              <w:topLinePunct w:val="0"/>
              <w:bidi w:val="0"/>
              <w:spacing w:line="360" w:lineRule="auto"/>
              <w:ind w:left="0" w:leftChars="0" w:right="0"/>
              <w:rPr>
                <w:rFonts w:ascii="宋体" w:hAnsi="宋体" w:cs="宋体"/>
                <w:color w:val="auto"/>
                <w:sz w:val="18"/>
                <w:szCs w:val="18"/>
                <w:highlight w:val="none"/>
              </w:rPr>
            </w:pPr>
            <w:r>
              <w:rPr>
                <w:rFonts w:hint="eastAsia" w:ascii="宋体" w:hAnsi="宋体" w:cs="宋体"/>
                <w:color w:val="auto"/>
                <w:sz w:val="18"/>
                <w:szCs w:val="18"/>
                <w:highlight w:val="none"/>
              </w:rPr>
              <w:t>投标文件由授权代表签字的，提供“法定代表人身份证明”和“法定代表人授权书”。</w:t>
            </w:r>
          </w:p>
        </w:tc>
        <w:tc>
          <w:tcPr>
            <w:tcW w:w="1119"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□通过 </w:t>
            </w:r>
          </w:p>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□不通过</w:t>
            </w:r>
          </w:p>
        </w:tc>
        <w:tc>
          <w:tcPr>
            <w:tcW w:w="1101"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第（ ）页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1367" w:type="dxa"/>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r>
              <w:rPr>
                <w:rFonts w:hint="eastAsia" w:ascii="宋体" w:hAnsi="宋体" w:cs="宋体"/>
                <w:color w:val="auto"/>
                <w:sz w:val="18"/>
                <w:szCs w:val="18"/>
                <w:highlight w:val="none"/>
              </w:rPr>
              <w:t>投标文件的签署盖章</w:t>
            </w:r>
          </w:p>
        </w:tc>
        <w:tc>
          <w:tcPr>
            <w:tcW w:w="5478" w:type="dxa"/>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r>
              <w:rPr>
                <w:rFonts w:hint="eastAsia"/>
                <w:color w:val="auto"/>
                <w:sz w:val="18"/>
                <w:szCs w:val="18"/>
                <w:highlight w:val="none"/>
              </w:rPr>
              <w:t>符合招标文件的要求。</w:t>
            </w:r>
          </w:p>
        </w:tc>
        <w:tc>
          <w:tcPr>
            <w:tcW w:w="1119"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□通过 </w:t>
            </w:r>
          </w:p>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□不通过</w:t>
            </w:r>
          </w:p>
        </w:tc>
        <w:tc>
          <w:tcPr>
            <w:tcW w:w="1101"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第（ ）页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20" w:type="dxa"/>
            <w:noWrap w:val="0"/>
            <w:vAlign w:val="center"/>
          </w:tcPr>
          <w:p>
            <w:pPr>
              <w:pageBreakBefore w:val="0"/>
              <w:topLinePunct w:val="0"/>
              <w:bidi w:val="0"/>
              <w:spacing w:line="360" w:lineRule="auto"/>
              <w:ind w:left="0" w:leftChars="0" w:right="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1367" w:type="dxa"/>
            <w:noWrap w:val="0"/>
            <w:vAlign w:val="center"/>
          </w:tcPr>
          <w:p>
            <w:pPr>
              <w:keepNext w:val="0"/>
              <w:keepLines w:val="0"/>
              <w:pageBreakBefore w:val="0"/>
              <w:kinsoku/>
              <w:wordWrap/>
              <w:overflowPunct/>
              <w:topLinePunct w:val="0"/>
              <w:bidi w:val="0"/>
              <w:spacing w:line="360" w:lineRule="auto"/>
              <w:ind w:left="0" w:leftChars="0" w:right="0"/>
              <w:textAlignment w:val="auto"/>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股东成员组成说明书</w:t>
            </w:r>
          </w:p>
        </w:tc>
        <w:tc>
          <w:tcPr>
            <w:tcW w:w="5478" w:type="dxa"/>
            <w:noWrap w:val="0"/>
            <w:vAlign w:val="center"/>
          </w:tcPr>
          <w:p>
            <w:pPr>
              <w:keepLines w:val="0"/>
              <w:pageBreakBefore w:val="0"/>
              <w:kinsoku/>
              <w:wordWrap/>
              <w:overflowPunct/>
              <w:topLinePunct w:val="0"/>
              <w:bidi w:val="0"/>
              <w:snapToGrid w:val="0"/>
              <w:spacing w:line="360" w:lineRule="auto"/>
              <w:ind w:left="0" w:leftChars="0" w:right="0"/>
              <w:textAlignment w:val="auto"/>
              <w:rPr>
                <w:rFonts w:hint="eastAsia"/>
                <w:color w:val="auto"/>
                <w:sz w:val="18"/>
                <w:szCs w:val="18"/>
                <w:highlight w:val="none"/>
              </w:rPr>
            </w:pPr>
            <w:r>
              <w:rPr>
                <w:rFonts w:hint="eastAsia" w:ascii="宋体" w:hAnsi="宋体" w:eastAsia="宋体" w:cs="宋体"/>
                <w:color w:val="auto"/>
                <w:sz w:val="18"/>
                <w:szCs w:val="18"/>
                <w:highlight w:val="none"/>
                <w:lang w:val="en-US" w:eastAsia="zh-CN"/>
              </w:rPr>
              <w:t>股东成员组成说明书（供应商须提供股东成员组成说明书（格式自拟），加盖供应商公章；或从“国家企业信用信息公示系统”、“宁波市企业信用网”等相关网站里打印有股东成员名称的相关页面，加盖供应商公章）。</w:t>
            </w:r>
          </w:p>
        </w:tc>
        <w:tc>
          <w:tcPr>
            <w:tcW w:w="1119"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□通过 </w:t>
            </w:r>
          </w:p>
          <w:p>
            <w:pPr>
              <w:pageBreakBefore w:val="0"/>
              <w:topLinePunct w:val="0"/>
              <w:bidi w:val="0"/>
              <w:spacing w:line="360" w:lineRule="auto"/>
              <w:ind w:left="0" w:leftChars="0" w:right="0"/>
              <w:rPr>
                <w:rFonts w:hint="eastAsia"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□不通过</w:t>
            </w:r>
          </w:p>
        </w:tc>
        <w:tc>
          <w:tcPr>
            <w:tcW w:w="1101" w:type="dxa"/>
            <w:noWrap w:val="0"/>
            <w:vAlign w:val="center"/>
          </w:tcPr>
          <w:p>
            <w:pPr>
              <w:pageBreakBefore w:val="0"/>
              <w:topLinePunct w:val="0"/>
              <w:bidi w:val="0"/>
              <w:spacing w:line="360" w:lineRule="auto"/>
              <w:ind w:left="0" w:leftChars="0" w:right="0"/>
              <w:rPr>
                <w:rFonts w:hint="eastAsia"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第（ ）页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pageBreakBefore w:val="0"/>
              <w:topLinePunct w:val="0"/>
              <w:bidi w:val="0"/>
              <w:spacing w:line="360" w:lineRule="auto"/>
              <w:ind w:left="0" w:leftChars="0" w:right="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1367" w:type="dxa"/>
            <w:vMerge w:val="restart"/>
            <w:noWrap w:val="0"/>
            <w:vAlign w:val="center"/>
          </w:tcPr>
          <w:p>
            <w:pPr>
              <w:pageBreakBefore w:val="0"/>
              <w:topLinePunct w:val="0"/>
              <w:bidi w:val="0"/>
              <w:spacing w:line="360" w:lineRule="auto"/>
              <w:ind w:left="0" w:leftChars="0" w:right="0"/>
              <w:jc w:val="center"/>
              <w:rPr>
                <w:rFonts w:ascii="宋体" w:hAnsi="宋体" w:cs="宋体"/>
                <w:color w:val="auto"/>
                <w:sz w:val="18"/>
                <w:szCs w:val="18"/>
                <w:highlight w:val="none"/>
              </w:rPr>
            </w:pPr>
            <w:r>
              <w:rPr>
                <w:rFonts w:hint="eastAsia" w:ascii="宋体" w:hAnsi="宋体" w:cs="宋体"/>
                <w:color w:val="auto"/>
                <w:sz w:val="18"/>
                <w:szCs w:val="18"/>
                <w:highlight w:val="none"/>
              </w:rPr>
              <w:t>其他</w:t>
            </w:r>
          </w:p>
        </w:tc>
        <w:tc>
          <w:tcPr>
            <w:tcW w:w="5478" w:type="dxa"/>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r>
              <w:rPr>
                <w:rFonts w:hint="eastAsia" w:ascii="宋体" w:hAnsi="宋体" w:cs="宋体"/>
                <w:color w:val="auto"/>
                <w:sz w:val="18"/>
                <w:szCs w:val="18"/>
                <w:highlight w:val="none"/>
              </w:rPr>
              <w:t>对同个子包或项目不允许提供两个投标方案。</w:t>
            </w:r>
          </w:p>
        </w:tc>
        <w:tc>
          <w:tcPr>
            <w:tcW w:w="1119"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□通过 </w:t>
            </w:r>
          </w:p>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□不通过</w:t>
            </w:r>
          </w:p>
        </w:tc>
        <w:tc>
          <w:tcPr>
            <w:tcW w:w="1101"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第（ ）页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pageBreakBefore w:val="0"/>
              <w:topLinePunct w:val="0"/>
              <w:bidi w:val="0"/>
              <w:spacing w:line="360" w:lineRule="auto"/>
              <w:ind w:left="0" w:leftChars="0" w:right="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7</w:t>
            </w:r>
          </w:p>
        </w:tc>
        <w:tc>
          <w:tcPr>
            <w:tcW w:w="1367" w:type="dxa"/>
            <w:vMerge w:val="continue"/>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p>
        </w:tc>
        <w:tc>
          <w:tcPr>
            <w:tcW w:w="5478" w:type="dxa"/>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r>
              <w:rPr>
                <w:rFonts w:hint="eastAsia" w:ascii="宋体" w:hAnsi="宋体" w:cs="宋体"/>
                <w:color w:val="auto"/>
                <w:sz w:val="18"/>
                <w:szCs w:val="18"/>
                <w:highlight w:val="none"/>
              </w:rPr>
              <w:t>不允许出现与招标文件有重大偏离的投标文件。</w:t>
            </w:r>
          </w:p>
        </w:tc>
        <w:tc>
          <w:tcPr>
            <w:tcW w:w="1119"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□通过 </w:t>
            </w:r>
          </w:p>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□不通过</w:t>
            </w:r>
          </w:p>
        </w:tc>
        <w:tc>
          <w:tcPr>
            <w:tcW w:w="1101"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第（ ）页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pageBreakBefore w:val="0"/>
              <w:topLinePunct w:val="0"/>
              <w:bidi w:val="0"/>
              <w:spacing w:line="360" w:lineRule="auto"/>
              <w:ind w:left="0" w:leftChars="0" w:right="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8</w:t>
            </w:r>
          </w:p>
        </w:tc>
        <w:tc>
          <w:tcPr>
            <w:tcW w:w="1367" w:type="dxa"/>
            <w:vMerge w:val="continue"/>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p>
        </w:tc>
        <w:tc>
          <w:tcPr>
            <w:tcW w:w="5478" w:type="dxa"/>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r>
              <w:rPr>
                <w:rFonts w:hint="eastAsia" w:ascii="宋体" w:hAnsi="宋体" w:cs="宋体"/>
                <w:color w:val="auto"/>
                <w:sz w:val="18"/>
                <w:szCs w:val="18"/>
                <w:highlight w:val="none"/>
              </w:rPr>
              <w:t>供应商不得在投标活动中提供任何虚假材料或从事其他违法活动的。</w:t>
            </w:r>
          </w:p>
        </w:tc>
        <w:tc>
          <w:tcPr>
            <w:tcW w:w="1119"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□通过 </w:t>
            </w:r>
          </w:p>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□不通过</w:t>
            </w:r>
          </w:p>
        </w:tc>
        <w:tc>
          <w:tcPr>
            <w:tcW w:w="1101"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第（ ）页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pageBreakBefore w:val="0"/>
              <w:topLinePunct w:val="0"/>
              <w:bidi w:val="0"/>
              <w:spacing w:line="360" w:lineRule="auto"/>
              <w:ind w:left="0" w:leftChars="0" w:right="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9</w:t>
            </w:r>
          </w:p>
        </w:tc>
        <w:tc>
          <w:tcPr>
            <w:tcW w:w="1367" w:type="dxa"/>
            <w:vMerge w:val="continue"/>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p>
        </w:tc>
        <w:tc>
          <w:tcPr>
            <w:tcW w:w="5478" w:type="dxa"/>
            <w:noWrap w:val="0"/>
            <w:vAlign w:val="center"/>
          </w:tcPr>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评标委员会经过审查，未存在供应商虚假应标、串通投标的</w:t>
            </w:r>
          </w:p>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有下列情形之一的，视为供应商串通投标：</w:t>
            </w:r>
          </w:p>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（1）不同供应商的投标文件由同一单位或者个人编制；</w:t>
            </w:r>
          </w:p>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（2）不同供应商委托同一单位或者个人办理投标事宜；</w:t>
            </w:r>
          </w:p>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（3）不同供应商的投标文件载明的项目管理成员或者联系人员为同一人；</w:t>
            </w:r>
          </w:p>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（4）不同供应商的投标文件异常一致或者投标报价呈规律性差异；</w:t>
            </w:r>
          </w:p>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（5）不同供应商的投标文件相互混装；</w:t>
            </w:r>
          </w:p>
        </w:tc>
        <w:tc>
          <w:tcPr>
            <w:tcW w:w="1119"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□通过 </w:t>
            </w:r>
          </w:p>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□不通过</w:t>
            </w:r>
          </w:p>
        </w:tc>
        <w:tc>
          <w:tcPr>
            <w:tcW w:w="1101" w:type="dxa"/>
            <w:noWrap w:val="0"/>
            <w:vAlign w:val="center"/>
          </w:tcPr>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第（ ）页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pageBreakBefore w:val="0"/>
              <w:topLinePunct w:val="0"/>
              <w:bidi w:val="0"/>
              <w:spacing w:line="360" w:lineRule="auto"/>
              <w:ind w:left="0" w:leftChars="0" w:right="0"/>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1367" w:type="dxa"/>
            <w:vMerge w:val="continue"/>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p>
        </w:tc>
        <w:tc>
          <w:tcPr>
            <w:tcW w:w="5478" w:type="dxa"/>
            <w:noWrap w:val="0"/>
            <w:vAlign w:val="center"/>
          </w:tcPr>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符合法律、法规和招标文件中规定的其他实质性要求（实质性要求招标文件中“▲”标记）。</w:t>
            </w:r>
          </w:p>
        </w:tc>
        <w:tc>
          <w:tcPr>
            <w:tcW w:w="1119"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□通过 </w:t>
            </w:r>
          </w:p>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□不通过</w:t>
            </w:r>
          </w:p>
        </w:tc>
        <w:tc>
          <w:tcPr>
            <w:tcW w:w="1101" w:type="dxa"/>
            <w:noWrap w:val="0"/>
            <w:vAlign w:val="center"/>
          </w:tcPr>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第（ ）页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dxa"/>
            <w:noWrap w:val="0"/>
            <w:vAlign w:val="center"/>
          </w:tcPr>
          <w:p>
            <w:pPr>
              <w:pageBreakBefore w:val="0"/>
              <w:topLinePunct w:val="0"/>
              <w:bidi w:val="0"/>
              <w:spacing w:line="360" w:lineRule="auto"/>
              <w:ind w:left="0" w:leftChars="0" w:right="0"/>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11</w:t>
            </w:r>
          </w:p>
        </w:tc>
        <w:tc>
          <w:tcPr>
            <w:tcW w:w="1367" w:type="dxa"/>
            <w:noWrap w:val="0"/>
            <w:vAlign w:val="center"/>
          </w:tcPr>
          <w:p>
            <w:pPr>
              <w:pageBreakBefore w:val="0"/>
              <w:topLinePunct w:val="0"/>
              <w:bidi w:val="0"/>
              <w:spacing w:line="360" w:lineRule="auto"/>
              <w:ind w:left="0" w:leftChars="0" w:right="0"/>
              <w:rPr>
                <w:rFonts w:ascii="宋体" w:hAnsi="宋体" w:cs="宋体"/>
                <w:color w:val="auto"/>
                <w:sz w:val="18"/>
                <w:szCs w:val="18"/>
                <w:highlight w:val="none"/>
              </w:rPr>
            </w:pPr>
          </w:p>
        </w:tc>
        <w:tc>
          <w:tcPr>
            <w:tcW w:w="5478" w:type="dxa"/>
            <w:noWrap w:val="0"/>
            <w:vAlign w:val="center"/>
          </w:tcPr>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不同投标人的投标文件出自同一终端设备或在相同Internet主机分配地址（相同IP地址）网上报名投标的作无效标处理</w:t>
            </w:r>
            <w:r>
              <w:rPr>
                <w:rFonts w:hint="eastAsia" w:ascii="宋体" w:hAnsi="宋体" w:eastAsia="宋体" w:cs="宋体"/>
                <w:color w:val="auto"/>
                <w:sz w:val="18"/>
                <w:szCs w:val="18"/>
                <w:highlight w:val="none"/>
                <w:lang w:eastAsia="zh-CN"/>
              </w:rPr>
              <w:t>。</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需提供承诺书，格式自拟</w:t>
            </w:r>
            <w:r>
              <w:rPr>
                <w:rFonts w:hint="eastAsia" w:ascii="宋体" w:hAnsi="宋体" w:eastAsia="宋体" w:cs="宋体"/>
                <w:b/>
                <w:bCs/>
                <w:color w:val="auto"/>
                <w:sz w:val="18"/>
                <w:szCs w:val="18"/>
                <w:highlight w:val="none"/>
                <w:lang w:eastAsia="zh-CN"/>
              </w:rPr>
              <w:t>）</w:t>
            </w:r>
          </w:p>
        </w:tc>
        <w:tc>
          <w:tcPr>
            <w:tcW w:w="1119" w:type="dxa"/>
            <w:noWrap w:val="0"/>
            <w:vAlign w:val="center"/>
          </w:tcPr>
          <w:p>
            <w:pPr>
              <w:pageBreakBefore w:val="0"/>
              <w:topLinePunct w:val="0"/>
              <w:bidi w:val="0"/>
              <w:spacing w:line="360" w:lineRule="auto"/>
              <w:ind w:left="0" w:leftChars="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□通过 </w:t>
            </w:r>
          </w:p>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□不通过</w:t>
            </w:r>
          </w:p>
        </w:tc>
        <w:tc>
          <w:tcPr>
            <w:tcW w:w="1101" w:type="dxa"/>
            <w:noWrap w:val="0"/>
            <w:vAlign w:val="center"/>
          </w:tcPr>
          <w:p>
            <w:pPr>
              <w:pageBreakBefore w:val="0"/>
              <w:widowControl/>
              <w:topLinePunct w:val="0"/>
              <w:bidi w:val="0"/>
              <w:spacing w:line="360" w:lineRule="auto"/>
              <w:ind w:left="0" w:leftChars="0" w:right="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第（ ）页</w:t>
            </w:r>
          </w:p>
        </w:tc>
      </w:tr>
    </w:tbl>
    <w:p>
      <w:pPr>
        <w:numPr>
          <w:ilvl w:val="0"/>
          <w:numId w:val="0"/>
        </w:numPr>
        <w:ind w:leftChars="0"/>
        <w:rPr>
          <w:rFonts w:hint="eastAsia" w:ascii="宋体" w:hAnsi="宋体"/>
          <w:b/>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供应商名称（盖章）：</w:t>
      </w:r>
    </w:p>
    <w:p>
      <w:pPr>
        <w:spacing w:line="400" w:lineRule="atLeast"/>
        <w:jc w:val="left"/>
        <w:rPr>
          <w:rFonts w:hint="eastAsia" w:ascii="宋体" w:hAnsi="宋体"/>
          <w:color w:val="auto"/>
          <w:szCs w:val="21"/>
          <w:highlight w:val="none"/>
        </w:rPr>
      </w:pPr>
      <w:r>
        <w:rPr>
          <w:rFonts w:hint="eastAsia" w:ascii="宋体" w:hAnsi="宋体"/>
          <w:color w:val="auto"/>
          <w:szCs w:val="21"/>
          <w:highlight w:val="none"/>
        </w:rPr>
        <w:t>日期：年 月 日</w:t>
      </w:r>
    </w:p>
    <w:p>
      <w:pPr>
        <w:rPr>
          <w:rFonts w:hint="eastAsia" w:ascii="宋体" w:hAnsi="宋体"/>
          <w:color w:val="auto"/>
          <w:szCs w:val="21"/>
          <w:highlight w:val="none"/>
        </w:rPr>
      </w:pPr>
      <w:r>
        <w:rPr>
          <w:rFonts w:hint="eastAsia" w:ascii="宋体" w:hAnsi="宋体"/>
          <w:color w:val="auto"/>
          <w:szCs w:val="21"/>
          <w:highlight w:val="none"/>
        </w:rPr>
        <w:br w:type="page"/>
      </w:r>
    </w:p>
    <w:p>
      <w:pP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.评分索引表</w:t>
      </w:r>
    </w:p>
    <w:p>
      <w:pPr>
        <w:jc w:val="center"/>
        <w:rPr>
          <w:rFonts w:ascii="宋体" w:hAnsi="宋体"/>
          <w:b/>
          <w:color w:val="auto"/>
          <w:szCs w:val="21"/>
          <w:highlight w:val="none"/>
        </w:rPr>
      </w:pPr>
      <w:r>
        <w:rPr>
          <w:rFonts w:hint="eastAsia" w:ascii="宋体" w:hAnsi="宋体"/>
          <w:b/>
          <w:color w:val="auto"/>
          <w:szCs w:val="21"/>
          <w:highlight w:val="none"/>
        </w:rPr>
        <w:t>评分索引</w:t>
      </w:r>
    </w:p>
    <w:tbl>
      <w:tblPr>
        <w:tblStyle w:val="49"/>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6"/>
        <w:gridCol w:w="423"/>
        <w:gridCol w:w="5629"/>
        <w:gridCol w:w="661"/>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96" w:type="dxa"/>
            <w:vAlign w:val="center"/>
          </w:tcPr>
          <w:p>
            <w:pPr>
              <w:adjustRightInd w:val="0"/>
              <w:snapToGrid w:val="0"/>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序号</w:t>
            </w:r>
          </w:p>
        </w:tc>
        <w:tc>
          <w:tcPr>
            <w:tcW w:w="846" w:type="dxa"/>
            <w:vAlign w:val="center"/>
          </w:tcPr>
          <w:p>
            <w:pPr>
              <w:adjustRightInd w:val="0"/>
              <w:snapToGrid w:val="0"/>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评标</w:t>
            </w:r>
          </w:p>
          <w:p>
            <w:pPr>
              <w:adjustRightInd w:val="0"/>
              <w:snapToGrid w:val="0"/>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项目</w:t>
            </w:r>
          </w:p>
        </w:tc>
        <w:tc>
          <w:tcPr>
            <w:tcW w:w="423" w:type="dxa"/>
            <w:vAlign w:val="center"/>
          </w:tcPr>
          <w:p>
            <w:pPr>
              <w:adjustRightInd w:val="0"/>
              <w:snapToGrid w:val="0"/>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分值</w:t>
            </w:r>
          </w:p>
        </w:tc>
        <w:tc>
          <w:tcPr>
            <w:tcW w:w="5629" w:type="dxa"/>
            <w:vAlign w:val="center"/>
          </w:tcPr>
          <w:p>
            <w:pPr>
              <w:adjustRightInd w:val="0"/>
              <w:snapToGrid w:val="0"/>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评分内容和标准</w:t>
            </w:r>
          </w:p>
        </w:tc>
        <w:tc>
          <w:tcPr>
            <w:tcW w:w="661" w:type="dxa"/>
            <w:vAlign w:val="center"/>
          </w:tcPr>
          <w:p>
            <w:pPr>
              <w:adjustRightInd w:val="0"/>
              <w:snapToGrid w:val="0"/>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对应页码</w:t>
            </w:r>
          </w:p>
        </w:tc>
        <w:tc>
          <w:tcPr>
            <w:tcW w:w="661" w:type="dxa"/>
            <w:vAlign w:val="center"/>
          </w:tcPr>
          <w:p>
            <w:pPr>
              <w:adjustRightInd w:val="0"/>
              <w:snapToGrid w:val="0"/>
              <w:spacing w:line="36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96" w:type="dxa"/>
            <w:vMerge w:val="restart"/>
            <w:vAlign w:val="center"/>
          </w:tcPr>
          <w:p>
            <w:pPr>
              <w:spacing w:line="360" w:lineRule="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1</w:t>
            </w:r>
          </w:p>
        </w:tc>
        <w:tc>
          <w:tcPr>
            <w:tcW w:w="846" w:type="dxa"/>
            <w:vMerge w:val="restart"/>
            <w:vAlign w:val="center"/>
          </w:tcPr>
          <w:p>
            <w:pPr>
              <w:spacing w:line="32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服务管理方案</w:t>
            </w:r>
          </w:p>
          <w:p>
            <w:pPr>
              <w:spacing w:line="360" w:lineRule="auto"/>
              <w:rPr>
                <w:rFonts w:hint="eastAsia" w:ascii="宋体" w:hAnsi="宋体" w:eastAsia="宋体" w:cs="宋体"/>
                <w:bCs/>
                <w:color w:val="auto"/>
                <w:kern w:val="2"/>
                <w:sz w:val="18"/>
                <w:szCs w:val="18"/>
                <w:highlight w:val="none"/>
                <w:lang w:val="en-US" w:eastAsia="zh-CN" w:bidi="ar-SA"/>
              </w:rPr>
            </w:pPr>
          </w:p>
        </w:tc>
        <w:tc>
          <w:tcPr>
            <w:tcW w:w="423" w:type="dxa"/>
            <w:vAlign w:val="center"/>
          </w:tcPr>
          <w:p>
            <w:pPr>
              <w:spacing w:line="32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10</w:t>
            </w:r>
          </w:p>
        </w:tc>
        <w:tc>
          <w:tcPr>
            <w:tcW w:w="5629" w:type="dxa"/>
            <w:vAlign w:val="center"/>
          </w:tcPr>
          <w:p>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1.1、安全防护、文明施工措施及管理目标：</w:t>
            </w:r>
          </w:p>
          <w:p>
            <w:pPr>
              <w:spacing w:line="320" w:lineRule="exact"/>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lang w:val="zh-CN"/>
              </w:rPr>
              <w:t>评标委员会根据投标人提供的</w:t>
            </w:r>
            <w:r>
              <w:rPr>
                <w:rFonts w:hint="eastAsia" w:ascii="宋体" w:hAnsi="宋体" w:eastAsia="宋体" w:cs="宋体"/>
                <w:color w:val="auto"/>
                <w:sz w:val="18"/>
                <w:szCs w:val="18"/>
                <w:highlight w:val="none"/>
              </w:rPr>
              <w:t>安全防护、文明施工措施及管理目标</w:t>
            </w:r>
            <w:r>
              <w:rPr>
                <w:rFonts w:hint="eastAsia" w:ascii="宋体" w:hAnsi="宋体" w:eastAsia="宋体" w:cs="宋体"/>
                <w:color w:val="auto"/>
                <w:kern w:val="0"/>
                <w:sz w:val="18"/>
                <w:szCs w:val="18"/>
                <w:highlight w:val="none"/>
                <w:lang w:val="zh-CN"/>
              </w:rPr>
              <w:t>进行综合评议。</w:t>
            </w:r>
          </w:p>
          <w:p>
            <w:pPr>
              <w:pStyle w:val="61"/>
              <w:spacing w:line="320" w:lineRule="exact"/>
              <w:ind w:firstLine="0" w:firstLine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管理目标明确，有针对性，科学合理，措施方法全面、具体。内容完整，设计合理，完全符合采购人要求的得10.0-7.0分、内容完整，设计合理，但存在一定问题，基本符合采购人要求的得7.0-3.0分、内容不完整或设计有欠缺，偏离采购人要求的得3.0-0.0分。</w:t>
            </w:r>
          </w:p>
        </w:tc>
        <w:tc>
          <w:tcPr>
            <w:tcW w:w="661" w:type="dxa"/>
            <w:vAlign w:val="center"/>
          </w:tcPr>
          <w:p>
            <w:pPr>
              <w:spacing w:line="360" w:lineRule="auto"/>
              <w:rPr>
                <w:rFonts w:hint="eastAsia" w:ascii="宋体" w:hAnsi="宋体" w:eastAsia="宋体" w:cs="宋体"/>
                <w:bCs/>
                <w:color w:val="auto"/>
                <w:sz w:val="18"/>
                <w:szCs w:val="18"/>
                <w:highlight w:val="none"/>
              </w:rPr>
            </w:pPr>
          </w:p>
        </w:tc>
        <w:tc>
          <w:tcPr>
            <w:tcW w:w="661" w:type="dxa"/>
            <w:vAlign w:val="center"/>
          </w:tcPr>
          <w:p>
            <w:pPr>
              <w:spacing w:line="360" w:lineRule="auto"/>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96" w:type="dxa"/>
            <w:vMerge w:val="continue"/>
            <w:vAlign w:val="center"/>
          </w:tcPr>
          <w:p>
            <w:pPr>
              <w:spacing w:line="360" w:lineRule="auto"/>
              <w:rPr>
                <w:rFonts w:hint="eastAsia" w:ascii="宋体" w:hAnsi="宋体" w:eastAsia="宋体" w:cs="宋体"/>
                <w:bCs/>
                <w:color w:val="auto"/>
                <w:kern w:val="2"/>
                <w:sz w:val="18"/>
                <w:szCs w:val="18"/>
                <w:highlight w:val="none"/>
                <w:lang w:val="en-US" w:eastAsia="zh-CN" w:bidi="ar-SA"/>
              </w:rPr>
            </w:pPr>
          </w:p>
        </w:tc>
        <w:tc>
          <w:tcPr>
            <w:tcW w:w="846" w:type="dxa"/>
            <w:vMerge w:val="continue"/>
            <w:vAlign w:val="center"/>
          </w:tcPr>
          <w:p>
            <w:pPr>
              <w:spacing w:line="360" w:lineRule="auto"/>
              <w:rPr>
                <w:rFonts w:hint="eastAsia" w:ascii="宋体" w:hAnsi="宋体" w:eastAsia="宋体" w:cs="宋体"/>
                <w:bCs/>
                <w:color w:val="auto"/>
                <w:kern w:val="2"/>
                <w:sz w:val="18"/>
                <w:szCs w:val="18"/>
                <w:highlight w:val="none"/>
                <w:lang w:val="en-US" w:eastAsia="zh-CN" w:bidi="ar-SA"/>
              </w:rPr>
            </w:pPr>
          </w:p>
        </w:tc>
        <w:tc>
          <w:tcPr>
            <w:tcW w:w="423" w:type="dxa"/>
            <w:vAlign w:val="center"/>
          </w:tcPr>
          <w:p>
            <w:pPr>
              <w:spacing w:line="32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10</w:t>
            </w:r>
          </w:p>
        </w:tc>
        <w:tc>
          <w:tcPr>
            <w:tcW w:w="5629" w:type="dxa"/>
            <w:vAlign w:val="center"/>
          </w:tcPr>
          <w:p>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1.2、质量控制主要措施及管理目标：</w:t>
            </w:r>
          </w:p>
          <w:p>
            <w:pPr>
              <w:spacing w:line="320" w:lineRule="exact"/>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lang w:val="zh-CN"/>
              </w:rPr>
              <w:t>评标委员会根据投标人提供的</w:t>
            </w:r>
            <w:r>
              <w:rPr>
                <w:rFonts w:hint="eastAsia" w:ascii="宋体" w:hAnsi="宋体" w:eastAsia="宋体" w:cs="宋体"/>
                <w:color w:val="auto"/>
                <w:sz w:val="18"/>
                <w:szCs w:val="18"/>
                <w:highlight w:val="none"/>
              </w:rPr>
              <w:t>质量控制主要措施及管理目标</w:t>
            </w:r>
            <w:r>
              <w:rPr>
                <w:rFonts w:hint="eastAsia" w:ascii="宋体" w:hAnsi="宋体" w:eastAsia="宋体" w:cs="宋体"/>
                <w:color w:val="auto"/>
                <w:kern w:val="0"/>
                <w:sz w:val="18"/>
                <w:szCs w:val="18"/>
                <w:highlight w:val="none"/>
                <w:lang w:val="zh-CN"/>
              </w:rPr>
              <w:t>进行综合评议。</w:t>
            </w:r>
          </w:p>
          <w:p>
            <w:pPr>
              <w:pStyle w:val="61"/>
              <w:spacing w:line="320" w:lineRule="exact"/>
              <w:ind w:firstLine="0" w:firstLine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质量控制目标明确，有针对性，科学合理，措施方法全面、具体。内容完整，设计合理，完全符合采购人要求的得10.0-7.0分、内容完整，设计合理，但存在一定问题，基本符合采购人要求的得7.0-3.0分、内容不完整或设计有欠缺，偏离采购人要求的得3.0-0.0分。</w:t>
            </w:r>
          </w:p>
        </w:tc>
        <w:tc>
          <w:tcPr>
            <w:tcW w:w="661" w:type="dxa"/>
            <w:vAlign w:val="center"/>
          </w:tcPr>
          <w:p>
            <w:pPr>
              <w:spacing w:line="360" w:lineRule="auto"/>
              <w:rPr>
                <w:rFonts w:hint="eastAsia" w:ascii="宋体" w:hAnsi="宋体" w:eastAsia="宋体" w:cs="宋体"/>
                <w:bCs/>
                <w:color w:val="auto"/>
                <w:sz w:val="18"/>
                <w:szCs w:val="18"/>
                <w:highlight w:val="none"/>
              </w:rPr>
            </w:pPr>
          </w:p>
        </w:tc>
        <w:tc>
          <w:tcPr>
            <w:tcW w:w="661" w:type="dxa"/>
            <w:vAlign w:val="center"/>
          </w:tcPr>
          <w:p>
            <w:pPr>
              <w:spacing w:line="360" w:lineRule="auto"/>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96" w:type="dxa"/>
            <w:vMerge w:val="continue"/>
            <w:vAlign w:val="center"/>
          </w:tcPr>
          <w:p>
            <w:pPr>
              <w:spacing w:line="360" w:lineRule="auto"/>
              <w:rPr>
                <w:rFonts w:hint="eastAsia" w:ascii="宋体" w:hAnsi="宋体" w:eastAsia="宋体" w:cs="宋体"/>
                <w:bCs/>
                <w:color w:val="auto"/>
                <w:kern w:val="2"/>
                <w:sz w:val="18"/>
                <w:szCs w:val="18"/>
                <w:highlight w:val="none"/>
                <w:lang w:val="en-US" w:eastAsia="zh-CN" w:bidi="ar-SA"/>
              </w:rPr>
            </w:pPr>
          </w:p>
        </w:tc>
        <w:tc>
          <w:tcPr>
            <w:tcW w:w="846" w:type="dxa"/>
            <w:vMerge w:val="continue"/>
            <w:vAlign w:val="center"/>
          </w:tcPr>
          <w:p>
            <w:pPr>
              <w:spacing w:line="360" w:lineRule="auto"/>
              <w:rPr>
                <w:rFonts w:hint="eastAsia" w:ascii="宋体" w:hAnsi="宋体" w:eastAsia="宋体" w:cs="宋体"/>
                <w:bCs/>
                <w:color w:val="auto"/>
                <w:kern w:val="2"/>
                <w:sz w:val="18"/>
                <w:szCs w:val="18"/>
                <w:highlight w:val="none"/>
                <w:lang w:val="en-US" w:eastAsia="zh-CN" w:bidi="ar-SA"/>
              </w:rPr>
            </w:pPr>
          </w:p>
        </w:tc>
        <w:tc>
          <w:tcPr>
            <w:tcW w:w="423" w:type="dxa"/>
            <w:vAlign w:val="center"/>
          </w:tcPr>
          <w:p>
            <w:pPr>
              <w:spacing w:line="32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10</w:t>
            </w:r>
          </w:p>
        </w:tc>
        <w:tc>
          <w:tcPr>
            <w:tcW w:w="5629" w:type="dxa"/>
            <w:vAlign w:val="center"/>
          </w:tcPr>
          <w:p>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1.3、进度控制主要措施及管理目标：</w:t>
            </w:r>
          </w:p>
          <w:p>
            <w:pPr>
              <w:spacing w:line="320" w:lineRule="exact"/>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lang w:val="zh-CN"/>
              </w:rPr>
              <w:t>评标委员会根据投标人提供的</w:t>
            </w:r>
            <w:r>
              <w:rPr>
                <w:rFonts w:hint="eastAsia" w:ascii="宋体" w:hAnsi="宋体" w:eastAsia="宋体" w:cs="宋体"/>
                <w:color w:val="auto"/>
                <w:sz w:val="18"/>
                <w:szCs w:val="18"/>
                <w:highlight w:val="none"/>
              </w:rPr>
              <w:t>进度控制主要措施及管理目标</w:t>
            </w:r>
            <w:r>
              <w:rPr>
                <w:rFonts w:hint="eastAsia" w:ascii="宋体" w:hAnsi="宋体" w:eastAsia="宋体" w:cs="宋体"/>
                <w:color w:val="auto"/>
                <w:kern w:val="0"/>
                <w:sz w:val="18"/>
                <w:szCs w:val="18"/>
                <w:highlight w:val="none"/>
                <w:lang w:val="zh-CN"/>
              </w:rPr>
              <w:t>进行综合评议。</w:t>
            </w:r>
          </w:p>
          <w:p>
            <w:pPr>
              <w:pStyle w:val="61"/>
              <w:spacing w:line="320" w:lineRule="exact"/>
              <w:ind w:firstLine="0" w:firstLine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进度控制目标明确，有针对性，科学合理，措施方法全面、具体。内容完整，设计合理，完全符合采购人要求的得10.0-7.0分、内容完整，设计合理，但存在一定问题，基本符合采购人要求的得7.0-3.0分、内容不完整或设计有欠缺，偏离采购人要求的得3.0-0.0分。</w:t>
            </w:r>
          </w:p>
        </w:tc>
        <w:tc>
          <w:tcPr>
            <w:tcW w:w="661" w:type="dxa"/>
            <w:vAlign w:val="center"/>
          </w:tcPr>
          <w:p>
            <w:pPr>
              <w:spacing w:line="360" w:lineRule="auto"/>
              <w:rPr>
                <w:rFonts w:hint="eastAsia" w:ascii="宋体" w:hAnsi="宋体" w:eastAsia="宋体" w:cs="宋体"/>
                <w:bCs/>
                <w:color w:val="auto"/>
                <w:sz w:val="18"/>
                <w:szCs w:val="18"/>
                <w:highlight w:val="none"/>
              </w:rPr>
            </w:pPr>
          </w:p>
        </w:tc>
        <w:tc>
          <w:tcPr>
            <w:tcW w:w="661" w:type="dxa"/>
            <w:vAlign w:val="center"/>
          </w:tcPr>
          <w:p>
            <w:pPr>
              <w:spacing w:line="360" w:lineRule="auto"/>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96" w:type="dxa"/>
            <w:vMerge w:val="continue"/>
            <w:vAlign w:val="center"/>
          </w:tcPr>
          <w:p>
            <w:pPr>
              <w:spacing w:line="360" w:lineRule="auto"/>
              <w:rPr>
                <w:rFonts w:hint="eastAsia" w:ascii="宋体" w:hAnsi="宋体" w:eastAsia="宋体" w:cs="宋体"/>
                <w:bCs/>
                <w:color w:val="auto"/>
                <w:kern w:val="2"/>
                <w:sz w:val="18"/>
                <w:szCs w:val="18"/>
                <w:highlight w:val="none"/>
                <w:lang w:val="en-US" w:eastAsia="zh-CN" w:bidi="ar-SA"/>
              </w:rPr>
            </w:pPr>
          </w:p>
        </w:tc>
        <w:tc>
          <w:tcPr>
            <w:tcW w:w="846" w:type="dxa"/>
            <w:vMerge w:val="continue"/>
            <w:vAlign w:val="center"/>
          </w:tcPr>
          <w:p>
            <w:pPr>
              <w:spacing w:line="360" w:lineRule="auto"/>
              <w:rPr>
                <w:rFonts w:hint="eastAsia" w:ascii="宋体" w:hAnsi="宋体" w:eastAsia="宋体" w:cs="宋体"/>
                <w:bCs/>
                <w:color w:val="auto"/>
                <w:kern w:val="2"/>
                <w:sz w:val="18"/>
                <w:szCs w:val="18"/>
                <w:highlight w:val="none"/>
                <w:lang w:val="en-US" w:eastAsia="zh-CN" w:bidi="ar-SA"/>
              </w:rPr>
            </w:pPr>
          </w:p>
        </w:tc>
        <w:tc>
          <w:tcPr>
            <w:tcW w:w="423" w:type="dxa"/>
            <w:vAlign w:val="center"/>
          </w:tcPr>
          <w:p>
            <w:pPr>
              <w:spacing w:line="32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10</w:t>
            </w:r>
          </w:p>
        </w:tc>
        <w:tc>
          <w:tcPr>
            <w:tcW w:w="5629" w:type="dxa"/>
            <w:vAlign w:val="center"/>
          </w:tcPr>
          <w:p>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1.4、项目作业组织方案：</w:t>
            </w:r>
          </w:p>
          <w:p>
            <w:pPr>
              <w:spacing w:line="320" w:lineRule="exact"/>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lang w:val="zh-CN"/>
              </w:rPr>
              <w:t>评标委员会根据投标人提供的</w:t>
            </w:r>
            <w:r>
              <w:rPr>
                <w:rFonts w:hint="eastAsia" w:ascii="宋体" w:hAnsi="宋体" w:eastAsia="宋体" w:cs="宋体"/>
                <w:color w:val="auto"/>
                <w:sz w:val="18"/>
                <w:szCs w:val="18"/>
                <w:highlight w:val="none"/>
              </w:rPr>
              <w:t>项目作业组织方案</w:t>
            </w:r>
            <w:r>
              <w:rPr>
                <w:rFonts w:hint="eastAsia" w:ascii="宋体" w:hAnsi="宋体" w:eastAsia="宋体" w:cs="宋体"/>
                <w:color w:val="auto"/>
                <w:kern w:val="0"/>
                <w:sz w:val="18"/>
                <w:szCs w:val="18"/>
                <w:highlight w:val="none"/>
                <w:lang w:val="zh-CN"/>
              </w:rPr>
              <w:t>进行综合评议。</w:t>
            </w:r>
          </w:p>
          <w:p>
            <w:pPr>
              <w:pStyle w:val="61"/>
              <w:spacing w:line="320" w:lineRule="exact"/>
              <w:ind w:firstLine="0" w:firstLine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组织方案全面，科学合理、目标明确、措施方法完善。内容完整，设计合理，完全符合采购人要求的得10.0-7.0分、内容完整，设计合理，但存在一定问题，基本符合采购人要求的得7.0-3.0分、内容不完整或设计有欠缺，偏离采购人要求的得3.0-0.0分。</w:t>
            </w:r>
          </w:p>
        </w:tc>
        <w:tc>
          <w:tcPr>
            <w:tcW w:w="661" w:type="dxa"/>
            <w:vAlign w:val="center"/>
          </w:tcPr>
          <w:p>
            <w:pPr>
              <w:spacing w:line="360" w:lineRule="auto"/>
              <w:rPr>
                <w:rFonts w:hint="eastAsia" w:ascii="宋体" w:hAnsi="宋体" w:eastAsia="宋体" w:cs="宋体"/>
                <w:bCs/>
                <w:color w:val="auto"/>
                <w:sz w:val="18"/>
                <w:szCs w:val="18"/>
                <w:highlight w:val="none"/>
              </w:rPr>
            </w:pPr>
          </w:p>
        </w:tc>
        <w:tc>
          <w:tcPr>
            <w:tcW w:w="661" w:type="dxa"/>
            <w:vAlign w:val="center"/>
          </w:tcPr>
          <w:p>
            <w:pPr>
              <w:spacing w:line="360" w:lineRule="auto"/>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96" w:type="dxa"/>
            <w:vAlign w:val="center"/>
          </w:tcPr>
          <w:p>
            <w:pPr>
              <w:spacing w:line="360" w:lineRule="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2</w:t>
            </w:r>
          </w:p>
        </w:tc>
        <w:tc>
          <w:tcPr>
            <w:tcW w:w="846" w:type="dxa"/>
            <w:vAlign w:val="center"/>
          </w:tcPr>
          <w:p>
            <w:pPr>
              <w:pStyle w:val="61"/>
              <w:spacing w:line="320" w:lineRule="exact"/>
              <w:ind w:firstLine="0" w:firstLineChars="0"/>
              <w:rPr>
                <w:rFonts w:hint="eastAsia" w:ascii="宋体" w:hAnsi="宋体" w:eastAsia="宋体" w:cs="宋体"/>
                <w:bCs/>
                <w:color w:val="auto"/>
                <w:kern w:val="2"/>
                <w:sz w:val="18"/>
                <w:szCs w:val="18"/>
                <w:highlight w:val="none"/>
                <w:lang w:val="zh-CN" w:eastAsia="zh-CN" w:bidi="ar-SA"/>
              </w:rPr>
            </w:pPr>
            <w:r>
              <w:rPr>
                <w:rFonts w:hint="eastAsia" w:ascii="宋体" w:hAnsi="宋体" w:eastAsia="宋体" w:cs="宋体"/>
                <w:color w:val="auto"/>
                <w:sz w:val="18"/>
                <w:szCs w:val="18"/>
                <w:highlight w:val="none"/>
              </w:rPr>
              <w:t>拟派项目负责人能力</w:t>
            </w:r>
          </w:p>
        </w:tc>
        <w:tc>
          <w:tcPr>
            <w:tcW w:w="423" w:type="dxa"/>
            <w:vAlign w:val="center"/>
          </w:tcPr>
          <w:p>
            <w:pPr>
              <w:spacing w:line="360" w:lineRule="auto"/>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10</w:t>
            </w:r>
          </w:p>
        </w:tc>
        <w:tc>
          <w:tcPr>
            <w:tcW w:w="5629" w:type="dxa"/>
            <w:vAlign w:val="center"/>
          </w:tcPr>
          <w:p>
            <w:pPr>
              <w:spacing w:line="320" w:lineRule="exact"/>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lang w:val="zh-CN"/>
              </w:rPr>
              <w:t>评标委员会根据投标人拟派的项目负责人能力进行综合评议：</w:t>
            </w:r>
          </w:p>
          <w:p>
            <w:pPr>
              <w:spacing w:line="320" w:lineRule="exac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拟派项目负责人专业性强，相关工作经验丰富，能完全满足本项目需要的得</w:t>
            </w:r>
            <w:r>
              <w:rPr>
                <w:rFonts w:hint="eastAsia" w:ascii="宋体" w:hAnsi="宋体" w:eastAsia="宋体" w:cs="宋体"/>
                <w:color w:val="auto"/>
                <w:kern w:val="0"/>
                <w:sz w:val="18"/>
                <w:szCs w:val="18"/>
                <w:highlight w:val="none"/>
                <w:lang w:val="zh-CN"/>
              </w:rPr>
              <w:t>10.0-7.0分；</w:t>
            </w:r>
          </w:p>
          <w:p>
            <w:pPr>
              <w:spacing w:line="320" w:lineRule="exac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拟派项目负责人专业性较强，有相关工作经验，能基本满足本项目需要的得</w:t>
            </w:r>
            <w:r>
              <w:rPr>
                <w:rFonts w:hint="eastAsia" w:ascii="宋体" w:hAnsi="宋体" w:eastAsia="宋体" w:cs="宋体"/>
                <w:color w:val="auto"/>
                <w:kern w:val="0"/>
                <w:sz w:val="18"/>
                <w:szCs w:val="18"/>
                <w:highlight w:val="none"/>
                <w:lang w:val="zh-CN"/>
              </w:rPr>
              <w:t>10.0-7.0分；</w:t>
            </w:r>
          </w:p>
          <w:p>
            <w:pPr>
              <w:spacing w:line="320" w:lineRule="exact"/>
              <w:rPr>
                <w:rFonts w:hint="eastAsia" w:ascii="宋体" w:hAnsi="宋体" w:eastAsia="宋体" w:cs="宋体"/>
                <w:color w:val="auto"/>
                <w:kern w:val="0"/>
                <w:sz w:val="18"/>
                <w:szCs w:val="18"/>
                <w:highlight w:val="none"/>
                <w:lang w:val="zh-CN"/>
              </w:rPr>
            </w:pPr>
            <w:r>
              <w:rPr>
                <w:rFonts w:hint="eastAsia" w:ascii="宋体" w:hAnsi="宋体" w:cs="宋体"/>
                <w:color w:val="auto"/>
                <w:kern w:val="0"/>
                <w:sz w:val="18"/>
                <w:szCs w:val="18"/>
                <w:highlight w:val="none"/>
                <w:lang w:val="en-US" w:eastAsia="zh-CN"/>
              </w:rPr>
              <w:t>拟派项目负责人</w:t>
            </w:r>
            <w:r>
              <w:rPr>
                <w:rFonts w:hint="eastAsia" w:ascii="宋体" w:hAnsi="宋体" w:eastAsia="宋体" w:cs="宋体"/>
                <w:color w:val="auto"/>
                <w:kern w:val="0"/>
                <w:sz w:val="18"/>
                <w:szCs w:val="18"/>
                <w:highlight w:val="none"/>
                <w:lang w:val="zh-CN"/>
              </w:rPr>
              <w:t>专业水平一般，</w:t>
            </w:r>
            <w:r>
              <w:rPr>
                <w:rFonts w:hint="eastAsia" w:ascii="宋体" w:hAnsi="宋体" w:cs="宋体"/>
                <w:color w:val="auto"/>
                <w:kern w:val="0"/>
                <w:sz w:val="18"/>
                <w:szCs w:val="18"/>
                <w:highlight w:val="none"/>
                <w:lang w:val="en-US" w:eastAsia="zh-CN"/>
              </w:rPr>
              <w:t>相关工作经验较少，无法满足本项目需求的</w:t>
            </w:r>
            <w:r>
              <w:rPr>
                <w:rFonts w:hint="eastAsia" w:ascii="宋体" w:hAnsi="宋体" w:eastAsia="宋体" w:cs="宋体"/>
                <w:color w:val="auto"/>
                <w:kern w:val="0"/>
                <w:sz w:val="18"/>
                <w:szCs w:val="18"/>
                <w:highlight w:val="none"/>
                <w:lang w:val="zh-CN"/>
              </w:rPr>
              <w:t>得3.0-0.0分；</w:t>
            </w:r>
          </w:p>
          <w:p>
            <w:pPr>
              <w:spacing w:line="360" w:lineRule="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zh-CN"/>
              </w:rPr>
              <w:t>注：投标文件中须附项目负责人身份证复印件、相关证书</w:t>
            </w:r>
            <w:r>
              <w:rPr>
                <w:rFonts w:hint="eastAsia" w:ascii="宋体" w:hAnsi="宋体" w:cs="宋体"/>
                <w:color w:val="auto"/>
                <w:kern w:val="0"/>
                <w:sz w:val="18"/>
                <w:szCs w:val="18"/>
                <w:highlight w:val="none"/>
                <w:lang w:val="zh-CN"/>
              </w:rPr>
              <w:t>（</w:t>
            </w:r>
            <w:r>
              <w:rPr>
                <w:rFonts w:hint="eastAsia" w:ascii="宋体" w:hAnsi="宋体" w:cs="宋体"/>
                <w:color w:val="auto"/>
                <w:kern w:val="0"/>
                <w:sz w:val="18"/>
                <w:szCs w:val="18"/>
                <w:highlight w:val="none"/>
                <w:lang w:val="en-US" w:eastAsia="zh-CN"/>
              </w:rPr>
              <w:t>如有</w:t>
            </w:r>
            <w:r>
              <w:rPr>
                <w:rFonts w:hint="eastAsia" w:ascii="宋体" w:hAnsi="宋体" w:cs="宋体"/>
                <w:color w:val="auto"/>
                <w:kern w:val="0"/>
                <w:sz w:val="18"/>
                <w:szCs w:val="18"/>
                <w:highlight w:val="none"/>
                <w:lang w:val="zh-CN"/>
              </w:rPr>
              <w:t>）</w:t>
            </w:r>
            <w:r>
              <w:rPr>
                <w:rFonts w:hint="eastAsia" w:ascii="宋体" w:hAnsi="宋体" w:eastAsia="宋体" w:cs="宋体"/>
                <w:color w:val="auto"/>
                <w:kern w:val="0"/>
                <w:sz w:val="18"/>
                <w:szCs w:val="18"/>
                <w:highlight w:val="none"/>
                <w:lang w:val="zh-CN"/>
              </w:rPr>
              <w:t>、社保证明复印件（须提交公告发布之日前三个月任意一个月的社会保险证明）；均须加盖投标人公章。</w:t>
            </w:r>
          </w:p>
        </w:tc>
        <w:tc>
          <w:tcPr>
            <w:tcW w:w="661" w:type="dxa"/>
            <w:vAlign w:val="center"/>
          </w:tcPr>
          <w:p>
            <w:pPr>
              <w:spacing w:line="360" w:lineRule="auto"/>
              <w:rPr>
                <w:rFonts w:hint="eastAsia" w:ascii="宋体" w:hAnsi="宋体" w:eastAsia="宋体" w:cs="宋体"/>
                <w:bCs/>
                <w:color w:val="auto"/>
                <w:sz w:val="18"/>
                <w:szCs w:val="18"/>
                <w:highlight w:val="none"/>
              </w:rPr>
            </w:pPr>
          </w:p>
        </w:tc>
        <w:tc>
          <w:tcPr>
            <w:tcW w:w="661" w:type="dxa"/>
            <w:vAlign w:val="center"/>
          </w:tcPr>
          <w:p>
            <w:pPr>
              <w:spacing w:line="360" w:lineRule="auto"/>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496" w:type="dxa"/>
            <w:vAlign w:val="center"/>
          </w:tcPr>
          <w:p>
            <w:pPr>
              <w:spacing w:line="360" w:lineRule="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3</w:t>
            </w:r>
          </w:p>
        </w:tc>
        <w:tc>
          <w:tcPr>
            <w:tcW w:w="846" w:type="dxa"/>
            <w:vAlign w:val="center"/>
          </w:tcPr>
          <w:p>
            <w:pPr>
              <w:spacing w:line="360" w:lineRule="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拟投入本项目的设备情况</w:t>
            </w:r>
          </w:p>
        </w:tc>
        <w:tc>
          <w:tcPr>
            <w:tcW w:w="423" w:type="dxa"/>
            <w:vAlign w:val="center"/>
          </w:tcPr>
          <w:p>
            <w:pPr>
              <w:spacing w:line="360" w:lineRule="auto"/>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7</w:t>
            </w:r>
          </w:p>
        </w:tc>
        <w:tc>
          <w:tcPr>
            <w:tcW w:w="5629" w:type="dxa"/>
            <w:vAlign w:val="center"/>
          </w:tcPr>
          <w:p>
            <w:pPr>
              <w:adjustRightInd w:val="0"/>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zh-CN"/>
              </w:rPr>
              <w:t>评标委员会</w:t>
            </w:r>
            <w:r>
              <w:rPr>
                <w:rFonts w:hint="eastAsia" w:ascii="宋体" w:hAnsi="宋体" w:eastAsia="宋体" w:cs="宋体"/>
                <w:color w:val="auto"/>
                <w:sz w:val="18"/>
                <w:szCs w:val="18"/>
                <w:highlight w:val="none"/>
              </w:rPr>
              <w:t>根据投标人提供的</w:t>
            </w:r>
            <w:r>
              <w:rPr>
                <w:rFonts w:hint="eastAsia" w:ascii="宋体" w:hAnsi="宋体" w:eastAsia="宋体" w:cs="宋体"/>
                <w:bCs/>
                <w:color w:val="auto"/>
                <w:sz w:val="18"/>
                <w:szCs w:val="18"/>
                <w:highlight w:val="none"/>
              </w:rPr>
              <w:t>拟投入本项目的设备情况</w:t>
            </w:r>
            <w:r>
              <w:rPr>
                <w:rFonts w:hint="eastAsia" w:ascii="宋体" w:hAnsi="宋体" w:eastAsia="宋体" w:cs="宋体"/>
                <w:color w:val="auto"/>
                <w:sz w:val="18"/>
                <w:szCs w:val="18"/>
                <w:highlight w:val="none"/>
              </w:rPr>
              <w:t>（包含设备配置的数量、种类等）进行综合评议</w:t>
            </w:r>
            <w:r>
              <w:rPr>
                <w:rFonts w:hint="eastAsia" w:ascii="宋体" w:hAnsi="宋体" w:eastAsia="宋体" w:cs="宋体"/>
                <w:color w:val="auto"/>
                <w:kern w:val="0"/>
                <w:sz w:val="18"/>
                <w:szCs w:val="18"/>
                <w:highlight w:val="none"/>
                <w:lang w:val="zh-CN"/>
              </w:rPr>
              <w:t>：</w:t>
            </w:r>
          </w:p>
          <w:p>
            <w:pPr>
              <w:adjustRightInd w:val="0"/>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拟投入的车辆、设备齐全，配置科学合理的得</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.0分；</w:t>
            </w:r>
          </w:p>
          <w:p>
            <w:pPr>
              <w:adjustRightInd w:val="0"/>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拟投入的车辆、设备齐全，配置合理性等方面略有欠缺的得</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.0分；</w:t>
            </w:r>
          </w:p>
          <w:p>
            <w:pPr>
              <w:adjustRightInd w:val="0"/>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拟投入的车辆、设备在配置齐全性、科学和理性等方面都有所欠缺的得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.0-0分；</w:t>
            </w:r>
          </w:p>
          <w:p>
            <w:pPr>
              <w:spacing w:line="360" w:lineRule="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注：投标文件中须附《针对本项目拟投入设备承诺函》（格式详见招标文件第六章），未提供或提供不全或提供无效的均不得分。</w:t>
            </w:r>
          </w:p>
        </w:tc>
        <w:tc>
          <w:tcPr>
            <w:tcW w:w="661" w:type="dxa"/>
            <w:vAlign w:val="center"/>
          </w:tcPr>
          <w:p>
            <w:pPr>
              <w:spacing w:line="360" w:lineRule="auto"/>
              <w:rPr>
                <w:rFonts w:hint="eastAsia" w:ascii="宋体" w:hAnsi="宋体" w:eastAsia="宋体" w:cs="宋体"/>
                <w:bCs/>
                <w:color w:val="auto"/>
                <w:sz w:val="18"/>
                <w:szCs w:val="18"/>
                <w:highlight w:val="none"/>
              </w:rPr>
            </w:pPr>
          </w:p>
        </w:tc>
        <w:tc>
          <w:tcPr>
            <w:tcW w:w="661" w:type="dxa"/>
            <w:vAlign w:val="center"/>
          </w:tcPr>
          <w:p>
            <w:pPr>
              <w:spacing w:line="360" w:lineRule="auto"/>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6" w:type="dxa"/>
            <w:vAlign w:val="center"/>
          </w:tcPr>
          <w:p>
            <w:pPr>
              <w:spacing w:line="360" w:lineRule="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4</w:t>
            </w:r>
          </w:p>
        </w:tc>
        <w:tc>
          <w:tcPr>
            <w:tcW w:w="846" w:type="dxa"/>
            <w:vAlign w:val="center"/>
          </w:tcPr>
          <w:p>
            <w:pPr>
              <w:spacing w:line="360" w:lineRule="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业绩</w:t>
            </w:r>
          </w:p>
        </w:tc>
        <w:tc>
          <w:tcPr>
            <w:tcW w:w="423" w:type="dxa"/>
            <w:vAlign w:val="center"/>
          </w:tcPr>
          <w:p>
            <w:pPr>
              <w:spacing w:line="360" w:lineRule="auto"/>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3</w:t>
            </w:r>
          </w:p>
        </w:tc>
        <w:tc>
          <w:tcPr>
            <w:tcW w:w="5629" w:type="dxa"/>
            <w:vAlign w:val="center"/>
          </w:tcPr>
          <w:p>
            <w:pPr>
              <w:spacing w:line="360" w:lineRule="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lang w:val="zh-CN"/>
              </w:rPr>
              <w:t>投标人自20</w:t>
            </w: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lang w:val="zh-CN"/>
              </w:rPr>
              <w:t>年1月1日（含）完成过同</w:t>
            </w:r>
            <w:r>
              <w:rPr>
                <w:rFonts w:hint="eastAsia" w:ascii="宋体" w:hAnsi="宋体" w:eastAsia="宋体" w:cs="宋体"/>
                <w:color w:val="auto"/>
                <w:sz w:val="18"/>
                <w:szCs w:val="18"/>
                <w:highlight w:val="none"/>
              </w:rPr>
              <w:t>类项目业绩</w:t>
            </w:r>
            <w:r>
              <w:rPr>
                <w:rFonts w:hint="eastAsia" w:ascii="宋体" w:hAnsi="宋体" w:eastAsia="宋体" w:cs="宋体"/>
                <w:color w:val="auto"/>
                <w:sz w:val="18"/>
                <w:szCs w:val="18"/>
                <w:highlight w:val="none"/>
                <w:lang w:val="zh-CN"/>
              </w:rPr>
              <w:t>的，每提供一个业绩得1分，最高得</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val="zh-CN"/>
              </w:rPr>
              <w:t>分。合同有效性认定：投标人须在投标文件中提供合同复印件并加盖公章，业绩认定时间以合同签订时间为准。</w:t>
            </w:r>
          </w:p>
        </w:tc>
        <w:tc>
          <w:tcPr>
            <w:tcW w:w="661" w:type="dxa"/>
            <w:vAlign w:val="center"/>
          </w:tcPr>
          <w:p>
            <w:pPr>
              <w:snapToGrid w:val="0"/>
              <w:spacing w:line="360" w:lineRule="auto"/>
              <w:rPr>
                <w:rFonts w:hint="eastAsia" w:ascii="宋体" w:hAnsi="宋体" w:eastAsia="宋体" w:cs="宋体"/>
                <w:bCs/>
                <w:color w:val="auto"/>
                <w:sz w:val="18"/>
                <w:szCs w:val="18"/>
                <w:highlight w:val="none"/>
              </w:rPr>
            </w:pPr>
          </w:p>
        </w:tc>
        <w:tc>
          <w:tcPr>
            <w:tcW w:w="661" w:type="dxa"/>
            <w:vAlign w:val="center"/>
          </w:tcPr>
          <w:p>
            <w:pPr>
              <w:snapToGrid w:val="0"/>
              <w:spacing w:line="360" w:lineRule="auto"/>
              <w:rPr>
                <w:rFonts w:hint="eastAsia" w:ascii="宋体" w:hAnsi="宋体" w:eastAsia="宋体" w:cs="宋体"/>
                <w:bCs/>
                <w:color w:val="auto"/>
                <w:sz w:val="18"/>
                <w:szCs w:val="18"/>
                <w:highlight w:val="none"/>
              </w:rPr>
            </w:pPr>
          </w:p>
        </w:tc>
      </w:tr>
    </w:tbl>
    <w:p>
      <w:pPr>
        <w:rPr>
          <w:rFonts w:hint="eastAsia" w:ascii="宋体" w:hAnsi="宋体"/>
          <w:b/>
          <w:color w:val="auto"/>
          <w:sz w:val="24"/>
          <w:szCs w:val="21"/>
          <w:highlight w:val="none"/>
        </w:rPr>
      </w:pPr>
      <w:r>
        <w:rPr>
          <w:rFonts w:hint="eastAsia" w:ascii="宋体" w:hAnsi="宋体"/>
          <w:b/>
          <w:color w:val="auto"/>
          <w:sz w:val="24"/>
          <w:szCs w:val="21"/>
          <w:highlight w:val="none"/>
        </w:rPr>
        <w:br w:type="page"/>
      </w:r>
    </w:p>
    <w:p>
      <w:pPr>
        <w:pStyle w:val="2"/>
        <w:rPr>
          <w:color w:val="auto"/>
          <w:highlight w:val="none"/>
        </w:rPr>
      </w:pPr>
    </w:p>
    <w:p>
      <w:pPr>
        <w:pStyle w:val="62"/>
        <w:rPr>
          <w:rFonts w:hint="default" w:eastAsia="宋体"/>
          <w:b/>
          <w:bCs/>
          <w:color w:val="auto"/>
          <w:highlight w:val="none"/>
          <w:lang w:val="en-US" w:eastAsia="zh-CN"/>
        </w:rPr>
      </w:pPr>
      <w:r>
        <w:rPr>
          <w:rFonts w:hint="eastAsia"/>
          <w:b/>
          <w:bCs/>
          <w:color w:val="auto"/>
          <w:highlight w:val="none"/>
          <w:lang w:val="en-US" w:eastAsia="zh-CN"/>
        </w:rPr>
        <w:t>3.投标书</w:t>
      </w:r>
    </w:p>
    <w:p>
      <w:pPr>
        <w:pStyle w:val="62"/>
        <w:rPr>
          <w:color w:val="auto"/>
          <w:highlight w:val="none"/>
        </w:rPr>
      </w:pPr>
    </w:p>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投标书</w:t>
      </w:r>
    </w:p>
    <w:p>
      <w:pPr>
        <w:spacing w:line="360" w:lineRule="auto"/>
        <w:rPr>
          <w:rFonts w:ascii="宋体" w:hAnsi="宋体"/>
          <w:b/>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（采购人  ） </w:t>
      </w:r>
    </w:p>
    <w:p>
      <w:pPr>
        <w:spacing w:line="360" w:lineRule="auto"/>
        <w:rPr>
          <w:rFonts w:ascii="宋体" w:hAnsi="宋体"/>
          <w:color w:val="auto"/>
          <w:szCs w:val="21"/>
          <w:highlight w:val="none"/>
        </w:rPr>
      </w:pPr>
      <w:r>
        <w:rPr>
          <w:rFonts w:ascii="宋体" w:hAnsi="宋体"/>
          <w:color w:val="auto"/>
          <w:szCs w:val="21"/>
          <w:highlight w:val="none"/>
          <w:u w:val="single"/>
        </w:rPr>
        <w:t>（</w:t>
      </w:r>
      <w:r>
        <w:rPr>
          <w:rFonts w:hint="eastAsia" w:ascii="宋体" w:hAnsi="宋体"/>
          <w:color w:val="auto"/>
          <w:szCs w:val="21"/>
          <w:highlight w:val="none"/>
          <w:u w:val="single"/>
        </w:rPr>
        <w:t>供应商全称</w:t>
      </w:r>
      <w:r>
        <w:rPr>
          <w:rFonts w:ascii="宋体" w:hAnsi="宋体"/>
          <w:color w:val="auto"/>
          <w:szCs w:val="21"/>
          <w:highlight w:val="none"/>
          <w:u w:val="single"/>
        </w:rPr>
        <w:t>）</w:t>
      </w:r>
      <w:r>
        <w:rPr>
          <w:rFonts w:hint="eastAsia" w:ascii="宋体" w:hAnsi="宋体"/>
          <w:color w:val="auto"/>
          <w:szCs w:val="21"/>
          <w:highlight w:val="none"/>
          <w:u w:val="single"/>
        </w:rPr>
        <w:t>　</w:t>
      </w:r>
      <w:r>
        <w:rPr>
          <w:rFonts w:hint="eastAsia" w:ascii="宋体" w:hAnsi="宋体"/>
          <w:color w:val="auto"/>
          <w:szCs w:val="21"/>
          <w:highlight w:val="none"/>
        </w:rPr>
        <w:t>授权</w:t>
      </w:r>
      <w:r>
        <w:rPr>
          <w:rFonts w:hint="eastAsia" w:ascii="宋体" w:hAnsi="宋体"/>
          <w:color w:val="auto"/>
          <w:szCs w:val="21"/>
          <w:highlight w:val="none"/>
          <w:u w:val="single"/>
        </w:rPr>
        <w:t>（全名、职务）</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项目名称</w:t>
      </w:r>
      <w:r>
        <w:rPr>
          <w:rFonts w:hint="eastAsia" w:ascii="宋体" w:hAnsi="宋体"/>
          <w:color w:val="auto"/>
          <w:szCs w:val="21"/>
          <w:highlight w:val="none"/>
          <w:u w:val="single"/>
          <w:lang w:eastAsia="zh-CN"/>
        </w:rPr>
        <w:t>）</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项目编号</w:t>
      </w:r>
      <w:r>
        <w:rPr>
          <w:rFonts w:hint="eastAsia" w:ascii="宋体" w:hAnsi="宋体"/>
          <w:color w:val="auto"/>
          <w:szCs w:val="21"/>
          <w:highlight w:val="none"/>
          <w:u w:val="single"/>
          <w:lang w:eastAsia="zh-CN"/>
        </w:rPr>
        <w:t>）</w:t>
      </w:r>
      <w:r>
        <w:rPr>
          <w:rFonts w:hint="eastAsia" w:ascii="宋体" w:hAnsi="宋体"/>
          <w:color w:val="auto"/>
          <w:szCs w:val="21"/>
          <w:highlight w:val="none"/>
        </w:rPr>
        <w:t>）招标活动并投标，为便于贵方公正、择优地确定中标供应商及其投标产品和服务，我方就本次投标有关事项郑重声明如下：</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、我方向贵方提交的所有投标文件、资料都是准确的和真实的。如有虚假或隐瞒，我方愿意承担一切后果，并不再寻求任何旨在减轻或免除法律责任的辩解。</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、我方不是为本项目提供整体设计、规范编制或者项目管理、监理、检测等服务的供应商。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4、保证遵守招标文件有关条款规定。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5、本项目的投标报价详见“开标一览表”。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7、保证在中标后忠实地执行与采购人所签署的合同，并承担合同规定的责任义务。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9、与本投标有关的一切正式来往通讯请寄：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地址：      邮编：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电话：      传真：</w:t>
      </w:r>
    </w:p>
    <w:p>
      <w:pPr>
        <w:spacing w:line="360" w:lineRule="auto"/>
        <w:ind w:left="540" w:firstLine="30"/>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供应商名称（盖章）：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日期：年 月 日</w:t>
      </w:r>
    </w:p>
    <w:p>
      <w:pPr>
        <w:numPr>
          <w:ilvl w:val="0"/>
          <w:numId w:val="0"/>
        </w:numPr>
        <w:ind w:leftChars="0"/>
        <w:rPr>
          <w:rFonts w:hint="eastAsia" w:ascii="宋体" w:hAnsi="宋体"/>
          <w:b/>
          <w:color w:val="auto"/>
          <w:szCs w:val="21"/>
          <w:highlight w:val="none"/>
        </w:rPr>
      </w:pPr>
    </w:p>
    <w:p>
      <w:pPr>
        <w:pStyle w:val="62"/>
        <w:rPr>
          <w:rFonts w:hint="eastAsia" w:ascii="宋体" w:hAnsi="Times New Roman" w:eastAsia="宋体" w:cs="Times New Roman"/>
          <w:b/>
          <w:bCs/>
          <w:color w:val="auto"/>
          <w:highlight w:val="none"/>
          <w:lang w:val="en-US" w:eastAsia="zh-CN"/>
        </w:rPr>
      </w:pPr>
    </w:p>
    <w:p>
      <w:pPr>
        <w:pStyle w:val="62"/>
        <w:rPr>
          <w:rFonts w:hint="default"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4.合法有效的营业执照副本（或事业法人登记证副本或其他登记证明材料）原件扫描件或者电子营业执照加盖供应商公章（复印件盖单位公章）</w:t>
      </w:r>
    </w:p>
    <w:p>
      <w:pPr>
        <w:pStyle w:val="62"/>
        <w:rPr>
          <w:rFonts w:hint="eastAsia" w:ascii="宋体" w:hAnsi="Times New Roman" w:eastAsia="宋体" w:cs="Times New Roman"/>
          <w:b/>
          <w:bCs/>
          <w:color w:val="auto"/>
          <w:highlight w:val="none"/>
          <w:lang w:val="en-US" w:eastAsia="zh-CN"/>
        </w:rPr>
      </w:pPr>
    </w:p>
    <w:p>
      <w:pPr>
        <w:pStyle w:val="62"/>
        <w:rPr>
          <w:rFonts w:hint="eastAsia" w:ascii="宋体" w:hAnsi="Times New Roman" w:eastAsia="宋体" w:cs="Times New Roman"/>
          <w:b/>
          <w:bCs/>
          <w:color w:val="auto"/>
          <w:highlight w:val="none"/>
          <w:lang w:val="en-US" w:eastAsia="zh-CN"/>
        </w:rPr>
      </w:pPr>
    </w:p>
    <w:p>
      <w:pPr>
        <w:pStyle w:val="62"/>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5.股东成员说明书（供应商须提供股东成员说明书（格式自拟），加盖供应商公章；或从“国家企业信用信息公示系统”、“宁波市企业信用网”等相关网站里打印有股东成员名称的相关页面，加盖供应商公章）</w:t>
      </w:r>
    </w:p>
    <w:p>
      <w:pPr>
        <w:numPr>
          <w:ilvl w:val="0"/>
          <w:numId w:val="0"/>
        </w:numPr>
        <w:ind w:leftChars="0"/>
        <w:rPr>
          <w:rFonts w:ascii="宋体" w:hAnsi="宋体"/>
          <w:b/>
          <w:color w:val="auto"/>
          <w:szCs w:val="21"/>
          <w:highlight w:val="none"/>
        </w:rPr>
      </w:pPr>
    </w:p>
    <w:p>
      <w:pPr>
        <w:pStyle w:val="62"/>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6.授权委托书（投标文件由授权代表签字的须提供）、法定代表人身份证明</w:t>
      </w:r>
    </w:p>
    <w:p>
      <w:pPr>
        <w:numPr>
          <w:ilvl w:val="0"/>
          <w:numId w:val="0"/>
        </w:numPr>
        <w:ind w:leftChars="0"/>
        <w:rPr>
          <w:rFonts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1885" w:firstLineChars="894"/>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授权委托书（适用于非联合体投标）</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（姓名）为我方代理人（身份证号码：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，手机：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），以我方名义处理</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（采购编号）</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委托期限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日起至</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日止。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特此告知。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投标人名称(电子签名)：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 xml:space="preserve">                                                 签发日期：</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日</w:t>
      </w:r>
    </w:p>
    <w:p>
      <w:pPr>
        <w:pStyle w:val="61"/>
        <w:rPr>
          <w:rFonts w:hint="default" w:eastAsia="宋体"/>
          <w:color w:val="auto"/>
          <w:highlight w:val="none"/>
          <w:lang w:val="en-US" w:eastAsia="zh-CN"/>
        </w:rPr>
      </w:pPr>
    </w:p>
    <w:p>
      <w:pPr>
        <w:pStyle w:val="61"/>
        <w:rPr>
          <w:rFonts w:hint="eastAsia" w:eastAsia="宋体"/>
          <w:color w:val="auto"/>
          <w:highlight w:val="none"/>
          <w:lang w:val="en-US" w:eastAsia="zh-CN"/>
        </w:rPr>
      </w:pPr>
    </w:p>
    <w:p>
      <w:pPr>
        <w:autoSpaceDE w:val="0"/>
        <w:autoSpaceDN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val="zh-CN"/>
        </w:rPr>
        <w:t>法定代表人、单位负责人或自然人本人</w:t>
      </w:r>
      <w:r>
        <w:rPr>
          <w:rFonts w:hint="eastAsia" w:ascii="仿宋" w:hAnsi="仿宋" w:eastAsia="仿宋" w:cs="仿宋"/>
          <w:b/>
          <w:color w:val="auto"/>
          <w:sz w:val="21"/>
          <w:szCs w:val="21"/>
          <w:highlight w:val="none"/>
        </w:rPr>
        <w:t>的身份证明</w:t>
      </w:r>
    </w:p>
    <w:p>
      <w:pPr>
        <w:pStyle w:val="16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49"/>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8300" w:type="dxa"/>
            <w:noWrap w:val="0"/>
            <w:vAlign w:val="top"/>
          </w:tcPr>
          <w:p>
            <w:pPr>
              <w:pStyle w:val="16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62"/>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080" w:firstLineChars="17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投标人（盖章）：</w:t>
      </w:r>
    </w:p>
    <w:p>
      <w:pPr>
        <w:rPr>
          <w:rFonts w:hint="eastAsia" w:ascii="宋体" w:hAnsi="宋体"/>
          <w:b/>
          <w:color w:val="auto"/>
          <w:sz w:val="24"/>
          <w:szCs w:val="21"/>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pPr>
        <w:rPr>
          <w:rFonts w:hint="eastAsia" w:ascii="宋体" w:hAnsi="宋体"/>
          <w:b/>
          <w:color w:val="auto"/>
          <w:sz w:val="24"/>
          <w:szCs w:val="21"/>
          <w:highlight w:val="none"/>
        </w:rPr>
      </w:pPr>
    </w:p>
    <w:p>
      <w:pPr>
        <w:pStyle w:val="62"/>
        <w:ind w:left="0" w:leftChars="0" w:firstLine="0" w:firstLineChars="0"/>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7.“本单位不存在与其他投标人的投标文件出自同一终端设备或在相同Internet主机分配地址（相同IP地址）网上报名投标的承诺”的承诺书（格式自拟）；</w:t>
      </w:r>
    </w:p>
    <w:p>
      <w:pPr>
        <w:rPr>
          <w:rFonts w:hint="eastAsia" w:ascii="宋体" w:hAnsi="宋体"/>
          <w:b/>
          <w:color w:val="auto"/>
          <w:sz w:val="24"/>
          <w:szCs w:val="21"/>
          <w:highlight w:val="none"/>
        </w:rPr>
      </w:pPr>
      <w:r>
        <w:rPr>
          <w:rFonts w:hint="eastAsia" w:ascii="宋体" w:hAnsi="宋体"/>
          <w:b/>
          <w:color w:val="auto"/>
          <w:sz w:val="24"/>
          <w:szCs w:val="21"/>
          <w:highlight w:val="none"/>
        </w:rPr>
        <w:br w:type="page"/>
      </w:r>
    </w:p>
    <w:p>
      <w:pPr>
        <w:pStyle w:val="62"/>
        <w:ind w:left="0" w:leftChars="0" w:firstLine="0" w:firstLineChars="0"/>
        <w:rPr>
          <w:rFonts w:hint="eastAsia" w:ascii="宋体" w:hAnsi="宋体"/>
          <w:b/>
          <w:color w:val="auto"/>
          <w:sz w:val="24"/>
          <w:szCs w:val="21"/>
          <w:highlight w:val="none"/>
        </w:rPr>
      </w:pPr>
      <w:r>
        <w:rPr>
          <w:rFonts w:hint="eastAsia" w:ascii="宋体" w:hAnsi="Times New Roman" w:eastAsia="宋体" w:cs="Times New Roman"/>
          <w:b/>
          <w:bCs/>
          <w:color w:val="auto"/>
          <w:highlight w:val="none"/>
          <w:lang w:val="en-US" w:eastAsia="zh-CN"/>
        </w:rPr>
        <w:t>8.技术条款响应表</w:t>
      </w:r>
    </w:p>
    <w:p>
      <w:pPr>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技术条款响应表</w:t>
      </w:r>
    </w:p>
    <w:p>
      <w:pPr>
        <w:spacing w:line="360" w:lineRule="auto"/>
        <w:jc w:val="center"/>
        <w:rPr>
          <w:rFonts w:ascii="宋体" w:hAnsi="宋体"/>
          <w:b/>
          <w:color w:val="auto"/>
          <w:szCs w:val="21"/>
          <w:highlight w:val="none"/>
        </w:rPr>
      </w:pP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2023年-2024年前江街道建设占用耕地耕作层剥离再利用服务（一期）项目</w:t>
      </w:r>
    </w:p>
    <w:p>
      <w:pPr>
        <w:spacing w:line="288"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GQCG2023013（HX-2023-1015）</w:t>
      </w:r>
    </w:p>
    <w:tbl>
      <w:tblPr>
        <w:tblStyle w:val="49"/>
        <w:tblW w:w="85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10"/>
        <w:gridCol w:w="2268"/>
        <w:gridCol w:w="1488"/>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34" w:type="dxa"/>
            <w:vAlign w:val="center"/>
          </w:tcPr>
          <w:p>
            <w:pPr>
              <w:autoSpaceDE w:val="0"/>
              <w:autoSpaceDN w:val="0"/>
              <w:adjustRightInd w:val="0"/>
              <w:spacing w:line="320" w:lineRule="exact"/>
              <w:jc w:val="center"/>
              <w:rPr>
                <w:rFonts w:ascii="宋体" w:hAnsi="宋体"/>
                <w:bCs/>
                <w:color w:val="auto"/>
                <w:szCs w:val="21"/>
                <w:highlight w:val="none"/>
              </w:rPr>
            </w:pPr>
            <w:r>
              <w:rPr>
                <w:rFonts w:hint="eastAsia" w:ascii="宋体" w:hAnsi="宋体"/>
                <w:bCs/>
                <w:color w:val="auto"/>
                <w:szCs w:val="21"/>
                <w:highlight w:val="none"/>
              </w:rPr>
              <w:t>序号</w:t>
            </w:r>
          </w:p>
        </w:tc>
        <w:tc>
          <w:tcPr>
            <w:tcW w:w="2410" w:type="dxa"/>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268"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1488"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正偏离/负偏离/无偏离</w:t>
            </w:r>
          </w:p>
        </w:tc>
        <w:tc>
          <w:tcPr>
            <w:tcW w:w="1248"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4" w:type="dxa"/>
            <w:vAlign w:val="center"/>
          </w:tcPr>
          <w:p>
            <w:pPr>
              <w:autoSpaceDE w:val="0"/>
              <w:autoSpaceDN w:val="0"/>
              <w:adjustRightInd w:val="0"/>
              <w:spacing w:line="320" w:lineRule="exact"/>
              <w:jc w:val="center"/>
              <w:rPr>
                <w:rFonts w:ascii="宋体" w:hAnsi="宋体"/>
                <w:color w:val="auto"/>
                <w:szCs w:val="21"/>
                <w:highlight w:val="none"/>
              </w:rPr>
            </w:pPr>
            <w:r>
              <w:rPr>
                <w:rFonts w:hint="eastAsia" w:ascii="宋体" w:hAnsi="宋体"/>
                <w:color w:val="auto"/>
                <w:szCs w:val="21"/>
                <w:highlight w:val="none"/>
              </w:rPr>
              <w:t>1</w:t>
            </w:r>
          </w:p>
        </w:tc>
        <w:tc>
          <w:tcPr>
            <w:tcW w:w="2410" w:type="dxa"/>
            <w:vAlign w:val="center"/>
          </w:tcPr>
          <w:p>
            <w:pPr>
              <w:spacing w:line="280" w:lineRule="exact"/>
              <w:rPr>
                <w:color w:val="auto"/>
                <w:sz w:val="20"/>
                <w:highlight w:val="none"/>
              </w:rPr>
            </w:pPr>
          </w:p>
        </w:tc>
        <w:tc>
          <w:tcPr>
            <w:tcW w:w="2268" w:type="dxa"/>
            <w:vAlign w:val="center"/>
          </w:tcPr>
          <w:p>
            <w:pPr>
              <w:snapToGrid w:val="0"/>
              <w:spacing w:line="320" w:lineRule="exact"/>
              <w:rPr>
                <w:rFonts w:ascii="宋体" w:hAnsi="宋体"/>
                <w:color w:val="auto"/>
                <w:szCs w:val="21"/>
                <w:highlight w:val="none"/>
              </w:rPr>
            </w:pPr>
          </w:p>
        </w:tc>
        <w:tc>
          <w:tcPr>
            <w:tcW w:w="1488" w:type="dxa"/>
            <w:vAlign w:val="center"/>
          </w:tcPr>
          <w:p>
            <w:pPr>
              <w:snapToGrid w:val="0"/>
              <w:spacing w:line="320" w:lineRule="exact"/>
              <w:rPr>
                <w:rFonts w:ascii="宋体" w:hAnsi="宋体"/>
                <w:color w:val="auto"/>
                <w:szCs w:val="21"/>
                <w:highlight w:val="none"/>
              </w:rPr>
            </w:pPr>
          </w:p>
        </w:tc>
        <w:tc>
          <w:tcPr>
            <w:tcW w:w="1248" w:type="dxa"/>
            <w:vAlign w:val="center"/>
          </w:tcPr>
          <w:p>
            <w:pPr>
              <w:snapToGrid w:val="0"/>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4"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2410" w:type="dxa"/>
            <w:vAlign w:val="center"/>
          </w:tcPr>
          <w:p>
            <w:pPr>
              <w:snapToGrid w:val="0"/>
              <w:spacing w:line="280" w:lineRule="exact"/>
              <w:rPr>
                <w:color w:val="auto"/>
                <w:sz w:val="20"/>
                <w:highlight w:val="none"/>
              </w:rPr>
            </w:pPr>
          </w:p>
        </w:tc>
        <w:tc>
          <w:tcPr>
            <w:tcW w:w="2268"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4"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3</w:t>
            </w:r>
          </w:p>
        </w:tc>
        <w:tc>
          <w:tcPr>
            <w:tcW w:w="2410" w:type="dxa"/>
            <w:vAlign w:val="center"/>
          </w:tcPr>
          <w:p>
            <w:pPr>
              <w:snapToGrid w:val="0"/>
              <w:spacing w:line="280" w:lineRule="exact"/>
              <w:rPr>
                <w:color w:val="auto"/>
                <w:sz w:val="20"/>
                <w:highlight w:val="none"/>
              </w:rPr>
            </w:pPr>
          </w:p>
        </w:tc>
        <w:tc>
          <w:tcPr>
            <w:tcW w:w="2268"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34" w:type="dxa"/>
            <w:vAlign w:val="center"/>
          </w:tcPr>
          <w:p>
            <w:pPr>
              <w:snapToGrid w:val="0"/>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2410" w:type="dxa"/>
            <w:vAlign w:val="center"/>
          </w:tcPr>
          <w:p>
            <w:pPr>
              <w:snapToGrid w:val="0"/>
              <w:spacing w:line="440" w:lineRule="exact"/>
              <w:rPr>
                <w:rFonts w:ascii="宋体" w:hAnsi="宋体"/>
                <w:color w:val="auto"/>
                <w:szCs w:val="21"/>
                <w:highlight w:val="none"/>
              </w:rPr>
            </w:pPr>
            <w:r>
              <w:rPr>
                <w:rFonts w:hint="eastAsia" w:ascii="宋体" w:hAnsi="宋体"/>
                <w:color w:val="auto"/>
                <w:szCs w:val="21"/>
                <w:highlight w:val="none"/>
              </w:rPr>
              <w:t>....</w:t>
            </w:r>
          </w:p>
        </w:tc>
        <w:tc>
          <w:tcPr>
            <w:tcW w:w="2268"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34" w:type="dxa"/>
            <w:vAlign w:val="center"/>
          </w:tcPr>
          <w:p>
            <w:pPr>
              <w:snapToGrid w:val="0"/>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2410" w:type="dxa"/>
            <w:vAlign w:val="center"/>
          </w:tcPr>
          <w:p>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w:t>
            </w:r>
          </w:p>
        </w:tc>
        <w:tc>
          <w:tcPr>
            <w:tcW w:w="2268"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bl>
    <w:p>
      <w:pPr>
        <w:spacing w:line="360" w:lineRule="auto"/>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投标人保证：除技术条款响应表列出的偏离外，投标人响应招标文件的全部</w:t>
      </w:r>
      <w:r>
        <w:rPr>
          <w:rFonts w:hint="eastAsia" w:ascii="宋体" w:hAnsi="宋体" w:eastAsia="宋体" w:cs="宋体"/>
          <w:color w:val="auto"/>
          <w:kern w:val="0"/>
          <w:sz w:val="21"/>
          <w:szCs w:val="21"/>
          <w:highlight w:val="none"/>
          <w:lang w:eastAsia="zh-CN"/>
        </w:rPr>
        <w:t>技术</w:t>
      </w:r>
      <w:r>
        <w:rPr>
          <w:rFonts w:hint="eastAsia" w:ascii="宋体" w:hAnsi="宋体" w:eastAsia="宋体" w:cs="宋体"/>
          <w:color w:val="auto"/>
          <w:kern w:val="0"/>
          <w:sz w:val="21"/>
          <w:szCs w:val="21"/>
          <w:highlight w:val="none"/>
        </w:rPr>
        <w:t>要求</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snapToGrid w:val="0"/>
        <w:spacing w:before="50" w:afterLines="50" w:line="360" w:lineRule="auto"/>
        <w:jc w:val="left"/>
        <w:rPr>
          <w:rFonts w:hint="eastAsia"/>
          <w:color w:val="auto"/>
          <w:highlight w:val="none"/>
          <w:lang w:val="zh-CN"/>
        </w:rPr>
      </w:pPr>
      <w:r>
        <w:rPr>
          <w:rFonts w:hint="eastAsia" w:ascii="宋体" w:hAnsi="宋体"/>
          <w:color w:val="auto"/>
          <w:szCs w:val="21"/>
          <w:highlight w:val="none"/>
        </w:rPr>
        <w:t>注：1、</w:t>
      </w:r>
      <w:r>
        <w:rPr>
          <w:rFonts w:hint="eastAsia" w:ascii="宋体" w:hAnsi="宋体"/>
          <w:color w:val="auto"/>
          <w:highlight w:val="none"/>
          <w:lang w:val="zh-CN"/>
        </w:rPr>
        <w:t>投标人根据本招标文件</w:t>
      </w:r>
      <w:r>
        <w:rPr>
          <w:rFonts w:hint="eastAsia" w:ascii="宋体" w:hAnsi="宋体"/>
          <w:b/>
          <w:color w:val="auto"/>
          <w:highlight w:val="none"/>
          <w:lang w:val="zh-CN"/>
        </w:rPr>
        <w:t xml:space="preserve"> 第二章</w:t>
      </w:r>
      <w:r>
        <w:rPr>
          <w:rFonts w:hint="eastAsia" w:ascii="宋体" w:hAnsi="宋体"/>
          <w:b/>
          <w:color w:val="auto"/>
          <w:highlight w:val="none"/>
        </w:rPr>
        <w:t>招标需求</w:t>
      </w:r>
      <w:r>
        <w:rPr>
          <w:rFonts w:hint="eastAsia" w:ascii="宋体" w:hAnsi="宋体"/>
          <w:color w:val="auto"/>
          <w:highlight w:val="none"/>
          <w:lang w:val="en-US" w:eastAsia="zh-CN"/>
        </w:rPr>
        <w:t>如实</w:t>
      </w:r>
      <w:r>
        <w:rPr>
          <w:rFonts w:hint="eastAsia" w:ascii="宋体" w:hAnsi="宋体"/>
          <w:color w:val="auto"/>
          <w:highlight w:val="none"/>
          <w:lang w:val="zh-CN"/>
        </w:rPr>
        <w:t>填写</w:t>
      </w:r>
      <w:r>
        <w:rPr>
          <w:rFonts w:hint="eastAsia" w:ascii="宋体" w:hAnsi="宋体"/>
          <w:color w:val="auto"/>
          <w:szCs w:val="21"/>
          <w:highlight w:val="none"/>
        </w:rPr>
        <w:t>；</w:t>
      </w:r>
      <w:r>
        <w:rPr>
          <w:rFonts w:hint="eastAsia" w:ascii="宋体" w:hAnsi="宋体"/>
          <w:color w:val="auto"/>
          <w:highlight w:val="none"/>
          <w:lang w:val="en-US" w:eastAsia="zh-CN"/>
        </w:rPr>
        <w:t>2、须如实</w:t>
      </w:r>
      <w:r>
        <w:rPr>
          <w:rFonts w:hint="eastAsia" w:ascii="宋体" w:hAnsi="宋体"/>
          <w:color w:val="auto"/>
          <w:highlight w:val="none"/>
        </w:rPr>
        <w:t>填写，</w:t>
      </w:r>
      <w:r>
        <w:rPr>
          <w:rFonts w:hint="eastAsia" w:ascii="宋体" w:hAnsi="宋体"/>
          <w:color w:val="auto"/>
          <w:highlight w:val="none"/>
          <w:lang w:val="en-US" w:eastAsia="zh-CN"/>
        </w:rPr>
        <w:t>如无偏离情况，注明无偏离，</w:t>
      </w:r>
      <w:r>
        <w:rPr>
          <w:rFonts w:hint="eastAsia" w:ascii="宋体" w:hAnsi="宋体"/>
          <w:color w:val="auto"/>
          <w:highlight w:val="none"/>
        </w:rPr>
        <w:t>如有偏离情况，</w:t>
      </w:r>
      <w:r>
        <w:rPr>
          <w:rFonts w:hint="eastAsia" w:ascii="宋体" w:hAnsi="宋体"/>
          <w:color w:val="auto"/>
          <w:highlight w:val="none"/>
          <w:lang w:val="en-US" w:eastAsia="zh-CN"/>
        </w:rPr>
        <w:t>请根据实际情况填写，</w:t>
      </w:r>
      <w:r>
        <w:rPr>
          <w:rFonts w:hint="eastAsia" w:ascii="宋体" w:hAnsi="宋体"/>
          <w:color w:val="auto"/>
          <w:highlight w:val="none"/>
        </w:rPr>
        <w:t>并注明正偏离、负偏离；</w:t>
      </w:r>
    </w:p>
    <w:p>
      <w:pPr>
        <w:spacing w:line="400" w:lineRule="atLeas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法定代表人或授权代表：（签字）</w:t>
      </w:r>
    </w:p>
    <w:p>
      <w:pPr>
        <w:spacing w:line="400" w:lineRule="atLeast"/>
        <w:rPr>
          <w:rFonts w:ascii="宋体" w:hAnsi="宋体"/>
          <w:color w:val="auto"/>
          <w:szCs w:val="21"/>
          <w:highlight w:val="none"/>
        </w:rPr>
      </w:pPr>
      <w:r>
        <w:rPr>
          <w:rFonts w:hint="eastAsia" w:ascii="宋体" w:hAnsi="宋体"/>
          <w:color w:val="auto"/>
          <w:szCs w:val="21"/>
          <w:highlight w:val="none"/>
        </w:rPr>
        <w:t>日期：</w:t>
      </w:r>
    </w:p>
    <w:p>
      <w:pPr>
        <w:pStyle w:val="62"/>
        <w:ind w:left="0" w:leftChars="0" w:firstLine="0" w:firstLineChars="0"/>
        <w:rPr>
          <w:rFonts w:hint="eastAsia" w:ascii="宋体" w:hAnsi="Times New Roman" w:eastAsia="宋体" w:cs="Times New Roman"/>
          <w:b/>
          <w:bCs/>
          <w:color w:val="auto"/>
          <w:highlight w:val="none"/>
          <w:lang w:val="en-US" w:eastAsia="zh-CN"/>
        </w:rPr>
        <w:sectPr>
          <w:headerReference r:id="rId3" w:type="default"/>
          <w:footerReference r:id="rId4" w:type="default"/>
          <w:footerReference r:id="rId5" w:type="even"/>
          <w:pgSz w:w="11906" w:h="16838"/>
          <w:pgMar w:top="1417" w:right="1531" w:bottom="1417" w:left="1644" w:header="567" w:footer="624" w:gutter="0"/>
          <w:cols w:space="720" w:num="1"/>
          <w:docGrid w:linePitch="602" w:charSpace="-1675"/>
        </w:sectPr>
      </w:pPr>
    </w:p>
    <w:p>
      <w:pPr>
        <w:pStyle w:val="62"/>
        <w:ind w:left="0" w:leftChars="0" w:firstLine="0" w:firstLineChars="0"/>
        <w:rPr>
          <w:rFonts w:hint="eastAsia" w:ascii="宋体" w:hAnsi="宋体"/>
          <w:b/>
          <w:color w:val="auto"/>
          <w:sz w:val="24"/>
          <w:szCs w:val="21"/>
          <w:highlight w:val="none"/>
        </w:rPr>
      </w:pPr>
      <w:r>
        <w:rPr>
          <w:rFonts w:hint="eastAsia" w:ascii="宋体" w:hAnsi="Times New Roman" w:eastAsia="宋体" w:cs="Times New Roman"/>
          <w:b/>
          <w:bCs/>
          <w:color w:val="auto"/>
          <w:highlight w:val="none"/>
          <w:lang w:val="en-US" w:eastAsia="zh-CN"/>
        </w:rPr>
        <w:t>9.商务条款响应表</w:t>
      </w:r>
    </w:p>
    <w:p>
      <w:pPr>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商务条款响应表</w:t>
      </w: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2023年-2024年前江街道建设占用耕地耕作层剥离再利用服务（一期）项目</w:t>
      </w:r>
    </w:p>
    <w:p>
      <w:pPr>
        <w:spacing w:line="288"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GQCG2023013（HX-2023-1015）</w:t>
      </w:r>
    </w:p>
    <w:tbl>
      <w:tblPr>
        <w:tblStyle w:val="49"/>
        <w:tblW w:w="129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5527"/>
        <w:gridCol w:w="4134"/>
        <w:gridCol w:w="1671"/>
        <w:gridCol w:w="7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04" w:type="dxa"/>
            <w:vAlign w:val="center"/>
          </w:tcPr>
          <w:p>
            <w:pPr>
              <w:autoSpaceDE w:val="0"/>
              <w:autoSpaceDN w:val="0"/>
              <w:adjustRightInd w:val="0"/>
              <w:spacing w:line="320" w:lineRule="exact"/>
              <w:jc w:val="center"/>
              <w:rPr>
                <w:rFonts w:ascii="宋体" w:hAnsi="宋体"/>
                <w:bCs/>
                <w:color w:val="auto"/>
                <w:szCs w:val="21"/>
                <w:highlight w:val="none"/>
              </w:rPr>
            </w:pPr>
            <w:r>
              <w:rPr>
                <w:rFonts w:hint="eastAsia" w:ascii="宋体" w:hAnsi="宋体"/>
                <w:bCs/>
                <w:color w:val="auto"/>
                <w:szCs w:val="21"/>
                <w:highlight w:val="none"/>
              </w:rPr>
              <w:t>序号</w:t>
            </w:r>
          </w:p>
        </w:tc>
        <w:tc>
          <w:tcPr>
            <w:tcW w:w="5527" w:type="dxa"/>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413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167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正偏离/负偏离/无偏离</w:t>
            </w:r>
          </w:p>
        </w:tc>
        <w:tc>
          <w:tcPr>
            <w:tcW w:w="70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autoSpaceDE w:val="0"/>
              <w:autoSpaceDN w:val="0"/>
              <w:adjustRightInd w:val="0"/>
              <w:spacing w:line="320" w:lineRule="exact"/>
              <w:jc w:val="center"/>
              <w:rPr>
                <w:rFonts w:ascii="宋体" w:hAnsi="宋体"/>
                <w:color w:val="auto"/>
                <w:szCs w:val="21"/>
                <w:highlight w:val="none"/>
              </w:rPr>
            </w:pPr>
            <w:r>
              <w:rPr>
                <w:rFonts w:hint="eastAsia" w:ascii="宋体" w:hAnsi="宋体"/>
                <w:color w:val="auto"/>
                <w:szCs w:val="21"/>
                <w:highlight w:val="none"/>
              </w:rPr>
              <w:t>1</w:t>
            </w:r>
          </w:p>
        </w:tc>
        <w:tc>
          <w:tcPr>
            <w:tcW w:w="5527" w:type="dxa"/>
            <w:vAlign w:val="center"/>
          </w:tcPr>
          <w:p>
            <w:pPr>
              <w:spacing w:line="280" w:lineRule="exact"/>
              <w:rPr>
                <w:color w:val="auto"/>
                <w:sz w:val="20"/>
                <w:highlight w:val="none"/>
              </w:rPr>
            </w:pPr>
            <w:r>
              <w:rPr>
                <w:rFonts w:hint="eastAsia"/>
                <w:color w:val="auto"/>
                <w:highlight w:val="none"/>
              </w:rPr>
              <w:t>▲</w:t>
            </w:r>
            <w:r>
              <w:rPr>
                <w:rFonts w:hint="eastAsia" w:ascii="宋体" w:hAnsi="宋体" w:eastAsia="宋体" w:cs="Times New Roman"/>
                <w:color w:val="auto"/>
                <w:highlight w:val="none"/>
                <w:lang w:val="en-US" w:eastAsia="zh-CN"/>
              </w:rPr>
              <w:t>服务期限：</w:t>
            </w:r>
            <w:r>
              <w:rPr>
                <w:rFonts w:hint="eastAsia" w:ascii="宋体" w:hAnsi="宋体" w:eastAsia="宋体" w:cs="Times New Roman"/>
                <w:color w:val="auto"/>
                <w:highlight w:val="none"/>
              </w:rPr>
              <w:t>自合同签订之日起</w:t>
            </w:r>
            <w:r>
              <w:rPr>
                <w:rFonts w:hint="eastAsia" w:ascii="宋体" w:hAnsi="宋体" w:eastAsia="宋体" w:cs="Times New Roman"/>
                <w:color w:val="auto"/>
                <w:highlight w:val="none"/>
                <w:lang w:val="en-US" w:eastAsia="zh-CN"/>
              </w:rPr>
              <w:t>二</w:t>
            </w:r>
            <w:r>
              <w:rPr>
                <w:rFonts w:hint="eastAsia" w:ascii="宋体" w:hAnsi="宋体" w:eastAsia="宋体" w:cs="Times New Roman"/>
                <w:color w:val="auto"/>
                <w:highlight w:val="none"/>
              </w:rPr>
              <w:t>年</w:t>
            </w:r>
            <w:r>
              <w:rPr>
                <w:rFonts w:hint="eastAsia" w:ascii="宋体" w:hAnsi="宋体" w:eastAsia="宋体" w:cs="Times New Roman"/>
                <w:color w:val="auto"/>
                <w:highlight w:val="none"/>
                <w:lang w:val="en-US" w:eastAsia="zh-CN"/>
              </w:rPr>
              <w:t>。</w:t>
            </w:r>
          </w:p>
        </w:tc>
        <w:tc>
          <w:tcPr>
            <w:tcW w:w="4134" w:type="dxa"/>
            <w:vAlign w:val="center"/>
          </w:tcPr>
          <w:p>
            <w:pPr>
              <w:snapToGrid w:val="0"/>
              <w:spacing w:line="320" w:lineRule="exact"/>
              <w:rPr>
                <w:rFonts w:ascii="宋体" w:hAnsi="宋体"/>
                <w:color w:val="auto"/>
                <w:szCs w:val="21"/>
                <w:highlight w:val="none"/>
              </w:rPr>
            </w:pPr>
          </w:p>
        </w:tc>
        <w:tc>
          <w:tcPr>
            <w:tcW w:w="1671" w:type="dxa"/>
            <w:vAlign w:val="center"/>
          </w:tcPr>
          <w:p>
            <w:pPr>
              <w:snapToGrid w:val="0"/>
              <w:spacing w:line="320" w:lineRule="exact"/>
              <w:rPr>
                <w:rFonts w:ascii="宋体" w:hAnsi="宋体"/>
                <w:color w:val="auto"/>
                <w:szCs w:val="21"/>
                <w:highlight w:val="none"/>
              </w:rPr>
            </w:pPr>
          </w:p>
        </w:tc>
        <w:tc>
          <w:tcPr>
            <w:tcW w:w="701" w:type="dxa"/>
            <w:vAlign w:val="center"/>
          </w:tcPr>
          <w:p>
            <w:pPr>
              <w:snapToGrid w:val="0"/>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5527" w:type="dxa"/>
            <w:vAlign w:val="center"/>
          </w:tcPr>
          <w:p>
            <w:pPr>
              <w:rPr>
                <w:color w:val="auto"/>
                <w:sz w:val="20"/>
                <w:highlight w:val="none"/>
              </w:rPr>
            </w:pPr>
            <w:r>
              <w:rPr>
                <w:rFonts w:hint="eastAsia" w:ascii="宋体" w:hAnsi="宋体" w:cs="宋体"/>
                <w:color w:val="auto"/>
                <w:szCs w:val="21"/>
                <w:highlight w:val="none"/>
              </w:rPr>
              <w:t>▲投标有效期：</w:t>
            </w:r>
            <w:r>
              <w:rPr>
                <w:rFonts w:hint="eastAsia" w:ascii="宋体" w:hAnsi="宋体" w:cs="宋体"/>
                <w:color w:val="auto"/>
                <w:szCs w:val="21"/>
                <w:highlight w:val="none"/>
                <w:u w:val="single"/>
              </w:rPr>
              <w:t>90</w:t>
            </w:r>
            <w:r>
              <w:rPr>
                <w:rFonts w:hint="eastAsia" w:ascii="宋体" w:hAnsi="宋体" w:cs="宋体"/>
                <w:color w:val="auto"/>
                <w:szCs w:val="21"/>
                <w:highlight w:val="none"/>
              </w:rPr>
              <w:t>天</w:t>
            </w:r>
          </w:p>
        </w:tc>
        <w:tc>
          <w:tcPr>
            <w:tcW w:w="4134" w:type="dxa"/>
            <w:vAlign w:val="center"/>
          </w:tcPr>
          <w:p>
            <w:pPr>
              <w:snapToGrid w:val="0"/>
              <w:spacing w:line="320" w:lineRule="exact"/>
              <w:rPr>
                <w:rFonts w:ascii="宋体" w:hAnsi="宋体"/>
                <w:color w:val="auto"/>
                <w:szCs w:val="21"/>
                <w:highlight w:val="none"/>
              </w:rPr>
            </w:pPr>
          </w:p>
        </w:tc>
        <w:tc>
          <w:tcPr>
            <w:tcW w:w="1671" w:type="dxa"/>
            <w:vAlign w:val="center"/>
          </w:tcPr>
          <w:p>
            <w:pPr>
              <w:spacing w:line="320" w:lineRule="exact"/>
              <w:rPr>
                <w:rFonts w:ascii="宋体" w:hAnsi="宋体"/>
                <w:color w:val="auto"/>
                <w:szCs w:val="21"/>
                <w:highlight w:val="none"/>
              </w:rPr>
            </w:pPr>
          </w:p>
        </w:tc>
        <w:tc>
          <w:tcPr>
            <w:tcW w:w="701"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04"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3</w:t>
            </w:r>
          </w:p>
        </w:tc>
        <w:tc>
          <w:tcPr>
            <w:tcW w:w="5527" w:type="dxa"/>
            <w:vAlign w:val="center"/>
          </w:tcPr>
          <w:p>
            <w:pPr>
              <w:rPr>
                <w:color w:val="auto"/>
                <w:sz w:val="20"/>
                <w:highlight w:val="none"/>
              </w:rPr>
            </w:pPr>
            <w:r>
              <w:rPr>
                <w:rFonts w:hint="eastAsia" w:ascii="宋体" w:hAnsi="宋体" w:cs="宋体"/>
                <w:color w:val="auto"/>
                <w:szCs w:val="21"/>
                <w:highlight w:val="none"/>
              </w:rPr>
              <w:t>签订合同时间：中标通知书发出之日起</w:t>
            </w:r>
            <w:r>
              <w:rPr>
                <w:rFonts w:hint="eastAsia" w:ascii="宋体" w:hAnsi="宋体" w:cs="宋体"/>
                <w:color w:val="auto"/>
                <w:szCs w:val="21"/>
                <w:highlight w:val="none"/>
                <w:u w:val="single"/>
              </w:rPr>
              <w:t>30</w:t>
            </w:r>
            <w:r>
              <w:rPr>
                <w:rFonts w:hint="eastAsia" w:ascii="宋体" w:hAnsi="宋体" w:cs="宋体"/>
                <w:color w:val="auto"/>
                <w:szCs w:val="21"/>
                <w:highlight w:val="none"/>
              </w:rPr>
              <w:t>日内。</w:t>
            </w:r>
          </w:p>
        </w:tc>
        <w:tc>
          <w:tcPr>
            <w:tcW w:w="4134" w:type="dxa"/>
            <w:vAlign w:val="center"/>
          </w:tcPr>
          <w:p>
            <w:pPr>
              <w:snapToGrid w:val="0"/>
              <w:spacing w:line="320" w:lineRule="exact"/>
              <w:rPr>
                <w:rFonts w:ascii="宋体" w:hAnsi="宋体"/>
                <w:color w:val="auto"/>
                <w:szCs w:val="21"/>
                <w:highlight w:val="none"/>
              </w:rPr>
            </w:pPr>
          </w:p>
        </w:tc>
        <w:tc>
          <w:tcPr>
            <w:tcW w:w="1671" w:type="dxa"/>
            <w:vAlign w:val="center"/>
          </w:tcPr>
          <w:p>
            <w:pPr>
              <w:spacing w:line="320" w:lineRule="exact"/>
              <w:rPr>
                <w:rFonts w:ascii="宋体" w:hAnsi="宋体"/>
                <w:color w:val="auto"/>
                <w:szCs w:val="21"/>
                <w:highlight w:val="none"/>
              </w:rPr>
            </w:pPr>
          </w:p>
        </w:tc>
        <w:tc>
          <w:tcPr>
            <w:tcW w:w="701"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904"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4</w:t>
            </w:r>
          </w:p>
        </w:tc>
        <w:tc>
          <w:tcPr>
            <w:tcW w:w="5527" w:type="dxa"/>
            <w:vAlign w:val="center"/>
          </w:tcPr>
          <w:p>
            <w:pPr>
              <w:autoSpaceDE w:val="0"/>
              <w:autoSpaceDN w:val="0"/>
              <w:spacing w:line="288" w:lineRule="auto"/>
              <w:textAlignment w:val="bottom"/>
              <w:rPr>
                <w:color w:val="auto"/>
                <w:highlight w:val="none"/>
              </w:rPr>
            </w:pPr>
            <w:r>
              <w:rPr>
                <w:rFonts w:hint="eastAsia"/>
                <w:color w:val="auto"/>
                <w:highlight w:val="none"/>
              </w:rPr>
              <w:t>▲履约保证金：</w:t>
            </w:r>
          </w:p>
          <w:p>
            <w:pPr>
              <w:autoSpaceDE w:val="0"/>
              <w:autoSpaceDN w:val="0"/>
              <w:spacing w:line="288" w:lineRule="auto"/>
              <w:textAlignment w:val="bottom"/>
              <w:rPr>
                <w:rFonts w:hint="eastAsia" w:ascii="Times New Roman" w:hAnsi="Times New Roman" w:eastAsia="宋体" w:cs="Times New Roman"/>
                <w:color w:val="auto"/>
                <w:highlight w:val="none"/>
              </w:rPr>
            </w:pPr>
            <w:r>
              <w:rPr>
                <w:rFonts w:hint="eastAsia" w:ascii="宋体" w:hAnsi="宋体" w:eastAsia="宋体" w:cs="宋体"/>
                <w:color w:val="auto"/>
                <w:sz w:val="21"/>
                <w:szCs w:val="21"/>
                <w:highlight w:val="none"/>
              </w:rPr>
              <w:t>▲</w:t>
            </w:r>
            <w:r>
              <w:rPr>
                <w:rFonts w:hint="eastAsia" w:ascii="Times New Roman" w:hAnsi="Times New Roman" w:eastAsia="宋体" w:cs="Times New Roman"/>
                <w:color w:val="auto"/>
                <w:highlight w:val="none"/>
              </w:rPr>
              <w:t>履约保证金的收取及退还：</w:t>
            </w:r>
          </w:p>
          <w:p>
            <w:pPr>
              <w:autoSpaceDE w:val="0"/>
              <w:autoSpaceDN w:val="0"/>
              <w:spacing w:line="288" w:lineRule="auto"/>
              <w:textAlignment w:val="bottom"/>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1.履约保证金的金额：在签订合同之</w:t>
            </w:r>
            <w:r>
              <w:rPr>
                <w:rFonts w:hint="eastAsia" w:ascii="Times New Roman" w:hAnsi="Times New Roman" w:eastAsia="宋体" w:cs="Times New Roman"/>
                <w:color w:val="auto"/>
                <w:highlight w:val="none"/>
                <w:lang w:val="en-US" w:eastAsia="zh-CN"/>
              </w:rPr>
              <w:t>后</w:t>
            </w:r>
            <w:r>
              <w:rPr>
                <w:rFonts w:hint="eastAsia" w:ascii="Times New Roman" w:hAnsi="Times New Roman" w:eastAsia="宋体" w:cs="Times New Roman"/>
                <w:color w:val="auto"/>
                <w:highlight w:val="none"/>
              </w:rPr>
              <w:t>，中标人向采购人提供</w:t>
            </w:r>
            <w:r>
              <w:rPr>
                <w:rFonts w:hint="eastAsia" w:ascii="Times New Roman" w:hAnsi="Times New Roman" w:eastAsia="宋体" w:cs="Times New Roman"/>
                <w:color w:val="auto"/>
                <w:highlight w:val="none"/>
                <w:lang w:val="en-US" w:eastAsia="zh-CN"/>
              </w:rPr>
              <w:t>合同总价的1%</w:t>
            </w:r>
            <w:r>
              <w:rPr>
                <w:rFonts w:hint="eastAsia" w:ascii="Times New Roman" w:hAnsi="Times New Roman" w:eastAsia="宋体" w:cs="Times New Roman"/>
                <w:color w:val="auto"/>
                <w:highlight w:val="none"/>
              </w:rPr>
              <w:t>作为履约保证金；</w:t>
            </w:r>
          </w:p>
          <w:p>
            <w:pPr>
              <w:autoSpaceDE w:val="0"/>
              <w:autoSpaceDN w:val="0"/>
              <w:spacing w:line="288" w:lineRule="auto"/>
              <w:textAlignment w:val="bottom"/>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2.履约保证金形式：履约保证金形式：电汇、网银、银行保函（采购人认可的银行开具的保函）、保险保单。；</w:t>
            </w:r>
          </w:p>
          <w:p>
            <w:pPr>
              <w:rPr>
                <w:rFonts w:ascii="宋体" w:hAnsi="宋体"/>
                <w:color w:val="auto"/>
                <w:szCs w:val="21"/>
                <w:highlight w:val="none"/>
              </w:rPr>
            </w:pPr>
            <w:r>
              <w:rPr>
                <w:rFonts w:hint="eastAsia" w:ascii="Times New Roman" w:hAnsi="Times New Roman" w:eastAsia="宋体" w:cs="Times New Roman"/>
                <w:color w:val="auto"/>
                <w:highlight w:val="none"/>
              </w:rPr>
              <w:t>3.</w:t>
            </w:r>
            <w:r>
              <w:rPr>
                <w:rFonts w:hint="eastAsia" w:ascii="Times New Roman" w:hAnsi="Times New Roman" w:eastAsia="宋体" w:cs="Times New Roman"/>
                <w:color w:val="auto"/>
                <w:highlight w:val="none"/>
                <w:lang w:val="en-US"/>
              </w:rPr>
              <w:t>履约保证金于合同履行完毕后(除违反招标文件中规定的投标人应尽的义务造成履约保证金被罚没的情况外 )</w:t>
            </w:r>
            <w:r>
              <w:rPr>
                <w:rFonts w:hint="eastAsia" w:ascii="Times New Roman" w:hAnsi="Times New Roman" w:eastAsia="宋体" w:cs="Times New Roman"/>
                <w:color w:val="auto"/>
                <w:highlight w:val="none"/>
                <w:lang w:val="en-US" w:eastAsia="zh-CN"/>
              </w:rPr>
              <w:t>30日历天内</w:t>
            </w:r>
            <w:r>
              <w:rPr>
                <w:rFonts w:hint="eastAsia" w:ascii="Times New Roman" w:hAnsi="Times New Roman" w:eastAsia="宋体" w:cs="Times New Roman"/>
                <w:color w:val="auto"/>
                <w:highlight w:val="none"/>
                <w:lang w:val="en-US"/>
              </w:rPr>
              <w:t>退还（不计息）</w:t>
            </w:r>
            <w:r>
              <w:rPr>
                <w:rFonts w:hint="eastAsia" w:ascii="Times New Roman" w:hAnsi="Times New Roman" w:eastAsia="宋体" w:cs="Times New Roman"/>
                <w:color w:val="auto"/>
                <w:highlight w:val="none"/>
                <w:lang w:val="en-US" w:eastAsia="zh-CN"/>
              </w:rPr>
              <w:t>。</w:t>
            </w:r>
          </w:p>
        </w:tc>
        <w:tc>
          <w:tcPr>
            <w:tcW w:w="4134" w:type="dxa"/>
            <w:vAlign w:val="center"/>
          </w:tcPr>
          <w:p>
            <w:pPr>
              <w:snapToGrid w:val="0"/>
              <w:spacing w:line="320" w:lineRule="exact"/>
              <w:rPr>
                <w:rFonts w:ascii="宋体" w:hAnsi="宋体"/>
                <w:color w:val="auto"/>
                <w:szCs w:val="21"/>
                <w:highlight w:val="none"/>
              </w:rPr>
            </w:pPr>
          </w:p>
        </w:tc>
        <w:tc>
          <w:tcPr>
            <w:tcW w:w="1671" w:type="dxa"/>
            <w:vAlign w:val="center"/>
          </w:tcPr>
          <w:p>
            <w:pPr>
              <w:spacing w:line="320" w:lineRule="exact"/>
              <w:rPr>
                <w:rFonts w:ascii="宋体" w:hAnsi="宋体"/>
                <w:color w:val="auto"/>
                <w:szCs w:val="21"/>
                <w:highlight w:val="none"/>
              </w:rPr>
            </w:pPr>
          </w:p>
        </w:tc>
        <w:tc>
          <w:tcPr>
            <w:tcW w:w="701"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904"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5</w:t>
            </w:r>
          </w:p>
        </w:tc>
        <w:tc>
          <w:tcPr>
            <w:tcW w:w="5527" w:type="dxa"/>
            <w:vAlign w:val="center"/>
          </w:tcPr>
          <w:p>
            <w:pPr>
              <w:widowControl/>
              <w:autoSpaceDE w:val="0"/>
              <w:autoSpaceDN w:val="0"/>
              <w:adjustRightInd w:val="0"/>
              <w:spacing w:line="288" w:lineRule="auto"/>
              <w:jc w:val="left"/>
              <w:rPr>
                <w:color w:val="auto"/>
                <w:highlight w:val="none"/>
              </w:rPr>
            </w:pPr>
            <w:r>
              <w:rPr>
                <w:rFonts w:hint="eastAsia"/>
                <w:color w:val="auto"/>
                <w:highlight w:val="none"/>
              </w:rPr>
              <w:t>▲付款方法和条件：</w:t>
            </w:r>
          </w:p>
          <w:p>
            <w:pPr>
              <w:widowControl/>
              <w:autoSpaceDE w:val="0"/>
              <w:autoSpaceDN w:val="0"/>
              <w:adjustRightInd w:val="0"/>
              <w:spacing w:line="288" w:lineRule="auto"/>
              <w:rPr>
                <w:rFonts w:ascii="宋体" w:hAnsi="宋体"/>
                <w:color w:val="auto"/>
                <w:szCs w:val="21"/>
                <w:highlight w:val="none"/>
              </w:rPr>
            </w:pPr>
            <w:r>
              <w:rPr>
                <w:rFonts w:hint="eastAsia" w:ascii="Times New Roman" w:hAnsi="Times New Roman" w:cs="Times New Roman"/>
                <w:color w:val="auto"/>
                <w:highlight w:val="none"/>
                <w:lang w:eastAsia="zh-CN"/>
              </w:rPr>
              <w:t>按单个项目支付，以经过区保护耕地（永久基本农田）和全域土地综合整治与生态修复领导小组办公室审核的建设占用耕地耕作层剥离</w:t>
            </w:r>
            <w:r>
              <w:rPr>
                <w:rFonts w:hint="eastAsia" w:ascii="Times New Roman" w:hAnsi="Times New Roman" w:cs="Times New Roman"/>
                <w:color w:val="auto"/>
                <w:highlight w:val="none"/>
                <w:lang w:val="en-US" w:eastAsia="zh-CN"/>
              </w:rPr>
              <w:t>方量</w:t>
            </w:r>
            <w:r>
              <w:rPr>
                <w:rFonts w:hint="eastAsia" w:ascii="Times New Roman" w:hAnsi="Times New Roman" w:cs="Times New Roman"/>
                <w:color w:val="auto"/>
                <w:highlight w:val="none"/>
                <w:lang w:eastAsia="zh-CN"/>
              </w:rPr>
              <w:t>为单位，项目完工并经业主初步验收合格后，支付至项目结算价的60%；通过宁波市自然资源和规划局江北分局耕作层剥离验收、资金到位后支付至项目结算价的90%，剩余部分服务期满后通过业主验收后支付，计量按实结算。</w:t>
            </w:r>
          </w:p>
        </w:tc>
        <w:tc>
          <w:tcPr>
            <w:tcW w:w="4134" w:type="dxa"/>
            <w:vAlign w:val="center"/>
          </w:tcPr>
          <w:p>
            <w:pPr>
              <w:snapToGrid w:val="0"/>
              <w:spacing w:line="320" w:lineRule="exact"/>
              <w:rPr>
                <w:rFonts w:ascii="宋体" w:hAnsi="宋体"/>
                <w:color w:val="auto"/>
                <w:szCs w:val="21"/>
                <w:highlight w:val="none"/>
              </w:rPr>
            </w:pPr>
          </w:p>
        </w:tc>
        <w:tc>
          <w:tcPr>
            <w:tcW w:w="1671" w:type="dxa"/>
            <w:vAlign w:val="center"/>
          </w:tcPr>
          <w:p>
            <w:pPr>
              <w:spacing w:line="320" w:lineRule="exact"/>
              <w:rPr>
                <w:rFonts w:ascii="宋体" w:hAnsi="宋体"/>
                <w:color w:val="auto"/>
                <w:szCs w:val="21"/>
                <w:highlight w:val="none"/>
              </w:rPr>
            </w:pPr>
          </w:p>
        </w:tc>
        <w:tc>
          <w:tcPr>
            <w:tcW w:w="701"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4"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6</w:t>
            </w:r>
          </w:p>
        </w:tc>
        <w:tc>
          <w:tcPr>
            <w:tcW w:w="5527" w:type="dxa"/>
            <w:vAlign w:val="center"/>
          </w:tcPr>
          <w:p>
            <w:pPr>
              <w:snapToGrid w:val="0"/>
              <w:spacing w:line="440" w:lineRule="exact"/>
              <w:rPr>
                <w:rFonts w:ascii="宋体" w:hAnsi="宋体"/>
                <w:color w:val="auto"/>
                <w:szCs w:val="21"/>
                <w:highlight w:val="none"/>
              </w:rPr>
            </w:pPr>
          </w:p>
        </w:tc>
        <w:tc>
          <w:tcPr>
            <w:tcW w:w="4134" w:type="dxa"/>
            <w:vAlign w:val="center"/>
          </w:tcPr>
          <w:p>
            <w:pPr>
              <w:snapToGrid w:val="0"/>
              <w:spacing w:line="320" w:lineRule="exact"/>
              <w:rPr>
                <w:rFonts w:ascii="宋体" w:hAnsi="宋体"/>
                <w:color w:val="auto"/>
                <w:szCs w:val="21"/>
                <w:highlight w:val="none"/>
              </w:rPr>
            </w:pPr>
          </w:p>
        </w:tc>
        <w:tc>
          <w:tcPr>
            <w:tcW w:w="1671" w:type="dxa"/>
            <w:vAlign w:val="center"/>
          </w:tcPr>
          <w:p>
            <w:pPr>
              <w:spacing w:line="320" w:lineRule="exact"/>
              <w:rPr>
                <w:rFonts w:ascii="宋体" w:hAnsi="宋体"/>
                <w:color w:val="auto"/>
                <w:szCs w:val="21"/>
                <w:highlight w:val="none"/>
              </w:rPr>
            </w:pPr>
          </w:p>
        </w:tc>
        <w:tc>
          <w:tcPr>
            <w:tcW w:w="701"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04"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7</w:t>
            </w:r>
          </w:p>
        </w:tc>
        <w:tc>
          <w:tcPr>
            <w:tcW w:w="5527" w:type="dxa"/>
            <w:vAlign w:val="center"/>
          </w:tcPr>
          <w:p>
            <w:pPr>
              <w:snapToGrid w:val="0"/>
              <w:spacing w:line="440" w:lineRule="exact"/>
              <w:rPr>
                <w:rFonts w:ascii="宋体" w:hAnsi="宋体"/>
                <w:color w:val="auto"/>
                <w:szCs w:val="21"/>
                <w:highlight w:val="none"/>
              </w:rPr>
            </w:pPr>
          </w:p>
        </w:tc>
        <w:tc>
          <w:tcPr>
            <w:tcW w:w="4134" w:type="dxa"/>
            <w:vAlign w:val="center"/>
          </w:tcPr>
          <w:p>
            <w:pPr>
              <w:snapToGrid w:val="0"/>
              <w:spacing w:line="320" w:lineRule="exact"/>
              <w:rPr>
                <w:rFonts w:ascii="宋体" w:hAnsi="宋体"/>
                <w:color w:val="auto"/>
                <w:szCs w:val="21"/>
                <w:highlight w:val="none"/>
              </w:rPr>
            </w:pPr>
          </w:p>
        </w:tc>
        <w:tc>
          <w:tcPr>
            <w:tcW w:w="1671" w:type="dxa"/>
            <w:vAlign w:val="center"/>
          </w:tcPr>
          <w:p>
            <w:pPr>
              <w:spacing w:line="320" w:lineRule="exact"/>
              <w:rPr>
                <w:rFonts w:ascii="宋体" w:hAnsi="宋体"/>
                <w:color w:val="auto"/>
                <w:szCs w:val="21"/>
                <w:highlight w:val="none"/>
              </w:rPr>
            </w:pPr>
          </w:p>
        </w:tc>
        <w:tc>
          <w:tcPr>
            <w:tcW w:w="701"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04"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8</w:t>
            </w:r>
          </w:p>
        </w:tc>
        <w:tc>
          <w:tcPr>
            <w:tcW w:w="5527" w:type="dxa"/>
            <w:vAlign w:val="center"/>
          </w:tcPr>
          <w:p>
            <w:pPr>
              <w:snapToGrid w:val="0"/>
              <w:spacing w:line="440" w:lineRule="exact"/>
              <w:rPr>
                <w:rFonts w:ascii="宋体" w:hAnsi="宋体"/>
                <w:color w:val="auto"/>
                <w:szCs w:val="21"/>
                <w:highlight w:val="none"/>
              </w:rPr>
            </w:pPr>
            <w:r>
              <w:rPr>
                <w:rFonts w:hint="eastAsia" w:ascii="宋体" w:hAnsi="宋体"/>
                <w:color w:val="auto"/>
                <w:szCs w:val="21"/>
                <w:highlight w:val="none"/>
              </w:rPr>
              <w:t>....</w:t>
            </w:r>
          </w:p>
        </w:tc>
        <w:tc>
          <w:tcPr>
            <w:tcW w:w="4134" w:type="dxa"/>
            <w:vAlign w:val="center"/>
          </w:tcPr>
          <w:p>
            <w:pPr>
              <w:snapToGrid w:val="0"/>
              <w:spacing w:line="320" w:lineRule="exact"/>
              <w:rPr>
                <w:rFonts w:ascii="宋体" w:hAnsi="宋体"/>
                <w:color w:val="auto"/>
                <w:szCs w:val="21"/>
                <w:highlight w:val="none"/>
              </w:rPr>
            </w:pPr>
          </w:p>
        </w:tc>
        <w:tc>
          <w:tcPr>
            <w:tcW w:w="1671" w:type="dxa"/>
            <w:vAlign w:val="center"/>
          </w:tcPr>
          <w:p>
            <w:pPr>
              <w:spacing w:line="320" w:lineRule="exact"/>
              <w:rPr>
                <w:rFonts w:ascii="宋体" w:hAnsi="宋体"/>
                <w:color w:val="auto"/>
                <w:szCs w:val="21"/>
                <w:highlight w:val="none"/>
              </w:rPr>
            </w:pPr>
          </w:p>
        </w:tc>
        <w:tc>
          <w:tcPr>
            <w:tcW w:w="701"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4" w:type="dxa"/>
            <w:vAlign w:val="center"/>
          </w:tcPr>
          <w:p>
            <w:pPr>
              <w:snapToGrid w:val="0"/>
              <w:spacing w:line="4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5527" w:type="dxa"/>
            <w:vAlign w:val="center"/>
          </w:tcPr>
          <w:p>
            <w:pPr>
              <w:snapToGrid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4134" w:type="dxa"/>
            <w:vAlign w:val="center"/>
          </w:tcPr>
          <w:p>
            <w:pPr>
              <w:snapToGrid w:val="0"/>
              <w:spacing w:line="320" w:lineRule="exact"/>
              <w:rPr>
                <w:rFonts w:ascii="宋体" w:hAnsi="宋体"/>
                <w:color w:val="auto"/>
                <w:szCs w:val="21"/>
                <w:highlight w:val="none"/>
              </w:rPr>
            </w:pPr>
          </w:p>
        </w:tc>
        <w:tc>
          <w:tcPr>
            <w:tcW w:w="1671" w:type="dxa"/>
            <w:vAlign w:val="center"/>
          </w:tcPr>
          <w:p>
            <w:pPr>
              <w:spacing w:line="320" w:lineRule="exact"/>
              <w:rPr>
                <w:rFonts w:ascii="宋体" w:hAnsi="宋体"/>
                <w:color w:val="auto"/>
                <w:szCs w:val="21"/>
                <w:highlight w:val="none"/>
              </w:rPr>
            </w:pPr>
          </w:p>
        </w:tc>
        <w:tc>
          <w:tcPr>
            <w:tcW w:w="701" w:type="dxa"/>
            <w:vAlign w:val="center"/>
          </w:tcPr>
          <w:p>
            <w:pPr>
              <w:spacing w:line="320" w:lineRule="exact"/>
              <w:rPr>
                <w:rFonts w:ascii="宋体" w:hAnsi="宋体"/>
                <w:color w:val="auto"/>
                <w:szCs w:val="21"/>
                <w:highlight w:val="none"/>
              </w:rPr>
            </w:pPr>
          </w:p>
        </w:tc>
      </w:tr>
    </w:tbl>
    <w:p>
      <w:pPr>
        <w:keepNext w:val="0"/>
        <w:keepLines w:val="0"/>
        <w:pageBreakBefore w:val="0"/>
        <w:widowControl w:val="0"/>
        <w:kinsoku/>
        <w:wordWrap/>
        <w:overflowPunct/>
        <w:topLinePunct w:val="0"/>
        <w:autoSpaceDE/>
        <w:autoSpaceDN/>
        <w:bidi w:val="0"/>
        <w:spacing w:line="360" w:lineRule="auto"/>
        <w:ind w:left="0" w:leftChars="0" w:right="0" w:firstLine="630" w:firstLineChars="3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投标人保证：除商务条款响应表列出的偏离外，投标人响应招标文件的全部</w:t>
      </w:r>
      <w:r>
        <w:rPr>
          <w:rFonts w:hint="eastAsia" w:ascii="宋体" w:hAnsi="宋体" w:eastAsia="宋体" w:cs="宋体"/>
          <w:color w:val="auto"/>
          <w:kern w:val="0"/>
          <w:sz w:val="21"/>
          <w:szCs w:val="21"/>
          <w:highlight w:val="none"/>
          <w:lang w:eastAsia="zh-CN"/>
        </w:rPr>
        <w:t>商务</w:t>
      </w:r>
      <w:r>
        <w:rPr>
          <w:rFonts w:hint="eastAsia" w:ascii="宋体" w:hAnsi="宋体" w:eastAsia="宋体" w:cs="宋体"/>
          <w:color w:val="auto"/>
          <w:kern w:val="0"/>
          <w:sz w:val="21"/>
          <w:szCs w:val="21"/>
          <w:highlight w:val="none"/>
        </w:rPr>
        <w:t>要求</w:t>
      </w:r>
      <w:r>
        <w:rPr>
          <w:rFonts w:hint="eastAsia" w:ascii="宋体" w:hAnsi="宋体" w:eastAsia="宋体" w:cs="宋体"/>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highlight w:val="none"/>
          <w:lang w:val="zh-CN"/>
        </w:rPr>
        <w:t>投标人根据本招标文件的相关条款</w:t>
      </w:r>
      <w:r>
        <w:rPr>
          <w:rFonts w:hint="eastAsia" w:ascii="宋体" w:hAnsi="宋体"/>
          <w:color w:val="auto"/>
          <w:highlight w:val="none"/>
          <w:lang w:val="en-US" w:eastAsia="zh-CN"/>
        </w:rPr>
        <w:t>如实</w:t>
      </w:r>
      <w:r>
        <w:rPr>
          <w:rFonts w:hint="eastAsia" w:ascii="宋体" w:hAnsi="宋体"/>
          <w:color w:val="auto"/>
          <w:highlight w:val="none"/>
          <w:lang w:val="zh-CN"/>
        </w:rPr>
        <w:t>填写</w:t>
      </w:r>
      <w:r>
        <w:rPr>
          <w:rFonts w:hint="eastAsia" w:ascii="宋体" w:hAnsi="宋体"/>
          <w:color w:val="auto"/>
          <w:szCs w:val="21"/>
          <w:highlight w:val="none"/>
        </w:rPr>
        <w:t>；</w:t>
      </w:r>
      <w:r>
        <w:rPr>
          <w:rFonts w:hint="eastAsia" w:ascii="宋体" w:hAnsi="宋体"/>
          <w:color w:val="auto"/>
          <w:highlight w:val="none"/>
          <w:lang w:val="en-US" w:eastAsia="zh-CN"/>
        </w:rPr>
        <w:t>2、须如实</w:t>
      </w:r>
      <w:r>
        <w:rPr>
          <w:rFonts w:hint="eastAsia" w:ascii="宋体" w:hAnsi="宋体"/>
          <w:color w:val="auto"/>
          <w:highlight w:val="none"/>
        </w:rPr>
        <w:t>填写，</w:t>
      </w:r>
      <w:r>
        <w:rPr>
          <w:rFonts w:hint="eastAsia" w:ascii="宋体" w:hAnsi="宋体"/>
          <w:color w:val="auto"/>
          <w:highlight w:val="none"/>
          <w:lang w:val="en-US" w:eastAsia="zh-CN"/>
        </w:rPr>
        <w:t>如无偏离情况，注明无偏离，</w:t>
      </w:r>
      <w:r>
        <w:rPr>
          <w:rFonts w:hint="eastAsia" w:ascii="宋体" w:hAnsi="宋体"/>
          <w:color w:val="auto"/>
          <w:highlight w:val="none"/>
        </w:rPr>
        <w:t>如有偏离情况，</w:t>
      </w:r>
      <w:r>
        <w:rPr>
          <w:rFonts w:hint="eastAsia" w:ascii="宋体" w:hAnsi="宋体"/>
          <w:color w:val="auto"/>
          <w:highlight w:val="none"/>
          <w:lang w:val="en-US" w:eastAsia="zh-CN"/>
        </w:rPr>
        <w:t>请根据实际情况填写，</w:t>
      </w:r>
      <w:r>
        <w:rPr>
          <w:rFonts w:hint="eastAsia" w:ascii="宋体" w:hAnsi="宋体"/>
          <w:color w:val="auto"/>
          <w:highlight w:val="none"/>
        </w:rPr>
        <w:t>并注明正偏离、负偏离；</w:t>
      </w:r>
      <w:r>
        <w:rPr>
          <w:rFonts w:hint="eastAsia" w:ascii="宋体" w:hAnsi="宋体"/>
          <w:color w:val="auto"/>
          <w:highlight w:val="none"/>
          <w:lang w:val="zh-CN"/>
        </w:rPr>
        <w:t xml:space="preserve"> </w:t>
      </w:r>
    </w:p>
    <w:p>
      <w:pPr>
        <w:spacing w:line="400" w:lineRule="atLeast"/>
        <w:rPr>
          <w:rFonts w:hint="eastAsia" w:ascii="宋体" w:hAnsi="宋体"/>
          <w:color w:val="auto"/>
          <w:szCs w:val="21"/>
          <w:highlight w:val="none"/>
        </w:rPr>
      </w:pPr>
    </w:p>
    <w:p>
      <w:pPr>
        <w:spacing w:line="400" w:lineRule="atLeas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法定代表人或授权代表：（签字）</w:t>
      </w:r>
    </w:p>
    <w:p>
      <w:pPr>
        <w:spacing w:line="400" w:lineRule="atLeast"/>
        <w:rPr>
          <w:rFonts w:hint="eastAsia" w:ascii="宋体" w:hAnsi="宋体"/>
          <w:color w:val="auto"/>
          <w:szCs w:val="21"/>
          <w:highlight w:val="none"/>
        </w:rPr>
        <w:sectPr>
          <w:pgSz w:w="16838" w:h="11906" w:orient="landscape"/>
          <w:pgMar w:top="1134" w:right="1985" w:bottom="1134" w:left="1588" w:header="567" w:footer="624" w:gutter="0"/>
          <w:cols w:space="720" w:num="1"/>
          <w:docGrid w:linePitch="602" w:charSpace="-1675"/>
        </w:sectPr>
      </w:pPr>
      <w:r>
        <w:rPr>
          <w:rFonts w:hint="eastAsia" w:ascii="宋体" w:hAnsi="宋体"/>
          <w:color w:val="auto"/>
          <w:szCs w:val="21"/>
          <w:highlight w:val="none"/>
        </w:rPr>
        <w:t>日期：</w:t>
      </w:r>
    </w:p>
    <w:p>
      <w:pPr>
        <w:pStyle w:val="62"/>
        <w:ind w:left="0" w:leftChars="0" w:firstLine="0" w:firstLineChars="0"/>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10.投标人基本情况表</w:t>
      </w:r>
    </w:p>
    <w:p>
      <w:pPr>
        <w:pageBreakBefore w:val="0"/>
        <w:numPr>
          <w:ilvl w:val="0"/>
          <w:numId w:val="0"/>
        </w:numPr>
        <w:topLinePunct w:val="0"/>
        <w:bidi w:val="0"/>
        <w:snapToGrid w:val="0"/>
        <w:spacing w:line="360" w:lineRule="auto"/>
        <w:ind w:left="0" w:leftChars="0" w:right="0"/>
        <w:jc w:val="center"/>
        <w:outlineLvl w:val="0"/>
        <w:rPr>
          <w:rFonts w:hint="eastAsia" w:ascii="宋体" w:hAnsi="宋体" w:eastAsia="宋体" w:cs="宋体"/>
          <w:b/>
          <w:color w:val="auto"/>
          <w:kern w:val="0"/>
          <w:sz w:val="28"/>
          <w:szCs w:val="28"/>
          <w:highlight w:val="none"/>
          <w:lang w:val="zh-CN"/>
        </w:rPr>
      </w:pPr>
      <w:bookmarkStart w:id="195" w:name="_Toc3845"/>
      <w:bookmarkStart w:id="196" w:name="_Toc16276"/>
      <w:bookmarkStart w:id="197" w:name="_Toc7231"/>
      <w:bookmarkStart w:id="198" w:name="_Toc11959"/>
      <w:r>
        <w:rPr>
          <w:rFonts w:hint="eastAsia" w:ascii="宋体" w:hAnsi="宋体" w:eastAsia="宋体" w:cs="宋体"/>
          <w:b/>
          <w:bCs/>
          <w:color w:val="auto"/>
          <w:sz w:val="28"/>
          <w:szCs w:val="28"/>
          <w:highlight w:val="none"/>
          <w:lang w:val="zh-CN" w:eastAsia="zh-CN"/>
        </w:rPr>
        <w:t>投标人基本情况表</w:t>
      </w:r>
      <w:bookmarkEnd w:id="195"/>
      <w:bookmarkEnd w:id="196"/>
      <w:bookmarkEnd w:id="197"/>
      <w:bookmarkEnd w:id="198"/>
    </w:p>
    <w:tbl>
      <w:tblPr>
        <w:tblStyle w:val="49"/>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792"/>
        <w:gridCol w:w="808"/>
        <w:gridCol w:w="1653"/>
        <w:gridCol w:w="1110"/>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p>
        </w:tc>
        <w:tc>
          <w:tcPr>
            <w:tcW w:w="708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注册地址</w:t>
            </w:r>
          </w:p>
        </w:tc>
        <w:tc>
          <w:tcPr>
            <w:tcW w:w="26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16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成立时间</w:t>
            </w:r>
          </w:p>
        </w:tc>
        <w:tc>
          <w:tcPr>
            <w:tcW w:w="2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统一信用代码</w:t>
            </w:r>
          </w:p>
        </w:tc>
        <w:tc>
          <w:tcPr>
            <w:tcW w:w="26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16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注册资金</w:t>
            </w:r>
          </w:p>
        </w:tc>
        <w:tc>
          <w:tcPr>
            <w:tcW w:w="2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投标联系人姓名</w:t>
            </w:r>
          </w:p>
        </w:tc>
        <w:tc>
          <w:tcPr>
            <w:tcW w:w="17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电话</w:t>
            </w:r>
          </w:p>
        </w:tc>
        <w:tc>
          <w:tcPr>
            <w:tcW w:w="16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手机</w:t>
            </w:r>
          </w:p>
        </w:tc>
        <w:tc>
          <w:tcPr>
            <w:tcW w:w="1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法定代表人姓名</w:t>
            </w:r>
          </w:p>
        </w:tc>
        <w:tc>
          <w:tcPr>
            <w:tcW w:w="17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电话</w:t>
            </w:r>
          </w:p>
        </w:tc>
        <w:tc>
          <w:tcPr>
            <w:tcW w:w="16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手机</w:t>
            </w:r>
          </w:p>
        </w:tc>
        <w:tc>
          <w:tcPr>
            <w:tcW w:w="1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项目负责人姓名</w:t>
            </w:r>
          </w:p>
        </w:tc>
        <w:tc>
          <w:tcPr>
            <w:tcW w:w="17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电话</w:t>
            </w:r>
          </w:p>
        </w:tc>
        <w:tc>
          <w:tcPr>
            <w:tcW w:w="16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技术职称</w:t>
            </w:r>
          </w:p>
        </w:tc>
        <w:tc>
          <w:tcPr>
            <w:tcW w:w="1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1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员工总人数：</w:t>
            </w:r>
          </w:p>
        </w:tc>
        <w:tc>
          <w:tcPr>
            <w:tcW w:w="179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80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其中</w:t>
            </w:r>
          </w:p>
        </w:tc>
        <w:tc>
          <w:tcPr>
            <w:tcW w:w="16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高级职称</w:t>
            </w:r>
          </w:p>
        </w:tc>
        <w:tc>
          <w:tcPr>
            <w:tcW w:w="2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17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80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16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中级职称</w:t>
            </w:r>
          </w:p>
        </w:tc>
        <w:tc>
          <w:tcPr>
            <w:tcW w:w="2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17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80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c>
          <w:tcPr>
            <w:tcW w:w="16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各类注册人员</w:t>
            </w:r>
          </w:p>
        </w:tc>
        <w:tc>
          <w:tcPr>
            <w:tcW w:w="28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基本账户开户银行</w:t>
            </w:r>
          </w:p>
        </w:tc>
        <w:tc>
          <w:tcPr>
            <w:tcW w:w="708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基本账户账号</w:t>
            </w:r>
          </w:p>
        </w:tc>
        <w:tc>
          <w:tcPr>
            <w:tcW w:w="708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经营范围</w:t>
            </w:r>
          </w:p>
        </w:tc>
        <w:tc>
          <w:tcPr>
            <w:tcW w:w="708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备注</w:t>
            </w:r>
          </w:p>
        </w:tc>
        <w:tc>
          <w:tcPr>
            <w:tcW w:w="708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2"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兹证明上述声明是真实、正确的，并提供了全部能提供的资料和数据，我们同意遵照贵方要求出示有关证明文件。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仿宋" w:hAnsi="仿宋" w:eastAsia="仿宋" w:cs="仿宋"/>
          <w:color w:val="auto"/>
          <w:kern w:val="0"/>
          <w:sz w:val="24"/>
          <w:highlight w:val="none"/>
          <w:lang w:val="zh-CN"/>
        </w:rPr>
      </w:pPr>
    </w:p>
    <w:p>
      <w:pPr>
        <w:pStyle w:val="60"/>
        <w:pageBreakBefore w:val="0"/>
        <w:topLinePunct w:val="0"/>
        <w:bidi w:val="0"/>
        <w:spacing w:line="360" w:lineRule="auto"/>
        <w:ind w:left="0" w:leftChars="0" w:right="0"/>
        <w:rPr>
          <w:rFonts w:hint="eastAsia" w:ascii="仿宋" w:hAnsi="仿宋" w:eastAsia="仿宋" w:cs="仿宋"/>
          <w:color w:val="auto"/>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3570" w:firstLineChars="17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3570" w:firstLineChars="17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w:t>
      </w:r>
    </w:p>
    <w:p>
      <w:pPr>
        <w:pStyle w:val="62"/>
        <w:ind w:left="0" w:leftChars="0" w:firstLine="0" w:firstLineChars="0"/>
        <w:rPr>
          <w:rFonts w:hint="eastAsia" w:ascii="宋体" w:hAnsi="Times New Roman" w:eastAsia="宋体" w:cs="Times New Roman"/>
          <w:b/>
          <w:bCs/>
          <w:color w:val="auto"/>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11.拟派项目负责人简历表</w:t>
      </w:r>
    </w:p>
    <w:p>
      <w:pPr>
        <w:pStyle w:val="5"/>
        <w:pageBreakBefore w:val="0"/>
        <w:widowControl w:val="0"/>
        <w:tabs>
          <w:tab w:val="left" w:pos="578"/>
        </w:tabs>
        <w:kinsoku/>
        <w:wordWrap/>
        <w:overflowPunct/>
        <w:topLinePunct w:val="0"/>
        <w:autoSpaceDE/>
        <w:autoSpaceDN/>
        <w:bidi w:val="0"/>
        <w:adjustRightInd/>
        <w:spacing w:before="0" w:after="0" w:line="360" w:lineRule="auto"/>
        <w:jc w:val="center"/>
        <w:textAlignment w:val="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拟派项目负责人简历表</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2023年-2024年前江街道建设占用耕地耕作层剥离再利用服务（一期）项目</w:t>
      </w:r>
    </w:p>
    <w:p>
      <w:pPr>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GQCG2023013（HX-2023-1015）</w:t>
      </w:r>
    </w:p>
    <w:tbl>
      <w:tblPr>
        <w:tblStyle w:val="49"/>
        <w:tblW w:w="930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1622"/>
        <w:gridCol w:w="1196"/>
        <w:gridCol w:w="1830"/>
        <w:gridCol w:w="1514"/>
        <w:gridCol w:w="129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1843" w:type="dxa"/>
            <w:tcBorders>
              <w:top w:val="single" w:color="auto" w:sz="6"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姓名</w:t>
            </w:r>
          </w:p>
        </w:tc>
        <w:tc>
          <w:tcPr>
            <w:tcW w:w="1622" w:type="dxa"/>
            <w:tcBorders>
              <w:top w:val="single" w:color="auto" w:sz="6"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p>
        </w:tc>
        <w:tc>
          <w:tcPr>
            <w:tcW w:w="1196" w:type="dxa"/>
            <w:tcBorders>
              <w:top w:val="single" w:color="auto" w:sz="6"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性别</w:t>
            </w:r>
          </w:p>
        </w:tc>
        <w:tc>
          <w:tcPr>
            <w:tcW w:w="1830" w:type="dxa"/>
            <w:tcBorders>
              <w:top w:val="single" w:color="auto" w:sz="6"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p>
        </w:tc>
        <w:tc>
          <w:tcPr>
            <w:tcW w:w="1514" w:type="dxa"/>
            <w:tcBorders>
              <w:top w:val="single" w:color="auto" w:sz="6"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年龄</w:t>
            </w:r>
          </w:p>
        </w:tc>
        <w:tc>
          <w:tcPr>
            <w:tcW w:w="1295" w:type="dxa"/>
            <w:tcBorders>
              <w:top w:val="single" w:color="auto" w:sz="6" w:space="0"/>
              <w:left w:val="single" w:color="auto" w:sz="2" w:space="0"/>
              <w:bottom w:val="single" w:color="auto" w:sz="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843"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职称</w:t>
            </w:r>
          </w:p>
        </w:tc>
        <w:tc>
          <w:tcPr>
            <w:tcW w:w="7457" w:type="dxa"/>
            <w:gridSpan w:val="5"/>
            <w:tcBorders>
              <w:top w:val="single" w:color="auto" w:sz="2" w:space="0"/>
              <w:left w:val="single" w:color="auto" w:sz="2" w:space="0"/>
              <w:bottom w:val="single" w:color="auto" w:sz="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pacing w:val="-4"/>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843"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毕业时间</w:t>
            </w:r>
          </w:p>
        </w:tc>
        <w:tc>
          <w:tcPr>
            <w:tcW w:w="7457" w:type="dxa"/>
            <w:gridSpan w:val="5"/>
            <w:tcBorders>
              <w:top w:val="single" w:color="auto" w:sz="2" w:space="0"/>
              <w:left w:val="single" w:color="auto" w:sz="2" w:space="0"/>
              <w:bottom w:val="single" w:color="auto" w:sz="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pacing w:val="-4"/>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843"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所学专业</w:t>
            </w:r>
          </w:p>
        </w:tc>
        <w:tc>
          <w:tcPr>
            <w:tcW w:w="7457" w:type="dxa"/>
            <w:gridSpan w:val="5"/>
            <w:tcBorders>
              <w:top w:val="single" w:color="auto" w:sz="2" w:space="0"/>
              <w:left w:val="single" w:color="auto" w:sz="2" w:space="0"/>
              <w:bottom w:val="single" w:color="auto" w:sz="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pacing w:val="-4"/>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843"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学历</w:t>
            </w:r>
          </w:p>
        </w:tc>
        <w:tc>
          <w:tcPr>
            <w:tcW w:w="7457" w:type="dxa"/>
            <w:gridSpan w:val="5"/>
            <w:tcBorders>
              <w:top w:val="single" w:color="auto" w:sz="2" w:space="0"/>
              <w:left w:val="single" w:color="auto" w:sz="2" w:space="0"/>
              <w:bottom w:val="single" w:color="auto" w:sz="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pacing w:val="-4"/>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843"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本项目中</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拟担任职务</w:t>
            </w:r>
          </w:p>
        </w:tc>
        <w:tc>
          <w:tcPr>
            <w:tcW w:w="7457" w:type="dxa"/>
            <w:gridSpan w:val="5"/>
            <w:tcBorders>
              <w:top w:val="single" w:color="auto" w:sz="2" w:space="0"/>
              <w:left w:val="single" w:color="auto" w:sz="2" w:space="0"/>
              <w:bottom w:val="single" w:color="auto" w:sz="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pacing w:val="-4"/>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385" w:hRule="atLeast"/>
          <w:jc w:val="center"/>
        </w:trPr>
        <w:tc>
          <w:tcPr>
            <w:tcW w:w="1843"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其它资质情况</w:t>
            </w:r>
          </w:p>
        </w:tc>
        <w:tc>
          <w:tcPr>
            <w:tcW w:w="7457" w:type="dxa"/>
            <w:gridSpan w:val="5"/>
            <w:tcBorders>
              <w:top w:val="single" w:color="auto" w:sz="2" w:space="0"/>
              <w:left w:val="single" w:color="auto" w:sz="2" w:space="0"/>
              <w:bottom w:val="single" w:color="auto" w:sz="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pacing w:val="-4"/>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1843"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联系方式</w:t>
            </w:r>
          </w:p>
        </w:tc>
        <w:tc>
          <w:tcPr>
            <w:tcW w:w="7457" w:type="dxa"/>
            <w:gridSpan w:val="5"/>
            <w:tcBorders>
              <w:top w:val="single" w:color="auto" w:sz="2" w:space="0"/>
              <w:left w:val="single" w:color="auto" w:sz="2" w:space="0"/>
              <w:bottom w:val="single" w:color="auto" w:sz="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pacing w:val="-4"/>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78" w:hRule="atLeast"/>
          <w:jc w:val="center"/>
        </w:trPr>
        <w:tc>
          <w:tcPr>
            <w:tcW w:w="1843" w:type="dxa"/>
            <w:tcBorders>
              <w:top w:val="single" w:color="auto" w:sz="2" w:space="0"/>
              <w:left w:val="single" w:color="auto" w:sz="6"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以往负责经验</w:t>
            </w:r>
          </w:p>
        </w:tc>
        <w:tc>
          <w:tcPr>
            <w:tcW w:w="7457" w:type="dxa"/>
            <w:gridSpan w:val="5"/>
            <w:tcBorders>
              <w:top w:val="single" w:color="auto" w:sz="2" w:space="0"/>
              <w:left w:val="single" w:color="auto" w:sz="2" w:space="0"/>
              <w:bottom w:val="single" w:color="auto" w:sz="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pacing w:val="-4"/>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77" w:hRule="atLeast"/>
          <w:jc w:val="center"/>
        </w:trPr>
        <w:tc>
          <w:tcPr>
            <w:tcW w:w="1843" w:type="dxa"/>
            <w:tcBorders>
              <w:top w:val="single" w:color="auto" w:sz="2" w:space="0"/>
              <w:left w:val="single" w:color="auto" w:sz="6"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spacing w:val="-4"/>
                <w:sz w:val="21"/>
                <w:szCs w:val="21"/>
                <w:highlight w:val="none"/>
              </w:rPr>
            </w:pPr>
            <w:r>
              <w:rPr>
                <w:rFonts w:hint="eastAsia"/>
                <w:color w:val="auto"/>
                <w:spacing w:val="-4"/>
                <w:sz w:val="21"/>
                <w:szCs w:val="21"/>
                <w:highlight w:val="none"/>
                <w:lang w:bidi="ar"/>
              </w:rPr>
              <w:t>获得的奖励/处罚</w:t>
            </w:r>
          </w:p>
        </w:tc>
        <w:tc>
          <w:tcPr>
            <w:tcW w:w="7457" w:type="dxa"/>
            <w:gridSpan w:val="5"/>
            <w:tcBorders>
              <w:top w:val="single" w:color="auto" w:sz="2" w:space="0"/>
              <w:left w:val="single" w:color="auto" w:sz="2"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pacing w:val="-4"/>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eastAsia="宋体" w:cs="宋体"/>
          <w:color w:val="auto"/>
          <w:szCs w:val="21"/>
          <w:highlight w:val="none"/>
          <w:lang w:val="en-US" w:eastAsia="zh-CN"/>
        </w:rPr>
      </w:pPr>
      <w:r>
        <w:rPr>
          <w:rFonts w:hint="eastAsia" w:ascii="宋体" w:hAnsi="宋体" w:eastAsia="宋体"/>
          <w:b/>
          <w:bCs/>
          <w:color w:val="auto"/>
          <w:sz w:val="18"/>
          <w:szCs w:val="18"/>
          <w:highlight w:val="none"/>
          <w:lang w:val="en-US" w:eastAsia="zh-CN"/>
        </w:rPr>
        <w:t>注：</w:t>
      </w:r>
      <w:r>
        <w:rPr>
          <w:rFonts w:hint="eastAsia" w:ascii="宋体" w:hAnsi="宋体"/>
          <w:b/>
          <w:bCs/>
          <w:color w:val="auto"/>
          <w:sz w:val="18"/>
          <w:szCs w:val="18"/>
          <w:highlight w:val="none"/>
          <w:lang w:val="en-US" w:eastAsia="zh-CN"/>
        </w:rPr>
        <w:t>（1）</w:t>
      </w:r>
      <w:r>
        <w:rPr>
          <w:rFonts w:hint="eastAsia" w:ascii="宋体" w:hAnsi="宋体" w:eastAsia="宋体"/>
          <w:b/>
          <w:bCs/>
          <w:color w:val="auto"/>
          <w:sz w:val="18"/>
          <w:szCs w:val="18"/>
          <w:highlight w:val="none"/>
          <w:lang w:val="en-US" w:eastAsia="zh-CN"/>
        </w:rPr>
        <w:t>后附项目负责人身份证复印件，资质证书复印件（如有）、获奖证书复印件（如有）、社保证明复印件（须提交公告发布之日前三个月任意一个月的社会保险证明）；均须加盖投标人公章。</w:t>
      </w:r>
      <w:r>
        <w:rPr>
          <w:rFonts w:hint="eastAsia" w:ascii="宋体" w:cs="宋体"/>
          <w:color w:val="auto"/>
          <w:szCs w:val="21"/>
          <w:highlight w:val="none"/>
          <w:lang w:val="en-US" w:eastAsia="zh-CN"/>
        </w:rPr>
        <w:t>（2）若此表无法满足投标人填写需求，投标人可根据具体情况，自行增加行列；</w:t>
      </w:r>
    </w:p>
    <w:p>
      <w:pPr>
        <w:pageBreakBefore w:val="0"/>
        <w:tabs>
          <w:tab w:val="left" w:pos="5760"/>
          <w:tab w:val="left" w:pos="6120"/>
        </w:tabs>
        <w:kinsoku/>
        <w:overflowPunct/>
        <w:topLinePunct w:val="0"/>
        <w:bidi w:val="0"/>
        <w:snapToGrid w:val="0"/>
        <w:spacing w:before="60" w:after="60" w:line="360" w:lineRule="auto"/>
        <w:ind w:right="2190" w:rightChars="1043"/>
        <w:jc w:val="right"/>
        <w:rPr>
          <w:rFonts w:hint="eastAsia" w:asci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rPr>
        <w:t>（盖</w:t>
      </w:r>
      <w:r>
        <w:rPr>
          <w:rFonts w:hint="eastAsia" w:ascii="宋体" w:hAnsi="宋体" w:eastAsia="宋体" w:cs="宋体"/>
          <w:color w:val="auto"/>
          <w:sz w:val="21"/>
          <w:szCs w:val="21"/>
          <w:highlight w:val="none"/>
          <w:lang w:val="en-US" w:eastAsia="zh-CN"/>
        </w:rPr>
        <w:t>单位公</w:t>
      </w:r>
      <w:r>
        <w:rPr>
          <w:rFonts w:hint="eastAsia" w:ascii="宋体" w:hAnsi="宋体" w:eastAsia="宋体" w:cs="宋体"/>
          <w:color w:val="auto"/>
          <w:sz w:val="21"/>
          <w:szCs w:val="21"/>
          <w:highlight w:val="none"/>
        </w:rPr>
        <w:t>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法定代表人或授权代表（签字或盖章）：</w:t>
      </w:r>
    </w:p>
    <w:p>
      <w:pPr>
        <w:pStyle w:val="23"/>
        <w:pageBreakBefore w:val="0"/>
        <w:numPr>
          <w:ilvl w:val="0"/>
          <w:numId w:val="0"/>
        </w:numPr>
        <w:kinsoku/>
        <w:overflowPunct/>
        <w:topLinePunct w:val="0"/>
        <w:bidi w:val="0"/>
        <w:spacing w:line="360" w:lineRule="auto"/>
        <w:ind w:right="1470" w:rightChars="700"/>
        <w:rPr>
          <w:rFonts w:hint="eastAsia"/>
          <w:color w:val="auto"/>
          <w:highlight w:val="none"/>
          <w:lang w:val="en-US" w:eastAsia="zh-CN"/>
        </w:rPr>
      </w:pPr>
      <w:r>
        <w:rPr>
          <w:rFonts w:hint="eastAsia" w:ascii="宋体" w:hAnsi="宋体" w:eastAsia="宋体" w:cs="宋体"/>
          <w:color w:val="auto"/>
          <w:sz w:val="21"/>
          <w:szCs w:val="21"/>
          <w:highlight w:val="none"/>
        </w:rPr>
        <w:t>日期：</w:t>
      </w:r>
    </w:p>
    <w:p>
      <w:pPr>
        <w:pStyle w:val="62"/>
        <w:ind w:left="0" w:leftChars="0" w:firstLine="0" w:firstLineChars="0"/>
        <w:rPr>
          <w:rFonts w:hint="eastAsia" w:ascii="宋体" w:hAnsi="Times New Roman" w:eastAsia="宋体" w:cs="Times New Roman"/>
          <w:b/>
          <w:bCs/>
          <w:color w:val="auto"/>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12.拟投入的人员配备情况表</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b/>
          <w:color w:val="auto"/>
          <w:sz w:val="28"/>
          <w:szCs w:val="28"/>
          <w:highlight w:val="none"/>
        </w:rPr>
      </w:pPr>
      <w:r>
        <w:rPr>
          <w:rFonts w:hint="eastAsia"/>
          <w:b/>
          <w:color w:val="auto"/>
          <w:sz w:val="28"/>
          <w:szCs w:val="28"/>
          <w:highlight w:val="none"/>
        </w:rPr>
        <w:t>拟投入的人员配备情况表</w:t>
      </w: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2023年-2024年前江街道建设占用耕地耕作层剥离再利用服务（一期）项目</w:t>
      </w:r>
    </w:p>
    <w:p>
      <w:pPr>
        <w:spacing w:line="288" w:lineRule="auto"/>
        <w:rPr>
          <w:rFonts w:hint="eastAsia" w:ascii="宋体" w:hAnsi="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GQCG2023013（HX-2023-1015）</w:t>
      </w: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31"/>
        <w:gridCol w:w="1085"/>
        <w:gridCol w:w="1259"/>
        <w:gridCol w:w="1499"/>
        <w:gridCol w:w="1545"/>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b/>
                <w:color w:val="auto"/>
                <w:sz w:val="21"/>
                <w:szCs w:val="21"/>
                <w:highlight w:val="none"/>
                <w:lang w:bidi="ar"/>
              </w:rPr>
            </w:pPr>
            <w:r>
              <w:rPr>
                <w:rFonts w:hint="eastAsia"/>
                <w:b/>
                <w:color w:val="auto"/>
                <w:sz w:val="21"/>
                <w:szCs w:val="21"/>
                <w:highlight w:val="none"/>
                <w:lang w:bidi="ar"/>
              </w:rPr>
              <w:t>序号</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b/>
                <w:color w:val="auto"/>
                <w:sz w:val="21"/>
                <w:szCs w:val="21"/>
                <w:highlight w:val="none"/>
              </w:rPr>
            </w:pPr>
            <w:r>
              <w:rPr>
                <w:rFonts w:hint="eastAsia"/>
                <w:b/>
                <w:color w:val="auto"/>
                <w:sz w:val="21"/>
                <w:szCs w:val="21"/>
                <w:highlight w:val="none"/>
                <w:lang w:bidi="ar"/>
              </w:rPr>
              <w:t>姓名</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b/>
                <w:color w:val="auto"/>
                <w:sz w:val="21"/>
                <w:szCs w:val="21"/>
                <w:highlight w:val="none"/>
              </w:rPr>
            </w:pPr>
            <w:r>
              <w:rPr>
                <w:rFonts w:hint="eastAsia"/>
                <w:b/>
                <w:color w:val="auto"/>
                <w:sz w:val="21"/>
                <w:szCs w:val="21"/>
                <w:highlight w:val="none"/>
                <w:lang w:bidi="ar"/>
              </w:rPr>
              <w:t>年龄</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b/>
                <w:color w:val="auto"/>
                <w:sz w:val="21"/>
                <w:szCs w:val="21"/>
                <w:highlight w:val="none"/>
              </w:rPr>
            </w:pPr>
            <w:r>
              <w:rPr>
                <w:rFonts w:hint="eastAsia"/>
                <w:b/>
                <w:color w:val="auto"/>
                <w:sz w:val="21"/>
                <w:szCs w:val="21"/>
                <w:highlight w:val="none"/>
                <w:lang w:bidi="ar"/>
              </w:rPr>
              <w:t>学历</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b/>
                <w:color w:val="auto"/>
                <w:sz w:val="21"/>
                <w:szCs w:val="21"/>
                <w:highlight w:val="none"/>
              </w:rPr>
            </w:pPr>
            <w:r>
              <w:rPr>
                <w:rFonts w:hint="eastAsia"/>
                <w:b/>
                <w:color w:val="auto"/>
                <w:sz w:val="21"/>
                <w:szCs w:val="21"/>
                <w:highlight w:val="none"/>
              </w:rPr>
              <w:t>职称</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b/>
                <w:color w:val="auto"/>
                <w:sz w:val="21"/>
                <w:szCs w:val="21"/>
                <w:highlight w:val="none"/>
              </w:rPr>
            </w:pPr>
            <w:r>
              <w:rPr>
                <w:rFonts w:hint="eastAsia"/>
                <w:b/>
                <w:color w:val="auto"/>
                <w:sz w:val="21"/>
                <w:szCs w:val="21"/>
                <w:highlight w:val="none"/>
                <w:lang w:bidi="ar"/>
              </w:rPr>
              <w:t>拟投入本项目的岗位</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b/>
                <w:color w:val="auto"/>
                <w:sz w:val="21"/>
                <w:szCs w:val="21"/>
                <w:highlight w:val="none"/>
                <w:lang w:bidi="ar"/>
              </w:rPr>
            </w:pPr>
            <w:r>
              <w:rPr>
                <w:rFonts w:hint="eastAsia"/>
                <w:b/>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1"/>
                <w:szCs w:val="21"/>
                <w:highlight w:val="none"/>
              </w:rPr>
            </w:pPr>
          </w:p>
        </w:tc>
      </w:tr>
    </w:tbl>
    <w:p>
      <w:pPr>
        <w:pStyle w:val="1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注：1、表格不够用时可自行扩展。</w:t>
      </w:r>
      <w:r>
        <w:rPr>
          <w:rFonts w:hint="eastAsia" w:ascii="宋体" w:hAnsi="宋体" w:eastAsia="宋体"/>
          <w:color w:val="auto"/>
          <w:sz w:val="21"/>
          <w:szCs w:val="21"/>
          <w:highlight w:val="none"/>
          <w:lang w:val="en-US" w:eastAsia="zh-CN"/>
        </w:rPr>
        <w:t>2、后附拟投入人员人身份证复印件、人员相关证书（如有）；均须加盖投标人公章。</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lang w:val="en-US" w:eastAsia="zh-CN"/>
        </w:rPr>
        <w:t>全称</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Cs w:val="21"/>
          <w:highlight w:val="none"/>
        </w:rPr>
      </w:pPr>
      <w:r>
        <w:rPr>
          <w:rFonts w:hint="eastAsia" w:ascii="宋体" w:hAnsi="宋体"/>
          <w:color w:val="auto"/>
          <w:szCs w:val="21"/>
          <w:highlight w:val="none"/>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Cs w:val="21"/>
          <w:highlight w:val="none"/>
        </w:rPr>
      </w:pPr>
      <w:r>
        <w:rPr>
          <w:rFonts w:hint="eastAsia" w:ascii="宋体" w:hAnsi="宋体"/>
          <w:color w:val="auto"/>
          <w:szCs w:val="21"/>
          <w:highlight w:val="none"/>
        </w:rPr>
        <w:t>日期：</w:t>
      </w:r>
    </w:p>
    <w:p>
      <w:pPr>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br w:type="page"/>
      </w:r>
    </w:p>
    <w:p>
      <w:pPr>
        <w:pStyle w:val="62"/>
        <w:ind w:left="0" w:leftChars="0" w:firstLine="0" w:firstLineChars="0"/>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13.相关工作经验人员承诺函（格式自拟）</w:t>
      </w:r>
      <w:r>
        <w:rPr>
          <w:rFonts w:hint="eastAsia" w:cs="Times New Roman"/>
          <w:b/>
          <w:bCs/>
          <w:color w:val="auto"/>
          <w:highlight w:val="none"/>
          <w:lang w:val="en-US" w:eastAsia="zh-CN"/>
        </w:rPr>
        <w:t>；</w:t>
      </w:r>
    </w:p>
    <w:p>
      <w:pPr>
        <w:pStyle w:val="62"/>
        <w:ind w:left="0" w:leftChars="0" w:firstLine="0" w:firstLineChars="0"/>
        <w:rPr>
          <w:rFonts w:hint="eastAsia" w:ascii="宋体" w:hAnsi="Times New Roman" w:eastAsia="宋体" w:cs="Times New Roman"/>
          <w:b/>
          <w:bCs/>
          <w:color w:val="auto"/>
          <w:highlight w:val="none"/>
          <w:lang w:val="en-US" w:eastAsia="zh-CN"/>
        </w:rPr>
      </w:pPr>
    </w:p>
    <w:p>
      <w:pPr>
        <w:rPr>
          <w:rFonts w:hint="eastAsia"/>
          <w:highlight w:val="none"/>
          <w:lang w:val="en-US" w:eastAsia="zh-CN"/>
        </w:rPr>
      </w:pPr>
    </w:p>
    <w:p>
      <w:pPr>
        <w:pStyle w:val="62"/>
        <w:ind w:left="0" w:leftChars="0" w:firstLine="0" w:firstLineChars="0"/>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14.人员工资承诺函（格式自拟）；</w:t>
      </w:r>
    </w:p>
    <w:p>
      <w:pPr>
        <w:rPr>
          <w:rFonts w:hint="eastAsia" w:ascii="宋体" w:hAnsi="宋体"/>
          <w:b/>
          <w:color w:val="auto"/>
          <w:sz w:val="24"/>
          <w:szCs w:val="21"/>
          <w:highlight w:val="none"/>
        </w:rPr>
      </w:pPr>
    </w:p>
    <w:p>
      <w:pPr>
        <w:rPr>
          <w:rFonts w:hint="eastAsia" w:ascii="宋体" w:hAnsi="宋体"/>
          <w:b/>
          <w:color w:val="auto"/>
          <w:sz w:val="24"/>
          <w:szCs w:val="21"/>
          <w:highlight w:val="none"/>
        </w:rPr>
      </w:pPr>
    </w:p>
    <w:p>
      <w:pPr>
        <w:pStyle w:val="62"/>
        <w:ind w:left="0" w:leftChars="0" w:firstLine="0" w:firstLineChars="0"/>
        <w:rPr>
          <w:rFonts w:hint="eastAsia" w:ascii="宋体" w:hAnsi="Times New Roman" w:eastAsia="宋体" w:cs="Times New Roman"/>
          <w:b/>
          <w:bCs/>
          <w:color w:val="auto"/>
          <w:highlight w:val="none"/>
          <w:lang w:val="en-US" w:eastAsia="zh-CN"/>
        </w:rPr>
      </w:pPr>
      <w:r>
        <w:rPr>
          <w:rFonts w:hint="eastAsia" w:ascii="宋体" w:hAnsi="Times New Roman" w:eastAsia="宋体" w:cs="Times New Roman"/>
          <w:b/>
          <w:bCs/>
          <w:color w:val="auto"/>
          <w:highlight w:val="none"/>
          <w:lang w:val="en-US" w:eastAsia="zh-CN"/>
        </w:rPr>
        <w:t>1</w:t>
      </w:r>
      <w:r>
        <w:rPr>
          <w:rFonts w:hint="eastAsia" w:cs="Times New Roman"/>
          <w:b/>
          <w:bCs/>
          <w:color w:val="auto"/>
          <w:highlight w:val="none"/>
          <w:lang w:val="en-US" w:eastAsia="zh-CN"/>
        </w:rPr>
        <w:t>5</w:t>
      </w:r>
      <w:r>
        <w:rPr>
          <w:rFonts w:hint="eastAsia" w:ascii="宋体" w:hAnsi="Times New Roman" w:eastAsia="宋体" w:cs="Times New Roman"/>
          <w:b/>
          <w:bCs/>
          <w:color w:val="auto"/>
          <w:highlight w:val="none"/>
          <w:lang w:val="en-US" w:eastAsia="zh-CN"/>
        </w:rPr>
        <w:t>.针对本项目拟投入设备承诺函</w:t>
      </w:r>
    </w:p>
    <w:p>
      <w:pPr>
        <w:keepNext w:val="0"/>
        <w:keepLines w:val="0"/>
        <w:pageBreakBefore w:val="0"/>
        <w:widowControl w:val="0"/>
        <w:tabs>
          <w:tab w:val="left" w:pos="518"/>
        </w:tabs>
        <w:kinsoku/>
        <w:wordWrap/>
        <w:overflowPunct/>
        <w:topLinePunct w:val="0"/>
        <w:bidi w:val="0"/>
        <w:adjustRightInd w:val="0"/>
        <w:snapToGrid w:val="0"/>
        <w:spacing w:line="360" w:lineRule="auto"/>
        <w:ind w:left="237" w:leftChars="113" w:firstLine="280" w:firstLineChars="100"/>
        <w:jc w:val="center"/>
        <w:textAlignment w:val="auto"/>
        <w:rPr>
          <w:rFonts w:hint="eastAsia" w:ascii="宋体" w:hAnsi="宋体" w:eastAsia="宋体" w:cs="宋体"/>
          <w:color w:val="auto"/>
          <w:sz w:val="28"/>
          <w:szCs w:val="28"/>
          <w:highlight w:val="none"/>
          <w:lang w:val="en-US" w:eastAsia="zh-CN"/>
        </w:rPr>
      </w:pPr>
    </w:p>
    <w:p>
      <w:pPr>
        <w:keepNext w:val="0"/>
        <w:keepLines w:val="0"/>
        <w:pageBreakBefore w:val="0"/>
        <w:widowControl w:val="0"/>
        <w:tabs>
          <w:tab w:val="left" w:pos="518"/>
        </w:tabs>
        <w:kinsoku/>
        <w:wordWrap/>
        <w:overflowPunct/>
        <w:topLinePunct w:val="0"/>
        <w:bidi w:val="0"/>
        <w:adjustRightInd w:val="0"/>
        <w:snapToGrid w:val="0"/>
        <w:spacing w:line="360" w:lineRule="auto"/>
        <w:ind w:left="237" w:leftChars="113" w:firstLine="280" w:firstLineChars="1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8"/>
          <w:szCs w:val="28"/>
          <w:highlight w:val="none"/>
          <w:lang w:val="en-US" w:eastAsia="zh-CN"/>
        </w:rPr>
        <w:t>针对本项目拟投入设备承诺函</w:t>
      </w:r>
    </w:p>
    <w:p>
      <w:pPr>
        <w:keepNext w:val="0"/>
        <w:keepLines w:val="0"/>
        <w:pageBreakBefore w:val="0"/>
        <w:widowControl w:val="0"/>
        <w:kinsoku/>
        <w:wordWrap/>
        <w:overflowPunct/>
        <w:topLinePunct w:val="0"/>
        <w:bidi w:val="0"/>
        <w:spacing w:line="360" w:lineRule="auto"/>
        <w:textAlignment w:val="auto"/>
        <w:rPr>
          <w:rFonts w:ascii="宋体" w:hAnsi="宋体"/>
          <w:b/>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采购人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color w:val="auto"/>
          <w:szCs w:val="21"/>
          <w:highlight w:val="none"/>
        </w:rPr>
      </w:pPr>
      <w:r>
        <w:rPr>
          <w:rFonts w:hint="eastAsia" w:ascii="宋体" w:hAnsi="宋体"/>
          <w:bCs/>
          <w:color w:val="auto"/>
          <w:szCs w:val="21"/>
          <w:highlight w:val="none"/>
        </w:rPr>
        <w:t>我单位承诺：</w:t>
      </w:r>
    </w:p>
    <w:p>
      <w:pPr>
        <w:keepNext w:val="0"/>
        <w:keepLines w:val="0"/>
        <w:pageBreakBefore w:val="0"/>
        <w:widowControl w:val="0"/>
        <w:numPr>
          <w:ilvl w:val="0"/>
          <w:numId w:val="11"/>
        </w:numPr>
        <w:kinsoku/>
        <w:wordWrap/>
        <w:overflowPunct/>
        <w:topLinePunct w:val="0"/>
        <w:bidi w:val="0"/>
        <w:spacing w:line="360" w:lineRule="auto"/>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投入以下设备以确保本项目在承诺服务期限内顺利展开并完成项目工作；</w:t>
      </w:r>
    </w:p>
    <w:p>
      <w:pPr>
        <w:keepNext w:val="0"/>
        <w:keepLines w:val="0"/>
        <w:pageBreakBefore w:val="0"/>
        <w:widowControl w:val="0"/>
        <w:numPr>
          <w:ilvl w:val="0"/>
          <w:numId w:val="11"/>
        </w:numPr>
        <w:kinsoku/>
        <w:wordWrap/>
        <w:overflowPunct/>
        <w:topLinePunct w:val="0"/>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在中标后，采购合同签订前提供以下设备的购置发票复印件（如为租赁设备，则提供租赁协议复印件及租赁方购置发票复印件），盖单位公章</w:t>
      </w:r>
      <w:r>
        <w:rPr>
          <w:rFonts w:hint="eastAsia" w:ascii="宋体" w:hAnsi="宋体"/>
          <w:color w:val="auto"/>
          <w:szCs w:val="21"/>
          <w:highlight w:val="none"/>
        </w:rPr>
        <w:t>。</w:t>
      </w:r>
    </w:p>
    <w:p>
      <w:pPr>
        <w:keepNext w:val="0"/>
        <w:keepLines w:val="0"/>
        <w:pageBreakBefore w:val="0"/>
        <w:widowControl w:val="0"/>
        <w:numPr>
          <w:ilvl w:val="0"/>
          <w:numId w:val="11"/>
        </w:numPr>
        <w:kinsoku/>
        <w:wordWrap/>
        <w:overflowPunct/>
        <w:topLinePunct w:val="0"/>
        <w:bidi w:val="0"/>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p>
      <w:pPr>
        <w:pStyle w:val="48"/>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p>
      <w:pPr>
        <w:pStyle w:val="48"/>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具体内容自拟</w:t>
      </w:r>
      <w:r>
        <w:rPr>
          <w:rFonts w:hint="eastAsia" w:ascii="宋体" w:hAnsi="宋体"/>
          <w:b/>
          <w:bCs/>
          <w:color w:val="auto"/>
          <w:szCs w:val="21"/>
          <w:highlight w:val="none"/>
          <w:lang w:eastAsia="zh-CN"/>
        </w:rPr>
        <w:t>）</w:t>
      </w:r>
    </w:p>
    <w:p>
      <w:pPr>
        <w:keepNext w:val="0"/>
        <w:keepLines w:val="0"/>
        <w:pageBreakBefore w:val="0"/>
        <w:widowControl w:val="0"/>
        <w:kinsoku/>
        <w:wordWrap/>
        <w:overflowPunct/>
        <w:topLinePunct w:val="0"/>
        <w:bidi w:val="0"/>
        <w:spacing w:line="360" w:lineRule="auto"/>
        <w:jc w:val="left"/>
        <w:textAlignment w:val="auto"/>
        <w:rPr>
          <w:rFonts w:ascii="宋体" w:hAnsi="宋体"/>
          <w:color w:val="auto"/>
          <w:szCs w:val="21"/>
          <w:highlight w:val="none"/>
        </w:rPr>
      </w:pPr>
    </w:p>
    <w:p>
      <w:pPr>
        <w:keepNext w:val="0"/>
        <w:keepLines w:val="0"/>
        <w:pageBreakBefore w:val="0"/>
        <w:widowControl w:val="0"/>
        <w:kinsoku/>
        <w:wordWrap/>
        <w:overflowPunct/>
        <w:topLinePunct w:val="0"/>
        <w:bidi w:val="0"/>
        <w:spacing w:line="360" w:lineRule="auto"/>
        <w:ind w:firstLine="420" w:firstLineChars="200"/>
        <w:jc w:val="right"/>
        <w:textAlignment w:val="auto"/>
        <w:rPr>
          <w:rFonts w:ascii="宋体" w:hAnsi="宋体"/>
          <w:color w:val="auto"/>
          <w:szCs w:val="21"/>
          <w:highlight w:val="none"/>
        </w:rPr>
      </w:pPr>
      <w:r>
        <w:rPr>
          <w:rFonts w:hint="eastAsia"/>
          <w:color w:val="auto"/>
          <w:highlight w:val="none"/>
          <w:lang w:val="en-US" w:eastAsia="zh-CN"/>
        </w:rPr>
        <w:t xml:space="preserve"> </w:t>
      </w:r>
      <w:r>
        <w:rPr>
          <w:rFonts w:hint="eastAsia" w:ascii="宋体" w:hAnsi="宋体"/>
          <w:color w:val="auto"/>
          <w:szCs w:val="21"/>
          <w:highlight w:val="none"/>
        </w:rPr>
        <w:t>特此承诺。</w:t>
      </w:r>
    </w:p>
    <w:p>
      <w:pPr>
        <w:pStyle w:val="48"/>
        <w:keepNext w:val="0"/>
        <w:keepLines w:val="0"/>
        <w:pageBreakBefore w:val="0"/>
        <w:widowControl w:val="0"/>
        <w:kinsoku/>
        <w:wordWrap/>
        <w:overflowPunct/>
        <w:topLinePunct w:val="0"/>
        <w:bidi w:val="0"/>
        <w:spacing w:line="360" w:lineRule="auto"/>
        <w:jc w:val="right"/>
        <w:textAlignment w:val="auto"/>
        <w:rPr>
          <w:rFonts w:hint="eastAsia" w:eastAsia="宋体"/>
          <w:color w:val="auto"/>
          <w:highlight w:val="none"/>
          <w:lang w:val="en-US" w:eastAsia="zh-CN"/>
        </w:rPr>
      </w:pPr>
    </w:p>
    <w:p>
      <w:pPr>
        <w:keepNext w:val="0"/>
        <w:keepLines w:val="0"/>
        <w:pageBreakBefore w:val="0"/>
        <w:widowControl w:val="0"/>
        <w:kinsoku/>
        <w:wordWrap/>
        <w:overflowPunct/>
        <w:topLinePunct w:val="0"/>
        <w:bidi w:val="0"/>
        <w:spacing w:line="360" w:lineRule="auto"/>
        <w:textAlignment w:val="auto"/>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keepNext w:val="0"/>
        <w:keepLines w:val="0"/>
        <w:pageBreakBefore w:val="0"/>
        <w:widowControl w:val="0"/>
        <w:kinsoku/>
        <w:wordWrap/>
        <w:overflowPunct/>
        <w:topLinePunct w:val="0"/>
        <w:bidi w:val="0"/>
        <w:spacing w:line="360" w:lineRule="auto"/>
        <w:textAlignment w:val="auto"/>
        <w:rPr>
          <w:rFonts w:ascii="宋体" w:hAnsi="宋体"/>
          <w:color w:val="auto"/>
          <w:szCs w:val="21"/>
          <w:highlight w:val="none"/>
        </w:rPr>
      </w:pPr>
      <w:r>
        <w:rPr>
          <w:rFonts w:hint="eastAsia" w:ascii="宋体" w:hAnsi="宋体"/>
          <w:color w:val="auto"/>
          <w:szCs w:val="21"/>
          <w:highlight w:val="none"/>
        </w:rPr>
        <w:t>供应商名称（盖章）：</w:t>
      </w:r>
    </w:p>
    <w:p>
      <w:pPr>
        <w:keepNext w:val="0"/>
        <w:keepLines w:val="0"/>
        <w:pageBreakBefore w:val="0"/>
        <w:widowControl w:val="0"/>
        <w:kinsoku/>
        <w:wordWrap/>
        <w:overflowPunct/>
        <w:topLinePunct w:val="0"/>
        <w:bidi w:val="0"/>
        <w:spacing w:line="360" w:lineRule="auto"/>
        <w:textAlignment w:val="auto"/>
        <w:rPr>
          <w:rFonts w:ascii="宋体" w:hAnsi="宋体"/>
          <w:color w:val="auto"/>
          <w:szCs w:val="21"/>
          <w:highlight w:val="none"/>
          <w:u w:val="single"/>
        </w:rPr>
      </w:pPr>
      <w:r>
        <w:rPr>
          <w:rFonts w:hint="eastAsia" w:ascii="宋体" w:hAnsi="宋体"/>
          <w:color w:val="auto"/>
          <w:szCs w:val="21"/>
          <w:highlight w:val="none"/>
        </w:rPr>
        <w:t>日期：</w:t>
      </w:r>
    </w:p>
    <w:p>
      <w:pPr>
        <w:rPr>
          <w:rFonts w:hint="eastAsia" w:ascii="宋体" w:hAnsi="宋体"/>
          <w:b/>
          <w:color w:val="auto"/>
          <w:sz w:val="24"/>
          <w:szCs w:val="21"/>
          <w:highlight w:val="none"/>
        </w:rPr>
      </w:pPr>
      <w:r>
        <w:rPr>
          <w:rFonts w:hint="eastAsia" w:ascii="宋体" w:hAnsi="宋体"/>
          <w:b/>
          <w:color w:val="auto"/>
          <w:sz w:val="24"/>
          <w:szCs w:val="21"/>
          <w:highlight w:val="none"/>
        </w:rPr>
        <w:br w:type="page"/>
      </w:r>
      <w:r>
        <w:rPr>
          <w:rFonts w:hint="eastAsia" w:ascii="宋体" w:hAnsi="Times New Roman" w:eastAsia="宋体" w:cs="Times New Roman"/>
          <w:b/>
          <w:bCs/>
          <w:color w:val="auto"/>
          <w:kern w:val="0"/>
          <w:sz w:val="21"/>
          <w:szCs w:val="20"/>
          <w:highlight w:val="none"/>
          <w:lang w:val="en-US" w:eastAsia="zh-CN" w:bidi="ar-SA"/>
        </w:rPr>
        <w:t>1</w:t>
      </w:r>
      <w:r>
        <w:rPr>
          <w:rFonts w:hint="eastAsia" w:ascii="宋体" w:cs="Times New Roman"/>
          <w:b/>
          <w:bCs/>
          <w:color w:val="auto"/>
          <w:kern w:val="0"/>
          <w:sz w:val="21"/>
          <w:szCs w:val="20"/>
          <w:highlight w:val="none"/>
          <w:lang w:val="en-US" w:eastAsia="zh-CN" w:bidi="ar-SA"/>
        </w:rPr>
        <w:t>6</w:t>
      </w:r>
      <w:r>
        <w:rPr>
          <w:rFonts w:hint="eastAsia" w:ascii="宋体" w:hAnsi="Times New Roman" w:eastAsia="宋体" w:cs="Times New Roman"/>
          <w:b/>
          <w:bCs/>
          <w:color w:val="auto"/>
          <w:kern w:val="0"/>
          <w:sz w:val="21"/>
          <w:szCs w:val="20"/>
          <w:highlight w:val="none"/>
          <w:lang w:val="en-US" w:eastAsia="zh-CN" w:bidi="ar-SA"/>
        </w:rPr>
        <w:t>.投标人同类项目业绩一览表</w:t>
      </w:r>
    </w:p>
    <w:p>
      <w:pPr>
        <w:keepNext w:val="0"/>
        <w:keepLines w:val="0"/>
        <w:pageBreakBefore w:val="0"/>
        <w:kinsoku/>
        <w:wordWrap/>
        <w:overflowPunct/>
        <w:topLinePunct w:val="0"/>
        <w:autoSpaceDE/>
        <w:autoSpaceDN/>
        <w:bidi w:val="0"/>
        <w:snapToGrid w:val="0"/>
        <w:spacing w:before="120" w:beforeLines="50" w:after="50" w:line="360" w:lineRule="auto"/>
        <w:jc w:val="center"/>
        <w:textAlignment w:val="auto"/>
        <w:rPr>
          <w:b/>
          <w:color w:val="auto"/>
          <w:sz w:val="28"/>
          <w:szCs w:val="28"/>
          <w:highlight w:val="none"/>
        </w:rPr>
      </w:pPr>
      <w:r>
        <w:rPr>
          <w:rFonts w:hint="eastAsia" w:ascii="Times New Roman" w:hAnsi="Times New Roman" w:eastAsia="宋体" w:cs="Times New Roman"/>
          <w:b/>
          <w:color w:val="auto"/>
          <w:sz w:val="28"/>
          <w:szCs w:val="28"/>
          <w:highlight w:val="none"/>
        </w:rPr>
        <w:t>投标人同类项目业绩一览表</w:t>
      </w: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2023年-2024年前江街道建设占用耕地耕作层剥离再利用服务（一期）项目</w:t>
      </w:r>
    </w:p>
    <w:p>
      <w:pPr>
        <w:spacing w:line="288" w:lineRule="auto"/>
        <w:rPr>
          <w:rFonts w:hint="eastAsia" w:ascii="宋体" w:hAnsi="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GQCG2023013（HX-2023-1015）</w:t>
      </w:r>
    </w:p>
    <w:tbl>
      <w:tblPr>
        <w:tblStyle w:val="49"/>
        <w:tblW w:w="8517" w:type="dxa"/>
        <w:tblInd w:w="0" w:type="dxa"/>
        <w:tblLayout w:type="fixed"/>
        <w:tblCellMar>
          <w:top w:w="0" w:type="dxa"/>
          <w:left w:w="108" w:type="dxa"/>
          <w:bottom w:w="0" w:type="dxa"/>
          <w:right w:w="108" w:type="dxa"/>
        </w:tblCellMar>
      </w:tblPr>
      <w:tblGrid>
        <w:gridCol w:w="872"/>
        <w:gridCol w:w="1716"/>
        <w:gridCol w:w="2192"/>
        <w:gridCol w:w="1557"/>
        <w:gridCol w:w="1417"/>
        <w:gridCol w:w="763"/>
      </w:tblGrid>
      <w:tr>
        <w:tblPrEx>
          <w:tblCellMar>
            <w:top w:w="0" w:type="dxa"/>
            <w:left w:w="108" w:type="dxa"/>
            <w:bottom w:w="0" w:type="dxa"/>
            <w:right w:w="108" w:type="dxa"/>
          </w:tblCellMar>
        </w:tblPrEx>
        <w:trPr>
          <w:trHeight w:val="833"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r>
              <w:rPr>
                <w:rFonts w:hint="eastAsia" w:ascii="宋体" w:hAnsi="宋体" w:cs="宋体"/>
                <w:color w:val="auto"/>
                <w:spacing w:val="20"/>
                <w:kern w:val="2"/>
                <w:highlight w:val="none"/>
              </w:rPr>
              <w:t>序号</w:t>
            </w:r>
          </w:p>
        </w:tc>
        <w:tc>
          <w:tcPr>
            <w:tcW w:w="1716"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r>
              <w:rPr>
                <w:rFonts w:hint="eastAsia" w:ascii="宋体" w:hAnsi="宋体" w:cs="宋体"/>
                <w:color w:val="auto"/>
                <w:spacing w:val="20"/>
                <w:kern w:val="2"/>
                <w:highlight w:val="none"/>
              </w:rPr>
              <w:t>项目名称</w:t>
            </w:r>
          </w:p>
        </w:tc>
        <w:tc>
          <w:tcPr>
            <w:tcW w:w="2192"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r>
              <w:rPr>
                <w:rFonts w:hint="eastAsia" w:ascii="宋体" w:hAnsi="宋体" w:cs="宋体"/>
                <w:color w:val="auto"/>
                <w:spacing w:val="20"/>
                <w:kern w:val="2"/>
                <w:highlight w:val="none"/>
              </w:rPr>
              <w:t>合同金额（元）</w:t>
            </w:r>
          </w:p>
        </w:tc>
        <w:tc>
          <w:tcPr>
            <w:tcW w:w="1557"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r>
              <w:rPr>
                <w:rFonts w:hint="eastAsia" w:ascii="宋体" w:hAnsi="宋体" w:cs="宋体"/>
                <w:color w:val="auto"/>
                <w:spacing w:val="20"/>
                <w:kern w:val="2"/>
                <w:highlight w:val="none"/>
              </w:rPr>
              <w:t>业主单位</w:t>
            </w:r>
          </w:p>
        </w:tc>
        <w:tc>
          <w:tcPr>
            <w:tcW w:w="1417"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r>
              <w:rPr>
                <w:rFonts w:hint="eastAsia" w:ascii="宋体" w:hAnsi="宋体" w:cs="宋体"/>
                <w:color w:val="auto"/>
                <w:spacing w:val="20"/>
                <w:kern w:val="2"/>
                <w:highlight w:val="none"/>
              </w:rPr>
              <w:t>签订时间</w:t>
            </w:r>
          </w:p>
        </w:tc>
        <w:tc>
          <w:tcPr>
            <w:tcW w:w="763"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r>
              <w:rPr>
                <w:rFonts w:hint="eastAsia" w:ascii="宋体" w:hAnsi="宋体" w:cs="宋体"/>
                <w:color w:val="auto"/>
                <w:spacing w:val="20"/>
                <w:kern w:val="2"/>
                <w:highlight w:val="none"/>
              </w:rPr>
              <w:t>备注</w:t>
            </w:r>
          </w:p>
        </w:tc>
      </w:tr>
      <w:tr>
        <w:tblPrEx>
          <w:tblCellMar>
            <w:top w:w="0" w:type="dxa"/>
            <w:left w:w="108" w:type="dxa"/>
            <w:bottom w:w="0" w:type="dxa"/>
            <w:right w:w="108" w:type="dxa"/>
          </w:tblCellMar>
        </w:tblPrEx>
        <w:trPr>
          <w:trHeight w:val="566"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716"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2192"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557"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417"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763"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r>
      <w:tr>
        <w:tblPrEx>
          <w:tblCellMar>
            <w:top w:w="0" w:type="dxa"/>
            <w:left w:w="108" w:type="dxa"/>
            <w:bottom w:w="0" w:type="dxa"/>
            <w:right w:w="108" w:type="dxa"/>
          </w:tblCellMar>
        </w:tblPrEx>
        <w:trPr>
          <w:trHeight w:val="566"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716"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2192"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557"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417"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763"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r>
      <w:tr>
        <w:tblPrEx>
          <w:tblCellMar>
            <w:top w:w="0" w:type="dxa"/>
            <w:left w:w="108" w:type="dxa"/>
            <w:bottom w:w="0" w:type="dxa"/>
            <w:right w:w="108" w:type="dxa"/>
          </w:tblCellMar>
        </w:tblPrEx>
        <w:trPr>
          <w:trHeight w:val="566"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716"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2192"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557"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417"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763"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r>
      <w:tr>
        <w:tblPrEx>
          <w:tblCellMar>
            <w:top w:w="0" w:type="dxa"/>
            <w:left w:w="108" w:type="dxa"/>
            <w:bottom w:w="0" w:type="dxa"/>
            <w:right w:w="108" w:type="dxa"/>
          </w:tblCellMar>
        </w:tblPrEx>
        <w:trPr>
          <w:trHeight w:val="566"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716"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2192"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557"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417"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763"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r>
      <w:tr>
        <w:tblPrEx>
          <w:tblCellMar>
            <w:top w:w="0" w:type="dxa"/>
            <w:left w:w="108" w:type="dxa"/>
            <w:bottom w:w="0" w:type="dxa"/>
            <w:right w:w="108" w:type="dxa"/>
          </w:tblCellMar>
        </w:tblPrEx>
        <w:trPr>
          <w:trHeight w:val="566"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716"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2192"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557"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417"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763"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r>
      <w:tr>
        <w:tblPrEx>
          <w:tblCellMar>
            <w:top w:w="0" w:type="dxa"/>
            <w:left w:w="108" w:type="dxa"/>
            <w:bottom w:w="0" w:type="dxa"/>
            <w:right w:w="108" w:type="dxa"/>
          </w:tblCellMar>
        </w:tblPrEx>
        <w:trPr>
          <w:trHeight w:val="580"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716"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2192"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557"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1417" w:type="dxa"/>
            <w:tcBorders>
              <w:top w:val="single" w:color="000000" w:sz="4" w:space="0"/>
              <w:left w:val="nil"/>
              <w:bottom w:val="single" w:color="000000" w:sz="4" w:space="0"/>
              <w:right w:val="single" w:color="000000" w:sz="4" w:space="0"/>
            </w:tcBorders>
            <w:noWrap w:val="0"/>
            <w:vAlign w:val="center"/>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c>
          <w:tcPr>
            <w:tcW w:w="763" w:type="dxa"/>
            <w:tcBorders>
              <w:top w:val="single" w:color="000000" w:sz="4" w:space="0"/>
              <w:left w:val="nil"/>
              <w:bottom w:val="single" w:color="000000" w:sz="4" w:space="0"/>
              <w:right w:val="single" w:color="000000" w:sz="4" w:space="0"/>
            </w:tcBorders>
            <w:noWrap w:val="0"/>
            <w:vAlign w:val="top"/>
          </w:tcPr>
          <w:p>
            <w:pPr>
              <w:pStyle w:val="164"/>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color w:val="auto"/>
                <w:spacing w:val="20"/>
                <w:kern w:val="2"/>
                <w:highlight w:val="none"/>
              </w:rPr>
            </w:pPr>
          </w:p>
        </w:tc>
      </w:tr>
    </w:tbl>
    <w:p>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color w:val="auto"/>
          <w:sz w:val="21"/>
          <w:szCs w:val="21"/>
          <w:highlight w:val="none"/>
        </w:rPr>
      </w:pPr>
      <w:r>
        <w:rPr>
          <w:rFonts w:hint="eastAsia"/>
          <w:color w:val="auto"/>
          <w:sz w:val="21"/>
          <w:szCs w:val="21"/>
          <w:highlight w:val="none"/>
        </w:rPr>
        <w:t>备注：1.投标人按照所投标项内容进行填写。</w:t>
      </w:r>
    </w:p>
    <w:p>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color w:val="auto"/>
          <w:sz w:val="21"/>
          <w:szCs w:val="21"/>
          <w:highlight w:val="none"/>
        </w:rPr>
      </w:pPr>
      <w:r>
        <w:rPr>
          <w:rFonts w:hint="eastAsia"/>
          <w:color w:val="auto"/>
          <w:sz w:val="21"/>
          <w:szCs w:val="21"/>
          <w:highlight w:val="none"/>
        </w:rPr>
        <w:t>2. 此表在不改变表式的情况下，可自行制作。</w:t>
      </w:r>
    </w:p>
    <w:p>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eastAsia="宋体"/>
          <w:color w:val="auto"/>
          <w:sz w:val="21"/>
          <w:szCs w:val="21"/>
          <w:highlight w:val="none"/>
          <w:lang w:eastAsia="zh-CN"/>
        </w:rPr>
      </w:pPr>
      <w:r>
        <w:rPr>
          <w:rFonts w:hint="eastAsia"/>
          <w:color w:val="auto"/>
          <w:sz w:val="21"/>
          <w:szCs w:val="21"/>
          <w:highlight w:val="none"/>
        </w:rPr>
        <w:t>3. 表中项目按评标办法要求提供，表后提供合同复印件等并加盖公章</w:t>
      </w:r>
      <w:r>
        <w:rPr>
          <w:rFonts w:hint="eastAsia"/>
          <w:color w:val="auto"/>
          <w:sz w:val="21"/>
          <w:szCs w:val="21"/>
          <w:highlight w:val="none"/>
          <w:lang w:eastAsia="zh-CN"/>
        </w:rPr>
        <w:t>；</w:t>
      </w:r>
    </w:p>
    <w:p>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color w:val="auto"/>
          <w:sz w:val="21"/>
          <w:szCs w:val="21"/>
          <w:highlight w:val="none"/>
        </w:rPr>
      </w:pPr>
    </w:p>
    <w:p>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color w:val="auto"/>
          <w:sz w:val="21"/>
          <w:szCs w:val="21"/>
          <w:highlight w:val="none"/>
        </w:rPr>
      </w:pPr>
    </w:p>
    <w:p>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color w:val="auto"/>
          <w:sz w:val="21"/>
          <w:szCs w:val="21"/>
          <w:highlight w:val="none"/>
        </w:rPr>
      </w:pPr>
    </w:p>
    <w:p>
      <w:pPr>
        <w:keepNext w:val="0"/>
        <w:keepLines w:val="0"/>
        <w:pageBreakBefore w:val="0"/>
        <w:kinsoku/>
        <w:wordWrap/>
        <w:overflowPunct/>
        <w:topLinePunct w:val="0"/>
        <w:autoSpaceDE/>
        <w:autoSpaceDN/>
        <w:bidi w:val="0"/>
        <w:spacing w:line="360" w:lineRule="auto"/>
        <w:textAlignment w:val="auto"/>
        <w:rPr>
          <w:rFonts w:hint="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lang w:val="en-US" w:eastAsia="zh-CN"/>
        </w:rPr>
        <w:t>全称</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Cs w:val="21"/>
          <w:highlight w:val="none"/>
        </w:rPr>
      </w:pPr>
      <w:r>
        <w:rPr>
          <w:rFonts w:hint="eastAsia" w:ascii="宋体" w:hAnsi="宋体"/>
          <w:color w:val="auto"/>
          <w:szCs w:val="21"/>
          <w:highlight w:val="none"/>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Cs w:val="21"/>
          <w:highlight w:val="none"/>
        </w:rPr>
      </w:pPr>
      <w:r>
        <w:rPr>
          <w:rFonts w:hint="eastAsia" w:ascii="宋体" w:hAnsi="宋体"/>
          <w:color w:val="auto"/>
          <w:szCs w:val="21"/>
          <w:highlight w:val="none"/>
        </w:rPr>
        <w:t>日期：</w:t>
      </w:r>
    </w:p>
    <w:p>
      <w:pPr>
        <w:pStyle w:val="61"/>
        <w:rPr>
          <w:rFonts w:hint="eastAsia"/>
          <w:color w:val="auto"/>
          <w:highlight w:val="none"/>
        </w:rPr>
      </w:pPr>
    </w:p>
    <w:p>
      <w:pPr>
        <w:numPr>
          <w:ilvl w:val="0"/>
          <w:numId w:val="0"/>
        </w:numPr>
        <w:rPr>
          <w:rFonts w:hint="eastAsia" w:ascii="宋体" w:hAnsi="Times New Roman" w:eastAsia="宋体" w:cs="Times New Roman"/>
          <w:b/>
          <w:bCs/>
          <w:color w:val="auto"/>
          <w:kern w:val="0"/>
          <w:sz w:val="21"/>
          <w:szCs w:val="20"/>
          <w:highlight w:val="none"/>
          <w:lang w:val="en-US" w:eastAsia="zh-CN" w:bidi="ar-SA"/>
        </w:rPr>
      </w:pPr>
      <w:r>
        <w:rPr>
          <w:rFonts w:hint="eastAsia" w:ascii="宋体" w:hAnsi="Times New Roman" w:eastAsia="宋体" w:cs="Times New Roman"/>
          <w:b/>
          <w:bCs/>
          <w:color w:val="auto"/>
          <w:kern w:val="0"/>
          <w:sz w:val="21"/>
          <w:szCs w:val="20"/>
          <w:highlight w:val="none"/>
          <w:lang w:val="en-US" w:eastAsia="zh-CN" w:bidi="ar-SA"/>
        </w:rPr>
        <w:t>1</w:t>
      </w:r>
      <w:r>
        <w:rPr>
          <w:rFonts w:hint="eastAsia" w:ascii="宋体" w:cs="Times New Roman"/>
          <w:b/>
          <w:bCs/>
          <w:color w:val="auto"/>
          <w:kern w:val="0"/>
          <w:sz w:val="21"/>
          <w:szCs w:val="20"/>
          <w:highlight w:val="none"/>
          <w:lang w:val="en-US" w:eastAsia="zh-CN" w:bidi="ar-SA"/>
        </w:rPr>
        <w:t>7</w:t>
      </w:r>
      <w:r>
        <w:rPr>
          <w:rFonts w:hint="eastAsia" w:ascii="宋体" w:hAnsi="Times New Roman" w:eastAsia="宋体" w:cs="Times New Roman"/>
          <w:b/>
          <w:bCs/>
          <w:color w:val="auto"/>
          <w:kern w:val="0"/>
          <w:sz w:val="21"/>
          <w:szCs w:val="20"/>
          <w:highlight w:val="none"/>
          <w:lang w:val="en-US" w:eastAsia="zh-CN" w:bidi="ar-SA"/>
        </w:rPr>
        <w:t>.投标人实力（格式自拟）；</w:t>
      </w:r>
    </w:p>
    <w:p>
      <w:pPr>
        <w:pStyle w:val="61"/>
        <w:numPr>
          <w:ilvl w:val="0"/>
          <w:numId w:val="0"/>
        </w:numPr>
        <w:rPr>
          <w:rFonts w:hint="eastAsia"/>
          <w:color w:val="auto"/>
          <w:highlight w:val="none"/>
          <w:lang w:val="en-US" w:eastAsia="zh-CN"/>
        </w:rPr>
      </w:pPr>
    </w:p>
    <w:p>
      <w:pPr>
        <w:rPr>
          <w:rFonts w:hint="default" w:ascii="宋体" w:hAnsi="Times New Roman" w:eastAsia="宋体" w:cs="Times New Roman"/>
          <w:b/>
          <w:bCs/>
          <w:color w:val="auto"/>
          <w:kern w:val="0"/>
          <w:sz w:val="21"/>
          <w:szCs w:val="20"/>
          <w:highlight w:val="none"/>
          <w:lang w:val="en-US" w:eastAsia="zh-CN" w:bidi="ar-SA"/>
        </w:rPr>
      </w:pPr>
      <w:r>
        <w:rPr>
          <w:rFonts w:hint="eastAsia" w:ascii="宋体" w:hAnsi="Times New Roman" w:eastAsia="宋体" w:cs="Times New Roman"/>
          <w:b/>
          <w:bCs/>
          <w:color w:val="auto"/>
          <w:kern w:val="0"/>
          <w:sz w:val="21"/>
          <w:szCs w:val="20"/>
          <w:highlight w:val="none"/>
          <w:lang w:val="en-US" w:eastAsia="zh-CN" w:bidi="ar-SA"/>
        </w:rPr>
        <w:t>1</w:t>
      </w:r>
      <w:r>
        <w:rPr>
          <w:rFonts w:hint="eastAsia" w:ascii="宋体" w:cs="Times New Roman"/>
          <w:b/>
          <w:bCs/>
          <w:color w:val="auto"/>
          <w:kern w:val="0"/>
          <w:sz w:val="21"/>
          <w:szCs w:val="20"/>
          <w:highlight w:val="none"/>
          <w:lang w:val="en-US" w:eastAsia="zh-CN" w:bidi="ar-SA"/>
        </w:rPr>
        <w:t>8</w:t>
      </w:r>
      <w:r>
        <w:rPr>
          <w:rFonts w:hint="eastAsia" w:ascii="宋体" w:hAnsi="Times New Roman" w:eastAsia="宋体" w:cs="Times New Roman"/>
          <w:b/>
          <w:bCs/>
          <w:color w:val="auto"/>
          <w:kern w:val="0"/>
          <w:sz w:val="21"/>
          <w:szCs w:val="20"/>
          <w:highlight w:val="none"/>
          <w:lang w:val="en-US" w:eastAsia="zh-CN" w:bidi="ar-SA"/>
        </w:rPr>
        <w:t>.项目总体实施方案（包含但不限于每月养护方案，重难点分析及解决方案，应急保障措施，质量保证承诺，人员及设备管理方案，安全生产、文明施工、环保措施等）（格式自拟）；</w:t>
      </w:r>
    </w:p>
    <w:p>
      <w:pPr>
        <w:rPr>
          <w:rFonts w:hint="eastAsia" w:ascii="宋体" w:hAnsi="Times New Roman" w:eastAsia="宋体" w:cs="Times New Roman"/>
          <w:b/>
          <w:bCs/>
          <w:color w:val="auto"/>
          <w:kern w:val="0"/>
          <w:sz w:val="21"/>
          <w:szCs w:val="20"/>
          <w:highlight w:val="none"/>
          <w:lang w:val="en-US" w:eastAsia="zh-CN" w:bidi="ar-SA"/>
        </w:rPr>
      </w:pPr>
    </w:p>
    <w:p>
      <w:pPr>
        <w:rPr>
          <w:rFonts w:hint="eastAsia" w:ascii="宋体" w:hAnsi="Times New Roman" w:eastAsia="宋体" w:cs="Times New Roman"/>
          <w:b/>
          <w:bCs/>
          <w:color w:val="auto"/>
          <w:kern w:val="0"/>
          <w:sz w:val="21"/>
          <w:szCs w:val="20"/>
          <w:highlight w:val="none"/>
          <w:lang w:val="en-US" w:eastAsia="zh-CN" w:bidi="ar-SA"/>
        </w:rPr>
      </w:pPr>
      <w:r>
        <w:rPr>
          <w:rFonts w:hint="eastAsia" w:ascii="宋体" w:hAnsi="Times New Roman" w:eastAsia="宋体" w:cs="Times New Roman"/>
          <w:b/>
          <w:bCs/>
          <w:color w:val="auto"/>
          <w:kern w:val="0"/>
          <w:sz w:val="21"/>
          <w:szCs w:val="20"/>
          <w:highlight w:val="none"/>
          <w:lang w:val="en-US" w:eastAsia="zh-CN" w:bidi="ar-SA"/>
        </w:rPr>
        <w:t>1</w:t>
      </w:r>
      <w:r>
        <w:rPr>
          <w:rFonts w:hint="eastAsia" w:ascii="宋体" w:cs="Times New Roman"/>
          <w:b/>
          <w:bCs/>
          <w:color w:val="auto"/>
          <w:kern w:val="0"/>
          <w:sz w:val="21"/>
          <w:szCs w:val="20"/>
          <w:highlight w:val="none"/>
          <w:lang w:val="en-US" w:eastAsia="zh-CN" w:bidi="ar-SA"/>
        </w:rPr>
        <w:t>9</w:t>
      </w:r>
      <w:r>
        <w:rPr>
          <w:rFonts w:hint="eastAsia" w:ascii="宋体" w:hAnsi="Times New Roman" w:eastAsia="宋体" w:cs="Times New Roman"/>
          <w:b/>
          <w:bCs/>
          <w:color w:val="auto"/>
          <w:kern w:val="0"/>
          <w:sz w:val="21"/>
          <w:szCs w:val="20"/>
          <w:highlight w:val="none"/>
          <w:lang w:val="en-US" w:eastAsia="zh-CN" w:bidi="ar-SA"/>
        </w:rPr>
        <w:t>.第四章“评标办法及评分标准”中“商务和技术评分表”要求提供的资料（如有）；</w:t>
      </w:r>
    </w:p>
    <w:p>
      <w:pPr>
        <w:rPr>
          <w:rFonts w:hint="eastAsia" w:ascii="宋体" w:hAnsi="Times New Roman" w:eastAsia="宋体" w:cs="Times New Roman"/>
          <w:b/>
          <w:bCs/>
          <w:color w:val="auto"/>
          <w:kern w:val="0"/>
          <w:sz w:val="21"/>
          <w:szCs w:val="20"/>
          <w:highlight w:val="none"/>
          <w:lang w:val="en-US" w:eastAsia="zh-CN" w:bidi="ar-SA"/>
        </w:rPr>
      </w:pPr>
    </w:p>
    <w:p>
      <w:pPr>
        <w:rPr>
          <w:rFonts w:hint="eastAsia" w:ascii="宋体" w:hAnsi="Times New Roman" w:eastAsia="宋体" w:cs="Times New Roman"/>
          <w:b/>
          <w:bCs/>
          <w:color w:val="auto"/>
          <w:kern w:val="0"/>
          <w:sz w:val="21"/>
          <w:szCs w:val="20"/>
          <w:highlight w:val="none"/>
          <w:lang w:val="en-US" w:eastAsia="zh-CN" w:bidi="ar-SA"/>
        </w:rPr>
      </w:pPr>
      <w:r>
        <w:rPr>
          <w:rFonts w:hint="eastAsia" w:ascii="宋体" w:cs="Times New Roman"/>
          <w:b/>
          <w:bCs/>
          <w:color w:val="auto"/>
          <w:kern w:val="0"/>
          <w:sz w:val="21"/>
          <w:szCs w:val="20"/>
          <w:highlight w:val="none"/>
          <w:lang w:val="en-US" w:eastAsia="zh-CN" w:bidi="ar-SA"/>
        </w:rPr>
        <w:t>20</w:t>
      </w:r>
      <w:r>
        <w:rPr>
          <w:rFonts w:hint="eastAsia" w:ascii="宋体" w:hAnsi="Times New Roman" w:eastAsia="宋体" w:cs="Times New Roman"/>
          <w:b/>
          <w:bCs/>
          <w:color w:val="auto"/>
          <w:kern w:val="0"/>
          <w:sz w:val="21"/>
          <w:szCs w:val="20"/>
          <w:highlight w:val="none"/>
          <w:lang w:val="en-US" w:eastAsia="zh-CN" w:bidi="ar-SA"/>
        </w:rPr>
        <w:t>.供应商认为需要的其他资料（如有需提供）。</w:t>
      </w:r>
    </w:p>
    <w:p>
      <w:pPr>
        <w:rPr>
          <w:rFonts w:hint="eastAsia" w:hAnsi="宋体"/>
          <w:b/>
          <w:bCs/>
          <w:color w:val="auto"/>
          <w:kern w:val="44"/>
          <w:sz w:val="24"/>
          <w:highlight w:val="none"/>
        </w:rPr>
      </w:pPr>
      <w:r>
        <w:rPr>
          <w:rFonts w:hint="eastAsia" w:hAnsi="宋体"/>
          <w:b/>
          <w:bCs/>
          <w:color w:val="auto"/>
          <w:kern w:val="44"/>
          <w:sz w:val="24"/>
          <w:highlight w:val="none"/>
        </w:rPr>
        <w:br w:type="page"/>
      </w:r>
    </w:p>
    <w:p>
      <w:pPr>
        <w:spacing w:line="360" w:lineRule="auto"/>
        <w:rPr>
          <w:rFonts w:hAnsi="宋体"/>
          <w:bCs/>
          <w:color w:val="auto"/>
          <w:kern w:val="44"/>
          <w:sz w:val="32"/>
          <w:szCs w:val="32"/>
          <w:highlight w:val="none"/>
        </w:rPr>
      </w:pPr>
      <w:r>
        <w:rPr>
          <w:rFonts w:hint="eastAsia" w:hAnsi="宋体"/>
          <w:b/>
          <w:bCs/>
          <w:color w:val="auto"/>
          <w:kern w:val="44"/>
          <w:sz w:val="24"/>
          <w:highlight w:val="none"/>
          <w:lang w:val="en-US" w:eastAsia="zh-CN"/>
        </w:rPr>
        <w:t>五</w:t>
      </w:r>
      <w:r>
        <w:rPr>
          <w:rFonts w:hint="eastAsia" w:hAnsi="宋体"/>
          <w:b/>
          <w:bCs/>
          <w:color w:val="auto"/>
          <w:kern w:val="44"/>
          <w:sz w:val="24"/>
          <w:highlight w:val="none"/>
        </w:rPr>
        <w:t>、报价文件格式（包含但不限于以下内容）</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（1）开标一览表（详见招标文件第六章）；</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（2）投标报价明细表（详见招标文件第六章）；</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（3）中小企业声明函（详见招标文件第六章）；</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（4）残疾人福利性单位声明函（如有需提供）（详见招标文件第六章）；</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（5）供应商认为需要提供的其他资料（如有需提供）。</w:t>
      </w:r>
    </w:p>
    <w:p>
      <w:pPr>
        <w:spacing w:line="360" w:lineRule="auto"/>
        <w:rPr>
          <w:rFonts w:ascii="宋体" w:hAnsi="宋体"/>
          <w:b/>
          <w:color w:val="auto"/>
          <w:szCs w:val="21"/>
          <w:highlight w:val="none"/>
        </w:rPr>
      </w:pPr>
      <w:r>
        <w:rPr>
          <w:rFonts w:hint="eastAsia" w:ascii="宋体" w:hAnsi="宋体"/>
          <w:b/>
          <w:color w:val="auto"/>
          <w:szCs w:val="21"/>
          <w:highlight w:val="none"/>
        </w:rPr>
        <w:br w:type="page"/>
      </w:r>
    </w:p>
    <w:p>
      <w:pPr>
        <w:rPr>
          <w:rFonts w:hint="default" w:ascii="宋体" w:hAnsi="Times New Roman" w:eastAsia="宋体" w:cs="Times New Roman"/>
          <w:b/>
          <w:bCs/>
          <w:color w:val="auto"/>
          <w:kern w:val="0"/>
          <w:sz w:val="21"/>
          <w:szCs w:val="20"/>
          <w:highlight w:val="none"/>
          <w:lang w:val="en-US" w:eastAsia="zh-CN" w:bidi="ar-SA"/>
        </w:rPr>
      </w:pPr>
      <w:r>
        <w:rPr>
          <w:rFonts w:hint="eastAsia" w:ascii="宋体" w:hAnsi="Times New Roman" w:eastAsia="宋体" w:cs="Times New Roman"/>
          <w:b/>
          <w:bCs/>
          <w:color w:val="auto"/>
          <w:kern w:val="0"/>
          <w:sz w:val="21"/>
          <w:szCs w:val="20"/>
          <w:highlight w:val="none"/>
          <w:lang w:val="en-US" w:eastAsia="zh-CN" w:bidi="ar-SA"/>
        </w:rPr>
        <w:t>1.开标一览表</w:t>
      </w:r>
    </w:p>
    <w:p>
      <w:pPr>
        <w:tabs>
          <w:tab w:val="left" w:pos="518"/>
        </w:tabs>
        <w:adjustRightInd w:val="0"/>
        <w:snapToGrid w:val="0"/>
        <w:spacing w:line="360" w:lineRule="auto"/>
        <w:ind w:firstLine="3614" w:firstLineChars="1500"/>
        <w:rPr>
          <w:rFonts w:ascii="宋体" w:hAnsi="宋体"/>
          <w:b/>
          <w:color w:val="auto"/>
          <w:sz w:val="24"/>
          <w:szCs w:val="21"/>
          <w:highlight w:val="none"/>
        </w:rPr>
      </w:pPr>
      <w:r>
        <w:rPr>
          <w:rFonts w:hint="eastAsia" w:ascii="宋体" w:hAnsi="宋体"/>
          <w:b/>
          <w:color w:val="auto"/>
          <w:sz w:val="24"/>
          <w:szCs w:val="21"/>
          <w:highlight w:val="none"/>
        </w:rPr>
        <w:t>开标一览表</w:t>
      </w:r>
    </w:p>
    <w:p>
      <w:pPr>
        <w:snapToGrid w:val="0"/>
        <w:spacing w:line="360" w:lineRule="auto"/>
        <w:rPr>
          <w:rFonts w:ascii="宋体" w:hAnsi="宋体"/>
          <w:color w:val="auto"/>
          <w:szCs w:val="21"/>
          <w:highlight w:val="none"/>
        </w:rPr>
      </w:pP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2023年-2024年前江街道建设占用耕地耕作层剥离再利用服务（一期）项目</w:t>
      </w:r>
    </w:p>
    <w:p>
      <w:pPr>
        <w:spacing w:line="288"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GQCG2023013（HX-2023-1015）</w:t>
      </w:r>
      <w:r>
        <w:rPr>
          <w:rFonts w:ascii="宋体" w:hAnsi="宋体"/>
          <w:color w:val="auto"/>
          <w:szCs w:val="21"/>
          <w:highlight w:val="none"/>
        </w:rPr>
        <w:t xml:space="preserve">  </w:t>
      </w:r>
    </w:p>
    <w:p>
      <w:pPr>
        <w:spacing w:line="360" w:lineRule="auto"/>
        <w:ind w:right="210" w:firstLine="472"/>
        <w:jc w:val="right"/>
        <w:rPr>
          <w:rFonts w:hAnsi="宋体"/>
          <w:color w:val="auto"/>
          <w:szCs w:val="21"/>
          <w:highlight w:val="none"/>
        </w:rPr>
      </w:pPr>
      <w:r>
        <w:rPr>
          <w:rFonts w:hAnsi="宋体"/>
          <w:color w:val="auto"/>
          <w:szCs w:val="21"/>
          <w:highlight w:val="none"/>
        </w:rPr>
        <w:t>金额单位：人民币（元）</w:t>
      </w:r>
    </w:p>
    <w:tbl>
      <w:tblPr>
        <w:tblStyle w:val="49"/>
        <w:tblW w:w="87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19"/>
        <w:gridCol w:w="6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21" w:hRule="atLeast"/>
          <w:jc w:val="center"/>
        </w:trPr>
        <w:tc>
          <w:tcPr>
            <w:tcW w:w="2119"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6662" w:type="dxa"/>
            <w:tcBorders>
              <w:top w:val="single" w:color="000000" w:sz="6" w:space="0"/>
              <w:left w:val="single" w:color="auto" w:sz="4" w:space="0"/>
              <w:bottom w:val="single" w:color="000000" w:sz="6" w:space="0"/>
              <w:right w:val="single" w:color="auto" w:sz="4" w:space="0"/>
            </w:tcBorders>
            <w:vAlign w:val="center"/>
          </w:tcPr>
          <w:p>
            <w:pPr>
              <w:snapToGrid w:val="0"/>
              <w:spacing w:before="50" w:after="50" w:line="440" w:lineRule="exact"/>
              <w:jc w:val="center"/>
              <w:rPr>
                <w:rFonts w:hint="eastAsia" w:ascii="宋体" w:hAnsi="宋体" w:eastAsia="宋体" w:cs="宋体"/>
                <w:b/>
                <w:bCs/>
                <w:color w:val="auto"/>
                <w:szCs w:val="21"/>
                <w:highlight w:val="none"/>
                <w:lang w:eastAsia="zh-CN"/>
              </w:rPr>
            </w:pPr>
            <w:r>
              <w:rPr>
                <w:rFonts w:hint="eastAsia" w:ascii="宋体" w:hAnsi="宋体"/>
                <w:color w:val="auto"/>
                <w:szCs w:val="21"/>
                <w:highlight w:val="none"/>
                <w:lang w:eastAsia="zh-CN"/>
              </w:rPr>
              <w:t>2023年-2024年前江街道建设占用耕地耕作层剥离再利用服务（一期）项目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64" w:hRule="atLeast"/>
          <w:jc w:val="center"/>
        </w:trPr>
        <w:tc>
          <w:tcPr>
            <w:tcW w:w="2119"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ascii="宋体" w:hAnsi="宋体" w:cs="宋体"/>
                <w:b/>
                <w:bCs/>
                <w:color w:val="auto"/>
                <w:szCs w:val="21"/>
                <w:highlight w:val="none"/>
              </w:rPr>
            </w:pPr>
            <w:r>
              <w:rPr>
                <w:rFonts w:hint="eastAsia"/>
                <w:b/>
                <w:bCs/>
                <w:color w:val="auto"/>
                <w:szCs w:val="21"/>
                <w:highlight w:val="none"/>
              </w:rPr>
              <w:t>投标报价（元/m³）</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p>
        </w:tc>
        <w:tc>
          <w:tcPr>
            <w:tcW w:w="6662" w:type="dxa"/>
            <w:tcBorders>
              <w:top w:val="single" w:color="000000" w:sz="6" w:space="0"/>
              <w:left w:val="single" w:color="auto" w:sz="4" w:space="0"/>
              <w:bottom w:val="single" w:color="000000" w:sz="6" w:space="0"/>
              <w:right w:val="single" w:color="auto" w:sz="4" w:space="0"/>
            </w:tcBorders>
            <w:vAlign w:val="center"/>
          </w:tcPr>
          <w:p>
            <w:pPr>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 xml:space="preserve">小写：¥ </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napToGrid w:val="0"/>
              <w:spacing w:before="50" w:after="50" w:line="440" w:lineRule="exact"/>
              <w:rPr>
                <w:rFonts w:ascii="宋体" w:hAnsi="宋体" w:cs="宋体"/>
                <w:b/>
                <w:bCs/>
                <w:color w:val="auto"/>
                <w:szCs w:val="21"/>
                <w:highlight w:val="none"/>
              </w:rPr>
            </w:pPr>
            <w:r>
              <w:rPr>
                <w:rFonts w:hint="eastAsia" w:ascii="宋体" w:hAnsi="宋体" w:cs="宋体"/>
                <w:bCs/>
                <w:color w:val="auto"/>
                <w:szCs w:val="21"/>
                <w:highlight w:val="none"/>
              </w:rPr>
              <w:t xml:space="preserve">大写：人民币 </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jc w:val="center"/>
        </w:trPr>
        <w:tc>
          <w:tcPr>
            <w:tcW w:w="2119"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服务期限</w:t>
            </w:r>
          </w:p>
        </w:tc>
        <w:tc>
          <w:tcPr>
            <w:tcW w:w="6662" w:type="dxa"/>
            <w:tcBorders>
              <w:top w:val="single" w:color="000000" w:sz="6" w:space="0"/>
              <w:left w:val="single" w:color="auto" w:sz="4" w:space="0"/>
              <w:bottom w:val="single" w:color="000000" w:sz="6" w:space="0"/>
              <w:right w:val="single" w:color="auto" w:sz="4" w:space="0"/>
            </w:tcBorders>
            <w:vAlign w:val="center"/>
          </w:tcPr>
          <w:p>
            <w:pPr>
              <w:snapToGrid w:val="0"/>
              <w:spacing w:before="50" w:after="50" w:line="300" w:lineRule="exact"/>
              <w:rPr>
                <w:rFonts w:ascii="宋体" w:hAnsi="宋体" w:cs="宋体"/>
                <w:bCs/>
                <w:color w:val="auto"/>
                <w:szCs w:val="21"/>
                <w:highlight w:val="none"/>
              </w:rPr>
            </w:pPr>
            <w:r>
              <w:rPr>
                <w:rFonts w:hint="eastAsia" w:ascii="宋体" w:hAnsi="宋体" w:eastAsia="宋体" w:cs="Times New Roman"/>
                <w:color w:val="auto"/>
                <w:highlight w:val="none"/>
              </w:rPr>
              <w:t>自合同签订之日起</w:t>
            </w:r>
            <w:r>
              <w:rPr>
                <w:rFonts w:hint="eastAsia" w:ascii="宋体" w:hAnsi="宋体" w:eastAsia="宋体" w:cs="Times New Roman"/>
                <w:color w:val="auto"/>
                <w:highlight w:val="none"/>
                <w:lang w:val="en-US" w:eastAsia="zh-CN"/>
              </w:rPr>
              <w:t>二</w:t>
            </w:r>
            <w:r>
              <w:rPr>
                <w:rFonts w:hint="eastAsia" w:ascii="宋体" w:hAnsi="宋体" w:eastAsia="宋体" w:cs="Times New Roman"/>
                <w:color w:val="auto"/>
                <w:highlight w:val="none"/>
              </w:rPr>
              <w:t>年</w:t>
            </w:r>
            <w:r>
              <w:rPr>
                <w:rFonts w:hint="eastAsia" w:ascii="宋体" w:hAnsi="宋体" w:eastAsia="宋体" w:cs="Times New Roman"/>
                <w:color w:val="auto"/>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7" w:hRule="atLeast"/>
          <w:jc w:val="center"/>
        </w:trPr>
        <w:tc>
          <w:tcPr>
            <w:tcW w:w="2119"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投标声明</w:t>
            </w:r>
          </w:p>
        </w:tc>
        <w:tc>
          <w:tcPr>
            <w:tcW w:w="6662" w:type="dxa"/>
            <w:tcBorders>
              <w:top w:val="single" w:color="000000" w:sz="6" w:space="0"/>
              <w:left w:val="single" w:color="auto" w:sz="4" w:space="0"/>
              <w:bottom w:val="single" w:color="000000" w:sz="6" w:space="0"/>
              <w:right w:val="single" w:color="auto" w:sz="4" w:space="0"/>
            </w:tcBorders>
            <w:vAlign w:val="center"/>
          </w:tcPr>
          <w:p>
            <w:pPr>
              <w:snapToGrid w:val="0"/>
              <w:spacing w:before="50" w:after="50" w:line="440" w:lineRule="exact"/>
              <w:jc w:val="center"/>
              <w:rPr>
                <w:rFonts w:ascii="宋体" w:hAnsi="宋体" w:cs="宋体"/>
                <w:color w:val="auto"/>
                <w:szCs w:val="21"/>
                <w:highlight w:val="none"/>
              </w:rPr>
            </w:pPr>
            <w:r>
              <w:rPr>
                <w:rFonts w:hint="eastAsia" w:ascii="宋体" w:hAnsi="宋体" w:cs="宋体"/>
                <w:bCs/>
                <w:color w:val="auto"/>
                <w:szCs w:val="21"/>
                <w:highlight w:val="none"/>
              </w:rPr>
              <w:t>若无填“/”即可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7" w:hRule="atLeast"/>
          <w:jc w:val="center"/>
        </w:trPr>
        <w:tc>
          <w:tcPr>
            <w:tcW w:w="2119"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备注</w:t>
            </w:r>
          </w:p>
        </w:tc>
        <w:tc>
          <w:tcPr>
            <w:tcW w:w="6662" w:type="dxa"/>
            <w:tcBorders>
              <w:top w:val="single" w:color="000000" w:sz="6" w:space="0"/>
              <w:left w:val="single" w:color="auto" w:sz="4" w:space="0"/>
              <w:bottom w:val="single" w:color="000000" w:sz="6" w:space="0"/>
              <w:right w:val="single" w:color="auto" w:sz="4" w:space="0"/>
            </w:tcBorders>
            <w:vAlign w:val="center"/>
          </w:tcPr>
          <w:p>
            <w:pPr>
              <w:snapToGrid w:val="0"/>
              <w:spacing w:before="50" w:after="50"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若无填“/”即可</w:t>
            </w:r>
          </w:p>
        </w:tc>
      </w:tr>
    </w:tbl>
    <w:p>
      <w:pPr>
        <w:rPr>
          <w:rFonts w:hAnsi="宋体"/>
          <w:color w:val="auto"/>
          <w:szCs w:val="21"/>
          <w:highlight w:val="none"/>
        </w:rPr>
      </w:pPr>
    </w:p>
    <w:p>
      <w:pPr>
        <w:pStyle w:val="29"/>
        <w:spacing w:line="360" w:lineRule="auto"/>
        <w:ind w:left="0" w:left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 1、报价一经涂改，应在涂改处加盖单位公章或者由法定代表人或授权委托人签字或盖章，否则其投标作无效标处理。</w:t>
      </w:r>
    </w:p>
    <w:p>
      <w:pPr>
        <w:spacing w:line="360" w:lineRule="auto"/>
        <w:ind w:firstLine="315" w:firstLineChars="150"/>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hint="eastAsia" w:ascii="宋体" w:hAnsi="宋体" w:cs="宋体"/>
          <w:color w:val="auto"/>
          <w:szCs w:val="21"/>
          <w:highlight w:val="none"/>
        </w:rPr>
        <w:t>超过最高综合单价限价的投标报价作废标处理</w:t>
      </w:r>
      <w:r>
        <w:rPr>
          <w:rFonts w:hint="eastAsia" w:ascii="宋体" w:hAnsi="宋体" w:cs="宋体"/>
          <w:color w:val="auto"/>
          <w:highlight w:val="none"/>
        </w:rPr>
        <w:t>。</w:t>
      </w:r>
    </w:p>
    <w:p>
      <w:pPr>
        <w:pStyle w:val="48"/>
        <w:rPr>
          <w:color w:val="auto"/>
          <w:highlight w:val="none"/>
        </w:rPr>
      </w:pPr>
    </w:p>
    <w:p>
      <w:pPr>
        <w:pStyle w:val="48"/>
        <w:rPr>
          <w:color w:val="auto"/>
          <w:highlight w:val="none"/>
        </w:rPr>
      </w:pPr>
    </w:p>
    <w:p>
      <w:pPr>
        <w:pStyle w:val="48"/>
        <w:rPr>
          <w:color w:val="auto"/>
          <w:highlight w:val="none"/>
        </w:rPr>
      </w:pPr>
    </w:p>
    <w:p>
      <w:pPr>
        <w:snapToGrid w:val="0"/>
        <w:spacing w:before="50" w:after="50" w:line="440" w:lineRule="exact"/>
        <w:ind w:left="563" w:leftChars="27" w:right="-817" w:rightChars="-389" w:hanging="506" w:hangingChars="241"/>
        <w:jc w:val="left"/>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snapToGrid w:val="0"/>
        <w:spacing w:before="50" w:after="50" w:line="440" w:lineRule="exact"/>
        <w:ind w:left="563" w:leftChars="27" w:right="-817" w:rightChars="-389" w:hanging="506" w:hangingChars="241"/>
        <w:jc w:val="left"/>
        <w:rPr>
          <w:rFonts w:ascii="宋体" w:hAnsi="宋体"/>
          <w:color w:val="auto"/>
          <w:szCs w:val="21"/>
          <w:highlight w:val="none"/>
        </w:rPr>
      </w:pPr>
      <w:r>
        <w:rPr>
          <w:rFonts w:hint="eastAsia" w:ascii="宋体" w:hAnsi="宋体"/>
          <w:color w:val="auto"/>
          <w:szCs w:val="21"/>
          <w:highlight w:val="none"/>
        </w:rPr>
        <w:t xml:space="preserve">投标人全称（盖章）：                                 </w:t>
      </w:r>
    </w:p>
    <w:p>
      <w:pPr>
        <w:snapToGrid w:val="0"/>
        <w:spacing w:before="50" w:after="50" w:line="440" w:lineRule="exact"/>
        <w:ind w:left="563" w:leftChars="27" w:right="-817" w:rightChars="-389" w:hanging="506" w:hangingChars="241"/>
        <w:jc w:val="left"/>
        <w:rPr>
          <w:rFonts w:ascii="宋体" w:hAnsi="宋体"/>
          <w:color w:val="auto"/>
          <w:szCs w:val="21"/>
          <w:highlight w:val="none"/>
        </w:rPr>
      </w:pPr>
      <w:r>
        <w:rPr>
          <w:rFonts w:hint="eastAsia" w:ascii="宋体" w:hAnsi="宋体"/>
          <w:color w:val="auto"/>
          <w:szCs w:val="21"/>
          <w:highlight w:val="none"/>
        </w:rPr>
        <w:t>日期：    年   月   日</w:t>
      </w:r>
    </w:p>
    <w:p>
      <w:pPr>
        <w:tabs>
          <w:tab w:val="left" w:pos="518"/>
        </w:tabs>
        <w:adjustRightInd w:val="0"/>
        <w:snapToGrid w:val="0"/>
        <w:spacing w:line="360" w:lineRule="auto"/>
        <w:ind w:firstLine="3360" w:firstLineChars="1600"/>
        <w:rPr>
          <w:rFonts w:hint="eastAsia" w:ascii="宋体" w:hAnsi="宋体"/>
          <w:color w:val="auto"/>
          <w:szCs w:val="21"/>
          <w:highlight w:val="none"/>
        </w:rPr>
      </w:pPr>
      <w:r>
        <w:rPr>
          <w:rFonts w:hint="eastAsia" w:ascii="宋体" w:hAnsi="宋体"/>
          <w:color w:val="auto"/>
          <w:szCs w:val="21"/>
          <w:highlight w:val="none"/>
        </w:rPr>
        <w:br w:type="page"/>
      </w:r>
    </w:p>
    <w:p>
      <w:pPr>
        <w:rPr>
          <w:rFonts w:hint="eastAsia" w:ascii="宋体" w:hAnsi="Times New Roman" w:eastAsia="宋体" w:cs="Times New Roman"/>
          <w:b/>
          <w:bCs/>
          <w:color w:val="auto"/>
          <w:kern w:val="0"/>
          <w:sz w:val="21"/>
          <w:szCs w:val="20"/>
          <w:highlight w:val="none"/>
          <w:lang w:val="en-US" w:eastAsia="zh-CN" w:bidi="ar-SA"/>
        </w:rPr>
      </w:pPr>
      <w:r>
        <w:rPr>
          <w:rFonts w:hint="eastAsia" w:ascii="宋体" w:hAnsi="Times New Roman" w:eastAsia="宋体" w:cs="Times New Roman"/>
          <w:b/>
          <w:bCs/>
          <w:color w:val="auto"/>
          <w:kern w:val="0"/>
          <w:sz w:val="21"/>
          <w:szCs w:val="20"/>
          <w:highlight w:val="none"/>
          <w:lang w:val="en-US" w:eastAsia="zh-CN" w:bidi="ar-SA"/>
        </w:rPr>
        <w:t>2.投标报价明细表</w:t>
      </w:r>
    </w:p>
    <w:p>
      <w:pPr>
        <w:tabs>
          <w:tab w:val="left" w:pos="518"/>
        </w:tabs>
        <w:adjustRightInd w:val="0"/>
        <w:snapToGrid w:val="0"/>
        <w:spacing w:line="360" w:lineRule="auto"/>
        <w:ind w:firstLine="3855" w:firstLineChars="1600"/>
        <w:rPr>
          <w:color w:val="auto"/>
          <w:highlight w:val="none"/>
        </w:rPr>
      </w:pPr>
      <w:r>
        <w:rPr>
          <w:rFonts w:ascii="宋体" w:hAnsi="宋体"/>
          <w:b/>
          <w:color w:val="auto"/>
          <w:sz w:val="24"/>
          <w:szCs w:val="21"/>
          <w:highlight w:val="none"/>
        </w:rPr>
        <w:t>投标报价明细表</w:t>
      </w:r>
    </w:p>
    <w:p>
      <w:pPr>
        <w:pStyle w:val="3"/>
        <w:rPr>
          <w:color w:val="auto"/>
          <w:highlight w:val="none"/>
        </w:rPr>
      </w:pPr>
    </w:p>
    <w:p>
      <w:pPr>
        <w:snapToGrid w:val="0"/>
        <w:spacing w:line="360" w:lineRule="auto"/>
        <w:ind w:firstLine="210" w:firstLineChars="1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2023年-2024年前江街道建设占用耕地耕作层剥离再利用服务（一期）项目</w:t>
      </w:r>
    </w:p>
    <w:p>
      <w:pPr>
        <w:snapToGrid w:val="0"/>
        <w:spacing w:line="360" w:lineRule="auto"/>
        <w:ind w:firstLine="210" w:firstLineChars="100"/>
        <w:rPr>
          <w:rFonts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GQCG2023013（HX-2023-1015）</w:t>
      </w:r>
      <w:r>
        <w:rPr>
          <w:rFonts w:hint="eastAsia" w:ascii="宋体" w:hAnsi="宋体"/>
          <w:color w:val="auto"/>
          <w:szCs w:val="21"/>
          <w:highlight w:val="none"/>
        </w:rPr>
        <w:t xml:space="preserve">  </w:t>
      </w:r>
      <w:r>
        <w:rPr>
          <w:rFonts w:hAnsi="宋体"/>
          <w:color w:val="auto"/>
          <w:szCs w:val="21"/>
          <w:highlight w:val="none"/>
        </w:rPr>
        <w:t xml:space="preserve">                            </w:t>
      </w:r>
    </w:p>
    <w:p>
      <w:pPr>
        <w:spacing w:line="360" w:lineRule="auto"/>
        <w:ind w:right="420" w:firstLine="472"/>
        <w:jc w:val="right"/>
        <w:rPr>
          <w:rFonts w:hAnsi="宋体"/>
          <w:color w:val="auto"/>
          <w:szCs w:val="21"/>
          <w:highlight w:val="none"/>
        </w:rPr>
      </w:pPr>
      <w:r>
        <w:rPr>
          <w:rFonts w:hAnsi="宋体"/>
          <w:color w:val="auto"/>
          <w:szCs w:val="21"/>
          <w:highlight w:val="none"/>
        </w:rPr>
        <w:t>金额单位：人民币（元）</w:t>
      </w:r>
    </w:p>
    <w:tbl>
      <w:tblPr>
        <w:tblStyle w:val="49"/>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728"/>
        <w:gridCol w:w="1563"/>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35" w:type="dxa"/>
            <w:vAlign w:val="center"/>
          </w:tcPr>
          <w:p>
            <w:pPr>
              <w:spacing w:line="360" w:lineRule="auto"/>
              <w:jc w:val="center"/>
              <w:rPr>
                <w:b/>
                <w:bCs/>
                <w:iCs/>
                <w:color w:val="auto"/>
                <w:szCs w:val="21"/>
                <w:highlight w:val="none"/>
              </w:rPr>
            </w:pPr>
            <w:r>
              <w:rPr>
                <w:rFonts w:hint="eastAsia"/>
                <w:b/>
                <w:bCs/>
                <w:iCs/>
                <w:color w:val="auto"/>
                <w:szCs w:val="21"/>
                <w:highlight w:val="none"/>
              </w:rPr>
              <w:t>序号</w:t>
            </w:r>
          </w:p>
        </w:tc>
        <w:tc>
          <w:tcPr>
            <w:tcW w:w="2728" w:type="dxa"/>
            <w:vAlign w:val="center"/>
          </w:tcPr>
          <w:p>
            <w:pPr>
              <w:snapToGrid w:val="0"/>
              <w:spacing w:line="360" w:lineRule="auto"/>
              <w:jc w:val="center"/>
              <w:rPr>
                <w:b/>
                <w:bCs/>
                <w:iCs/>
                <w:color w:val="auto"/>
                <w:szCs w:val="21"/>
                <w:highlight w:val="none"/>
              </w:rPr>
            </w:pPr>
            <w:r>
              <w:rPr>
                <w:rFonts w:hint="eastAsia"/>
                <w:b/>
                <w:bCs/>
                <w:color w:val="auto"/>
                <w:szCs w:val="21"/>
                <w:highlight w:val="none"/>
                <w:lang w:bidi="ar"/>
              </w:rPr>
              <w:t>名称</w:t>
            </w:r>
          </w:p>
        </w:tc>
        <w:tc>
          <w:tcPr>
            <w:tcW w:w="1563" w:type="dxa"/>
            <w:vAlign w:val="center"/>
          </w:tcPr>
          <w:p>
            <w:pPr>
              <w:snapToGrid w:val="0"/>
              <w:spacing w:line="360" w:lineRule="auto"/>
              <w:jc w:val="center"/>
              <w:rPr>
                <w:b/>
                <w:bCs/>
                <w:iCs/>
                <w:color w:val="auto"/>
                <w:szCs w:val="21"/>
                <w:highlight w:val="none"/>
              </w:rPr>
            </w:pPr>
            <w:r>
              <w:rPr>
                <w:rFonts w:hint="eastAsia"/>
                <w:b/>
                <w:bCs/>
                <w:color w:val="auto"/>
                <w:szCs w:val="21"/>
                <w:highlight w:val="none"/>
                <w:lang w:bidi="ar"/>
              </w:rPr>
              <w:t>数量</w:t>
            </w:r>
          </w:p>
        </w:tc>
        <w:tc>
          <w:tcPr>
            <w:tcW w:w="2892" w:type="dxa"/>
            <w:vAlign w:val="center"/>
          </w:tcPr>
          <w:p>
            <w:pPr>
              <w:snapToGrid w:val="0"/>
              <w:spacing w:line="360" w:lineRule="auto"/>
              <w:jc w:val="center"/>
              <w:rPr>
                <w:b/>
                <w:bCs/>
                <w:color w:val="auto"/>
                <w:szCs w:val="21"/>
                <w:highlight w:val="none"/>
                <w:lang w:bidi="ar"/>
              </w:rPr>
            </w:pPr>
            <w:r>
              <w:rPr>
                <w:rFonts w:hint="eastAsia"/>
                <w:b/>
                <w:bCs/>
                <w:color w:val="auto"/>
                <w:szCs w:val="21"/>
                <w:highlight w:val="none"/>
                <w:lang w:bidi="ar"/>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35" w:type="dxa"/>
            <w:vAlign w:val="center"/>
          </w:tcPr>
          <w:p>
            <w:pPr>
              <w:widowControl/>
              <w:spacing w:line="360" w:lineRule="auto"/>
              <w:jc w:val="center"/>
              <w:textAlignment w:val="center"/>
              <w:rPr>
                <w:color w:val="auto"/>
                <w:szCs w:val="21"/>
                <w:highlight w:val="none"/>
                <w:lang w:bidi="ar"/>
              </w:rPr>
            </w:pPr>
            <w:r>
              <w:rPr>
                <w:rFonts w:hint="eastAsia"/>
                <w:color w:val="auto"/>
                <w:szCs w:val="21"/>
                <w:highlight w:val="none"/>
              </w:rPr>
              <w:t>1</w:t>
            </w:r>
          </w:p>
        </w:tc>
        <w:tc>
          <w:tcPr>
            <w:tcW w:w="2728" w:type="dxa"/>
            <w:vAlign w:val="center"/>
          </w:tcPr>
          <w:p>
            <w:pPr>
              <w:widowControl/>
              <w:spacing w:line="360" w:lineRule="auto"/>
              <w:jc w:val="center"/>
              <w:textAlignment w:val="center"/>
              <w:rPr>
                <w:color w:val="auto"/>
                <w:szCs w:val="21"/>
                <w:highlight w:val="none"/>
                <w:lang w:bidi="ar"/>
              </w:rPr>
            </w:pPr>
          </w:p>
        </w:tc>
        <w:tc>
          <w:tcPr>
            <w:tcW w:w="1563" w:type="dxa"/>
            <w:vAlign w:val="center"/>
          </w:tcPr>
          <w:p>
            <w:pPr>
              <w:widowControl/>
              <w:spacing w:line="360" w:lineRule="auto"/>
              <w:jc w:val="center"/>
              <w:textAlignment w:val="center"/>
              <w:rPr>
                <w:color w:val="auto"/>
                <w:szCs w:val="21"/>
                <w:highlight w:val="none"/>
                <w:lang w:bidi="ar"/>
              </w:rPr>
            </w:pPr>
          </w:p>
        </w:tc>
        <w:tc>
          <w:tcPr>
            <w:tcW w:w="2892" w:type="dxa"/>
            <w:vAlign w:val="center"/>
          </w:tcPr>
          <w:p>
            <w:pPr>
              <w:spacing w:line="360" w:lineRule="auto"/>
              <w:rPr>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35" w:type="dxa"/>
            <w:vAlign w:val="center"/>
          </w:tcPr>
          <w:p>
            <w:pPr>
              <w:widowControl/>
              <w:spacing w:line="360" w:lineRule="auto"/>
              <w:jc w:val="center"/>
              <w:textAlignment w:val="center"/>
              <w:rPr>
                <w:color w:val="auto"/>
                <w:szCs w:val="21"/>
                <w:highlight w:val="none"/>
              </w:rPr>
            </w:pPr>
            <w:r>
              <w:rPr>
                <w:rFonts w:hint="eastAsia"/>
                <w:color w:val="auto"/>
                <w:szCs w:val="21"/>
                <w:highlight w:val="none"/>
              </w:rPr>
              <w:t>2</w:t>
            </w:r>
          </w:p>
        </w:tc>
        <w:tc>
          <w:tcPr>
            <w:tcW w:w="2728" w:type="dxa"/>
            <w:vAlign w:val="center"/>
          </w:tcPr>
          <w:p>
            <w:pPr>
              <w:widowControl/>
              <w:spacing w:line="360" w:lineRule="auto"/>
              <w:jc w:val="center"/>
              <w:textAlignment w:val="center"/>
              <w:rPr>
                <w:color w:val="auto"/>
                <w:szCs w:val="21"/>
                <w:highlight w:val="none"/>
                <w:lang w:bidi="ar"/>
              </w:rPr>
            </w:pPr>
          </w:p>
        </w:tc>
        <w:tc>
          <w:tcPr>
            <w:tcW w:w="1563" w:type="dxa"/>
            <w:vAlign w:val="center"/>
          </w:tcPr>
          <w:p>
            <w:pPr>
              <w:widowControl/>
              <w:spacing w:line="360" w:lineRule="auto"/>
              <w:jc w:val="center"/>
              <w:textAlignment w:val="center"/>
              <w:rPr>
                <w:color w:val="auto"/>
                <w:szCs w:val="21"/>
                <w:highlight w:val="none"/>
                <w:lang w:bidi="ar"/>
              </w:rPr>
            </w:pPr>
          </w:p>
        </w:tc>
        <w:tc>
          <w:tcPr>
            <w:tcW w:w="2892" w:type="dxa"/>
            <w:vAlign w:val="center"/>
          </w:tcPr>
          <w:p>
            <w:pPr>
              <w:spacing w:line="360" w:lineRule="auto"/>
              <w:rPr>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35" w:type="dxa"/>
            <w:vAlign w:val="center"/>
          </w:tcPr>
          <w:p>
            <w:pPr>
              <w:widowControl/>
              <w:spacing w:line="360" w:lineRule="auto"/>
              <w:jc w:val="center"/>
              <w:textAlignment w:val="center"/>
              <w:rPr>
                <w:color w:val="auto"/>
                <w:szCs w:val="21"/>
                <w:highlight w:val="none"/>
                <w:lang w:bidi="ar"/>
              </w:rPr>
            </w:pPr>
            <w:r>
              <w:rPr>
                <w:rFonts w:hint="eastAsia"/>
                <w:color w:val="auto"/>
                <w:szCs w:val="21"/>
                <w:highlight w:val="none"/>
              </w:rPr>
              <w:t>3</w:t>
            </w:r>
          </w:p>
        </w:tc>
        <w:tc>
          <w:tcPr>
            <w:tcW w:w="2728" w:type="dxa"/>
            <w:vAlign w:val="center"/>
          </w:tcPr>
          <w:p>
            <w:pPr>
              <w:widowControl/>
              <w:spacing w:line="360" w:lineRule="auto"/>
              <w:jc w:val="center"/>
              <w:textAlignment w:val="center"/>
              <w:rPr>
                <w:color w:val="auto"/>
                <w:szCs w:val="21"/>
                <w:highlight w:val="none"/>
                <w:lang w:bidi="ar"/>
              </w:rPr>
            </w:pPr>
          </w:p>
        </w:tc>
        <w:tc>
          <w:tcPr>
            <w:tcW w:w="1563" w:type="dxa"/>
            <w:vAlign w:val="center"/>
          </w:tcPr>
          <w:p>
            <w:pPr>
              <w:widowControl/>
              <w:spacing w:line="360" w:lineRule="auto"/>
              <w:jc w:val="center"/>
              <w:textAlignment w:val="center"/>
              <w:rPr>
                <w:color w:val="auto"/>
                <w:szCs w:val="21"/>
                <w:highlight w:val="none"/>
                <w:lang w:bidi="ar"/>
              </w:rPr>
            </w:pPr>
          </w:p>
        </w:tc>
        <w:tc>
          <w:tcPr>
            <w:tcW w:w="2892" w:type="dxa"/>
            <w:vAlign w:val="center"/>
          </w:tcPr>
          <w:p>
            <w:pPr>
              <w:spacing w:line="360" w:lineRule="auto"/>
              <w:rPr>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35" w:type="dxa"/>
            <w:vAlign w:val="center"/>
          </w:tcPr>
          <w:p>
            <w:pPr>
              <w:widowControl/>
              <w:spacing w:line="360" w:lineRule="auto"/>
              <w:jc w:val="center"/>
              <w:textAlignment w:val="center"/>
              <w:rPr>
                <w:color w:val="auto"/>
                <w:szCs w:val="21"/>
                <w:highlight w:val="none"/>
                <w:lang w:bidi="ar"/>
              </w:rPr>
            </w:pPr>
            <w:r>
              <w:rPr>
                <w:rFonts w:hint="eastAsia"/>
                <w:color w:val="auto"/>
                <w:szCs w:val="21"/>
                <w:highlight w:val="none"/>
              </w:rPr>
              <w:t>4</w:t>
            </w:r>
          </w:p>
        </w:tc>
        <w:tc>
          <w:tcPr>
            <w:tcW w:w="2728" w:type="dxa"/>
            <w:vAlign w:val="center"/>
          </w:tcPr>
          <w:p>
            <w:pPr>
              <w:widowControl/>
              <w:spacing w:line="360" w:lineRule="auto"/>
              <w:jc w:val="center"/>
              <w:textAlignment w:val="center"/>
              <w:rPr>
                <w:color w:val="auto"/>
                <w:szCs w:val="21"/>
                <w:highlight w:val="none"/>
                <w:lang w:bidi="ar"/>
              </w:rPr>
            </w:pPr>
            <w:r>
              <w:rPr>
                <w:color w:val="auto"/>
                <w:szCs w:val="21"/>
                <w:highlight w:val="none"/>
                <w:lang w:bidi="ar"/>
              </w:rPr>
              <w:t>……</w:t>
            </w:r>
          </w:p>
        </w:tc>
        <w:tc>
          <w:tcPr>
            <w:tcW w:w="1563" w:type="dxa"/>
            <w:vAlign w:val="center"/>
          </w:tcPr>
          <w:p>
            <w:pPr>
              <w:widowControl/>
              <w:spacing w:line="360" w:lineRule="auto"/>
              <w:jc w:val="center"/>
              <w:textAlignment w:val="center"/>
              <w:rPr>
                <w:color w:val="auto"/>
                <w:szCs w:val="21"/>
                <w:highlight w:val="none"/>
                <w:lang w:bidi="ar"/>
              </w:rPr>
            </w:pPr>
          </w:p>
        </w:tc>
        <w:tc>
          <w:tcPr>
            <w:tcW w:w="2892" w:type="dxa"/>
            <w:vAlign w:val="center"/>
          </w:tcPr>
          <w:p>
            <w:pPr>
              <w:spacing w:line="360" w:lineRule="auto"/>
              <w:rPr>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18" w:type="dxa"/>
            <w:gridSpan w:val="4"/>
            <w:vAlign w:val="center"/>
          </w:tcPr>
          <w:p>
            <w:pPr>
              <w:spacing w:line="360" w:lineRule="auto"/>
              <w:rPr>
                <w:color w:val="auto"/>
                <w:szCs w:val="21"/>
                <w:highlight w:val="none"/>
                <w:lang w:bidi="ar"/>
              </w:rPr>
            </w:pPr>
            <w:r>
              <w:rPr>
                <w:rFonts w:hint="eastAsia"/>
                <w:color w:val="auto"/>
                <w:szCs w:val="21"/>
                <w:highlight w:val="none"/>
                <w:lang w:bidi="ar"/>
              </w:rPr>
              <w:t>投标报价（元/m³）：</w:t>
            </w:r>
          </w:p>
        </w:tc>
      </w:tr>
    </w:tbl>
    <w:p>
      <w:pPr>
        <w:widowControl/>
        <w:spacing w:line="360" w:lineRule="auto"/>
        <w:ind w:firstLine="210" w:firstLineChars="100"/>
        <w:textAlignment w:val="center"/>
        <w:rPr>
          <w:color w:val="auto"/>
          <w:szCs w:val="21"/>
          <w:highlight w:val="none"/>
        </w:rPr>
      </w:pPr>
      <w:r>
        <w:rPr>
          <w:rFonts w:hint="eastAsia"/>
          <w:color w:val="auto"/>
          <w:szCs w:val="21"/>
          <w:highlight w:val="none"/>
          <w:lang w:bidi="ar"/>
        </w:rPr>
        <w:t>注：</w:t>
      </w:r>
      <w:r>
        <w:rPr>
          <w:color w:val="auto"/>
          <w:szCs w:val="21"/>
          <w:highlight w:val="none"/>
        </w:rPr>
        <w:t>1、报价一经涂改，应在涂改处加盖单位公章或者由法定代表人或授权委托人签字或盖章，否则其投标作无效标处理。</w:t>
      </w:r>
    </w:p>
    <w:p>
      <w:pPr>
        <w:widowControl/>
        <w:spacing w:line="360" w:lineRule="auto"/>
        <w:ind w:firstLine="210" w:firstLineChars="100"/>
        <w:textAlignment w:val="center"/>
        <w:rPr>
          <w:color w:val="auto"/>
          <w:szCs w:val="21"/>
          <w:highlight w:val="none"/>
          <w:lang w:bidi="ar"/>
        </w:rPr>
      </w:pPr>
      <w:r>
        <w:rPr>
          <w:color w:val="auto"/>
          <w:szCs w:val="21"/>
          <w:highlight w:val="none"/>
          <w:lang w:bidi="ar"/>
        </w:rPr>
        <w:t>2</w:t>
      </w:r>
      <w:r>
        <w:rPr>
          <w:rFonts w:hint="eastAsia"/>
          <w:color w:val="auto"/>
          <w:szCs w:val="21"/>
          <w:highlight w:val="none"/>
          <w:lang w:bidi="ar"/>
        </w:rPr>
        <w:t>、投标人可根据实际需求改动此表。</w:t>
      </w:r>
    </w:p>
    <w:p>
      <w:pPr>
        <w:snapToGrid w:val="0"/>
        <w:spacing w:before="50" w:after="50" w:line="440" w:lineRule="exact"/>
        <w:rPr>
          <w:rFonts w:ascii="宋体" w:hAnsi="宋体"/>
          <w:color w:val="auto"/>
          <w:spacing w:val="20"/>
          <w:szCs w:val="21"/>
          <w:highlight w:val="none"/>
        </w:rPr>
      </w:pPr>
    </w:p>
    <w:p>
      <w:pPr>
        <w:snapToGrid w:val="0"/>
        <w:spacing w:before="50" w:after="50" w:line="440" w:lineRule="exact"/>
        <w:ind w:left="563" w:leftChars="127" w:right="-817" w:rightChars="-389" w:hanging="296" w:hangingChars="141"/>
        <w:jc w:val="left"/>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snapToGrid w:val="0"/>
        <w:spacing w:before="50" w:after="50" w:line="440" w:lineRule="exact"/>
        <w:ind w:left="563" w:leftChars="127" w:right="-817" w:rightChars="-389" w:hanging="296" w:hangingChars="141"/>
        <w:jc w:val="left"/>
        <w:rPr>
          <w:rFonts w:ascii="宋体" w:hAnsi="宋体"/>
          <w:color w:val="auto"/>
          <w:szCs w:val="21"/>
          <w:highlight w:val="none"/>
        </w:rPr>
      </w:pPr>
      <w:r>
        <w:rPr>
          <w:rFonts w:hint="eastAsia" w:ascii="宋体" w:hAnsi="宋体"/>
          <w:color w:val="auto"/>
          <w:szCs w:val="21"/>
          <w:highlight w:val="none"/>
        </w:rPr>
        <w:t xml:space="preserve">投标人全称（盖章）：                                 </w:t>
      </w:r>
    </w:p>
    <w:p>
      <w:pPr>
        <w:snapToGrid w:val="0"/>
        <w:spacing w:before="50" w:after="50" w:line="440" w:lineRule="exact"/>
        <w:ind w:left="563" w:leftChars="127" w:right="-817" w:rightChars="-389" w:hanging="296" w:hangingChars="141"/>
        <w:jc w:val="left"/>
        <w:rPr>
          <w:rFonts w:ascii="宋体" w:hAnsi="宋体"/>
          <w:color w:val="auto"/>
          <w:szCs w:val="21"/>
          <w:highlight w:val="none"/>
        </w:rPr>
      </w:pPr>
      <w:r>
        <w:rPr>
          <w:rFonts w:hint="eastAsia" w:ascii="宋体" w:hAnsi="宋体"/>
          <w:color w:val="auto"/>
          <w:szCs w:val="21"/>
          <w:highlight w:val="none"/>
        </w:rPr>
        <w:t>日期：    年   月   日</w:t>
      </w:r>
    </w:p>
    <w:p>
      <w:pPr>
        <w:pStyle w:val="62"/>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tabs>
          <w:tab w:val="left" w:pos="518"/>
        </w:tabs>
        <w:adjustRightInd w:val="0"/>
        <w:snapToGrid w:val="0"/>
        <w:spacing w:line="360" w:lineRule="auto"/>
        <w:ind w:left="237" w:leftChars="113" w:firstLine="3162" w:firstLineChars="1500"/>
        <w:rPr>
          <w:rFonts w:ascii="宋体" w:hAnsi="宋体"/>
          <w:b/>
          <w:color w:val="auto"/>
          <w:szCs w:val="21"/>
          <w:highlight w:val="none"/>
        </w:rPr>
      </w:pPr>
      <w:bookmarkStart w:id="199" w:name="_Toc103030435"/>
    </w:p>
    <w:p>
      <w:pPr>
        <w:tabs>
          <w:tab w:val="left" w:pos="518"/>
        </w:tabs>
        <w:adjustRightInd w:val="0"/>
        <w:snapToGrid w:val="0"/>
        <w:spacing w:line="360" w:lineRule="auto"/>
        <w:ind w:left="237" w:leftChars="113" w:firstLine="3162" w:firstLineChars="1500"/>
        <w:rPr>
          <w:rFonts w:ascii="宋体" w:hAnsi="宋体"/>
          <w:b/>
          <w:color w:val="auto"/>
          <w:szCs w:val="21"/>
          <w:highlight w:val="none"/>
        </w:rPr>
      </w:pPr>
    </w:p>
    <w:p>
      <w:pPr>
        <w:tabs>
          <w:tab w:val="left" w:pos="518"/>
        </w:tabs>
        <w:adjustRightInd w:val="0"/>
        <w:snapToGrid w:val="0"/>
        <w:spacing w:line="360" w:lineRule="auto"/>
        <w:ind w:firstLine="3373" w:firstLineChars="1400"/>
        <w:rPr>
          <w:rFonts w:hint="eastAsia" w:ascii="宋体" w:hAnsi="宋体"/>
          <w:b/>
          <w:color w:val="auto"/>
          <w:sz w:val="24"/>
          <w:szCs w:val="21"/>
          <w:highlight w:val="none"/>
        </w:rPr>
      </w:pPr>
    </w:p>
    <w:p>
      <w:pPr>
        <w:rPr>
          <w:rFonts w:hint="eastAsia" w:ascii="宋体" w:hAnsi="Times New Roman" w:eastAsia="宋体" w:cs="Times New Roman"/>
          <w:b/>
          <w:bCs/>
          <w:color w:val="auto"/>
          <w:kern w:val="0"/>
          <w:sz w:val="21"/>
          <w:szCs w:val="20"/>
          <w:highlight w:val="none"/>
          <w:lang w:val="en-US" w:eastAsia="zh-CN" w:bidi="ar-SA"/>
        </w:rPr>
      </w:pPr>
      <w:r>
        <w:rPr>
          <w:rFonts w:hint="eastAsia" w:ascii="宋体" w:hAnsi="Times New Roman" w:eastAsia="宋体" w:cs="Times New Roman"/>
          <w:b/>
          <w:bCs/>
          <w:color w:val="auto"/>
          <w:kern w:val="0"/>
          <w:sz w:val="21"/>
          <w:szCs w:val="20"/>
          <w:highlight w:val="none"/>
          <w:lang w:val="en-US" w:eastAsia="zh-CN" w:bidi="ar-SA"/>
        </w:rPr>
        <w:t>3.中小企业声明函</w:t>
      </w:r>
      <w:bookmarkEnd w:id="199"/>
    </w:p>
    <w:p>
      <w:pPr>
        <w:rPr>
          <w:color w:val="auto"/>
          <w:highlight w:val="none"/>
        </w:rPr>
      </w:pPr>
    </w:p>
    <w:p>
      <w:pPr>
        <w:keepNext w:val="0"/>
        <w:keepLines w:val="0"/>
        <w:pageBreakBefore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中小企业声明函（工程、服务）</w:t>
      </w:r>
    </w:p>
    <w:p>
      <w:pPr>
        <w:keepNext w:val="0"/>
        <w:keepLines w:val="0"/>
        <w:pageBreakBefore w:val="0"/>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360" w:lineRule="auto"/>
        <w:ind w:right="0" w:rightChars="0"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kinsoku/>
        <w:wordWrap/>
        <w:overflowPunct/>
        <w:topLinePunct w:val="0"/>
        <w:autoSpaceDE/>
        <w:autoSpaceDN/>
        <w:bidi w:val="0"/>
        <w:adjustRightInd/>
        <w:spacing w:line="36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招标文件</w:t>
      </w:r>
      <w:r>
        <w:rPr>
          <w:rFonts w:hint="eastAsia" w:ascii="宋体" w:hAnsi="宋体" w:eastAsia="宋体" w:cs="宋体"/>
          <w:color w:val="auto"/>
          <w:sz w:val="21"/>
          <w:szCs w:val="21"/>
          <w:highlight w:val="none"/>
          <w:u w:val="single"/>
        </w:rPr>
        <w:t>中明确的所属行业）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pacing w:line="36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招标文件</w:t>
      </w:r>
      <w:r>
        <w:rPr>
          <w:rFonts w:hint="eastAsia" w:ascii="宋体" w:hAnsi="宋体" w:eastAsia="宋体" w:cs="宋体"/>
          <w:color w:val="auto"/>
          <w:sz w:val="21"/>
          <w:szCs w:val="21"/>
          <w:highlight w:val="none"/>
          <w:u w:val="single"/>
        </w:rPr>
        <w:t>中明确的所属行业）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pacing w:line="36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pacing w:line="36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pacing w:line="36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keepNext w:val="0"/>
        <w:keepLines w:val="0"/>
        <w:pageBreakBefore w:val="0"/>
        <w:kinsoku/>
        <w:wordWrap/>
        <w:overflowPunct/>
        <w:topLinePunct w:val="0"/>
        <w:autoSpaceDE/>
        <w:autoSpaceDN/>
        <w:bidi w:val="0"/>
        <w:adjustRightInd/>
        <w:spacing w:line="360" w:lineRule="auto"/>
        <w:ind w:right="0" w:rightChars="0"/>
        <w:jc w:val="right"/>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w:t>
      </w:r>
    </w:p>
    <w:p>
      <w:pPr>
        <w:keepNext w:val="0"/>
        <w:keepLines w:val="0"/>
        <w:pageBreakBefore w:val="0"/>
        <w:kinsoku/>
        <w:wordWrap/>
        <w:overflowPunct/>
        <w:topLinePunct w:val="0"/>
        <w:autoSpaceDE/>
        <w:autoSpaceDN/>
        <w:bidi w:val="0"/>
        <w:adjustRightInd/>
        <w:spacing w:line="360" w:lineRule="auto"/>
        <w:ind w:right="0" w:rightChars="0" w:firstLine="4095" w:firstLineChars="19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keepNext w:val="0"/>
        <w:keepLines w:val="0"/>
        <w:pageBreakBefore w:val="0"/>
        <w:kinsoku/>
        <w:wordWrap/>
        <w:overflowPunct/>
        <w:topLinePunct w:val="0"/>
        <w:autoSpaceDE/>
        <w:autoSpaceDN/>
        <w:bidi w:val="0"/>
        <w:adjustRightInd/>
        <w:spacing w:line="360" w:lineRule="auto"/>
        <w:ind w:right="0" w:rightChars="0" w:firstLine="310" w:firstLineChars="147"/>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40" w:lineRule="exact"/>
        <w:rPr>
          <w:color w:val="auto"/>
          <w:highlight w:val="none"/>
        </w:rPr>
      </w:pPr>
      <w:r>
        <w:rPr>
          <w:color w:val="auto"/>
          <w:highlight w:val="none"/>
        </w:rPr>
        <w:br w:type="page"/>
      </w:r>
    </w:p>
    <w:p>
      <w:pPr>
        <w:rPr>
          <w:rFonts w:hint="eastAsia" w:ascii="宋体" w:hAnsi="Times New Roman" w:eastAsia="宋体" w:cs="Times New Roman"/>
          <w:b/>
          <w:bCs/>
          <w:color w:val="auto"/>
          <w:kern w:val="0"/>
          <w:sz w:val="21"/>
          <w:szCs w:val="20"/>
          <w:highlight w:val="none"/>
          <w:lang w:val="en-US" w:eastAsia="zh-CN" w:bidi="ar-SA"/>
        </w:rPr>
      </w:pPr>
      <w:bookmarkStart w:id="200" w:name="_Toc103030436"/>
      <w:bookmarkStart w:id="201" w:name="_Toc505353802"/>
      <w:r>
        <w:rPr>
          <w:rFonts w:hint="eastAsia" w:ascii="宋体" w:hAnsi="Times New Roman" w:eastAsia="宋体" w:cs="Times New Roman"/>
          <w:b/>
          <w:bCs/>
          <w:color w:val="auto"/>
          <w:kern w:val="0"/>
          <w:sz w:val="21"/>
          <w:szCs w:val="20"/>
          <w:highlight w:val="none"/>
          <w:lang w:val="en-US" w:eastAsia="zh-CN" w:bidi="ar-SA"/>
        </w:rPr>
        <w:t>4.残疾人福利性单位声明函</w:t>
      </w:r>
    </w:p>
    <w:p>
      <w:pPr>
        <w:tabs>
          <w:tab w:val="left" w:pos="518"/>
        </w:tabs>
        <w:adjustRightInd w:val="0"/>
        <w:snapToGrid w:val="0"/>
        <w:spacing w:line="360" w:lineRule="auto"/>
        <w:ind w:firstLine="2891" w:firstLineChars="1200"/>
        <w:rPr>
          <w:rFonts w:hint="eastAsia" w:ascii="宋体" w:hAnsi="宋体"/>
          <w:b/>
          <w:color w:val="auto"/>
          <w:sz w:val="24"/>
          <w:szCs w:val="21"/>
          <w:highlight w:val="none"/>
        </w:rPr>
      </w:pPr>
    </w:p>
    <w:p>
      <w:pPr>
        <w:tabs>
          <w:tab w:val="left" w:pos="518"/>
        </w:tabs>
        <w:adjustRightInd w:val="0"/>
        <w:snapToGrid w:val="0"/>
        <w:spacing w:line="360" w:lineRule="auto"/>
        <w:ind w:firstLine="2891" w:firstLineChars="1200"/>
        <w:rPr>
          <w:rFonts w:ascii="宋体" w:hAnsi="宋体"/>
          <w:b/>
          <w:color w:val="auto"/>
          <w:sz w:val="24"/>
          <w:szCs w:val="21"/>
          <w:highlight w:val="none"/>
        </w:rPr>
      </w:pPr>
      <w:r>
        <w:rPr>
          <w:rFonts w:hint="eastAsia" w:ascii="宋体" w:hAnsi="宋体"/>
          <w:b/>
          <w:color w:val="auto"/>
          <w:sz w:val="24"/>
          <w:szCs w:val="21"/>
          <w:highlight w:val="none"/>
        </w:rPr>
        <w:t>残疾人福利性单位声明函</w:t>
      </w:r>
      <w:bookmarkEnd w:id="200"/>
      <w:bookmarkEnd w:id="201"/>
    </w:p>
    <w:p>
      <w:pPr>
        <w:ind w:firstLine="3360" w:firstLineChars="1400"/>
        <w:rPr>
          <w:color w:val="auto"/>
          <w:sz w:val="24"/>
          <w:highlight w:val="none"/>
        </w:rPr>
      </w:pPr>
      <w:r>
        <w:rPr>
          <w:color w:val="auto"/>
          <w:sz w:val="24"/>
          <w:highlight w:val="none"/>
        </w:rPr>
        <w:t>（如有须提供）</w:t>
      </w:r>
    </w:p>
    <w:p>
      <w:pPr>
        <w:pStyle w:val="20"/>
        <w:spacing w:line="360" w:lineRule="auto"/>
        <w:ind w:firstLine="0"/>
        <w:jc w:val="center"/>
        <w:rPr>
          <w:rFonts w:eastAsia="宋体"/>
          <w:b/>
          <w:color w:val="auto"/>
          <w:sz w:val="28"/>
          <w:szCs w:val="28"/>
          <w:highlight w:val="none"/>
        </w:rPr>
      </w:pPr>
    </w:p>
    <w:p>
      <w:pPr>
        <w:spacing w:line="360" w:lineRule="auto"/>
        <w:ind w:firstLine="480" w:firstLineChars="200"/>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本单位郑重声明，根据《财政部 民政部 中国残疾人联合会关于促进残疾人就业政府采购政策的通知》（财库〔2018〕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contextualSpacing/>
        <w:rPr>
          <w:rFonts w:asciiTheme="minorEastAsia" w:hAnsiTheme="minorEastAsia" w:eastAsiaTheme="minorEastAsia"/>
          <w:color w:val="auto"/>
          <w:sz w:val="24"/>
          <w:highlight w:val="none"/>
        </w:rPr>
      </w:pPr>
    </w:p>
    <w:p>
      <w:pPr>
        <w:spacing w:line="360" w:lineRule="auto"/>
        <w:ind w:firstLine="480" w:firstLineChars="200"/>
        <w:contextualSpacing/>
        <w:rPr>
          <w:rFonts w:asciiTheme="minorEastAsia" w:hAnsiTheme="minorEastAsia" w:eastAsiaTheme="minorEastAsia"/>
          <w:color w:val="auto"/>
          <w:sz w:val="24"/>
          <w:highlight w:val="none"/>
        </w:rPr>
      </w:pPr>
    </w:p>
    <w:p>
      <w:pPr>
        <w:tabs>
          <w:tab w:val="left" w:pos="4860"/>
        </w:tabs>
        <w:spacing w:line="360" w:lineRule="auto"/>
        <w:ind w:right="1560" w:firstLine="480" w:firstLineChars="200"/>
        <w:contextualSpacing/>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企业名称（盖章）： </w:t>
      </w:r>
    </w:p>
    <w:p>
      <w:pPr>
        <w:spacing w:line="360" w:lineRule="auto"/>
        <w:contextualSpacing/>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日  期：</w:t>
      </w:r>
    </w:p>
    <w:p>
      <w:pPr>
        <w:adjustRightInd w:val="0"/>
        <w:snapToGrid w:val="0"/>
        <w:spacing w:line="360" w:lineRule="auto"/>
        <w:rPr>
          <w:rFonts w:cs="宋体" w:asciiTheme="minorEastAsia" w:hAnsiTheme="minorEastAsia" w:eastAsiaTheme="minorEastAsia"/>
          <w:bCs/>
          <w:color w:val="auto"/>
          <w:spacing w:val="6"/>
          <w:szCs w:val="21"/>
          <w:highlight w:val="none"/>
        </w:rPr>
      </w:pPr>
      <w:r>
        <w:rPr>
          <w:rFonts w:hint="eastAsia" w:cs="宋体" w:asciiTheme="minorEastAsia" w:hAnsiTheme="minorEastAsia" w:eastAsiaTheme="minorEastAsia"/>
          <w:bCs/>
          <w:color w:val="auto"/>
          <w:spacing w:val="6"/>
          <w:szCs w:val="21"/>
          <w:highlight w:val="none"/>
        </w:rPr>
        <w:t>注：</w:t>
      </w:r>
    </w:p>
    <w:p>
      <w:pPr>
        <w:adjustRightInd w:val="0"/>
        <w:snapToGrid w:val="0"/>
        <w:spacing w:line="360" w:lineRule="auto"/>
        <w:rPr>
          <w:rFonts w:cs="宋体"/>
          <w:color w:val="auto"/>
          <w:spacing w:val="6"/>
          <w:szCs w:val="21"/>
          <w:highlight w:val="none"/>
        </w:rPr>
      </w:pPr>
      <w:r>
        <w:rPr>
          <w:rFonts w:cs="宋体"/>
          <w:color w:val="auto"/>
          <w:spacing w:val="6"/>
          <w:szCs w:val="21"/>
          <w:highlight w:val="none"/>
        </w:rPr>
        <w:t>1</w:t>
      </w:r>
      <w:r>
        <w:rPr>
          <w:rFonts w:hint="eastAsia" w:cs="宋体"/>
          <w:color w:val="auto"/>
          <w:spacing w:val="6"/>
          <w:szCs w:val="21"/>
          <w:highlight w:val="none"/>
        </w:rPr>
        <w:t>、如供应商为非残疾人福利性单位的可不提供本声明函。</w:t>
      </w:r>
    </w:p>
    <w:p>
      <w:pPr>
        <w:adjustRightInd w:val="0"/>
        <w:snapToGrid w:val="0"/>
        <w:spacing w:line="360" w:lineRule="auto"/>
        <w:rPr>
          <w:rFonts w:cs="宋体"/>
          <w:color w:val="auto"/>
          <w:spacing w:val="6"/>
          <w:szCs w:val="21"/>
          <w:highlight w:val="none"/>
        </w:rPr>
      </w:pPr>
      <w:r>
        <w:rPr>
          <w:rFonts w:cs="宋体"/>
          <w:color w:val="auto"/>
          <w:spacing w:val="6"/>
          <w:szCs w:val="21"/>
          <w:highlight w:val="none"/>
        </w:rPr>
        <w:t>2</w:t>
      </w:r>
      <w:r>
        <w:rPr>
          <w:rFonts w:hint="eastAsia" w:cs="宋体"/>
          <w:color w:val="auto"/>
          <w:spacing w:val="6"/>
          <w:szCs w:val="21"/>
          <w:highlight w:val="none"/>
        </w:rPr>
        <w:t>、享受政府采购支持政策的残疾人福利性单位应当同时满足以下条件：</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（一）安置的残疾人占本单位在职职工人数的比例不低于</w:t>
      </w:r>
      <w:r>
        <w:rPr>
          <w:rFonts w:cs="宋体"/>
          <w:color w:val="auto"/>
          <w:spacing w:val="6"/>
          <w:szCs w:val="21"/>
          <w:highlight w:val="none"/>
        </w:rPr>
        <w:t>25%</w:t>
      </w:r>
      <w:r>
        <w:rPr>
          <w:rFonts w:hint="eastAsia" w:cs="宋体"/>
          <w:color w:val="auto"/>
          <w:spacing w:val="6"/>
          <w:szCs w:val="21"/>
          <w:highlight w:val="none"/>
        </w:rPr>
        <w:t>（含</w:t>
      </w:r>
      <w:r>
        <w:rPr>
          <w:rFonts w:cs="宋体"/>
          <w:color w:val="auto"/>
          <w:spacing w:val="6"/>
          <w:szCs w:val="21"/>
          <w:highlight w:val="none"/>
        </w:rPr>
        <w:t>25%</w:t>
      </w:r>
      <w:r>
        <w:rPr>
          <w:rFonts w:hint="eastAsia" w:cs="宋体"/>
          <w:color w:val="auto"/>
          <w:spacing w:val="6"/>
          <w:szCs w:val="21"/>
          <w:highlight w:val="none"/>
        </w:rPr>
        <w:t>），并且安置的残疾人人数不少于</w:t>
      </w:r>
      <w:r>
        <w:rPr>
          <w:rFonts w:cs="宋体"/>
          <w:color w:val="auto"/>
          <w:spacing w:val="6"/>
          <w:szCs w:val="21"/>
          <w:highlight w:val="none"/>
        </w:rPr>
        <w:t>10</w:t>
      </w:r>
      <w:r>
        <w:rPr>
          <w:rFonts w:hint="eastAsia" w:cs="宋体"/>
          <w:color w:val="auto"/>
          <w:spacing w:val="6"/>
          <w:szCs w:val="21"/>
          <w:highlight w:val="none"/>
        </w:rPr>
        <w:t>人（含</w:t>
      </w:r>
      <w:r>
        <w:rPr>
          <w:rFonts w:cs="宋体"/>
          <w:color w:val="auto"/>
          <w:spacing w:val="6"/>
          <w:szCs w:val="21"/>
          <w:highlight w:val="none"/>
        </w:rPr>
        <w:t>10</w:t>
      </w:r>
      <w:r>
        <w:rPr>
          <w:rFonts w:hint="eastAsia" w:cs="宋体"/>
          <w:color w:val="auto"/>
          <w:spacing w:val="6"/>
          <w:szCs w:val="21"/>
          <w:highlight w:val="none"/>
        </w:rPr>
        <w:t>人）；</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（二）依法与安置的每位残疾人签订了一年以上（含一年）的劳动合同或服务协议；</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（三）为安置的每位残疾人按月足额缴纳了基本养老保险、基本医疗保险、失业保险、工伤保险和生育保险等社会保险费；</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（四）通过银行等金融机构向安置的每位残疾人，按月支付了不低于单位所在区县适用的经省级人民政府批准的月最低工资标准的工资；</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（六）前款所称残疾人是指法定劳动年龄内，持有《中华人民共和国残疾人证》或者《中华人民共和国残疾军人证（</w:t>
      </w:r>
      <w:r>
        <w:rPr>
          <w:rFonts w:cs="宋体"/>
          <w:color w:val="auto"/>
          <w:spacing w:val="6"/>
          <w:szCs w:val="21"/>
          <w:highlight w:val="none"/>
        </w:rPr>
        <w:t>1</w:t>
      </w:r>
      <w:r>
        <w:rPr>
          <w:rFonts w:hint="eastAsia" w:cs="宋体"/>
          <w:color w:val="auto"/>
          <w:spacing w:val="6"/>
          <w:szCs w:val="21"/>
          <w:highlight w:val="none"/>
        </w:rPr>
        <w:t>至</w:t>
      </w:r>
      <w:r>
        <w:rPr>
          <w:rFonts w:cs="宋体"/>
          <w:color w:val="auto"/>
          <w:spacing w:val="6"/>
          <w:szCs w:val="21"/>
          <w:highlight w:val="none"/>
        </w:rPr>
        <w:t>8</w:t>
      </w:r>
      <w:r>
        <w:rPr>
          <w:rFonts w:hint="eastAsia" w:cs="宋体"/>
          <w:color w:val="auto"/>
          <w:spacing w:val="6"/>
          <w:szCs w:val="21"/>
          <w:highlight w:val="none"/>
        </w:rPr>
        <w:t>级）》的自然人，包括具有劳动条件和劳动意愿的精神残疾人。在职职工人数是指与残疾人福利性单位建立劳动关系并依法签订劳动合同或者服务协议的雇员人数。</w:t>
      </w:r>
    </w:p>
    <w:p>
      <w:pPr>
        <w:rPr>
          <w:rFonts w:hint="eastAsia" w:ascii="宋体" w:hAnsi="Times New Roman" w:eastAsia="宋体" w:cs="Times New Roman"/>
          <w:b/>
          <w:bCs/>
          <w:color w:val="auto"/>
          <w:kern w:val="0"/>
          <w:sz w:val="21"/>
          <w:szCs w:val="20"/>
          <w:highlight w:val="none"/>
          <w:lang w:val="en-US" w:eastAsia="zh-CN" w:bidi="ar-SA"/>
        </w:rPr>
      </w:pPr>
      <w:r>
        <w:rPr>
          <w:rFonts w:hint="eastAsia" w:ascii="宋体" w:hAnsi="Times New Roman" w:eastAsia="宋体" w:cs="Times New Roman"/>
          <w:b/>
          <w:bCs/>
          <w:color w:val="auto"/>
          <w:kern w:val="0"/>
          <w:sz w:val="21"/>
          <w:szCs w:val="20"/>
          <w:highlight w:val="none"/>
          <w:lang w:val="en-US" w:eastAsia="zh-CN" w:bidi="ar-SA"/>
        </w:rPr>
        <w:t>5.供应商认为需要提供的其他资料（如有需提供）。</w:t>
      </w:r>
    </w:p>
    <w:p>
      <w:pPr>
        <w:rPr>
          <w:rFonts w:ascii="宋体" w:hAnsi="宋体"/>
          <w:color w:val="auto"/>
          <w:szCs w:val="21"/>
          <w:highlight w:val="none"/>
        </w:rPr>
      </w:pPr>
      <w:r>
        <w:rPr>
          <w:rFonts w:hint="eastAsia" w:ascii="宋体" w:hAnsi="宋体"/>
          <w:color w:val="auto"/>
          <w:szCs w:val="21"/>
          <w:highlight w:val="none"/>
        </w:rPr>
        <w:br w:type="page"/>
      </w:r>
    </w:p>
    <w:p>
      <w:pPr>
        <w:snapToGrid w:val="0"/>
        <w:spacing w:line="360" w:lineRule="auto"/>
        <w:jc w:val="center"/>
        <w:outlineLvl w:val="0"/>
        <w:rPr>
          <w:rFonts w:hAnsi="宋体" w:cs="方正小标宋简体"/>
          <w:b/>
          <w:color w:val="auto"/>
          <w:szCs w:val="21"/>
          <w:highlight w:val="none"/>
        </w:rPr>
      </w:pPr>
      <w:bookmarkStart w:id="202" w:name="_Toc11175"/>
      <w:r>
        <w:rPr>
          <w:rFonts w:hAnsi="宋体" w:cs="方正小标宋简体"/>
          <w:b/>
          <w:color w:val="auto"/>
          <w:szCs w:val="21"/>
          <w:highlight w:val="none"/>
        </w:rPr>
        <w:t>政府采购活动现场确认声明书</w:t>
      </w:r>
      <w:bookmarkEnd w:id="202"/>
    </w:p>
    <w:p>
      <w:pPr>
        <w:snapToGrid w:val="0"/>
        <w:spacing w:before="120" w:after="120" w:line="400" w:lineRule="exact"/>
        <w:rPr>
          <w:rFonts w:ascii="宋体" w:hAnsi="Courier New"/>
          <w:color w:val="auto"/>
          <w:szCs w:val="21"/>
          <w:highlight w:val="none"/>
        </w:rPr>
      </w:pPr>
      <w:r>
        <w:rPr>
          <w:rFonts w:hint="eastAsia" w:ascii="宋体" w:hAnsi="Courier New"/>
          <w:color w:val="auto"/>
          <w:szCs w:val="21"/>
          <w:highlight w:val="none"/>
        </w:rPr>
        <w:t>致：</w:t>
      </w:r>
      <w:r>
        <w:rPr>
          <w:rFonts w:hint="eastAsia" w:ascii="宋体" w:hAnsi="Courier New"/>
          <w:color w:val="auto"/>
          <w:szCs w:val="21"/>
          <w:highlight w:val="none"/>
          <w:u w:val="single"/>
          <w:lang w:eastAsia="zh-CN"/>
        </w:rPr>
        <w:t>宁波市江北狮子山园林工程有限公司</w:t>
      </w:r>
      <w:r>
        <w:rPr>
          <w:rFonts w:hint="eastAsia" w:ascii="宋体" w:hAnsi="Courier New"/>
          <w:color w:val="auto"/>
          <w:szCs w:val="21"/>
          <w:highlight w:val="none"/>
          <w:u w:val="single"/>
        </w:rPr>
        <w:t>/宁波华欣建设项目管理有限公司</w:t>
      </w:r>
    </w:p>
    <w:p>
      <w:pPr>
        <w:spacing w:line="400" w:lineRule="exact"/>
        <w:rPr>
          <w:rFonts w:ascii="宋体" w:hAnsi="宋体"/>
          <w:color w:val="auto"/>
          <w:szCs w:val="21"/>
          <w:highlight w:val="none"/>
          <w:u w:val="single"/>
        </w:rPr>
      </w:pPr>
      <w:r>
        <w:rPr>
          <w:rFonts w:ascii="宋体" w:hAnsi="宋体"/>
          <w:color w:val="auto"/>
          <w:szCs w:val="21"/>
          <w:highlight w:val="none"/>
        </w:rPr>
        <w:t>本人经由</w:t>
      </w:r>
      <w:r>
        <w:rPr>
          <w:rFonts w:ascii="宋体" w:hAnsi="宋体" w:cs="宋体"/>
          <w:color w:val="auto"/>
          <w:szCs w:val="21"/>
          <w:highlight w:val="none"/>
          <w:u w:val="single"/>
        </w:rPr>
        <w:t>（供应商名称）</w:t>
      </w:r>
      <w:r>
        <w:rPr>
          <w:rFonts w:ascii="宋体" w:hAnsi="宋体"/>
          <w:color w:val="auto"/>
          <w:szCs w:val="21"/>
          <w:highlight w:val="none"/>
        </w:rPr>
        <w:t>法人代表（负责人）</w:t>
      </w:r>
      <w:r>
        <w:rPr>
          <w:rFonts w:ascii="宋体" w:hAnsi="宋体"/>
          <w:color w:val="auto"/>
          <w:szCs w:val="21"/>
          <w:highlight w:val="none"/>
          <w:u w:val="single"/>
        </w:rPr>
        <w:t>（姓名）</w:t>
      </w:r>
      <w:r>
        <w:rPr>
          <w:rFonts w:ascii="宋体" w:hAnsi="宋体"/>
          <w:color w:val="auto"/>
          <w:szCs w:val="21"/>
          <w:highlight w:val="none"/>
        </w:rPr>
        <w:t>合法授权参加</w:t>
      </w:r>
      <w:r>
        <w:rPr>
          <w:rFonts w:hint="eastAsia" w:ascii="宋体" w:hAnsi="宋体"/>
          <w:color w:val="auto"/>
          <w:szCs w:val="21"/>
          <w:highlight w:val="none"/>
          <w:u w:val="single"/>
          <w:lang w:eastAsia="zh-CN"/>
        </w:rPr>
        <w:t>2023年-2024年前江街道建设占用耕地耕作层剥离再利用服务（一期）项目</w:t>
      </w:r>
      <w:r>
        <w:rPr>
          <w:rFonts w:ascii="宋体" w:hAnsi="宋体"/>
          <w:color w:val="auto"/>
          <w:szCs w:val="21"/>
          <w:highlight w:val="none"/>
        </w:rPr>
        <w:t>（</w:t>
      </w:r>
      <w:r>
        <w:rPr>
          <w:rFonts w:hint="eastAsia" w:ascii="宋体" w:hAnsi="宋体"/>
          <w:color w:val="auto"/>
          <w:szCs w:val="21"/>
          <w:highlight w:val="none"/>
        </w:rPr>
        <w:t>采购</w:t>
      </w:r>
      <w:r>
        <w:rPr>
          <w:rFonts w:ascii="宋体" w:hAnsi="宋体"/>
          <w:color w:val="auto"/>
          <w:szCs w:val="21"/>
          <w:highlight w:val="none"/>
        </w:rPr>
        <w:t>编号：</w:t>
      </w:r>
      <w:r>
        <w:rPr>
          <w:rFonts w:hint="eastAsia" w:ascii="宋体" w:hAnsi="宋体"/>
          <w:color w:val="auto"/>
          <w:szCs w:val="21"/>
          <w:highlight w:val="none"/>
          <w:u w:val="single"/>
          <w:lang w:eastAsia="zh-CN"/>
        </w:rPr>
        <w:t>GQCG2023013（HX-2023-1015）</w:t>
      </w:r>
      <w:r>
        <w:rPr>
          <w:rFonts w:ascii="宋体" w:hAnsi="宋体"/>
          <w:color w:val="auto"/>
          <w:szCs w:val="21"/>
          <w:highlight w:val="none"/>
        </w:rPr>
        <w:t>）政府采购活动，经与本单位法人代表（负责人）联系确认，现就有关公平竞争事项郑重声明如下：</w:t>
      </w:r>
    </w:p>
    <w:p>
      <w:pPr>
        <w:widowControl/>
        <w:numPr>
          <w:ilvl w:val="0"/>
          <w:numId w:val="12"/>
        </w:numPr>
        <w:snapToGrid w:val="0"/>
        <w:spacing w:line="400" w:lineRule="exact"/>
        <w:ind w:firstLine="396" w:firstLineChars="189"/>
        <w:rPr>
          <w:rFonts w:ascii="宋体" w:hAnsi="宋体"/>
          <w:color w:val="auto"/>
          <w:szCs w:val="21"/>
          <w:highlight w:val="none"/>
        </w:rPr>
      </w:pPr>
      <w:r>
        <w:rPr>
          <w:rFonts w:ascii="宋体" w:hAnsi="宋体"/>
          <w:color w:val="auto"/>
          <w:szCs w:val="21"/>
          <w:highlight w:val="none"/>
        </w:rPr>
        <w:t xml:space="preserve">本单位与采购单位之间 </w:t>
      </w:r>
      <w:r>
        <w:rPr>
          <w:rFonts w:ascii="宋体" w:hAnsi="宋体" w:cs="宋体"/>
          <w:color w:val="auto"/>
          <w:szCs w:val="21"/>
          <w:highlight w:val="none"/>
        </w:rPr>
        <w:t>□</w:t>
      </w:r>
      <w:r>
        <w:rPr>
          <w:rFonts w:ascii="宋体" w:hAnsi="宋体"/>
          <w:color w:val="auto"/>
          <w:szCs w:val="21"/>
          <w:highlight w:val="none"/>
        </w:rPr>
        <w:t xml:space="preserve">不存在利害关系 </w:t>
      </w:r>
      <w:r>
        <w:rPr>
          <w:rFonts w:ascii="宋体" w:hAnsi="宋体" w:cs="宋体"/>
          <w:color w:val="auto"/>
          <w:szCs w:val="21"/>
          <w:highlight w:val="none"/>
        </w:rPr>
        <w:t>□</w:t>
      </w:r>
      <w:r>
        <w:rPr>
          <w:rFonts w:ascii="宋体" w:hAnsi="宋体"/>
          <w:color w:val="auto"/>
          <w:szCs w:val="21"/>
          <w:highlight w:val="none"/>
        </w:rPr>
        <w:t>存在下列利害关系：</w:t>
      </w:r>
    </w:p>
    <w:p>
      <w:pPr>
        <w:widowControl/>
        <w:snapToGrid w:val="0"/>
        <w:spacing w:line="400" w:lineRule="exact"/>
        <w:ind w:left="397"/>
        <w:rPr>
          <w:rFonts w:ascii="宋体" w:hAnsi="宋体"/>
          <w:color w:val="auto"/>
          <w:szCs w:val="21"/>
          <w:highlight w:val="none"/>
        </w:rPr>
      </w:pPr>
      <w:bookmarkStart w:id="203" w:name="_Toc5228_WPSOffice_Level1"/>
      <w:r>
        <w:rPr>
          <w:rFonts w:ascii="宋体" w:hAnsi="宋体"/>
          <w:color w:val="auto"/>
          <w:szCs w:val="21"/>
          <w:highlight w:val="none"/>
        </w:rPr>
        <w:t>A.投资关系B.行政隶属关系C.业务指导关系</w:t>
      </w:r>
      <w:bookmarkEnd w:id="203"/>
    </w:p>
    <w:p>
      <w:pPr>
        <w:widowControl/>
        <w:snapToGrid w:val="0"/>
        <w:spacing w:line="400" w:lineRule="exact"/>
        <w:ind w:left="397"/>
        <w:rPr>
          <w:rFonts w:ascii="宋体" w:hAnsi="宋体"/>
          <w:color w:val="auto"/>
          <w:szCs w:val="21"/>
          <w:highlight w:val="none"/>
        </w:rPr>
      </w:pPr>
      <w:bookmarkStart w:id="204" w:name="_Toc8363_WPSOffice_Level1"/>
      <w:r>
        <w:rPr>
          <w:rFonts w:ascii="宋体" w:hAnsi="宋体"/>
          <w:color w:val="auto"/>
          <w:szCs w:val="21"/>
          <w:highlight w:val="none"/>
        </w:rPr>
        <w:t>D.其他可能影响采购公正的利害关系</w:t>
      </w:r>
      <w:r>
        <w:rPr>
          <w:rFonts w:ascii="宋体" w:hAnsi="宋体"/>
          <w:color w:val="auto"/>
          <w:szCs w:val="21"/>
          <w:highlight w:val="none"/>
          <w:u w:val="single"/>
        </w:rPr>
        <w:t xml:space="preserve">（如有，请如实说明） </w:t>
      </w:r>
      <w:r>
        <w:rPr>
          <w:rFonts w:ascii="宋体" w:hAnsi="宋体"/>
          <w:color w:val="auto"/>
          <w:szCs w:val="21"/>
          <w:highlight w:val="none"/>
        </w:rPr>
        <w:t>。</w:t>
      </w:r>
      <w:bookmarkEnd w:id="204"/>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二、现已清楚知道参加本项目采购活动的其他所有供应商名称，本单位 </w:t>
      </w:r>
      <w:r>
        <w:rPr>
          <w:rFonts w:ascii="宋体" w:hAnsi="宋体" w:cs="宋体"/>
          <w:color w:val="auto"/>
          <w:szCs w:val="21"/>
          <w:highlight w:val="none"/>
        </w:rPr>
        <w:t>□与其他所有供应商之间均</w:t>
      </w:r>
      <w:r>
        <w:rPr>
          <w:rFonts w:ascii="宋体" w:hAnsi="宋体"/>
          <w:color w:val="auto"/>
          <w:szCs w:val="21"/>
          <w:highlight w:val="none"/>
        </w:rPr>
        <w:t xml:space="preserve">不存在利害关系 </w:t>
      </w:r>
      <w:r>
        <w:rPr>
          <w:rFonts w:ascii="宋体" w:hAnsi="宋体" w:cs="宋体"/>
          <w:color w:val="auto"/>
          <w:szCs w:val="21"/>
          <w:highlight w:val="none"/>
        </w:rPr>
        <w:t>□与</w:t>
      </w:r>
      <w:r>
        <w:rPr>
          <w:rFonts w:ascii="宋体" w:hAnsi="宋体" w:cs="宋体"/>
          <w:color w:val="auto"/>
          <w:szCs w:val="21"/>
          <w:highlight w:val="none"/>
          <w:u w:val="single"/>
        </w:rPr>
        <w:t xml:space="preserve"> （供应商名称）</w:t>
      </w:r>
      <w:r>
        <w:rPr>
          <w:rFonts w:ascii="宋体" w:hAnsi="宋体" w:cs="宋体"/>
          <w:color w:val="auto"/>
          <w:szCs w:val="21"/>
          <w:highlight w:val="none"/>
        </w:rPr>
        <w:t>之间</w:t>
      </w:r>
      <w:r>
        <w:rPr>
          <w:rFonts w:ascii="宋体" w:hAnsi="宋体"/>
          <w:color w:val="auto"/>
          <w:szCs w:val="21"/>
          <w:highlight w:val="none"/>
        </w:rPr>
        <w:t>存在下列利害关系：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A.法定代表人或负责人或实际控制人是同一人</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B.法定代表人或负责人或实际控制人是夫妻关系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C.法定代表人或负责人或实际控制人是直系血亲关系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D.法定代表人或负责人或实际控制人存在三代以内旁系血亲关系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E.法定代表人或负责人或实际控制人存在近姻亲关系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F.法定代表人或负责人或实际控制人存在股份控制或实际控制关系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G.存在共同直接或间接投资设立子公司、联营企业和合营企业情况</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H.存在分级代理或代销关系、同一生产制造商关系、管理关系、重要业务（占主营业务收入50%以上）或重要财务往来关系（如融资）等其他实质性控制关系</w:t>
      </w:r>
    </w:p>
    <w:p>
      <w:pPr>
        <w:widowControl/>
        <w:snapToGrid w:val="0"/>
        <w:spacing w:line="400" w:lineRule="exact"/>
        <w:ind w:firstLine="420" w:firstLineChars="200"/>
        <w:rPr>
          <w:rFonts w:ascii="宋体" w:hAnsi="宋体"/>
          <w:color w:val="auto"/>
          <w:szCs w:val="21"/>
          <w:highlight w:val="none"/>
        </w:rPr>
      </w:pPr>
      <w:bookmarkStart w:id="205" w:name="_Toc27975_WPSOffice_Level1"/>
      <w:r>
        <w:rPr>
          <w:rFonts w:ascii="宋体" w:hAnsi="宋体"/>
          <w:color w:val="auto"/>
          <w:szCs w:val="21"/>
          <w:highlight w:val="none"/>
        </w:rPr>
        <w:t>I.其他利害关系情况。</w:t>
      </w:r>
      <w:bookmarkEnd w:id="205"/>
    </w:p>
    <w:p>
      <w:pPr>
        <w:widowControl/>
        <w:numPr>
          <w:ilvl w:val="0"/>
          <w:numId w:val="13"/>
        </w:numPr>
        <w:snapToGrid w:val="0"/>
        <w:spacing w:line="400" w:lineRule="exact"/>
        <w:ind w:firstLine="396" w:firstLineChars="189"/>
        <w:rPr>
          <w:rFonts w:ascii="宋体" w:hAnsi="宋体"/>
          <w:color w:val="auto"/>
          <w:szCs w:val="21"/>
          <w:highlight w:val="none"/>
        </w:rPr>
      </w:pPr>
      <w:r>
        <w:rPr>
          <w:rFonts w:ascii="宋体" w:hAnsi="宋体"/>
          <w:color w:val="auto"/>
          <w:szCs w:val="21"/>
          <w:highlight w:val="none"/>
        </w:rPr>
        <w:t>现已清楚知道并严格遵守政府采购法律法规和现场纪律。</w:t>
      </w:r>
    </w:p>
    <w:p>
      <w:pPr>
        <w:widowControl/>
        <w:numPr>
          <w:ilvl w:val="0"/>
          <w:numId w:val="13"/>
        </w:numPr>
        <w:snapToGrid w:val="0"/>
        <w:spacing w:line="400" w:lineRule="exact"/>
        <w:ind w:firstLine="396" w:firstLineChars="189"/>
        <w:rPr>
          <w:rFonts w:ascii="宋体" w:hAnsi="宋体"/>
          <w:color w:val="auto"/>
          <w:szCs w:val="21"/>
          <w:highlight w:val="none"/>
        </w:rPr>
      </w:pPr>
      <w:r>
        <w:rPr>
          <w:rFonts w:ascii="宋体" w:hAnsi="宋体"/>
          <w:color w:val="auto"/>
          <w:szCs w:val="21"/>
          <w:highlight w:val="none"/>
        </w:rPr>
        <w:t>我发现供应商之间存在或可能存在上述第二条第项利害关系。</w:t>
      </w:r>
    </w:p>
    <w:p>
      <w:pPr>
        <w:snapToGrid w:val="0"/>
        <w:spacing w:line="400" w:lineRule="exact"/>
        <w:ind w:firstLine="420" w:firstLineChars="200"/>
        <w:rPr>
          <w:rFonts w:ascii="宋体" w:hAnsi="宋体"/>
          <w:color w:val="auto"/>
          <w:szCs w:val="21"/>
          <w:highlight w:val="none"/>
        </w:rPr>
      </w:pPr>
    </w:p>
    <w:p>
      <w:pPr>
        <w:snapToGrid w:val="0"/>
        <w:spacing w:line="400" w:lineRule="exact"/>
        <w:ind w:firstLine="1365" w:firstLineChars="650"/>
        <w:rPr>
          <w:rFonts w:ascii="宋体" w:hAnsi="宋体"/>
          <w:color w:val="auto"/>
          <w:szCs w:val="21"/>
          <w:highlight w:val="none"/>
        </w:rPr>
      </w:pPr>
      <w:r>
        <w:rPr>
          <w:rFonts w:ascii="宋体" w:hAnsi="宋体"/>
          <w:color w:val="auto"/>
          <w:szCs w:val="21"/>
          <w:highlight w:val="none"/>
        </w:rPr>
        <w:t>（供应商代表签名）</w:t>
      </w:r>
    </w:p>
    <w:p>
      <w:pPr>
        <w:spacing w:line="400" w:lineRule="exact"/>
        <w:ind w:firstLine="1318" w:firstLineChars="628"/>
        <w:rPr>
          <w:rFonts w:ascii="宋体" w:hAnsi="宋体"/>
          <w:color w:val="auto"/>
          <w:szCs w:val="21"/>
          <w:highlight w:val="none"/>
        </w:rPr>
      </w:pPr>
      <w:r>
        <w:rPr>
          <w:rFonts w:ascii="宋体" w:hAnsi="宋体"/>
          <w:color w:val="auto"/>
          <w:szCs w:val="21"/>
          <w:highlight w:val="none"/>
        </w:rPr>
        <w:t>年月日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b/>
          <w:color w:val="auto"/>
          <w:sz w:val="21"/>
          <w:szCs w:val="21"/>
          <w:highlight w:val="none"/>
        </w:rPr>
      </w:pPr>
      <w:bookmarkStart w:id="206" w:name="_Toc13660_WPSOffice_Level1"/>
      <w:r>
        <w:rPr>
          <w:rFonts w:hint="eastAsia" w:ascii="宋体" w:hAnsi="宋体"/>
          <w:b/>
          <w:color w:val="auto"/>
          <w:sz w:val="21"/>
          <w:szCs w:val="21"/>
          <w:highlight w:val="none"/>
        </w:rPr>
        <w:t>注：1、本表非投标文件的组成内容，不须在投标文件中提供。</w:t>
      </w:r>
      <w:bookmarkEnd w:id="206"/>
    </w:p>
    <w:p>
      <w:pPr>
        <w:keepNext w:val="0"/>
        <w:keepLines w:val="0"/>
        <w:pageBreakBefore w:val="0"/>
        <w:widowControl w:val="0"/>
        <w:kinsoku/>
        <w:wordWrap/>
        <w:overflowPunct/>
        <w:topLinePunct w:val="0"/>
        <w:autoSpaceDE/>
        <w:autoSpaceDN/>
        <w:bidi w:val="0"/>
        <w:adjustRightInd/>
        <w:snapToGrid w:val="0"/>
        <w:spacing w:before="120" w:beforeLines="50" w:after="50" w:line="240" w:lineRule="auto"/>
        <w:textAlignment w:val="auto"/>
        <w:rPr>
          <w:rFonts w:hint="eastAsia" w:ascii="宋体" w:hAnsi="宋体" w:eastAsia="宋体"/>
          <w:b/>
          <w:color w:val="auto"/>
          <w:sz w:val="21"/>
          <w:szCs w:val="21"/>
          <w:highlight w:val="none"/>
          <w:lang w:val="en-US" w:eastAsia="zh-CN"/>
        </w:rPr>
        <w:sectPr>
          <w:pgSz w:w="11906" w:h="16838"/>
          <w:pgMar w:top="1985" w:right="1531" w:bottom="1588" w:left="1644" w:header="567" w:footer="624" w:gutter="0"/>
          <w:cols w:space="720" w:num="1"/>
          <w:docGrid w:linePitch="602" w:charSpace="-1675"/>
        </w:sectPr>
      </w:pPr>
      <w:bookmarkStart w:id="207" w:name="_Toc3474_WPSOffice_Level1"/>
      <w:r>
        <w:rPr>
          <w:rFonts w:hint="eastAsia" w:ascii="宋体" w:hAnsi="宋体"/>
          <w:b/>
          <w:color w:val="auto"/>
          <w:sz w:val="21"/>
          <w:szCs w:val="21"/>
          <w:highlight w:val="none"/>
        </w:rPr>
        <w:t>2、本表在开标现场由代理机构提供给各供应商，由各供应商签署</w:t>
      </w:r>
      <w:bookmarkEnd w:id="207"/>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或本项目开始解密至解密结束前，由投标人</w:t>
      </w:r>
      <w:r>
        <w:rPr>
          <w:rFonts w:hint="eastAsia" w:ascii="宋体" w:hAnsi="宋体"/>
          <w:b/>
          <w:color w:val="auto"/>
          <w:sz w:val="21"/>
          <w:szCs w:val="21"/>
          <w:highlight w:val="none"/>
        </w:rPr>
        <w:t>各供应商签署</w:t>
      </w:r>
      <w:r>
        <w:rPr>
          <w:rFonts w:hint="eastAsia" w:ascii="宋体" w:hAnsi="宋体"/>
          <w:b/>
          <w:color w:val="auto"/>
          <w:sz w:val="21"/>
          <w:szCs w:val="21"/>
          <w:highlight w:val="none"/>
          <w:lang w:val="en-US" w:eastAsia="zh-CN"/>
        </w:rPr>
        <w:t>后发至招标代理邮箱：527886413@qq.com</w:t>
      </w:r>
      <w:r>
        <w:rPr>
          <w:rFonts w:hint="eastAsia" w:ascii="宋体" w:hAnsi="宋体"/>
          <w:b/>
          <w:color w:val="auto"/>
          <w:sz w:val="21"/>
          <w:szCs w:val="21"/>
          <w:highlight w:val="none"/>
          <w:lang w:eastAsia="zh-CN"/>
        </w:rPr>
        <w:t>）</w:t>
      </w:r>
    </w:p>
    <w:tbl>
      <w:tblPr>
        <w:tblStyle w:val="49"/>
        <w:tblW w:w="15077" w:type="dxa"/>
        <w:tblInd w:w="-417"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424" w:hRule="atLeast"/>
        </w:trPr>
        <w:tc>
          <w:tcPr>
            <w:tcW w:w="15077" w:type="dxa"/>
            <w:gridSpan w:val="11"/>
            <w:tcBorders>
              <w:top w:val="nil"/>
              <w:left w:val="nil"/>
              <w:bottom w:val="nil"/>
              <w:right w:val="nil"/>
            </w:tcBorders>
            <w:vAlign w:val="bottom"/>
          </w:tcPr>
          <w:p>
            <w:pPr>
              <w:widowControl/>
              <w:jc w:val="center"/>
              <w:rPr>
                <w:rFonts w:ascii="宋体" w:hAnsi="宋体" w:cs="宋体"/>
                <w:b/>
                <w:bCs/>
                <w:color w:val="auto"/>
                <w:kern w:val="0"/>
                <w:sz w:val="18"/>
                <w:szCs w:val="18"/>
                <w:highlight w:val="none"/>
              </w:rPr>
            </w:pPr>
            <w:bookmarkStart w:id="208" w:name="OLE_LINK3"/>
            <w:r>
              <w:rPr>
                <w:rFonts w:hint="eastAsia" w:ascii="宋体" w:hAnsi="宋体" w:cs="宋体"/>
                <w:b/>
                <w:bCs/>
                <w:color w:val="auto"/>
                <w:kern w:val="0"/>
                <w:sz w:val="18"/>
                <w:szCs w:val="18"/>
                <w:highlight w:val="none"/>
              </w:rPr>
              <w:t>中小微行业划型标准规定（根据工信部联企业〔2011〕300号制定）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color w:val="auto"/>
                <w:kern w:val="0"/>
                <w:sz w:val="18"/>
                <w:szCs w:val="18"/>
                <w:highlight w:val="none"/>
              </w:rPr>
            </w:pPr>
          </w:p>
        </w:tc>
        <w:tc>
          <w:tcPr>
            <w:tcW w:w="151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779"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77"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5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494"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36"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97"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287"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营业收入Y（万元）</w:t>
            </w:r>
          </w:p>
        </w:tc>
        <w:tc>
          <w:tcPr>
            <w:tcW w:w="1234"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1、农林牧渔业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2、工业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3、建筑业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4、批发业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20≤X＜200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5、零售业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50≤X＜300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6、交通运输业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V＜200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7、仓储业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8、邮政业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9、住宿业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10、餐饮业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V＜100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11、信息传输业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12、软件和信息技术服务业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13、房地产开发经营</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14、物业管理</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15、租赁和商务服务业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16、其他未列明行业</w:t>
            </w:r>
          </w:p>
        </w:tc>
        <w:tc>
          <w:tcPr>
            <w:tcW w:w="1512"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9"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77" w:type="dxa"/>
            <w:tcBorders>
              <w:top w:val="nil"/>
              <w:left w:val="nil"/>
              <w:bottom w:val="single" w:color="auto" w:sz="8"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36" w:type="dxa"/>
            <w:tcBorders>
              <w:top w:val="nil"/>
              <w:left w:val="nil"/>
              <w:bottom w:val="single" w:color="auto" w:sz="8"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34" w:type="dxa"/>
            <w:tcBorders>
              <w:top w:val="nil"/>
              <w:left w:val="nil"/>
              <w:bottom w:val="single" w:color="auto" w:sz="8"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34" w:hRule="atLeast"/>
        </w:trPr>
        <w:tc>
          <w:tcPr>
            <w:tcW w:w="15077" w:type="dxa"/>
            <w:gridSpan w:val="11"/>
            <w:tcBorders>
              <w:top w:val="nil"/>
              <w:left w:val="nil"/>
              <w:bottom w:val="nil"/>
              <w:right w:val="nil"/>
            </w:tcBorders>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　1、企业类型的划分以统计部门的统计数据为依据。</w:t>
            </w:r>
          </w:p>
          <w:p>
            <w:pPr>
              <w:widowControl/>
              <w:ind w:firstLine="540" w:firstLineChars="300"/>
              <w:rPr>
                <w:rFonts w:ascii="宋体" w:hAnsi="宋体" w:cs="宋体"/>
                <w:color w:val="auto"/>
                <w:kern w:val="0"/>
                <w:sz w:val="18"/>
                <w:szCs w:val="18"/>
                <w:highlight w:val="none"/>
              </w:rPr>
            </w:pPr>
            <w:r>
              <w:rPr>
                <w:rFonts w:hint="eastAsia" w:ascii="宋体" w:hAnsi="宋体" w:cs="宋体"/>
                <w:color w:val="auto"/>
                <w:kern w:val="0"/>
                <w:sz w:val="18"/>
                <w:szCs w:val="18"/>
                <w:highlight w:val="none"/>
              </w:rPr>
              <w:t>2、个体工商户和本规定以外的行业，参照本规定进行划型。</w:t>
            </w:r>
          </w:p>
          <w:p>
            <w:pPr>
              <w:widowControl/>
              <w:ind w:firstLine="540" w:firstLineChars="300"/>
              <w:rPr>
                <w:rFonts w:ascii="宋体" w:hAnsi="宋体" w:cs="宋体"/>
                <w:color w:val="auto"/>
                <w:kern w:val="0"/>
                <w:sz w:val="18"/>
                <w:szCs w:val="18"/>
                <w:highlight w:val="none"/>
              </w:rPr>
            </w:pPr>
            <w:r>
              <w:rPr>
                <w:rFonts w:hint="eastAsia" w:ascii="宋体" w:hAnsi="宋体" w:cs="宋体"/>
                <w:color w:val="auto"/>
                <w:kern w:val="0"/>
                <w:sz w:val="18"/>
                <w:szCs w:val="18"/>
                <w:highlight w:val="none"/>
              </w:rPr>
              <w:t>3、本规定的中型企业标准上限即为大型企业标准的下限。</w:t>
            </w:r>
          </w:p>
        </w:tc>
      </w:tr>
      <w:bookmarkEnd w:id="208"/>
    </w:tbl>
    <w:p>
      <w:pPr>
        <w:rPr>
          <w:rFonts w:ascii="宋体" w:hAnsi="宋体"/>
          <w:color w:val="auto"/>
          <w:szCs w:val="21"/>
          <w:highlight w:val="none"/>
        </w:rPr>
      </w:pPr>
    </w:p>
    <w:p>
      <w:pPr>
        <w:pStyle w:val="62"/>
        <w:rPr>
          <w:color w:val="auto"/>
          <w:highlight w:val="none"/>
        </w:rPr>
      </w:pPr>
    </w:p>
    <w:p>
      <w:pPr>
        <w:rPr>
          <w:rFonts w:ascii="宋体" w:hAnsi="宋体"/>
          <w:color w:val="auto"/>
          <w:szCs w:val="21"/>
          <w:highlight w:val="none"/>
        </w:rPr>
      </w:pPr>
    </w:p>
    <w:sectPr>
      <w:pgSz w:w="16838" w:h="11906" w:orient="landscape"/>
      <w:pgMar w:top="1134" w:right="1985" w:bottom="1134" w:left="1588"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华文仿宋">
    <w:panose1 w:val="02010600040101010101"/>
    <w:charset w:val="86"/>
    <w:family w:val="auto"/>
    <w:pitch w:val="default"/>
    <w:sig w:usb0="00000287" w:usb1="080F0000" w:usb2="00000000" w:usb3="00000000" w:csb0="0004009F" w:csb1="DFD70000"/>
  </w:font>
  <w:font w:name="ˎ̥">
    <w:altName w:val="宋体"/>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59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3"/>
      </w:rPr>
    </w:pPr>
    <w:r>
      <w:fldChar w:fldCharType="begin"/>
    </w:r>
    <w:r>
      <w:rPr>
        <w:rStyle w:val="53"/>
      </w:rPr>
      <w:instrText xml:space="preserve">PAGE  </w:instrText>
    </w:r>
    <w:r>
      <w:fldChar w:fldCharType="end"/>
    </w:r>
  </w:p>
  <w:p>
    <w:pPr>
      <w:pStyle w:val="3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F804C"/>
    <w:multiLevelType w:val="singleLevel"/>
    <w:tmpl w:val="8DEF804C"/>
    <w:lvl w:ilvl="0" w:tentative="0">
      <w:start w:val="1"/>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2">
    <w:nsid w:val="00000002"/>
    <w:multiLevelType w:val="singleLevel"/>
    <w:tmpl w:val="00000002"/>
    <w:lvl w:ilvl="0" w:tentative="0">
      <w:start w:val="1"/>
      <w:numFmt w:val="chineseCounting"/>
      <w:suff w:val="nothing"/>
      <w:lvlText w:val="%1、"/>
      <w:lvlJc w:val="left"/>
      <w:rPr>
        <w:b/>
        <w:sz w:val="21"/>
        <w:szCs w:val="21"/>
      </w:rPr>
    </w:lvl>
  </w:abstractNum>
  <w:abstractNum w:abstractNumId="3">
    <w:nsid w:val="0000000C"/>
    <w:multiLevelType w:val="singleLevel"/>
    <w:tmpl w:val="0000000C"/>
    <w:lvl w:ilvl="0" w:tentative="0">
      <w:start w:val="1"/>
      <w:numFmt w:val="chineseCounting"/>
      <w:suff w:val="nothing"/>
      <w:lvlText w:val="%1、"/>
      <w:lvlJc w:val="left"/>
    </w:lvl>
  </w:abstractNum>
  <w:abstractNum w:abstractNumId="4">
    <w:nsid w:val="0000000D"/>
    <w:multiLevelType w:val="singleLevel"/>
    <w:tmpl w:val="0000000D"/>
    <w:lvl w:ilvl="0" w:tentative="0">
      <w:start w:val="3"/>
      <w:numFmt w:val="chineseCounting"/>
      <w:suff w:val="nothing"/>
      <w:lvlText w:val="%1、"/>
      <w:lvlJc w:val="left"/>
    </w:lvl>
  </w:abstractNum>
  <w:abstractNum w:abstractNumId="5">
    <w:nsid w:val="00000016"/>
    <w:multiLevelType w:val="singleLevel"/>
    <w:tmpl w:val="00000016"/>
    <w:lvl w:ilvl="0" w:tentative="0">
      <w:start w:val="1"/>
      <w:numFmt w:val="decimal"/>
      <w:suff w:val="nothing"/>
      <w:lvlText w:val="（%1）"/>
      <w:lvlJc w:val="left"/>
      <w:pPr>
        <w:ind w:left="0" w:firstLine="400"/>
      </w:pPr>
      <w:rPr>
        <w:rFonts w:hint="default"/>
      </w:rPr>
    </w:lvl>
  </w:abstractNum>
  <w:abstractNum w:abstractNumId="6">
    <w:nsid w:val="00000018"/>
    <w:multiLevelType w:val="singleLevel"/>
    <w:tmpl w:val="00000018"/>
    <w:lvl w:ilvl="0" w:tentative="0">
      <w:start w:val="1"/>
      <w:numFmt w:val="decimal"/>
      <w:suff w:val="nothing"/>
      <w:lvlText w:val="（%1）"/>
      <w:lvlJc w:val="left"/>
      <w:pPr>
        <w:ind w:left="0" w:firstLine="400"/>
      </w:pPr>
      <w:rPr>
        <w:rFonts w:hint="default"/>
      </w:rPr>
    </w:lvl>
  </w:abstractNum>
  <w:abstractNum w:abstractNumId="7">
    <w:nsid w:val="09890BCC"/>
    <w:multiLevelType w:val="multilevel"/>
    <w:tmpl w:val="09890BCC"/>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23646B39"/>
    <w:multiLevelType w:val="multilevel"/>
    <w:tmpl w:val="23646B39"/>
    <w:lvl w:ilvl="0" w:tentative="0">
      <w:start w:val="6"/>
      <w:numFmt w:val="decimal"/>
      <w:lvlText w:val="%1"/>
      <w:lvlJc w:val="left"/>
      <w:pPr>
        <w:ind w:left="504" w:hanging="425"/>
      </w:pPr>
      <w:rPr>
        <w:rFonts w:hint="default"/>
        <w:lang w:val="zh-CN" w:eastAsia="zh-CN" w:bidi="zh-CN"/>
      </w:rPr>
    </w:lvl>
    <w:lvl w:ilvl="1" w:tentative="0">
      <w:start w:val="1"/>
      <w:numFmt w:val="decimal"/>
      <w:lvlText w:val="%1.%2"/>
      <w:lvlJc w:val="left"/>
      <w:pPr>
        <w:ind w:left="504" w:hanging="425"/>
      </w:pPr>
      <w:rPr>
        <w:rFonts w:hint="default" w:ascii="仿宋" w:hAnsi="仿宋" w:eastAsia="仿宋" w:cs="仿宋"/>
        <w:w w:val="100"/>
        <w:sz w:val="21"/>
        <w:szCs w:val="21"/>
        <w:lang w:val="zh-CN" w:eastAsia="zh-CN" w:bidi="zh-CN"/>
      </w:rPr>
    </w:lvl>
    <w:lvl w:ilvl="2" w:tentative="0">
      <w:start w:val="0"/>
      <w:numFmt w:val="bullet"/>
      <w:lvlText w:val="•"/>
      <w:lvlJc w:val="left"/>
      <w:pPr>
        <w:ind w:left="2425" w:hanging="425"/>
      </w:pPr>
      <w:rPr>
        <w:rFonts w:hint="default"/>
        <w:lang w:val="zh-CN" w:eastAsia="zh-CN" w:bidi="zh-CN"/>
      </w:rPr>
    </w:lvl>
    <w:lvl w:ilvl="3" w:tentative="0">
      <w:start w:val="0"/>
      <w:numFmt w:val="bullet"/>
      <w:lvlText w:val="•"/>
      <w:lvlJc w:val="left"/>
      <w:pPr>
        <w:ind w:left="3387" w:hanging="425"/>
      </w:pPr>
      <w:rPr>
        <w:rFonts w:hint="default"/>
        <w:lang w:val="zh-CN" w:eastAsia="zh-CN" w:bidi="zh-CN"/>
      </w:rPr>
    </w:lvl>
    <w:lvl w:ilvl="4" w:tentative="0">
      <w:start w:val="0"/>
      <w:numFmt w:val="bullet"/>
      <w:lvlText w:val="•"/>
      <w:lvlJc w:val="left"/>
      <w:pPr>
        <w:ind w:left="4350" w:hanging="425"/>
      </w:pPr>
      <w:rPr>
        <w:rFonts w:hint="default"/>
        <w:lang w:val="zh-CN" w:eastAsia="zh-CN" w:bidi="zh-CN"/>
      </w:rPr>
    </w:lvl>
    <w:lvl w:ilvl="5" w:tentative="0">
      <w:start w:val="0"/>
      <w:numFmt w:val="bullet"/>
      <w:lvlText w:val="•"/>
      <w:lvlJc w:val="left"/>
      <w:pPr>
        <w:ind w:left="5313" w:hanging="425"/>
      </w:pPr>
      <w:rPr>
        <w:rFonts w:hint="default"/>
        <w:lang w:val="zh-CN" w:eastAsia="zh-CN" w:bidi="zh-CN"/>
      </w:rPr>
    </w:lvl>
    <w:lvl w:ilvl="6" w:tentative="0">
      <w:start w:val="0"/>
      <w:numFmt w:val="bullet"/>
      <w:lvlText w:val="•"/>
      <w:lvlJc w:val="left"/>
      <w:pPr>
        <w:ind w:left="6275" w:hanging="425"/>
      </w:pPr>
      <w:rPr>
        <w:rFonts w:hint="default"/>
        <w:lang w:val="zh-CN" w:eastAsia="zh-CN" w:bidi="zh-CN"/>
      </w:rPr>
    </w:lvl>
    <w:lvl w:ilvl="7" w:tentative="0">
      <w:start w:val="0"/>
      <w:numFmt w:val="bullet"/>
      <w:lvlText w:val="•"/>
      <w:lvlJc w:val="left"/>
      <w:pPr>
        <w:ind w:left="7238" w:hanging="425"/>
      </w:pPr>
      <w:rPr>
        <w:rFonts w:hint="default"/>
        <w:lang w:val="zh-CN" w:eastAsia="zh-CN" w:bidi="zh-CN"/>
      </w:rPr>
    </w:lvl>
    <w:lvl w:ilvl="8" w:tentative="0">
      <w:start w:val="0"/>
      <w:numFmt w:val="bullet"/>
      <w:lvlText w:val="•"/>
      <w:lvlJc w:val="left"/>
      <w:pPr>
        <w:ind w:left="8201" w:hanging="425"/>
      </w:pPr>
      <w:rPr>
        <w:rFonts w:hint="default"/>
        <w:lang w:val="zh-CN" w:eastAsia="zh-CN" w:bidi="zh-CN"/>
      </w:rPr>
    </w:lvl>
  </w:abstractNum>
  <w:abstractNum w:abstractNumId="9">
    <w:nsid w:val="29846597"/>
    <w:multiLevelType w:val="multilevel"/>
    <w:tmpl w:val="29846597"/>
    <w:lvl w:ilvl="0" w:tentative="0">
      <w:start w:val="6"/>
      <w:numFmt w:val="decimal"/>
      <w:lvlText w:val="%1"/>
      <w:lvlJc w:val="left"/>
      <w:pPr>
        <w:ind w:left="504" w:hanging="425"/>
      </w:pPr>
      <w:rPr>
        <w:rFonts w:hint="default"/>
        <w:lang w:val="zh-CN" w:eastAsia="zh-CN" w:bidi="zh-CN"/>
      </w:rPr>
    </w:lvl>
    <w:lvl w:ilvl="1" w:tentative="0">
      <w:start w:val="1"/>
      <w:numFmt w:val="decimal"/>
      <w:lvlText w:val="%1.%2"/>
      <w:lvlJc w:val="left"/>
      <w:pPr>
        <w:ind w:left="504" w:hanging="425"/>
      </w:pPr>
      <w:rPr>
        <w:rFonts w:hint="default" w:ascii="仿宋" w:hAnsi="仿宋" w:eastAsia="仿宋" w:cs="仿宋"/>
        <w:w w:val="100"/>
        <w:sz w:val="21"/>
        <w:szCs w:val="21"/>
        <w:lang w:val="zh-CN" w:eastAsia="zh-CN" w:bidi="zh-CN"/>
      </w:rPr>
    </w:lvl>
    <w:lvl w:ilvl="2" w:tentative="0">
      <w:start w:val="0"/>
      <w:numFmt w:val="bullet"/>
      <w:lvlText w:val="•"/>
      <w:lvlJc w:val="left"/>
      <w:pPr>
        <w:ind w:left="2425" w:hanging="425"/>
      </w:pPr>
      <w:rPr>
        <w:rFonts w:hint="default"/>
        <w:lang w:val="zh-CN" w:eastAsia="zh-CN" w:bidi="zh-CN"/>
      </w:rPr>
    </w:lvl>
    <w:lvl w:ilvl="3" w:tentative="0">
      <w:start w:val="0"/>
      <w:numFmt w:val="bullet"/>
      <w:lvlText w:val="•"/>
      <w:lvlJc w:val="left"/>
      <w:pPr>
        <w:ind w:left="3387" w:hanging="425"/>
      </w:pPr>
      <w:rPr>
        <w:rFonts w:hint="default"/>
        <w:lang w:val="zh-CN" w:eastAsia="zh-CN" w:bidi="zh-CN"/>
      </w:rPr>
    </w:lvl>
    <w:lvl w:ilvl="4" w:tentative="0">
      <w:start w:val="0"/>
      <w:numFmt w:val="bullet"/>
      <w:lvlText w:val="•"/>
      <w:lvlJc w:val="left"/>
      <w:pPr>
        <w:ind w:left="4350" w:hanging="425"/>
      </w:pPr>
      <w:rPr>
        <w:rFonts w:hint="default"/>
        <w:lang w:val="zh-CN" w:eastAsia="zh-CN" w:bidi="zh-CN"/>
      </w:rPr>
    </w:lvl>
    <w:lvl w:ilvl="5" w:tentative="0">
      <w:start w:val="0"/>
      <w:numFmt w:val="bullet"/>
      <w:lvlText w:val="•"/>
      <w:lvlJc w:val="left"/>
      <w:pPr>
        <w:ind w:left="5313" w:hanging="425"/>
      </w:pPr>
      <w:rPr>
        <w:rFonts w:hint="default"/>
        <w:lang w:val="zh-CN" w:eastAsia="zh-CN" w:bidi="zh-CN"/>
      </w:rPr>
    </w:lvl>
    <w:lvl w:ilvl="6" w:tentative="0">
      <w:start w:val="0"/>
      <w:numFmt w:val="bullet"/>
      <w:lvlText w:val="•"/>
      <w:lvlJc w:val="left"/>
      <w:pPr>
        <w:ind w:left="6275" w:hanging="425"/>
      </w:pPr>
      <w:rPr>
        <w:rFonts w:hint="default"/>
        <w:lang w:val="zh-CN" w:eastAsia="zh-CN" w:bidi="zh-CN"/>
      </w:rPr>
    </w:lvl>
    <w:lvl w:ilvl="7" w:tentative="0">
      <w:start w:val="0"/>
      <w:numFmt w:val="bullet"/>
      <w:lvlText w:val="•"/>
      <w:lvlJc w:val="left"/>
      <w:pPr>
        <w:ind w:left="7238" w:hanging="425"/>
      </w:pPr>
      <w:rPr>
        <w:rFonts w:hint="default"/>
        <w:lang w:val="zh-CN" w:eastAsia="zh-CN" w:bidi="zh-CN"/>
      </w:rPr>
    </w:lvl>
    <w:lvl w:ilvl="8" w:tentative="0">
      <w:start w:val="0"/>
      <w:numFmt w:val="bullet"/>
      <w:lvlText w:val="•"/>
      <w:lvlJc w:val="left"/>
      <w:pPr>
        <w:ind w:left="8201" w:hanging="425"/>
      </w:pPr>
      <w:rPr>
        <w:rFonts w:hint="default"/>
        <w:lang w:val="zh-CN" w:eastAsia="zh-CN" w:bidi="zh-CN"/>
      </w:rPr>
    </w:lvl>
  </w:abstractNum>
  <w:abstractNum w:abstractNumId="10">
    <w:nsid w:val="62BE4E28"/>
    <w:multiLevelType w:val="multilevel"/>
    <w:tmpl w:val="62BE4E28"/>
    <w:lvl w:ilvl="0" w:tentative="0">
      <w:start w:val="4"/>
      <w:numFmt w:val="decimal"/>
      <w:lvlText w:val="%1"/>
      <w:lvlJc w:val="left"/>
      <w:pPr>
        <w:ind w:left="1294" w:hanging="370"/>
      </w:pPr>
      <w:rPr>
        <w:rFonts w:hint="default"/>
        <w:lang w:val="zh-CN" w:eastAsia="zh-CN" w:bidi="zh-CN"/>
      </w:rPr>
    </w:lvl>
    <w:lvl w:ilvl="1" w:tentative="0">
      <w:start w:val="1"/>
      <w:numFmt w:val="decimal"/>
      <w:lvlText w:val="%1.%2"/>
      <w:lvlJc w:val="left"/>
      <w:pPr>
        <w:ind w:left="1294" w:hanging="370"/>
      </w:pPr>
      <w:rPr>
        <w:rFonts w:hint="default" w:ascii="仿宋" w:hAnsi="仿宋" w:eastAsia="仿宋" w:cs="仿宋"/>
        <w:w w:val="100"/>
        <w:sz w:val="21"/>
        <w:szCs w:val="21"/>
        <w:lang w:val="zh-CN" w:eastAsia="zh-CN" w:bidi="zh-CN"/>
      </w:rPr>
    </w:lvl>
    <w:lvl w:ilvl="2" w:tentative="0">
      <w:start w:val="0"/>
      <w:numFmt w:val="bullet"/>
      <w:lvlText w:val="•"/>
      <w:lvlJc w:val="left"/>
      <w:pPr>
        <w:ind w:left="3065" w:hanging="370"/>
      </w:pPr>
      <w:rPr>
        <w:rFonts w:hint="default"/>
        <w:lang w:val="zh-CN" w:eastAsia="zh-CN" w:bidi="zh-CN"/>
      </w:rPr>
    </w:lvl>
    <w:lvl w:ilvl="3" w:tentative="0">
      <w:start w:val="0"/>
      <w:numFmt w:val="bullet"/>
      <w:lvlText w:val="•"/>
      <w:lvlJc w:val="left"/>
      <w:pPr>
        <w:ind w:left="3947" w:hanging="370"/>
      </w:pPr>
      <w:rPr>
        <w:rFonts w:hint="default"/>
        <w:lang w:val="zh-CN" w:eastAsia="zh-CN" w:bidi="zh-CN"/>
      </w:rPr>
    </w:lvl>
    <w:lvl w:ilvl="4" w:tentative="0">
      <w:start w:val="0"/>
      <w:numFmt w:val="bullet"/>
      <w:lvlText w:val="•"/>
      <w:lvlJc w:val="left"/>
      <w:pPr>
        <w:ind w:left="4830" w:hanging="370"/>
      </w:pPr>
      <w:rPr>
        <w:rFonts w:hint="default"/>
        <w:lang w:val="zh-CN" w:eastAsia="zh-CN" w:bidi="zh-CN"/>
      </w:rPr>
    </w:lvl>
    <w:lvl w:ilvl="5" w:tentative="0">
      <w:start w:val="0"/>
      <w:numFmt w:val="bullet"/>
      <w:lvlText w:val="•"/>
      <w:lvlJc w:val="left"/>
      <w:pPr>
        <w:ind w:left="5713" w:hanging="370"/>
      </w:pPr>
      <w:rPr>
        <w:rFonts w:hint="default"/>
        <w:lang w:val="zh-CN" w:eastAsia="zh-CN" w:bidi="zh-CN"/>
      </w:rPr>
    </w:lvl>
    <w:lvl w:ilvl="6" w:tentative="0">
      <w:start w:val="0"/>
      <w:numFmt w:val="bullet"/>
      <w:lvlText w:val="•"/>
      <w:lvlJc w:val="left"/>
      <w:pPr>
        <w:ind w:left="6595" w:hanging="370"/>
      </w:pPr>
      <w:rPr>
        <w:rFonts w:hint="default"/>
        <w:lang w:val="zh-CN" w:eastAsia="zh-CN" w:bidi="zh-CN"/>
      </w:rPr>
    </w:lvl>
    <w:lvl w:ilvl="7" w:tentative="0">
      <w:start w:val="0"/>
      <w:numFmt w:val="bullet"/>
      <w:lvlText w:val="•"/>
      <w:lvlJc w:val="left"/>
      <w:pPr>
        <w:ind w:left="7478" w:hanging="370"/>
      </w:pPr>
      <w:rPr>
        <w:rFonts w:hint="default"/>
        <w:lang w:val="zh-CN" w:eastAsia="zh-CN" w:bidi="zh-CN"/>
      </w:rPr>
    </w:lvl>
    <w:lvl w:ilvl="8" w:tentative="0">
      <w:start w:val="0"/>
      <w:numFmt w:val="bullet"/>
      <w:lvlText w:val="•"/>
      <w:lvlJc w:val="left"/>
      <w:pPr>
        <w:ind w:left="8361" w:hanging="370"/>
      </w:pPr>
      <w:rPr>
        <w:rFonts w:hint="default"/>
        <w:lang w:val="zh-CN" w:eastAsia="zh-CN" w:bidi="zh-CN"/>
      </w:rPr>
    </w:lvl>
  </w:abstractNum>
  <w:abstractNum w:abstractNumId="11">
    <w:nsid w:val="63D10FCB"/>
    <w:multiLevelType w:val="multilevel"/>
    <w:tmpl w:val="63D10FCB"/>
    <w:lvl w:ilvl="0" w:tentative="0">
      <w:start w:val="5"/>
      <w:numFmt w:val="decimal"/>
      <w:lvlText w:val="%1"/>
      <w:lvlJc w:val="left"/>
      <w:pPr>
        <w:ind w:left="504" w:hanging="370"/>
      </w:pPr>
      <w:rPr>
        <w:rFonts w:hint="default"/>
        <w:lang w:val="zh-CN" w:eastAsia="zh-CN" w:bidi="zh-CN"/>
      </w:rPr>
    </w:lvl>
    <w:lvl w:ilvl="1" w:tentative="0">
      <w:start w:val="1"/>
      <w:numFmt w:val="decimal"/>
      <w:lvlText w:val="%1.%2"/>
      <w:lvlJc w:val="left"/>
      <w:pPr>
        <w:ind w:left="504" w:hanging="370"/>
      </w:pPr>
      <w:rPr>
        <w:rFonts w:hint="default" w:ascii="仿宋" w:hAnsi="仿宋" w:eastAsia="仿宋" w:cs="仿宋"/>
        <w:w w:val="100"/>
        <w:sz w:val="21"/>
        <w:szCs w:val="21"/>
        <w:lang w:val="zh-CN" w:eastAsia="zh-CN" w:bidi="zh-CN"/>
      </w:rPr>
    </w:lvl>
    <w:lvl w:ilvl="2" w:tentative="0">
      <w:start w:val="0"/>
      <w:numFmt w:val="bullet"/>
      <w:lvlText w:val="•"/>
      <w:lvlJc w:val="left"/>
      <w:pPr>
        <w:ind w:left="2425" w:hanging="370"/>
      </w:pPr>
      <w:rPr>
        <w:rFonts w:hint="default"/>
        <w:lang w:val="zh-CN" w:eastAsia="zh-CN" w:bidi="zh-CN"/>
      </w:rPr>
    </w:lvl>
    <w:lvl w:ilvl="3" w:tentative="0">
      <w:start w:val="0"/>
      <w:numFmt w:val="bullet"/>
      <w:lvlText w:val="•"/>
      <w:lvlJc w:val="left"/>
      <w:pPr>
        <w:ind w:left="3387" w:hanging="370"/>
      </w:pPr>
      <w:rPr>
        <w:rFonts w:hint="default"/>
        <w:lang w:val="zh-CN" w:eastAsia="zh-CN" w:bidi="zh-CN"/>
      </w:rPr>
    </w:lvl>
    <w:lvl w:ilvl="4" w:tentative="0">
      <w:start w:val="0"/>
      <w:numFmt w:val="bullet"/>
      <w:lvlText w:val="•"/>
      <w:lvlJc w:val="left"/>
      <w:pPr>
        <w:ind w:left="4350" w:hanging="370"/>
      </w:pPr>
      <w:rPr>
        <w:rFonts w:hint="default"/>
        <w:lang w:val="zh-CN" w:eastAsia="zh-CN" w:bidi="zh-CN"/>
      </w:rPr>
    </w:lvl>
    <w:lvl w:ilvl="5" w:tentative="0">
      <w:start w:val="0"/>
      <w:numFmt w:val="bullet"/>
      <w:lvlText w:val="•"/>
      <w:lvlJc w:val="left"/>
      <w:pPr>
        <w:ind w:left="5313" w:hanging="370"/>
      </w:pPr>
      <w:rPr>
        <w:rFonts w:hint="default"/>
        <w:lang w:val="zh-CN" w:eastAsia="zh-CN" w:bidi="zh-CN"/>
      </w:rPr>
    </w:lvl>
    <w:lvl w:ilvl="6" w:tentative="0">
      <w:start w:val="0"/>
      <w:numFmt w:val="bullet"/>
      <w:lvlText w:val="•"/>
      <w:lvlJc w:val="left"/>
      <w:pPr>
        <w:ind w:left="6275" w:hanging="370"/>
      </w:pPr>
      <w:rPr>
        <w:rFonts w:hint="default"/>
        <w:lang w:val="zh-CN" w:eastAsia="zh-CN" w:bidi="zh-CN"/>
      </w:rPr>
    </w:lvl>
    <w:lvl w:ilvl="7" w:tentative="0">
      <w:start w:val="0"/>
      <w:numFmt w:val="bullet"/>
      <w:lvlText w:val="•"/>
      <w:lvlJc w:val="left"/>
      <w:pPr>
        <w:ind w:left="7238" w:hanging="370"/>
      </w:pPr>
      <w:rPr>
        <w:rFonts w:hint="default"/>
        <w:lang w:val="zh-CN" w:eastAsia="zh-CN" w:bidi="zh-CN"/>
      </w:rPr>
    </w:lvl>
    <w:lvl w:ilvl="8" w:tentative="0">
      <w:start w:val="0"/>
      <w:numFmt w:val="bullet"/>
      <w:lvlText w:val="•"/>
      <w:lvlJc w:val="left"/>
      <w:pPr>
        <w:ind w:left="8201" w:hanging="370"/>
      </w:pPr>
      <w:rPr>
        <w:rFonts w:hint="default"/>
        <w:lang w:val="zh-CN" w:eastAsia="zh-CN" w:bidi="zh-CN"/>
      </w:rPr>
    </w:lvl>
  </w:abstractNum>
  <w:abstractNum w:abstractNumId="12">
    <w:nsid w:val="6CB52B1F"/>
    <w:multiLevelType w:val="multilevel"/>
    <w:tmpl w:val="6CB52B1F"/>
    <w:lvl w:ilvl="0" w:tentative="0">
      <w:start w:val="5"/>
      <w:numFmt w:val="decimal"/>
      <w:lvlText w:val="%1"/>
      <w:lvlJc w:val="left"/>
      <w:pPr>
        <w:ind w:left="504" w:hanging="370"/>
      </w:pPr>
      <w:rPr>
        <w:rFonts w:hint="default"/>
        <w:lang w:val="zh-CN" w:eastAsia="zh-CN" w:bidi="zh-CN"/>
      </w:rPr>
    </w:lvl>
    <w:lvl w:ilvl="1" w:tentative="0">
      <w:start w:val="1"/>
      <w:numFmt w:val="decimal"/>
      <w:lvlText w:val="%1.%2"/>
      <w:lvlJc w:val="left"/>
      <w:pPr>
        <w:ind w:left="504" w:hanging="370"/>
      </w:pPr>
      <w:rPr>
        <w:rFonts w:hint="default" w:ascii="仿宋" w:hAnsi="仿宋" w:eastAsia="仿宋" w:cs="仿宋"/>
        <w:w w:val="100"/>
        <w:sz w:val="21"/>
        <w:szCs w:val="21"/>
        <w:lang w:val="zh-CN" w:eastAsia="zh-CN" w:bidi="zh-CN"/>
      </w:rPr>
    </w:lvl>
    <w:lvl w:ilvl="2" w:tentative="0">
      <w:start w:val="0"/>
      <w:numFmt w:val="bullet"/>
      <w:lvlText w:val="•"/>
      <w:lvlJc w:val="left"/>
      <w:pPr>
        <w:ind w:left="2425" w:hanging="370"/>
      </w:pPr>
      <w:rPr>
        <w:rFonts w:hint="default"/>
        <w:lang w:val="zh-CN" w:eastAsia="zh-CN" w:bidi="zh-CN"/>
      </w:rPr>
    </w:lvl>
    <w:lvl w:ilvl="3" w:tentative="0">
      <w:start w:val="0"/>
      <w:numFmt w:val="bullet"/>
      <w:lvlText w:val="•"/>
      <w:lvlJc w:val="left"/>
      <w:pPr>
        <w:ind w:left="3387" w:hanging="370"/>
      </w:pPr>
      <w:rPr>
        <w:rFonts w:hint="default"/>
        <w:lang w:val="zh-CN" w:eastAsia="zh-CN" w:bidi="zh-CN"/>
      </w:rPr>
    </w:lvl>
    <w:lvl w:ilvl="4" w:tentative="0">
      <w:start w:val="0"/>
      <w:numFmt w:val="bullet"/>
      <w:lvlText w:val="•"/>
      <w:lvlJc w:val="left"/>
      <w:pPr>
        <w:ind w:left="4350" w:hanging="370"/>
      </w:pPr>
      <w:rPr>
        <w:rFonts w:hint="default"/>
        <w:lang w:val="zh-CN" w:eastAsia="zh-CN" w:bidi="zh-CN"/>
      </w:rPr>
    </w:lvl>
    <w:lvl w:ilvl="5" w:tentative="0">
      <w:start w:val="0"/>
      <w:numFmt w:val="bullet"/>
      <w:lvlText w:val="•"/>
      <w:lvlJc w:val="left"/>
      <w:pPr>
        <w:ind w:left="5313" w:hanging="370"/>
      </w:pPr>
      <w:rPr>
        <w:rFonts w:hint="default"/>
        <w:lang w:val="zh-CN" w:eastAsia="zh-CN" w:bidi="zh-CN"/>
      </w:rPr>
    </w:lvl>
    <w:lvl w:ilvl="6" w:tentative="0">
      <w:start w:val="0"/>
      <w:numFmt w:val="bullet"/>
      <w:lvlText w:val="•"/>
      <w:lvlJc w:val="left"/>
      <w:pPr>
        <w:ind w:left="6275" w:hanging="370"/>
      </w:pPr>
      <w:rPr>
        <w:rFonts w:hint="default"/>
        <w:lang w:val="zh-CN" w:eastAsia="zh-CN" w:bidi="zh-CN"/>
      </w:rPr>
    </w:lvl>
    <w:lvl w:ilvl="7" w:tentative="0">
      <w:start w:val="0"/>
      <w:numFmt w:val="bullet"/>
      <w:lvlText w:val="•"/>
      <w:lvlJc w:val="left"/>
      <w:pPr>
        <w:ind w:left="7238" w:hanging="370"/>
      </w:pPr>
      <w:rPr>
        <w:rFonts w:hint="default"/>
        <w:lang w:val="zh-CN" w:eastAsia="zh-CN" w:bidi="zh-CN"/>
      </w:rPr>
    </w:lvl>
    <w:lvl w:ilvl="8" w:tentative="0">
      <w:start w:val="0"/>
      <w:numFmt w:val="bullet"/>
      <w:lvlText w:val="•"/>
      <w:lvlJc w:val="left"/>
      <w:pPr>
        <w:ind w:left="8201" w:hanging="370"/>
      </w:pPr>
      <w:rPr>
        <w:rFonts w:hint="default"/>
        <w:lang w:val="zh-CN" w:eastAsia="zh-CN" w:bidi="zh-CN"/>
      </w:rPr>
    </w:lvl>
  </w:abstractNum>
  <w:num w:numId="1">
    <w:abstractNumId w:val="7"/>
  </w:num>
  <w:num w:numId="2">
    <w:abstractNumId w:val="1"/>
  </w:num>
  <w:num w:numId="3">
    <w:abstractNumId w:val="10"/>
  </w:num>
  <w:num w:numId="4">
    <w:abstractNumId w:val="12"/>
  </w:num>
  <w:num w:numId="5">
    <w:abstractNumId w:val="9"/>
  </w:num>
  <w:num w:numId="6">
    <w:abstractNumId w:val="2"/>
  </w:num>
  <w:num w:numId="7">
    <w:abstractNumId w:val="11"/>
  </w:num>
  <w:num w:numId="8">
    <w:abstractNumId w:val="8"/>
  </w:num>
  <w:num w:numId="9">
    <w:abstractNumId w:val="6"/>
  </w:num>
  <w:num w:numId="10">
    <w:abstractNumId w:val="5"/>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YjIwZjU0OWZmNTczZDEyMGZlOTBkMGFhMGFlZDYifQ=="/>
  </w:docVars>
  <w:rsids>
    <w:rsidRoot w:val="003930AE"/>
    <w:rsid w:val="00000CF7"/>
    <w:rsid w:val="000011AC"/>
    <w:rsid w:val="00001B42"/>
    <w:rsid w:val="00002E68"/>
    <w:rsid w:val="000033B2"/>
    <w:rsid w:val="00004638"/>
    <w:rsid w:val="00004ED0"/>
    <w:rsid w:val="0000621B"/>
    <w:rsid w:val="00014887"/>
    <w:rsid w:val="0001559B"/>
    <w:rsid w:val="0001694D"/>
    <w:rsid w:val="00020097"/>
    <w:rsid w:val="00020D4C"/>
    <w:rsid w:val="00020F87"/>
    <w:rsid w:val="00025A0F"/>
    <w:rsid w:val="0002619A"/>
    <w:rsid w:val="00026F3E"/>
    <w:rsid w:val="00032898"/>
    <w:rsid w:val="00032B0D"/>
    <w:rsid w:val="00033965"/>
    <w:rsid w:val="00033D04"/>
    <w:rsid w:val="00034E29"/>
    <w:rsid w:val="00035C05"/>
    <w:rsid w:val="00042CDE"/>
    <w:rsid w:val="00044745"/>
    <w:rsid w:val="00044C4D"/>
    <w:rsid w:val="00050F58"/>
    <w:rsid w:val="000512CE"/>
    <w:rsid w:val="0005150B"/>
    <w:rsid w:val="00052AF0"/>
    <w:rsid w:val="000542C7"/>
    <w:rsid w:val="00054D06"/>
    <w:rsid w:val="00054D22"/>
    <w:rsid w:val="00056E71"/>
    <w:rsid w:val="00061FE5"/>
    <w:rsid w:val="000623F2"/>
    <w:rsid w:val="00066726"/>
    <w:rsid w:val="000717E6"/>
    <w:rsid w:val="00071BC6"/>
    <w:rsid w:val="00073680"/>
    <w:rsid w:val="0007420D"/>
    <w:rsid w:val="00074A4E"/>
    <w:rsid w:val="00076ABB"/>
    <w:rsid w:val="00077163"/>
    <w:rsid w:val="00083C48"/>
    <w:rsid w:val="00084161"/>
    <w:rsid w:val="000845A7"/>
    <w:rsid w:val="0008555A"/>
    <w:rsid w:val="00085D40"/>
    <w:rsid w:val="000874DE"/>
    <w:rsid w:val="00087EB6"/>
    <w:rsid w:val="000909E5"/>
    <w:rsid w:val="000917E3"/>
    <w:rsid w:val="000947E8"/>
    <w:rsid w:val="00095B90"/>
    <w:rsid w:val="000962EE"/>
    <w:rsid w:val="000972F1"/>
    <w:rsid w:val="000A0F26"/>
    <w:rsid w:val="000A32A9"/>
    <w:rsid w:val="000A3556"/>
    <w:rsid w:val="000A4392"/>
    <w:rsid w:val="000A4F38"/>
    <w:rsid w:val="000A5B4C"/>
    <w:rsid w:val="000B0867"/>
    <w:rsid w:val="000B1665"/>
    <w:rsid w:val="000B1F01"/>
    <w:rsid w:val="000B3B6F"/>
    <w:rsid w:val="000B3CFB"/>
    <w:rsid w:val="000C1FE2"/>
    <w:rsid w:val="000C33C6"/>
    <w:rsid w:val="000C44BD"/>
    <w:rsid w:val="000C5AC7"/>
    <w:rsid w:val="000C69C7"/>
    <w:rsid w:val="000C713D"/>
    <w:rsid w:val="000C7208"/>
    <w:rsid w:val="000D5A31"/>
    <w:rsid w:val="000D5F5C"/>
    <w:rsid w:val="000D60B1"/>
    <w:rsid w:val="000D6DDD"/>
    <w:rsid w:val="000D7147"/>
    <w:rsid w:val="000E0213"/>
    <w:rsid w:val="000E0957"/>
    <w:rsid w:val="000E0EA7"/>
    <w:rsid w:val="000E2386"/>
    <w:rsid w:val="000E338C"/>
    <w:rsid w:val="000E371A"/>
    <w:rsid w:val="000E7A02"/>
    <w:rsid w:val="000F037C"/>
    <w:rsid w:val="000F07C8"/>
    <w:rsid w:val="000F14BB"/>
    <w:rsid w:val="000F334F"/>
    <w:rsid w:val="000F360B"/>
    <w:rsid w:val="000F478B"/>
    <w:rsid w:val="000F4D15"/>
    <w:rsid w:val="00104A2D"/>
    <w:rsid w:val="00104ADF"/>
    <w:rsid w:val="001078E9"/>
    <w:rsid w:val="001158C3"/>
    <w:rsid w:val="00115F02"/>
    <w:rsid w:val="00116997"/>
    <w:rsid w:val="00117E3B"/>
    <w:rsid w:val="001223B3"/>
    <w:rsid w:val="00124328"/>
    <w:rsid w:val="001243A9"/>
    <w:rsid w:val="0012484F"/>
    <w:rsid w:val="001275E6"/>
    <w:rsid w:val="00130D29"/>
    <w:rsid w:val="001338AC"/>
    <w:rsid w:val="00136D6A"/>
    <w:rsid w:val="001419B4"/>
    <w:rsid w:val="00141CB9"/>
    <w:rsid w:val="001433B0"/>
    <w:rsid w:val="00152DD8"/>
    <w:rsid w:val="00157198"/>
    <w:rsid w:val="001576C3"/>
    <w:rsid w:val="001579AB"/>
    <w:rsid w:val="00161FE0"/>
    <w:rsid w:val="001652DE"/>
    <w:rsid w:val="0017058F"/>
    <w:rsid w:val="001718EC"/>
    <w:rsid w:val="00171CDC"/>
    <w:rsid w:val="001755BF"/>
    <w:rsid w:val="00183148"/>
    <w:rsid w:val="0018557A"/>
    <w:rsid w:val="00187E6F"/>
    <w:rsid w:val="00190A68"/>
    <w:rsid w:val="001921B0"/>
    <w:rsid w:val="001A2E4B"/>
    <w:rsid w:val="001A5668"/>
    <w:rsid w:val="001A6B65"/>
    <w:rsid w:val="001A7726"/>
    <w:rsid w:val="001A7800"/>
    <w:rsid w:val="001B0AC6"/>
    <w:rsid w:val="001B0AFD"/>
    <w:rsid w:val="001B3800"/>
    <w:rsid w:val="001B6102"/>
    <w:rsid w:val="001B7880"/>
    <w:rsid w:val="001C1FF2"/>
    <w:rsid w:val="001C2324"/>
    <w:rsid w:val="001C385D"/>
    <w:rsid w:val="001C5956"/>
    <w:rsid w:val="001C72D6"/>
    <w:rsid w:val="001C7C1B"/>
    <w:rsid w:val="001D3365"/>
    <w:rsid w:val="001D5130"/>
    <w:rsid w:val="001D7FA3"/>
    <w:rsid w:val="001E0B50"/>
    <w:rsid w:val="001E17F4"/>
    <w:rsid w:val="001E27FD"/>
    <w:rsid w:val="001E2B70"/>
    <w:rsid w:val="001E2D97"/>
    <w:rsid w:val="001E4D10"/>
    <w:rsid w:val="001E720C"/>
    <w:rsid w:val="001F07FD"/>
    <w:rsid w:val="001F0E78"/>
    <w:rsid w:val="001F11C5"/>
    <w:rsid w:val="001F191D"/>
    <w:rsid w:val="001F5481"/>
    <w:rsid w:val="001F5C78"/>
    <w:rsid w:val="001F7DEF"/>
    <w:rsid w:val="00200802"/>
    <w:rsid w:val="002032EF"/>
    <w:rsid w:val="002037CE"/>
    <w:rsid w:val="00203B0D"/>
    <w:rsid w:val="00205207"/>
    <w:rsid w:val="0020549E"/>
    <w:rsid w:val="002055A5"/>
    <w:rsid w:val="00206EF1"/>
    <w:rsid w:val="00207D2B"/>
    <w:rsid w:val="00207E01"/>
    <w:rsid w:val="002101AB"/>
    <w:rsid w:val="00210D5C"/>
    <w:rsid w:val="002124D5"/>
    <w:rsid w:val="0022248F"/>
    <w:rsid w:val="0022275E"/>
    <w:rsid w:val="0022604B"/>
    <w:rsid w:val="00227300"/>
    <w:rsid w:val="002279DC"/>
    <w:rsid w:val="00227FE3"/>
    <w:rsid w:val="00232998"/>
    <w:rsid w:val="00233BAB"/>
    <w:rsid w:val="002351E2"/>
    <w:rsid w:val="002351E5"/>
    <w:rsid w:val="00235EC5"/>
    <w:rsid w:val="00237CE3"/>
    <w:rsid w:val="00242BFB"/>
    <w:rsid w:val="00245611"/>
    <w:rsid w:val="00251FA8"/>
    <w:rsid w:val="002520B6"/>
    <w:rsid w:val="00254DFE"/>
    <w:rsid w:val="00257BFA"/>
    <w:rsid w:val="002605AD"/>
    <w:rsid w:val="002617F5"/>
    <w:rsid w:val="00264DD3"/>
    <w:rsid w:val="002665A3"/>
    <w:rsid w:val="00266AF8"/>
    <w:rsid w:val="00266D87"/>
    <w:rsid w:val="002677A8"/>
    <w:rsid w:val="00270DB0"/>
    <w:rsid w:val="00271E52"/>
    <w:rsid w:val="00272758"/>
    <w:rsid w:val="002773B6"/>
    <w:rsid w:val="0028231A"/>
    <w:rsid w:val="00283AF0"/>
    <w:rsid w:val="002861BD"/>
    <w:rsid w:val="002861E0"/>
    <w:rsid w:val="002903D3"/>
    <w:rsid w:val="00294B03"/>
    <w:rsid w:val="002A145C"/>
    <w:rsid w:val="002A3586"/>
    <w:rsid w:val="002A5341"/>
    <w:rsid w:val="002B7E73"/>
    <w:rsid w:val="002C0164"/>
    <w:rsid w:val="002C0D08"/>
    <w:rsid w:val="002C19DC"/>
    <w:rsid w:val="002C2AF3"/>
    <w:rsid w:val="002C2E93"/>
    <w:rsid w:val="002C3AC5"/>
    <w:rsid w:val="002C76FB"/>
    <w:rsid w:val="002C778A"/>
    <w:rsid w:val="002D2937"/>
    <w:rsid w:val="002D5417"/>
    <w:rsid w:val="002D6A74"/>
    <w:rsid w:val="002E091E"/>
    <w:rsid w:val="002E221E"/>
    <w:rsid w:val="002E4653"/>
    <w:rsid w:val="002E4C22"/>
    <w:rsid w:val="002E5E04"/>
    <w:rsid w:val="002F0429"/>
    <w:rsid w:val="002F0945"/>
    <w:rsid w:val="002F170B"/>
    <w:rsid w:val="002F3A18"/>
    <w:rsid w:val="002F3AF6"/>
    <w:rsid w:val="002F462A"/>
    <w:rsid w:val="002F5FAD"/>
    <w:rsid w:val="003005FB"/>
    <w:rsid w:val="003013A2"/>
    <w:rsid w:val="003029B2"/>
    <w:rsid w:val="00302F84"/>
    <w:rsid w:val="00303D97"/>
    <w:rsid w:val="00307363"/>
    <w:rsid w:val="00311D0C"/>
    <w:rsid w:val="003128F0"/>
    <w:rsid w:val="00312C38"/>
    <w:rsid w:val="0031572C"/>
    <w:rsid w:val="00315B31"/>
    <w:rsid w:val="00315CA7"/>
    <w:rsid w:val="003173CF"/>
    <w:rsid w:val="00317915"/>
    <w:rsid w:val="00320545"/>
    <w:rsid w:val="003214EF"/>
    <w:rsid w:val="00322CAC"/>
    <w:rsid w:val="00323CF5"/>
    <w:rsid w:val="00324B07"/>
    <w:rsid w:val="0033161A"/>
    <w:rsid w:val="00332215"/>
    <w:rsid w:val="00332BE4"/>
    <w:rsid w:val="00333960"/>
    <w:rsid w:val="00333B9C"/>
    <w:rsid w:val="003356ED"/>
    <w:rsid w:val="003378A0"/>
    <w:rsid w:val="003378BC"/>
    <w:rsid w:val="003447C8"/>
    <w:rsid w:val="00356AAC"/>
    <w:rsid w:val="00356DA7"/>
    <w:rsid w:val="0035739E"/>
    <w:rsid w:val="0036060B"/>
    <w:rsid w:val="00360E5F"/>
    <w:rsid w:val="0036104A"/>
    <w:rsid w:val="00364059"/>
    <w:rsid w:val="00364107"/>
    <w:rsid w:val="00364A59"/>
    <w:rsid w:val="0036508B"/>
    <w:rsid w:val="00365103"/>
    <w:rsid w:val="00367249"/>
    <w:rsid w:val="00370104"/>
    <w:rsid w:val="00370386"/>
    <w:rsid w:val="00371EB0"/>
    <w:rsid w:val="00372C66"/>
    <w:rsid w:val="00372E25"/>
    <w:rsid w:val="00373DE2"/>
    <w:rsid w:val="00374CCE"/>
    <w:rsid w:val="00374E81"/>
    <w:rsid w:val="00376490"/>
    <w:rsid w:val="003815F7"/>
    <w:rsid w:val="00382CD9"/>
    <w:rsid w:val="00385EF2"/>
    <w:rsid w:val="0038603D"/>
    <w:rsid w:val="003878D1"/>
    <w:rsid w:val="003930AE"/>
    <w:rsid w:val="00397DF2"/>
    <w:rsid w:val="003A0A9D"/>
    <w:rsid w:val="003A2B77"/>
    <w:rsid w:val="003A4978"/>
    <w:rsid w:val="003A562A"/>
    <w:rsid w:val="003A65AB"/>
    <w:rsid w:val="003A6EE2"/>
    <w:rsid w:val="003B0617"/>
    <w:rsid w:val="003B0976"/>
    <w:rsid w:val="003B5877"/>
    <w:rsid w:val="003B5E22"/>
    <w:rsid w:val="003C02CA"/>
    <w:rsid w:val="003C3666"/>
    <w:rsid w:val="003C425F"/>
    <w:rsid w:val="003C5326"/>
    <w:rsid w:val="003C6ED1"/>
    <w:rsid w:val="003D0F3F"/>
    <w:rsid w:val="003D16C6"/>
    <w:rsid w:val="003D20C2"/>
    <w:rsid w:val="003D3249"/>
    <w:rsid w:val="003D4B9D"/>
    <w:rsid w:val="003D4F7C"/>
    <w:rsid w:val="003D679B"/>
    <w:rsid w:val="003E017B"/>
    <w:rsid w:val="003E236E"/>
    <w:rsid w:val="003E3C77"/>
    <w:rsid w:val="003E46BB"/>
    <w:rsid w:val="003E57CC"/>
    <w:rsid w:val="003E651F"/>
    <w:rsid w:val="003E6859"/>
    <w:rsid w:val="003F0CDC"/>
    <w:rsid w:val="003F1718"/>
    <w:rsid w:val="003F4C65"/>
    <w:rsid w:val="00401FCA"/>
    <w:rsid w:val="0040217B"/>
    <w:rsid w:val="0040354F"/>
    <w:rsid w:val="0040384D"/>
    <w:rsid w:val="00404287"/>
    <w:rsid w:val="0040496A"/>
    <w:rsid w:val="0040689E"/>
    <w:rsid w:val="00411907"/>
    <w:rsid w:val="00411932"/>
    <w:rsid w:val="004149E7"/>
    <w:rsid w:val="0041559F"/>
    <w:rsid w:val="00416919"/>
    <w:rsid w:val="00417829"/>
    <w:rsid w:val="00417C47"/>
    <w:rsid w:val="004206B7"/>
    <w:rsid w:val="00421F42"/>
    <w:rsid w:val="00422167"/>
    <w:rsid w:val="00423710"/>
    <w:rsid w:val="00423C5A"/>
    <w:rsid w:val="00424206"/>
    <w:rsid w:val="00425AFB"/>
    <w:rsid w:val="00426C33"/>
    <w:rsid w:val="004270CC"/>
    <w:rsid w:val="00434DD7"/>
    <w:rsid w:val="004353CC"/>
    <w:rsid w:val="004354B7"/>
    <w:rsid w:val="004370E0"/>
    <w:rsid w:val="00437E1A"/>
    <w:rsid w:val="00440A64"/>
    <w:rsid w:val="004426AA"/>
    <w:rsid w:val="00442C79"/>
    <w:rsid w:val="00443EE4"/>
    <w:rsid w:val="00444A71"/>
    <w:rsid w:val="004469B3"/>
    <w:rsid w:val="00446A6B"/>
    <w:rsid w:val="00447096"/>
    <w:rsid w:val="0044745F"/>
    <w:rsid w:val="004478D0"/>
    <w:rsid w:val="00453AE8"/>
    <w:rsid w:val="00453E7F"/>
    <w:rsid w:val="0046011E"/>
    <w:rsid w:val="00462F14"/>
    <w:rsid w:val="00463370"/>
    <w:rsid w:val="004647FB"/>
    <w:rsid w:val="00466A96"/>
    <w:rsid w:val="00474A13"/>
    <w:rsid w:val="004752BA"/>
    <w:rsid w:val="00476002"/>
    <w:rsid w:val="004766FE"/>
    <w:rsid w:val="00482E80"/>
    <w:rsid w:val="00483303"/>
    <w:rsid w:val="00483762"/>
    <w:rsid w:val="00486F9C"/>
    <w:rsid w:val="00490233"/>
    <w:rsid w:val="00491B19"/>
    <w:rsid w:val="0049267D"/>
    <w:rsid w:val="00492E1D"/>
    <w:rsid w:val="00495925"/>
    <w:rsid w:val="00495B6A"/>
    <w:rsid w:val="00495B95"/>
    <w:rsid w:val="00496C65"/>
    <w:rsid w:val="004A020E"/>
    <w:rsid w:val="004A1EF7"/>
    <w:rsid w:val="004B1E58"/>
    <w:rsid w:val="004B1F6E"/>
    <w:rsid w:val="004B355F"/>
    <w:rsid w:val="004B3570"/>
    <w:rsid w:val="004C0426"/>
    <w:rsid w:val="004C09FB"/>
    <w:rsid w:val="004C0E68"/>
    <w:rsid w:val="004C17DD"/>
    <w:rsid w:val="004C69B4"/>
    <w:rsid w:val="004D0189"/>
    <w:rsid w:val="004D0CB6"/>
    <w:rsid w:val="004D1172"/>
    <w:rsid w:val="004D26EF"/>
    <w:rsid w:val="004D404A"/>
    <w:rsid w:val="004D58F5"/>
    <w:rsid w:val="004E0E8C"/>
    <w:rsid w:val="004E1B3B"/>
    <w:rsid w:val="004E2FEE"/>
    <w:rsid w:val="004E3AEA"/>
    <w:rsid w:val="004F0385"/>
    <w:rsid w:val="004F36EC"/>
    <w:rsid w:val="004F6A03"/>
    <w:rsid w:val="004F6AA8"/>
    <w:rsid w:val="004F6AC2"/>
    <w:rsid w:val="00501D70"/>
    <w:rsid w:val="0050604A"/>
    <w:rsid w:val="00506509"/>
    <w:rsid w:val="0051284B"/>
    <w:rsid w:val="00512A5B"/>
    <w:rsid w:val="00512EB2"/>
    <w:rsid w:val="005143C3"/>
    <w:rsid w:val="00514E00"/>
    <w:rsid w:val="00520049"/>
    <w:rsid w:val="0052041D"/>
    <w:rsid w:val="00520B48"/>
    <w:rsid w:val="00520FC2"/>
    <w:rsid w:val="00523D9A"/>
    <w:rsid w:val="0052750F"/>
    <w:rsid w:val="00534602"/>
    <w:rsid w:val="005348B8"/>
    <w:rsid w:val="005370A7"/>
    <w:rsid w:val="005403EC"/>
    <w:rsid w:val="00543665"/>
    <w:rsid w:val="005445AE"/>
    <w:rsid w:val="00547014"/>
    <w:rsid w:val="00547620"/>
    <w:rsid w:val="005506CE"/>
    <w:rsid w:val="00550B6E"/>
    <w:rsid w:val="00551E4F"/>
    <w:rsid w:val="00552B98"/>
    <w:rsid w:val="00553313"/>
    <w:rsid w:val="00553A52"/>
    <w:rsid w:val="00553C71"/>
    <w:rsid w:val="005542FA"/>
    <w:rsid w:val="00554A8A"/>
    <w:rsid w:val="00554C1F"/>
    <w:rsid w:val="005601BC"/>
    <w:rsid w:val="00565663"/>
    <w:rsid w:val="005657B3"/>
    <w:rsid w:val="005659D1"/>
    <w:rsid w:val="005660E8"/>
    <w:rsid w:val="00566FFA"/>
    <w:rsid w:val="00567434"/>
    <w:rsid w:val="005702D4"/>
    <w:rsid w:val="00571033"/>
    <w:rsid w:val="00571047"/>
    <w:rsid w:val="005734EF"/>
    <w:rsid w:val="005737C1"/>
    <w:rsid w:val="00574B9B"/>
    <w:rsid w:val="005754D3"/>
    <w:rsid w:val="005773FB"/>
    <w:rsid w:val="005801C3"/>
    <w:rsid w:val="00581773"/>
    <w:rsid w:val="005833EC"/>
    <w:rsid w:val="00583A33"/>
    <w:rsid w:val="0059086B"/>
    <w:rsid w:val="00596266"/>
    <w:rsid w:val="00596855"/>
    <w:rsid w:val="0059772A"/>
    <w:rsid w:val="005A01DE"/>
    <w:rsid w:val="005A1D65"/>
    <w:rsid w:val="005B0121"/>
    <w:rsid w:val="005B197F"/>
    <w:rsid w:val="005B1CA7"/>
    <w:rsid w:val="005C0197"/>
    <w:rsid w:val="005C15B5"/>
    <w:rsid w:val="005C3959"/>
    <w:rsid w:val="005C3B3D"/>
    <w:rsid w:val="005C3B46"/>
    <w:rsid w:val="005C7111"/>
    <w:rsid w:val="005C7FA3"/>
    <w:rsid w:val="005D3432"/>
    <w:rsid w:val="005D48EA"/>
    <w:rsid w:val="005D4B26"/>
    <w:rsid w:val="005D5E92"/>
    <w:rsid w:val="005E11A1"/>
    <w:rsid w:val="005E6035"/>
    <w:rsid w:val="005F0FF9"/>
    <w:rsid w:val="005F3779"/>
    <w:rsid w:val="005F3FB0"/>
    <w:rsid w:val="005F4DB3"/>
    <w:rsid w:val="005F71E5"/>
    <w:rsid w:val="005F7F16"/>
    <w:rsid w:val="00600D22"/>
    <w:rsid w:val="00602A34"/>
    <w:rsid w:val="006044F9"/>
    <w:rsid w:val="00605FEE"/>
    <w:rsid w:val="006123FF"/>
    <w:rsid w:val="00613CE5"/>
    <w:rsid w:val="0061605D"/>
    <w:rsid w:val="006172C7"/>
    <w:rsid w:val="006229EF"/>
    <w:rsid w:val="00623221"/>
    <w:rsid w:val="00623B02"/>
    <w:rsid w:val="006248DA"/>
    <w:rsid w:val="00624A0A"/>
    <w:rsid w:val="0063317A"/>
    <w:rsid w:val="0063353E"/>
    <w:rsid w:val="00633EE0"/>
    <w:rsid w:val="006340FD"/>
    <w:rsid w:val="00636A64"/>
    <w:rsid w:val="00642523"/>
    <w:rsid w:val="00643EC9"/>
    <w:rsid w:val="00644667"/>
    <w:rsid w:val="006464ED"/>
    <w:rsid w:val="006509AE"/>
    <w:rsid w:val="00651301"/>
    <w:rsid w:val="00652453"/>
    <w:rsid w:val="0065360F"/>
    <w:rsid w:val="00653F60"/>
    <w:rsid w:val="00655924"/>
    <w:rsid w:val="0065606F"/>
    <w:rsid w:val="00656E38"/>
    <w:rsid w:val="00656F4E"/>
    <w:rsid w:val="00657195"/>
    <w:rsid w:val="00662497"/>
    <w:rsid w:val="006645B0"/>
    <w:rsid w:val="00667448"/>
    <w:rsid w:val="0067096C"/>
    <w:rsid w:val="00671D07"/>
    <w:rsid w:val="00673AD3"/>
    <w:rsid w:val="006749A2"/>
    <w:rsid w:val="00676F7C"/>
    <w:rsid w:val="006815C9"/>
    <w:rsid w:val="00681849"/>
    <w:rsid w:val="006818E6"/>
    <w:rsid w:val="0068190E"/>
    <w:rsid w:val="00681B81"/>
    <w:rsid w:val="00683C1F"/>
    <w:rsid w:val="006842D5"/>
    <w:rsid w:val="00684DE0"/>
    <w:rsid w:val="0069196C"/>
    <w:rsid w:val="00695650"/>
    <w:rsid w:val="00696D2E"/>
    <w:rsid w:val="006973D8"/>
    <w:rsid w:val="006977E9"/>
    <w:rsid w:val="00697D6F"/>
    <w:rsid w:val="006A14AE"/>
    <w:rsid w:val="006A52B9"/>
    <w:rsid w:val="006A7F8F"/>
    <w:rsid w:val="006B00D1"/>
    <w:rsid w:val="006B075F"/>
    <w:rsid w:val="006B284E"/>
    <w:rsid w:val="006B4DBE"/>
    <w:rsid w:val="006B6847"/>
    <w:rsid w:val="006B72AD"/>
    <w:rsid w:val="006B7A3F"/>
    <w:rsid w:val="006C0789"/>
    <w:rsid w:val="006C0D58"/>
    <w:rsid w:val="006C1744"/>
    <w:rsid w:val="006C21DA"/>
    <w:rsid w:val="006C31CA"/>
    <w:rsid w:val="006C3343"/>
    <w:rsid w:val="006C37D0"/>
    <w:rsid w:val="006C3BB1"/>
    <w:rsid w:val="006C3E4F"/>
    <w:rsid w:val="006C55C5"/>
    <w:rsid w:val="006C7CE0"/>
    <w:rsid w:val="006D2969"/>
    <w:rsid w:val="006D3AA6"/>
    <w:rsid w:val="006D6C3C"/>
    <w:rsid w:val="006E7101"/>
    <w:rsid w:val="006F0CB3"/>
    <w:rsid w:val="006F1ABF"/>
    <w:rsid w:val="006F25C4"/>
    <w:rsid w:val="006F363F"/>
    <w:rsid w:val="006F6C4E"/>
    <w:rsid w:val="00700791"/>
    <w:rsid w:val="00700A85"/>
    <w:rsid w:val="0070299D"/>
    <w:rsid w:val="007033C1"/>
    <w:rsid w:val="0070502D"/>
    <w:rsid w:val="00705A21"/>
    <w:rsid w:val="00706090"/>
    <w:rsid w:val="007065E1"/>
    <w:rsid w:val="00710227"/>
    <w:rsid w:val="00711347"/>
    <w:rsid w:val="0071247E"/>
    <w:rsid w:val="0071485D"/>
    <w:rsid w:val="00714888"/>
    <w:rsid w:val="007161F9"/>
    <w:rsid w:val="00716333"/>
    <w:rsid w:val="007163BB"/>
    <w:rsid w:val="0072196A"/>
    <w:rsid w:val="00722CB2"/>
    <w:rsid w:val="00723AB6"/>
    <w:rsid w:val="00724265"/>
    <w:rsid w:val="007249D8"/>
    <w:rsid w:val="007311E2"/>
    <w:rsid w:val="007312AE"/>
    <w:rsid w:val="00731665"/>
    <w:rsid w:val="00734AE8"/>
    <w:rsid w:val="0073553B"/>
    <w:rsid w:val="00737E59"/>
    <w:rsid w:val="00740051"/>
    <w:rsid w:val="007406A1"/>
    <w:rsid w:val="007409BE"/>
    <w:rsid w:val="00743F4A"/>
    <w:rsid w:val="00746410"/>
    <w:rsid w:val="00751534"/>
    <w:rsid w:val="007534CF"/>
    <w:rsid w:val="007558B1"/>
    <w:rsid w:val="00766C92"/>
    <w:rsid w:val="00766EF5"/>
    <w:rsid w:val="00772200"/>
    <w:rsid w:val="0077395F"/>
    <w:rsid w:val="00775F7A"/>
    <w:rsid w:val="0077667C"/>
    <w:rsid w:val="00780685"/>
    <w:rsid w:val="0078242F"/>
    <w:rsid w:val="0078276B"/>
    <w:rsid w:val="007827CF"/>
    <w:rsid w:val="00782A47"/>
    <w:rsid w:val="00784DF9"/>
    <w:rsid w:val="0078684F"/>
    <w:rsid w:val="00786A93"/>
    <w:rsid w:val="00786D82"/>
    <w:rsid w:val="00791A76"/>
    <w:rsid w:val="00791B4F"/>
    <w:rsid w:val="00791D5B"/>
    <w:rsid w:val="007930D3"/>
    <w:rsid w:val="00793E6F"/>
    <w:rsid w:val="00794AC4"/>
    <w:rsid w:val="00794CDD"/>
    <w:rsid w:val="0079511E"/>
    <w:rsid w:val="00796F87"/>
    <w:rsid w:val="00797CF5"/>
    <w:rsid w:val="00797E54"/>
    <w:rsid w:val="007A0A23"/>
    <w:rsid w:val="007A3437"/>
    <w:rsid w:val="007A34F2"/>
    <w:rsid w:val="007A70B2"/>
    <w:rsid w:val="007B1AA3"/>
    <w:rsid w:val="007B2439"/>
    <w:rsid w:val="007B295D"/>
    <w:rsid w:val="007B2BEF"/>
    <w:rsid w:val="007B33A0"/>
    <w:rsid w:val="007B4301"/>
    <w:rsid w:val="007B6CC1"/>
    <w:rsid w:val="007C1DE4"/>
    <w:rsid w:val="007C4498"/>
    <w:rsid w:val="007C680A"/>
    <w:rsid w:val="007C7F68"/>
    <w:rsid w:val="007D2472"/>
    <w:rsid w:val="007D4E4E"/>
    <w:rsid w:val="007D5319"/>
    <w:rsid w:val="007D72E4"/>
    <w:rsid w:val="007E01B1"/>
    <w:rsid w:val="007E5F0F"/>
    <w:rsid w:val="007E7085"/>
    <w:rsid w:val="007F0DB0"/>
    <w:rsid w:val="007F11CA"/>
    <w:rsid w:val="007F1367"/>
    <w:rsid w:val="007F580A"/>
    <w:rsid w:val="00801362"/>
    <w:rsid w:val="008028A7"/>
    <w:rsid w:val="00802A9D"/>
    <w:rsid w:val="00804551"/>
    <w:rsid w:val="00805714"/>
    <w:rsid w:val="008069AD"/>
    <w:rsid w:val="00806BE5"/>
    <w:rsid w:val="0081229E"/>
    <w:rsid w:val="00812520"/>
    <w:rsid w:val="008142F4"/>
    <w:rsid w:val="00814B0B"/>
    <w:rsid w:val="00815ABC"/>
    <w:rsid w:val="00815DFF"/>
    <w:rsid w:val="008176FB"/>
    <w:rsid w:val="00821561"/>
    <w:rsid w:val="00821F7D"/>
    <w:rsid w:val="008228F4"/>
    <w:rsid w:val="00823B29"/>
    <w:rsid w:val="00825341"/>
    <w:rsid w:val="008253CA"/>
    <w:rsid w:val="00831255"/>
    <w:rsid w:val="00834DDB"/>
    <w:rsid w:val="00834ED5"/>
    <w:rsid w:val="00837C5E"/>
    <w:rsid w:val="00837F4C"/>
    <w:rsid w:val="00840665"/>
    <w:rsid w:val="00843422"/>
    <w:rsid w:val="00845D28"/>
    <w:rsid w:val="00846BC7"/>
    <w:rsid w:val="00847073"/>
    <w:rsid w:val="008475A5"/>
    <w:rsid w:val="00847D91"/>
    <w:rsid w:val="008511AC"/>
    <w:rsid w:val="00854646"/>
    <w:rsid w:val="00854813"/>
    <w:rsid w:val="0085567B"/>
    <w:rsid w:val="0085640C"/>
    <w:rsid w:val="008613C7"/>
    <w:rsid w:val="0086291B"/>
    <w:rsid w:val="008640E6"/>
    <w:rsid w:val="0086644C"/>
    <w:rsid w:val="00867D8B"/>
    <w:rsid w:val="008722D2"/>
    <w:rsid w:val="00872AD8"/>
    <w:rsid w:val="00872ADF"/>
    <w:rsid w:val="00875ABA"/>
    <w:rsid w:val="00877047"/>
    <w:rsid w:val="008774C4"/>
    <w:rsid w:val="00877D5C"/>
    <w:rsid w:val="00881DC6"/>
    <w:rsid w:val="00882373"/>
    <w:rsid w:val="00882ED2"/>
    <w:rsid w:val="00884102"/>
    <w:rsid w:val="0088643E"/>
    <w:rsid w:val="00887881"/>
    <w:rsid w:val="00887F27"/>
    <w:rsid w:val="00890B51"/>
    <w:rsid w:val="008924C6"/>
    <w:rsid w:val="0089530F"/>
    <w:rsid w:val="00895D14"/>
    <w:rsid w:val="00896E84"/>
    <w:rsid w:val="008A2CDB"/>
    <w:rsid w:val="008A37E4"/>
    <w:rsid w:val="008A4087"/>
    <w:rsid w:val="008A441B"/>
    <w:rsid w:val="008A4B3E"/>
    <w:rsid w:val="008A62FC"/>
    <w:rsid w:val="008A6389"/>
    <w:rsid w:val="008A63AB"/>
    <w:rsid w:val="008B0F2C"/>
    <w:rsid w:val="008B1753"/>
    <w:rsid w:val="008B327C"/>
    <w:rsid w:val="008B3477"/>
    <w:rsid w:val="008B58D3"/>
    <w:rsid w:val="008B6C58"/>
    <w:rsid w:val="008B6DB1"/>
    <w:rsid w:val="008C0025"/>
    <w:rsid w:val="008C0434"/>
    <w:rsid w:val="008C2862"/>
    <w:rsid w:val="008C75B4"/>
    <w:rsid w:val="008D2985"/>
    <w:rsid w:val="008D30A5"/>
    <w:rsid w:val="008D5BE0"/>
    <w:rsid w:val="008E214A"/>
    <w:rsid w:val="008E6B38"/>
    <w:rsid w:val="008E7C1F"/>
    <w:rsid w:val="008F5821"/>
    <w:rsid w:val="008F5973"/>
    <w:rsid w:val="0090330C"/>
    <w:rsid w:val="00903B54"/>
    <w:rsid w:val="009056CC"/>
    <w:rsid w:val="00910832"/>
    <w:rsid w:val="009123CF"/>
    <w:rsid w:val="00914D69"/>
    <w:rsid w:val="00915D38"/>
    <w:rsid w:val="00916497"/>
    <w:rsid w:val="009179F2"/>
    <w:rsid w:val="00920EFA"/>
    <w:rsid w:val="00921376"/>
    <w:rsid w:val="00921A7A"/>
    <w:rsid w:val="00922024"/>
    <w:rsid w:val="0092461C"/>
    <w:rsid w:val="0092561E"/>
    <w:rsid w:val="0092721B"/>
    <w:rsid w:val="00930F3B"/>
    <w:rsid w:val="0093146A"/>
    <w:rsid w:val="00931F27"/>
    <w:rsid w:val="00932091"/>
    <w:rsid w:val="00933327"/>
    <w:rsid w:val="00941B52"/>
    <w:rsid w:val="00942E11"/>
    <w:rsid w:val="00947CD6"/>
    <w:rsid w:val="00950E9F"/>
    <w:rsid w:val="009529AF"/>
    <w:rsid w:val="009543CF"/>
    <w:rsid w:val="0095578E"/>
    <w:rsid w:val="00956EB5"/>
    <w:rsid w:val="00957F87"/>
    <w:rsid w:val="00963B6F"/>
    <w:rsid w:val="00963FF6"/>
    <w:rsid w:val="009650D0"/>
    <w:rsid w:val="0097439E"/>
    <w:rsid w:val="009768D1"/>
    <w:rsid w:val="00977000"/>
    <w:rsid w:val="00977393"/>
    <w:rsid w:val="0097762C"/>
    <w:rsid w:val="00980B6D"/>
    <w:rsid w:val="00982763"/>
    <w:rsid w:val="00982834"/>
    <w:rsid w:val="00984FF0"/>
    <w:rsid w:val="009871DD"/>
    <w:rsid w:val="009871DE"/>
    <w:rsid w:val="00992609"/>
    <w:rsid w:val="00993833"/>
    <w:rsid w:val="009940D9"/>
    <w:rsid w:val="009945F6"/>
    <w:rsid w:val="009946B2"/>
    <w:rsid w:val="009964FB"/>
    <w:rsid w:val="009A00ED"/>
    <w:rsid w:val="009A0D6A"/>
    <w:rsid w:val="009A310F"/>
    <w:rsid w:val="009A5192"/>
    <w:rsid w:val="009B2998"/>
    <w:rsid w:val="009B2EA6"/>
    <w:rsid w:val="009B3E31"/>
    <w:rsid w:val="009B4C43"/>
    <w:rsid w:val="009B76F9"/>
    <w:rsid w:val="009B79C2"/>
    <w:rsid w:val="009C0FB6"/>
    <w:rsid w:val="009C1CE8"/>
    <w:rsid w:val="009C62C8"/>
    <w:rsid w:val="009D2E53"/>
    <w:rsid w:val="009D4A94"/>
    <w:rsid w:val="009D5160"/>
    <w:rsid w:val="009D57EB"/>
    <w:rsid w:val="009D616A"/>
    <w:rsid w:val="009D6973"/>
    <w:rsid w:val="009D69C8"/>
    <w:rsid w:val="009E644E"/>
    <w:rsid w:val="009E6CD7"/>
    <w:rsid w:val="009E7E5E"/>
    <w:rsid w:val="009F304F"/>
    <w:rsid w:val="009F4312"/>
    <w:rsid w:val="009F4B68"/>
    <w:rsid w:val="009F68A3"/>
    <w:rsid w:val="009F7332"/>
    <w:rsid w:val="00A01791"/>
    <w:rsid w:val="00A0438E"/>
    <w:rsid w:val="00A06D53"/>
    <w:rsid w:val="00A11890"/>
    <w:rsid w:val="00A16DAB"/>
    <w:rsid w:val="00A212FF"/>
    <w:rsid w:val="00A2210A"/>
    <w:rsid w:val="00A23928"/>
    <w:rsid w:val="00A24EEB"/>
    <w:rsid w:val="00A25600"/>
    <w:rsid w:val="00A27008"/>
    <w:rsid w:val="00A3157F"/>
    <w:rsid w:val="00A3249E"/>
    <w:rsid w:val="00A328B2"/>
    <w:rsid w:val="00A35280"/>
    <w:rsid w:val="00A36B33"/>
    <w:rsid w:val="00A43C45"/>
    <w:rsid w:val="00A44E57"/>
    <w:rsid w:val="00A46070"/>
    <w:rsid w:val="00A54977"/>
    <w:rsid w:val="00A56FD3"/>
    <w:rsid w:val="00A5701E"/>
    <w:rsid w:val="00A572CC"/>
    <w:rsid w:val="00A615C3"/>
    <w:rsid w:val="00A6232D"/>
    <w:rsid w:val="00A6329D"/>
    <w:rsid w:val="00A637CC"/>
    <w:rsid w:val="00A64D82"/>
    <w:rsid w:val="00A65D87"/>
    <w:rsid w:val="00A70B87"/>
    <w:rsid w:val="00A722E3"/>
    <w:rsid w:val="00A72368"/>
    <w:rsid w:val="00A72D1A"/>
    <w:rsid w:val="00A74B49"/>
    <w:rsid w:val="00A7666E"/>
    <w:rsid w:val="00A76B85"/>
    <w:rsid w:val="00A771CB"/>
    <w:rsid w:val="00A80CB3"/>
    <w:rsid w:val="00A80E23"/>
    <w:rsid w:val="00A8248D"/>
    <w:rsid w:val="00A82CDD"/>
    <w:rsid w:val="00A91FE1"/>
    <w:rsid w:val="00A93648"/>
    <w:rsid w:val="00A96115"/>
    <w:rsid w:val="00A97933"/>
    <w:rsid w:val="00AA1BF0"/>
    <w:rsid w:val="00AA3D7F"/>
    <w:rsid w:val="00AA4BEE"/>
    <w:rsid w:val="00AA588D"/>
    <w:rsid w:val="00AA6897"/>
    <w:rsid w:val="00AB19C8"/>
    <w:rsid w:val="00AB6A09"/>
    <w:rsid w:val="00AB7B8A"/>
    <w:rsid w:val="00AC057A"/>
    <w:rsid w:val="00AC124A"/>
    <w:rsid w:val="00AC215F"/>
    <w:rsid w:val="00AC28EE"/>
    <w:rsid w:val="00AC363B"/>
    <w:rsid w:val="00AC4369"/>
    <w:rsid w:val="00AC4412"/>
    <w:rsid w:val="00AC564E"/>
    <w:rsid w:val="00AC5917"/>
    <w:rsid w:val="00AC65D3"/>
    <w:rsid w:val="00AC7A4A"/>
    <w:rsid w:val="00AD0E2B"/>
    <w:rsid w:val="00AD2BB9"/>
    <w:rsid w:val="00AD3AAF"/>
    <w:rsid w:val="00AE1A6F"/>
    <w:rsid w:val="00AE243B"/>
    <w:rsid w:val="00AE6B28"/>
    <w:rsid w:val="00AF17DD"/>
    <w:rsid w:val="00AF1BDE"/>
    <w:rsid w:val="00AF54E1"/>
    <w:rsid w:val="00AF6572"/>
    <w:rsid w:val="00B00B4E"/>
    <w:rsid w:val="00B01589"/>
    <w:rsid w:val="00B03EE3"/>
    <w:rsid w:val="00B052AC"/>
    <w:rsid w:val="00B05E24"/>
    <w:rsid w:val="00B11035"/>
    <w:rsid w:val="00B12C35"/>
    <w:rsid w:val="00B15DC4"/>
    <w:rsid w:val="00B17DF8"/>
    <w:rsid w:val="00B205E1"/>
    <w:rsid w:val="00B20C8C"/>
    <w:rsid w:val="00B212BC"/>
    <w:rsid w:val="00B2182A"/>
    <w:rsid w:val="00B255A8"/>
    <w:rsid w:val="00B260AE"/>
    <w:rsid w:val="00B2685C"/>
    <w:rsid w:val="00B27BFE"/>
    <w:rsid w:val="00B30781"/>
    <w:rsid w:val="00B3242F"/>
    <w:rsid w:val="00B32C74"/>
    <w:rsid w:val="00B348AE"/>
    <w:rsid w:val="00B35653"/>
    <w:rsid w:val="00B35A1C"/>
    <w:rsid w:val="00B36D56"/>
    <w:rsid w:val="00B427AD"/>
    <w:rsid w:val="00B43316"/>
    <w:rsid w:val="00B4371D"/>
    <w:rsid w:val="00B44903"/>
    <w:rsid w:val="00B44A1A"/>
    <w:rsid w:val="00B4639F"/>
    <w:rsid w:val="00B5042C"/>
    <w:rsid w:val="00B52C4A"/>
    <w:rsid w:val="00B55418"/>
    <w:rsid w:val="00B55F9E"/>
    <w:rsid w:val="00B6143D"/>
    <w:rsid w:val="00B61995"/>
    <w:rsid w:val="00B65110"/>
    <w:rsid w:val="00B66E7F"/>
    <w:rsid w:val="00B70A73"/>
    <w:rsid w:val="00B70DBD"/>
    <w:rsid w:val="00B70E80"/>
    <w:rsid w:val="00B737D4"/>
    <w:rsid w:val="00B74AD9"/>
    <w:rsid w:val="00B77F27"/>
    <w:rsid w:val="00B81D4F"/>
    <w:rsid w:val="00B82CF9"/>
    <w:rsid w:val="00B85BE1"/>
    <w:rsid w:val="00B85EBF"/>
    <w:rsid w:val="00B863C4"/>
    <w:rsid w:val="00B90CB8"/>
    <w:rsid w:val="00B924C6"/>
    <w:rsid w:val="00B946B2"/>
    <w:rsid w:val="00B94D92"/>
    <w:rsid w:val="00B96D51"/>
    <w:rsid w:val="00BA2592"/>
    <w:rsid w:val="00BA31E9"/>
    <w:rsid w:val="00BA3980"/>
    <w:rsid w:val="00BA56A2"/>
    <w:rsid w:val="00BA711F"/>
    <w:rsid w:val="00BA71B9"/>
    <w:rsid w:val="00BA7948"/>
    <w:rsid w:val="00BB2B3B"/>
    <w:rsid w:val="00BB5514"/>
    <w:rsid w:val="00BB5E8D"/>
    <w:rsid w:val="00BB7D23"/>
    <w:rsid w:val="00BC14DC"/>
    <w:rsid w:val="00BC1FCE"/>
    <w:rsid w:val="00BC31BD"/>
    <w:rsid w:val="00BC41E0"/>
    <w:rsid w:val="00BC4C9B"/>
    <w:rsid w:val="00BC6ABC"/>
    <w:rsid w:val="00BC6F83"/>
    <w:rsid w:val="00BD0255"/>
    <w:rsid w:val="00BD0330"/>
    <w:rsid w:val="00BD0F41"/>
    <w:rsid w:val="00BD1C63"/>
    <w:rsid w:val="00BD35C2"/>
    <w:rsid w:val="00BD6135"/>
    <w:rsid w:val="00BE09EF"/>
    <w:rsid w:val="00BE1ACF"/>
    <w:rsid w:val="00BE305D"/>
    <w:rsid w:val="00BE5598"/>
    <w:rsid w:val="00BE6FD3"/>
    <w:rsid w:val="00BE7197"/>
    <w:rsid w:val="00BF1496"/>
    <w:rsid w:val="00BF251E"/>
    <w:rsid w:val="00BF5AA6"/>
    <w:rsid w:val="00BF6273"/>
    <w:rsid w:val="00BF7B82"/>
    <w:rsid w:val="00C00C80"/>
    <w:rsid w:val="00C00E42"/>
    <w:rsid w:val="00C015CA"/>
    <w:rsid w:val="00C01CD1"/>
    <w:rsid w:val="00C02099"/>
    <w:rsid w:val="00C0380C"/>
    <w:rsid w:val="00C050DA"/>
    <w:rsid w:val="00C05683"/>
    <w:rsid w:val="00C063DD"/>
    <w:rsid w:val="00C06806"/>
    <w:rsid w:val="00C06E04"/>
    <w:rsid w:val="00C0732D"/>
    <w:rsid w:val="00C07F91"/>
    <w:rsid w:val="00C11645"/>
    <w:rsid w:val="00C12AFD"/>
    <w:rsid w:val="00C12B8A"/>
    <w:rsid w:val="00C146C4"/>
    <w:rsid w:val="00C16033"/>
    <w:rsid w:val="00C1702B"/>
    <w:rsid w:val="00C209AD"/>
    <w:rsid w:val="00C209E2"/>
    <w:rsid w:val="00C22CB6"/>
    <w:rsid w:val="00C235C6"/>
    <w:rsid w:val="00C240DF"/>
    <w:rsid w:val="00C276BE"/>
    <w:rsid w:val="00C306B5"/>
    <w:rsid w:val="00C30E1B"/>
    <w:rsid w:val="00C31F3F"/>
    <w:rsid w:val="00C3251F"/>
    <w:rsid w:val="00C33E63"/>
    <w:rsid w:val="00C33EB7"/>
    <w:rsid w:val="00C34414"/>
    <w:rsid w:val="00C344E4"/>
    <w:rsid w:val="00C345F1"/>
    <w:rsid w:val="00C3498E"/>
    <w:rsid w:val="00C34CFD"/>
    <w:rsid w:val="00C42817"/>
    <w:rsid w:val="00C42F9C"/>
    <w:rsid w:val="00C43EE1"/>
    <w:rsid w:val="00C44242"/>
    <w:rsid w:val="00C44DB0"/>
    <w:rsid w:val="00C45DAD"/>
    <w:rsid w:val="00C45EEC"/>
    <w:rsid w:val="00C47736"/>
    <w:rsid w:val="00C47853"/>
    <w:rsid w:val="00C509AE"/>
    <w:rsid w:val="00C54305"/>
    <w:rsid w:val="00C54889"/>
    <w:rsid w:val="00C57ECF"/>
    <w:rsid w:val="00C62FBE"/>
    <w:rsid w:val="00C665F7"/>
    <w:rsid w:val="00C73867"/>
    <w:rsid w:val="00C7421D"/>
    <w:rsid w:val="00C74CEE"/>
    <w:rsid w:val="00C7649A"/>
    <w:rsid w:val="00C772FD"/>
    <w:rsid w:val="00C773C1"/>
    <w:rsid w:val="00C77557"/>
    <w:rsid w:val="00C83535"/>
    <w:rsid w:val="00C84760"/>
    <w:rsid w:val="00C86B63"/>
    <w:rsid w:val="00C90088"/>
    <w:rsid w:val="00C901CC"/>
    <w:rsid w:val="00C904A6"/>
    <w:rsid w:val="00C9188E"/>
    <w:rsid w:val="00C92812"/>
    <w:rsid w:val="00C949C4"/>
    <w:rsid w:val="00C96D6A"/>
    <w:rsid w:val="00C97353"/>
    <w:rsid w:val="00C976E2"/>
    <w:rsid w:val="00C97F3F"/>
    <w:rsid w:val="00CA013B"/>
    <w:rsid w:val="00CA07ED"/>
    <w:rsid w:val="00CA31F4"/>
    <w:rsid w:val="00CA42EA"/>
    <w:rsid w:val="00CA6330"/>
    <w:rsid w:val="00CB25EA"/>
    <w:rsid w:val="00CB2C99"/>
    <w:rsid w:val="00CB3A97"/>
    <w:rsid w:val="00CB4EAE"/>
    <w:rsid w:val="00CB65A6"/>
    <w:rsid w:val="00CC0CA7"/>
    <w:rsid w:val="00CC2E10"/>
    <w:rsid w:val="00CC7D31"/>
    <w:rsid w:val="00CD0B80"/>
    <w:rsid w:val="00CD21D3"/>
    <w:rsid w:val="00CD4C41"/>
    <w:rsid w:val="00CD58D4"/>
    <w:rsid w:val="00CE0D24"/>
    <w:rsid w:val="00CE14F9"/>
    <w:rsid w:val="00CE1DD5"/>
    <w:rsid w:val="00CE31C6"/>
    <w:rsid w:val="00CF1B6C"/>
    <w:rsid w:val="00CF2488"/>
    <w:rsid w:val="00CF3CBE"/>
    <w:rsid w:val="00CF41AE"/>
    <w:rsid w:val="00CF5281"/>
    <w:rsid w:val="00CF6304"/>
    <w:rsid w:val="00CF6D7F"/>
    <w:rsid w:val="00D00160"/>
    <w:rsid w:val="00D01397"/>
    <w:rsid w:val="00D02785"/>
    <w:rsid w:val="00D03C39"/>
    <w:rsid w:val="00D07E12"/>
    <w:rsid w:val="00D12120"/>
    <w:rsid w:val="00D12130"/>
    <w:rsid w:val="00D15CC6"/>
    <w:rsid w:val="00D20BC8"/>
    <w:rsid w:val="00D24446"/>
    <w:rsid w:val="00D27209"/>
    <w:rsid w:val="00D3178A"/>
    <w:rsid w:val="00D331E6"/>
    <w:rsid w:val="00D34B2F"/>
    <w:rsid w:val="00D355C0"/>
    <w:rsid w:val="00D37710"/>
    <w:rsid w:val="00D40152"/>
    <w:rsid w:val="00D4053A"/>
    <w:rsid w:val="00D407A7"/>
    <w:rsid w:val="00D427E9"/>
    <w:rsid w:val="00D431D3"/>
    <w:rsid w:val="00D46733"/>
    <w:rsid w:val="00D47AF7"/>
    <w:rsid w:val="00D5018F"/>
    <w:rsid w:val="00D501D8"/>
    <w:rsid w:val="00D5162D"/>
    <w:rsid w:val="00D52D60"/>
    <w:rsid w:val="00D53D0E"/>
    <w:rsid w:val="00D545A0"/>
    <w:rsid w:val="00D56A98"/>
    <w:rsid w:val="00D60C04"/>
    <w:rsid w:val="00D640C5"/>
    <w:rsid w:val="00D66990"/>
    <w:rsid w:val="00D66CBB"/>
    <w:rsid w:val="00D710CF"/>
    <w:rsid w:val="00D72899"/>
    <w:rsid w:val="00D7326C"/>
    <w:rsid w:val="00D75640"/>
    <w:rsid w:val="00D81C66"/>
    <w:rsid w:val="00D81D12"/>
    <w:rsid w:val="00D82999"/>
    <w:rsid w:val="00D86668"/>
    <w:rsid w:val="00D91FE7"/>
    <w:rsid w:val="00D92B5D"/>
    <w:rsid w:val="00D930C9"/>
    <w:rsid w:val="00D9427D"/>
    <w:rsid w:val="00D94D58"/>
    <w:rsid w:val="00D95A1D"/>
    <w:rsid w:val="00D95A83"/>
    <w:rsid w:val="00D9697F"/>
    <w:rsid w:val="00D96DAA"/>
    <w:rsid w:val="00DA08D0"/>
    <w:rsid w:val="00DA262D"/>
    <w:rsid w:val="00DA2C03"/>
    <w:rsid w:val="00DA3158"/>
    <w:rsid w:val="00DA4E91"/>
    <w:rsid w:val="00DA51A7"/>
    <w:rsid w:val="00DB0144"/>
    <w:rsid w:val="00DB12A9"/>
    <w:rsid w:val="00DB33D0"/>
    <w:rsid w:val="00DB4052"/>
    <w:rsid w:val="00DB625F"/>
    <w:rsid w:val="00DB72F6"/>
    <w:rsid w:val="00DC0A04"/>
    <w:rsid w:val="00DC0F54"/>
    <w:rsid w:val="00DC2907"/>
    <w:rsid w:val="00DC2FF0"/>
    <w:rsid w:val="00DC5855"/>
    <w:rsid w:val="00DC5CAA"/>
    <w:rsid w:val="00DC6AA9"/>
    <w:rsid w:val="00DC7DAE"/>
    <w:rsid w:val="00DD1111"/>
    <w:rsid w:val="00DD2CBF"/>
    <w:rsid w:val="00DD4ABA"/>
    <w:rsid w:val="00DD50B2"/>
    <w:rsid w:val="00DD51F9"/>
    <w:rsid w:val="00DD5A99"/>
    <w:rsid w:val="00DD72D9"/>
    <w:rsid w:val="00DE0C77"/>
    <w:rsid w:val="00DE3421"/>
    <w:rsid w:val="00DE3F21"/>
    <w:rsid w:val="00DE4564"/>
    <w:rsid w:val="00DE56FB"/>
    <w:rsid w:val="00DE6522"/>
    <w:rsid w:val="00DF10B9"/>
    <w:rsid w:val="00DF16B5"/>
    <w:rsid w:val="00DF3975"/>
    <w:rsid w:val="00DF3C73"/>
    <w:rsid w:val="00E006F0"/>
    <w:rsid w:val="00E00D22"/>
    <w:rsid w:val="00E0193F"/>
    <w:rsid w:val="00E01E02"/>
    <w:rsid w:val="00E028D7"/>
    <w:rsid w:val="00E02AA0"/>
    <w:rsid w:val="00E0578F"/>
    <w:rsid w:val="00E05E79"/>
    <w:rsid w:val="00E070D3"/>
    <w:rsid w:val="00E10FA9"/>
    <w:rsid w:val="00E11CAC"/>
    <w:rsid w:val="00E12C7A"/>
    <w:rsid w:val="00E133CF"/>
    <w:rsid w:val="00E1626A"/>
    <w:rsid w:val="00E164FD"/>
    <w:rsid w:val="00E178D8"/>
    <w:rsid w:val="00E24647"/>
    <w:rsid w:val="00E24F97"/>
    <w:rsid w:val="00E301F4"/>
    <w:rsid w:val="00E31C23"/>
    <w:rsid w:val="00E337B0"/>
    <w:rsid w:val="00E34B88"/>
    <w:rsid w:val="00E35E3D"/>
    <w:rsid w:val="00E40400"/>
    <w:rsid w:val="00E4094C"/>
    <w:rsid w:val="00E45637"/>
    <w:rsid w:val="00E458DB"/>
    <w:rsid w:val="00E46004"/>
    <w:rsid w:val="00E504FA"/>
    <w:rsid w:val="00E609FF"/>
    <w:rsid w:val="00E6641A"/>
    <w:rsid w:val="00E70AF5"/>
    <w:rsid w:val="00E70F42"/>
    <w:rsid w:val="00E71389"/>
    <w:rsid w:val="00E72416"/>
    <w:rsid w:val="00E73FB8"/>
    <w:rsid w:val="00E7434C"/>
    <w:rsid w:val="00E7653A"/>
    <w:rsid w:val="00E7727E"/>
    <w:rsid w:val="00E77F72"/>
    <w:rsid w:val="00E80C9C"/>
    <w:rsid w:val="00E8333A"/>
    <w:rsid w:val="00E84BAC"/>
    <w:rsid w:val="00E85401"/>
    <w:rsid w:val="00E91D71"/>
    <w:rsid w:val="00E932AD"/>
    <w:rsid w:val="00E941D6"/>
    <w:rsid w:val="00E949F7"/>
    <w:rsid w:val="00E967D8"/>
    <w:rsid w:val="00E96A30"/>
    <w:rsid w:val="00E97142"/>
    <w:rsid w:val="00E97FCC"/>
    <w:rsid w:val="00EA05E6"/>
    <w:rsid w:val="00EA2F64"/>
    <w:rsid w:val="00EA3282"/>
    <w:rsid w:val="00EA34D2"/>
    <w:rsid w:val="00EA36F4"/>
    <w:rsid w:val="00EA4722"/>
    <w:rsid w:val="00EA61A0"/>
    <w:rsid w:val="00EA6F88"/>
    <w:rsid w:val="00EB0B6F"/>
    <w:rsid w:val="00EB1DBC"/>
    <w:rsid w:val="00EB4C14"/>
    <w:rsid w:val="00EB77AF"/>
    <w:rsid w:val="00EC0259"/>
    <w:rsid w:val="00EC259D"/>
    <w:rsid w:val="00EC36E0"/>
    <w:rsid w:val="00EC3CA3"/>
    <w:rsid w:val="00EC3ED5"/>
    <w:rsid w:val="00EC43E8"/>
    <w:rsid w:val="00EC71B2"/>
    <w:rsid w:val="00ED24ED"/>
    <w:rsid w:val="00ED271C"/>
    <w:rsid w:val="00ED3941"/>
    <w:rsid w:val="00ED66F6"/>
    <w:rsid w:val="00ED6822"/>
    <w:rsid w:val="00EE08C6"/>
    <w:rsid w:val="00EE12AD"/>
    <w:rsid w:val="00EE4BB6"/>
    <w:rsid w:val="00EE60A4"/>
    <w:rsid w:val="00EE74B9"/>
    <w:rsid w:val="00EE7FE9"/>
    <w:rsid w:val="00EF3378"/>
    <w:rsid w:val="00EF3824"/>
    <w:rsid w:val="00EF39F5"/>
    <w:rsid w:val="00EF413B"/>
    <w:rsid w:val="00F014F9"/>
    <w:rsid w:val="00F03AF2"/>
    <w:rsid w:val="00F04384"/>
    <w:rsid w:val="00F06178"/>
    <w:rsid w:val="00F0635E"/>
    <w:rsid w:val="00F07DEE"/>
    <w:rsid w:val="00F111B7"/>
    <w:rsid w:val="00F1196D"/>
    <w:rsid w:val="00F12D8C"/>
    <w:rsid w:val="00F13A5E"/>
    <w:rsid w:val="00F144D0"/>
    <w:rsid w:val="00F14802"/>
    <w:rsid w:val="00F166E2"/>
    <w:rsid w:val="00F16F32"/>
    <w:rsid w:val="00F1779B"/>
    <w:rsid w:val="00F20640"/>
    <w:rsid w:val="00F20EF0"/>
    <w:rsid w:val="00F25D41"/>
    <w:rsid w:val="00F3516F"/>
    <w:rsid w:val="00F37F50"/>
    <w:rsid w:val="00F40EBD"/>
    <w:rsid w:val="00F43B05"/>
    <w:rsid w:val="00F44E7E"/>
    <w:rsid w:val="00F47E16"/>
    <w:rsid w:val="00F50BDA"/>
    <w:rsid w:val="00F5206F"/>
    <w:rsid w:val="00F52760"/>
    <w:rsid w:val="00F5298F"/>
    <w:rsid w:val="00F61981"/>
    <w:rsid w:val="00F679E4"/>
    <w:rsid w:val="00F67ED4"/>
    <w:rsid w:val="00F7000C"/>
    <w:rsid w:val="00F707BB"/>
    <w:rsid w:val="00F70950"/>
    <w:rsid w:val="00F736D5"/>
    <w:rsid w:val="00F7380D"/>
    <w:rsid w:val="00F75982"/>
    <w:rsid w:val="00F7598F"/>
    <w:rsid w:val="00F766F8"/>
    <w:rsid w:val="00F76B74"/>
    <w:rsid w:val="00F778AB"/>
    <w:rsid w:val="00F77B07"/>
    <w:rsid w:val="00F817F9"/>
    <w:rsid w:val="00F833F5"/>
    <w:rsid w:val="00F850BE"/>
    <w:rsid w:val="00F915B6"/>
    <w:rsid w:val="00F9160F"/>
    <w:rsid w:val="00F93C96"/>
    <w:rsid w:val="00F94383"/>
    <w:rsid w:val="00F959E1"/>
    <w:rsid w:val="00F96004"/>
    <w:rsid w:val="00F96AA9"/>
    <w:rsid w:val="00FA1159"/>
    <w:rsid w:val="00FA1961"/>
    <w:rsid w:val="00FA4939"/>
    <w:rsid w:val="00FA5E01"/>
    <w:rsid w:val="00FA6C65"/>
    <w:rsid w:val="00FA6E29"/>
    <w:rsid w:val="00FA700B"/>
    <w:rsid w:val="00FA78AC"/>
    <w:rsid w:val="00FA7AC7"/>
    <w:rsid w:val="00FA7C5D"/>
    <w:rsid w:val="00FB1A21"/>
    <w:rsid w:val="00FB4CC9"/>
    <w:rsid w:val="00FB561D"/>
    <w:rsid w:val="00FB798B"/>
    <w:rsid w:val="00FC0DB3"/>
    <w:rsid w:val="00FC1FCF"/>
    <w:rsid w:val="00FC25AB"/>
    <w:rsid w:val="00FC73E2"/>
    <w:rsid w:val="00FD13D8"/>
    <w:rsid w:val="00FD2325"/>
    <w:rsid w:val="00FD333F"/>
    <w:rsid w:val="00FD400D"/>
    <w:rsid w:val="00FD4212"/>
    <w:rsid w:val="00FD5156"/>
    <w:rsid w:val="00FD5692"/>
    <w:rsid w:val="00FD7352"/>
    <w:rsid w:val="00FE10A7"/>
    <w:rsid w:val="00FE13A1"/>
    <w:rsid w:val="00FE17B0"/>
    <w:rsid w:val="00FE19F6"/>
    <w:rsid w:val="00FE4A2C"/>
    <w:rsid w:val="00FE60AF"/>
    <w:rsid w:val="00FE696F"/>
    <w:rsid w:val="00FE7326"/>
    <w:rsid w:val="00FE7E0D"/>
    <w:rsid w:val="00FF1056"/>
    <w:rsid w:val="00FF1B80"/>
    <w:rsid w:val="00FF2583"/>
    <w:rsid w:val="00FF527F"/>
    <w:rsid w:val="00FF5CFE"/>
    <w:rsid w:val="00FF636A"/>
    <w:rsid w:val="00FF7A31"/>
    <w:rsid w:val="01107F1F"/>
    <w:rsid w:val="01235278"/>
    <w:rsid w:val="01937FBC"/>
    <w:rsid w:val="01A23984"/>
    <w:rsid w:val="01B0747D"/>
    <w:rsid w:val="01D10695"/>
    <w:rsid w:val="01E943A0"/>
    <w:rsid w:val="02191F92"/>
    <w:rsid w:val="024660A3"/>
    <w:rsid w:val="025B7378"/>
    <w:rsid w:val="029576FB"/>
    <w:rsid w:val="02BF68BF"/>
    <w:rsid w:val="02D1088A"/>
    <w:rsid w:val="031D684D"/>
    <w:rsid w:val="032238CE"/>
    <w:rsid w:val="03233222"/>
    <w:rsid w:val="032F1032"/>
    <w:rsid w:val="034F04DA"/>
    <w:rsid w:val="03505BF2"/>
    <w:rsid w:val="03834D08"/>
    <w:rsid w:val="039861A6"/>
    <w:rsid w:val="03B61CBB"/>
    <w:rsid w:val="03F0595E"/>
    <w:rsid w:val="041A4AEF"/>
    <w:rsid w:val="04873D2F"/>
    <w:rsid w:val="04884D41"/>
    <w:rsid w:val="04D309B6"/>
    <w:rsid w:val="051005F8"/>
    <w:rsid w:val="05177F63"/>
    <w:rsid w:val="052C71CB"/>
    <w:rsid w:val="057D3509"/>
    <w:rsid w:val="058D5673"/>
    <w:rsid w:val="0600615C"/>
    <w:rsid w:val="06451F43"/>
    <w:rsid w:val="0653552B"/>
    <w:rsid w:val="06637F88"/>
    <w:rsid w:val="066F7C61"/>
    <w:rsid w:val="068F13E4"/>
    <w:rsid w:val="06A57205"/>
    <w:rsid w:val="06B8713F"/>
    <w:rsid w:val="06B906D7"/>
    <w:rsid w:val="06F248FF"/>
    <w:rsid w:val="06F57ACF"/>
    <w:rsid w:val="0703088E"/>
    <w:rsid w:val="070C3D2A"/>
    <w:rsid w:val="074128B0"/>
    <w:rsid w:val="074E72C8"/>
    <w:rsid w:val="074F2A7A"/>
    <w:rsid w:val="076409FC"/>
    <w:rsid w:val="07780476"/>
    <w:rsid w:val="07D53E05"/>
    <w:rsid w:val="07D615B5"/>
    <w:rsid w:val="081D4A98"/>
    <w:rsid w:val="08934298"/>
    <w:rsid w:val="08946EF5"/>
    <w:rsid w:val="08953E6C"/>
    <w:rsid w:val="089D7C92"/>
    <w:rsid w:val="08A26ABD"/>
    <w:rsid w:val="0903632A"/>
    <w:rsid w:val="094E21E1"/>
    <w:rsid w:val="095071E6"/>
    <w:rsid w:val="096B28D9"/>
    <w:rsid w:val="098859A6"/>
    <w:rsid w:val="09A3577C"/>
    <w:rsid w:val="09C53944"/>
    <w:rsid w:val="09D264B1"/>
    <w:rsid w:val="0A0E454B"/>
    <w:rsid w:val="0A241CA4"/>
    <w:rsid w:val="0A2A1ACA"/>
    <w:rsid w:val="0A5A6736"/>
    <w:rsid w:val="0A5B5560"/>
    <w:rsid w:val="0A6E2477"/>
    <w:rsid w:val="0A782765"/>
    <w:rsid w:val="0AF76DD8"/>
    <w:rsid w:val="0AFB71A5"/>
    <w:rsid w:val="0B0C0DE4"/>
    <w:rsid w:val="0B444F1B"/>
    <w:rsid w:val="0B6021F2"/>
    <w:rsid w:val="0B787F95"/>
    <w:rsid w:val="0BB52779"/>
    <w:rsid w:val="0C1768B7"/>
    <w:rsid w:val="0C497836"/>
    <w:rsid w:val="0C5464F9"/>
    <w:rsid w:val="0C872D3F"/>
    <w:rsid w:val="0CA77331"/>
    <w:rsid w:val="0CAB5111"/>
    <w:rsid w:val="0CBF0863"/>
    <w:rsid w:val="0CDA576A"/>
    <w:rsid w:val="0CE40074"/>
    <w:rsid w:val="0CEB6D6E"/>
    <w:rsid w:val="0CF530DC"/>
    <w:rsid w:val="0D241CB5"/>
    <w:rsid w:val="0D2D28D6"/>
    <w:rsid w:val="0D3458D2"/>
    <w:rsid w:val="0D78540F"/>
    <w:rsid w:val="0D803954"/>
    <w:rsid w:val="0DB25311"/>
    <w:rsid w:val="0DC16E07"/>
    <w:rsid w:val="0DF33035"/>
    <w:rsid w:val="0E0C3ACA"/>
    <w:rsid w:val="0E193599"/>
    <w:rsid w:val="0E2B4C26"/>
    <w:rsid w:val="0E5F040D"/>
    <w:rsid w:val="0E6753E5"/>
    <w:rsid w:val="0E686CA5"/>
    <w:rsid w:val="0E896485"/>
    <w:rsid w:val="0E911E68"/>
    <w:rsid w:val="0E96765D"/>
    <w:rsid w:val="0ED34B52"/>
    <w:rsid w:val="0F0575FD"/>
    <w:rsid w:val="0F2033CB"/>
    <w:rsid w:val="0F2A372B"/>
    <w:rsid w:val="0F693F34"/>
    <w:rsid w:val="0F8132BE"/>
    <w:rsid w:val="0F9C6EF5"/>
    <w:rsid w:val="0FA16C68"/>
    <w:rsid w:val="0FAC3208"/>
    <w:rsid w:val="0FBC16B5"/>
    <w:rsid w:val="0FBC5E65"/>
    <w:rsid w:val="0FE90A3F"/>
    <w:rsid w:val="0FF16F10"/>
    <w:rsid w:val="101C54A2"/>
    <w:rsid w:val="10430C83"/>
    <w:rsid w:val="10767868"/>
    <w:rsid w:val="1085296C"/>
    <w:rsid w:val="10956B83"/>
    <w:rsid w:val="10A17BE7"/>
    <w:rsid w:val="10E17FD1"/>
    <w:rsid w:val="10E35AF5"/>
    <w:rsid w:val="10FD7749"/>
    <w:rsid w:val="110B6A46"/>
    <w:rsid w:val="11263FCB"/>
    <w:rsid w:val="1136437B"/>
    <w:rsid w:val="11A976A8"/>
    <w:rsid w:val="11AB242B"/>
    <w:rsid w:val="11C00FCE"/>
    <w:rsid w:val="11E620C6"/>
    <w:rsid w:val="11ED64FD"/>
    <w:rsid w:val="11FB558A"/>
    <w:rsid w:val="11FD3DDD"/>
    <w:rsid w:val="121F0F6C"/>
    <w:rsid w:val="125561F5"/>
    <w:rsid w:val="127135EF"/>
    <w:rsid w:val="12C503CF"/>
    <w:rsid w:val="13060E4B"/>
    <w:rsid w:val="130E0CC1"/>
    <w:rsid w:val="13141499"/>
    <w:rsid w:val="13486B30"/>
    <w:rsid w:val="134F24D1"/>
    <w:rsid w:val="135773A8"/>
    <w:rsid w:val="13750189"/>
    <w:rsid w:val="139865C5"/>
    <w:rsid w:val="13E62715"/>
    <w:rsid w:val="13E80EE8"/>
    <w:rsid w:val="14025ABB"/>
    <w:rsid w:val="14053109"/>
    <w:rsid w:val="141C1D8F"/>
    <w:rsid w:val="14332FF2"/>
    <w:rsid w:val="1445585F"/>
    <w:rsid w:val="144D5DE5"/>
    <w:rsid w:val="14577E08"/>
    <w:rsid w:val="147066DA"/>
    <w:rsid w:val="1474736B"/>
    <w:rsid w:val="149B393A"/>
    <w:rsid w:val="14A95C11"/>
    <w:rsid w:val="14B52807"/>
    <w:rsid w:val="14D15221"/>
    <w:rsid w:val="14F03E37"/>
    <w:rsid w:val="15103D28"/>
    <w:rsid w:val="151A4BB5"/>
    <w:rsid w:val="151F627D"/>
    <w:rsid w:val="15620EF5"/>
    <w:rsid w:val="15A277EB"/>
    <w:rsid w:val="15C6449D"/>
    <w:rsid w:val="15CF0F2E"/>
    <w:rsid w:val="15DD11F3"/>
    <w:rsid w:val="16704E10"/>
    <w:rsid w:val="168F4167"/>
    <w:rsid w:val="169C7E29"/>
    <w:rsid w:val="16D03928"/>
    <w:rsid w:val="16E067CC"/>
    <w:rsid w:val="16ED419D"/>
    <w:rsid w:val="171D59C3"/>
    <w:rsid w:val="172779EC"/>
    <w:rsid w:val="173A020C"/>
    <w:rsid w:val="179733D1"/>
    <w:rsid w:val="17B72F79"/>
    <w:rsid w:val="17BD6BDF"/>
    <w:rsid w:val="17D009F5"/>
    <w:rsid w:val="17F65611"/>
    <w:rsid w:val="17F81389"/>
    <w:rsid w:val="17FE2941"/>
    <w:rsid w:val="1804388A"/>
    <w:rsid w:val="180B73A3"/>
    <w:rsid w:val="1823742A"/>
    <w:rsid w:val="18537EFA"/>
    <w:rsid w:val="18541AAB"/>
    <w:rsid w:val="189015C1"/>
    <w:rsid w:val="194179F2"/>
    <w:rsid w:val="19444B5F"/>
    <w:rsid w:val="194D7FB1"/>
    <w:rsid w:val="195173F6"/>
    <w:rsid w:val="19760AA1"/>
    <w:rsid w:val="19C22FF8"/>
    <w:rsid w:val="1A1E1753"/>
    <w:rsid w:val="1A5F124B"/>
    <w:rsid w:val="1A892DF1"/>
    <w:rsid w:val="1A8E7D82"/>
    <w:rsid w:val="1AA53A06"/>
    <w:rsid w:val="1AB66712"/>
    <w:rsid w:val="1AEE4D14"/>
    <w:rsid w:val="1B9654F2"/>
    <w:rsid w:val="1C552B28"/>
    <w:rsid w:val="1CA62391"/>
    <w:rsid w:val="1CDE0F01"/>
    <w:rsid w:val="1CFF0C7B"/>
    <w:rsid w:val="1D1C608C"/>
    <w:rsid w:val="1D2F623B"/>
    <w:rsid w:val="1D3C7F6D"/>
    <w:rsid w:val="1D4666F2"/>
    <w:rsid w:val="1D680664"/>
    <w:rsid w:val="1DA53F9A"/>
    <w:rsid w:val="1E0E0DE7"/>
    <w:rsid w:val="1E114477"/>
    <w:rsid w:val="1E2D570A"/>
    <w:rsid w:val="1E2F4E7E"/>
    <w:rsid w:val="1E6F0419"/>
    <w:rsid w:val="1EAD23BC"/>
    <w:rsid w:val="1EED555F"/>
    <w:rsid w:val="1EFB0558"/>
    <w:rsid w:val="1F043044"/>
    <w:rsid w:val="1F426338"/>
    <w:rsid w:val="1F5D08C6"/>
    <w:rsid w:val="1F6216C7"/>
    <w:rsid w:val="1F624238"/>
    <w:rsid w:val="1F827C1A"/>
    <w:rsid w:val="1FE01345"/>
    <w:rsid w:val="1FFC0ED6"/>
    <w:rsid w:val="204C520A"/>
    <w:rsid w:val="206C33E0"/>
    <w:rsid w:val="207D6439"/>
    <w:rsid w:val="20AF0D1B"/>
    <w:rsid w:val="20B65943"/>
    <w:rsid w:val="20E9704B"/>
    <w:rsid w:val="21007460"/>
    <w:rsid w:val="21670711"/>
    <w:rsid w:val="21693F34"/>
    <w:rsid w:val="216D18F5"/>
    <w:rsid w:val="217C06C4"/>
    <w:rsid w:val="21843C8D"/>
    <w:rsid w:val="21871088"/>
    <w:rsid w:val="218B48EF"/>
    <w:rsid w:val="21A81E37"/>
    <w:rsid w:val="21C314F3"/>
    <w:rsid w:val="21CD6869"/>
    <w:rsid w:val="21D51BAE"/>
    <w:rsid w:val="21FB3F4F"/>
    <w:rsid w:val="220117D2"/>
    <w:rsid w:val="223275C0"/>
    <w:rsid w:val="22483339"/>
    <w:rsid w:val="224D45EC"/>
    <w:rsid w:val="22563775"/>
    <w:rsid w:val="2281423D"/>
    <w:rsid w:val="22D910EF"/>
    <w:rsid w:val="22F3201E"/>
    <w:rsid w:val="231E475C"/>
    <w:rsid w:val="23737B15"/>
    <w:rsid w:val="2378419A"/>
    <w:rsid w:val="23BC126C"/>
    <w:rsid w:val="23CD183D"/>
    <w:rsid w:val="23DC68EC"/>
    <w:rsid w:val="240102ED"/>
    <w:rsid w:val="241560F8"/>
    <w:rsid w:val="241F3439"/>
    <w:rsid w:val="242A0B1C"/>
    <w:rsid w:val="242A4050"/>
    <w:rsid w:val="24502EEB"/>
    <w:rsid w:val="2451094A"/>
    <w:rsid w:val="24573280"/>
    <w:rsid w:val="24AF6A62"/>
    <w:rsid w:val="24BF5599"/>
    <w:rsid w:val="24C64B63"/>
    <w:rsid w:val="25032B3C"/>
    <w:rsid w:val="2544234D"/>
    <w:rsid w:val="25477089"/>
    <w:rsid w:val="25787665"/>
    <w:rsid w:val="25C03149"/>
    <w:rsid w:val="25C673B9"/>
    <w:rsid w:val="25E1772D"/>
    <w:rsid w:val="2629313D"/>
    <w:rsid w:val="26557857"/>
    <w:rsid w:val="265648FE"/>
    <w:rsid w:val="265B6F2D"/>
    <w:rsid w:val="266A15A6"/>
    <w:rsid w:val="26753BA5"/>
    <w:rsid w:val="26803A44"/>
    <w:rsid w:val="268A7650"/>
    <w:rsid w:val="26A0508B"/>
    <w:rsid w:val="26A24E49"/>
    <w:rsid w:val="26A610D9"/>
    <w:rsid w:val="2762685B"/>
    <w:rsid w:val="27910053"/>
    <w:rsid w:val="27C771C2"/>
    <w:rsid w:val="27CB6409"/>
    <w:rsid w:val="27D36EB3"/>
    <w:rsid w:val="27F03EF5"/>
    <w:rsid w:val="27F05BD9"/>
    <w:rsid w:val="27F25219"/>
    <w:rsid w:val="27F91703"/>
    <w:rsid w:val="2809769A"/>
    <w:rsid w:val="284238D3"/>
    <w:rsid w:val="285A5907"/>
    <w:rsid w:val="286A2A2B"/>
    <w:rsid w:val="28A75FBF"/>
    <w:rsid w:val="28CF1C92"/>
    <w:rsid w:val="28FF6D96"/>
    <w:rsid w:val="29297669"/>
    <w:rsid w:val="29315A18"/>
    <w:rsid w:val="2933419F"/>
    <w:rsid w:val="29387837"/>
    <w:rsid w:val="29481EA2"/>
    <w:rsid w:val="298043B8"/>
    <w:rsid w:val="29C05921"/>
    <w:rsid w:val="29E85A13"/>
    <w:rsid w:val="29E85CC4"/>
    <w:rsid w:val="29F62EA6"/>
    <w:rsid w:val="2A0A28B0"/>
    <w:rsid w:val="2A18770F"/>
    <w:rsid w:val="2A4B17EC"/>
    <w:rsid w:val="2A642BA8"/>
    <w:rsid w:val="2A82314F"/>
    <w:rsid w:val="2AC07AB9"/>
    <w:rsid w:val="2AC3380D"/>
    <w:rsid w:val="2AD63CC9"/>
    <w:rsid w:val="2AE11AFC"/>
    <w:rsid w:val="2AE544A7"/>
    <w:rsid w:val="2B217558"/>
    <w:rsid w:val="2B31364A"/>
    <w:rsid w:val="2B637508"/>
    <w:rsid w:val="2BCF5D31"/>
    <w:rsid w:val="2BE64113"/>
    <w:rsid w:val="2BF0173C"/>
    <w:rsid w:val="2C085F98"/>
    <w:rsid w:val="2C1B6F9C"/>
    <w:rsid w:val="2C26479F"/>
    <w:rsid w:val="2C8135DF"/>
    <w:rsid w:val="2CDC041F"/>
    <w:rsid w:val="2CE340CE"/>
    <w:rsid w:val="2CFD0B68"/>
    <w:rsid w:val="2D08356F"/>
    <w:rsid w:val="2D5F1422"/>
    <w:rsid w:val="2D76297A"/>
    <w:rsid w:val="2D8640E9"/>
    <w:rsid w:val="2D990B0A"/>
    <w:rsid w:val="2DC05976"/>
    <w:rsid w:val="2DD012A4"/>
    <w:rsid w:val="2E0A2EC7"/>
    <w:rsid w:val="2E1D6617"/>
    <w:rsid w:val="2E8452CD"/>
    <w:rsid w:val="2E960DED"/>
    <w:rsid w:val="2E9F13B2"/>
    <w:rsid w:val="2EA51FA5"/>
    <w:rsid w:val="2EA65386"/>
    <w:rsid w:val="2EA814D2"/>
    <w:rsid w:val="2EA821D1"/>
    <w:rsid w:val="2EA82B6C"/>
    <w:rsid w:val="2EEE6499"/>
    <w:rsid w:val="2F1658E1"/>
    <w:rsid w:val="2F6F1AD9"/>
    <w:rsid w:val="2F7029B6"/>
    <w:rsid w:val="2F866018"/>
    <w:rsid w:val="2F8D0054"/>
    <w:rsid w:val="2FA47E85"/>
    <w:rsid w:val="2FA8688F"/>
    <w:rsid w:val="2FAB75B0"/>
    <w:rsid w:val="2FD1009E"/>
    <w:rsid w:val="300E27DF"/>
    <w:rsid w:val="30310712"/>
    <w:rsid w:val="30752549"/>
    <w:rsid w:val="30D0063C"/>
    <w:rsid w:val="30DA1CED"/>
    <w:rsid w:val="30F71CEF"/>
    <w:rsid w:val="30FB7FE6"/>
    <w:rsid w:val="30FD2BB6"/>
    <w:rsid w:val="312078E1"/>
    <w:rsid w:val="3188041F"/>
    <w:rsid w:val="31936C0F"/>
    <w:rsid w:val="31956074"/>
    <w:rsid w:val="31CA26A3"/>
    <w:rsid w:val="31E15A50"/>
    <w:rsid w:val="32644DAE"/>
    <w:rsid w:val="3268280F"/>
    <w:rsid w:val="326E46E2"/>
    <w:rsid w:val="32812557"/>
    <w:rsid w:val="32827D75"/>
    <w:rsid w:val="32984A86"/>
    <w:rsid w:val="32C4213C"/>
    <w:rsid w:val="32D90462"/>
    <w:rsid w:val="32F4788E"/>
    <w:rsid w:val="331B1A34"/>
    <w:rsid w:val="333E0028"/>
    <w:rsid w:val="33701686"/>
    <w:rsid w:val="3373276A"/>
    <w:rsid w:val="33D3361F"/>
    <w:rsid w:val="341720EC"/>
    <w:rsid w:val="344565E1"/>
    <w:rsid w:val="34533777"/>
    <w:rsid w:val="34A645DB"/>
    <w:rsid w:val="34AD47C5"/>
    <w:rsid w:val="34CD30A5"/>
    <w:rsid w:val="34E20CF9"/>
    <w:rsid w:val="34E814C3"/>
    <w:rsid w:val="351A5DC1"/>
    <w:rsid w:val="358931C8"/>
    <w:rsid w:val="35923B62"/>
    <w:rsid w:val="35B34B50"/>
    <w:rsid w:val="35DC59EE"/>
    <w:rsid w:val="35E33F4B"/>
    <w:rsid w:val="363263A9"/>
    <w:rsid w:val="367F5351"/>
    <w:rsid w:val="36DC123D"/>
    <w:rsid w:val="36DD4FB1"/>
    <w:rsid w:val="36EA1EA0"/>
    <w:rsid w:val="36EC05D7"/>
    <w:rsid w:val="37280FB1"/>
    <w:rsid w:val="37674664"/>
    <w:rsid w:val="376E7AAB"/>
    <w:rsid w:val="377A343C"/>
    <w:rsid w:val="378B3228"/>
    <w:rsid w:val="378E5173"/>
    <w:rsid w:val="37AB30D0"/>
    <w:rsid w:val="37AE5E31"/>
    <w:rsid w:val="37F039D3"/>
    <w:rsid w:val="37F52515"/>
    <w:rsid w:val="37FF4C9A"/>
    <w:rsid w:val="382020CE"/>
    <w:rsid w:val="383C292C"/>
    <w:rsid w:val="38441627"/>
    <w:rsid w:val="384D1D9B"/>
    <w:rsid w:val="387761DD"/>
    <w:rsid w:val="38816C3D"/>
    <w:rsid w:val="38942A35"/>
    <w:rsid w:val="39242CF0"/>
    <w:rsid w:val="392C1BF7"/>
    <w:rsid w:val="395C06CA"/>
    <w:rsid w:val="395F496C"/>
    <w:rsid w:val="399B3335"/>
    <w:rsid w:val="39B41E76"/>
    <w:rsid w:val="39BB47BC"/>
    <w:rsid w:val="39C073D2"/>
    <w:rsid w:val="39D55C8E"/>
    <w:rsid w:val="39DB5F09"/>
    <w:rsid w:val="3A051AC4"/>
    <w:rsid w:val="3A0A3CE7"/>
    <w:rsid w:val="3A543DA5"/>
    <w:rsid w:val="3A6C7188"/>
    <w:rsid w:val="3AA74BF4"/>
    <w:rsid w:val="3AAB4251"/>
    <w:rsid w:val="3AD06C17"/>
    <w:rsid w:val="3B08548F"/>
    <w:rsid w:val="3B0C377E"/>
    <w:rsid w:val="3B5160FC"/>
    <w:rsid w:val="3B527AEB"/>
    <w:rsid w:val="3B6E31C0"/>
    <w:rsid w:val="3BA21CD8"/>
    <w:rsid w:val="3BDF4ABB"/>
    <w:rsid w:val="3C113560"/>
    <w:rsid w:val="3C36271C"/>
    <w:rsid w:val="3C4B0372"/>
    <w:rsid w:val="3CD82180"/>
    <w:rsid w:val="3D1B661D"/>
    <w:rsid w:val="3D280BCD"/>
    <w:rsid w:val="3D281519"/>
    <w:rsid w:val="3D2905BF"/>
    <w:rsid w:val="3D3420DF"/>
    <w:rsid w:val="3D5E4F3B"/>
    <w:rsid w:val="3D720E50"/>
    <w:rsid w:val="3D831DED"/>
    <w:rsid w:val="3D987218"/>
    <w:rsid w:val="3D9D17A0"/>
    <w:rsid w:val="3DA36E42"/>
    <w:rsid w:val="3DE65A15"/>
    <w:rsid w:val="3DF67B33"/>
    <w:rsid w:val="3E1D4DF6"/>
    <w:rsid w:val="3E2F7288"/>
    <w:rsid w:val="3E447D2A"/>
    <w:rsid w:val="3E8135D7"/>
    <w:rsid w:val="3E86423C"/>
    <w:rsid w:val="3EEE6169"/>
    <w:rsid w:val="3EF773F5"/>
    <w:rsid w:val="3F1F7294"/>
    <w:rsid w:val="3F3F46FB"/>
    <w:rsid w:val="3F8B2220"/>
    <w:rsid w:val="3FA41953"/>
    <w:rsid w:val="3FB43366"/>
    <w:rsid w:val="3FE04D33"/>
    <w:rsid w:val="40187278"/>
    <w:rsid w:val="40200FE9"/>
    <w:rsid w:val="402E6E18"/>
    <w:rsid w:val="40536AE1"/>
    <w:rsid w:val="4091073C"/>
    <w:rsid w:val="40B27A77"/>
    <w:rsid w:val="40B54605"/>
    <w:rsid w:val="40C175EC"/>
    <w:rsid w:val="40D92111"/>
    <w:rsid w:val="40DC4413"/>
    <w:rsid w:val="4109069A"/>
    <w:rsid w:val="41344930"/>
    <w:rsid w:val="41457345"/>
    <w:rsid w:val="416316CD"/>
    <w:rsid w:val="418A4D02"/>
    <w:rsid w:val="418D5DEE"/>
    <w:rsid w:val="41901704"/>
    <w:rsid w:val="41A34311"/>
    <w:rsid w:val="41AC70B4"/>
    <w:rsid w:val="41BD0482"/>
    <w:rsid w:val="41BF4D88"/>
    <w:rsid w:val="41E1666E"/>
    <w:rsid w:val="41F46059"/>
    <w:rsid w:val="42110284"/>
    <w:rsid w:val="4222508D"/>
    <w:rsid w:val="422C7FEC"/>
    <w:rsid w:val="42414CAB"/>
    <w:rsid w:val="426B1820"/>
    <w:rsid w:val="429A07C3"/>
    <w:rsid w:val="42B478D5"/>
    <w:rsid w:val="42B51AA1"/>
    <w:rsid w:val="42C6249E"/>
    <w:rsid w:val="42C81299"/>
    <w:rsid w:val="42EE5FDC"/>
    <w:rsid w:val="43095881"/>
    <w:rsid w:val="431949E9"/>
    <w:rsid w:val="431B1199"/>
    <w:rsid w:val="431E2374"/>
    <w:rsid w:val="4343495E"/>
    <w:rsid w:val="437B6512"/>
    <w:rsid w:val="43AC44AE"/>
    <w:rsid w:val="43B102EC"/>
    <w:rsid w:val="43D562DE"/>
    <w:rsid w:val="43E46648"/>
    <w:rsid w:val="44613D67"/>
    <w:rsid w:val="44681250"/>
    <w:rsid w:val="44704B54"/>
    <w:rsid w:val="44890AE6"/>
    <w:rsid w:val="448D2A38"/>
    <w:rsid w:val="44A53A23"/>
    <w:rsid w:val="44BC30A8"/>
    <w:rsid w:val="44DF50BA"/>
    <w:rsid w:val="44E72F3E"/>
    <w:rsid w:val="44FF00CC"/>
    <w:rsid w:val="4513485D"/>
    <w:rsid w:val="452651ED"/>
    <w:rsid w:val="45460E0D"/>
    <w:rsid w:val="45585934"/>
    <w:rsid w:val="45627767"/>
    <w:rsid w:val="45AE1FE3"/>
    <w:rsid w:val="45EE7A39"/>
    <w:rsid w:val="45F51BA5"/>
    <w:rsid w:val="46033FE3"/>
    <w:rsid w:val="461B197A"/>
    <w:rsid w:val="461B76E4"/>
    <w:rsid w:val="461D5E44"/>
    <w:rsid w:val="46242774"/>
    <w:rsid w:val="46600F59"/>
    <w:rsid w:val="466401A1"/>
    <w:rsid w:val="46744858"/>
    <w:rsid w:val="46A04BBE"/>
    <w:rsid w:val="46C369D6"/>
    <w:rsid w:val="46D32A5B"/>
    <w:rsid w:val="46F44C9B"/>
    <w:rsid w:val="475520B0"/>
    <w:rsid w:val="47CD6529"/>
    <w:rsid w:val="47E92D81"/>
    <w:rsid w:val="47F136E8"/>
    <w:rsid w:val="47FE7A46"/>
    <w:rsid w:val="48221986"/>
    <w:rsid w:val="482A5EE3"/>
    <w:rsid w:val="483A3CA1"/>
    <w:rsid w:val="485778C8"/>
    <w:rsid w:val="48742F31"/>
    <w:rsid w:val="48CB6C15"/>
    <w:rsid w:val="48CB7B54"/>
    <w:rsid w:val="48DB0195"/>
    <w:rsid w:val="48ED5F94"/>
    <w:rsid w:val="48FE2116"/>
    <w:rsid w:val="49211D7E"/>
    <w:rsid w:val="494E0026"/>
    <w:rsid w:val="496438D9"/>
    <w:rsid w:val="49731D6E"/>
    <w:rsid w:val="49793828"/>
    <w:rsid w:val="497B558F"/>
    <w:rsid w:val="49BB0C2E"/>
    <w:rsid w:val="49BC4500"/>
    <w:rsid w:val="49C21B20"/>
    <w:rsid w:val="49D12D3F"/>
    <w:rsid w:val="49F02C4C"/>
    <w:rsid w:val="4A144FB4"/>
    <w:rsid w:val="4A184DB6"/>
    <w:rsid w:val="4A2C58F1"/>
    <w:rsid w:val="4A3B6A23"/>
    <w:rsid w:val="4A421E6C"/>
    <w:rsid w:val="4B0B7991"/>
    <w:rsid w:val="4B130265"/>
    <w:rsid w:val="4B4E0CA4"/>
    <w:rsid w:val="4B6F0EC8"/>
    <w:rsid w:val="4BA91A77"/>
    <w:rsid w:val="4BD6470C"/>
    <w:rsid w:val="4BEF2C14"/>
    <w:rsid w:val="4C3719AD"/>
    <w:rsid w:val="4C486620"/>
    <w:rsid w:val="4C8A740A"/>
    <w:rsid w:val="4CC27BCF"/>
    <w:rsid w:val="4CD05793"/>
    <w:rsid w:val="4CDC1ED0"/>
    <w:rsid w:val="4CFC77FD"/>
    <w:rsid w:val="4D6061AF"/>
    <w:rsid w:val="4D89412D"/>
    <w:rsid w:val="4DA823BB"/>
    <w:rsid w:val="4DB91223"/>
    <w:rsid w:val="4DEF40B9"/>
    <w:rsid w:val="4E136476"/>
    <w:rsid w:val="4E402B66"/>
    <w:rsid w:val="4E4F241D"/>
    <w:rsid w:val="4E622199"/>
    <w:rsid w:val="4E686B67"/>
    <w:rsid w:val="4E7D26AF"/>
    <w:rsid w:val="4E870D2D"/>
    <w:rsid w:val="4EE01C53"/>
    <w:rsid w:val="4EED6635"/>
    <w:rsid w:val="4F460556"/>
    <w:rsid w:val="4FB96F97"/>
    <w:rsid w:val="4FCB5AA7"/>
    <w:rsid w:val="4FF508EE"/>
    <w:rsid w:val="501F2769"/>
    <w:rsid w:val="50352C79"/>
    <w:rsid w:val="50354221"/>
    <w:rsid w:val="504B57F2"/>
    <w:rsid w:val="50504BB7"/>
    <w:rsid w:val="5095081C"/>
    <w:rsid w:val="509741EA"/>
    <w:rsid w:val="509A76F6"/>
    <w:rsid w:val="50CC1917"/>
    <w:rsid w:val="50ED0658"/>
    <w:rsid w:val="510859EE"/>
    <w:rsid w:val="510B3674"/>
    <w:rsid w:val="510C0730"/>
    <w:rsid w:val="51521B02"/>
    <w:rsid w:val="515F31FB"/>
    <w:rsid w:val="51AD3AFF"/>
    <w:rsid w:val="51EB0BC2"/>
    <w:rsid w:val="52196006"/>
    <w:rsid w:val="5244074B"/>
    <w:rsid w:val="526F5645"/>
    <w:rsid w:val="52AA000A"/>
    <w:rsid w:val="52C24C7E"/>
    <w:rsid w:val="52F20FEA"/>
    <w:rsid w:val="5337173B"/>
    <w:rsid w:val="53463E87"/>
    <w:rsid w:val="53476E4A"/>
    <w:rsid w:val="536F0A40"/>
    <w:rsid w:val="5370275D"/>
    <w:rsid w:val="53767D35"/>
    <w:rsid w:val="537A4728"/>
    <w:rsid w:val="549C412D"/>
    <w:rsid w:val="54AE0430"/>
    <w:rsid w:val="54E20BA4"/>
    <w:rsid w:val="54F229AA"/>
    <w:rsid w:val="550C6257"/>
    <w:rsid w:val="550E189A"/>
    <w:rsid w:val="55162264"/>
    <w:rsid w:val="5523354C"/>
    <w:rsid w:val="5547634E"/>
    <w:rsid w:val="55D55349"/>
    <w:rsid w:val="56190D33"/>
    <w:rsid w:val="56433685"/>
    <w:rsid w:val="56490486"/>
    <w:rsid w:val="564D1E6D"/>
    <w:rsid w:val="566C6A10"/>
    <w:rsid w:val="56963FC3"/>
    <w:rsid w:val="56C21EFB"/>
    <w:rsid w:val="56D3594D"/>
    <w:rsid w:val="56F65CEE"/>
    <w:rsid w:val="56FD654C"/>
    <w:rsid w:val="57427EA9"/>
    <w:rsid w:val="575E31F2"/>
    <w:rsid w:val="57622D6B"/>
    <w:rsid w:val="577F28C7"/>
    <w:rsid w:val="579A5A20"/>
    <w:rsid w:val="57A64193"/>
    <w:rsid w:val="57AA62F4"/>
    <w:rsid w:val="57B858FD"/>
    <w:rsid w:val="57C46E7C"/>
    <w:rsid w:val="57F31F47"/>
    <w:rsid w:val="58263758"/>
    <w:rsid w:val="584D7C89"/>
    <w:rsid w:val="58564960"/>
    <w:rsid w:val="58724F56"/>
    <w:rsid w:val="58C757E2"/>
    <w:rsid w:val="590428A5"/>
    <w:rsid w:val="594C591D"/>
    <w:rsid w:val="595F3933"/>
    <w:rsid w:val="598F44D9"/>
    <w:rsid w:val="59AF2E29"/>
    <w:rsid w:val="59E27611"/>
    <w:rsid w:val="5A152ADF"/>
    <w:rsid w:val="5A296BA4"/>
    <w:rsid w:val="5A701C46"/>
    <w:rsid w:val="5A71777F"/>
    <w:rsid w:val="5AAD5397"/>
    <w:rsid w:val="5ACB1666"/>
    <w:rsid w:val="5ADA1004"/>
    <w:rsid w:val="5AE56EA4"/>
    <w:rsid w:val="5AF70E30"/>
    <w:rsid w:val="5B0049CA"/>
    <w:rsid w:val="5B020A42"/>
    <w:rsid w:val="5B123C15"/>
    <w:rsid w:val="5B2F265F"/>
    <w:rsid w:val="5BEF010E"/>
    <w:rsid w:val="5BFA4782"/>
    <w:rsid w:val="5C03376C"/>
    <w:rsid w:val="5C4C4B91"/>
    <w:rsid w:val="5C620070"/>
    <w:rsid w:val="5C8F2BBA"/>
    <w:rsid w:val="5CF77BAB"/>
    <w:rsid w:val="5D090BFE"/>
    <w:rsid w:val="5D30144D"/>
    <w:rsid w:val="5D380F1A"/>
    <w:rsid w:val="5D4E362B"/>
    <w:rsid w:val="5D977E03"/>
    <w:rsid w:val="5DB11DE6"/>
    <w:rsid w:val="5DBC44E9"/>
    <w:rsid w:val="5DC73E77"/>
    <w:rsid w:val="5DC8429C"/>
    <w:rsid w:val="5E026BA1"/>
    <w:rsid w:val="5E2067FF"/>
    <w:rsid w:val="5E453881"/>
    <w:rsid w:val="5E6737F7"/>
    <w:rsid w:val="5E7F1087"/>
    <w:rsid w:val="5E84084D"/>
    <w:rsid w:val="5EAA3E54"/>
    <w:rsid w:val="5EBE15C7"/>
    <w:rsid w:val="5EC04E80"/>
    <w:rsid w:val="5EC534F6"/>
    <w:rsid w:val="5ECB35D0"/>
    <w:rsid w:val="5EFE0D55"/>
    <w:rsid w:val="5F0943C0"/>
    <w:rsid w:val="5F0E2B62"/>
    <w:rsid w:val="5F1C331A"/>
    <w:rsid w:val="5F272312"/>
    <w:rsid w:val="5F320514"/>
    <w:rsid w:val="5F326ABB"/>
    <w:rsid w:val="5F3F3327"/>
    <w:rsid w:val="5F5B23F7"/>
    <w:rsid w:val="5F8613F6"/>
    <w:rsid w:val="5FD95C80"/>
    <w:rsid w:val="5FE84D2D"/>
    <w:rsid w:val="602228FD"/>
    <w:rsid w:val="604E1113"/>
    <w:rsid w:val="608A12B5"/>
    <w:rsid w:val="60A117AE"/>
    <w:rsid w:val="60BD098D"/>
    <w:rsid w:val="610C0686"/>
    <w:rsid w:val="61231892"/>
    <w:rsid w:val="6136136C"/>
    <w:rsid w:val="61376264"/>
    <w:rsid w:val="614E1BA9"/>
    <w:rsid w:val="61537187"/>
    <w:rsid w:val="615B0F41"/>
    <w:rsid w:val="61655C5C"/>
    <w:rsid w:val="616F4697"/>
    <w:rsid w:val="61776BCA"/>
    <w:rsid w:val="617C6495"/>
    <w:rsid w:val="61C3168D"/>
    <w:rsid w:val="620A72BB"/>
    <w:rsid w:val="621C1B9E"/>
    <w:rsid w:val="62310C24"/>
    <w:rsid w:val="62340EC8"/>
    <w:rsid w:val="624708EA"/>
    <w:rsid w:val="62647E76"/>
    <w:rsid w:val="626C3AD2"/>
    <w:rsid w:val="626F711E"/>
    <w:rsid w:val="62A3100F"/>
    <w:rsid w:val="62C92369"/>
    <w:rsid w:val="633002B3"/>
    <w:rsid w:val="63457DBD"/>
    <w:rsid w:val="634A4E72"/>
    <w:rsid w:val="63676643"/>
    <w:rsid w:val="63A4682B"/>
    <w:rsid w:val="63A66B70"/>
    <w:rsid w:val="63AD7D3F"/>
    <w:rsid w:val="63C81118"/>
    <w:rsid w:val="63E7635A"/>
    <w:rsid w:val="6408270C"/>
    <w:rsid w:val="64352C21"/>
    <w:rsid w:val="64367098"/>
    <w:rsid w:val="644D61C7"/>
    <w:rsid w:val="648D6230"/>
    <w:rsid w:val="64A54544"/>
    <w:rsid w:val="64C323E4"/>
    <w:rsid w:val="64C41301"/>
    <w:rsid w:val="64C4652D"/>
    <w:rsid w:val="64DA245A"/>
    <w:rsid w:val="64EA5374"/>
    <w:rsid w:val="655B7658"/>
    <w:rsid w:val="65783687"/>
    <w:rsid w:val="65A85A3A"/>
    <w:rsid w:val="65D201EA"/>
    <w:rsid w:val="65D87675"/>
    <w:rsid w:val="65D979E9"/>
    <w:rsid w:val="65F47804"/>
    <w:rsid w:val="660D7681"/>
    <w:rsid w:val="660F620F"/>
    <w:rsid w:val="66263F98"/>
    <w:rsid w:val="665F0C05"/>
    <w:rsid w:val="66605415"/>
    <w:rsid w:val="666A207D"/>
    <w:rsid w:val="667B78EC"/>
    <w:rsid w:val="66882EA5"/>
    <w:rsid w:val="66CC596C"/>
    <w:rsid w:val="66E31E89"/>
    <w:rsid w:val="66F93F5E"/>
    <w:rsid w:val="6743387B"/>
    <w:rsid w:val="675D28E8"/>
    <w:rsid w:val="6766183D"/>
    <w:rsid w:val="677D42F6"/>
    <w:rsid w:val="67827CEE"/>
    <w:rsid w:val="67980EC5"/>
    <w:rsid w:val="67A15B7C"/>
    <w:rsid w:val="67B779CB"/>
    <w:rsid w:val="67E25BC7"/>
    <w:rsid w:val="67F86D8A"/>
    <w:rsid w:val="68295FC1"/>
    <w:rsid w:val="687A681D"/>
    <w:rsid w:val="68896BC6"/>
    <w:rsid w:val="689948DA"/>
    <w:rsid w:val="68B963BD"/>
    <w:rsid w:val="68CC27EF"/>
    <w:rsid w:val="68E37028"/>
    <w:rsid w:val="68E8642E"/>
    <w:rsid w:val="68F90275"/>
    <w:rsid w:val="68FD27DA"/>
    <w:rsid w:val="6909297E"/>
    <w:rsid w:val="69483CCB"/>
    <w:rsid w:val="696E0130"/>
    <w:rsid w:val="69AD7269"/>
    <w:rsid w:val="69C326B2"/>
    <w:rsid w:val="69CB650D"/>
    <w:rsid w:val="69D32387"/>
    <w:rsid w:val="69DC146C"/>
    <w:rsid w:val="69F36887"/>
    <w:rsid w:val="6A0E15C0"/>
    <w:rsid w:val="6A2E363D"/>
    <w:rsid w:val="6A4E5974"/>
    <w:rsid w:val="6A7A4C3D"/>
    <w:rsid w:val="6AD22940"/>
    <w:rsid w:val="6AE97732"/>
    <w:rsid w:val="6AF57552"/>
    <w:rsid w:val="6B0120DA"/>
    <w:rsid w:val="6B1D6A40"/>
    <w:rsid w:val="6B520F3C"/>
    <w:rsid w:val="6B522C68"/>
    <w:rsid w:val="6B982BDC"/>
    <w:rsid w:val="6BC725EF"/>
    <w:rsid w:val="6BFF4D9C"/>
    <w:rsid w:val="6C547389"/>
    <w:rsid w:val="6C8B60DB"/>
    <w:rsid w:val="6CB72120"/>
    <w:rsid w:val="6CBF5146"/>
    <w:rsid w:val="6CCA7D73"/>
    <w:rsid w:val="6CF23343"/>
    <w:rsid w:val="6D132556"/>
    <w:rsid w:val="6D4B2AB3"/>
    <w:rsid w:val="6D763A57"/>
    <w:rsid w:val="6DAB5A23"/>
    <w:rsid w:val="6DEE183F"/>
    <w:rsid w:val="6E3E604C"/>
    <w:rsid w:val="6E6E727D"/>
    <w:rsid w:val="6E71421E"/>
    <w:rsid w:val="6EBC1FC5"/>
    <w:rsid w:val="6EC218EC"/>
    <w:rsid w:val="6ECA43AA"/>
    <w:rsid w:val="6ECF6865"/>
    <w:rsid w:val="6F272E8D"/>
    <w:rsid w:val="6F2801E3"/>
    <w:rsid w:val="6F2F31EF"/>
    <w:rsid w:val="6F3031F2"/>
    <w:rsid w:val="6F3C65DA"/>
    <w:rsid w:val="6F490D61"/>
    <w:rsid w:val="6F5E7238"/>
    <w:rsid w:val="6F85308E"/>
    <w:rsid w:val="6F8D2879"/>
    <w:rsid w:val="6F9728C7"/>
    <w:rsid w:val="6F9B386E"/>
    <w:rsid w:val="6FD27390"/>
    <w:rsid w:val="6FDC4E71"/>
    <w:rsid w:val="6FDD3D20"/>
    <w:rsid w:val="6FDE2969"/>
    <w:rsid w:val="700F22BF"/>
    <w:rsid w:val="701045F9"/>
    <w:rsid w:val="70155E91"/>
    <w:rsid w:val="7020504D"/>
    <w:rsid w:val="70462EF1"/>
    <w:rsid w:val="707D7D43"/>
    <w:rsid w:val="70C26BF8"/>
    <w:rsid w:val="70F5342E"/>
    <w:rsid w:val="71022C75"/>
    <w:rsid w:val="71211899"/>
    <w:rsid w:val="713B6344"/>
    <w:rsid w:val="71431EA2"/>
    <w:rsid w:val="715720EF"/>
    <w:rsid w:val="715C4A88"/>
    <w:rsid w:val="716D422C"/>
    <w:rsid w:val="71777E63"/>
    <w:rsid w:val="71787C2D"/>
    <w:rsid w:val="717F3BEB"/>
    <w:rsid w:val="71C70D25"/>
    <w:rsid w:val="71F118FE"/>
    <w:rsid w:val="71F238C8"/>
    <w:rsid w:val="72081116"/>
    <w:rsid w:val="723C36B6"/>
    <w:rsid w:val="72847FEA"/>
    <w:rsid w:val="728E4680"/>
    <w:rsid w:val="729F6320"/>
    <w:rsid w:val="72AE5ACF"/>
    <w:rsid w:val="72F80CB1"/>
    <w:rsid w:val="730B7EF5"/>
    <w:rsid w:val="73807352"/>
    <w:rsid w:val="73ED07EB"/>
    <w:rsid w:val="741007F5"/>
    <w:rsid w:val="741555EA"/>
    <w:rsid w:val="741709BC"/>
    <w:rsid w:val="746077D4"/>
    <w:rsid w:val="74A34E0E"/>
    <w:rsid w:val="74B25E36"/>
    <w:rsid w:val="74B5566D"/>
    <w:rsid w:val="74D044B4"/>
    <w:rsid w:val="751B0054"/>
    <w:rsid w:val="75264970"/>
    <w:rsid w:val="754378D1"/>
    <w:rsid w:val="75595C78"/>
    <w:rsid w:val="7589124B"/>
    <w:rsid w:val="759335A8"/>
    <w:rsid w:val="75B17801"/>
    <w:rsid w:val="75D53122"/>
    <w:rsid w:val="75F342BE"/>
    <w:rsid w:val="76033D8F"/>
    <w:rsid w:val="760A4D91"/>
    <w:rsid w:val="76133056"/>
    <w:rsid w:val="762650BF"/>
    <w:rsid w:val="764334F2"/>
    <w:rsid w:val="766C3C49"/>
    <w:rsid w:val="766D79C1"/>
    <w:rsid w:val="76DF40F1"/>
    <w:rsid w:val="77096F7C"/>
    <w:rsid w:val="77103403"/>
    <w:rsid w:val="772518D4"/>
    <w:rsid w:val="773210A0"/>
    <w:rsid w:val="77462347"/>
    <w:rsid w:val="774A7709"/>
    <w:rsid w:val="776A712E"/>
    <w:rsid w:val="777776F5"/>
    <w:rsid w:val="77782A01"/>
    <w:rsid w:val="77B565DF"/>
    <w:rsid w:val="77B75D2D"/>
    <w:rsid w:val="77D23F80"/>
    <w:rsid w:val="77D66CB1"/>
    <w:rsid w:val="77D73344"/>
    <w:rsid w:val="784125D0"/>
    <w:rsid w:val="78850504"/>
    <w:rsid w:val="78955E3B"/>
    <w:rsid w:val="789D06D4"/>
    <w:rsid w:val="7940316B"/>
    <w:rsid w:val="79D12015"/>
    <w:rsid w:val="79D279ED"/>
    <w:rsid w:val="7A027F8D"/>
    <w:rsid w:val="7A303861"/>
    <w:rsid w:val="7A895C71"/>
    <w:rsid w:val="7A927CA8"/>
    <w:rsid w:val="7A99333D"/>
    <w:rsid w:val="7AA80FC8"/>
    <w:rsid w:val="7AEC37C4"/>
    <w:rsid w:val="7B2D5C91"/>
    <w:rsid w:val="7B63075D"/>
    <w:rsid w:val="7BB51E94"/>
    <w:rsid w:val="7BCA3981"/>
    <w:rsid w:val="7BD35FFD"/>
    <w:rsid w:val="7BD77DB7"/>
    <w:rsid w:val="7BEC4E19"/>
    <w:rsid w:val="7BFB50F4"/>
    <w:rsid w:val="7C061A6C"/>
    <w:rsid w:val="7C4F49C1"/>
    <w:rsid w:val="7C905799"/>
    <w:rsid w:val="7CBC393D"/>
    <w:rsid w:val="7CE84DCF"/>
    <w:rsid w:val="7D44147C"/>
    <w:rsid w:val="7E0877F7"/>
    <w:rsid w:val="7E57112E"/>
    <w:rsid w:val="7E5C089A"/>
    <w:rsid w:val="7E9A086F"/>
    <w:rsid w:val="7E9E0A17"/>
    <w:rsid w:val="7EDD62F1"/>
    <w:rsid w:val="7F322CC8"/>
    <w:rsid w:val="7F3373D6"/>
    <w:rsid w:val="7F5925C1"/>
    <w:rsid w:val="7F906F5B"/>
    <w:rsid w:val="7F9769EB"/>
    <w:rsid w:val="7F9D1231"/>
    <w:rsid w:val="7FCA4F46"/>
    <w:rsid w:val="7FDA7E75"/>
    <w:rsid w:val="7FF15A8A"/>
    <w:rsid w:val="7FF5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2"/>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9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00"/>
    <w:qFormat/>
    <w:uiPriority w:val="0"/>
    <w:pPr>
      <w:keepNext/>
      <w:keepLines/>
      <w:spacing w:before="280" w:after="290" w:line="376" w:lineRule="auto"/>
      <w:outlineLvl w:val="4"/>
    </w:pPr>
    <w:rPr>
      <w:b/>
      <w:bCs/>
      <w:sz w:val="28"/>
      <w:szCs w:val="28"/>
    </w:rPr>
  </w:style>
  <w:style w:type="paragraph" w:styleId="9">
    <w:name w:val="heading 6"/>
    <w:basedOn w:val="1"/>
    <w:next w:val="1"/>
    <w:link w:val="10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7"/>
    <w:qFormat/>
    <w:uiPriority w:val="0"/>
    <w:pPr>
      <w:spacing w:after="120"/>
    </w:pPr>
    <w:rPr>
      <w:sz w:val="28"/>
    </w:rPr>
  </w:style>
  <w:style w:type="paragraph" w:customStyle="1" w:styleId="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toc 7"/>
    <w:basedOn w:val="1"/>
    <w:next w:val="1"/>
    <w:qFormat/>
    <w:uiPriority w:val="39"/>
    <w:pPr>
      <w:ind w:left="1260"/>
      <w:jc w:val="left"/>
    </w:pPr>
    <w:rPr>
      <w:rFonts w:ascii="Calibri" w:hAnsi="Calibri" w:cs="Calibri"/>
      <w:sz w:val="18"/>
      <w:szCs w:val="18"/>
    </w:rPr>
  </w:style>
  <w:style w:type="paragraph" w:styleId="14">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5">
    <w:name w:val="Normal Indent"/>
    <w:basedOn w:val="1"/>
    <w:link w:val="67"/>
    <w:qFormat/>
    <w:uiPriority w:val="0"/>
    <w:pPr>
      <w:ind w:firstLine="420"/>
    </w:pPr>
    <w:rPr>
      <w:rFonts w:asciiTheme="minorHAnsi" w:hAnsiTheme="minorHAnsi" w:eastAsiaTheme="minorEastAsia" w:cstheme="minorBidi"/>
      <w:szCs w:val="22"/>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24"/>
    <w:semiHidden/>
    <w:qFormat/>
    <w:uiPriority w:val="0"/>
    <w:pPr>
      <w:shd w:val="clear" w:color="auto" w:fill="000080"/>
    </w:pPr>
  </w:style>
  <w:style w:type="paragraph" w:styleId="18">
    <w:name w:val="annotation text"/>
    <w:basedOn w:val="1"/>
    <w:link w:val="125"/>
    <w:unhideWhenUsed/>
    <w:qFormat/>
    <w:uiPriority w:val="0"/>
    <w:pPr>
      <w:jc w:val="left"/>
    </w:pPr>
  </w:style>
  <w:style w:type="paragraph" w:styleId="19">
    <w:name w:val="Body Text 3"/>
    <w:basedOn w:val="1"/>
    <w:link w:val="74"/>
    <w:qFormat/>
    <w:uiPriority w:val="0"/>
    <w:pPr>
      <w:snapToGrid w:val="0"/>
      <w:spacing w:before="50" w:after="50"/>
    </w:pPr>
    <w:rPr>
      <w:rFonts w:hAnsi="宋体" w:eastAsia="仿宋_GB2312"/>
      <w:b/>
      <w:bCs/>
      <w:sz w:val="24"/>
      <w:szCs w:val="20"/>
    </w:rPr>
  </w:style>
  <w:style w:type="paragraph" w:styleId="20">
    <w:name w:val="Body Text Indent"/>
    <w:basedOn w:val="1"/>
    <w:link w:val="71"/>
    <w:qFormat/>
    <w:uiPriority w:val="0"/>
    <w:pPr>
      <w:spacing w:line="200" w:lineRule="exact"/>
      <w:ind w:firstLine="301"/>
    </w:pPr>
    <w:rPr>
      <w:rFonts w:ascii="宋体" w:hAnsi="Courier New" w:eastAsiaTheme="minorEastAsia" w:cstheme="minorBidi"/>
      <w:spacing w:val="-4"/>
      <w:sz w:val="18"/>
      <w:szCs w:val="22"/>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spacing w:line="240" w:lineRule="exact"/>
      <w:ind w:left="475" w:leftChars="240" w:right="578" w:rightChars="292" w:firstLine="473"/>
    </w:pPr>
    <w:rPr>
      <w:rFonts w:ascii="宋体"/>
      <w:szCs w:val="21"/>
    </w:rPr>
  </w:style>
  <w:style w:type="paragraph" w:styleId="24">
    <w:name w:val="index 4"/>
    <w:basedOn w:val="1"/>
    <w:next w:val="1"/>
    <w:qFormat/>
    <w:uiPriority w:val="0"/>
    <w:pPr>
      <w:ind w:left="600" w:leftChars="600"/>
    </w:pPr>
    <w:rPr>
      <w:rFonts w:ascii="宋体"/>
      <w:sz w:val="24"/>
    </w:rPr>
  </w:style>
  <w:style w:type="paragraph" w:styleId="25">
    <w:name w:val="toc 5"/>
    <w:basedOn w:val="1"/>
    <w:next w:val="1"/>
    <w:qFormat/>
    <w:uiPriority w:val="39"/>
    <w:pPr>
      <w:ind w:left="840"/>
      <w:jc w:val="left"/>
    </w:pPr>
    <w:rPr>
      <w:rFonts w:ascii="Calibri" w:hAnsi="Calibri" w:cs="Calibri"/>
      <w:sz w:val="18"/>
      <w:szCs w:val="18"/>
    </w:rPr>
  </w:style>
  <w:style w:type="paragraph" w:styleId="26">
    <w:name w:val="toc 3"/>
    <w:basedOn w:val="1"/>
    <w:next w:val="1"/>
    <w:qFormat/>
    <w:uiPriority w:val="39"/>
    <w:pPr>
      <w:ind w:left="840" w:leftChars="400"/>
    </w:pPr>
  </w:style>
  <w:style w:type="paragraph" w:styleId="27">
    <w:name w:val="Plain Text"/>
    <w:basedOn w:val="1"/>
    <w:next w:val="1"/>
    <w:link w:val="70"/>
    <w:qFormat/>
    <w:uiPriority w:val="0"/>
    <w:pPr>
      <w:spacing w:before="156" w:beforeLines="50" w:after="156" w:afterLines="50" w:line="400" w:lineRule="exact"/>
    </w:pPr>
    <w:rPr>
      <w:rFonts w:ascii="宋体" w:hAnsi="Courier New" w:eastAsiaTheme="minorEastAsia" w:cstheme="minorBidi"/>
      <w:sz w:val="24"/>
    </w:rPr>
  </w:style>
  <w:style w:type="paragraph" w:styleId="28">
    <w:name w:val="toc 8"/>
    <w:basedOn w:val="1"/>
    <w:next w:val="1"/>
    <w:qFormat/>
    <w:uiPriority w:val="39"/>
    <w:pPr>
      <w:ind w:left="1470"/>
      <w:jc w:val="left"/>
    </w:pPr>
    <w:rPr>
      <w:rFonts w:ascii="Calibri" w:hAnsi="Calibri" w:cs="Calibri"/>
      <w:sz w:val="18"/>
      <w:szCs w:val="18"/>
    </w:rPr>
  </w:style>
  <w:style w:type="paragraph" w:styleId="29">
    <w:name w:val="Date"/>
    <w:basedOn w:val="1"/>
    <w:next w:val="1"/>
    <w:link w:val="83"/>
    <w:qFormat/>
    <w:uiPriority w:val="0"/>
    <w:pPr>
      <w:ind w:left="2500" w:leftChars="2500"/>
    </w:pPr>
    <w:rPr>
      <w:rFonts w:eastAsia="楷体_GB2312"/>
      <w:sz w:val="32"/>
      <w:szCs w:val="20"/>
    </w:rPr>
  </w:style>
  <w:style w:type="paragraph" w:styleId="30">
    <w:name w:val="Body Text Indent 2"/>
    <w:basedOn w:val="1"/>
    <w:link w:val="84"/>
    <w:qFormat/>
    <w:uiPriority w:val="0"/>
    <w:pPr>
      <w:snapToGrid w:val="0"/>
      <w:ind w:firstLine="542" w:firstLineChars="225"/>
    </w:pPr>
    <w:rPr>
      <w:rFonts w:ascii="仿宋_GB2312" w:hAnsi="宋体" w:cs="Arial"/>
      <w:b/>
      <w:bCs/>
      <w:color w:val="000000"/>
      <w:sz w:val="24"/>
    </w:rPr>
  </w:style>
  <w:style w:type="paragraph" w:styleId="31">
    <w:name w:val="Balloon Text"/>
    <w:basedOn w:val="1"/>
    <w:link w:val="82"/>
    <w:qFormat/>
    <w:uiPriority w:val="0"/>
    <w:rPr>
      <w:sz w:val="18"/>
      <w:szCs w:val="18"/>
    </w:rPr>
  </w:style>
  <w:style w:type="paragraph" w:styleId="32">
    <w:name w:val="footer"/>
    <w:basedOn w:val="1"/>
    <w:link w:val="64"/>
    <w:unhideWhenUsed/>
    <w:qFormat/>
    <w:uiPriority w:val="0"/>
    <w:pPr>
      <w:tabs>
        <w:tab w:val="center" w:pos="4153"/>
        <w:tab w:val="right" w:pos="8306"/>
      </w:tabs>
      <w:snapToGrid w:val="0"/>
      <w:jc w:val="left"/>
    </w:pPr>
    <w:rPr>
      <w:sz w:val="18"/>
      <w:szCs w:val="18"/>
    </w:rPr>
  </w:style>
  <w:style w:type="paragraph" w:styleId="33">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style>
  <w:style w:type="paragraph" w:styleId="35">
    <w:name w:val="toc 4"/>
    <w:basedOn w:val="1"/>
    <w:next w:val="1"/>
    <w:qFormat/>
    <w:uiPriority w:val="39"/>
    <w:pPr>
      <w:ind w:left="630"/>
      <w:jc w:val="left"/>
    </w:pPr>
    <w:rPr>
      <w:rFonts w:ascii="Calibri" w:hAnsi="Calibri" w:cs="Calibri"/>
      <w:sz w:val="18"/>
      <w:szCs w:val="18"/>
    </w:rPr>
  </w:style>
  <w:style w:type="paragraph" w:styleId="36">
    <w:name w:val="List"/>
    <w:basedOn w:val="1"/>
    <w:qFormat/>
    <w:uiPriority w:val="0"/>
    <w:pPr>
      <w:ind w:left="200" w:hanging="200" w:hangingChars="200"/>
    </w:pPr>
    <w:rPr>
      <w:sz w:val="28"/>
    </w:rPr>
  </w:style>
  <w:style w:type="paragraph" w:styleId="37">
    <w:name w:val="footnote text"/>
    <w:basedOn w:val="1"/>
    <w:link w:val="115"/>
    <w:qFormat/>
    <w:uiPriority w:val="0"/>
    <w:pPr>
      <w:snapToGrid w:val="0"/>
      <w:jc w:val="left"/>
    </w:pPr>
    <w:rPr>
      <w:kern w:val="0"/>
      <w:sz w:val="18"/>
      <w:szCs w:val="18"/>
    </w:rPr>
  </w:style>
  <w:style w:type="paragraph" w:styleId="38">
    <w:name w:val="toc 6"/>
    <w:basedOn w:val="1"/>
    <w:next w:val="1"/>
    <w:qFormat/>
    <w:uiPriority w:val="39"/>
    <w:pPr>
      <w:ind w:left="1050"/>
      <w:jc w:val="left"/>
    </w:pPr>
    <w:rPr>
      <w:rFonts w:ascii="Calibri" w:hAnsi="Calibri" w:cs="Calibri"/>
      <w:sz w:val="18"/>
      <w:szCs w:val="18"/>
    </w:rPr>
  </w:style>
  <w:style w:type="paragraph" w:styleId="39">
    <w:name w:val="Body Text Indent 3"/>
    <w:basedOn w:val="1"/>
    <w:link w:val="72"/>
    <w:qFormat/>
    <w:uiPriority w:val="0"/>
    <w:pPr>
      <w:snapToGrid w:val="0"/>
      <w:ind w:firstLine="480" w:firstLineChars="200"/>
      <w:jc w:val="left"/>
    </w:pPr>
    <w:rPr>
      <w:rFonts w:ascii="仿宋_GB2312" w:hAnsi="宋体" w:eastAsia="仿宋_GB2312" w:cstheme="minorBidi"/>
      <w:color w:val="000000"/>
      <w:sz w:val="24"/>
    </w:rPr>
  </w:style>
  <w:style w:type="paragraph" w:styleId="40">
    <w:name w:val="toc 2"/>
    <w:basedOn w:val="1"/>
    <w:next w:val="1"/>
    <w:qFormat/>
    <w:uiPriority w:val="39"/>
    <w:pPr>
      <w:ind w:left="420" w:leftChars="200"/>
    </w:pPr>
  </w:style>
  <w:style w:type="paragraph" w:styleId="41">
    <w:name w:val="toc 9"/>
    <w:basedOn w:val="1"/>
    <w:next w:val="1"/>
    <w:qFormat/>
    <w:uiPriority w:val="39"/>
    <w:pPr>
      <w:ind w:left="1680"/>
      <w:jc w:val="left"/>
    </w:pPr>
    <w:rPr>
      <w:rFonts w:ascii="Calibri" w:hAnsi="Calibri" w:cs="Calibri"/>
      <w:sz w:val="18"/>
      <w:szCs w:val="18"/>
    </w:rPr>
  </w:style>
  <w:style w:type="paragraph" w:styleId="42">
    <w:name w:val="Body Text 2"/>
    <w:basedOn w:val="1"/>
    <w:link w:val="81"/>
    <w:qFormat/>
    <w:uiPriority w:val="0"/>
    <w:pPr>
      <w:widowControl/>
      <w:snapToGrid w:val="0"/>
      <w:spacing w:before="50" w:after="156" w:afterLines="50" w:line="400" w:lineRule="exact"/>
      <w:jc w:val="left"/>
    </w:pPr>
    <w:rPr>
      <w:rFonts w:ascii="宋体" w:hAnsi="宋体"/>
      <w:color w:val="000000"/>
      <w:sz w:val="24"/>
    </w:rPr>
  </w:style>
  <w:style w:type="paragraph" w:styleId="43">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szCs w:val="22"/>
    </w:rPr>
  </w:style>
  <w:style w:type="paragraph" w:styleId="44">
    <w:name w:val="Normal (Web)"/>
    <w:basedOn w:val="1"/>
    <w:link w:val="160"/>
    <w:qFormat/>
    <w:uiPriority w:val="0"/>
    <w:pPr>
      <w:widowControl/>
      <w:spacing w:before="100" w:beforeAutospacing="1" w:after="100" w:afterAutospacing="1"/>
      <w:jc w:val="left"/>
    </w:pPr>
    <w:rPr>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next w:val="1"/>
    <w:link w:val="132"/>
    <w:qFormat/>
    <w:uiPriority w:val="0"/>
    <w:pPr>
      <w:spacing w:before="240" w:after="60"/>
      <w:jc w:val="center"/>
      <w:outlineLvl w:val="0"/>
    </w:pPr>
    <w:rPr>
      <w:rFonts w:ascii="Cambria" w:hAnsi="Cambria"/>
      <w:b/>
      <w:sz w:val="32"/>
      <w:szCs w:val="20"/>
    </w:rPr>
  </w:style>
  <w:style w:type="paragraph" w:styleId="47">
    <w:name w:val="annotation subject"/>
    <w:basedOn w:val="18"/>
    <w:next w:val="18"/>
    <w:link w:val="126"/>
    <w:qFormat/>
    <w:uiPriority w:val="0"/>
    <w:rPr>
      <w:b/>
      <w:bCs/>
    </w:rPr>
  </w:style>
  <w:style w:type="paragraph" w:styleId="48">
    <w:name w:val="Body Text First Indent"/>
    <w:basedOn w:val="2"/>
    <w:qFormat/>
    <w:uiPriority w:val="99"/>
    <w:pPr>
      <w:autoSpaceDE w:val="0"/>
      <w:autoSpaceDN w:val="0"/>
      <w:adjustRightInd w:val="0"/>
      <w:spacing w:after="0"/>
      <w:jc w:val="left"/>
    </w:pPr>
    <w:rPr>
      <w:kern w:val="0"/>
      <w:szCs w:val="20"/>
    </w:rPr>
  </w:style>
  <w:style w:type="table" w:styleId="50">
    <w:name w:val="Table Grid"/>
    <w:basedOn w:val="4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954F72"/>
      <w:u w:val="single"/>
    </w:rPr>
  </w:style>
  <w:style w:type="character" w:styleId="55">
    <w:name w:val="Emphasis"/>
    <w:qFormat/>
    <w:uiPriority w:val="0"/>
    <w:rPr>
      <w:color w:val="CC0000"/>
    </w:rPr>
  </w:style>
  <w:style w:type="character" w:styleId="56">
    <w:name w:val="HTML Typewriter"/>
    <w:qFormat/>
    <w:uiPriority w:val="0"/>
    <w:rPr>
      <w:rFonts w:ascii="黑体" w:hAnsi="Courier New" w:eastAsia="黑体" w:cs="Courier New"/>
      <w:sz w:val="20"/>
      <w:szCs w:val="20"/>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paragraph" w:customStyle="1" w:styleId="6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1">
    <w:name w:val="List Paragraph"/>
    <w:basedOn w:val="1"/>
    <w:qFormat/>
    <w:uiPriority w:val="34"/>
    <w:pPr>
      <w:ind w:firstLine="420" w:firstLineChars="200"/>
    </w:pPr>
    <w:rPr>
      <w:rFonts w:ascii="Calibri" w:hAnsi="Calibri"/>
      <w:szCs w:val="22"/>
    </w:rPr>
  </w:style>
  <w:style w:type="paragraph" w:customStyle="1" w:styleId="6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3">
    <w:name w:val="页眉 Char"/>
    <w:basedOn w:val="51"/>
    <w:link w:val="33"/>
    <w:qFormat/>
    <w:uiPriority w:val="0"/>
    <w:rPr>
      <w:sz w:val="18"/>
      <w:szCs w:val="18"/>
    </w:rPr>
  </w:style>
  <w:style w:type="character" w:customStyle="1" w:styleId="64">
    <w:name w:val="页脚 Char"/>
    <w:basedOn w:val="51"/>
    <w:link w:val="32"/>
    <w:qFormat/>
    <w:uiPriority w:val="0"/>
    <w:rPr>
      <w:sz w:val="18"/>
      <w:szCs w:val="18"/>
    </w:rPr>
  </w:style>
  <w:style w:type="character" w:customStyle="1" w:styleId="65">
    <w:name w:val="标题 1 Char"/>
    <w:basedOn w:val="51"/>
    <w:link w:val="4"/>
    <w:qFormat/>
    <w:uiPriority w:val="0"/>
    <w:rPr>
      <w:rFonts w:ascii="Times New Roman" w:hAnsi="Times New Roman" w:eastAsia="宋体" w:cs="Times New Roman"/>
      <w:b/>
      <w:bCs/>
      <w:kern w:val="44"/>
      <w:sz w:val="44"/>
      <w:szCs w:val="44"/>
    </w:rPr>
  </w:style>
  <w:style w:type="character" w:customStyle="1" w:styleId="66">
    <w:name w:val="标题 2 Char"/>
    <w:basedOn w:val="51"/>
    <w:link w:val="5"/>
    <w:qFormat/>
    <w:uiPriority w:val="0"/>
    <w:rPr>
      <w:rFonts w:ascii="Arial" w:hAnsi="Arial" w:eastAsia="黑体" w:cs="Times New Roman"/>
      <w:b/>
      <w:bCs/>
      <w:sz w:val="32"/>
      <w:szCs w:val="32"/>
    </w:rPr>
  </w:style>
  <w:style w:type="character" w:customStyle="1" w:styleId="67">
    <w:name w:val="正文缩进 Char"/>
    <w:link w:val="15"/>
    <w:qFormat/>
    <w:locked/>
    <w:uiPriority w:val="0"/>
  </w:style>
  <w:style w:type="character" w:customStyle="1" w:styleId="68">
    <w:name w:val="HTML 预设格式 Char"/>
    <w:link w:val="43"/>
    <w:qFormat/>
    <w:uiPriority w:val="0"/>
    <w:rPr>
      <w:rFonts w:ascii="Arial Unicode MS" w:hAnsi="Arial Unicode MS" w:eastAsia="Arial Unicode MS" w:cs="Arial Unicode MS"/>
      <w:color w:val="000000"/>
    </w:rPr>
  </w:style>
  <w:style w:type="character" w:customStyle="1" w:styleId="69">
    <w:name w:val="标题 1 Char Char"/>
    <w:qFormat/>
    <w:uiPriority w:val="0"/>
    <w:rPr>
      <w:rFonts w:eastAsia="宋体"/>
      <w:b/>
      <w:spacing w:val="-2"/>
      <w:sz w:val="24"/>
      <w:lang w:val="en-US" w:eastAsia="zh-CN" w:bidi="ar-SA"/>
    </w:rPr>
  </w:style>
  <w:style w:type="character" w:customStyle="1" w:styleId="70">
    <w:name w:val="纯文本 Char"/>
    <w:link w:val="27"/>
    <w:qFormat/>
    <w:locked/>
    <w:uiPriority w:val="0"/>
    <w:rPr>
      <w:rFonts w:ascii="宋体" w:hAnsi="Courier New"/>
      <w:sz w:val="24"/>
      <w:szCs w:val="24"/>
    </w:rPr>
  </w:style>
  <w:style w:type="character" w:customStyle="1" w:styleId="71">
    <w:name w:val="正文文本缩进 Char"/>
    <w:link w:val="20"/>
    <w:qFormat/>
    <w:uiPriority w:val="0"/>
    <w:rPr>
      <w:rFonts w:ascii="宋体" w:hAnsi="Courier New"/>
      <w:spacing w:val="-4"/>
      <w:sz w:val="18"/>
    </w:rPr>
  </w:style>
  <w:style w:type="character" w:customStyle="1" w:styleId="72">
    <w:name w:val="正文文本缩进 3 Char"/>
    <w:link w:val="39"/>
    <w:qFormat/>
    <w:uiPriority w:val="0"/>
    <w:rPr>
      <w:rFonts w:ascii="仿宋_GB2312" w:hAnsi="宋体" w:eastAsia="仿宋_GB2312"/>
      <w:color w:val="000000"/>
      <w:sz w:val="24"/>
      <w:szCs w:val="24"/>
    </w:rPr>
  </w:style>
  <w:style w:type="paragraph" w:customStyle="1" w:styleId="73">
    <w:name w:val="样式 楷体_GB2312 小四 行距: 1.5 倍行距"/>
    <w:basedOn w:val="1"/>
    <w:qFormat/>
    <w:uiPriority w:val="0"/>
    <w:pPr>
      <w:spacing w:line="360" w:lineRule="auto"/>
      <w:ind w:firstLine="200" w:firstLineChars="200"/>
    </w:pPr>
    <w:rPr>
      <w:rFonts w:ascii="楷体_GB2312" w:eastAsia="楷体_GB2312" w:cs="宋体"/>
      <w:sz w:val="24"/>
      <w:szCs w:val="20"/>
    </w:rPr>
  </w:style>
  <w:style w:type="character" w:customStyle="1" w:styleId="74">
    <w:name w:val="正文文本 3 Char"/>
    <w:basedOn w:val="51"/>
    <w:link w:val="19"/>
    <w:qFormat/>
    <w:uiPriority w:val="0"/>
    <w:rPr>
      <w:rFonts w:ascii="Times New Roman" w:hAnsi="宋体" w:eastAsia="仿宋_GB2312" w:cs="Times New Roman"/>
      <w:b/>
      <w:bCs/>
      <w:sz w:val="24"/>
      <w:szCs w:val="20"/>
    </w:rPr>
  </w:style>
  <w:style w:type="paragraph" w:customStyle="1" w:styleId="75">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6">
    <w:name w:val="正文文本缩进 Char1"/>
    <w:basedOn w:val="51"/>
    <w:semiHidden/>
    <w:qFormat/>
    <w:uiPriority w:val="99"/>
    <w:rPr>
      <w:rFonts w:ascii="Times New Roman" w:hAnsi="Times New Roman" w:eastAsia="宋体" w:cs="Times New Roman"/>
      <w:szCs w:val="24"/>
    </w:rPr>
  </w:style>
  <w:style w:type="character" w:customStyle="1" w:styleId="77">
    <w:name w:val="正文文本 Char"/>
    <w:basedOn w:val="51"/>
    <w:link w:val="2"/>
    <w:qFormat/>
    <w:uiPriority w:val="0"/>
    <w:rPr>
      <w:rFonts w:ascii="Times New Roman" w:hAnsi="Times New Roman" w:eastAsia="宋体" w:cs="Times New Roman"/>
      <w:sz w:val="28"/>
      <w:szCs w:val="24"/>
    </w:rPr>
  </w:style>
  <w:style w:type="paragraph" w:customStyle="1" w:styleId="78">
    <w:name w:val="Char1"/>
    <w:basedOn w:val="1"/>
    <w:qFormat/>
    <w:uiPriority w:val="0"/>
    <w:rPr>
      <w:rFonts w:ascii="Tahoma" w:hAnsi="Tahoma"/>
      <w:sz w:val="24"/>
      <w:szCs w:val="20"/>
    </w:rPr>
  </w:style>
  <w:style w:type="paragraph" w:customStyle="1" w:styleId="79">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80">
    <w:name w:val="纯文本 Char1"/>
    <w:basedOn w:val="51"/>
    <w:semiHidden/>
    <w:qFormat/>
    <w:uiPriority w:val="99"/>
    <w:rPr>
      <w:rFonts w:ascii="宋体" w:hAnsi="Courier New" w:eastAsia="宋体" w:cs="Courier New"/>
      <w:szCs w:val="21"/>
    </w:rPr>
  </w:style>
  <w:style w:type="character" w:customStyle="1" w:styleId="81">
    <w:name w:val="正文文本 2 Char"/>
    <w:basedOn w:val="51"/>
    <w:link w:val="42"/>
    <w:qFormat/>
    <w:uiPriority w:val="0"/>
    <w:rPr>
      <w:rFonts w:ascii="宋体" w:hAnsi="宋体" w:eastAsia="宋体" w:cs="Times New Roman"/>
      <w:color w:val="000000"/>
      <w:sz w:val="24"/>
      <w:szCs w:val="24"/>
    </w:rPr>
  </w:style>
  <w:style w:type="character" w:customStyle="1" w:styleId="82">
    <w:name w:val="批注框文本 Char"/>
    <w:basedOn w:val="51"/>
    <w:link w:val="31"/>
    <w:semiHidden/>
    <w:qFormat/>
    <w:uiPriority w:val="0"/>
    <w:rPr>
      <w:rFonts w:ascii="Times New Roman" w:hAnsi="Times New Roman" w:eastAsia="宋体" w:cs="Times New Roman"/>
      <w:sz w:val="18"/>
      <w:szCs w:val="18"/>
    </w:rPr>
  </w:style>
  <w:style w:type="character" w:customStyle="1" w:styleId="83">
    <w:name w:val="日期 Char"/>
    <w:basedOn w:val="51"/>
    <w:link w:val="29"/>
    <w:qFormat/>
    <w:uiPriority w:val="0"/>
    <w:rPr>
      <w:rFonts w:ascii="Times New Roman" w:hAnsi="Times New Roman" w:eastAsia="楷体_GB2312" w:cs="Times New Roman"/>
      <w:sz w:val="32"/>
      <w:szCs w:val="20"/>
    </w:rPr>
  </w:style>
  <w:style w:type="character" w:customStyle="1" w:styleId="84">
    <w:name w:val="正文文本缩进 2 Char"/>
    <w:basedOn w:val="51"/>
    <w:link w:val="30"/>
    <w:qFormat/>
    <w:uiPriority w:val="0"/>
    <w:rPr>
      <w:rFonts w:ascii="仿宋_GB2312" w:hAnsi="宋体" w:eastAsia="宋体" w:cs="Arial"/>
      <w:b/>
      <w:bCs/>
      <w:color w:val="000000"/>
      <w:sz w:val="24"/>
      <w:szCs w:val="24"/>
    </w:rPr>
  </w:style>
  <w:style w:type="character" w:customStyle="1" w:styleId="85">
    <w:name w:val="正文文本缩进 3 Char1"/>
    <w:basedOn w:val="51"/>
    <w:semiHidden/>
    <w:qFormat/>
    <w:uiPriority w:val="99"/>
    <w:rPr>
      <w:rFonts w:ascii="Times New Roman" w:hAnsi="Times New Roman" w:eastAsia="宋体" w:cs="Times New Roman"/>
      <w:sz w:val="16"/>
      <w:szCs w:val="16"/>
    </w:rPr>
  </w:style>
  <w:style w:type="character" w:customStyle="1" w:styleId="86">
    <w:name w:val="HTML 预设格式 Char1"/>
    <w:basedOn w:val="51"/>
    <w:semiHidden/>
    <w:qFormat/>
    <w:uiPriority w:val="99"/>
    <w:rPr>
      <w:rFonts w:ascii="Courier New" w:hAnsi="Courier New" w:eastAsia="宋体" w:cs="Courier New"/>
      <w:sz w:val="20"/>
      <w:szCs w:val="20"/>
    </w:rPr>
  </w:style>
  <w:style w:type="paragraph" w:customStyle="1" w:styleId="87">
    <w:name w:val="表格"/>
    <w:next w:val="1"/>
    <w:qFormat/>
    <w:uiPriority w:val="0"/>
    <w:pPr>
      <w:spacing w:before="120" w:beforeLines="50" w:after="120" w:afterLines="50"/>
      <w:jc w:val="both"/>
    </w:pPr>
    <w:rPr>
      <w:rFonts w:ascii="宋体" w:hAnsi="宋体" w:eastAsia="宋体" w:cs="Times New Roman"/>
      <w:color w:val="000000"/>
      <w:kern w:val="2"/>
      <w:sz w:val="18"/>
      <w:szCs w:val="18"/>
      <w:lang w:val="en-US" w:eastAsia="zh-CN" w:bidi="ar-SA"/>
    </w:rPr>
  </w:style>
  <w:style w:type="paragraph" w:customStyle="1" w:styleId="8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9">
    <w:name w:val="Char Char Char Char"/>
    <w:basedOn w:val="1"/>
    <w:qFormat/>
    <w:uiPriority w:val="0"/>
    <w:pPr>
      <w:widowControl/>
      <w:spacing w:after="160" w:line="240" w:lineRule="exact"/>
      <w:jc w:val="left"/>
    </w:pPr>
    <w:rPr>
      <w:rFonts w:ascii="Tahoma" w:hAnsi="Tahoma" w:eastAsia="Times New Roman"/>
      <w:kern w:val="0"/>
      <w:sz w:val="24"/>
      <w:szCs w:val="20"/>
    </w:rPr>
  </w:style>
  <w:style w:type="paragraph" w:customStyle="1" w:styleId="90">
    <w:name w:val="正文段"/>
    <w:basedOn w:val="1"/>
    <w:qFormat/>
    <w:uiPriority w:val="0"/>
    <w:pPr>
      <w:widowControl/>
      <w:snapToGrid w:val="0"/>
      <w:spacing w:after="50" w:afterLines="50"/>
      <w:ind w:firstLine="200" w:firstLineChars="200"/>
    </w:pPr>
    <w:rPr>
      <w:kern w:val="0"/>
      <w:sz w:val="24"/>
      <w:szCs w:val="20"/>
    </w:rPr>
  </w:style>
  <w:style w:type="paragraph" w:customStyle="1" w:styleId="91">
    <w:name w:val="默认段落字体 Para Char Char Char Char Char Char Char Char Char1 Char Char Char Char"/>
    <w:basedOn w:val="1"/>
    <w:qFormat/>
    <w:uiPriority w:val="0"/>
    <w:rPr>
      <w:rFonts w:ascii="Tahoma" w:hAnsi="Tahoma"/>
      <w:sz w:val="24"/>
      <w:szCs w:val="20"/>
    </w:rPr>
  </w:style>
  <w:style w:type="character" w:customStyle="1" w:styleId="92">
    <w:name w:val="标题 3 Char"/>
    <w:basedOn w:val="51"/>
    <w:link w:val="6"/>
    <w:qFormat/>
    <w:uiPriority w:val="0"/>
    <w:rPr>
      <w:rFonts w:ascii="Times New Roman" w:hAnsi="Times New Roman" w:eastAsia="宋体" w:cs="Times New Roman"/>
      <w:b/>
      <w:bCs/>
      <w:sz w:val="32"/>
      <w:szCs w:val="32"/>
    </w:rPr>
  </w:style>
  <w:style w:type="paragraph" w:customStyle="1" w:styleId="93">
    <w:name w:val="我的正文 Char"/>
    <w:basedOn w:val="1"/>
    <w:next w:val="1"/>
    <w:qFormat/>
    <w:uiPriority w:val="0"/>
    <w:pPr>
      <w:spacing w:line="520" w:lineRule="exact"/>
      <w:ind w:firstLine="540" w:firstLineChars="225"/>
    </w:pPr>
    <w:rPr>
      <w:sz w:val="24"/>
    </w:rPr>
  </w:style>
  <w:style w:type="paragraph" w:customStyle="1" w:styleId="94">
    <w:name w:val="表格文字2"/>
    <w:basedOn w:val="1"/>
    <w:qFormat/>
    <w:uiPriority w:val="0"/>
    <w:pPr>
      <w:tabs>
        <w:tab w:val="left" w:pos="277"/>
        <w:tab w:val="left" w:pos="600"/>
        <w:tab w:val="left" w:pos="780"/>
        <w:tab w:val="left" w:pos="2517"/>
      </w:tabs>
      <w:adjustRightInd w:val="0"/>
      <w:spacing w:before="60"/>
      <w:jc w:val="center"/>
    </w:pPr>
    <w:rPr>
      <w:kern w:val="0"/>
      <w:szCs w:val="21"/>
    </w:rPr>
  </w:style>
  <w:style w:type="paragraph" w:customStyle="1" w:styleId="95">
    <w:name w:val="正文格式"/>
    <w:basedOn w:val="1"/>
    <w:qFormat/>
    <w:uiPriority w:val="0"/>
    <w:pPr>
      <w:spacing w:beforeLines="50" w:line="360" w:lineRule="auto"/>
      <w:ind w:firstLine="560" w:firstLineChars="200"/>
    </w:pPr>
    <w:rPr>
      <w:rFonts w:ascii="华文仿宋" w:hAnsi="华文仿宋" w:eastAsia="华文仿宋"/>
      <w:kern w:val="0"/>
      <w:sz w:val="24"/>
      <w:lang w:val="en-GB"/>
    </w:rPr>
  </w:style>
  <w:style w:type="paragraph" w:customStyle="1" w:styleId="96">
    <w:name w:val="正文 New"/>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customStyle="1" w:styleId="97">
    <w:name w:val="NormalCharacter"/>
    <w:semiHidden/>
    <w:qFormat/>
    <w:uiPriority w:val="0"/>
    <w:rPr>
      <w:kern w:val="2"/>
      <w:sz w:val="21"/>
      <w:szCs w:val="24"/>
      <w:lang w:val="en-US" w:eastAsia="zh-CN" w:bidi="ar-SA"/>
    </w:rPr>
  </w:style>
  <w:style w:type="character" w:customStyle="1" w:styleId="98">
    <w:name w:val="标题 4 Char"/>
    <w:basedOn w:val="51"/>
    <w:link w:val="7"/>
    <w:qFormat/>
    <w:uiPriority w:val="0"/>
    <w:rPr>
      <w:rFonts w:asciiTheme="majorHAnsi" w:hAnsiTheme="majorHAnsi" w:eastAsiaTheme="majorEastAsia" w:cstheme="majorBidi"/>
      <w:b/>
      <w:bCs/>
      <w:kern w:val="2"/>
      <w:sz w:val="28"/>
      <w:szCs w:val="28"/>
    </w:rPr>
  </w:style>
  <w:style w:type="paragraph" w:customStyle="1" w:styleId="99">
    <w:name w:val="列出段落11"/>
    <w:basedOn w:val="1"/>
    <w:qFormat/>
    <w:uiPriority w:val="0"/>
    <w:pPr>
      <w:spacing w:line="360" w:lineRule="auto"/>
      <w:ind w:firstLine="420" w:firstLineChars="200"/>
    </w:pPr>
    <w:rPr>
      <w:rFonts w:ascii="Calibri" w:hAnsi="Calibri" w:cs="黑体"/>
      <w:sz w:val="28"/>
      <w:szCs w:val="22"/>
    </w:rPr>
  </w:style>
  <w:style w:type="character" w:customStyle="1" w:styleId="100">
    <w:name w:val="标题 5 Char"/>
    <w:basedOn w:val="51"/>
    <w:link w:val="8"/>
    <w:qFormat/>
    <w:uiPriority w:val="0"/>
    <w:rPr>
      <w:b/>
      <w:bCs/>
      <w:kern w:val="2"/>
      <w:sz w:val="28"/>
      <w:szCs w:val="28"/>
    </w:rPr>
  </w:style>
  <w:style w:type="character" w:customStyle="1" w:styleId="101">
    <w:name w:val="标题 6 Char"/>
    <w:basedOn w:val="51"/>
    <w:link w:val="9"/>
    <w:qFormat/>
    <w:uiPriority w:val="0"/>
    <w:rPr>
      <w:rFonts w:ascii="Arial" w:hAnsi="Arial" w:eastAsia="黑体"/>
      <w:b/>
      <w:bCs/>
      <w:kern w:val="2"/>
      <w:sz w:val="24"/>
      <w:szCs w:val="24"/>
    </w:rPr>
  </w:style>
  <w:style w:type="character" w:customStyle="1" w:styleId="102">
    <w:name w:val="标题 7 Char"/>
    <w:basedOn w:val="51"/>
    <w:link w:val="10"/>
    <w:qFormat/>
    <w:uiPriority w:val="0"/>
    <w:rPr>
      <w:b/>
      <w:bCs/>
      <w:sz w:val="24"/>
      <w:szCs w:val="24"/>
    </w:rPr>
  </w:style>
  <w:style w:type="character" w:customStyle="1" w:styleId="103">
    <w:name w:val="标题 8 Char"/>
    <w:basedOn w:val="51"/>
    <w:link w:val="11"/>
    <w:qFormat/>
    <w:uiPriority w:val="0"/>
    <w:rPr>
      <w:rFonts w:ascii="Arial" w:hAnsi="Arial" w:eastAsia="黑体"/>
      <w:sz w:val="24"/>
      <w:szCs w:val="24"/>
    </w:rPr>
  </w:style>
  <w:style w:type="character" w:customStyle="1" w:styleId="104">
    <w:name w:val="标题 9 Char"/>
    <w:basedOn w:val="51"/>
    <w:link w:val="12"/>
    <w:qFormat/>
    <w:uiPriority w:val="0"/>
    <w:rPr>
      <w:rFonts w:ascii="Arial" w:hAnsi="Arial" w:eastAsia="黑体"/>
      <w:sz w:val="21"/>
      <w:szCs w:val="21"/>
    </w:rPr>
  </w:style>
  <w:style w:type="paragraph" w:customStyle="1" w:styleId="105">
    <w:name w:val="TOC 标题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06">
    <w:name w:val="my Char Char"/>
    <w:link w:val="107"/>
    <w:qFormat/>
    <w:uiPriority w:val="0"/>
    <w:rPr>
      <w:rFonts w:ascii="楷体_GB2312" w:eastAsia="楷体_GB2312"/>
      <w:snapToGrid w:val="0"/>
      <w:sz w:val="28"/>
      <w:szCs w:val="28"/>
    </w:rPr>
  </w:style>
  <w:style w:type="paragraph" w:customStyle="1" w:styleId="107">
    <w:name w:val="my"/>
    <w:basedOn w:val="1"/>
    <w:link w:val="106"/>
    <w:qFormat/>
    <w:uiPriority w:val="0"/>
    <w:pPr>
      <w:widowControl/>
      <w:tabs>
        <w:tab w:val="left" w:pos="0"/>
        <w:tab w:val="left" w:pos="5823"/>
      </w:tabs>
      <w:adjustRightInd w:val="0"/>
      <w:spacing w:line="520" w:lineRule="exact"/>
      <w:ind w:firstLine="565" w:firstLineChars="200"/>
    </w:pPr>
    <w:rPr>
      <w:rFonts w:ascii="楷体_GB2312" w:eastAsia="楷体_GB2312"/>
      <w:snapToGrid w:val="0"/>
      <w:kern w:val="0"/>
      <w:sz w:val="28"/>
      <w:szCs w:val="28"/>
    </w:rPr>
  </w:style>
  <w:style w:type="character" w:customStyle="1" w:styleId="108">
    <w:name w:val="normaltext1"/>
    <w:qFormat/>
    <w:uiPriority w:val="0"/>
    <w:rPr>
      <w:rFonts w:hint="default"/>
      <w:color w:val="000000"/>
      <w:sz w:val="18"/>
      <w:szCs w:val="18"/>
      <w:u w:val="none"/>
    </w:rPr>
  </w:style>
  <w:style w:type="paragraph" w:customStyle="1" w:styleId="109">
    <w:name w:val="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0">
    <w:name w:val="Char Char Char1 Char Char Char"/>
    <w:link w:val="111"/>
    <w:qFormat/>
    <w:uiPriority w:val="0"/>
    <w:rPr>
      <w:szCs w:val="24"/>
    </w:rPr>
  </w:style>
  <w:style w:type="paragraph" w:customStyle="1" w:styleId="111">
    <w:name w:val="Char Char Char1 Char"/>
    <w:basedOn w:val="1"/>
    <w:next w:val="1"/>
    <w:link w:val="110"/>
    <w:qFormat/>
    <w:uiPriority w:val="0"/>
    <w:rPr>
      <w:kern w:val="0"/>
      <w:sz w:val="20"/>
    </w:rPr>
  </w:style>
  <w:style w:type="character" w:customStyle="1" w:styleId="112">
    <w:name w:val="texttitle1"/>
    <w:qFormat/>
    <w:uiPriority w:val="0"/>
    <w:rPr>
      <w:rFonts w:hint="default"/>
      <w:b/>
      <w:bCs/>
      <w:color w:val="0000FF"/>
      <w:sz w:val="21"/>
      <w:szCs w:val="21"/>
    </w:rPr>
  </w:style>
  <w:style w:type="character" w:customStyle="1" w:styleId="113">
    <w:name w:val="font161"/>
    <w:qFormat/>
    <w:uiPriority w:val="0"/>
    <w:rPr>
      <w:b/>
      <w:bCs/>
      <w:sz w:val="32"/>
      <w:szCs w:val="32"/>
    </w:rPr>
  </w:style>
  <w:style w:type="character" w:customStyle="1" w:styleId="114">
    <w:name w:val="unnamed11"/>
    <w:qFormat/>
    <w:uiPriority w:val="0"/>
    <w:rPr>
      <w:rFonts w:hint="default" w:ascii="ˎ̥" w:hAnsi="ˎ̥"/>
      <w:sz w:val="16"/>
      <w:szCs w:val="16"/>
      <w:u w:val="none"/>
    </w:rPr>
  </w:style>
  <w:style w:type="character" w:customStyle="1" w:styleId="115">
    <w:name w:val="脚注文本 Char"/>
    <w:link w:val="37"/>
    <w:qFormat/>
    <w:uiPriority w:val="0"/>
    <w:rPr>
      <w:sz w:val="18"/>
      <w:szCs w:val="18"/>
    </w:rPr>
  </w:style>
  <w:style w:type="character" w:customStyle="1" w:styleId="116">
    <w:name w:val="zbggmain style9"/>
    <w:basedOn w:val="51"/>
    <w:qFormat/>
    <w:uiPriority w:val="0"/>
  </w:style>
  <w:style w:type="paragraph" w:customStyle="1" w:styleId="117">
    <w:name w:val="Körper"/>
    <w:basedOn w:val="1"/>
    <w:qFormat/>
    <w:uiPriority w:val="0"/>
    <w:pPr>
      <w:widowControl/>
      <w:spacing w:before="120" w:line="240" w:lineRule="exact"/>
    </w:pPr>
    <w:rPr>
      <w:rFonts w:ascii="Arial" w:hAnsi="Arial"/>
      <w:kern w:val="0"/>
      <w:sz w:val="20"/>
      <w:szCs w:val="20"/>
      <w:lang w:val="de-DE" w:eastAsia="de-DE"/>
    </w:rPr>
  </w:style>
  <w:style w:type="paragraph" w:customStyle="1" w:styleId="11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character" w:customStyle="1" w:styleId="119">
    <w:name w:val="脚注文本 Char1"/>
    <w:basedOn w:val="51"/>
    <w:semiHidden/>
    <w:qFormat/>
    <w:uiPriority w:val="99"/>
    <w:rPr>
      <w:kern w:val="2"/>
      <w:sz w:val="18"/>
      <w:szCs w:val="18"/>
    </w:rPr>
  </w:style>
  <w:style w:type="paragraph" w:customStyle="1" w:styleId="120">
    <w:name w:val="Char Char1 Char Char Char"/>
    <w:basedOn w:val="1"/>
    <w:qFormat/>
    <w:uiPriority w:val="0"/>
    <w:rPr>
      <w:kern w:val="0"/>
      <w:sz w:val="20"/>
      <w:szCs w:val="20"/>
    </w:rPr>
  </w:style>
  <w:style w:type="paragraph" w:customStyle="1" w:styleId="121">
    <w:name w:val="条款节部分"/>
    <w:basedOn w:val="1"/>
    <w:qFormat/>
    <w:uiPriority w:val="0"/>
    <w:pPr>
      <w:tabs>
        <w:tab w:val="left" w:pos="900"/>
        <w:tab w:val="left" w:pos="2850"/>
      </w:tabs>
      <w:ind w:left="900" w:hanging="720"/>
    </w:pPr>
    <w:rPr>
      <w:rFonts w:eastAsia="仿宋_GB2312"/>
      <w:sz w:val="32"/>
      <w:szCs w:val="32"/>
    </w:rPr>
  </w:style>
  <w:style w:type="paragraph" w:customStyle="1" w:styleId="122">
    <w:name w:val="1.1.1"/>
    <w:next w:val="123"/>
    <w:qFormat/>
    <w:uiPriority w:val="0"/>
    <w:pPr>
      <w:spacing w:before="50" w:after="50" w:line="300" w:lineRule="auto"/>
      <w:jc w:val="both"/>
    </w:pPr>
    <w:rPr>
      <w:rFonts w:ascii="宋体" w:hAnsi="Times New Roman" w:eastAsia="宋体" w:cs="Times New Roman"/>
      <w:b/>
      <w:spacing w:val="10"/>
      <w:sz w:val="24"/>
      <w:lang w:val="en-US" w:eastAsia="zh-CN" w:bidi="ar-SA"/>
    </w:rPr>
  </w:style>
  <w:style w:type="paragraph" w:customStyle="1" w:styleId="123">
    <w:name w:val="正文1"/>
    <w:qFormat/>
    <w:uiPriority w:val="0"/>
    <w:pPr>
      <w:widowControl w:val="0"/>
      <w:adjustRightInd w:val="0"/>
      <w:snapToGrid w:val="0"/>
      <w:spacing w:after="120" w:line="300" w:lineRule="auto"/>
      <w:ind w:firstLine="539"/>
      <w:jc w:val="both"/>
    </w:pPr>
    <w:rPr>
      <w:rFonts w:ascii="宋体" w:hAnsi="Times New Roman" w:eastAsia="宋体" w:cs="Times New Roman"/>
      <w:spacing w:val="10"/>
      <w:sz w:val="24"/>
      <w:lang w:val="en-US" w:eastAsia="zh-CN" w:bidi="ar-SA"/>
    </w:rPr>
  </w:style>
  <w:style w:type="character" w:customStyle="1" w:styleId="124">
    <w:name w:val="文档结构图 Char"/>
    <w:basedOn w:val="51"/>
    <w:link w:val="17"/>
    <w:semiHidden/>
    <w:qFormat/>
    <w:uiPriority w:val="0"/>
    <w:rPr>
      <w:kern w:val="2"/>
      <w:sz w:val="21"/>
      <w:szCs w:val="24"/>
      <w:shd w:val="clear" w:color="auto" w:fill="000080"/>
    </w:rPr>
  </w:style>
  <w:style w:type="character" w:customStyle="1" w:styleId="125">
    <w:name w:val="批注文字 Char"/>
    <w:basedOn w:val="51"/>
    <w:link w:val="18"/>
    <w:qFormat/>
    <w:uiPriority w:val="0"/>
    <w:rPr>
      <w:kern w:val="2"/>
      <w:sz w:val="21"/>
      <w:szCs w:val="24"/>
    </w:rPr>
  </w:style>
  <w:style w:type="character" w:customStyle="1" w:styleId="126">
    <w:name w:val="批注主题 Char"/>
    <w:basedOn w:val="125"/>
    <w:link w:val="47"/>
    <w:qFormat/>
    <w:uiPriority w:val="0"/>
    <w:rPr>
      <w:b/>
      <w:bCs/>
      <w:kern w:val="2"/>
      <w:sz w:val="21"/>
      <w:szCs w:val="24"/>
    </w:rPr>
  </w:style>
  <w:style w:type="paragraph" w:customStyle="1" w:styleId="127">
    <w:name w:val="1"/>
    <w:basedOn w:val="1"/>
    <w:next w:val="1"/>
    <w:qFormat/>
    <w:uiPriority w:val="0"/>
  </w:style>
  <w:style w:type="paragraph" w:customStyle="1" w:styleId="1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9">
    <w:name w:val="标准书眉_偶数页"/>
    <w:basedOn w:val="130"/>
    <w:next w:val="1"/>
    <w:qFormat/>
    <w:uiPriority w:val="0"/>
    <w:pPr>
      <w:tabs>
        <w:tab w:val="center" w:pos="4154"/>
        <w:tab w:val="right" w:pos="8306"/>
      </w:tabs>
      <w:jc w:val="left"/>
    </w:pPr>
  </w:style>
  <w:style w:type="paragraph" w:customStyle="1" w:styleId="13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1">
    <w:name w:val="_Style 43"/>
    <w:basedOn w:val="1"/>
    <w:next w:val="1"/>
    <w:qFormat/>
    <w:uiPriority w:val="0"/>
  </w:style>
  <w:style w:type="character" w:customStyle="1" w:styleId="132">
    <w:name w:val="标题 Char"/>
    <w:basedOn w:val="51"/>
    <w:link w:val="46"/>
    <w:qFormat/>
    <w:uiPriority w:val="0"/>
    <w:rPr>
      <w:rFonts w:ascii="Cambria" w:hAnsi="Cambria"/>
      <w:b/>
      <w:kern w:val="2"/>
      <w:sz w:val="32"/>
    </w:rPr>
  </w:style>
  <w:style w:type="paragraph" w:customStyle="1" w:styleId="133">
    <w:name w:val="Char Char"/>
    <w:basedOn w:val="1"/>
    <w:qFormat/>
    <w:uiPriority w:val="0"/>
    <w:rPr>
      <w:rFonts w:ascii="Tahoma" w:hAnsi="Tahoma"/>
      <w:sz w:val="24"/>
      <w:szCs w:val="20"/>
    </w:rPr>
  </w:style>
  <w:style w:type="paragraph" w:customStyle="1" w:styleId="134">
    <w:name w:val="表格文字"/>
    <w:basedOn w:val="1"/>
    <w:qFormat/>
    <w:uiPriority w:val="0"/>
    <w:pPr>
      <w:adjustRightInd w:val="0"/>
      <w:spacing w:line="420" w:lineRule="atLeast"/>
      <w:jc w:val="left"/>
      <w:textAlignment w:val="baseline"/>
    </w:pPr>
    <w:rPr>
      <w:kern w:val="0"/>
      <w:szCs w:val="20"/>
    </w:rPr>
  </w:style>
  <w:style w:type="paragraph" w:customStyle="1" w:styleId="135">
    <w:name w:val="xl25"/>
    <w:basedOn w:val="1"/>
    <w:qFormat/>
    <w:uiPriority w:val="0"/>
    <w:pPr>
      <w:widowControl/>
      <w:spacing w:before="100" w:beforeAutospacing="1" w:after="100" w:afterAutospacing="1"/>
      <w:jc w:val="center"/>
      <w:textAlignment w:val="center"/>
    </w:pPr>
    <w:rPr>
      <w:rFonts w:hint="eastAsia" w:ascii="新宋体" w:hAnsi="新宋体" w:eastAsia="新宋体" w:cs="Arial Unicode MS"/>
      <w:b/>
      <w:bCs/>
      <w:kern w:val="0"/>
      <w:sz w:val="36"/>
      <w:szCs w:val="36"/>
    </w:rPr>
  </w:style>
  <w:style w:type="paragraph" w:customStyle="1" w:styleId="136">
    <w:name w:val="Char"/>
    <w:basedOn w:val="1"/>
    <w:qFormat/>
    <w:uiPriority w:val="0"/>
    <w:rPr>
      <w:rFonts w:ascii="Tahoma" w:hAnsi="Tahoma"/>
      <w:sz w:val="24"/>
      <w:szCs w:val="20"/>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9">
    <w:name w:val="Char Char Char Char Char Char3 Char Char Char Char Char Char Char Char Char Char"/>
    <w:basedOn w:val="1"/>
    <w:next w:val="1"/>
    <w:qFormat/>
    <w:uiPriority w:val="0"/>
    <w:rPr>
      <w:rFonts w:eastAsia="黑体"/>
      <w:sz w:val="28"/>
    </w:rPr>
  </w:style>
  <w:style w:type="paragraph" w:customStyle="1" w:styleId="14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41">
    <w:name w:val="_Style 10"/>
    <w:basedOn w:val="1"/>
    <w:next w:val="1"/>
    <w:qFormat/>
    <w:uiPriority w:val="0"/>
  </w:style>
  <w:style w:type="paragraph" w:customStyle="1" w:styleId="142">
    <w:name w:val="标题3"/>
    <w:basedOn w:val="1"/>
    <w:qFormat/>
    <w:uiPriority w:val="0"/>
    <w:pPr>
      <w:spacing w:line="440" w:lineRule="exact"/>
      <w:ind w:left="359" w:leftChars="171" w:firstLine="435"/>
    </w:pPr>
    <w:rPr>
      <w:szCs w:val="21"/>
    </w:rPr>
  </w:style>
  <w:style w:type="paragraph" w:customStyle="1" w:styleId="143">
    <w:name w:val="Char1 Char Char Char1 Char Char Char Char Char Char"/>
    <w:basedOn w:val="1"/>
    <w:next w:val="1"/>
    <w:qFormat/>
    <w:uiPriority w:val="0"/>
  </w:style>
  <w:style w:type="paragraph" w:customStyle="1" w:styleId="14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6">
    <w:name w:val="正文LA"/>
    <w:qFormat/>
    <w:uiPriority w:val="0"/>
    <w:pPr>
      <w:widowControl w:val="0"/>
      <w:tabs>
        <w:tab w:val="left" w:pos="0"/>
      </w:tabs>
      <w:adjustRightInd w:val="0"/>
      <w:spacing w:before="156" w:beforeLines="50" w:line="360" w:lineRule="auto"/>
      <w:ind w:firstLine="225" w:firstLineChars="225"/>
      <w:jc w:val="both"/>
    </w:pPr>
    <w:rPr>
      <w:rFonts w:ascii="宋体" w:hAnsi="宋体" w:eastAsia="宋体" w:cs="Times New Roman"/>
      <w:snapToGrid w:val="0"/>
      <w:sz w:val="24"/>
      <w:lang w:val="en-US" w:eastAsia="zh-CN" w:bidi="ar-SA"/>
    </w:rPr>
  </w:style>
  <w:style w:type="paragraph" w:customStyle="1" w:styleId="147">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8">
    <w:name w:val="修订1"/>
    <w:qFormat/>
    <w:uiPriority w:val="0"/>
    <w:rPr>
      <w:rFonts w:ascii="Times New Roman" w:hAnsi="Times New Roman" w:eastAsia="宋体" w:cs="Times New Roman"/>
      <w:kern w:val="2"/>
      <w:sz w:val="21"/>
      <w:szCs w:val="24"/>
      <w:lang w:val="en-US" w:eastAsia="zh-CN" w:bidi="ar-SA"/>
    </w:rPr>
  </w:style>
  <w:style w:type="paragraph" w:customStyle="1" w:styleId="149">
    <w:name w:val="正文01"/>
    <w:basedOn w:val="1"/>
    <w:qFormat/>
    <w:uiPriority w:val="0"/>
    <w:pPr>
      <w:spacing w:before="60" w:line="460" w:lineRule="exact"/>
      <w:ind w:firstLine="200" w:firstLineChars="200"/>
    </w:pPr>
    <w:rPr>
      <w:sz w:val="24"/>
    </w:rPr>
  </w:style>
  <w:style w:type="paragraph" w:customStyle="1" w:styleId="150">
    <w:name w:val="表格3"/>
    <w:basedOn w:val="1"/>
    <w:qFormat/>
    <w:uiPriority w:val="0"/>
    <w:pPr>
      <w:adjustRightInd w:val="0"/>
      <w:spacing w:line="420" w:lineRule="atLeast"/>
      <w:textAlignment w:val="baseline"/>
    </w:pPr>
    <w:rPr>
      <w:rFonts w:eastAsia="楷体"/>
      <w:kern w:val="0"/>
      <w:szCs w:val="20"/>
    </w:rPr>
  </w:style>
  <w:style w:type="paragraph" w:customStyle="1" w:styleId="151">
    <w:name w:val="样式1"/>
    <w:basedOn w:val="1"/>
    <w:next w:val="7"/>
    <w:qFormat/>
    <w:uiPriority w:val="0"/>
    <w:pPr>
      <w:spacing w:line="360" w:lineRule="auto"/>
      <w:ind w:firstLine="420" w:firstLineChars="200"/>
    </w:pPr>
    <w:rPr>
      <w:rFonts w:ascii="宋体" w:hAnsi="宋体"/>
      <w:szCs w:val="21"/>
    </w:rPr>
  </w:style>
  <w:style w:type="paragraph" w:customStyle="1" w:styleId="15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1 Char Char Char Char Char Char Char Char Char"/>
    <w:basedOn w:val="1"/>
    <w:next w:val="1"/>
    <w:qFormat/>
    <w:uiPriority w:val="0"/>
  </w:style>
  <w:style w:type="paragraph" w:customStyle="1" w:styleId="15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55">
    <w:name w:val="Char2"/>
    <w:basedOn w:val="1"/>
    <w:qFormat/>
    <w:uiPriority w:val="0"/>
  </w:style>
  <w:style w:type="paragraph" w:customStyle="1" w:styleId="156">
    <w:name w:val="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7">
    <w:name w:val="Char Char4"/>
    <w:basedOn w:val="1"/>
    <w:next w:val="1"/>
    <w:qFormat/>
    <w:uiPriority w:val="0"/>
  </w:style>
  <w:style w:type="character" w:customStyle="1" w:styleId="158">
    <w:name w:val="style71"/>
    <w:basedOn w:val="51"/>
    <w:qFormat/>
    <w:uiPriority w:val="0"/>
    <w:rPr>
      <w:color w:val="000000"/>
      <w:sz w:val="18"/>
      <w:szCs w:val="18"/>
    </w:rPr>
  </w:style>
  <w:style w:type="paragraph" w:customStyle="1" w:styleId="159">
    <w:name w:val="无间隔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0">
    <w:name w:val="普通(网站) Char"/>
    <w:link w:val="44"/>
    <w:qFormat/>
    <w:uiPriority w:val="0"/>
    <w:rPr>
      <w:sz w:val="24"/>
      <w:szCs w:val="24"/>
    </w:rPr>
  </w:style>
  <w:style w:type="paragraph" w:customStyle="1" w:styleId="161">
    <w:name w:val="TOC 标题3"/>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62">
    <w:name w:val="纯文本_0_0"/>
    <w:basedOn w:val="163"/>
    <w:qFormat/>
    <w:uiPriority w:val="0"/>
    <w:rPr>
      <w:rFonts w:ascii="宋体" w:hAnsi="Courier New"/>
      <w:szCs w:val="21"/>
    </w:rPr>
  </w:style>
  <w:style w:type="paragraph" w:customStyle="1" w:styleId="1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0"/>
    <w:basedOn w:val="1"/>
    <w:qFormat/>
    <w:uiPriority w:val="0"/>
    <w:pPr>
      <w:widowControl/>
      <w:autoSpaceDE/>
      <w:autoSpaceDN/>
      <w:jc w:val="both"/>
    </w:pPr>
    <w:rPr>
      <w:rFonts w:ascii="Times New Roman" w:hAnsi="Times New Roman" w:cs="Times New Roman"/>
      <w:sz w:val="21"/>
      <w:szCs w:val="21"/>
      <w:lang w:val="en-US" w:bidi="ar-SA"/>
    </w:rPr>
  </w:style>
  <w:style w:type="paragraph" w:customStyle="1" w:styleId="165">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6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4E5D9-6D68-4B24-AEAF-FA726AEA3B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38099</Words>
  <Characters>40754</Characters>
  <Lines>282</Lines>
  <Paragraphs>79</Paragraphs>
  <TotalTime>12</TotalTime>
  <ScaleCrop>false</ScaleCrop>
  <LinksUpToDate>false</LinksUpToDate>
  <CharactersWithSpaces>42008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2019-12-02T05:58:00Z</dcterms:created>
  <dc:creator>宁波华昌工程管理咨询有限公司</dc:creator>
  <cp:lastModifiedBy>宁波华欣建设项目管理有限公司</cp:lastModifiedBy>
  <cp:lastPrinted>2023-02-20T07:59:00Z</cp:lastPrinted>
  <dcterms:modified xsi:type="dcterms:W3CDTF">2023-03-07T07:14:34Z</dcterms:modified>
  <cp:revision>1371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898E894FE43B45BC82066594B7A93668</vt:lpwstr>
  </property>
</Properties>
</file>