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FC57F7">
      <w:pPr>
        <w:spacing w:line="360" w:lineRule="auto"/>
        <w:jc w:val="center"/>
        <w:rPr>
          <w:rFonts w:cs="仿宋_GB2312" w:asciiTheme="minorEastAsia" w:hAnsiTheme="minorEastAsia" w:eastAsiaTheme="minorEastAsia"/>
          <w:b/>
          <w:sz w:val="24"/>
        </w:rPr>
      </w:pPr>
    </w:p>
    <w:p w14:paraId="372C6832">
      <w:pPr>
        <w:adjustRightInd/>
        <w:spacing w:line="360" w:lineRule="auto"/>
        <w:jc w:val="center"/>
        <w:rPr>
          <w:rFonts w:ascii="宋体" w:hAnsi="宋体" w:cs="宋体"/>
          <w:b/>
          <w:sz w:val="72"/>
          <w:szCs w:val="72"/>
        </w:rPr>
      </w:pPr>
      <w:r>
        <w:rPr>
          <w:rFonts w:hint="eastAsia" w:ascii="宋体" w:hAnsi="宋体" w:cs="宋体"/>
          <w:b/>
          <w:bCs/>
          <w:w w:val="95"/>
          <w:sz w:val="72"/>
          <w:szCs w:val="72"/>
          <w:lang w:val="zh-CN"/>
        </w:rPr>
        <w:t>竞争性磋商</w:t>
      </w:r>
      <w:r>
        <w:rPr>
          <w:rFonts w:hint="eastAsia" w:ascii="宋体" w:hAnsi="宋体" w:cs="宋体"/>
          <w:b/>
          <w:sz w:val="72"/>
          <w:szCs w:val="72"/>
        </w:rPr>
        <w:t>文件</w:t>
      </w:r>
    </w:p>
    <w:p w14:paraId="2D0E3F97">
      <w:pPr>
        <w:adjustRightInd/>
        <w:spacing w:line="360" w:lineRule="auto"/>
        <w:jc w:val="center"/>
        <w:rPr>
          <w:rFonts w:ascii="宋体" w:hAnsi="宋体" w:cs="宋体"/>
          <w:b/>
          <w:sz w:val="44"/>
          <w:szCs w:val="44"/>
        </w:rPr>
      </w:pPr>
      <w:r>
        <w:rPr>
          <w:rFonts w:hint="eastAsia" w:ascii="宋体" w:hAnsi="宋体" w:cs="宋体"/>
          <w:b/>
          <w:sz w:val="44"/>
          <w:szCs w:val="44"/>
        </w:rPr>
        <w:t>（电子交易）</w:t>
      </w:r>
    </w:p>
    <w:p w14:paraId="2208B552">
      <w:pPr>
        <w:snapToGrid w:val="0"/>
        <w:spacing w:line="360" w:lineRule="auto"/>
        <w:jc w:val="center"/>
        <w:rPr>
          <w:rFonts w:ascii="宋体" w:hAnsi="宋体" w:cs="宋体"/>
          <w:sz w:val="30"/>
          <w:szCs w:val="30"/>
        </w:rPr>
      </w:pPr>
    </w:p>
    <w:p w14:paraId="44BE85F6">
      <w:pPr>
        <w:snapToGrid w:val="0"/>
        <w:spacing w:line="360" w:lineRule="auto"/>
        <w:ind w:firstLine="2400" w:firstLineChars="800"/>
        <w:jc w:val="left"/>
        <w:rPr>
          <w:rFonts w:hint="default" w:ascii="宋体" w:hAnsi="宋体" w:eastAsia="宋体" w:cs="宋体"/>
          <w:sz w:val="30"/>
          <w:szCs w:val="30"/>
          <w:lang w:val="en-US" w:eastAsia="zh-CN"/>
        </w:rPr>
      </w:pPr>
      <w:r>
        <w:rPr>
          <w:rFonts w:hint="eastAsia" w:ascii="宋体" w:hAnsi="宋体" w:cs="宋体"/>
          <w:sz w:val="30"/>
          <w:szCs w:val="30"/>
        </w:rPr>
        <w:t>项目编号：</w:t>
      </w:r>
      <w:r>
        <w:rPr>
          <w:rFonts w:hint="eastAsia" w:ascii="宋体" w:hAnsi="宋体" w:cs="宋体"/>
          <w:sz w:val="30"/>
          <w:szCs w:val="30"/>
          <w:lang w:eastAsia="zh-CN"/>
        </w:rPr>
        <w:t>NBHFNH【2025】017</w:t>
      </w:r>
    </w:p>
    <w:p w14:paraId="38AB2AE6">
      <w:pPr>
        <w:snapToGrid w:val="0"/>
        <w:spacing w:line="360" w:lineRule="auto"/>
        <w:ind w:firstLine="900" w:firstLineChars="300"/>
        <w:jc w:val="left"/>
        <w:rPr>
          <w:rFonts w:hint="eastAsia" w:ascii="宋体" w:hAnsi="宋体" w:cs="宋体"/>
          <w:sz w:val="30"/>
          <w:szCs w:val="30"/>
        </w:rPr>
      </w:pPr>
    </w:p>
    <w:p w14:paraId="3571C698">
      <w:pPr>
        <w:snapToGrid w:val="0"/>
        <w:spacing w:line="360" w:lineRule="auto"/>
        <w:ind w:firstLine="900" w:firstLineChars="300"/>
        <w:jc w:val="left"/>
        <w:rPr>
          <w:rFonts w:hint="eastAsia" w:ascii="宋体" w:hAnsi="宋体" w:cs="宋体"/>
          <w:sz w:val="30"/>
          <w:szCs w:val="30"/>
        </w:rPr>
      </w:pPr>
    </w:p>
    <w:p w14:paraId="5C9A22F5">
      <w:pPr>
        <w:snapToGrid w:val="0"/>
        <w:spacing w:line="360" w:lineRule="auto"/>
        <w:ind w:firstLine="900" w:firstLineChars="300"/>
        <w:jc w:val="left"/>
        <w:rPr>
          <w:rFonts w:hint="eastAsia" w:ascii="宋体" w:hAnsi="宋体" w:cs="宋体"/>
          <w:sz w:val="30"/>
          <w:szCs w:val="30"/>
        </w:rPr>
      </w:pPr>
    </w:p>
    <w:p w14:paraId="12ACBDCE">
      <w:pPr>
        <w:snapToGrid w:val="0"/>
        <w:spacing w:line="360" w:lineRule="auto"/>
        <w:ind w:firstLine="900" w:firstLineChars="300"/>
        <w:jc w:val="left"/>
        <w:rPr>
          <w:rFonts w:hint="eastAsia" w:ascii="宋体" w:hAnsi="宋体" w:cs="宋体"/>
          <w:sz w:val="30"/>
          <w:szCs w:val="30"/>
        </w:rPr>
      </w:pPr>
    </w:p>
    <w:p w14:paraId="71538085">
      <w:pPr>
        <w:snapToGrid w:val="0"/>
        <w:spacing w:line="360" w:lineRule="auto"/>
        <w:ind w:firstLine="2400" w:firstLineChars="800"/>
        <w:jc w:val="left"/>
        <w:rPr>
          <w:rFonts w:hint="eastAsia" w:ascii="宋体" w:hAnsi="宋体" w:cs="宋体"/>
          <w:sz w:val="30"/>
          <w:szCs w:val="30"/>
        </w:rPr>
      </w:pPr>
    </w:p>
    <w:p w14:paraId="077E47B1">
      <w:pPr>
        <w:snapToGrid w:val="0"/>
        <w:spacing w:line="360" w:lineRule="auto"/>
        <w:ind w:firstLine="600" w:firstLineChars="200"/>
        <w:jc w:val="left"/>
        <w:rPr>
          <w:rFonts w:hint="eastAsia" w:ascii="宋体" w:hAnsi="宋体" w:cs="宋体"/>
          <w:sz w:val="30"/>
          <w:szCs w:val="30"/>
          <w:lang w:eastAsia="zh-CN"/>
        </w:rPr>
      </w:pPr>
      <w:r>
        <w:rPr>
          <w:rFonts w:hint="eastAsia" w:ascii="宋体" w:hAnsi="宋体" w:cs="宋体"/>
          <w:sz w:val="30"/>
          <w:szCs w:val="30"/>
        </w:rPr>
        <w:t>项目名称：</w:t>
      </w:r>
      <w:r>
        <w:rPr>
          <w:rFonts w:hint="eastAsia" w:ascii="宋体" w:hAnsi="宋体" w:cs="宋体"/>
          <w:sz w:val="30"/>
          <w:szCs w:val="30"/>
          <w:lang w:eastAsia="zh-CN"/>
        </w:rPr>
        <w:t>宁海县一市镇中心学校塑胶跑道等维修工程</w:t>
      </w:r>
    </w:p>
    <w:p w14:paraId="554B72E6">
      <w:pPr>
        <w:snapToGrid w:val="0"/>
        <w:spacing w:line="360" w:lineRule="auto"/>
        <w:ind w:firstLine="600" w:firstLineChars="200"/>
        <w:jc w:val="left"/>
        <w:rPr>
          <w:rFonts w:hint="eastAsia" w:ascii="宋体" w:hAnsi="宋体" w:cs="宋体"/>
          <w:sz w:val="30"/>
          <w:szCs w:val="30"/>
          <w:lang w:eastAsia="zh-CN"/>
        </w:rPr>
      </w:pPr>
      <w:r>
        <w:rPr>
          <w:rFonts w:hint="eastAsia" w:ascii="宋体" w:hAnsi="宋体" w:cs="宋体"/>
          <w:sz w:val="30"/>
          <w:szCs w:val="30"/>
        </w:rPr>
        <w:t>采购人：</w:t>
      </w:r>
      <w:r>
        <w:rPr>
          <w:rFonts w:hint="eastAsia" w:ascii="宋体" w:hAnsi="宋体" w:cs="宋体"/>
          <w:sz w:val="30"/>
          <w:szCs w:val="30"/>
          <w:lang w:eastAsia="zh-CN"/>
        </w:rPr>
        <w:t>宁海县一市镇中心学校</w:t>
      </w:r>
    </w:p>
    <w:p w14:paraId="3CC430F8">
      <w:pPr>
        <w:snapToGrid w:val="0"/>
        <w:spacing w:line="360" w:lineRule="auto"/>
        <w:ind w:firstLine="600" w:firstLineChars="200"/>
        <w:jc w:val="left"/>
        <w:rPr>
          <w:rFonts w:hint="eastAsia" w:ascii="宋体" w:hAnsi="宋体" w:cs="宋体"/>
          <w:sz w:val="30"/>
          <w:szCs w:val="30"/>
          <w:lang w:eastAsia="zh-CN"/>
        </w:rPr>
      </w:pPr>
      <w:r>
        <w:rPr>
          <w:rFonts w:hint="eastAsia" w:ascii="宋体" w:hAnsi="宋体" w:cs="宋体"/>
          <w:sz w:val="30"/>
          <w:szCs w:val="30"/>
        </w:rPr>
        <w:t>采购代理机构：</w:t>
      </w:r>
      <w:r>
        <w:rPr>
          <w:rFonts w:hint="eastAsia" w:ascii="宋体" w:hAnsi="宋体" w:cs="宋体"/>
          <w:sz w:val="30"/>
          <w:szCs w:val="30"/>
          <w:lang w:eastAsia="zh-CN"/>
        </w:rPr>
        <w:t>宁波和丰建设项目管理有限公司</w:t>
      </w:r>
    </w:p>
    <w:p w14:paraId="5FA2BE73">
      <w:pPr>
        <w:snapToGrid w:val="0"/>
        <w:spacing w:line="360" w:lineRule="auto"/>
        <w:ind w:firstLine="2400" w:firstLineChars="800"/>
        <w:jc w:val="left"/>
        <w:rPr>
          <w:rFonts w:hint="eastAsia" w:ascii="宋体" w:hAnsi="宋体" w:cs="宋体"/>
          <w:sz w:val="30"/>
          <w:szCs w:val="30"/>
        </w:rPr>
      </w:pPr>
    </w:p>
    <w:p w14:paraId="61A78876">
      <w:pPr>
        <w:snapToGrid w:val="0"/>
        <w:spacing w:line="360" w:lineRule="auto"/>
        <w:ind w:firstLine="2400" w:firstLineChars="800"/>
        <w:jc w:val="left"/>
        <w:rPr>
          <w:rFonts w:hint="eastAsia" w:ascii="宋体" w:hAnsi="宋体" w:cs="宋体"/>
          <w:sz w:val="30"/>
          <w:szCs w:val="30"/>
        </w:rPr>
      </w:pPr>
    </w:p>
    <w:p w14:paraId="24B9FC70">
      <w:pPr>
        <w:snapToGrid w:val="0"/>
        <w:spacing w:line="360" w:lineRule="auto"/>
        <w:ind w:firstLine="3000" w:firstLineChars="1000"/>
        <w:jc w:val="left"/>
        <w:rPr>
          <w:rFonts w:hint="eastAsia" w:ascii="宋体" w:hAnsi="宋体" w:cs="宋体"/>
          <w:sz w:val="30"/>
          <w:szCs w:val="30"/>
        </w:rPr>
      </w:pPr>
      <w:r>
        <w:rPr>
          <w:rFonts w:hint="eastAsia" w:ascii="宋体" w:hAnsi="宋体" w:cs="宋体"/>
          <w:sz w:val="30"/>
          <w:szCs w:val="30"/>
        </w:rPr>
        <w:t>二〇二</w:t>
      </w:r>
      <w:r>
        <w:rPr>
          <w:rFonts w:hint="eastAsia" w:ascii="宋体" w:hAnsi="宋体" w:cs="宋体"/>
          <w:sz w:val="30"/>
          <w:szCs w:val="30"/>
          <w:lang w:eastAsia="zh-CN"/>
        </w:rPr>
        <w:t>五</w:t>
      </w:r>
      <w:r>
        <w:rPr>
          <w:rFonts w:hint="eastAsia" w:ascii="宋体" w:hAnsi="宋体" w:cs="宋体"/>
          <w:sz w:val="30"/>
          <w:szCs w:val="30"/>
        </w:rPr>
        <w:t>年</w:t>
      </w:r>
      <w:r>
        <w:rPr>
          <w:rFonts w:hint="eastAsia" w:ascii="宋体" w:hAnsi="宋体" w:cs="宋体"/>
          <w:sz w:val="30"/>
          <w:szCs w:val="30"/>
          <w:lang w:val="en-US" w:eastAsia="zh-CN"/>
        </w:rPr>
        <w:t>六</w:t>
      </w:r>
      <w:r>
        <w:rPr>
          <w:rFonts w:hint="eastAsia" w:ascii="宋体" w:hAnsi="宋体" w:cs="宋体"/>
          <w:sz w:val="30"/>
          <w:szCs w:val="30"/>
        </w:rPr>
        <w:t>月</w:t>
      </w:r>
    </w:p>
    <w:p w14:paraId="525A0033"/>
    <w:p w14:paraId="1DCCE27D">
      <w:pPr>
        <w:pStyle w:val="71"/>
      </w:pPr>
    </w:p>
    <w:p w14:paraId="7BD8C95F">
      <w:pPr>
        <w:pStyle w:val="71"/>
      </w:pPr>
    </w:p>
    <w:p w14:paraId="42C5D274">
      <w:pPr>
        <w:pStyle w:val="71"/>
      </w:pPr>
    </w:p>
    <w:p w14:paraId="70D33282">
      <w:pPr>
        <w:pStyle w:val="71"/>
      </w:pPr>
    </w:p>
    <w:p w14:paraId="17C2E6DB">
      <w:pPr>
        <w:pStyle w:val="71"/>
      </w:pPr>
    </w:p>
    <w:p w14:paraId="04207DF7">
      <w:pPr>
        <w:pStyle w:val="71"/>
      </w:pPr>
    </w:p>
    <w:p w14:paraId="5A790497">
      <w:pPr>
        <w:pStyle w:val="32"/>
        <w:spacing w:before="120" w:after="120" w:line="360" w:lineRule="auto"/>
        <w:jc w:val="center"/>
        <w:rPr>
          <w:rFonts w:hint="eastAsia" w:ascii="创艺简标宋" w:hAnsi="宋体" w:eastAsia="创艺简标宋"/>
          <w:sz w:val="44"/>
          <w:szCs w:val="44"/>
          <w:lang w:val="zh-CN"/>
        </w:rPr>
      </w:pPr>
    </w:p>
    <w:p w14:paraId="625D6F90">
      <w:pPr>
        <w:pStyle w:val="32"/>
        <w:spacing w:before="120" w:after="120" w:line="360" w:lineRule="auto"/>
        <w:jc w:val="center"/>
        <w:rPr>
          <w:rFonts w:ascii="创艺简标宋" w:hAnsi="宋体" w:eastAsia="创艺简标宋"/>
          <w:sz w:val="44"/>
          <w:szCs w:val="44"/>
        </w:rPr>
      </w:pPr>
      <w:r>
        <w:rPr>
          <w:rFonts w:hint="eastAsia" w:ascii="创艺简标宋" w:hAnsi="宋体" w:eastAsia="创艺简标宋"/>
          <w:sz w:val="44"/>
          <w:szCs w:val="44"/>
          <w:lang w:val="zh-CN"/>
        </w:rPr>
        <w:t>目  录</w:t>
      </w:r>
    </w:p>
    <w:p w14:paraId="5C06A9BB">
      <w:pPr>
        <w:keepNext w:val="0"/>
        <w:keepLines w:val="0"/>
        <w:pageBreakBefore w:val="0"/>
        <w:kinsoku/>
        <w:wordWrap/>
        <w:overflowPunct/>
        <w:topLinePunct w:val="0"/>
        <w:autoSpaceDE/>
        <w:autoSpaceDN/>
        <w:bidi w:val="0"/>
        <w:adjustRightInd/>
        <w:snapToGrid/>
        <w:spacing w:before="0" w:beforeLines="0" w:after="0" w:afterLines="0" w:line="480" w:lineRule="auto"/>
        <w:ind w:left="0" w:leftChars="0" w:right="0" w:rightChars="0" w:firstLine="0" w:firstLineChars="0"/>
        <w:jc w:val="center"/>
        <w:textAlignment w:val="auto"/>
        <w:rPr>
          <w:sz w:val="40"/>
          <w:szCs w:val="36"/>
        </w:rPr>
      </w:pPr>
      <w:r>
        <w:rPr>
          <w:rFonts w:hint="eastAsia" w:ascii="宋体" w:hAnsi="宋体"/>
          <w:color w:val="000000"/>
          <w:sz w:val="30"/>
        </w:rPr>
        <w:fldChar w:fldCharType="begin"/>
      </w:r>
      <w:r>
        <w:rPr>
          <w:rFonts w:hint="eastAsia" w:ascii="宋体" w:hAnsi="宋体"/>
          <w:color w:val="000000"/>
          <w:sz w:val="30"/>
        </w:rPr>
        <w:instrText xml:space="preserve"> TOC \o "1-3" \h \z \u </w:instrText>
      </w:r>
      <w:r>
        <w:rPr>
          <w:rFonts w:hint="eastAsia" w:ascii="宋体" w:hAnsi="宋体"/>
          <w:color w:val="000000"/>
          <w:sz w:val="30"/>
        </w:rPr>
        <w:fldChar w:fldCharType="separate"/>
      </w:r>
    </w:p>
    <w:p w14:paraId="5F1AB293">
      <w:pPr>
        <w:pStyle w:val="634"/>
        <w:keepNext w:val="0"/>
        <w:keepLines w:val="0"/>
        <w:pageBreakBefore w:val="0"/>
        <w:tabs>
          <w:tab w:val="right" w:leader="dot" w:pos="9922"/>
        </w:tabs>
        <w:kinsoku/>
        <w:wordWrap/>
        <w:overflowPunct/>
        <w:topLinePunct w:val="0"/>
        <w:autoSpaceDE/>
        <w:autoSpaceDN/>
        <w:bidi w:val="0"/>
        <w:adjustRightInd/>
        <w:snapToGrid/>
        <w:spacing w:line="480" w:lineRule="auto"/>
        <w:textAlignment w:val="auto"/>
        <w:rPr>
          <w:sz w:val="28"/>
          <w:szCs w:val="28"/>
        </w:rPr>
      </w:pPr>
      <w:r>
        <w:rPr>
          <w:rFonts w:hint="eastAsia"/>
          <w:color w:val="000000"/>
          <w:sz w:val="28"/>
          <w:szCs w:val="28"/>
          <w:highlight w:val="none"/>
        </w:rPr>
        <w:fldChar w:fldCharType="begin"/>
      </w:r>
      <w:r>
        <w:rPr>
          <w:rFonts w:hint="eastAsia"/>
          <w:color w:val="000000"/>
          <w:sz w:val="28"/>
          <w:szCs w:val="28"/>
          <w:highlight w:val="none"/>
        </w:rPr>
        <w:instrText xml:space="preserve">TOC \o "1-1" \h \u </w:instrText>
      </w:r>
      <w:r>
        <w:rPr>
          <w:rFonts w:hint="eastAsia"/>
          <w:color w:val="000000"/>
          <w:sz w:val="28"/>
          <w:szCs w:val="28"/>
          <w:highlight w:val="none"/>
        </w:rPr>
        <w:fldChar w:fldCharType="separate"/>
      </w:r>
      <w:r>
        <w:rPr>
          <w:rFonts w:hint="eastAsia"/>
          <w:color w:val="000000"/>
          <w:sz w:val="28"/>
          <w:szCs w:val="28"/>
          <w:highlight w:val="none"/>
        </w:rPr>
        <w:fldChar w:fldCharType="begin"/>
      </w:r>
      <w:r>
        <w:rPr>
          <w:rFonts w:hint="eastAsia"/>
          <w:sz w:val="28"/>
          <w:szCs w:val="28"/>
          <w:highlight w:val="none"/>
        </w:rPr>
        <w:instrText xml:space="preserve"> HYPERLINK \l _Toc10579 </w:instrText>
      </w:r>
      <w:r>
        <w:rPr>
          <w:rFonts w:hint="eastAsia"/>
          <w:sz w:val="28"/>
          <w:szCs w:val="28"/>
          <w:highlight w:val="none"/>
        </w:rPr>
        <w:fldChar w:fldCharType="separate"/>
      </w:r>
      <w:r>
        <w:rPr>
          <w:rFonts w:hint="eastAsia"/>
          <w:sz w:val="28"/>
          <w:szCs w:val="28"/>
          <w:highlight w:val="none"/>
        </w:rPr>
        <w:t>第一部分</w:t>
      </w:r>
      <w:r>
        <w:rPr>
          <w:sz w:val="28"/>
          <w:szCs w:val="28"/>
          <w:highlight w:val="none"/>
        </w:rPr>
        <w:t xml:space="preserve">  </w:t>
      </w:r>
      <w:r>
        <w:rPr>
          <w:rFonts w:hint="eastAsia"/>
          <w:sz w:val="28"/>
          <w:szCs w:val="28"/>
          <w:highlight w:val="none"/>
        </w:rPr>
        <w:t>采购公告</w:t>
      </w:r>
      <w:r>
        <w:rPr>
          <w:rFonts w:hint="eastAsia"/>
          <w:color w:val="000000"/>
          <w:sz w:val="28"/>
          <w:szCs w:val="28"/>
          <w:highlight w:val="none"/>
        </w:rPr>
        <w:fldChar w:fldCharType="end"/>
      </w:r>
    </w:p>
    <w:p w14:paraId="18A92CF6">
      <w:pPr>
        <w:pStyle w:val="634"/>
        <w:keepNext w:val="0"/>
        <w:keepLines w:val="0"/>
        <w:pageBreakBefore w:val="0"/>
        <w:tabs>
          <w:tab w:val="right" w:leader="dot" w:pos="9922"/>
        </w:tabs>
        <w:kinsoku/>
        <w:wordWrap/>
        <w:overflowPunct/>
        <w:topLinePunct w:val="0"/>
        <w:autoSpaceDE/>
        <w:autoSpaceDN/>
        <w:bidi w:val="0"/>
        <w:adjustRightInd/>
        <w:snapToGrid/>
        <w:spacing w:line="480" w:lineRule="auto"/>
        <w:textAlignment w:val="auto"/>
        <w:rPr>
          <w:sz w:val="28"/>
          <w:szCs w:val="28"/>
        </w:rPr>
      </w:pPr>
      <w:r>
        <w:rPr>
          <w:rFonts w:hint="eastAsia"/>
          <w:color w:val="000000"/>
          <w:sz w:val="28"/>
          <w:szCs w:val="28"/>
          <w:highlight w:val="none"/>
        </w:rPr>
        <w:fldChar w:fldCharType="begin"/>
      </w:r>
      <w:r>
        <w:rPr>
          <w:rFonts w:hint="eastAsia"/>
          <w:sz w:val="28"/>
          <w:szCs w:val="28"/>
          <w:highlight w:val="none"/>
        </w:rPr>
        <w:instrText xml:space="preserve"> HYPERLINK \l _Toc31399 </w:instrText>
      </w:r>
      <w:r>
        <w:rPr>
          <w:rFonts w:hint="eastAsia"/>
          <w:sz w:val="28"/>
          <w:szCs w:val="28"/>
          <w:highlight w:val="none"/>
        </w:rPr>
        <w:fldChar w:fldCharType="separate"/>
      </w:r>
      <w:r>
        <w:rPr>
          <w:rFonts w:hint="eastAsia"/>
          <w:sz w:val="28"/>
          <w:szCs w:val="28"/>
          <w:highlight w:val="none"/>
        </w:rPr>
        <w:t>第</w:t>
      </w:r>
      <w:r>
        <w:rPr>
          <w:rFonts w:hint="eastAsia"/>
          <w:sz w:val="28"/>
          <w:szCs w:val="28"/>
          <w:highlight w:val="none"/>
          <w:lang w:val="en-US" w:eastAsia="zh-CN"/>
        </w:rPr>
        <w:t>二</w:t>
      </w:r>
      <w:r>
        <w:rPr>
          <w:rFonts w:hint="eastAsia"/>
          <w:sz w:val="28"/>
          <w:szCs w:val="28"/>
          <w:highlight w:val="none"/>
        </w:rPr>
        <w:t xml:space="preserve">部分 </w:t>
      </w:r>
      <w:r>
        <w:rPr>
          <w:rFonts w:hint="eastAsia"/>
          <w:sz w:val="28"/>
          <w:szCs w:val="28"/>
          <w:highlight w:val="none"/>
          <w:lang w:val="en-US" w:eastAsia="zh-CN"/>
        </w:rPr>
        <w:t xml:space="preserve"> </w:t>
      </w:r>
      <w:r>
        <w:rPr>
          <w:rFonts w:hint="eastAsia"/>
          <w:sz w:val="28"/>
          <w:szCs w:val="28"/>
          <w:highlight w:val="none"/>
        </w:rPr>
        <w:t>项目需求</w:t>
      </w:r>
      <w:r>
        <w:rPr>
          <w:rFonts w:hint="eastAsia"/>
          <w:color w:val="000000"/>
          <w:sz w:val="28"/>
          <w:szCs w:val="28"/>
          <w:highlight w:val="none"/>
        </w:rPr>
        <w:fldChar w:fldCharType="end"/>
      </w:r>
    </w:p>
    <w:p w14:paraId="20D88A7A">
      <w:pPr>
        <w:pStyle w:val="634"/>
        <w:keepNext w:val="0"/>
        <w:keepLines w:val="0"/>
        <w:pageBreakBefore w:val="0"/>
        <w:tabs>
          <w:tab w:val="right" w:leader="dot" w:pos="9922"/>
        </w:tabs>
        <w:kinsoku/>
        <w:wordWrap/>
        <w:overflowPunct/>
        <w:topLinePunct w:val="0"/>
        <w:autoSpaceDE/>
        <w:autoSpaceDN/>
        <w:bidi w:val="0"/>
        <w:adjustRightInd/>
        <w:snapToGrid/>
        <w:spacing w:line="480" w:lineRule="auto"/>
        <w:textAlignment w:val="auto"/>
        <w:rPr>
          <w:sz w:val="28"/>
          <w:szCs w:val="28"/>
        </w:rPr>
      </w:pPr>
      <w:r>
        <w:rPr>
          <w:rFonts w:hint="eastAsia"/>
          <w:color w:val="000000"/>
          <w:sz w:val="28"/>
          <w:szCs w:val="28"/>
          <w:highlight w:val="none"/>
        </w:rPr>
        <w:fldChar w:fldCharType="begin"/>
      </w:r>
      <w:r>
        <w:rPr>
          <w:rFonts w:hint="eastAsia"/>
          <w:sz w:val="28"/>
          <w:szCs w:val="28"/>
          <w:highlight w:val="none"/>
        </w:rPr>
        <w:instrText xml:space="preserve"> HYPERLINK \l _Toc17126 </w:instrText>
      </w:r>
      <w:r>
        <w:rPr>
          <w:rFonts w:hint="eastAsia"/>
          <w:sz w:val="28"/>
          <w:szCs w:val="28"/>
          <w:highlight w:val="none"/>
        </w:rPr>
        <w:fldChar w:fldCharType="separate"/>
      </w:r>
      <w:r>
        <w:rPr>
          <w:rFonts w:hint="eastAsia"/>
          <w:sz w:val="28"/>
          <w:szCs w:val="28"/>
          <w:highlight w:val="none"/>
        </w:rPr>
        <w:t>第</w:t>
      </w:r>
      <w:r>
        <w:rPr>
          <w:rFonts w:hint="eastAsia"/>
          <w:sz w:val="28"/>
          <w:szCs w:val="28"/>
          <w:highlight w:val="none"/>
          <w:lang w:val="en-US" w:eastAsia="zh-CN"/>
        </w:rPr>
        <w:t>三</w:t>
      </w:r>
      <w:r>
        <w:rPr>
          <w:rFonts w:hint="eastAsia"/>
          <w:sz w:val="28"/>
          <w:szCs w:val="28"/>
          <w:highlight w:val="none"/>
        </w:rPr>
        <w:t>部分</w:t>
      </w:r>
      <w:r>
        <w:rPr>
          <w:sz w:val="28"/>
          <w:szCs w:val="28"/>
          <w:highlight w:val="none"/>
        </w:rPr>
        <w:t xml:space="preserve"> </w:t>
      </w:r>
      <w:r>
        <w:rPr>
          <w:rFonts w:hint="eastAsia"/>
          <w:sz w:val="28"/>
          <w:szCs w:val="28"/>
          <w:highlight w:val="none"/>
        </w:rPr>
        <w:t xml:space="preserve"> 竞争性磋商须知及前附表</w:t>
      </w:r>
      <w:r>
        <w:rPr>
          <w:rFonts w:hint="eastAsia"/>
          <w:color w:val="000000"/>
          <w:sz w:val="28"/>
          <w:szCs w:val="28"/>
          <w:highlight w:val="none"/>
        </w:rPr>
        <w:fldChar w:fldCharType="end"/>
      </w:r>
    </w:p>
    <w:p w14:paraId="2E87CA6D">
      <w:pPr>
        <w:pStyle w:val="634"/>
        <w:keepNext w:val="0"/>
        <w:keepLines w:val="0"/>
        <w:pageBreakBefore w:val="0"/>
        <w:tabs>
          <w:tab w:val="right" w:leader="dot" w:pos="9922"/>
        </w:tabs>
        <w:kinsoku/>
        <w:wordWrap/>
        <w:overflowPunct/>
        <w:topLinePunct w:val="0"/>
        <w:autoSpaceDE/>
        <w:autoSpaceDN/>
        <w:bidi w:val="0"/>
        <w:adjustRightInd/>
        <w:snapToGrid/>
        <w:spacing w:line="480" w:lineRule="auto"/>
        <w:textAlignment w:val="auto"/>
        <w:rPr>
          <w:sz w:val="28"/>
          <w:szCs w:val="28"/>
        </w:rPr>
      </w:pPr>
      <w:r>
        <w:rPr>
          <w:rFonts w:hint="eastAsia"/>
          <w:color w:val="000000"/>
          <w:sz w:val="28"/>
          <w:szCs w:val="28"/>
          <w:highlight w:val="none"/>
        </w:rPr>
        <w:fldChar w:fldCharType="begin"/>
      </w:r>
      <w:r>
        <w:rPr>
          <w:rFonts w:hint="eastAsia"/>
          <w:sz w:val="28"/>
          <w:szCs w:val="28"/>
          <w:highlight w:val="none"/>
        </w:rPr>
        <w:instrText xml:space="preserve"> HYPERLINK \l _Toc228 </w:instrText>
      </w:r>
      <w:r>
        <w:rPr>
          <w:rFonts w:hint="eastAsia"/>
          <w:sz w:val="28"/>
          <w:szCs w:val="28"/>
          <w:highlight w:val="none"/>
        </w:rPr>
        <w:fldChar w:fldCharType="separate"/>
      </w:r>
      <w:r>
        <w:rPr>
          <w:rFonts w:hint="eastAsia"/>
          <w:sz w:val="28"/>
          <w:szCs w:val="28"/>
          <w:highlight w:val="none"/>
        </w:rPr>
        <w:t>第</w:t>
      </w:r>
      <w:r>
        <w:rPr>
          <w:rFonts w:hint="eastAsia"/>
          <w:sz w:val="28"/>
          <w:szCs w:val="28"/>
          <w:highlight w:val="none"/>
          <w:lang w:val="en-US" w:eastAsia="zh-CN"/>
        </w:rPr>
        <w:t>四</w:t>
      </w:r>
      <w:r>
        <w:rPr>
          <w:rFonts w:hint="eastAsia"/>
          <w:sz w:val="28"/>
          <w:szCs w:val="28"/>
          <w:highlight w:val="none"/>
        </w:rPr>
        <w:t>部分  评定成交的标准</w:t>
      </w:r>
      <w:r>
        <w:rPr>
          <w:rFonts w:hint="eastAsia"/>
          <w:color w:val="000000"/>
          <w:sz w:val="28"/>
          <w:szCs w:val="28"/>
          <w:highlight w:val="none"/>
        </w:rPr>
        <w:fldChar w:fldCharType="end"/>
      </w:r>
    </w:p>
    <w:p w14:paraId="7E56B296">
      <w:pPr>
        <w:pStyle w:val="634"/>
        <w:keepNext w:val="0"/>
        <w:keepLines w:val="0"/>
        <w:pageBreakBefore w:val="0"/>
        <w:tabs>
          <w:tab w:val="right" w:leader="dot" w:pos="9922"/>
        </w:tabs>
        <w:kinsoku/>
        <w:wordWrap/>
        <w:overflowPunct/>
        <w:topLinePunct w:val="0"/>
        <w:autoSpaceDE/>
        <w:autoSpaceDN/>
        <w:bidi w:val="0"/>
        <w:adjustRightInd/>
        <w:snapToGrid/>
        <w:spacing w:line="480" w:lineRule="auto"/>
        <w:textAlignment w:val="auto"/>
        <w:rPr>
          <w:sz w:val="28"/>
          <w:szCs w:val="28"/>
        </w:rPr>
      </w:pPr>
      <w:r>
        <w:rPr>
          <w:rFonts w:hint="eastAsia"/>
          <w:color w:val="000000"/>
          <w:sz w:val="28"/>
          <w:szCs w:val="28"/>
          <w:highlight w:val="none"/>
        </w:rPr>
        <w:fldChar w:fldCharType="begin"/>
      </w:r>
      <w:r>
        <w:rPr>
          <w:rFonts w:hint="eastAsia"/>
          <w:sz w:val="28"/>
          <w:szCs w:val="28"/>
          <w:highlight w:val="none"/>
        </w:rPr>
        <w:instrText xml:space="preserve"> HYPERLINK \l _Toc24679 </w:instrText>
      </w:r>
      <w:r>
        <w:rPr>
          <w:rFonts w:hint="eastAsia"/>
          <w:sz w:val="28"/>
          <w:szCs w:val="28"/>
          <w:highlight w:val="none"/>
        </w:rPr>
        <w:fldChar w:fldCharType="separate"/>
      </w:r>
      <w:r>
        <w:rPr>
          <w:rFonts w:hint="eastAsia"/>
          <w:sz w:val="28"/>
          <w:szCs w:val="28"/>
          <w:highlight w:val="none"/>
        </w:rPr>
        <w:t>第五部分  合同条款附件</w:t>
      </w:r>
      <w:r>
        <w:rPr>
          <w:rFonts w:hint="eastAsia"/>
          <w:color w:val="000000"/>
          <w:sz w:val="28"/>
          <w:szCs w:val="28"/>
          <w:highlight w:val="none"/>
        </w:rPr>
        <w:fldChar w:fldCharType="end"/>
      </w:r>
    </w:p>
    <w:p w14:paraId="05EAB426">
      <w:pPr>
        <w:pStyle w:val="634"/>
        <w:keepNext w:val="0"/>
        <w:keepLines w:val="0"/>
        <w:pageBreakBefore w:val="0"/>
        <w:tabs>
          <w:tab w:val="right" w:leader="dot" w:pos="9922"/>
        </w:tabs>
        <w:kinsoku/>
        <w:wordWrap/>
        <w:overflowPunct/>
        <w:topLinePunct w:val="0"/>
        <w:autoSpaceDE/>
        <w:autoSpaceDN/>
        <w:bidi w:val="0"/>
        <w:adjustRightInd/>
        <w:snapToGrid/>
        <w:spacing w:line="480" w:lineRule="auto"/>
        <w:textAlignment w:val="auto"/>
        <w:rPr>
          <w:rFonts w:hint="eastAsia"/>
          <w:color w:val="000000"/>
          <w:sz w:val="28"/>
          <w:szCs w:val="28"/>
          <w:highlight w:val="none"/>
        </w:rPr>
      </w:pPr>
      <w:r>
        <w:rPr>
          <w:rFonts w:hint="eastAsia"/>
          <w:color w:val="000000"/>
          <w:sz w:val="28"/>
          <w:szCs w:val="28"/>
          <w:highlight w:val="none"/>
        </w:rPr>
        <w:fldChar w:fldCharType="begin"/>
      </w:r>
      <w:r>
        <w:rPr>
          <w:rFonts w:hint="eastAsia"/>
          <w:sz w:val="28"/>
          <w:szCs w:val="28"/>
          <w:highlight w:val="none"/>
        </w:rPr>
        <w:instrText xml:space="preserve"> HYPERLINK \l _Toc22255 </w:instrText>
      </w:r>
      <w:r>
        <w:rPr>
          <w:rFonts w:hint="eastAsia"/>
          <w:sz w:val="28"/>
          <w:szCs w:val="28"/>
          <w:highlight w:val="none"/>
        </w:rPr>
        <w:fldChar w:fldCharType="separate"/>
      </w:r>
      <w:r>
        <w:rPr>
          <w:rFonts w:hint="eastAsia"/>
          <w:sz w:val="28"/>
          <w:szCs w:val="28"/>
          <w:highlight w:val="none"/>
        </w:rPr>
        <w:t xml:space="preserve">第六部分 </w:t>
      </w:r>
      <w:r>
        <w:rPr>
          <w:rFonts w:hint="eastAsia"/>
          <w:sz w:val="28"/>
          <w:szCs w:val="28"/>
          <w:highlight w:val="none"/>
          <w:lang w:val="en-US" w:eastAsia="zh-CN"/>
        </w:rPr>
        <w:t xml:space="preserve"> </w:t>
      </w:r>
      <w:r>
        <w:rPr>
          <w:rFonts w:hint="eastAsia"/>
          <w:sz w:val="28"/>
          <w:szCs w:val="28"/>
          <w:highlight w:val="none"/>
        </w:rPr>
        <w:t>附件</w:t>
      </w:r>
      <w:r>
        <w:rPr>
          <w:rFonts w:hint="eastAsia"/>
          <w:color w:val="000000"/>
          <w:sz w:val="28"/>
          <w:szCs w:val="28"/>
          <w:highlight w:val="none"/>
        </w:rPr>
        <w:fldChar w:fldCharType="end"/>
      </w:r>
    </w:p>
    <w:p w14:paraId="1FA3E3D4">
      <w:pPr>
        <w:pStyle w:val="634"/>
        <w:keepNext w:val="0"/>
        <w:keepLines w:val="0"/>
        <w:pageBreakBefore w:val="0"/>
        <w:tabs>
          <w:tab w:val="right" w:leader="dot" w:pos="9922"/>
        </w:tabs>
        <w:kinsoku/>
        <w:wordWrap/>
        <w:overflowPunct/>
        <w:topLinePunct w:val="0"/>
        <w:autoSpaceDE/>
        <w:autoSpaceDN/>
        <w:bidi w:val="0"/>
        <w:adjustRightInd/>
        <w:snapToGrid/>
        <w:spacing w:line="480" w:lineRule="auto"/>
        <w:textAlignment w:val="auto"/>
        <w:rPr>
          <w:rFonts w:hint="default" w:eastAsia="宋体"/>
          <w:color w:val="000000"/>
          <w:sz w:val="28"/>
          <w:szCs w:val="28"/>
          <w:highlight w:val="none"/>
          <w:lang w:val="en-US" w:eastAsia="zh-CN"/>
        </w:rPr>
      </w:pPr>
      <w:r>
        <w:rPr>
          <w:rFonts w:hint="eastAsia"/>
          <w:color w:val="000000"/>
          <w:sz w:val="28"/>
          <w:szCs w:val="28"/>
          <w:highlight w:val="none"/>
          <w:lang w:val="en-US" w:eastAsia="zh-CN"/>
        </w:rPr>
        <w:t>附件： 工程量清单</w:t>
      </w:r>
    </w:p>
    <w:p w14:paraId="779AC225">
      <w:pPr>
        <w:spacing w:before="120" w:beforeLines="50" w:line="360" w:lineRule="auto"/>
        <w:ind w:left="1440"/>
        <w:rPr>
          <w:rFonts w:ascii="宋体" w:hAnsi="宋体"/>
          <w:color w:val="000000"/>
          <w:sz w:val="30"/>
          <w:lang w:val="zh-CN"/>
        </w:rPr>
      </w:pPr>
      <w:r>
        <w:rPr>
          <w:rFonts w:hint="eastAsia"/>
          <w:color w:val="000000"/>
          <w:sz w:val="28"/>
          <w:szCs w:val="28"/>
          <w:highlight w:val="none"/>
        </w:rPr>
        <w:fldChar w:fldCharType="end"/>
      </w:r>
    </w:p>
    <w:p w14:paraId="2155A034">
      <w:pPr>
        <w:spacing w:line="360" w:lineRule="auto"/>
        <w:rPr>
          <w:rFonts w:cs="仿宋_GB2312" w:asciiTheme="minorEastAsia" w:hAnsiTheme="minorEastAsia" w:eastAsiaTheme="minorEastAsia"/>
          <w:sz w:val="32"/>
          <w:szCs w:val="32"/>
        </w:rPr>
      </w:pPr>
      <w:r>
        <w:rPr>
          <w:rFonts w:hint="eastAsia" w:ascii="宋体" w:hAnsi="宋体"/>
          <w:color w:val="000000"/>
          <w:sz w:val="30"/>
        </w:rPr>
        <w:fldChar w:fldCharType="end"/>
      </w:r>
    </w:p>
    <w:p w14:paraId="1BE3B294">
      <w:pPr>
        <w:spacing w:line="360" w:lineRule="auto"/>
        <w:ind w:firstLine="549" w:firstLineChars="229"/>
        <w:rPr>
          <w:rFonts w:cs="仿宋_GB2312" w:asciiTheme="minorEastAsia" w:hAnsiTheme="minorEastAsia" w:eastAsiaTheme="minorEastAsia"/>
          <w:sz w:val="24"/>
        </w:rPr>
      </w:pPr>
      <w:bookmarkStart w:id="0" w:name="_Hlt91233176"/>
      <w:bookmarkEnd w:id="0"/>
      <w:bookmarkStart w:id="1" w:name="_Toc91899869"/>
    </w:p>
    <w:p w14:paraId="3E53E928">
      <w:pPr>
        <w:spacing w:line="360" w:lineRule="auto"/>
        <w:ind w:firstLine="549" w:firstLineChars="229"/>
        <w:rPr>
          <w:rFonts w:cs="仿宋_GB2312" w:asciiTheme="minorEastAsia" w:hAnsiTheme="minorEastAsia" w:eastAsiaTheme="minorEastAsia"/>
          <w:sz w:val="24"/>
        </w:rPr>
      </w:pPr>
    </w:p>
    <w:p w14:paraId="569CBE2E">
      <w:pPr>
        <w:spacing w:line="360" w:lineRule="auto"/>
        <w:ind w:firstLine="549" w:firstLineChars="229"/>
        <w:rPr>
          <w:rFonts w:cs="仿宋_GB2312" w:asciiTheme="minorEastAsia" w:hAnsiTheme="minorEastAsia" w:eastAsiaTheme="minorEastAsia"/>
          <w:sz w:val="24"/>
        </w:rPr>
      </w:pPr>
    </w:p>
    <w:p w14:paraId="330B6571">
      <w:pPr>
        <w:spacing w:line="360" w:lineRule="auto"/>
        <w:ind w:firstLine="549" w:firstLineChars="229"/>
        <w:rPr>
          <w:rFonts w:cs="仿宋_GB2312" w:asciiTheme="minorEastAsia" w:hAnsiTheme="minorEastAsia" w:eastAsiaTheme="minorEastAsia"/>
          <w:sz w:val="24"/>
        </w:rPr>
      </w:pPr>
    </w:p>
    <w:p w14:paraId="33B1ED4A">
      <w:pPr>
        <w:spacing w:line="360" w:lineRule="auto"/>
        <w:ind w:firstLine="549" w:firstLineChars="229"/>
        <w:rPr>
          <w:rFonts w:cs="仿宋_GB2312" w:asciiTheme="minorEastAsia" w:hAnsiTheme="minorEastAsia" w:eastAsiaTheme="minorEastAsia"/>
          <w:sz w:val="24"/>
        </w:rPr>
      </w:pPr>
    </w:p>
    <w:p w14:paraId="728E157E">
      <w:pPr>
        <w:spacing w:line="360" w:lineRule="auto"/>
        <w:ind w:firstLine="549" w:firstLineChars="229"/>
        <w:rPr>
          <w:rFonts w:cs="仿宋_GB2312" w:asciiTheme="minorEastAsia" w:hAnsiTheme="minorEastAsia" w:eastAsiaTheme="minorEastAsia"/>
          <w:sz w:val="24"/>
        </w:rPr>
      </w:pPr>
    </w:p>
    <w:p w14:paraId="3553AFD8">
      <w:pPr>
        <w:spacing w:line="360" w:lineRule="auto"/>
        <w:ind w:firstLine="549" w:firstLineChars="229"/>
        <w:rPr>
          <w:rFonts w:cs="仿宋_GB2312" w:asciiTheme="minorEastAsia" w:hAnsiTheme="minorEastAsia" w:eastAsiaTheme="minorEastAsia"/>
          <w:sz w:val="24"/>
        </w:rPr>
      </w:pPr>
    </w:p>
    <w:p w14:paraId="4DF804C2">
      <w:pPr>
        <w:spacing w:line="360" w:lineRule="auto"/>
        <w:ind w:firstLine="549" w:firstLineChars="229"/>
        <w:rPr>
          <w:rFonts w:cs="仿宋_GB2312" w:asciiTheme="minorEastAsia" w:hAnsiTheme="minorEastAsia" w:eastAsiaTheme="minorEastAsia"/>
          <w:sz w:val="24"/>
        </w:rPr>
      </w:pPr>
    </w:p>
    <w:p w14:paraId="2633BD5B">
      <w:pPr>
        <w:spacing w:line="360" w:lineRule="auto"/>
        <w:rPr>
          <w:rFonts w:cs="仿宋_GB2312" w:asciiTheme="minorEastAsia" w:hAnsiTheme="minorEastAsia" w:eastAsiaTheme="minorEastAsia"/>
          <w:sz w:val="24"/>
        </w:rPr>
      </w:pPr>
    </w:p>
    <w:bookmarkEnd w:id="1"/>
    <w:p w14:paraId="2E6F9F68">
      <w:pPr>
        <w:adjustRightInd/>
        <w:spacing w:line="360" w:lineRule="auto"/>
        <w:outlineLvl w:val="0"/>
        <w:rPr>
          <w:rFonts w:hint="eastAsia" w:cs="仿宋_GB2312" w:asciiTheme="minorEastAsia" w:hAnsiTheme="minorEastAsia" w:eastAsiaTheme="minorEastAsia"/>
          <w:b/>
          <w:sz w:val="36"/>
          <w:szCs w:val="20"/>
        </w:rPr>
      </w:pPr>
      <w:bookmarkStart w:id="2" w:name="_Hlt74729822"/>
      <w:bookmarkEnd w:id="2"/>
      <w:bookmarkStart w:id="3" w:name="_Hlt74649545"/>
      <w:bookmarkEnd w:id="3"/>
      <w:bookmarkStart w:id="4" w:name="_Hlt74707423"/>
      <w:bookmarkEnd w:id="4"/>
      <w:bookmarkStart w:id="5" w:name="_Hlt74728647"/>
      <w:bookmarkEnd w:id="5"/>
      <w:bookmarkStart w:id="6" w:name="_Toc354"/>
      <w:bookmarkStart w:id="7" w:name="第二部分"/>
      <w:bookmarkStart w:id="8" w:name="_Toc91899870"/>
      <w:bookmarkStart w:id="9" w:name="_Toc91899871"/>
    </w:p>
    <w:p w14:paraId="09E5FB19">
      <w:pPr>
        <w:pStyle w:val="71"/>
        <w:rPr>
          <w:rFonts w:hint="eastAsia"/>
        </w:rPr>
      </w:pPr>
    </w:p>
    <w:p w14:paraId="4AB15A70">
      <w:pPr>
        <w:adjustRightInd/>
        <w:spacing w:line="360" w:lineRule="auto"/>
        <w:ind w:firstLine="2891" w:firstLineChars="800"/>
        <w:outlineLvl w:val="0"/>
        <w:rPr>
          <w:rFonts w:asciiTheme="minorEastAsia" w:hAnsiTheme="minorEastAsia" w:eastAsiaTheme="minorEastAsia"/>
          <w:sz w:val="24"/>
        </w:rPr>
      </w:pPr>
      <w:r>
        <w:rPr>
          <w:rFonts w:hint="eastAsia" w:cs="仿宋_GB2312" w:asciiTheme="minorEastAsia" w:hAnsiTheme="minorEastAsia" w:eastAsiaTheme="minorEastAsia"/>
          <w:b/>
          <w:sz w:val="36"/>
          <w:szCs w:val="20"/>
        </w:rPr>
        <w:t xml:space="preserve">第一部分 </w:t>
      </w:r>
      <w:bookmarkEnd w:id="6"/>
      <w:r>
        <w:rPr>
          <w:rFonts w:hint="eastAsia" w:cs="仿宋_GB2312" w:asciiTheme="minorEastAsia" w:hAnsiTheme="minorEastAsia" w:eastAsiaTheme="minorEastAsia"/>
          <w:b/>
          <w:sz w:val="36"/>
          <w:szCs w:val="20"/>
        </w:rPr>
        <w:t>竞争性磋商公告</w:t>
      </w:r>
    </w:p>
    <w:p w14:paraId="2A3D4BA4">
      <w:pPr>
        <w:pBdr>
          <w:top w:val="single" w:color="auto" w:sz="4" w:space="1"/>
          <w:left w:val="single" w:color="auto" w:sz="4" w:space="4"/>
          <w:bottom w:val="single" w:color="auto" w:sz="4" w:space="1"/>
          <w:right w:val="single" w:color="auto" w:sz="4" w:space="4"/>
        </w:pBdr>
        <w:spacing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项目概况</w:t>
      </w:r>
    </w:p>
    <w:p w14:paraId="6381F9E3">
      <w:pPr>
        <w:pBdr>
          <w:top w:val="single" w:color="auto" w:sz="4" w:space="1"/>
          <w:left w:val="single" w:color="auto" w:sz="4" w:space="4"/>
          <w:bottom w:val="single" w:color="auto" w:sz="4" w:space="1"/>
          <w:right w:val="single" w:color="auto" w:sz="4" w:space="4"/>
        </w:pBdr>
        <w:spacing w:line="360" w:lineRule="auto"/>
        <w:ind w:firstLine="420" w:firstLineChars="200"/>
        <w:rPr>
          <w:rFonts w:asciiTheme="minorEastAsia" w:hAnsiTheme="minorEastAsia" w:eastAsiaTheme="minorEastAsia"/>
          <w:sz w:val="21"/>
          <w:szCs w:val="21"/>
          <w:u w:val="single"/>
        </w:rPr>
      </w:pPr>
      <w:r>
        <w:rPr>
          <w:rFonts w:hint="eastAsia" w:asciiTheme="minorEastAsia" w:hAnsiTheme="minorEastAsia" w:eastAsiaTheme="minorEastAsia"/>
          <w:sz w:val="21"/>
          <w:szCs w:val="21"/>
          <w:u w:val="single"/>
        </w:rPr>
        <w:t>（</w:t>
      </w:r>
      <w:r>
        <w:rPr>
          <w:rFonts w:hint="eastAsia" w:asciiTheme="minorEastAsia" w:hAnsiTheme="minorEastAsia" w:eastAsiaTheme="minorEastAsia"/>
          <w:sz w:val="21"/>
          <w:szCs w:val="21"/>
          <w:u w:val="single"/>
          <w:lang w:eastAsia="zh-CN"/>
        </w:rPr>
        <w:t>宁海县一市镇中心学校塑胶跑道等维修工程</w:t>
      </w:r>
      <w:r>
        <w:rPr>
          <w:rFonts w:hint="eastAsia" w:asciiTheme="minorEastAsia" w:hAnsiTheme="minorEastAsia" w:eastAsiaTheme="minorEastAsia"/>
          <w:sz w:val="21"/>
          <w:szCs w:val="21"/>
          <w:u w:val="single"/>
        </w:rPr>
        <w:t>）</w:t>
      </w:r>
      <w:r>
        <w:rPr>
          <w:rFonts w:hint="eastAsia" w:asciiTheme="minorEastAsia" w:hAnsiTheme="minorEastAsia" w:eastAsiaTheme="minorEastAsia"/>
          <w:sz w:val="21"/>
          <w:szCs w:val="21"/>
        </w:rPr>
        <w:t>采购项目的潜在供应商应在</w:t>
      </w:r>
      <w:r>
        <w:rPr>
          <w:rFonts w:hint="eastAsia" w:cs="仿宋_GB2312" w:asciiTheme="minorEastAsia" w:hAnsiTheme="minorEastAsia" w:eastAsiaTheme="minorEastAsia"/>
          <w:sz w:val="21"/>
          <w:szCs w:val="21"/>
          <w:u w:val="single"/>
        </w:rPr>
        <w:t>政采云平台（</w:t>
      </w:r>
      <w:r>
        <w:rPr>
          <w:sz w:val="21"/>
          <w:szCs w:val="21"/>
        </w:rPr>
        <w:fldChar w:fldCharType="begin"/>
      </w:r>
      <w:r>
        <w:rPr>
          <w:sz w:val="21"/>
          <w:szCs w:val="21"/>
        </w:rPr>
        <w:instrText xml:space="preserve"> HYPERLINK "https://www.zcygov.cn/" </w:instrText>
      </w:r>
      <w:r>
        <w:rPr>
          <w:sz w:val="21"/>
          <w:szCs w:val="21"/>
        </w:rPr>
        <w:fldChar w:fldCharType="separate"/>
      </w:r>
      <w:r>
        <w:rPr>
          <w:rStyle w:val="68"/>
          <w:rFonts w:hint="eastAsia" w:cs="仿宋_GB2312" w:asciiTheme="minorEastAsia" w:hAnsiTheme="minorEastAsia" w:eastAsiaTheme="minorEastAsia"/>
          <w:color w:val="auto"/>
          <w:sz w:val="21"/>
          <w:szCs w:val="21"/>
          <w:u w:val="single"/>
        </w:rPr>
        <w:t>https://www.zcygov.cn/</w:t>
      </w:r>
      <w:r>
        <w:rPr>
          <w:rStyle w:val="68"/>
          <w:rFonts w:hint="eastAsia" w:cs="仿宋_GB2312" w:asciiTheme="minorEastAsia" w:hAnsiTheme="minorEastAsia" w:eastAsiaTheme="minorEastAsia"/>
          <w:color w:val="auto"/>
          <w:sz w:val="21"/>
          <w:szCs w:val="21"/>
          <w:u w:val="single"/>
        </w:rPr>
        <w:fldChar w:fldCharType="end"/>
      </w:r>
      <w:r>
        <w:rPr>
          <w:rFonts w:hint="eastAsia" w:cs="仿宋_GB2312" w:asciiTheme="minorEastAsia" w:hAnsiTheme="minorEastAsia" w:eastAsiaTheme="minorEastAsia"/>
          <w:sz w:val="21"/>
          <w:szCs w:val="21"/>
          <w:u w:val="single"/>
        </w:rPr>
        <w:t>）</w:t>
      </w:r>
      <w:r>
        <w:rPr>
          <w:rFonts w:hint="eastAsia" w:asciiTheme="minorEastAsia" w:hAnsiTheme="minorEastAsia" w:eastAsiaTheme="minorEastAsia"/>
          <w:sz w:val="21"/>
          <w:szCs w:val="21"/>
        </w:rPr>
        <w:t>获取采购文件，并于</w:t>
      </w:r>
      <w:r>
        <w:rPr>
          <w:rFonts w:hint="eastAsia" w:asciiTheme="minorEastAsia" w:hAnsiTheme="minorEastAsia" w:eastAsiaTheme="minorEastAsia"/>
          <w:sz w:val="21"/>
          <w:szCs w:val="21"/>
          <w:u w:val="single"/>
        </w:rPr>
        <w:t>202</w:t>
      </w:r>
      <w:r>
        <w:rPr>
          <w:rFonts w:hint="eastAsia" w:asciiTheme="minorEastAsia" w:hAnsiTheme="minorEastAsia" w:eastAsiaTheme="minorEastAsia"/>
          <w:sz w:val="21"/>
          <w:szCs w:val="21"/>
          <w:u w:val="single"/>
          <w:lang w:val="en-US" w:eastAsia="zh-CN"/>
        </w:rPr>
        <w:t>5</w:t>
      </w:r>
      <w:r>
        <w:rPr>
          <w:rFonts w:hint="eastAsia" w:asciiTheme="minorEastAsia" w:hAnsiTheme="minorEastAsia" w:eastAsiaTheme="minorEastAsia"/>
          <w:bCs/>
          <w:sz w:val="21"/>
          <w:szCs w:val="21"/>
          <w:u w:val="single"/>
        </w:rPr>
        <w:t>年</w:t>
      </w:r>
      <w:r>
        <w:rPr>
          <w:rFonts w:hint="eastAsia" w:asciiTheme="minorEastAsia" w:hAnsiTheme="minorEastAsia" w:eastAsiaTheme="minorEastAsia"/>
          <w:bCs/>
          <w:sz w:val="21"/>
          <w:szCs w:val="21"/>
          <w:u w:val="single"/>
          <w:lang w:val="en-US" w:eastAsia="zh-CN"/>
        </w:rPr>
        <w:t>7</w:t>
      </w:r>
      <w:r>
        <w:rPr>
          <w:rFonts w:hint="eastAsia" w:asciiTheme="minorEastAsia" w:hAnsiTheme="minorEastAsia" w:eastAsiaTheme="minorEastAsia"/>
          <w:bCs/>
          <w:sz w:val="21"/>
          <w:szCs w:val="21"/>
          <w:u w:val="single"/>
        </w:rPr>
        <w:t>月</w:t>
      </w:r>
      <w:r>
        <w:rPr>
          <w:rFonts w:hint="eastAsia" w:asciiTheme="minorEastAsia" w:hAnsiTheme="minorEastAsia" w:eastAsiaTheme="minorEastAsia"/>
          <w:bCs/>
          <w:sz w:val="21"/>
          <w:szCs w:val="21"/>
          <w:u w:val="single"/>
          <w:lang w:val="en-US" w:eastAsia="zh-CN"/>
        </w:rPr>
        <w:t>1</w:t>
      </w:r>
      <w:r>
        <w:rPr>
          <w:rFonts w:hint="eastAsia" w:asciiTheme="minorEastAsia" w:hAnsiTheme="minorEastAsia" w:eastAsiaTheme="minorEastAsia"/>
          <w:bCs/>
          <w:sz w:val="21"/>
          <w:szCs w:val="21"/>
          <w:u w:val="single"/>
        </w:rPr>
        <w:t>日13点</w:t>
      </w:r>
      <w:r>
        <w:rPr>
          <w:rFonts w:hint="eastAsia" w:asciiTheme="minorEastAsia" w:hAnsiTheme="minorEastAsia" w:eastAsiaTheme="minorEastAsia"/>
          <w:bCs/>
          <w:sz w:val="21"/>
          <w:szCs w:val="21"/>
          <w:u w:val="single"/>
          <w:lang w:val="en-US" w:eastAsia="zh-CN"/>
        </w:rPr>
        <w:t>3</w:t>
      </w:r>
      <w:r>
        <w:rPr>
          <w:rFonts w:hint="eastAsia" w:asciiTheme="minorEastAsia" w:hAnsiTheme="minorEastAsia" w:eastAsiaTheme="minorEastAsia"/>
          <w:bCs/>
          <w:sz w:val="21"/>
          <w:szCs w:val="21"/>
          <w:u w:val="single"/>
        </w:rPr>
        <w:t>0分00秒</w:t>
      </w:r>
      <w:r>
        <w:rPr>
          <w:rFonts w:hint="eastAsia" w:asciiTheme="minorEastAsia" w:hAnsiTheme="minorEastAsia" w:eastAsiaTheme="minorEastAsia"/>
          <w:bCs/>
          <w:sz w:val="21"/>
          <w:szCs w:val="21"/>
        </w:rPr>
        <w:t>（北京时间）前提交投标文件</w:t>
      </w:r>
      <w:r>
        <w:rPr>
          <w:rFonts w:hint="eastAsia" w:asciiTheme="minorEastAsia" w:hAnsiTheme="minorEastAsia" w:eastAsiaTheme="minorEastAsia"/>
          <w:sz w:val="21"/>
          <w:szCs w:val="21"/>
        </w:rPr>
        <w:t>。</w:t>
      </w:r>
    </w:p>
    <w:p w14:paraId="2257A294">
      <w:pPr>
        <w:spacing w:line="360" w:lineRule="auto"/>
        <w:rPr>
          <w:rFonts w:asciiTheme="minorEastAsia" w:hAnsiTheme="minorEastAsia" w:eastAsiaTheme="minorEastAsia"/>
          <w:sz w:val="21"/>
          <w:szCs w:val="21"/>
        </w:rPr>
      </w:pPr>
    </w:p>
    <w:p w14:paraId="54598359">
      <w:pPr>
        <w:tabs>
          <w:tab w:val="left" w:pos="432"/>
        </w:tabs>
        <w:spacing w:line="360" w:lineRule="auto"/>
        <w:ind w:left="432" w:hanging="432"/>
        <w:rPr>
          <w:rFonts w:cs="宋体" w:asciiTheme="minorEastAsia" w:hAnsiTheme="minorEastAsia" w:eastAsiaTheme="minorEastAsia"/>
          <w:sz w:val="21"/>
          <w:szCs w:val="21"/>
        </w:rPr>
      </w:pPr>
      <w:bookmarkStart w:id="10" w:name="_Toc28359012"/>
      <w:bookmarkStart w:id="11" w:name="_Toc28359089"/>
      <w:bookmarkStart w:id="12" w:name="_Toc35393629"/>
      <w:bookmarkStart w:id="13" w:name="_Toc35393798"/>
      <w:r>
        <w:rPr>
          <w:rFonts w:hint="eastAsia" w:cs="宋体" w:asciiTheme="minorEastAsia" w:hAnsiTheme="minorEastAsia" w:eastAsiaTheme="minorEastAsia"/>
          <w:sz w:val="21"/>
          <w:szCs w:val="21"/>
        </w:rPr>
        <w:t>一、项目基本情况</w:t>
      </w:r>
      <w:bookmarkEnd w:id="10"/>
      <w:bookmarkEnd w:id="11"/>
      <w:bookmarkEnd w:id="12"/>
      <w:bookmarkEnd w:id="13"/>
    </w:p>
    <w:p w14:paraId="4920ED1B">
      <w:pPr>
        <w:spacing w:line="360" w:lineRule="auto"/>
        <w:ind w:firstLine="422" w:firstLineChars="200"/>
        <w:rPr>
          <w:rFonts w:hint="default" w:asciiTheme="minorEastAsia" w:hAnsiTheme="minorEastAsia" w:eastAsiaTheme="minorEastAsia"/>
          <w:sz w:val="21"/>
          <w:szCs w:val="21"/>
          <w:lang w:val="en-US" w:eastAsia="zh-CN"/>
        </w:rPr>
      </w:pPr>
      <w:r>
        <w:rPr>
          <w:rFonts w:hint="eastAsia" w:asciiTheme="minorEastAsia" w:hAnsiTheme="minorEastAsia" w:eastAsiaTheme="minorEastAsia"/>
          <w:b/>
          <w:sz w:val="21"/>
          <w:szCs w:val="21"/>
        </w:rPr>
        <w:t>项目编号：</w:t>
      </w:r>
      <w:r>
        <w:rPr>
          <w:rFonts w:hint="eastAsia" w:asciiTheme="minorEastAsia" w:hAnsiTheme="minorEastAsia" w:eastAsiaTheme="minorEastAsia"/>
          <w:bCs/>
          <w:sz w:val="21"/>
          <w:szCs w:val="21"/>
          <w:lang w:eastAsia="zh-CN"/>
        </w:rPr>
        <w:t>NBHFNH【2025】017</w:t>
      </w:r>
    </w:p>
    <w:p w14:paraId="68275F1C">
      <w:pPr>
        <w:spacing w:line="360" w:lineRule="auto"/>
        <w:ind w:firstLine="422" w:firstLineChars="200"/>
        <w:rPr>
          <w:rFonts w:hint="eastAsia" w:asciiTheme="minorEastAsia" w:hAnsiTheme="minorEastAsia" w:eastAsiaTheme="minorEastAsia"/>
          <w:sz w:val="21"/>
          <w:szCs w:val="21"/>
          <w:u w:val="single"/>
          <w:lang w:eastAsia="zh-CN"/>
        </w:rPr>
      </w:pPr>
      <w:r>
        <w:rPr>
          <w:rFonts w:hint="eastAsia" w:asciiTheme="minorEastAsia" w:hAnsiTheme="minorEastAsia" w:eastAsiaTheme="minorEastAsia"/>
          <w:b/>
          <w:sz w:val="21"/>
          <w:szCs w:val="21"/>
        </w:rPr>
        <w:t>项目名称：</w:t>
      </w:r>
      <w:r>
        <w:rPr>
          <w:rFonts w:hint="eastAsia" w:asciiTheme="minorEastAsia" w:hAnsiTheme="minorEastAsia" w:eastAsiaTheme="minorEastAsia"/>
          <w:bCs/>
          <w:sz w:val="21"/>
          <w:szCs w:val="21"/>
          <w:lang w:eastAsia="zh-CN"/>
        </w:rPr>
        <w:t>宁海县一市镇中心学校塑胶跑道等维修工程</w:t>
      </w:r>
    </w:p>
    <w:p w14:paraId="34780116">
      <w:pPr>
        <w:spacing w:line="360" w:lineRule="auto"/>
        <w:ind w:firstLine="422" w:firstLineChars="200"/>
        <w:rPr>
          <w:rFonts w:asciiTheme="minorEastAsia" w:hAnsiTheme="minorEastAsia" w:eastAsiaTheme="minorEastAsia"/>
          <w:sz w:val="21"/>
          <w:szCs w:val="21"/>
        </w:rPr>
      </w:pPr>
      <w:r>
        <w:rPr>
          <w:rFonts w:hint="eastAsia" w:asciiTheme="minorEastAsia" w:hAnsiTheme="minorEastAsia" w:eastAsiaTheme="minorEastAsia"/>
          <w:b/>
          <w:sz w:val="21"/>
          <w:szCs w:val="21"/>
        </w:rPr>
        <w:t>采购方式：</w:t>
      </w:r>
      <w:r>
        <w:rPr>
          <w:rFonts w:hint="eastAsia" w:asciiTheme="minorEastAsia" w:hAnsiTheme="minorEastAsia" w:eastAsiaTheme="minorEastAsia"/>
          <w:sz w:val="21"/>
          <w:szCs w:val="21"/>
        </w:rPr>
        <w:t>竞争性磋商</w:t>
      </w:r>
    </w:p>
    <w:p w14:paraId="65550D8A">
      <w:pPr>
        <w:spacing w:line="360" w:lineRule="auto"/>
        <w:ind w:firstLine="422" w:firstLineChars="200"/>
        <w:rPr>
          <w:rFonts w:hint="eastAsia" w:asciiTheme="minorEastAsia" w:hAnsiTheme="minorEastAsia" w:eastAsiaTheme="minorEastAsia"/>
          <w:bCs/>
          <w:sz w:val="21"/>
          <w:szCs w:val="21"/>
          <w:lang w:eastAsia="zh-CN"/>
        </w:rPr>
      </w:pPr>
      <w:r>
        <w:rPr>
          <w:rFonts w:hint="eastAsia" w:asciiTheme="minorEastAsia" w:hAnsiTheme="minorEastAsia" w:eastAsiaTheme="minorEastAsia"/>
          <w:b/>
          <w:sz w:val="21"/>
          <w:szCs w:val="21"/>
        </w:rPr>
        <w:t>预算金额（元）：</w:t>
      </w:r>
      <w:r>
        <w:rPr>
          <w:rFonts w:hint="eastAsia" w:asciiTheme="minorEastAsia" w:hAnsiTheme="minorEastAsia" w:eastAsiaTheme="minorEastAsia"/>
          <w:bCs/>
          <w:sz w:val="21"/>
          <w:szCs w:val="21"/>
          <w:lang w:eastAsia="zh-CN"/>
        </w:rPr>
        <w:t>989596.00</w:t>
      </w:r>
    </w:p>
    <w:p w14:paraId="591D335E">
      <w:pPr>
        <w:spacing w:line="360" w:lineRule="auto"/>
        <w:ind w:firstLine="422" w:firstLineChars="200"/>
        <w:rPr>
          <w:rFonts w:hint="eastAsia" w:ascii="宋体" w:hAnsi="宋体" w:eastAsia="宋体" w:cs="宋体"/>
          <w:color w:val="0000FF"/>
          <w:szCs w:val="21"/>
          <w:highlight w:val="none"/>
          <w:lang w:val="en-US" w:eastAsia="zh-CN"/>
        </w:rPr>
      </w:pPr>
      <w:r>
        <w:rPr>
          <w:rFonts w:hint="eastAsia" w:asciiTheme="minorEastAsia" w:hAnsiTheme="minorEastAsia" w:eastAsiaTheme="minorEastAsia"/>
          <w:b/>
          <w:sz w:val="21"/>
          <w:szCs w:val="21"/>
        </w:rPr>
        <w:t>最高限价（元）：</w:t>
      </w:r>
      <w:r>
        <w:rPr>
          <w:rFonts w:hint="eastAsia" w:asciiTheme="minorEastAsia" w:hAnsiTheme="minorEastAsia" w:eastAsiaTheme="minorEastAsia"/>
          <w:bCs/>
          <w:sz w:val="21"/>
          <w:szCs w:val="21"/>
          <w:lang w:val="en-US" w:eastAsia="zh-CN"/>
        </w:rPr>
        <w:t>916852.00</w:t>
      </w:r>
    </w:p>
    <w:p w14:paraId="086A6EC5">
      <w:pPr>
        <w:spacing w:line="360" w:lineRule="auto"/>
        <w:ind w:firstLine="422" w:firstLineChars="200"/>
        <w:rPr>
          <w:rFonts w:asciiTheme="minorEastAsia" w:hAnsiTheme="minorEastAsia" w:eastAsiaTheme="minorEastAsia"/>
          <w:bCs/>
          <w:sz w:val="21"/>
          <w:szCs w:val="21"/>
        </w:rPr>
      </w:pPr>
      <w:r>
        <w:rPr>
          <w:rFonts w:hint="eastAsia" w:asciiTheme="minorEastAsia" w:hAnsiTheme="minorEastAsia" w:eastAsiaTheme="minorEastAsia"/>
          <w:b/>
          <w:sz w:val="21"/>
          <w:szCs w:val="21"/>
        </w:rPr>
        <w:t>采购需求：</w:t>
      </w:r>
      <w:r>
        <w:rPr>
          <w:rFonts w:hint="eastAsia" w:asciiTheme="minorEastAsia" w:hAnsiTheme="minorEastAsia" w:eastAsiaTheme="minorEastAsia"/>
          <w:bCs/>
          <w:sz w:val="21"/>
          <w:szCs w:val="21"/>
        </w:rPr>
        <w:t>根据磋商文件要求进行</w:t>
      </w:r>
      <w:r>
        <w:rPr>
          <w:rFonts w:hint="eastAsia" w:asciiTheme="minorEastAsia" w:hAnsiTheme="minorEastAsia" w:eastAsiaTheme="minorEastAsia"/>
          <w:bCs/>
          <w:sz w:val="21"/>
          <w:szCs w:val="21"/>
          <w:lang w:eastAsia="zh-CN"/>
        </w:rPr>
        <w:t>宁海县一市镇中心学校塑胶跑道等维修工程</w:t>
      </w:r>
      <w:r>
        <w:rPr>
          <w:rFonts w:hint="eastAsia" w:asciiTheme="minorEastAsia" w:hAnsiTheme="minorEastAsia" w:eastAsiaTheme="minorEastAsia"/>
          <w:bCs/>
          <w:sz w:val="21"/>
          <w:szCs w:val="21"/>
        </w:rPr>
        <w:t>。</w:t>
      </w:r>
    </w:p>
    <w:p w14:paraId="5BD7F433">
      <w:pPr>
        <w:pStyle w:val="22"/>
        <w:ind w:firstLine="420" w:firstLineChars="200"/>
        <w:rPr>
          <w:rFonts w:hAnsi="宋体"/>
          <w:sz w:val="21"/>
          <w:szCs w:val="21"/>
        </w:rPr>
      </w:pPr>
      <w:r>
        <w:rPr>
          <w:rFonts w:hint="eastAsia" w:hAnsi="宋体"/>
          <w:sz w:val="21"/>
          <w:szCs w:val="21"/>
        </w:rPr>
        <w:t>简要规格描述或项目基本概况介绍：其他</w:t>
      </w:r>
      <w:r>
        <w:rPr>
          <w:rFonts w:hAnsi="宋体"/>
          <w:sz w:val="21"/>
          <w:szCs w:val="21"/>
        </w:rPr>
        <w:t>需求详见</w:t>
      </w:r>
      <w:r>
        <w:rPr>
          <w:rFonts w:hint="eastAsia" w:hAnsi="宋体"/>
          <w:sz w:val="21"/>
          <w:szCs w:val="21"/>
        </w:rPr>
        <w:t>本项目磋商文件第</w:t>
      </w:r>
      <w:r>
        <w:rPr>
          <w:rFonts w:hint="eastAsia" w:hAnsi="宋体"/>
          <w:sz w:val="21"/>
          <w:szCs w:val="21"/>
          <w:lang w:eastAsia="zh-CN"/>
        </w:rPr>
        <w:t>二</w:t>
      </w:r>
      <w:r>
        <w:rPr>
          <w:rFonts w:hint="eastAsia" w:hAnsi="宋体"/>
          <w:sz w:val="21"/>
          <w:szCs w:val="21"/>
          <w:lang w:val="en-US" w:eastAsia="zh-CN"/>
        </w:rPr>
        <w:t>部分</w:t>
      </w:r>
      <w:r>
        <w:rPr>
          <w:rFonts w:hint="eastAsia" w:hAnsi="宋体"/>
          <w:sz w:val="21"/>
          <w:szCs w:val="21"/>
        </w:rPr>
        <w:t>“采购需求”。</w:t>
      </w:r>
    </w:p>
    <w:p w14:paraId="081BB202">
      <w:pPr>
        <w:pStyle w:val="22"/>
        <w:ind w:firstLine="422" w:firstLineChars="200"/>
        <w:rPr>
          <w:rFonts w:asciiTheme="minorEastAsia" w:hAnsiTheme="minorEastAsia" w:eastAsiaTheme="minorEastAsia"/>
          <w:sz w:val="21"/>
          <w:szCs w:val="21"/>
          <w:u w:val="single"/>
        </w:rPr>
      </w:pPr>
      <w:r>
        <w:rPr>
          <w:rFonts w:hint="eastAsia" w:asciiTheme="minorEastAsia" w:hAnsiTheme="minorEastAsia" w:eastAsiaTheme="minorEastAsia"/>
          <w:b/>
          <w:sz w:val="21"/>
          <w:szCs w:val="21"/>
        </w:rPr>
        <w:t>合同履行期限</w:t>
      </w:r>
      <w:r>
        <w:rPr>
          <w:rFonts w:hint="eastAsia" w:asciiTheme="minorEastAsia" w:hAnsiTheme="minorEastAsia" w:eastAsiaTheme="minorEastAsia"/>
          <w:sz w:val="21"/>
          <w:szCs w:val="21"/>
        </w:rPr>
        <w:t>：</w:t>
      </w:r>
      <w:r>
        <w:rPr>
          <w:rFonts w:hint="eastAsia" w:hAnsi="宋体" w:cs="Arial"/>
          <w:sz w:val="21"/>
          <w:szCs w:val="21"/>
        </w:rPr>
        <w:t>自开工令发出之</w:t>
      </w:r>
      <w:r>
        <w:rPr>
          <w:rFonts w:hint="eastAsia" w:hAnsi="宋体" w:cs="Arial"/>
          <w:color w:val="auto"/>
          <w:sz w:val="21"/>
          <w:szCs w:val="21"/>
        </w:rPr>
        <w:t>日起</w:t>
      </w:r>
      <w:r>
        <w:rPr>
          <w:rFonts w:hint="eastAsia" w:hAnsi="宋体" w:cs="Arial"/>
          <w:color w:val="auto"/>
          <w:sz w:val="21"/>
          <w:szCs w:val="21"/>
          <w:lang w:val="en-US" w:eastAsia="zh-CN"/>
        </w:rPr>
        <w:t>40</w:t>
      </w:r>
      <w:r>
        <w:rPr>
          <w:rFonts w:hint="eastAsia" w:hAnsi="宋体" w:cs="Arial"/>
          <w:color w:val="auto"/>
          <w:sz w:val="21"/>
          <w:szCs w:val="21"/>
        </w:rPr>
        <w:t>日历天内</w:t>
      </w:r>
      <w:r>
        <w:rPr>
          <w:rFonts w:hint="eastAsia" w:hAnsi="宋体" w:cs="Arial"/>
          <w:sz w:val="21"/>
          <w:szCs w:val="21"/>
        </w:rPr>
        <w:t>完成</w:t>
      </w:r>
      <w:r>
        <w:rPr>
          <w:rFonts w:hint="eastAsia" w:hAnsi="宋体"/>
          <w:sz w:val="21"/>
          <w:szCs w:val="21"/>
        </w:rPr>
        <w:t>。</w:t>
      </w:r>
    </w:p>
    <w:p w14:paraId="50ACF741">
      <w:pPr>
        <w:spacing w:line="360" w:lineRule="auto"/>
        <w:ind w:firstLine="422" w:firstLineChars="200"/>
        <w:rPr>
          <w:rFonts w:asciiTheme="minorEastAsia" w:hAnsiTheme="minorEastAsia" w:eastAsiaTheme="minorEastAsia"/>
          <w:bCs/>
          <w:sz w:val="21"/>
          <w:szCs w:val="21"/>
        </w:rPr>
      </w:pPr>
      <w:r>
        <w:rPr>
          <w:rFonts w:hint="eastAsia" w:asciiTheme="minorEastAsia" w:hAnsiTheme="minorEastAsia" w:eastAsiaTheme="minorEastAsia"/>
          <w:b/>
          <w:sz w:val="21"/>
          <w:szCs w:val="21"/>
        </w:rPr>
        <w:t>本项目接受联合体投标：</w:t>
      </w:r>
      <w:sdt>
        <w:sdtPr>
          <w:rPr>
            <w:rFonts w:hint="eastAsia" w:asciiTheme="minorEastAsia" w:hAnsiTheme="minorEastAsia" w:eastAsiaTheme="minorEastAsia"/>
            <w:b/>
            <w:sz w:val="21"/>
            <w:szCs w:val="21"/>
          </w:rPr>
          <w:id w:val="2035453831"/>
          <w14:checkbox>
            <w14:checked w14:val="0"/>
            <w14:checkedState w14:val="00FE" w14:font="Wingdings"/>
            <w14:uncheckedState w14:val="2610" w14:font="MS Gothic"/>
          </w14:checkbox>
        </w:sdtPr>
        <w:sdtEndPr>
          <w:rPr>
            <w:rFonts w:hint="eastAsia" w:asciiTheme="minorEastAsia" w:hAnsiTheme="minorEastAsia" w:eastAsiaTheme="minorEastAsia"/>
            <w:b w:val="0"/>
            <w:bCs/>
            <w:sz w:val="21"/>
            <w:szCs w:val="21"/>
          </w:rPr>
        </w:sdtEndPr>
        <w:sdtContent>
          <w:r>
            <w:rPr>
              <w:rFonts w:hint="eastAsia" w:ascii="MS Gothic" w:hAnsi="MS Gothic" w:eastAsia="MS Gothic"/>
              <w:bCs/>
              <w:sz w:val="21"/>
              <w:szCs w:val="21"/>
            </w:rPr>
            <w:t>☐</w:t>
          </w:r>
        </w:sdtContent>
      </w:sdt>
      <w:r>
        <w:rPr>
          <w:rFonts w:hint="eastAsia" w:asciiTheme="minorEastAsia" w:hAnsiTheme="minorEastAsia" w:eastAsiaTheme="minorEastAsia"/>
          <w:bCs/>
          <w:sz w:val="21"/>
          <w:szCs w:val="21"/>
        </w:rPr>
        <w:t>是，</w:t>
      </w:r>
      <w:sdt>
        <w:sdtPr>
          <w:rPr>
            <w:rFonts w:hint="eastAsia" w:asciiTheme="minorEastAsia" w:hAnsiTheme="minorEastAsia" w:eastAsiaTheme="minorEastAsia"/>
            <w:bCs/>
            <w:sz w:val="21"/>
            <w:szCs w:val="21"/>
          </w:rPr>
          <w:id w:val="-1765526721"/>
          <w14:checkbox>
            <w14:checked w14:val="1"/>
            <w14:checkedState w14:val="00FE" w14:font="Wingdings"/>
            <w14:uncheckedState w14:val="2610" w14:font="MS Gothic"/>
          </w14:checkbox>
        </w:sdtPr>
        <w:sdtEndPr>
          <w:rPr>
            <w:rFonts w:hint="eastAsia" w:asciiTheme="minorEastAsia" w:hAnsiTheme="minorEastAsia" w:eastAsiaTheme="minorEastAsia"/>
            <w:bCs/>
            <w:sz w:val="21"/>
            <w:szCs w:val="21"/>
          </w:rPr>
        </w:sdtEndPr>
        <w:sdtContent>
          <w:r>
            <w:rPr>
              <w:rFonts w:hint="eastAsia" w:ascii="Wingdings" w:hAnsi="Wingdings" w:eastAsia="MS Mincho" w:cs="MS Mincho"/>
              <w:bCs/>
              <w:sz w:val="21"/>
              <w:szCs w:val="21"/>
            </w:rPr>
            <w:t>þ</w:t>
          </w:r>
        </w:sdtContent>
      </w:sdt>
      <w:r>
        <w:rPr>
          <w:rFonts w:hint="eastAsia" w:asciiTheme="minorEastAsia" w:hAnsiTheme="minorEastAsia" w:eastAsiaTheme="minorEastAsia"/>
          <w:bCs/>
          <w:sz w:val="21"/>
          <w:szCs w:val="21"/>
        </w:rPr>
        <w:t>否。</w:t>
      </w:r>
    </w:p>
    <w:p w14:paraId="7DD10ACF">
      <w:pPr>
        <w:tabs>
          <w:tab w:val="left" w:pos="432"/>
        </w:tabs>
        <w:spacing w:line="360" w:lineRule="auto"/>
        <w:ind w:left="432" w:hanging="432"/>
        <w:rPr>
          <w:rFonts w:cs="宋体" w:asciiTheme="minorEastAsia" w:hAnsiTheme="minorEastAsia" w:eastAsiaTheme="minorEastAsia"/>
          <w:sz w:val="21"/>
          <w:szCs w:val="21"/>
        </w:rPr>
      </w:pPr>
      <w:bookmarkStart w:id="14" w:name="_Toc35393630"/>
      <w:bookmarkStart w:id="15" w:name="_Toc28359013"/>
      <w:bookmarkStart w:id="16" w:name="_Toc35393799"/>
      <w:bookmarkStart w:id="17" w:name="_Toc28359090"/>
      <w:r>
        <w:rPr>
          <w:rFonts w:hint="eastAsia" w:cs="宋体" w:asciiTheme="minorEastAsia" w:hAnsiTheme="minorEastAsia" w:eastAsiaTheme="minorEastAsia"/>
          <w:sz w:val="21"/>
          <w:szCs w:val="21"/>
        </w:rPr>
        <w:t>二、申请人的资格要求：</w:t>
      </w:r>
      <w:bookmarkEnd w:id="14"/>
      <w:bookmarkEnd w:id="15"/>
      <w:bookmarkEnd w:id="16"/>
      <w:bookmarkEnd w:id="17"/>
    </w:p>
    <w:p w14:paraId="605B3DD4">
      <w:pPr>
        <w:spacing w:line="360" w:lineRule="auto"/>
        <w:ind w:firstLine="480"/>
        <w:rPr>
          <w:rFonts w:cs="宋体" w:asciiTheme="minorEastAsia" w:hAnsiTheme="minorEastAsia" w:eastAsiaTheme="minorEastAsia"/>
          <w:snapToGrid w:val="0"/>
          <w:kern w:val="28"/>
          <w:sz w:val="21"/>
          <w:szCs w:val="21"/>
        </w:rPr>
      </w:pPr>
      <w:r>
        <w:rPr>
          <w:rFonts w:hint="eastAsia" w:cs="宋体" w:asciiTheme="minorEastAsia" w:hAnsiTheme="minorEastAsia" w:eastAsiaTheme="minorEastAsia"/>
          <w:snapToGrid w:val="0"/>
          <w:kern w:val="28"/>
          <w:sz w:val="21"/>
          <w:szCs w:val="21"/>
        </w:rPr>
        <w:t>1.满足《中华人民共和国政府采购法》第二十二条规定；未被“信用中国”（www.creditchina.gov.cn)、中国政府采购网（www.ccgp.gov.cn）列入失信被执行人、重大税收违法案件当事人名单（重大税收违法失信主体）、政府采购严重违法失信行为记录名单；</w:t>
      </w:r>
    </w:p>
    <w:p w14:paraId="69BDC5DF">
      <w:pPr>
        <w:spacing w:line="500" w:lineRule="exact"/>
        <w:ind w:firstLine="420" w:firstLineChars="200"/>
        <w:rPr>
          <w:rFonts w:cs="宋体" w:asciiTheme="minorEastAsia" w:hAnsiTheme="minorEastAsia" w:eastAsiaTheme="minorEastAsia"/>
          <w:snapToGrid w:val="0"/>
          <w:kern w:val="28"/>
          <w:sz w:val="21"/>
          <w:szCs w:val="21"/>
        </w:rPr>
      </w:pPr>
      <w:r>
        <w:rPr>
          <w:rFonts w:hint="eastAsia" w:cs="宋体" w:asciiTheme="minorEastAsia" w:hAnsiTheme="minorEastAsia" w:eastAsiaTheme="minorEastAsia"/>
          <w:snapToGrid w:val="0"/>
          <w:kern w:val="28"/>
          <w:sz w:val="21"/>
          <w:szCs w:val="21"/>
        </w:rPr>
        <w:t>2.落实政府采购政策需满足的资格要求：</w:t>
      </w:r>
    </w:p>
    <w:p w14:paraId="57E327D6">
      <w:pPr>
        <w:spacing w:line="360" w:lineRule="auto"/>
        <w:ind w:firstLine="420" w:firstLineChars="2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rPr>
        <w:sym w:font="Wingdings" w:char="00A8"/>
      </w:r>
      <w:r>
        <w:rPr>
          <w:rFonts w:hint="eastAsia" w:asciiTheme="minorEastAsia" w:hAnsiTheme="minorEastAsia" w:eastAsiaTheme="minorEastAsia" w:cstheme="minorEastAsia"/>
          <w:sz w:val="21"/>
          <w:szCs w:val="21"/>
        </w:rPr>
        <w:t>无；</w:t>
      </w:r>
    </w:p>
    <w:p w14:paraId="19495B81">
      <w:pPr>
        <w:spacing w:line="360" w:lineRule="auto"/>
        <w:ind w:firstLine="420" w:firstLineChars="2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rPr>
        <w:sym w:font="Wingdings" w:char="00FE"/>
      </w:r>
      <w:r>
        <w:rPr>
          <w:rFonts w:hint="eastAsia" w:asciiTheme="minorEastAsia" w:hAnsiTheme="minorEastAsia" w:eastAsiaTheme="minorEastAsia" w:cstheme="minorEastAsia"/>
          <w:kern w:val="0"/>
          <w:sz w:val="21"/>
          <w:szCs w:val="21"/>
        </w:rPr>
        <w:t>专</w:t>
      </w:r>
      <w:r>
        <w:rPr>
          <w:rFonts w:hint="eastAsia" w:asciiTheme="minorEastAsia" w:hAnsiTheme="minorEastAsia" w:eastAsiaTheme="minorEastAsia" w:cstheme="minorEastAsia"/>
          <w:sz w:val="21"/>
          <w:szCs w:val="21"/>
        </w:rPr>
        <w:t>门面向中小企业</w:t>
      </w:r>
    </w:p>
    <w:p w14:paraId="7EA14D33">
      <w:pPr>
        <w:spacing w:line="360" w:lineRule="auto"/>
        <w:ind w:firstLine="785" w:firstLineChars="374"/>
        <w:rPr>
          <w:rFonts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rPr>
        <w:sym w:font="Wingdings" w:char="00FE"/>
      </w:r>
      <w:r>
        <w:rPr>
          <w:rFonts w:hint="eastAsia" w:asciiTheme="minorEastAsia" w:hAnsiTheme="minorEastAsia" w:eastAsiaTheme="minorEastAsia" w:cstheme="minorEastAsia"/>
          <w:kern w:val="0"/>
          <w:sz w:val="21"/>
          <w:szCs w:val="21"/>
        </w:rPr>
        <w:t>工程</w:t>
      </w:r>
      <w:r>
        <w:rPr>
          <w:rFonts w:hint="eastAsia" w:asciiTheme="minorEastAsia" w:hAnsiTheme="minorEastAsia" w:eastAsiaTheme="minorEastAsia" w:cstheme="minorEastAsia"/>
          <w:sz w:val="21"/>
          <w:szCs w:val="21"/>
        </w:rPr>
        <w:t>全部由符合政策要求的中小企业承接，提供中小企业声明函；</w:t>
      </w:r>
    </w:p>
    <w:p w14:paraId="077219D8">
      <w:pPr>
        <w:spacing w:line="360" w:lineRule="auto"/>
        <w:ind w:firstLine="785" w:firstLineChars="374"/>
        <w:rPr>
          <w:rFonts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rPr>
        <w:sym w:font="Wingdings" w:char="00A8"/>
      </w:r>
      <w:r>
        <w:rPr>
          <w:rFonts w:hint="eastAsia" w:asciiTheme="minorEastAsia" w:hAnsiTheme="minorEastAsia" w:eastAsiaTheme="minorEastAsia" w:cstheme="minorEastAsia"/>
          <w:sz w:val="21"/>
          <w:szCs w:val="21"/>
        </w:rPr>
        <w:t>工程全部由符合政策要求的小微企业承接，提供中小企业声明函；</w:t>
      </w:r>
    </w:p>
    <w:p w14:paraId="55F40D5D">
      <w:pPr>
        <w:spacing w:line="360" w:lineRule="auto"/>
        <w:ind w:firstLine="420" w:firstLineChars="200"/>
        <w:rPr>
          <w:rFonts w:ascii="宋体" w:hAnsi="宋体" w:cs="宋体"/>
          <w:sz w:val="21"/>
          <w:szCs w:val="21"/>
        </w:rPr>
      </w:pPr>
      <w:sdt>
        <w:sdtPr>
          <w:rPr>
            <w:rFonts w:hint="eastAsia" w:ascii="宋体" w:hAnsi="宋体" w:cs="宋体"/>
            <w:kern w:val="0"/>
            <w:sz w:val="21"/>
            <w:szCs w:val="21"/>
          </w:rPr>
          <w:id w:val="-1985607795"/>
          <w14:checkbox>
            <w14:checked w14:val="0"/>
            <w14:checkedState w14:val="00FE" w14:font="Wingdings"/>
            <w14:uncheckedState w14:val="2610" w14:font="MS Gothic"/>
          </w14:checkbox>
        </w:sdtPr>
        <w:sdtEndPr>
          <w:rPr>
            <w:rFonts w:hint="eastAsia" w:ascii="宋体" w:hAnsi="宋体" w:cs="宋体"/>
            <w:kern w:val="0"/>
            <w:sz w:val="21"/>
            <w:szCs w:val="21"/>
          </w:rPr>
        </w:sdtEndPr>
        <w:sdtContent>
          <w:r>
            <w:rPr>
              <w:rFonts w:hint="eastAsia" w:ascii="MS Gothic" w:hAnsi="MS Gothic" w:cs="宋体"/>
              <w:kern w:val="0"/>
              <w:sz w:val="21"/>
              <w:szCs w:val="21"/>
            </w:rPr>
            <w:t>☐</w:t>
          </w:r>
        </w:sdtContent>
      </w:sdt>
      <w:r>
        <w:rPr>
          <w:rFonts w:hint="eastAsia" w:ascii="宋体" w:hAnsi="宋体" w:cs="宋体"/>
          <w:sz w:val="21"/>
          <w:szCs w:val="21"/>
        </w:rPr>
        <w:t>要求以联合体形式参加，提供联合协议和中小企业声明函，联合协议中中小企业合同金额应当达到</w:t>
      </w:r>
      <w:r>
        <w:rPr>
          <w:rFonts w:hint="eastAsia" w:ascii="宋体" w:hAnsi="宋体" w:cs="宋体"/>
          <w:sz w:val="21"/>
          <w:szCs w:val="21"/>
          <w:u w:val="single"/>
        </w:rPr>
        <w:t xml:space="preserve">  </w:t>
      </w:r>
      <w:r>
        <w:rPr>
          <w:rFonts w:hint="eastAsia" w:ascii="宋体" w:hAnsi="宋体" w:cs="宋体"/>
          <w:sz w:val="21"/>
          <w:szCs w:val="21"/>
        </w:rPr>
        <w:t>%，其中小微企业合同金额应当达到</w:t>
      </w:r>
      <w:r>
        <w:rPr>
          <w:rFonts w:hint="eastAsia" w:ascii="宋体" w:hAnsi="宋体" w:cs="宋体"/>
          <w:sz w:val="21"/>
          <w:szCs w:val="21"/>
          <w:u w:val="single"/>
        </w:rPr>
        <w:t xml:space="preserve"> </w:t>
      </w:r>
      <w:r>
        <w:rPr>
          <w:rFonts w:hint="eastAsia" w:ascii="宋体" w:hAnsi="宋体" w:cs="宋体"/>
          <w:sz w:val="21"/>
          <w:szCs w:val="21"/>
        </w:rPr>
        <w:t>%;</w:t>
      </w:r>
      <w:r>
        <w:rPr>
          <w:rFonts w:hint="eastAsia" w:ascii="宋体" w:hAnsi="宋体" w:cs="宋体"/>
          <w:spacing w:val="8"/>
          <w:kern w:val="0"/>
          <w:sz w:val="21"/>
          <w:szCs w:val="21"/>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sz w:val="21"/>
          <w:szCs w:val="21"/>
        </w:rPr>
        <w:t>；</w:t>
      </w:r>
    </w:p>
    <w:p w14:paraId="35A9A948">
      <w:pPr>
        <w:spacing w:line="360" w:lineRule="auto"/>
        <w:ind w:firstLine="420" w:firstLineChars="200"/>
        <w:rPr>
          <w:rFonts w:asciiTheme="minorEastAsia" w:hAnsiTheme="minorEastAsia" w:eastAsiaTheme="minorEastAsia" w:cstheme="minorEastAsia"/>
          <w:sz w:val="21"/>
          <w:szCs w:val="21"/>
        </w:rPr>
      </w:pPr>
      <w:sdt>
        <w:sdtPr>
          <w:rPr>
            <w:rFonts w:hint="eastAsia" w:ascii="宋体" w:hAnsi="宋体" w:cs="宋体"/>
            <w:kern w:val="0"/>
            <w:sz w:val="21"/>
            <w:szCs w:val="21"/>
          </w:rPr>
          <w:id w:val="34630645"/>
          <w14:checkbox>
            <w14:checked w14:val="0"/>
            <w14:checkedState w14:val="00FE" w14:font="Wingdings"/>
            <w14:uncheckedState w14:val="2610" w14:font="MS Gothic"/>
          </w14:checkbox>
        </w:sdtPr>
        <w:sdtEndPr>
          <w:rPr>
            <w:rFonts w:hint="eastAsia" w:ascii="宋体" w:hAnsi="宋体" w:cs="宋体"/>
            <w:kern w:val="0"/>
            <w:sz w:val="21"/>
            <w:szCs w:val="21"/>
          </w:rPr>
        </w:sdtEndPr>
        <w:sdtContent>
          <w:r>
            <w:rPr>
              <w:rFonts w:hint="eastAsia" w:ascii="宋体" w:hAnsi="宋体" w:cs="宋体"/>
              <w:kern w:val="0"/>
              <w:sz w:val="21"/>
              <w:szCs w:val="21"/>
            </w:rPr>
            <w:t>☐</w:t>
          </w:r>
        </w:sdtContent>
      </w:sdt>
      <w:r>
        <w:rPr>
          <w:rFonts w:hint="eastAsia" w:ascii="宋体" w:hAnsi="宋体" w:cs="宋体"/>
          <w:sz w:val="21"/>
          <w:szCs w:val="21"/>
        </w:rPr>
        <w:t>要求合同分包，提供分包意向协议和中小企业声明函，分包意向协议中中小企业合同金额应当达到达到</w:t>
      </w:r>
      <w:r>
        <w:rPr>
          <w:rFonts w:hint="eastAsia" w:ascii="宋体" w:hAnsi="宋体" w:cs="宋体"/>
          <w:sz w:val="21"/>
          <w:szCs w:val="21"/>
          <w:u w:val="single"/>
        </w:rPr>
        <w:t xml:space="preserve">  </w:t>
      </w:r>
      <w:r>
        <w:rPr>
          <w:rFonts w:hint="eastAsia" w:ascii="宋体" w:hAnsi="宋体" w:cs="宋体"/>
          <w:sz w:val="21"/>
          <w:szCs w:val="21"/>
        </w:rPr>
        <w:t>% ，其中小微企业合同金额应当达到</w:t>
      </w:r>
      <w:r>
        <w:rPr>
          <w:rFonts w:hint="eastAsia" w:ascii="宋体" w:hAnsi="宋体" w:cs="宋体"/>
          <w:sz w:val="21"/>
          <w:szCs w:val="21"/>
          <w:u w:val="single"/>
        </w:rPr>
        <w:t xml:space="preserve"> </w:t>
      </w:r>
      <w:r>
        <w:rPr>
          <w:rFonts w:hint="eastAsia" w:ascii="宋体" w:hAnsi="宋体" w:cs="宋体"/>
          <w:sz w:val="21"/>
          <w:szCs w:val="21"/>
        </w:rPr>
        <w:t>% ;</w:t>
      </w:r>
      <w:r>
        <w:rPr>
          <w:rFonts w:hint="eastAsia" w:ascii="宋体" w:hAnsi="宋体" w:cs="宋体"/>
          <w:spacing w:val="8"/>
          <w:kern w:val="0"/>
          <w:sz w:val="21"/>
          <w:szCs w:val="21"/>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sz w:val="21"/>
          <w:szCs w:val="21"/>
        </w:rPr>
        <w:t>；</w:t>
      </w:r>
    </w:p>
    <w:p w14:paraId="5D34B5B4">
      <w:pPr>
        <w:spacing w:line="360" w:lineRule="auto"/>
        <w:ind w:firstLine="420" w:firstLineChars="2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3.本项目的特定资格要求：</w:t>
      </w:r>
    </w:p>
    <w:p w14:paraId="2159DEC8">
      <w:pPr>
        <w:spacing w:line="360" w:lineRule="auto"/>
        <w:ind w:firstLine="420" w:firstLineChars="200"/>
        <w:rPr>
          <w:rFonts w:asciiTheme="minorEastAsia" w:hAnsiTheme="minorEastAsia" w:eastAsiaTheme="minorEastAsia" w:cstheme="minorEastAsia"/>
          <w:b/>
          <w:bCs/>
          <w:color w:val="auto"/>
          <w:sz w:val="21"/>
          <w:szCs w:val="21"/>
        </w:rPr>
      </w:pPr>
      <w:r>
        <w:rPr>
          <w:rFonts w:hint="eastAsia" w:asciiTheme="minorEastAsia" w:hAnsiTheme="minorEastAsia" w:eastAsiaTheme="minorEastAsia" w:cstheme="minorEastAsia"/>
          <w:color w:val="auto"/>
          <w:sz w:val="21"/>
          <w:szCs w:val="21"/>
        </w:rPr>
        <w:t xml:space="preserve"> </w:t>
      </w:r>
      <w:r>
        <w:rPr>
          <w:rFonts w:hint="eastAsia" w:asciiTheme="minorEastAsia" w:hAnsiTheme="minorEastAsia" w:eastAsiaTheme="minorEastAsia" w:cstheme="minorEastAsia"/>
          <w:b/>
          <w:bCs/>
          <w:color w:val="auto"/>
          <w:sz w:val="21"/>
          <w:szCs w:val="21"/>
        </w:rPr>
        <w:t>企业资质要求：供应商须具备市政公用工程施工总承包叁级及以上资质并具有有效的营业执照和安全生产许可证；</w:t>
      </w:r>
    </w:p>
    <w:p w14:paraId="0E6DE276">
      <w:pPr>
        <w:snapToGrid w:val="0"/>
        <w:spacing w:line="360" w:lineRule="auto"/>
        <w:ind w:firstLine="420" w:firstLineChars="200"/>
        <w:rPr>
          <w:sz w:val="21"/>
          <w:szCs w:val="21"/>
        </w:rPr>
      </w:pPr>
      <w:r>
        <w:rPr>
          <w:rFonts w:hint="eastAsia" w:asciiTheme="minorEastAsia" w:hAnsiTheme="minorEastAsia" w:eastAsiaTheme="minorEastAsia" w:cstheme="minorEastAsia"/>
          <w:sz w:val="21"/>
          <w:szCs w:val="21"/>
        </w:rPr>
        <w:t>4.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32379D52">
      <w:pPr>
        <w:spacing w:line="360" w:lineRule="auto"/>
        <w:ind w:firstLine="420" w:firstLineChars="200"/>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5.未在中国裁判文书网有行贿犯罪相关记录（以投标截止日当天中国裁判文书网查询结果为准，如相关记录已失效，供应商需提供相关证明资料；若在开标当天因不可抗力事件导致无法查询且一时无法恢复查询的，可在成交公示期间对成交候选人进行事后查询。成交候选人在中国裁判文书网有行贿犯罪相关记录，采购单位将依法取消其成交资格）。</w:t>
      </w:r>
    </w:p>
    <w:p w14:paraId="180F459E">
      <w:pPr>
        <w:tabs>
          <w:tab w:val="left" w:pos="432"/>
        </w:tabs>
        <w:spacing w:line="360" w:lineRule="auto"/>
        <w:ind w:left="432" w:hanging="432"/>
        <w:rPr>
          <w:rFonts w:cs="宋体" w:asciiTheme="minorEastAsia" w:hAnsiTheme="minorEastAsia" w:eastAsiaTheme="minorEastAsia"/>
          <w:sz w:val="21"/>
          <w:szCs w:val="21"/>
        </w:rPr>
      </w:pPr>
      <w:bookmarkStart w:id="18" w:name="_Toc28359014"/>
      <w:bookmarkStart w:id="19" w:name="_Toc35393631"/>
      <w:bookmarkStart w:id="20" w:name="_Toc35393800"/>
      <w:bookmarkStart w:id="21" w:name="_Toc28359091"/>
      <w:r>
        <w:rPr>
          <w:rFonts w:hint="eastAsia" w:cs="宋体" w:asciiTheme="minorEastAsia" w:hAnsiTheme="minorEastAsia" w:eastAsiaTheme="minorEastAsia"/>
          <w:sz w:val="21"/>
          <w:szCs w:val="21"/>
        </w:rPr>
        <w:t>三、获取（下载）采购文件</w:t>
      </w:r>
      <w:bookmarkEnd w:id="18"/>
      <w:bookmarkEnd w:id="19"/>
      <w:bookmarkEnd w:id="20"/>
      <w:bookmarkEnd w:id="21"/>
    </w:p>
    <w:p w14:paraId="79AFA94A">
      <w:pPr>
        <w:spacing w:line="348" w:lineRule="auto"/>
        <w:ind w:firstLine="540"/>
        <w:rPr>
          <w:rFonts w:ascii="宋体" w:hAnsi="宋体" w:cs="宋体"/>
          <w:sz w:val="21"/>
          <w:szCs w:val="21"/>
        </w:rPr>
      </w:pPr>
      <w:bookmarkStart w:id="22" w:name="_Toc28359015"/>
      <w:bookmarkStart w:id="23" w:name="_Toc35393801"/>
      <w:bookmarkStart w:id="24" w:name="_Toc35393632"/>
      <w:bookmarkStart w:id="25" w:name="_Toc28359092"/>
      <w:r>
        <w:rPr>
          <w:rFonts w:hint="eastAsia" w:ascii="宋体" w:hAnsi="宋体" w:cs="宋体"/>
          <w:sz w:val="21"/>
          <w:szCs w:val="21"/>
        </w:rPr>
        <w:t>时间：</w:t>
      </w:r>
      <w:r>
        <w:rPr>
          <w:rFonts w:hint="eastAsia" w:ascii="宋体" w:hAnsi="宋体" w:cs="宋体"/>
          <w:sz w:val="21"/>
          <w:szCs w:val="21"/>
          <w:u w:val="single"/>
        </w:rPr>
        <w:t>202</w:t>
      </w:r>
      <w:r>
        <w:rPr>
          <w:rFonts w:hint="eastAsia" w:ascii="宋体" w:hAnsi="宋体" w:cs="宋体"/>
          <w:sz w:val="21"/>
          <w:szCs w:val="21"/>
          <w:u w:val="single"/>
          <w:lang w:val="en-US" w:eastAsia="zh-CN"/>
        </w:rPr>
        <w:t>5</w:t>
      </w:r>
      <w:r>
        <w:rPr>
          <w:rFonts w:hint="eastAsia" w:ascii="宋体" w:hAnsi="宋体" w:cs="宋体"/>
          <w:sz w:val="21"/>
          <w:szCs w:val="21"/>
          <w:u w:val="single"/>
        </w:rPr>
        <w:t>年</w:t>
      </w:r>
      <w:r>
        <w:rPr>
          <w:rFonts w:hint="eastAsia" w:ascii="宋体" w:hAnsi="宋体" w:cs="宋体"/>
          <w:sz w:val="21"/>
          <w:szCs w:val="21"/>
          <w:u w:val="single"/>
          <w:lang w:val="en-US" w:eastAsia="zh-CN"/>
        </w:rPr>
        <w:t>6</w:t>
      </w:r>
      <w:r>
        <w:rPr>
          <w:rFonts w:hint="eastAsia" w:ascii="宋体" w:hAnsi="宋体" w:cs="宋体"/>
          <w:sz w:val="21"/>
          <w:szCs w:val="21"/>
          <w:u w:val="single"/>
        </w:rPr>
        <w:t>月</w:t>
      </w:r>
      <w:r>
        <w:rPr>
          <w:rFonts w:hint="eastAsia" w:ascii="宋体" w:hAnsi="宋体" w:cs="宋体"/>
          <w:sz w:val="21"/>
          <w:szCs w:val="21"/>
          <w:u w:val="single"/>
          <w:lang w:val="en-US" w:eastAsia="zh-CN"/>
        </w:rPr>
        <w:t>17</w:t>
      </w:r>
      <w:r>
        <w:rPr>
          <w:rFonts w:hint="eastAsia" w:ascii="宋体" w:hAnsi="宋体" w:cs="宋体"/>
          <w:sz w:val="21"/>
          <w:szCs w:val="21"/>
          <w:u w:val="single"/>
        </w:rPr>
        <w:t>日</w:t>
      </w:r>
      <w:r>
        <w:rPr>
          <w:rFonts w:hint="eastAsia" w:ascii="宋体" w:hAnsi="宋体" w:cs="宋体"/>
          <w:sz w:val="21"/>
          <w:szCs w:val="21"/>
        </w:rPr>
        <w:t>至</w:t>
      </w:r>
      <w:r>
        <w:rPr>
          <w:rFonts w:hint="eastAsia" w:ascii="宋体" w:hAnsi="宋体" w:cs="宋体"/>
          <w:sz w:val="21"/>
          <w:szCs w:val="21"/>
          <w:u w:val="single"/>
        </w:rPr>
        <w:t>202</w:t>
      </w:r>
      <w:r>
        <w:rPr>
          <w:rFonts w:hint="eastAsia" w:ascii="宋体" w:hAnsi="宋体" w:cs="宋体"/>
          <w:sz w:val="21"/>
          <w:szCs w:val="21"/>
          <w:u w:val="single"/>
          <w:lang w:val="en-US" w:eastAsia="zh-CN"/>
        </w:rPr>
        <w:t>5</w:t>
      </w:r>
      <w:r>
        <w:rPr>
          <w:rFonts w:hint="eastAsia" w:ascii="宋体" w:hAnsi="宋体" w:cs="宋体"/>
          <w:sz w:val="21"/>
          <w:szCs w:val="21"/>
          <w:u w:val="single"/>
        </w:rPr>
        <w:t>年</w:t>
      </w:r>
      <w:r>
        <w:rPr>
          <w:rFonts w:hint="eastAsia" w:ascii="宋体" w:hAnsi="宋体" w:cs="宋体"/>
          <w:sz w:val="21"/>
          <w:szCs w:val="21"/>
          <w:u w:val="single"/>
          <w:lang w:val="en-US" w:eastAsia="zh-CN"/>
        </w:rPr>
        <w:t>6</w:t>
      </w:r>
      <w:r>
        <w:rPr>
          <w:rFonts w:hint="eastAsia" w:ascii="宋体" w:hAnsi="宋体" w:cs="宋体"/>
          <w:sz w:val="21"/>
          <w:szCs w:val="21"/>
          <w:u w:val="single"/>
        </w:rPr>
        <w:t>月</w:t>
      </w:r>
      <w:r>
        <w:rPr>
          <w:rFonts w:hint="eastAsia" w:ascii="宋体" w:hAnsi="宋体" w:cs="宋体"/>
          <w:sz w:val="21"/>
          <w:szCs w:val="21"/>
          <w:u w:val="single"/>
          <w:lang w:val="en-US" w:eastAsia="zh-CN"/>
        </w:rPr>
        <w:t>25</w:t>
      </w:r>
      <w:r>
        <w:rPr>
          <w:rFonts w:hint="eastAsia" w:ascii="宋体" w:hAnsi="宋体" w:cs="宋体"/>
          <w:sz w:val="21"/>
          <w:szCs w:val="21"/>
          <w:u w:val="single"/>
        </w:rPr>
        <w:t>日</w:t>
      </w:r>
      <w:r>
        <w:rPr>
          <w:rFonts w:hint="eastAsia" w:ascii="宋体" w:hAnsi="宋体" w:cs="宋体"/>
          <w:sz w:val="21"/>
          <w:szCs w:val="21"/>
        </w:rPr>
        <w:t>，每天上午</w:t>
      </w:r>
      <w:r>
        <w:rPr>
          <w:rFonts w:hint="eastAsia" w:ascii="宋体" w:hAnsi="宋体" w:cs="宋体"/>
          <w:sz w:val="21"/>
          <w:szCs w:val="21"/>
          <w:u w:val="single"/>
        </w:rPr>
        <w:t>00:00</w:t>
      </w:r>
      <w:r>
        <w:rPr>
          <w:rFonts w:hint="eastAsia" w:ascii="宋体" w:hAnsi="宋体" w:cs="宋体"/>
          <w:sz w:val="21"/>
          <w:szCs w:val="21"/>
        </w:rPr>
        <w:t>至</w:t>
      </w:r>
      <w:r>
        <w:rPr>
          <w:rFonts w:hint="eastAsia" w:ascii="宋体" w:hAnsi="宋体" w:cs="宋体"/>
          <w:sz w:val="21"/>
          <w:szCs w:val="21"/>
          <w:u w:val="single"/>
        </w:rPr>
        <w:t>12:00</w:t>
      </w:r>
      <w:r>
        <w:rPr>
          <w:rFonts w:hint="eastAsia" w:ascii="宋体" w:hAnsi="宋体" w:cs="宋体"/>
          <w:sz w:val="21"/>
          <w:szCs w:val="21"/>
        </w:rPr>
        <w:t>，下午</w:t>
      </w:r>
      <w:r>
        <w:rPr>
          <w:rFonts w:hint="eastAsia" w:ascii="宋体" w:hAnsi="宋体" w:cs="宋体"/>
          <w:sz w:val="21"/>
          <w:szCs w:val="21"/>
          <w:u w:val="single"/>
        </w:rPr>
        <w:t>12:00</w:t>
      </w:r>
      <w:r>
        <w:rPr>
          <w:rFonts w:hint="eastAsia" w:ascii="宋体" w:hAnsi="宋体" w:cs="宋体"/>
          <w:sz w:val="21"/>
          <w:szCs w:val="21"/>
        </w:rPr>
        <w:t>至</w:t>
      </w:r>
      <w:r>
        <w:rPr>
          <w:rFonts w:hint="eastAsia" w:ascii="宋体" w:hAnsi="宋体" w:cs="宋体"/>
          <w:sz w:val="21"/>
          <w:szCs w:val="21"/>
          <w:u w:val="single"/>
        </w:rPr>
        <w:t>23:59</w:t>
      </w:r>
      <w:r>
        <w:rPr>
          <w:rFonts w:hint="eastAsia" w:ascii="宋体" w:hAnsi="宋体" w:cs="宋体"/>
          <w:sz w:val="21"/>
          <w:szCs w:val="21"/>
        </w:rPr>
        <w:t>（北京时间，线上获取法定节假日均可，线下获取文件法定节假日除外）。</w:t>
      </w:r>
    </w:p>
    <w:p w14:paraId="738086DB">
      <w:pPr>
        <w:spacing w:line="348" w:lineRule="auto"/>
        <w:ind w:firstLine="540"/>
        <w:rPr>
          <w:rFonts w:ascii="宋体" w:hAnsi="宋体" w:cs="宋体"/>
          <w:sz w:val="21"/>
          <w:szCs w:val="21"/>
          <w:u w:val="single"/>
        </w:rPr>
      </w:pPr>
      <w:r>
        <w:rPr>
          <w:rFonts w:hint="eastAsia" w:ascii="宋体" w:hAnsi="宋体" w:cs="宋体"/>
          <w:sz w:val="21"/>
          <w:szCs w:val="21"/>
        </w:rPr>
        <w:t>地点（网址）：政府采购云平台（www.zcygov.cn）。</w:t>
      </w:r>
    </w:p>
    <w:p w14:paraId="74C6BF84">
      <w:pPr>
        <w:spacing w:line="348" w:lineRule="auto"/>
        <w:ind w:firstLine="540"/>
        <w:rPr>
          <w:rFonts w:ascii="宋体" w:hAnsi="宋体" w:cs="宋体"/>
          <w:sz w:val="21"/>
          <w:szCs w:val="21"/>
        </w:rPr>
      </w:pPr>
      <w:r>
        <w:rPr>
          <w:rFonts w:hint="eastAsia" w:ascii="宋体" w:hAnsi="宋体" w:cs="宋体"/>
          <w:sz w:val="21"/>
          <w:szCs w:val="21"/>
        </w:rPr>
        <w:t xml:space="preserve">方式：供应商登录政采云平台https://www.zcygov.cn/在线申请获取采购文件（进入“项目采购”应用，在获取采购文件菜单中选择项目，申请获取采购文件）。 </w:t>
      </w:r>
    </w:p>
    <w:p w14:paraId="61F7C8A9">
      <w:pPr>
        <w:spacing w:line="348" w:lineRule="auto"/>
        <w:ind w:firstLine="540"/>
        <w:rPr>
          <w:rFonts w:ascii="宋体" w:hAnsi="宋体" w:cs="宋体"/>
          <w:sz w:val="21"/>
          <w:szCs w:val="21"/>
        </w:rPr>
      </w:pPr>
      <w:r>
        <w:rPr>
          <w:rFonts w:hint="eastAsia" w:ascii="宋体" w:hAnsi="宋体" w:cs="宋体"/>
          <w:sz w:val="21"/>
          <w:szCs w:val="21"/>
        </w:rPr>
        <w:t>售价（元）：0</w:t>
      </w:r>
    </w:p>
    <w:p w14:paraId="5E86F7DB">
      <w:pPr>
        <w:spacing w:line="360" w:lineRule="auto"/>
        <w:rPr>
          <w:rFonts w:ascii="宋体" w:hAnsi="宋体" w:cs="宋体"/>
          <w:b/>
          <w:sz w:val="21"/>
          <w:szCs w:val="21"/>
        </w:rPr>
      </w:pPr>
      <w:r>
        <w:rPr>
          <w:rFonts w:hint="eastAsia" w:cs="宋体" w:asciiTheme="minorEastAsia" w:hAnsiTheme="minorEastAsia" w:eastAsiaTheme="minorEastAsia"/>
          <w:sz w:val="21"/>
          <w:szCs w:val="21"/>
        </w:rPr>
        <w:t>四、</w:t>
      </w:r>
      <w:bookmarkEnd w:id="22"/>
      <w:bookmarkEnd w:id="23"/>
      <w:bookmarkEnd w:id="24"/>
      <w:bookmarkEnd w:id="25"/>
      <w:r>
        <w:rPr>
          <w:rFonts w:hint="eastAsia" w:ascii="宋体" w:hAnsi="宋体" w:cs="宋体"/>
          <w:b/>
          <w:sz w:val="21"/>
          <w:szCs w:val="21"/>
        </w:rPr>
        <w:t>提交投标文件截止时间、开标时间和地点</w:t>
      </w:r>
    </w:p>
    <w:p w14:paraId="0EB90F3C">
      <w:pPr>
        <w:spacing w:line="360" w:lineRule="auto"/>
        <w:ind w:firstLine="422" w:firstLineChars="200"/>
        <w:rPr>
          <w:rFonts w:ascii="宋体" w:hAnsi="宋体" w:cs="宋体"/>
          <w:sz w:val="21"/>
          <w:szCs w:val="21"/>
        </w:rPr>
      </w:pPr>
      <w:r>
        <w:rPr>
          <w:rFonts w:hint="eastAsia" w:ascii="宋体" w:hAnsi="宋体" w:cs="宋体"/>
          <w:b/>
          <w:sz w:val="21"/>
          <w:szCs w:val="21"/>
        </w:rPr>
        <w:t>提交投标文件截止时间：</w:t>
      </w:r>
      <w:r>
        <w:rPr>
          <w:rFonts w:hint="eastAsia" w:ascii="宋体" w:hAnsi="宋体" w:cs="宋体"/>
          <w:sz w:val="21"/>
          <w:szCs w:val="21"/>
          <w:u w:val="single"/>
        </w:rPr>
        <w:t xml:space="preserve"> 202</w:t>
      </w:r>
      <w:r>
        <w:rPr>
          <w:rFonts w:hint="eastAsia" w:ascii="宋体" w:hAnsi="宋体" w:cs="宋体"/>
          <w:sz w:val="21"/>
          <w:szCs w:val="21"/>
          <w:u w:val="single"/>
          <w:lang w:val="en-US" w:eastAsia="zh-CN"/>
        </w:rPr>
        <w:t>5</w:t>
      </w:r>
      <w:r>
        <w:rPr>
          <w:rFonts w:hint="eastAsia" w:ascii="宋体" w:hAnsi="宋体" w:cs="宋体"/>
          <w:sz w:val="21"/>
          <w:szCs w:val="21"/>
          <w:u w:val="single"/>
        </w:rPr>
        <w:t>年</w:t>
      </w:r>
      <w:r>
        <w:rPr>
          <w:rFonts w:hint="eastAsia" w:ascii="宋体" w:hAnsi="宋体" w:cs="宋体"/>
          <w:sz w:val="21"/>
          <w:szCs w:val="21"/>
          <w:u w:val="single"/>
          <w:lang w:val="en-US" w:eastAsia="zh-CN"/>
        </w:rPr>
        <w:t>7</w:t>
      </w:r>
      <w:r>
        <w:rPr>
          <w:rFonts w:hint="eastAsia" w:ascii="宋体" w:hAnsi="宋体" w:cs="宋体"/>
          <w:sz w:val="21"/>
          <w:szCs w:val="21"/>
          <w:u w:val="single"/>
        </w:rPr>
        <w:t>月</w:t>
      </w:r>
      <w:r>
        <w:rPr>
          <w:rFonts w:hint="eastAsia" w:ascii="宋体" w:hAnsi="宋体" w:cs="宋体"/>
          <w:sz w:val="21"/>
          <w:szCs w:val="21"/>
          <w:u w:val="single"/>
          <w:lang w:val="en-US" w:eastAsia="zh-CN"/>
        </w:rPr>
        <w:t>1</w:t>
      </w:r>
      <w:r>
        <w:rPr>
          <w:rFonts w:hint="eastAsia" w:ascii="宋体" w:hAnsi="宋体" w:cs="宋体"/>
          <w:sz w:val="21"/>
          <w:szCs w:val="21"/>
          <w:u w:val="single"/>
        </w:rPr>
        <w:t>日13点</w:t>
      </w:r>
      <w:r>
        <w:rPr>
          <w:rFonts w:hint="eastAsia" w:ascii="宋体" w:hAnsi="宋体" w:cs="宋体"/>
          <w:sz w:val="21"/>
          <w:szCs w:val="21"/>
          <w:u w:val="single"/>
          <w:lang w:val="en-US" w:eastAsia="zh-CN"/>
        </w:rPr>
        <w:t>3</w:t>
      </w:r>
      <w:r>
        <w:rPr>
          <w:rFonts w:hint="eastAsia" w:ascii="宋体" w:hAnsi="宋体" w:cs="宋体"/>
          <w:sz w:val="21"/>
          <w:szCs w:val="21"/>
          <w:u w:val="single"/>
        </w:rPr>
        <w:t>0分00秒</w:t>
      </w:r>
      <w:r>
        <w:rPr>
          <w:rFonts w:hint="eastAsia" w:ascii="宋体" w:hAnsi="宋体" w:cs="宋体"/>
          <w:bCs/>
          <w:sz w:val="21"/>
          <w:szCs w:val="21"/>
          <w:u w:val="single"/>
        </w:rPr>
        <w:t xml:space="preserve"> </w:t>
      </w:r>
      <w:r>
        <w:rPr>
          <w:rFonts w:hint="eastAsia" w:ascii="宋体" w:hAnsi="宋体" w:cs="宋体"/>
          <w:sz w:val="21"/>
          <w:szCs w:val="21"/>
        </w:rPr>
        <w:t>（北京时间）</w:t>
      </w:r>
    </w:p>
    <w:p w14:paraId="65E5BFD8">
      <w:pPr>
        <w:spacing w:line="360" w:lineRule="auto"/>
        <w:ind w:firstLine="422" w:firstLineChars="200"/>
        <w:rPr>
          <w:rFonts w:ascii="宋体" w:hAnsi="宋体" w:cs="宋体"/>
          <w:b/>
          <w:sz w:val="21"/>
          <w:szCs w:val="21"/>
        </w:rPr>
      </w:pPr>
      <w:r>
        <w:rPr>
          <w:rFonts w:hint="eastAsia" w:ascii="宋体" w:hAnsi="宋体" w:cs="宋体"/>
          <w:b/>
          <w:sz w:val="21"/>
          <w:szCs w:val="21"/>
        </w:rPr>
        <w:t>投标地点（网址）：</w:t>
      </w:r>
      <w:r>
        <w:rPr>
          <w:rFonts w:hint="eastAsia" w:ascii="宋体" w:hAnsi="宋体" w:cs="宋体"/>
          <w:sz w:val="21"/>
          <w:szCs w:val="21"/>
        </w:rPr>
        <w:t xml:space="preserve">政采云平台（https://www.zcygov.cn/） </w:t>
      </w:r>
    </w:p>
    <w:p w14:paraId="3A3C9F1A">
      <w:pPr>
        <w:spacing w:line="360" w:lineRule="auto"/>
        <w:ind w:firstLine="422" w:firstLineChars="200"/>
        <w:rPr>
          <w:rFonts w:ascii="宋体" w:hAnsi="宋体" w:cs="宋体"/>
          <w:bCs/>
          <w:sz w:val="21"/>
          <w:szCs w:val="21"/>
          <w:u w:val="single"/>
        </w:rPr>
      </w:pPr>
      <w:r>
        <w:rPr>
          <w:rFonts w:hint="eastAsia" w:ascii="宋体" w:hAnsi="宋体" w:cs="宋体"/>
          <w:b/>
          <w:sz w:val="21"/>
          <w:szCs w:val="21"/>
        </w:rPr>
        <w:t>开标时间：</w:t>
      </w:r>
      <w:r>
        <w:rPr>
          <w:rFonts w:hint="eastAsia" w:ascii="宋体" w:hAnsi="宋体" w:cs="宋体"/>
          <w:sz w:val="21"/>
          <w:szCs w:val="21"/>
          <w:u w:val="single"/>
        </w:rPr>
        <w:t>202</w:t>
      </w:r>
      <w:r>
        <w:rPr>
          <w:rFonts w:hint="eastAsia" w:ascii="宋体" w:hAnsi="宋体" w:cs="宋体"/>
          <w:sz w:val="21"/>
          <w:szCs w:val="21"/>
          <w:u w:val="single"/>
          <w:lang w:val="en-US" w:eastAsia="zh-CN"/>
        </w:rPr>
        <w:t>5</w:t>
      </w:r>
      <w:r>
        <w:rPr>
          <w:rFonts w:hint="eastAsia" w:ascii="宋体" w:hAnsi="宋体" w:cs="宋体"/>
          <w:sz w:val="21"/>
          <w:szCs w:val="21"/>
          <w:u w:val="single"/>
        </w:rPr>
        <w:t>年</w:t>
      </w:r>
      <w:r>
        <w:rPr>
          <w:rFonts w:hint="eastAsia" w:ascii="宋体" w:hAnsi="宋体" w:cs="宋体"/>
          <w:sz w:val="21"/>
          <w:szCs w:val="21"/>
          <w:u w:val="single"/>
          <w:lang w:val="en-US" w:eastAsia="zh-CN"/>
        </w:rPr>
        <w:t>7</w:t>
      </w:r>
      <w:r>
        <w:rPr>
          <w:rFonts w:hint="eastAsia" w:ascii="宋体" w:hAnsi="宋体" w:cs="宋体"/>
          <w:sz w:val="21"/>
          <w:szCs w:val="21"/>
          <w:u w:val="single"/>
        </w:rPr>
        <w:t>月</w:t>
      </w:r>
      <w:r>
        <w:rPr>
          <w:rFonts w:hint="eastAsia" w:ascii="宋体" w:hAnsi="宋体" w:cs="宋体"/>
          <w:sz w:val="21"/>
          <w:szCs w:val="21"/>
          <w:u w:val="single"/>
          <w:lang w:val="en-US" w:eastAsia="zh-CN"/>
        </w:rPr>
        <w:t>1</w:t>
      </w:r>
      <w:r>
        <w:rPr>
          <w:rFonts w:hint="eastAsia" w:ascii="宋体" w:hAnsi="宋体" w:cs="宋体"/>
          <w:sz w:val="21"/>
          <w:szCs w:val="21"/>
          <w:u w:val="single"/>
        </w:rPr>
        <w:t>日13点</w:t>
      </w:r>
      <w:r>
        <w:rPr>
          <w:rFonts w:hint="eastAsia" w:ascii="宋体" w:hAnsi="宋体" w:cs="宋体"/>
          <w:sz w:val="21"/>
          <w:szCs w:val="21"/>
          <w:u w:val="single"/>
          <w:lang w:val="en-US" w:eastAsia="zh-CN"/>
        </w:rPr>
        <w:t>3</w:t>
      </w:r>
      <w:r>
        <w:rPr>
          <w:rFonts w:hint="eastAsia" w:ascii="宋体" w:hAnsi="宋体" w:cs="宋体"/>
          <w:sz w:val="21"/>
          <w:szCs w:val="21"/>
          <w:u w:val="single"/>
        </w:rPr>
        <w:t>0分00秒</w:t>
      </w:r>
      <w:r>
        <w:rPr>
          <w:rFonts w:hint="eastAsia" w:ascii="宋体" w:hAnsi="宋体" w:cs="宋体"/>
          <w:bCs/>
          <w:sz w:val="21"/>
          <w:szCs w:val="21"/>
          <w:u w:val="single"/>
        </w:rPr>
        <w:t xml:space="preserve">  </w:t>
      </w:r>
    </w:p>
    <w:p w14:paraId="2D369CC0">
      <w:pPr>
        <w:spacing w:line="360" w:lineRule="auto"/>
        <w:ind w:firstLine="422" w:firstLineChars="200"/>
        <w:rPr>
          <w:rFonts w:asciiTheme="minorEastAsia" w:hAnsiTheme="minorEastAsia" w:eastAsiaTheme="minorEastAsia"/>
          <w:bCs/>
          <w:sz w:val="21"/>
          <w:szCs w:val="21"/>
          <w:u w:val="single"/>
        </w:rPr>
      </w:pPr>
      <w:r>
        <w:rPr>
          <w:rFonts w:hint="eastAsia" w:ascii="宋体" w:hAnsi="宋体" w:cs="宋体"/>
          <w:b/>
          <w:sz w:val="21"/>
          <w:szCs w:val="21"/>
        </w:rPr>
        <w:t>开标地点（网址）：</w:t>
      </w:r>
      <w:r>
        <w:rPr>
          <w:rFonts w:hint="eastAsia" w:ascii="宋体" w:hAnsi="宋体" w:cs="宋体"/>
          <w:sz w:val="21"/>
          <w:szCs w:val="21"/>
        </w:rPr>
        <w:t>政采云平台（https://www.zcygov.cn/）</w:t>
      </w:r>
    </w:p>
    <w:p w14:paraId="7D6386F1">
      <w:pPr>
        <w:tabs>
          <w:tab w:val="left" w:pos="432"/>
        </w:tabs>
        <w:spacing w:line="360" w:lineRule="auto"/>
        <w:ind w:left="432" w:hanging="432"/>
        <w:rPr>
          <w:rFonts w:cs="宋体" w:asciiTheme="minorEastAsia" w:hAnsiTheme="minorEastAsia" w:eastAsiaTheme="minorEastAsia"/>
          <w:sz w:val="21"/>
          <w:szCs w:val="21"/>
        </w:rPr>
      </w:pPr>
      <w:bookmarkStart w:id="26" w:name="_Toc35393803"/>
      <w:bookmarkStart w:id="27" w:name="_Toc28359094"/>
      <w:bookmarkStart w:id="28" w:name="_Toc35393634"/>
      <w:bookmarkStart w:id="29" w:name="_Toc28359017"/>
      <w:r>
        <w:rPr>
          <w:rFonts w:hint="eastAsia" w:cs="宋体" w:asciiTheme="minorEastAsia" w:hAnsiTheme="minorEastAsia" w:eastAsiaTheme="minorEastAsia"/>
          <w:sz w:val="21"/>
          <w:szCs w:val="21"/>
        </w:rPr>
        <w:t>五、公告期限</w:t>
      </w:r>
      <w:bookmarkEnd w:id="26"/>
      <w:bookmarkEnd w:id="27"/>
      <w:bookmarkEnd w:id="28"/>
      <w:bookmarkEnd w:id="29"/>
    </w:p>
    <w:p w14:paraId="11644A25">
      <w:pPr>
        <w:spacing w:line="360" w:lineRule="auto"/>
        <w:ind w:firstLine="420" w:firstLineChars="200"/>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自本公告发布之日起3个工作日。</w:t>
      </w:r>
    </w:p>
    <w:p w14:paraId="482B95D6">
      <w:pPr>
        <w:tabs>
          <w:tab w:val="left" w:pos="432"/>
        </w:tabs>
        <w:spacing w:line="360" w:lineRule="auto"/>
        <w:ind w:left="432" w:hanging="432"/>
        <w:rPr>
          <w:rFonts w:cs="宋体" w:asciiTheme="minorEastAsia" w:hAnsiTheme="minorEastAsia" w:eastAsiaTheme="minorEastAsia"/>
          <w:sz w:val="21"/>
          <w:szCs w:val="21"/>
        </w:rPr>
      </w:pPr>
      <w:bookmarkStart w:id="30" w:name="_Toc35393635"/>
      <w:bookmarkStart w:id="31" w:name="_Toc35393804"/>
      <w:r>
        <w:rPr>
          <w:rFonts w:hint="eastAsia" w:cs="宋体" w:asciiTheme="minorEastAsia" w:hAnsiTheme="minorEastAsia" w:eastAsiaTheme="minorEastAsia"/>
          <w:sz w:val="21"/>
          <w:szCs w:val="21"/>
        </w:rPr>
        <w:t>六、其他补充事宜</w:t>
      </w:r>
      <w:bookmarkEnd w:id="30"/>
      <w:bookmarkEnd w:id="31"/>
    </w:p>
    <w:p w14:paraId="018AD1B8">
      <w:pPr>
        <w:spacing w:line="360" w:lineRule="auto"/>
        <w:ind w:firstLine="420" w:firstLineChars="200"/>
        <w:rPr>
          <w:rFonts w:cs="宋体" w:asciiTheme="minorEastAsia" w:hAnsiTheme="minorEastAsia" w:eastAsiaTheme="minorEastAsia"/>
          <w:bCs/>
          <w:kern w:val="0"/>
          <w:sz w:val="21"/>
          <w:szCs w:val="21"/>
        </w:rPr>
      </w:pPr>
      <w:r>
        <w:rPr>
          <w:rFonts w:hint="eastAsia" w:cs="宋体" w:asciiTheme="minorEastAsia" w:hAnsiTheme="minorEastAsia" w:eastAsiaTheme="minorEastAsia"/>
          <w:bCs/>
          <w:kern w:val="0"/>
          <w:sz w:val="21"/>
          <w:szCs w:val="21"/>
        </w:rPr>
        <w:t>1.供应商认为采购文件使自己的权益受到损害的，可以自获取采购文件之日或者采购文件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00BAE31E">
      <w:pPr>
        <w:spacing w:line="360" w:lineRule="auto"/>
        <w:ind w:firstLine="422" w:firstLineChars="200"/>
        <w:rPr>
          <w:rFonts w:cs="宋体" w:asciiTheme="minorEastAsia" w:hAnsiTheme="minorEastAsia" w:eastAsiaTheme="minorEastAsia"/>
          <w:b/>
          <w:kern w:val="0"/>
          <w:sz w:val="21"/>
          <w:szCs w:val="21"/>
        </w:rPr>
      </w:pPr>
      <w:r>
        <w:rPr>
          <w:rFonts w:hint="eastAsia" w:cs="宋体" w:asciiTheme="minorEastAsia" w:hAnsiTheme="minorEastAsia" w:eastAsiaTheme="minorEastAsia"/>
          <w:b/>
          <w:kern w:val="0"/>
          <w:sz w:val="21"/>
          <w:szCs w:val="21"/>
        </w:rPr>
        <w:t>2. 其他事项：</w:t>
      </w:r>
    </w:p>
    <w:p w14:paraId="7BF1E68B">
      <w:pPr>
        <w:spacing w:line="360" w:lineRule="auto"/>
        <w:ind w:firstLine="422" w:firstLineChars="200"/>
        <w:rPr>
          <w:rFonts w:cs="宋体" w:asciiTheme="minorEastAsia" w:hAnsiTheme="minorEastAsia" w:eastAsiaTheme="minorEastAsia"/>
          <w:kern w:val="0"/>
          <w:sz w:val="21"/>
          <w:szCs w:val="21"/>
        </w:rPr>
      </w:pPr>
      <w:r>
        <w:rPr>
          <w:rFonts w:hint="eastAsia" w:cs="宋体" w:asciiTheme="minorEastAsia" w:hAnsiTheme="minorEastAsia" w:eastAsiaTheme="minorEastAsia"/>
          <w:b/>
          <w:kern w:val="0"/>
          <w:sz w:val="21"/>
          <w:szCs w:val="21"/>
        </w:rPr>
        <w:t>（1）需要落实的政府采购政策：</w:t>
      </w:r>
      <w:r>
        <w:rPr>
          <w:rFonts w:hint="eastAsia" w:cs="宋体" w:asciiTheme="minorEastAsia" w:hAnsiTheme="minorEastAsia" w:eastAsiaTheme="minorEastAsia"/>
          <w:kern w:val="0"/>
          <w:sz w:val="21"/>
          <w:szCs w:val="21"/>
        </w:rPr>
        <w:t>包括节约资源、保护环境、</w:t>
      </w:r>
      <w:r>
        <w:rPr>
          <w:rFonts w:hint="eastAsia" w:cs="宋体" w:asciiTheme="minorEastAsia" w:hAnsiTheme="minorEastAsia" w:eastAsiaTheme="minorEastAsia"/>
          <w:sz w:val="21"/>
          <w:szCs w:val="21"/>
        </w:rPr>
        <w:t>支持创新、</w:t>
      </w:r>
      <w:r>
        <w:rPr>
          <w:rFonts w:hint="eastAsia" w:cs="宋体" w:asciiTheme="minorEastAsia" w:hAnsiTheme="minorEastAsia" w:eastAsiaTheme="minorEastAsia"/>
          <w:kern w:val="0"/>
          <w:sz w:val="21"/>
          <w:szCs w:val="21"/>
        </w:rPr>
        <w:t>促进中小企业发展等，详见磋商文件第</w:t>
      </w:r>
      <w:r>
        <w:rPr>
          <w:rFonts w:hint="eastAsia" w:cs="宋体" w:asciiTheme="minorEastAsia" w:hAnsiTheme="minorEastAsia" w:eastAsiaTheme="minorEastAsia"/>
          <w:kern w:val="0"/>
          <w:sz w:val="21"/>
          <w:szCs w:val="21"/>
          <w:lang w:eastAsia="zh-CN"/>
        </w:rPr>
        <w:t>三</w:t>
      </w:r>
      <w:r>
        <w:rPr>
          <w:rFonts w:hint="eastAsia" w:cs="宋体" w:asciiTheme="minorEastAsia" w:hAnsiTheme="minorEastAsia" w:eastAsiaTheme="minorEastAsia"/>
          <w:kern w:val="0"/>
          <w:sz w:val="21"/>
          <w:szCs w:val="21"/>
        </w:rPr>
        <w:t>部分总则。</w:t>
      </w:r>
    </w:p>
    <w:p w14:paraId="4787DECF">
      <w:pPr>
        <w:spacing w:line="360" w:lineRule="auto"/>
        <w:ind w:firstLine="422" w:firstLineChars="200"/>
        <w:rPr>
          <w:rFonts w:cs="仿宋_GB2312" w:asciiTheme="minorEastAsia" w:hAnsiTheme="minorEastAsia" w:eastAsiaTheme="minorEastAsia"/>
          <w:sz w:val="21"/>
          <w:szCs w:val="21"/>
        </w:rPr>
      </w:pPr>
      <w:r>
        <w:rPr>
          <w:rFonts w:hint="eastAsia" w:cs="宋体" w:asciiTheme="minorEastAsia" w:hAnsiTheme="minorEastAsia" w:eastAsiaTheme="minorEastAsia"/>
          <w:b/>
          <w:kern w:val="0"/>
          <w:sz w:val="21"/>
          <w:szCs w:val="21"/>
        </w:rPr>
        <w:t>（2）</w:t>
      </w:r>
      <w:r>
        <w:rPr>
          <w:rFonts w:hint="eastAsia" w:cs="仿宋_GB2312" w:asciiTheme="minorEastAsia" w:hAnsiTheme="minorEastAsia" w:eastAsiaTheme="minorEastAsia"/>
          <w:b/>
          <w:sz w:val="21"/>
          <w:szCs w:val="21"/>
        </w:rPr>
        <w:t xml:space="preserve">电子交易的说明: </w:t>
      </w:r>
      <w:r>
        <w:rPr>
          <w:rFonts w:hint="eastAsia" w:cs="仿宋_GB2312" w:asciiTheme="minorEastAsia" w:hAnsiTheme="minorEastAsia" w:eastAsiaTheme="minorEastAsia"/>
          <w:b w:val="0"/>
          <w:bCs/>
          <w:sz w:val="21"/>
          <w:szCs w:val="21"/>
        </w:rPr>
        <w:t>1）电子交易：本项目以数据电文形式，依托“政府采购云平台（www.zcygov.cn）”进行采购活动，不接受纸质投标文件。2）响应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3）磋商文件的获取：使用账号登录或者使用CA登录政采云平台；进入“项目采购”应用，在获取采购文件菜单中选择项目，获取磋商文件。4）投标文件的制作：在“政采云电子交易客户端”中完成“填写基本信息”、“导入投标文件”、“标书关联”、“标书检查”、“电子签名”、“生成电子标书”等操作。</w:t>
      </w:r>
      <w:r>
        <w:rPr>
          <w:rFonts w:cs="仿宋_GB2312" w:asciiTheme="minorEastAsia" w:hAnsiTheme="minorEastAsia" w:eastAsiaTheme="minorEastAsia"/>
          <w:b w:val="0"/>
          <w:bCs/>
          <w:sz w:val="21"/>
          <w:szCs w:val="21"/>
        </w:rPr>
        <w:t>5）</w:t>
      </w:r>
      <w:r>
        <w:rPr>
          <w:rFonts w:hint="eastAsia" w:cs="仿宋_GB2312" w:asciiTheme="minorEastAsia" w:hAnsiTheme="minorEastAsia" w:eastAsiaTheme="minorEastAsia"/>
          <w:b w:val="0"/>
          <w:bCs/>
          <w:sz w:val="21"/>
          <w:szCs w:val="21"/>
        </w:rPr>
        <w:t>采购人、采购代理机构将依托政采云平台完成本项目的电子交易活动，平台不接受未按本公告约定方式获取磋商文件的供应商进行响应活动；</w:t>
      </w:r>
      <w:r>
        <w:rPr>
          <w:rFonts w:cs="仿宋_GB2312" w:asciiTheme="minorEastAsia" w:hAnsiTheme="minorEastAsia" w:eastAsiaTheme="minorEastAsia"/>
          <w:b w:val="0"/>
          <w:bCs/>
          <w:sz w:val="21"/>
          <w:szCs w:val="21"/>
        </w:rPr>
        <w:t>6）</w:t>
      </w:r>
      <w:r>
        <w:rPr>
          <w:rFonts w:hint="eastAsia" w:cs="仿宋_GB2312" w:asciiTheme="minorEastAsia" w:hAnsiTheme="minorEastAsia" w:eastAsiaTheme="minorEastAsia"/>
          <w:b w:val="0"/>
          <w:bCs/>
          <w:sz w:val="21"/>
          <w:szCs w:val="21"/>
        </w:rPr>
        <w:t>对未按上述方式获取磋商文件的供应商对该文件提出的质疑，采购人或采购代理机构将不予处理；</w:t>
      </w:r>
      <w:r>
        <w:rPr>
          <w:rFonts w:cs="仿宋_GB2312" w:asciiTheme="minorEastAsia" w:hAnsiTheme="minorEastAsia" w:eastAsiaTheme="minorEastAsia"/>
          <w:b w:val="0"/>
          <w:bCs/>
          <w:sz w:val="21"/>
          <w:szCs w:val="21"/>
        </w:rPr>
        <w:t>7）</w:t>
      </w:r>
      <w:r>
        <w:rPr>
          <w:rFonts w:hint="eastAsia" w:cs="仿宋_GB2312" w:asciiTheme="minorEastAsia" w:hAnsiTheme="minorEastAsia" w:eastAsiaTheme="minorEastAsia"/>
          <w:b w:val="0"/>
          <w:bCs/>
          <w:sz w:val="21"/>
          <w:szCs w:val="21"/>
        </w:rPr>
        <w:t>不提供磋商文件纸质版；</w:t>
      </w:r>
      <w:r>
        <w:rPr>
          <w:rFonts w:cs="仿宋_GB2312" w:asciiTheme="minorEastAsia" w:hAnsiTheme="minorEastAsia" w:eastAsiaTheme="minorEastAsia"/>
          <w:b w:val="0"/>
          <w:bCs/>
          <w:sz w:val="21"/>
          <w:szCs w:val="21"/>
        </w:rPr>
        <w:t>8</w:t>
      </w:r>
      <w:r>
        <w:rPr>
          <w:rFonts w:hint="eastAsia" w:cs="仿宋_GB2312" w:asciiTheme="minorEastAsia" w:hAnsiTheme="minorEastAsia" w:eastAsiaTheme="minorEastAsia"/>
          <w:b w:val="0"/>
          <w:bCs/>
          <w:sz w:val="21"/>
          <w:szCs w:val="21"/>
        </w:rPr>
        <w:t>）投标文件的传输提交：供应商在提交投标文件的截止时间前将加密的投标文件（文件后缀为：jmbs）上传至政府采购云平台，还可以在提交投标文件的截止时间前直接提交或者以邮政快递方式提交备份投标文件1份。备份投标文件的制作、存储、密封详见磋商文件第</w:t>
      </w:r>
      <w:r>
        <w:rPr>
          <w:rFonts w:hint="eastAsia" w:cs="仿宋_GB2312" w:asciiTheme="minorEastAsia" w:hAnsiTheme="minorEastAsia" w:eastAsiaTheme="minorEastAsia"/>
          <w:b w:val="0"/>
          <w:bCs/>
          <w:sz w:val="21"/>
          <w:szCs w:val="21"/>
          <w:lang w:eastAsia="zh-CN"/>
        </w:rPr>
        <w:t>三</w:t>
      </w:r>
      <w:r>
        <w:rPr>
          <w:rFonts w:hint="eastAsia" w:cs="仿宋_GB2312" w:asciiTheme="minorEastAsia" w:hAnsiTheme="minorEastAsia" w:eastAsiaTheme="minorEastAsia"/>
          <w:b w:val="0"/>
          <w:bCs/>
          <w:sz w:val="21"/>
          <w:szCs w:val="21"/>
        </w:rPr>
        <w:t>部分 “备份投标文件”；9）投标文件的解密：供应商按照平台提示和磋商文件的规定在半小时内完成在线解密。通过“政府采购云平台”上传递交的投标文件无法按时解密，供应商递交了备份投标文件的，以备份投标文件为依据，否则视为投标文件撤回。通过“政府采购云平台”上传提交的投标文件已按时解密的，备份投标文件自动失效。供应商仅提交备份投标文件，没有在电子交易平台传输提交投标文件的，响应无效；10）具体操作指南：详见政采云平台“服务中心-帮助文档-项目采购-操作流程-电子招投标-政府采</w:t>
      </w:r>
      <w:r>
        <w:rPr>
          <w:rFonts w:hint="eastAsia" w:cs="仿宋_GB2312" w:asciiTheme="minorEastAsia" w:hAnsiTheme="minorEastAsia" w:eastAsiaTheme="minorEastAsia"/>
          <w:sz w:val="21"/>
          <w:szCs w:val="21"/>
        </w:rPr>
        <w:t>购项目电子交易管理操作指南-供应商”。</w:t>
      </w:r>
    </w:p>
    <w:p w14:paraId="423660B4">
      <w:pPr>
        <w:spacing w:line="360" w:lineRule="auto"/>
        <w:ind w:firstLine="420" w:firstLineChars="200"/>
        <w:rPr>
          <w:rFonts w:cs="宋体" w:asciiTheme="minorEastAsia" w:hAnsiTheme="minorEastAsia" w:eastAsiaTheme="minorEastAsia"/>
          <w:sz w:val="21"/>
          <w:szCs w:val="21"/>
        </w:rPr>
      </w:pPr>
      <w:r>
        <w:rPr>
          <w:rFonts w:hint="eastAsia" w:cs="仿宋_GB2312" w:asciiTheme="minorEastAsia" w:hAnsiTheme="minorEastAsia" w:eastAsiaTheme="minorEastAsia"/>
          <w:sz w:val="21"/>
          <w:szCs w:val="21"/>
        </w:rPr>
        <w:t>（3）</w:t>
      </w:r>
      <w:r>
        <w:rPr>
          <w:rFonts w:hint="eastAsia" w:cs="宋体" w:asciiTheme="minorEastAsia" w:hAnsiTheme="minorEastAsia" w:eastAsiaTheme="minorEastAsia"/>
          <w:sz w:val="21"/>
          <w:szCs w:val="21"/>
        </w:rPr>
        <w:t>磋商文件公告期限与磋商公告的公告期限一致。</w:t>
      </w:r>
    </w:p>
    <w:p w14:paraId="28E59D2D">
      <w:pPr>
        <w:spacing w:line="360" w:lineRule="auto"/>
        <w:ind w:firstLine="420" w:firstLineChars="200"/>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（4）本《第一部分  邀请供应商》中二、申请人的资格要求：第一条中的“重大税收违法案件当事人名单”即为“重大税收违法失信主体”。</w:t>
      </w:r>
    </w:p>
    <w:p w14:paraId="14F4E525">
      <w:pPr>
        <w:spacing w:line="360" w:lineRule="auto"/>
        <w:ind w:firstLine="420" w:firstLineChars="200"/>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（5）本公告发布媒体：浙江政府采购网（www.zjzfcg.gov.cn）、宁波政府采购(www.nbzfcg.cn)、宁波公共资源交易电子服务系统。</w:t>
      </w:r>
    </w:p>
    <w:p w14:paraId="250DA135">
      <w:pPr>
        <w:tabs>
          <w:tab w:val="left" w:pos="432"/>
        </w:tabs>
        <w:spacing w:line="360" w:lineRule="auto"/>
        <w:ind w:left="432" w:hanging="432"/>
        <w:rPr>
          <w:rFonts w:cs="宋体" w:asciiTheme="minorEastAsia" w:hAnsiTheme="minorEastAsia" w:eastAsiaTheme="minorEastAsia"/>
          <w:sz w:val="21"/>
          <w:szCs w:val="21"/>
        </w:rPr>
      </w:pPr>
      <w:bookmarkStart w:id="32" w:name="_Toc35393636"/>
      <w:bookmarkStart w:id="33" w:name="_Toc28359095"/>
      <w:bookmarkStart w:id="34" w:name="_Toc35393805"/>
      <w:bookmarkStart w:id="35" w:name="_Toc28359018"/>
      <w:r>
        <w:rPr>
          <w:rFonts w:hint="eastAsia" w:cs="宋体" w:asciiTheme="minorEastAsia" w:hAnsiTheme="minorEastAsia" w:eastAsiaTheme="minorEastAsia"/>
          <w:sz w:val="21"/>
          <w:szCs w:val="21"/>
        </w:rPr>
        <w:t>八、凡对本次采购提出询问、质疑、投诉，请按以下方式联系</w:t>
      </w:r>
      <w:bookmarkEnd w:id="32"/>
      <w:bookmarkEnd w:id="33"/>
      <w:bookmarkEnd w:id="34"/>
      <w:bookmarkEnd w:id="35"/>
    </w:p>
    <w:p w14:paraId="6191274A">
      <w:pPr>
        <w:tabs>
          <w:tab w:val="left" w:pos="432"/>
        </w:tabs>
        <w:spacing w:line="360" w:lineRule="auto"/>
        <w:ind w:left="432" w:hanging="432"/>
        <w:rPr>
          <w:rFonts w:cs="宋体" w:asciiTheme="minorEastAsia" w:hAnsiTheme="minorEastAsia" w:eastAsiaTheme="minorEastAsia"/>
          <w:sz w:val="21"/>
          <w:szCs w:val="21"/>
        </w:rPr>
      </w:pPr>
      <w:bookmarkStart w:id="36" w:name="_Toc35393806"/>
      <w:bookmarkStart w:id="37" w:name="_Toc35393637"/>
      <w:bookmarkStart w:id="38" w:name="_Toc28359019"/>
      <w:bookmarkStart w:id="39" w:name="_Toc28359096"/>
      <w:r>
        <w:rPr>
          <w:rFonts w:hint="eastAsia" w:cs="宋体" w:asciiTheme="minorEastAsia" w:hAnsiTheme="minorEastAsia" w:eastAsiaTheme="minorEastAsia"/>
          <w:sz w:val="21"/>
          <w:szCs w:val="21"/>
        </w:rPr>
        <w:t>1.采购人信息</w:t>
      </w:r>
      <w:bookmarkEnd w:id="36"/>
      <w:bookmarkEnd w:id="37"/>
      <w:bookmarkEnd w:id="38"/>
      <w:bookmarkEnd w:id="39"/>
      <w:r>
        <w:rPr>
          <w:rFonts w:hint="eastAsia" w:cs="宋体" w:asciiTheme="minorEastAsia" w:hAnsiTheme="minorEastAsia" w:eastAsiaTheme="minorEastAsia"/>
          <w:sz w:val="21"/>
          <w:szCs w:val="21"/>
        </w:rPr>
        <w:t>：</w:t>
      </w:r>
    </w:p>
    <w:p w14:paraId="587BBC44">
      <w:pPr>
        <w:spacing w:line="360" w:lineRule="auto"/>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1.采购人信息</w:t>
      </w:r>
    </w:p>
    <w:p w14:paraId="4150D367">
      <w:pPr>
        <w:spacing w:line="360" w:lineRule="auto"/>
        <w:ind w:firstLine="420" w:firstLineChars="200"/>
        <w:rPr>
          <w:rFonts w:hint="eastAsia" w:asciiTheme="minorEastAsia" w:hAnsiTheme="minorEastAsia" w:eastAsiaTheme="minorEastAsia"/>
          <w:sz w:val="21"/>
          <w:szCs w:val="21"/>
          <w:lang w:eastAsia="zh-CN"/>
        </w:rPr>
      </w:pPr>
      <w:r>
        <w:rPr>
          <w:rFonts w:hint="eastAsia" w:asciiTheme="minorEastAsia" w:hAnsiTheme="minorEastAsia" w:eastAsiaTheme="minorEastAsia"/>
          <w:sz w:val="21"/>
          <w:szCs w:val="21"/>
        </w:rPr>
        <w:t>名称：</w:t>
      </w:r>
      <w:r>
        <w:rPr>
          <w:rFonts w:hint="eastAsia" w:asciiTheme="minorEastAsia" w:hAnsiTheme="minorEastAsia" w:eastAsiaTheme="minorEastAsia"/>
          <w:sz w:val="21"/>
          <w:szCs w:val="21"/>
          <w:lang w:eastAsia="zh-CN"/>
        </w:rPr>
        <w:t>宁海县一市镇中心学校</w:t>
      </w:r>
    </w:p>
    <w:p w14:paraId="5146D020">
      <w:pPr>
        <w:spacing w:line="360" w:lineRule="auto"/>
        <w:ind w:firstLine="420" w:firstLineChars="200"/>
        <w:rPr>
          <w:rFonts w:hint="eastAsia" w:asciiTheme="minorEastAsia" w:hAnsiTheme="minorEastAsia" w:eastAsiaTheme="minorEastAsia"/>
          <w:sz w:val="21"/>
          <w:szCs w:val="21"/>
          <w:lang w:eastAsia="zh-CN"/>
        </w:rPr>
      </w:pPr>
      <w:r>
        <w:rPr>
          <w:rFonts w:hint="eastAsia" w:asciiTheme="minorEastAsia" w:hAnsiTheme="minorEastAsia" w:eastAsiaTheme="minorEastAsia"/>
          <w:sz w:val="21"/>
          <w:szCs w:val="21"/>
        </w:rPr>
        <w:t>地址：</w:t>
      </w:r>
      <w:r>
        <w:rPr>
          <w:rFonts w:hint="eastAsia" w:asciiTheme="minorEastAsia" w:hAnsiTheme="minorEastAsia" w:eastAsiaTheme="minorEastAsia"/>
          <w:sz w:val="21"/>
          <w:szCs w:val="21"/>
          <w:lang w:eastAsia="zh-CN"/>
        </w:rPr>
        <w:t xml:space="preserve">宁海县一市镇一市村镇南路51号 </w:t>
      </w:r>
    </w:p>
    <w:p w14:paraId="32AE1DD6">
      <w:pPr>
        <w:spacing w:line="360" w:lineRule="auto"/>
        <w:ind w:firstLine="420" w:firstLineChars="200"/>
        <w:rPr>
          <w:rFonts w:hint="eastAsia" w:asciiTheme="minorEastAsia" w:hAnsiTheme="minorEastAsia" w:eastAsiaTheme="minorEastAsia"/>
          <w:sz w:val="21"/>
          <w:szCs w:val="21"/>
          <w:lang w:val="en-US" w:eastAsia="zh-CN"/>
        </w:rPr>
      </w:pPr>
      <w:r>
        <w:rPr>
          <w:rFonts w:hint="eastAsia" w:asciiTheme="minorEastAsia" w:hAnsiTheme="minorEastAsia" w:eastAsiaTheme="minorEastAsia"/>
          <w:sz w:val="21"/>
          <w:szCs w:val="21"/>
        </w:rPr>
        <w:t>项目联系人</w:t>
      </w:r>
      <w:r>
        <w:rPr>
          <w:rFonts w:hint="eastAsia" w:asciiTheme="minorEastAsia" w:hAnsiTheme="minorEastAsia" w:eastAsiaTheme="minorEastAsia"/>
          <w:sz w:val="21"/>
          <w:szCs w:val="21"/>
          <w:lang w:eastAsia="zh-CN"/>
        </w:rPr>
        <w:t>：</w:t>
      </w:r>
      <w:r>
        <w:rPr>
          <w:rFonts w:hint="eastAsia" w:asciiTheme="minorEastAsia" w:hAnsiTheme="minorEastAsia" w:eastAsiaTheme="minorEastAsia"/>
          <w:sz w:val="21"/>
          <w:szCs w:val="21"/>
          <w:lang w:val="en-US" w:eastAsia="zh-CN"/>
        </w:rPr>
        <w:t>葛老师</w:t>
      </w:r>
    </w:p>
    <w:p w14:paraId="0A6525DD">
      <w:pPr>
        <w:spacing w:line="360" w:lineRule="auto"/>
        <w:ind w:firstLine="420" w:firstLineChars="200"/>
        <w:rPr>
          <w:rFonts w:hint="eastAsia" w:asciiTheme="minorEastAsia" w:hAnsiTheme="minorEastAsia" w:eastAsiaTheme="minorEastAsia"/>
          <w:sz w:val="21"/>
          <w:szCs w:val="21"/>
        </w:rPr>
      </w:pPr>
      <w:r>
        <w:rPr>
          <w:rFonts w:hint="eastAsia" w:asciiTheme="minorEastAsia" w:hAnsiTheme="minorEastAsia" w:eastAsiaTheme="minorEastAsia"/>
          <w:sz w:val="21"/>
          <w:szCs w:val="21"/>
        </w:rPr>
        <w:t>项目联系方式：</w:t>
      </w:r>
      <w:r>
        <w:rPr>
          <w:rFonts w:hint="eastAsia" w:asciiTheme="minorEastAsia" w:hAnsiTheme="minorEastAsia" w:eastAsiaTheme="minorEastAsia"/>
          <w:sz w:val="21"/>
          <w:szCs w:val="21"/>
          <w:lang w:val="en-US" w:eastAsia="zh-CN"/>
        </w:rPr>
        <w:t>13780062829</w:t>
      </w:r>
    </w:p>
    <w:p w14:paraId="40BED86C">
      <w:pPr>
        <w:spacing w:line="360" w:lineRule="auto"/>
        <w:ind w:firstLine="420" w:firstLineChars="200"/>
        <w:rPr>
          <w:rFonts w:hint="eastAsia" w:asciiTheme="minorEastAsia" w:hAnsiTheme="minorEastAsia" w:eastAsiaTheme="minorEastAsia"/>
          <w:sz w:val="21"/>
          <w:szCs w:val="21"/>
        </w:rPr>
      </w:pPr>
    </w:p>
    <w:p w14:paraId="49117532">
      <w:pPr>
        <w:spacing w:line="360" w:lineRule="auto"/>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2.采购代理机构信息</w:t>
      </w:r>
    </w:p>
    <w:p w14:paraId="0BA8FFAB">
      <w:pPr>
        <w:spacing w:line="360" w:lineRule="auto"/>
        <w:ind w:firstLine="420" w:firstLineChars="200"/>
        <w:rPr>
          <w:rFonts w:hint="eastAsia" w:asciiTheme="minorEastAsia" w:hAnsiTheme="minorEastAsia" w:eastAsiaTheme="minorEastAsia"/>
          <w:sz w:val="21"/>
          <w:szCs w:val="21"/>
          <w:lang w:eastAsia="zh-CN"/>
        </w:rPr>
      </w:pPr>
      <w:r>
        <w:rPr>
          <w:rFonts w:hint="eastAsia" w:asciiTheme="minorEastAsia" w:hAnsiTheme="minorEastAsia" w:eastAsiaTheme="minorEastAsia"/>
          <w:sz w:val="21"/>
          <w:szCs w:val="21"/>
        </w:rPr>
        <w:t>名称：</w:t>
      </w:r>
      <w:r>
        <w:rPr>
          <w:rFonts w:hint="eastAsia" w:asciiTheme="minorEastAsia" w:hAnsiTheme="minorEastAsia" w:eastAsiaTheme="minorEastAsia"/>
          <w:sz w:val="21"/>
          <w:szCs w:val="21"/>
          <w:lang w:eastAsia="zh-CN"/>
        </w:rPr>
        <w:t>宁波和丰建设项目管理有限公司</w:t>
      </w:r>
    </w:p>
    <w:p w14:paraId="5A06B0B0">
      <w:pPr>
        <w:spacing w:line="360" w:lineRule="auto"/>
        <w:ind w:firstLine="420" w:firstLineChars="200"/>
        <w:rPr>
          <w:rFonts w:hint="eastAsia" w:asciiTheme="minorEastAsia" w:hAnsiTheme="minorEastAsia" w:eastAsiaTheme="minorEastAsia"/>
          <w:sz w:val="21"/>
          <w:szCs w:val="21"/>
          <w:lang w:val="en-US" w:eastAsia="zh-CN"/>
        </w:rPr>
      </w:pPr>
      <w:r>
        <w:rPr>
          <w:rFonts w:hint="eastAsia" w:asciiTheme="minorEastAsia" w:hAnsiTheme="minorEastAsia" w:eastAsiaTheme="minorEastAsia"/>
          <w:sz w:val="21"/>
          <w:szCs w:val="21"/>
        </w:rPr>
        <w:t>地址：</w:t>
      </w:r>
      <w:r>
        <w:rPr>
          <w:rFonts w:hint="eastAsia" w:asciiTheme="minorEastAsia" w:hAnsiTheme="minorEastAsia" w:eastAsiaTheme="minorEastAsia"/>
          <w:sz w:val="21"/>
          <w:szCs w:val="21"/>
          <w:lang w:eastAsia="zh-CN"/>
        </w:rPr>
        <w:t>宁海县桃源街道明湖银座2幢1号2102室</w:t>
      </w:r>
    </w:p>
    <w:p w14:paraId="1FDEB02D">
      <w:pPr>
        <w:spacing w:line="360" w:lineRule="auto"/>
        <w:ind w:firstLine="420" w:firstLineChars="200"/>
        <w:rPr>
          <w:rFonts w:hint="eastAsia" w:asciiTheme="minorEastAsia" w:hAnsiTheme="minorEastAsia" w:eastAsiaTheme="minorEastAsia"/>
          <w:sz w:val="21"/>
          <w:szCs w:val="21"/>
          <w:lang w:eastAsia="zh-CN"/>
        </w:rPr>
      </w:pPr>
      <w:r>
        <w:rPr>
          <w:rFonts w:hint="eastAsia" w:asciiTheme="minorEastAsia" w:hAnsiTheme="minorEastAsia" w:eastAsiaTheme="minorEastAsia"/>
          <w:sz w:val="21"/>
          <w:szCs w:val="21"/>
        </w:rPr>
        <w:t>项目联系人：</w:t>
      </w:r>
      <w:r>
        <w:rPr>
          <w:rFonts w:hint="eastAsia" w:asciiTheme="minorEastAsia" w:hAnsiTheme="minorEastAsia" w:eastAsiaTheme="minorEastAsia"/>
          <w:sz w:val="21"/>
          <w:szCs w:val="21"/>
          <w:lang w:eastAsia="zh-CN"/>
        </w:rPr>
        <w:t>张怡  葛南一</w:t>
      </w:r>
    </w:p>
    <w:p w14:paraId="1583B919">
      <w:pPr>
        <w:spacing w:line="360" w:lineRule="auto"/>
        <w:ind w:firstLine="420" w:firstLineChars="200"/>
        <w:rPr>
          <w:rFonts w:hint="eastAsia" w:asciiTheme="minorEastAsia" w:hAnsiTheme="minorEastAsia" w:eastAsiaTheme="minorEastAsia"/>
          <w:sz w:val="21"/>
          <w:szCs w:val="21"/>
          <w:lang w:val="en-US" w:eastAsia="zh-CN"/>
        </w:rPr>
      </w:pPr>
      <w:r>
        <w:rPr>
          <w:rFonts w:hint="eastAsia" w:asciiTheme="minorEastAsia" w:hAnsiTheme="minorEastAsia" w:eastAsiaTheme="minorEastAsia"/>
          <w:sz w:val="21"/>
          <w:szCs w:val="21"/>
        </w:rPr>
        <w:t>项目联系方式：</w:t>
      </w:r>
      <w:r>
        <w:rPr>
          <w:rFonts w:hint="eastAsia" w:asciiTheme="minorEastAsia" w:hAnsiTheme="minorEastAsia" w:eastAsiaTheme="minorEastAsia"/>
          <w:sz w:val="21"/>
          <w:szCs w:val="21"/>
          <w:lang w:eastAsia="zh-CN"/>
        </w:rPr>
        <w:t>0574-83555038</w:t>
      </w:r>
    </w:p>
    <w:p w14:paraId="58181308">
      <w:pPr>
        <w:spacing w:line="360" w:lineRule="auto"/>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3.同级政府采购监督管理部门</w:t>
      </w:r>
    </w:p>
    <w:p w14:paraId="5D660B4E">
      <w:pPr>
        <w:spacing w:line="360" w:lineRule="auto"/>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名    称：宁海县政府采购管理办公室</w:t>
      </w:r>
    </w:p>
    <w:p w14:paraId="63EFFAC4">
      <w:pPr>
        <w:spacing w:line="360" w:lineRule="auto"/>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地    址：宁海县跃龙街道桃源中路218号</w:t>
      </w:r>
    </w:p>
    <w:p w14:paraId="61F175C3">
      <w:pPr>
        <w:spacing w:line="360" w:lineRule="auto"/>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联系人：王老师</w:t>
      </w:r>
    </w:p>
    <w:p w14:paraId="4BC8CECC">
      <w:pPr>
        <w:spacing w:line="360" w:lineRule="auto"/>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投诉电话：0574-65265668</w:t>
      </w:r>
    </w:p>
    <w:p w14:paraId="705E7800">
      <w:pPr>
        <w:spacing w:line="360" w:lineRule="auto"/>
        <w:ind w:firstLine="420" w:firstLineChars="200"/>
        <w:rPr>
          <w:rFonts w:hint="eastAsia" w:asciiTheme="minorEastAsia" w:hAnsiTheme="minorEastAsia" w:eastAsiaTheme="minorEastAsia"/>
          <w:sz w:val="21"/>
          <w:szCs w:val="21"/>
        </w:rPr>
      </w:pPr>
    </w:p>
    <w:p w14:paraId="181AAD74">
      <w:pPr>
        <w:spacing w:line="360" w:lineRule="auto"/>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若对项目采购电子交易系统操作有疑问，可登录政采云（</w:t>
      </w:r>
      <w:r>
        <w:rPr>
          <w:rFonts w:asciiTheme="minorEastAsia" w:hAnsiTheme="minorEastAsia" w:eastAsiaTheme="minorEastAsia"/>
          <w:sz w:val="21"/>
          <w:szCs w:val="21"/>
        </w:rPr>
        <w:t>https://www.zcygov.cn/），点击右侧咨询小采，获取采小蜜智能服务管家帮助，或拨打政</w:t>
      </w:r>
      <w:r>
        <w:rPr>
          <w:rFonts w:hint="eastAsia" w:asciiTheme="minorEastAsia" w:hAnsiTheme="minorEastAsia" w:eastAsiaTheme="minorEastAsia"/>
          <w:sz w:val="21"/>
          <w:szCs w:val="21"/>
        </w:rPr>
        <w:t>采云服务热线“95763”</w:t>
      </w:r>
      <w:r>
        <w:rPr>
          <w:rFonts w:asciiTheme="minorEastAsia" w:hAnsiTheme="minorEastAsia" w:eastAsiaTheme="minorEastAsia"/>
          <w:sz w:val="21"/>
          <w:szCs w:val="21"/>
        </w:rPr>
        <w:t>获取热线服务帮助。</w:t>
      </w:r>
    </w:p>
    <w:p w14:paraId="0958A28B">
      <w:pPr>
        <w:spacing w:line="360" w:lineRule="auto"/>
        <w:ind w:firstLine="420" w:firstLineChars="200"/>
        <w:rPr>
          <w:rFonts w:cs="仿宋_GB2312" w:asciiTheme="minorEastAsia" w:hAnsiTheme="minorEastAsia" w:eastAsiaTheme="minorEastAsia"/>
          <w:b/>
          <w:sz w:val="21"/>
          <w:szCs w:val="21"/>
        </w:rPr>
      </w:pPr>
      <w:r>
        <w:rPr>
          <w:rFonts w:asciiTheme="minorEastAsia" w:hAnsiTheme="minorEastAsia" w:eastAsiaTheme="minorEastAsia"/>
          <w:sz w:val="21"/>
          <w:szCs w:val="21"/>
        </w:rPr>
        <w:t>CA问题联系电话（人工）：</w:t>
      </w:r>
      <w:r>
        <w:rPr>
          <w:rFonts w:hint="eastAsia" w:asciiTheme="minorEastAsia" w:hAnsiTheme="minorEastAsia" w:eastAsiaTheme="minorEastAsia"/>
          <w:sz w:val="21"/>
          <w:szCs w:val="21"/>
        </w:rPr>
        <w:t>汇信</w:t>
      </w:r>
      <w:r>
        <w:rPr>
          <w:rFonts w:asciiTheme="minorEastAsia" w:hAnsiTheme="minorEastAsia" w:eastAsiaTheme="minorEastAsia"/>
          <w:sz w:val="21"/>
          <w:szCs w:val="21"/>
        </w:rPr>
        <w:t>CA 400-888-4636；天谷CA 400-087-8198。</w:t>
      </w:r>
      <w:bookmarkStart w:id="40" w:name="_Toc2540"/>
    </w:p>
    <w:p w14:paraId="06C61C40">
      <w:pPr>
        <w:adjustRightInd/>
        <w:spacing w:line="360" w:lineRule="auto"/>
        <w:jc w:val="center"/>
        <w:outlineLvl w:val="0"/>
        <w:rPr>
          <w:rFonts w:ascii="仿宋" w:hAnsi="仿宋" w:eastAsia="仿宋" w:cs="仿宋"/>
          <w:b/>
          <w:sz w:val="21"/>
          <w:szCs w:val="21"/>
        </w:rPr>
      </w:pPr>
    </w:p>
    <w:p w14:paraId="6B3276A1">
      <w:pPr>
        <w:adjustRightInd/>
        <w:spacing w:line="360" w:lineRule="auto"/>
        <w:jc w:val="center"/>
        <w:outlineLvl w:val="0"/>
        <w:rPr>
          <w:rFonts w:ascii="仿宋" w:hAnsi="仿宋" w:eastAsia="仿宋" w:cs="仿宋"/>
          <w:b/>
          <w:sz w:val="21"/>
          <w:szCs w:val="21"/>
        </w:rPr>
      </w:pPr>
    </w:p>
    <w:p w14:paraId="67329AA0">
      <w:pPr>
        <w:adjustRightInd/>
        <w:spacing w:line="360" w:lineRule="auto"/>
        <w:jc w:val="center"/>
        <w:outlineLvl w:val="0"/>
        <w:rPr>
          <w:rFonts w:ascii="仿宋" w:hAnsi="仿宋" w:eastAsia="仿宋" w:cs="仿宋"/>
          <w:b/>
          <w:sz w:val="36"/>
          <w:szCs w:val="20"/>
        </w:rPr>
      </w:pPr>
    </w:p>
    <w:p w14:paraId="3ED5AC8E">
      <w:pPr>
        <w:adjustRightInd/>
        <w:spacing w:line="360" w:lineRule="auto"/>
        <w:jc w:val="center"/>
        <w:outlineLvl w:val="0"/>
        <w:rPr>
          <w:rFonts w:ascii="仿宋" w:hAnsi="仿宋" w:eastAsia="仿宋" w:cs="仿宋"/>
          <w:b/>
          <w:sz w:val="36"/>
          <w:szCs w:val="20"/>
        </w:rPr>
      </w:pPr>
    </w:p>
    <w:p w14:paraId="42054C94">
      <w:pPr>
        <w:adjustRightInd/>
        <w:spacing w:line="360" w:lineRule="auto"/>
        <w:jc w:val="center"/>
        <w:outlineLvl w:val="0"/>
        <w:rPr>
          <w:rFonts w:ascii="仿宋" w:hAnsi="仿宋" w:eastAsia="仿宋" w:cs="仿宋"/>
          <w:b/>
          <w:sz w:val="36"/>
          <w:szCs w:val="20"/>
        </w:rPr>
      </w:pPr>
    </w:p>
    <w:p w14:paraId="1D877938">
      <w:pPr>
        <w:adjustRightInd/>
        <w:spacing w:line="360" w:lineRule="auto"/>
        <w:jc w:val="center"/>
        <w:outlineLvl w:val="0"/>
        <w:rPr>
          <w:rFonts w:ascii="仿宋" w:hAnsi="仿宋" w:eastAsia="仿宋" w:cs="仿宋"/>
          <w:b/>
          <w:sz w:val="36"/>
          <w:szCs w:val="20"/>
        </w:rPr>
      </w:pPr>
    </w:p>
    <w:p w14:paraId="537059C3">
      <w:pPr>
        <w:adjustRightInd/>
        <w:spacing w:line="360" w:lineRule="auto"/>
        <w:jc w:val="center"/>
        <w:outlineLvl w:val="0"/>
        <w:rPr>
          <w:rFonts w:ascii="仿宋" w:hAnsi="仿宋" w:eastAsia="仿宋" w:cs="仿宋"/>
          <w:b/>
          <w:sz w:val="36"/>
          <w:szCs w:val="20"/>
        </w:rPr>
      </w:pPr>
    </w:p>
    <w:p w14:paraId="1F1A0DA6">
      <w:pPr>
        <w:adjustRightInd/>
        <w:spacing w:line="360" w:lineRule="auto"/>
        <w:jc w:val="center"/>
        <w:outlineLvl w:val="0"/>
        <w:rPr>
          <w:rFonts w:ascii="仿宋" w:hAnsi="仿宋" w:eastAsia="仿宋" w:cs="仿宋"/>
          <w:b/>
          <w:sz w:val="36"/>
          <w:szCs w:val="20"/>
        </w:rPr>
      </w:pPr>
    </w:p>
    <w:p w14:paraId="0E81557F">
      <w:pPr>
        <w:adjustRightInd/>
        <w:spacing w:line="360" w:lineRule="auto"/>
        <w:jc w:val="center"/>
        <w:outlineLvl w:val="0"/>
        <w:rPr>
          <w:rFonts w:ascii="仿宋" w:hAnsi="仿宋" w:eastAsia="仿宋" w:cs="仿宋"/>
          <w:b/>
          <w:sz w:val="36"/>
          <w:szCs w:val="20"/>
        </w:rPr>
      </w:pPr>
    </w:p>
    <w:p w14:paraId="0039DC50">
      <w:pPr>
        <w:adjustRightInd/>
        <w:spacing w:line="360" w:lineRule="auto"/>
        <w:jc w:val="center"/>
        <w:outlineLvl w:val="0"/>
        <w:rPr>
          <w:rFonts w:ascii="仿宋" w:hAnsi="仿宋" w:eastAsia="仿宋" w:cs="仿宋"/>
          <w:b/>
          <w:sz w:val="36"/>
          <w:szCs w:val="20"/>
        </w:rPr>
      </w:pPr>
    </w:p>
    <w:p w14:paraId="06CFD99C">
      <w:pPr>
        <w:adjustRightInd/>
        <w:spacing w:line="360" w:lineRule="auto"/>
        <w:jc w:val="center"/>
        <w:outlineLvl w:val="0"/>
        <w:rPr>
          <w:rFonts w:ascii="仿宋" w:hAnsi="仿宋" w:eastAsia="仿宋" w:cs="仿宋"/>
          <w:b/>
          <w:sz w:val="36"/>
          <w:szCs w:val="20"/>
        </w:rPr>
      </w:pPr>
    </w:p>
    <w:p w14:paraId="4850B4E5">
      <w:pPr>
        <w:adjustRightInd/>
        <w:spacing w:line="360" w:lineRule="auto"/>
        <w:jc w:val="both"/>
        <w:outlineLvl w:val="0"/>
        <w:rPr>
          <w:rFonts w:hint="eastAsia" w:ascii="仿宋" w:hAnsi="仿宋" w:eastAsia="仿宋" w:cs="仿宋"/>
          <w:b/>
          <w:sz w:val="36"/>
          <w:szCs w:val="20"/>
        </w:rPr>
      </w:pPr>
    </w:p>
    <w:p w14:paraId="3B8F80BB">
      <w:pPr>
        <w:pStyle w:val="71"/>
        <w:rPr>
          <w:rFonts w:hint="eastAsia"/>
        </w:rPr>
      </w:pPr>
    </w:p>
    <w:p w14:paraId="2B701018">
      <w:pPr>
        <w:pStyle w:val="41"/>
        <w:tabs>
          <w:tab w:val="right" w:leader="dot" w:pos="9180"/>
        </w:tabs>
        <w:spacing w:before="120" w:beforeLines="50" w:line="600" w:lineRule="exact"/>
        <w:ind w:right="-420" w:rightChars="-200"/>
        <w:jc w:val="center"/>
        <w:outlineLvl w:val="0"/>
        <w:rPr>
          <w:rFonts w:hint="eastAsia"/>
          <w:b/>
          <w:color w:val="000000"/>
          <w:sz w:val="36"/>
          <w:szCs w:val="36"/>
          <w:highlight w:val="none"/>
        </w:rPr>
      </w:pPr>
      <w:bookmarkStart w:id="41" w:name="_Toc31399"/>
      <w:bookmarkStart w:id="42" w:name="_Toc462908588"/>
      <w:bookmarkStart w:id="43" w:name="OLE_LINK1"/>
      <w:bookmarkStart w:id="44" w:name="OLE_LINK3"/>
      <w:r>
        <w:rPr>
          <w:rFonts w:hint="eastAsia"/>
          <w:b/>
          <w:color w:val="000000"/>
          <w:sz w:val="36"/>
          <w:szCs w:val="36"/>
          <w:highlight w:val="none"/>
        </w:rPr>
        <w:t>第</w:t>
      </w:r>
      <w:r>
        <w:rPr>
          <w:rFonts w:hint="eastAsia"/>
          <w:b/>
          <w:color w:val="000000"/>
          <w:sz w:val="36"/>
          <w:szCs w:val="36"/>
          <w:highlight w:val="none"/>
          <w:lang w:val="en-US" w:eastAsia="zh-CN"/>
        </w:rPr>
        <w:t>二</w:t>
      </w:r>
      <w:r>
        <w:rPr>
          <w:rFonts w:hint="eastAsia"/>
          <w:b/>
          <w:color w:val="000000"/>
          <w:sz w:val="36"/>
          <w:szCs w:val="36"/>
          <w:highlight w:val="none"/>
        </w:rPr>
        <w:t>部分 项目需求</w:t>
      </w:r>
      <w:bookmarkEnd w:id="41"/>
      <w:r>
        <w:rPr>
          <w:rFonts w:hint="eastAsia"/>
          <w:b/>
          <w:color w:val="000000"/>
          <w:sz w:val="36"/>
          <w:szCs w:val="36"/>
          <w:highlight w:val="none"/>
        </w:rPr>
        <w:t xml:space="preserve"> </w:t>
      </w:r>
      <w:bookmarkEnd w:id="42"/>
    </w:p>
    <w:p w14:paraId="0B9A2107">
      <w:pPr>
        <w:rPr>
          <w:rFonts w:hint="eastAsia"/>
          <w:color w:val="000000"/>
          <w:highlight w:val="none"/>
        </w:rPr>
      </w:pPr>
    </w:p>
    <w:bookmarkEnd w:id="43"/>
    <w:bookmarkEnd w:id="44"/>
    <w:p w14:paraId="77ED8AC1">
      <w:pPr>
        <w:spacing w:line="240" w:lineRule="exact"/>
        <w:jc w:val="center"/>
        <w:rPr>
          <w:rFonts w:hint="eastAsia" w:ascii="宋体" w:hAnsi="宋体" w:cs="宋体"/>
          <w:color w:val="000000"/>
          <w:sz w:val="44"/>
          <w:highlight w:val="none"/>
        </w:rPr>
      </w:pPr>
    </w:p>
    <w:p w14:paraId="41C12E52">
      <w:pPr>
        <w:spacing w:before="120" w:beforeLines="50" w:after="120" w:afterLines="50" w:line="400" w:lineRule="exact"/>
        <w:ind w:firstLine="211" w:firstLineChars="100"/>
        <w:rPr>
          <w:rFonts w:hint="eastAsia" w:ascii="宋体" w:hAnsi="宋体" w:cs="宋体"/>
          <w:b/>
          <w:bCs/>
          <w:color w:val="000000"/>
          <w:sz w:val="21"/>
          <w:szCs w:val="21"/>
          <w:highlight w:val="none"/>
        </w:rPr>
      </w:pPr>
      <w:r>
        <w:rPr>
          <w:rFonts w:hint="eastAsia" w:ascii="宋体" w:hAnsi="宋体" w:cs="宋体"/>
          <w:b/>
          <w:bCs/>
          <w:color w:val="000000"/>
          <w:sz w:val="21"/>
          <w:szCs w:val="21"/>
          <w:highlight w:val="none"/>
        </w:rPr>
        <w:t>一、技术条款要求</w:t>
      </w:r>
    </w:p>
    <w:p w14:paraId="6CD5EB33">
      <w:pPr>
        <w:adjustRightInd w:val="0"/>
        <w:snapToGrid w:val="0"/>
        <w:spacing w:line="360" w:lineRule="auto"/>
        <w:ind w:right="73" w:rightChars="35" w:firstLine="420"/>
        <w:rPr>
          <w:rFonts w:hint="default" w:ascii="宋体" w:hAnsi="宋体" w:cs="宋体"/>
          <w:color w:val="auto"/>
          <w:kern w:val="0"/>
          <w:sz w:val="21"/>
          <w:szCs w:val="21"/>
          <w:lang w:val="en-US"/>
        </w:rPr>
      </w:pPr>
      <w:r>
        <w:rPr>
          <w:rFonts w:hint="eastAsia" w:ascii="宋体" w:hAnsi="宋体" w:cs="宋体"/>
          <w:kern w:val="0"/>
          <w:sz w:val="21"/>
          <w:szCs w:val="21"/>
        </w:rPr>
        <w:t xml:space="preserve">  </w:t>
      </w:r>
      <w:r>
        <w:rPr>
          <w:rFonts w:hint="eastAsia" w:ascii="宋体" w:hAnsi="宋体"/>
          <w:sz w:val="21"/>
          <w:szCs w:val="21"/>
        </w:rPr>
        <w:t>该工程由</w:t>
      </w:r>
      <w:r>
        <w:rPr>
          <w:rFonts w:hint="eastAsia"/>
          <w:color w:val="000000"/>
          <w:sz w:val="21"/>
          <w:szCs w:val="21"/>
          <w:lang w:val="en-US" w:eastAsia="zh-CN"/>
        </w:rPr>
        <w:t>宁海县一市镇中心学校</w:t>
      </w:r>
      <w:r>
        <w:rPr>
          <w:rFonts w:hint="eastAsia" w:ascii="宋体" w:hAnsi="宋体"/>
          <w:sz w:val="21"/>
          <w:szCs w:val="21"/>
        </w:rPr>
        <w:t>负</w:t>
      </w:r>
      <w:r>
        <w:rPr>
          <w:rFonts w:hint="eastAsia" w:ascii="宋体" w:hAnsi="宋体"/>
          <w:sz w:val="21"/>
          <w:szCs w:val="21"/>
          <w:highlight w:val="none"/>
        </w:rPr>
        <w:t>责建设，</w:t>
      </w:r>
      <w:r>
        <w:rPr>
          <w:rFonts w:hint="eastAsia" w:ascii="宋体" w:hAnsi="宋体"/>
          <w:spacing w:val="4"/>
          <w:sz w:val="21"/>
          <w:szCs w:val="21"/>
          <w:highlight w:val="none"/>
        </w:rPr>
        <w:t>由</w:t>
      </w:r>
      <w:r>
        <w:rPr>
          <w:rFonts w:hint="eastAsia" w:ascii="宋体" w:hAnsi="宋体"/>
          <w:spacing w:val="4"/>
          <w:sz w:val="21"/>
          <w:szCs w:val="21"/>
          <w:highlight w:val="none"/>
          <w:lang w:val="en-US" w:eastAsia="zh-CN"/>
        </w:rPr>
        <w:t>铭扬工程设计集团有限公司</w:t>
      </w:r>
      <w:r>
        <w:rPr>
          <w:rFonts w:hint="eastAsia" w:ascii="宋体" w:hAnsi="宋体"/>
          <w:spacing w:val="4"/>
          <w:sz w:val="21"/>
          <w:szCs w:val="21"/>
          <w:highlight w:val="none"/>
        </w:rPr>
        <w:t>负责</w:t>
      </w:r>
      <w:r>
        <w:rPr>
          <w:rFonts w:hint="eastAsia" w:ascii="宋体" w:hAnsi="宋体"/>
          <w:spacing w:val="4"/>
          <w:sz w:val="21"/>
          <w:szCs w:val="21"/>
          <w:highlight w:val="none"/>
          <w:lang w:eastAsia="zh-CN"/>
        </w:rPr>
        <w:t>施工图</w:t>
      </w:r>
      <w:r>
        <w:rPr>
          <w:rFonts w:hint="eastAsia" w:ascii="宋体" w:hAnsi="宋体"/>
          <w:spacing w:val="4"/>
          <w:sz w:val="21"/>
          <w:szCs w:val="21"/>
          <w:highlight w:val="none"/>
        </w:rPr>
        <w:t>设计。</w:t>
      </w:r>
      <w:r>
        <w:rPr>
          <w:rFonts w:hint="eastAsia" w:ascii="宋体" w:hAnsi="宋体"/>
          <w:sz w:val="21"/>
          <w:szCs w:val="21"/>
          <w:highlight w:val="none"/>
        </w:rPr>
        <w:t>工程建</w:t>
      </w:r>
      <w:r>
        <w:rPr>
          <w:rFonts w:hint="eastAsia" w:ascii="宋体" w:hAnsi="宋体" w:eastAsia="宋体" w:cs="Times New Roman"/>
          <w:color w:val="auto"/>
          <w:sz w:val="21"/>
          <w:szCs w:val="21"/>
          <w:highlight w:val="none"/>
          <w:lang w:val="en-US" w:eastAsia="zh-CN"/>
        </w:rPr>
        <w:t>设地点</w:t>
      </w:r>
      <w:r>
        <w:rPr>
          <w:rFonts w:hint="eastAsia"/>
          <w:color w:val="000000"/>
          <w:sz w:val="21"/>
          <w:szCs w:val="21"/>
          <w:highlight w:val="none"/>
          <w:lang w:val="en-US" w:eastAsia="zh-CN"/>
        </w:rPr>
        <w:t>宁海县一市镇中心学校</w:t>
      </w:r>
      <w:r>
        <w:rPr>
          <w:rFonts w:hint="eastAsia" w:ascii="宋体" w:hAnsi="宋体" w:eastAsia="宋体" w:cs="Times New Roman"/>
          <w:color w:val="auto"/>
          <w:sz w:val="21"/>
          <w:szCs w:val="21"/>
          <w:highlight w:val="none"/>
          <w:lang w:val="en-US" w:eastAsia="zh-CN"/>
        </w:rPr>
        <w:t>。</w:t>
      </w:r>
      <w:r>
        <w:rPr>
          <w:rFonts w:hint="eastAsia" w:ascii="宋体" w:hAnsi="宋体" w:cs="Times New Roman"/>
          <w:color w:val="auto"/>
          <w:sz w:val="21"/>
          <w:szCs w:val="21"/>
          <w:highlight w:val="none"/>
          <w:lang w:val="en-US" w:eastAsia="zh-CN"/>
        </w:rPr>
        <w:t>拆除原有塑胶地面、重新铺设13mm厚透气型塑胶面层2706.76平方米、8-10mm厚EPDM塑胶面层1198.39平方米、更换排水沟盖板、清理排水沟等。</w:t>
      </w:r>
    </w:p>
    <w:p w14:paraId="634752E9">
      <w:pPr>
        <w:widowControl/>
        <w:adjustRightInd w:val="0"/>
        <w:snapToGrid w:val="0"/>
        <w:spacing w:line="360" w:lineRule="auto"/>
        <w:ind w:firstLine="420" w:firstLineChars="200"/>
        <w:jc w:val="left"/>
        <w:rPr>
          <w:rFonts w:hint="eastAsia" w:ascii="宋体" w:hAnsi="宋体" w:cs="宋体"/>
          <w:kern w:val="0"/>
          <w:sz w:val="21"/>
          <w:szCs w:val="21"/>
          <w:highlight w:val="none"/>
        </w:rPr>
      </w:pPr>
      <w:r>
        <w:rPr>
          <w:rFonts w:hint="eastAsia" w:ascii="宋体" w:hAnsi="宋体" w:cs="宋体"/>
          <w:kern w:val="0"/>
          <w:sz w:val="21"/>
          <w:szCs w:val="21"/>
          <w:highlight w:val="none"/>
        </w:rPr>
        <w:t>二、工程</w:t>
      </w:r>
      <w:bookmarkStart w:id="45" w:name="OLE_LINK17"/>
      <w:r>
        <w:rPr>
          <w:rFonts w:hint="eastAsia" w:ascii="宋体" w:hAnsi="宋体" w:cs="宋体"/>
          <w:kern w:val="0"/>
          <w:sz w:val="21"/>
          <w:szCs w:val="21"/>
          <w:highlight w:val="none"/>
        </w:rPr>
        <w:t>招标控制价</w:t>
      </w:r>
      <w:bookmarkEnd w:id="45"/>
      <w:r>
        <w:rPr>
          <w:rFonts w:hint="eastAsia" w:ascii="宋体" w:hAnsi="宋体" w:cs="宋体"/>
          <w:sz w:val="21"/>
          <w:szCs w:val="21"/>
          <w:highlight w:val="none"/>
        </w:rPr>
        <w:t>编制情况</w:t>
      </w:r>
    </w:p>
    <w:p w14:paraId="1223B84A">
      <w:pPr>
        <w:adjustRightInd w:val="0"/>
        <w:snapToGrid w:val="0"/>
        <w:spacing w:line="360" w:lineRule="auto"/>
        <w:ind w:firstLine="420" w:firstLineChars="200"/>
        <w:rPr>
          <w:rFonts w:hint="eastAsia" w:ascii="宋体" w:hAnsi="宋体"/>
          <w:sz w:val="21"/>
          <w:szCs w:val="21"/>
        </w:rPr>
      </w:pPr>
      <w:r>
        <w:rPr>
          <w:rFonts w:hint="eastAsia" w:ascii="宋体" w:hAnsi="宋体"/>
          <w:sz w:val="21"/>
          <w:szCs w:val="21"/>
          <w:lang w:eastAsia="zh-CN"/>
        </w:rPr>
        <w:t>本工程</w:t>
      </w:r>
      <w:r>
        <w:rPr>
          <w:rFonts w:hint="eastAsia" w:ascii="宋体" w:hAnsi="宋体" w:cs="宋体"/>
          <w:kern w:val="0"/>
          <w:sz w:val="21"/>
          <w:szCs w:val="21"/>
        </w:rPr>
        <w:t>招标控制价编制范围：</w:t>
      </w:r>
      <w:r>
        <w:rPr>
          <w:rFonts w:hint="eastAsia" w:ascii="宋体" w:hAnsi="宋体" w:cs="宋体"/>
          <w:kern w:val="0"/>
          <w:sz w:val="21"/>
          <w:szCs w:val="21"/>
          <w:lang w:val="en-US" w:eastAsia="zh-CN"/>
        </w:rPr>
        <w:t>包含施工图范围内塑胶地面、更换排水沟盖板、清理排水沟等。(具体详见工程量清单)。</w:t>
      </w:r>
    </w:p>
    <w:p w14:paraId="67E917F0">
      <w:pPr>
        <w:widowControl/>
        <w:adjustRightInd w:val="0"/>
        <w:snapToGrid w:val="0"/>
        <w:spacing w:line="360" w:lineRule="auto"/>
        <w:jc w:val="left"/>
        <w:rPr>
          <w:rFonts w:hint="eastAsia" w:ascii="宋体" w:hAnsi="宋体" w:cs="宋体"/>
          <w:kern w:val="0"/>
          <w:sz w:val="21"/>
          <w:szCs w:val="21"/>
        </w:rPr>
      </w:pPr>
      <w:r>
        <w:rPr>
          <w:rFonts w:hint="eastAsia" w:ascii="宋体" w:hAnsi="宋体" w:cs="宋体"/>
          <w:kern w:val="0"/>
          <w:sz w:val="21"/>
          <w:szCs w:val="21"/>
        </w:rPr>
        <w:t xml:space="preserve">     三、本单位和注册造价工程师声明</w:t>
      </w:r>
    </w:p>
    <w:p w14:paraId="3387AF4B">
      <w:pPr>
        <w:widowControl/>
        <w:adjustRightInd w:val="0"/>
        <w:snapToGrid w:val="0"/>
        <w:spacing w:line="360" w:lineRule="auto"/>
        <w:jc w:val="left"/>
        <w:rPr>
          <w:rFonts w:hint="eastAsia" w:ascii="宋体" w:hAnsi="宋体" w:cs="宋体"/>
          <w:kern w:val="0"/>
          <w:sz w:val="21"/>
          <w:szCs w:val="21"/>
        </w:rPr>
      </w:pPr>
      <w:r>
        <w:rPr>
          <w:rFonts w:hint="eastAsia" w:ascii="宋体" w:hAnsi="宋体" w:cs="宋体"/>
          <w:kern w:val="0"/>
          <w:sz w:val="21"/>
          <w:szCs w:val="21"/>
        </w:rPr>
        <w:t xml:space="preserve">    1、委托人对提供我们的资料的真实性、可靠性、合法性、充分性负责，其他各有关资料提供单位也应对其各自所提供资料的真实性、可靠性、合法性负责。我们的责任是依据所提供的资料，独立、客观、公正的</w:t>
      </w:r>
      <w:r>
        <w:rPr>
          <w:rFonts w:hint="eastAsia" w:ascii="宋体" w:hAnsi="宋体" w:cs="宋体"/>
          <w:sz w:val="21"/>
          <w:szCs w:val="21"/>
        </w:rPr>
        <w:t>编制招标控制价</w:t>
      </w:r>
      <w:r>
        <w:rPr>
          <w:rFonts w:hint="eastAsia" w:ascii="宋体" w:hAnsi="宋体" w:cs="宋体"/>
          <w:kern w:val="0"/>
          <w:sz w:val="21"/>
          <w:szCs w:val="21"/>
        </w:rPr>
        <w:t>。</w:t>
      </w:r>
    </w:p>
    <w:p w14:paraId="0177A07D">
      <w:pPr>
        <w:widowControl/>
        <w:numPr>
          <w:ilvl w:val="0"/>
          <w:numId w:val="7"/>
        </w:numPr>
        <w:adjustRightInd w:val="0"/>
        <w:snapToGrid w:val="0"/>
        <w:spacing w:line="360" w:lineRule="auto"/>
        <w:ind w:firstLine="420" w:firstLineChars="200"/>
        <w:jc w:val="left"/>
        <w:rPr>
          <w:rFonts w:hint="eastAsia" w:ascii="宋体" w:hAnsi="宋体" w:cs="宋体"/>
          <w:kern w:val="0"/>
          <w:sz w:val="21"/>
          <w:szCs w:val="21"/>
        </w:rPr>
      </w:pPr>
      <w:r>
        <w:rPr>
          <w:rFonts w:hint="eastAsia" w:ascii="宋体" w:hAnsi="宋体" w:cs="宋体"/>
          <w:kern w:val="0"/>
          <w:sz w:val="21"/>
          <w:szCs w:val="21"/>
        </w:rPr>
        <w:t>本工程招标控制价</w:t>
      </w:r>
      <w:r>
        <w:rPr>
          <w:rFonts w:hint="eastAsia" w:ascii="宋体" w:hAnsi="宋体" w:cs="宋体"/>
          <w:sz w:val="21"/>
          <w:szCs w:val="21"/>
        </w:rPr>
        <w:t>编制</w:t>
      </w:r>
      <w:r>
        <w:rPr>
          <w:rFonts w:hint="eastAsia" w:ascii="宋体" w:hAnsi="宋体" w:cs="宋体"/>
          <w:kern w:val="0"/>
          <w:sz w:val="21"/>
          <w:szCs w:val="21"/>
        </w:rPr>
        <w:t>结果为我们根据现有相关资料所作的结论，任何资料的变化和补充均可能影响</w:t>
      </w:r>
      <w:r>
        <w:rPr>
          <w:rFonts w:hint="eastAsia" w:ascii="宋体" w:hAnsi="宋体" w:cs="宋体"/>
          <w:sz w:val="21"/>
          <w:szCs w:val="21"/>
        </w:rPr>
        <w:t>编制</w:t>
      </w:r>
      <w:r>
        <w:rPr>
          <w:rFonts w:hint="eastAsia" w:ascii="宋体" w:hAnsi="宋体" w:cs="宋体"/>
          <w:kern w:val="0"/>
          <w:sz w:val="21"/>
          <w:szCs w:val="21"/>
        </w:rPr>
        <w:t>结果。</w:t>
      </w:r>
    </w:p>
    <w:p w14:paraId="145A5FA4">
      <w:pPr>
        <w:widowControl/>
        <w:numPr>
          <w:ilvl w:val="0"/>
          <w:numId w:val="0"/>
        </w:numPr>
        <w:adjustRightInd w:val="0"/>
        <w:snapToGrid w:val="0"/>
        <w:spacing w:line="360" w:lineRule="auto"/>
        <w:ind w:firstLine="422" w:firstLineChars="200"/>
        <w:jc w:val="left"/>
        <w:rPr>
          <w:rFonts w:hint="eastAsia" w:ascii="宋体" w:hAnsi="宋体" w:eastAsia="宋体" w:cs="宋体"/>
          <w:b/>
          <w:bCs/>
          <w:kern w:val="0"/>
          <w:sz w:val="21"/>
          <w:szCs w:val="21"/>
          <w:lang w:val="en-US" w:eastAsia="zh-CN"/>
        </w:rPr>
      </w:pPr>
      <w:r>
        <w:rPr>
          <w:rFonts w:hint="eastAsia" w:ascii="宋体" w:hAnsi="宋体" w:cs="宋体"/>
          <w:b/>
          <w:bCs/>
          <w:kern w:val="0"/>
          <w:sz w:val="21"/>
          <w:szCs w:val="21"/>
          <w:lang w:val="en-US" w:eastAsia="zh-CN"/>
        </w:rPr>
        <w:t>二</w:t>
      </w:r>
      <w:r>
        <w:rPr>
          <w:rFonts w:hint="eastAsia" w:ascii="宋体" w:hAnsi="宋体" w:eastAsia="宋体" w:cs="宋体"/>
          <w:b/>
          <w:bCs/>
          <w:kern w:val="0"/>
          <w:sz w:val="21"/>
          <w:szCs w:val="21"/>
          <w:lang w:val="en-US" w:eastAsia="zh-CN"/>
        </w:rPr>
        <w:t>、招标控制价编制依据</w:t>
      </w:r>
    </w:p>
    <w:p w14:paraId="7C86510E">
      <w:pPr>
        <w:widowControl/>
        <w:numPr>
          <w:ilvl w:val="0"/>
          <w:numId w:val="0"/>
        </w:numPr>
        <w:adjustRightInd w:val="0"/>
        <w:snapToGrid w:val="0"/>
        <w:spacing w:line="360" w:lineRule="auto"/>
        <w:ind w:firstLine="420" w:firstLineChars="200"/>
        <w:jc w:val="left"/>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1、委托单位提供的由铭扬工程设计集团有限公司</w:t>
      </w:r>
      <w:r>
        <w:rPr>
          <w:rFonts w:hint="eastAsia" w:ascii="宋体" w:hAnsi="宋体" w:eastAsia="宋体" w:cs="宋体"/>
          <w:kern w:val="0"/>
          <w:sz w:val="21"/>
          <w:szCs w:val="21"/>
        </w:rPr>
        <w:t>设计的</w:t>
      </w:r>
      <w:r>
        <w:rPr>
          <w:rFonts w:hint="eastAsia" w:ascii="宋体" w:hAnsi="宋体" w:eastAsia="宋体" w:cs="宋体"/>
          <w:kern w:val="0"/>
          <w:sz w:val="21"/>
          <w:szCs w:val="21"/>
          <w:lang w:val="en-US" w:eastAsia="zh-CN"/>
        </w:rPr>
        <w:t>宁海县一市镇中心学校塑胶跑道等维修工程</w:t>
      </w:r>
      <w:r>
        <w:rPr>
          <w:rFonts w:hint="eastAsia" w:ascii="宋体" w:hAnsi="宋体" w:eastAsia="宋体" w:cs="宋体"/>
          <w:kern w:val="0"/>
          <w:sz w:val="21"/>
          <w:szCs w:val="21"/>
        </w:rPr>
        <w:t>等各专业施工图；</w:t>
      </w:r>
    </w:p>
    <w:p w14:paraId="391A4F85">
      <w:pPr>
        <w:widowControl/>
        <w:numPr>
          <w:ilvl w:val="0"/>
          <w:numId w:val="0"/>
        </w:numPr>
        <w:adjustRightInd w:val="0"/>
        <w:snapToGrid w:val="0"/>
        <w:spacing w:line="360" w:lineRule="auto"/>
        <w:ind w:firstLine="420" w:firstLineChars="200"/>
        <w:jc w:val="lef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2、《建设工程工程量清单计价规范》（GB50500-2013）及相应的工程量计算规范；《建设工程工程量计算规范浙江省补充规定》（浙建站计﹝2013﹞63号； 《建设工程工程量计算规范浙江省补充规定(二）》（浙建站计﹝2014﹞31号）；《浙江省市政工程预算定额(2018版)》、《浙江省建设工程计价规则（2018版）》、《浙江省机械台班费用定额（2018版）》；《转发省住建厅、省发改委、省财政厅关于颁发浙江省建设工程计价依据（2018版）的通知》（甬发改投资﹝2018﹞601号）；建设单位提供的编制要求；宁波市及宁海县现行相关文件规定；《宁波建设工程造价信息》、《浙江造价信息》、《宁波市建设工程检测行业协会》；编制中有关问题处理请看后页预算编制说明。</w:t>
      </w:r>
    </w:p>
    <w:p w14:paraId="5410BDFF">
      <w:pPr>
        <w:widowControl/>
        <w:numPr>
          <w:ilvl w:val="0"/>
          <w:numId w:val="0"/>
        </w:numPr>
        <w:adjustRightInd w:val="0"/>
        <w:snapToGrid w:val="0"/>
        <w:spacing w:line="360" w:lineRule="auto"/>
        <w:ind w:firstLine="420" w:firstLineChars="200"/>
        <w:jc w:val="left"/>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3、</w:t>
      </w:r>
      <w:r>
        <w:rPr>
          <w:rFonts w:hint="eastAsia" w:ascii="宋体" w:hAnsi="宋体" w:eastAsia="宋体" w:cs="宋体"/>
          <w:kern w:val="0"/>
          <w:sz w:val="21"/>
          <w:szCs w:val="21"/>
        </w:rPr>
        <w:t>省、市造价文件及其他相关造价依据等。</w:t>
      </w:r>
    </w:p>
    <w:p w14:paraId="6959089C">
      <w:pPr>
        <w:widowControl/>
        <w:numPr>
          <w:ilvl w:val="0"/>
          <w:numId w:val="0"/>
        </w:numPr>
        <w:adjustRightInd w:val="0"/>
        <w:snapToGrid w:val="0"/>
        <w:spacing w:line="360" w:lineRule="auto"/>
        <w:ind w:firstLine="422" w:firstLineChars="200"/>
        <w:jc w:val="left"/>
        <w:rPr>
          <w:rFonts w:hint="eastAsia" w:ascii="宋体" w:hAnsi="宋体" w:eastAsia="宋体" w:cs="宋体"/>
          <w:kern w:val="0"/>
          <w:sz w:val="21"/>
          <w:szCs w:val="21"/>
          <w:lang w:val="en-US" w:eastAsia="zh-CN"/>
        </w:rPr>
      </w:pPr>
      <w:r>
        <w:rPr>
          <w:rFonts w:hint="eastAsia" w:ascii="宋体" w:hAnsi="宋体" w:cs="宋体"/>
          <w:b/>
          <w:bCs/>
          <w:kern w:val="0"/>
          <w:sz w:val="21"/>
          <w:szCs w:val="21"/>
          <w:lang w:val="en-US" w:eastAsia="zh-CN"/>
        </w:rPr>
        <w:t>三</w:t>
      </w:r>
      <w:r>
        <w:rPr>
          <w:rFonts w:hint="eastAsia" w:ascii="宋体" w:hAnsi="宋体" w:eastAsia="宋体" w:cs="宋体"/>
          <w:b/>
          <w:bCs/>
          <w:kern w:val="0"/>
          <w:sz w:val="21"/>
          <w:szCs w:val="21"/>
          <w:lang w:val="en-US" w:eastAsia="zh-CN"/>
        </w:rPr>
        <w:t>、招标控制价编制原则及办法</w:t>
      </w:r>
    </w:p>
    <w:p w14:paraId="084537BB">
      <w:pPr>
        <w:widowControl/>
        <w:numPr>
          <w:ilvl w:val="0"/>
          <w:numId w:val="0"/>
        </w:numPr>
        <w:adjustRightInd w:val="0"/>
        <w:snapToGrid w:val="0"/>
        <w:spacing w:line="360" w:lineRule="auto"/>
        <w:ind w:firstLine="420" w:firstLineChars="200"/>
        <w:jc w:val="lef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《建设工程工程量清单计价规范》（GB50500-2013）、相应的工程量计算规范及2018版浙江省预算定额计算规则计算；《宁波建设工程造价信息》 （宁海县）2025年第4期计取，材料价格按照《宁波建设工程造价信息》（综合版）宁海县市场信息2025年第4期常用材料价格信息计取(均为除税价），无以上市场信息价材料按市场调研价（不含税价）计取；</w:t>
      </w:r>
    </w:p>
    <w:p w14:paraId="56AA16BB">
      <w:pPr>
        <w:widowControl/>
        <w:numPr>
          <w:ilvl w:val="0"/>
          <w:numId w:val="0"/>
        </w:numPr>
        <w:adjustRightInd w:val="0"/>
        <w:snapToGrid w:val="0"/>
        <w:spacing w:line="360" w:lineRule="auto"/>
        <w:ind w:firstLine="420" w:firstLineChars="200"/>
        <w:jc w:val="lef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取费标准：</w:t>
      </w:r>
    </w:p>
    <w:p w14:paraId="61B32804">
      <w:pPr>
        <w:widowControl/>
        <w:numPr>
          <w:ilvl w:val="0"/>
          <w:numId w:val="0"/>
        </w:numPr>
        <w:adjustRightInd w:val="0"/>
        <w:snapToGrid w:val="0"/>
        <w:spacing w:line="360" w:lineRule="auto"/>
        <w:ind w:firstLine="420" w:firstLineChars="200"/>
        <w:jc w:val="lef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（1）市政工程：企业管理费及利润按市政工程（道路、排水、河道护岸、水处理构筑物及城市综合管廊、生活垃圾处理工程）中值中值计取；</w:t>
      </w:r>
    </w:p>
    <w:p w14:paraId="53E23723">
      <w:pPr>
        <w:widowControl/>
        <w:numPr>
          <w:ilvl w:val="0"/>
          <w:numId w:val="0"/>
        </w:numPr>
        <w:adjustRightInd w:val="0"/>
        <w:snapToGrid w:val="0"/>
        <w:spacing w:line="360" w:lineRule="auto"/>
        <w:ind w:firstLine="420" w:firstLineChars="200"/>
        <w:jc w:val="lef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（2）施工组织措施费：安全文明施工费按相应工程工程费费率中值计取；冬雨季施工增加费费率均按相应费率取中值计取；安全文明施工基本费根据浙建建发[2022] 37号文件要求，按照《浙江省建设工程计价规则(2018版)》的费率乘以1.15系数计取；</w:t>
      </w:r>
    </w:p>
    <w:p w14:paraId="715636E6">
      <w:pPr>
        <w:widowControl/>
        <w:numPr>
          <w:ilvl w:val="0"/>
          <w:numId w:val="0"/>
        </w:numPr>
        <w:adjustRightInd w:val="0"/>
        <w:snapToGrid w:val="0"/>
        <w:spacing w:line="360" w:lineRule="auto"/>
        <w:ind w:firstLine="420" w:firstLineChars="200"/>
        <w:jc w:val="lef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（3）规费费率：按市政工程（道路、排水、河道护岸、水处理构筑物及城市综合管廊、生活垃圾处理工程）中值3折计取；</w:t>
      </w:r>
    </w:p>
    <w:p w14:paraId="5AA0DA8D">
      <w:pPr>
        <w:widowControl/>
        <w:numPr>
          <w:ilvl w:val="0"/>
          <w:numId w:val="0"/>
        </w:numPr>
        <w:adjustRightInd w:val="0"/>
        <w:snapToGrid w:val="0"/>
        <w:spacing w:line="360" w:lineRule="auto"/>
        <w:ind w:firstLine="420" w:firstLineChars="200"/>
        <w:jc w:val="lef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（4）采用一般计税法计价，税金按9%计取。</w:t>
      </w:r>
    </w:p>
    <w:p w14:paraId="188E2F1E">
      <w:pPr>
        <w:widowControl/>
        <w:numPr>
          <w:ilvl w:val="0"/>
          <w:numId w:val="0"/>
        </w:numPr>
        <w:adjustRightInd w:val="0"/>
        <w:snapToGrid w:val="0"/>
        <w:spacing w:line="360" w:lineRule="auto"/>
        <w:ind w:firstLine="420" w:firstLineChars="200"/>
        <w:jc w:val="lef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3、其他编制说明：</w:t>
      </w:r>
    </w:p>
    <w:p w14:paraId="3943192C">
      <w:pPr>
        <w:widowControl/>
        <w:numPr>
          <w:ilvl w:val="0"/>
          <w:numId w:val="0"/>
        </w:numPr>
        <w:adjustRightInd w:val="0"/>
        <w:snapToGrid w:val="0"/>
        <w:spacing w:line="360" w:lineRule="auto"/>
        <w:ind w:firstLine="420" w:firstLineChars="200"/>
        <w:jc w:val="left"/>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（1）工程量按建设单位提供的图纸计算；</w:t>
      </w:r>
    </w:p>
    <w:p w14:paraId="712371FD">
      <w:pPr>
        <w:widowControl/>
        <w:numPr>
          <w:ilvl w:val="0"/>
          <w:numId w:val="0"/>
        </w:numPr>
        <w:adjustRightInd w:val="0"/>
        <w:snapToGrid w:val="0"/>
        <w:spacing w:line="360" w:lineRule="auto"/>
        <w:ind w:firstLine="420" w:firstLineChars="200"/>
        <w:jc w:val="left"/>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（2）本工程运距按5km考虑；</w:t>
      </w:r>
    </w:p>
    <w:p w14:paraId="2A2F43BA">
      <w:pPr>
        <w:widowControl/>
        <w:numPr>
          <w:ilvl w:val="0"/>
          <w:numId w:val="0"/>
        </w:numPr>
        <w:adjustRightInd w:val="0"/>
        <w:snapToGrid w:val="0"/>
        <w:spacing w:line="360" w:lineRule="auto"/>
        <w:ind w:firstLine="420" w:firstLineChars="200"/>
        <w:jc w:val="left"/>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（3）场地清洗费暂按5000元/项计入预算；</w:t>
      </w:r>
    </w:p>
    <w:p w14:paraId="45190084">
      <w:pPr>
        <w:widowControl/>
        <w:numPr>
          <w:ilvl w:val="0"/>
          <w:numId w:val="0"/>
        </w:numPr>
        <w:adjustRightInd w:val="0"/>
        <w:snapToGrid w:val="0"/>
        <w:spacing w:line="360" w:lineRule="auto"/>
        <w:ind w:firstLine="420" w:firstLineChars="200"/>
        <w:jc w:val="left"/>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（4）</w:t>
      </w:r>
      <w:r>
        <w:rPr>
          <w:rFonts w:hint="default" w:ascii="宋体" w:hAnsi="宋体" w:eastAsia="宋体" w:cs="宋体"/>
          <w:kern w:val="0"/>
          <w:sz w:val="21"/>
          <w:szCs w:val="21"/>
          <w:lang w:val="en-US" w:eastAsia="zh-CN"/>
        </w:rPr>
        <w:t>排水沟清理费</w:t>
      </w:r>
      <w:r>
        <w:rPr>
          <w:rFonts w:hint="eastAsia" w:ascii="宋体" w:hAnsi="宋体" w:eastAsia="宋体" w:cs="宋体"/>
          <w:kern w:val="0"/>
          <w:sz w:val="21"/>
          <w:szCs w:val="21"/>
          <w:lang w:val="en-US" w:eastAsia="zh-CN"/>
        </w:rPr>
        <w:t>暂按2500元/项计入预算；</w:t>
      </w:r>
    </w:p>
    <w:p w14:paraId="516221B5">
      <w:pPr>
        <w:widowControl/>
        <w:numPr>
          <w:ilvl w:val="0"/>
          <w:numId w:val="0"/>
        </w:numPr>
        <w:adjustRightInd w:val="0"/>
        <w:snapToGrid w:val="0"/>
        <w:spacing w:line="360" w:lineRule="auto"/>
        <w:ind w:firstLine="420" w:firstLineChars="200"/>
        <w:jc w:val="left"/>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（5）零星修复费暂按40000元/项计入预算；</w:t>
      </w:r>
    </w:p>
    <w:p w14:paraId="00CFB7B6">
      <w:pPr>
        <w:widowControl/>
        <w:numPr>
          <w:ilvl w:val="0"/>
          <w:numId w:val="0"/>
        </w:numPr>
        <w:adjustRightInd w:val="0"/>
        <w:snapToGrid w:val="0"/>
        <w:spacing w:line="360" w:lineRule="auto"/>
        <w:ind w:firstLine="420" w:firstLineChars="200"/>
        <w:jc w:val="lef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（6）不可预见费按不含税25000元/项计入预算。</w:t>
      </w:r>
    </w:p>
    <w:p w14:paraId="7E9A5BDD">
      <w:pPr>
        <w:widowControl/>
        <w:numPr>
          <w:ilvl w:val="0"/>
          <w:numId w:val="0"/>
        </w:numPr>
        <w:adjustRightInd w:val="0"/>
        <w:snapToGrid w:val="0"/>
        <w:spacing w:line="360" w:lineRule="auto"/>
        <w:ind w:firstLine="420" w:firstLineChars="200"/>
        <w:jc w:val="lef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4、工程量清单，详见附件</w:t>
      </w:r>
    </w:p>
    <w:p w14:paraId="23353C8C">
      <w:pPr>
        <w:keepNext w:val="0"/>
        <w:keepLines w:val="0"/>
        <w:pageBreakBefore w:val="0"/>
        <w:widowControl w:val="0"/>
        <w:kinsoku/>
        <w:wordWrap/>
        <w:overflowPunct/>
        <w:topLinePunct w:val="0"/>
        <w:autoSpaceDE/>
        <w:autoSpaceDN/>
        <w:bidi w:val="0"/>
        <w:adjustRightInd w:val="0"/>
        <w:snapToGrid/>
        <w:spacing w:line="360" w:lineRule="auto"/>
        <w:jc w:val="left"/>
        <w:textAlignment w:val="auto"/>
        <w:rPr>
          <w:rFonts w:hint="eastAsia" w:ascii="宋体" w:hAnsi="宋体" w:eastAsia="宋体" w:cs="宋体"/>
          <w:snapToGrid w:val="0"/>
          <w:color w:val="auto"/>
          <w:sz w:val="21"/>
          <w:szCs w:val="21"/>
          <w:highlight w:val="none"/>
          <w:lang w:val="en-US" w:eastAsia="zh-CN"/>
        </w:rPr>
      </w:pPr>
      <w:r>
        <w:rPr>
          <w:rFonts w:hint="eastAsia" w:ascii="宋体" w:hAnsi="宋体" w:eastAsia="宋体" w:cs="宋体"/>
          <w:b/>
          <w:color w:val="auto"/>
          <w:sz w:val="21"/>
          <w:szCs w:val="21"/>
          <w:highlight w:val="none"/>
          <w:lang w:eastAsia="zh-CN"/>
        </w:rPr>
        <w:t>▲</w:t>
      </w:r>
      <w:r>
        <w:rPr>
          <w:rFonts w:hint="eastAsia" w:ascii="宋体" w:hAnsi="宋体" w:cs="宋体"/>
          <w:b/>
          <w:bCs/>
          <w:sz w:val="21"/>
          <w:szCs w:val="21"/>
          <w:lang w:val="en-US" w:eastAsia="zh-CN"/>
        </w:rPr>
        <w:t>四</w:t>
      </w:r>
      <w:r>
        <w:rPr>
          <w:rFonts w:hint="eastAsia" w:ascii="宋体" w:hAnsi="宋体" w:eastAsia="宋体" w:cs="宋体"/>
          <w:b/>
          <w:bCs/>
          <w:sz w:val="21"/>
          <w:szCs w:val="21"/>
        </w:rPr>
        <w:t>、</w:t>
      </w:r>
      <w:r>
        <w:rPr>
          <w:rFonts w:hint="eastAsia" w:ascii="宋体" w:hAnsi="宋体" w:eastAsia="宋体" w:cs="宋体"/>
          <w:b/>
          <w:bCs/>
          <w:color w:val="auto"/>
          <w:sz w:val="21"/>
          <w:szCs w:val="21"/>
          <w:highlight w:val="none"/>
          <w:lang w:val="en-US" w:eastAsia="zh-CN"/>
        </w:rPr>
        <w:t>项目管理机构人员配备要求</w:t>
      </w:r>
    </w:p>
    <w:tbl>
      <w:tblPr>
        <w:tblStyle w:val="60"/>
        <w:tblpPr w:leftFromText="180" w:rightFromText="180" w:vertAnchor="text" w:horzAnchor="page" w:tblpX="1562" w:tblpY="349"/>
        <w:tblOverlap w:val="never"/>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4"/>
        <w:gridCol w:w="2157"/>
        <w:gridCol w:w="4963"/>
        <w:gridCol w:w="1411"/>
      </w:tblGrid>
      <w:tr w14:paraId="685151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714" w:type="dxa"/>
            <w:noWrap w:val="0"/>
            <w:vAlign w:val="center"/>
          </w:tcPr>
          <w:p w14:paraId="77B63381">
            <w:pPr>
              <w:keepNext w:val="0"/>
              <w:keepLines w:val="0"/>
              <w:pageBreakBefore w:val="0"/>
              <w:widowControl w:val="0"/>
              <w:kinsoku/>
              <w:wordWrap/>
              <w:overflowPunct/>
              <w:topLinePunct w:val="0"/>
              <w:autoSpaceDE/>
              <w:autoSpaceDN/>
              <w:bidi w:val="0"/>
              <w:adjustRightInd/>
              <w:snapToGrid/>
              <w:spacing w:line="400" w:lineRule="exact"/>
              <w:ind w:right="0" w:rightChars="0"/>
              <w:jc w:val="center"/>
              <w:textAlignment w:val="auto"/>
              <w:rPr>
                <w:rFonts w:hint="eastAsia" w:ascii="宋体" w:hAnsi="宋体" w:eastAsia="宋体" w:cs="宋体"/>
                <w:color w:val="auto"/>
                <w:sz w:val="21"/>
                <w:szCs w:val="21"/>
                <w:highlight w:val="none"/>
              </w:rPr>
            </w:pPr>
            <w:bookmarkStart w:id="46" w:name="_Toc31243"/>
            <w:r>
              <w:rPr>
                <w:rFonts w:hint="eastAsia" w:ascii="宋体" w:hAnsi="宋体" w:eastAsia="宋体" w:cs="宋体"/>
                <w:color w:val="auto"/>
                <w:sz w:val="21"/>
                <w:szCs w:val="21"/>
                <w:highlight w:val="none"/>
              </w:rPr>
              <w:t>序号</w:t>
            </w:r>
          </w:p>
        </w:tc>
        <w:tc>
          <w:tcPr>
            <w:tcW w:w="2157" w:type="dxa"/>
            <w:noWrap w:val="0"/>
            <w:vAlign w:val="center"/>
          </w:tcPr>
          <w:p w14:paraId="31C1FBD6">
            <w:pPr>
              <w:keepNext w:val="0"/>
              <w:keepLines w:val="0"/>
              <w:pageBreakBefore w:val="0"/>
              <w:widowControl w:val="0"/>
              <w:kinsoku/>
              <w:wordWrap/>
              <w:overflowPunct/>
              <w:topLinePunct w:val="0"/>
              <w:autoSpaceDE/>
              <w:autoSpaceDN/>
              <w:bidi w:val="0"/>
              <w:adjustRightInd/>
              <w:snapToGrid/>
              <w:spacing w:line="400" w:lineRule="exact"/>
              <w:ind w:right="0" w:right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本工程需设</w:t>
            </w:r>
            <w:r>
              <w:rPr>
                <w:rFonts w:hint="eastAsia" w:ascii="宋体" w:hAnsi="宋体" w:eastAsia="宋体" w:cs="宋体"/>
                <w:color w:val="auto"/>
                <w:sz w:val="21"/>
                <w:szCs w:val="21"/>
                <w:highlight w:val="none"/>
                <w:lang w:eastAsia="zh-CN"/>
              </w:rPr>
              <w:t>施工管理人员</w:t>
            </w:r>
            <w:r>
              <w:rPr>
                <w:rFonts w:hint="eastAsia" w:ascii="宋体" w:hAnsi="宋体" w:eastAsia="宋体" w:cs="宋体"/>
                <w:color w:val="auto"/>
                <w:sz w:val="21"/>
                <w:szCs w:val="21"/>
                <w:highlight w:val="none"/>
              </w:rPr>
              <w:t>的专业岗位</w:t>
            </w:r>
          </w:p>
        </w:tc>
        <w:tc>
          <w:tcPr>
            <w:tcW w:w="4963" w:type="dxa"/>
            <w:noWrap w:val="0"/>
            <w:vAlign w:val="center"/>
          </w:tcPr>
          <w:p w14:paraId="4EAB3155">
            <w:pPr>
              <w:keepNext w:val="0"/>
              <w:keepLines w:val="0"/>
              <w:pageBreakBefore w:val="0"/>
              <w:widowControl w:val="0"/>
              <w:kinsoku/>
              <w:wordWrap/>
              <w:overflowPunct/>
              <w:topLinePunct w:val="0"/>
              <w:autoSpaceDE/>
              <w:autoSpaceDN/>
              <w:bidi w:val="0"/>
              <w:adjustRightInd/>
              <w:snapToGrid/>
              <w:spacing w:line="400" w:lineRule="exact"/>
              <w:ind w:right="0" w:rightChars="0"/>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资格要求</w:t>
            </w:r>
          </w:p>
        </w:tc>
        <w:tc>
          <w:tcPr>
            <w:tcW w:w="1411" w:type="dxa"/>
            <w:noWrap w:val="0"/>
            <w:vAlign w:val="center"/>
          </w:tcPr>
          <w:p w14:paraId="1D209271">
            <w:pPr>
              <w:keepNext w:val="0"/>
              <w:keepLines w:val="0"/>
              <w:pageBreakBefore w:val="0"/>
              <w:widowControl w:val="0"/>
              <w:kinsoku/>
              <w:wordWrap/>
              <w:overflowPunct/>
              <w:topLinePunct w:val="0"/>
              <w:autoSpaceDE/>
              <w:autoSpaceDN/>
              <w:bidi w:val="0"/>
              <w:adjustRightInd/>
              <w:snapToGrid/>
              <w:spacing w:line="400" w:lineRule="exact"/>
              <w:ind w:right="0" w:right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数量要求</w:t>
            </w:r>
          </w:p>
          <w:p w14:paraId="452718AB">
            <w:pPr>
              <w:keepNext w:val="0"/>
              <w:keepLines w:val="0"/>
              <w:pageBreakBefore w:val="0"/>
              <w:widowControl w:val="0"/>
              <w:kinsoku/>
              <w:wordWrap/>
              <w:overflowPunct/>
              <w:topLinePunct w:val="0"/>
              <w:autoSpaceDE/>
              <w:autoSpaceDN/>
              <w:bidi w:val="0"/>
              <w:adjustRightInd/>
              <w:snapToGrid/>
              <w:spacing w:line="400" w:lineRule="exact"/>
              <w:ind w:right="0" w:right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（人）</w:t>
            </w:r>
          </w:p>
        </w:tc>
      </w:tr>
      <w:tr w14:paraId="6E1D8D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714" w:type="dxa"/>
            <w:noWrap w:val="0"/>
            <w:vAlign w:val="center"/>
          </w:tcPr>
          <w:p w14:paraId="2405C1E0">
            <w:pPr>
              <w:keepNext w:val="0"/>
              <w:keepLines w:val="0"/>
              <w:pageBreakBefore w:val="0"/>
              <w:widowControl w:val="0"/>
              <w:kinsoku/>
              <w:wordWrap/>
              <w:overflowPunct/>
              <w:topLinePunct w:val="0"/>
              <w:autoSpaceDE/>
              <w:autoSpaceDN/>
              <w:bidi w:val="0"/>
              <w:adjustRightInd/>
              <w:snapToGrid/>
              <w:spacing w:line="400" w:lineRule="exact"/>
              <w:ind w:right="0" w:rightChars="0"/>
              <w:jc w:val="center"/>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1</w:t>
            </w:r>
          </w:p>
        </w:tc>
        <w:tc>
          <w:tcPr>
            <w:tcW w:w="2157" w:type="dxa"/>
            <w:noWrap w:val="0"/>
            <w:vAlign w:val="center"/>
          </w:tcPr>
          <w:p w14:paraId="0B06CCBE">
            <w:pPr>
              <w:keepNext w:val="0"/>
              <w:keepLines w:val="0"/>
              <w:pageBreakBefore w:val="0"/>
              <w:widowControl w:val="0"/>
              <w:tabs>
                <w:tab w:val="left" w:pos="540"/>
              </w:tabs>
              <w:kinsoku/>
              <w:wordWrap/>
              <w:overflowPunct/>
              <w:topLinePunct w:val="0"/>
              <w:autoSpaceDE/>
              <w:autoSpaceDN/>
              <w:bidi w:val="0"/>
              <w:adjustRightInd/>
              <w:snapToGrid/>
              <w:spacing w:line="400" w:lineRule="exact"/>
              <w:ind w:right="0" w:rightChars="0"/>
              <w:jc w:val="center"/>
              <w:textAlignment w:val="auto"/>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eastAsia="zh-CN"/>
              </w:rPr>
              <w:t>项目</w:t>
            </w:r>
            <w:r>
              <w:rPr>
                <w:rFonts w:hint="eastAsia" w:ascii="宋体" w:hAnsi="宋体" w:eastAsia="宋体" w:cs="宋体"/>
                <w:i w:val="0"/>
                <w:iCs w:val="0"/>
                <w:color w:val="auto"/>
                <w:sz w:val="21"/>
                <w:szCs w:val="21"/>
                <w:highlight w:val="none"/>
                <w:lang w:val="en-US" w:eastAsia="zh-CN"/>
              </w:rPr>
              <w:t>负责人</w:t>
            </w:r>
          </w:p>
        </w:tc>
        <w:tc>
          <w:tcPr>
            <w:tcW w:w="4963" w:type="dxa"/>
            <w:noWrap w:val="0"/>
            <w:vAlign w:val="center"/>
          </w:tcPr>
          <w:p w14:paraId="64CAEFA3">
            <w:pPr>
              <w:keepNext w:val="0"/>
              <w:keepLines w:val="0"/>
              <w:pageBreakBefore w:val="0"/>
              <w:kinsoku/>
              <w:wordWrap/>
              <w:overflowPunct/>
              <w:topLinePunct w:val="0"/>
              <w:bidi w:val="0"/>
              <w:snapToGrid/>
              <w:spacing w:after="0" w:line="400" w:lineRule="exact"/>
              <w:jc w:val="left"/>
              <w:textAlignment w:val="auto"/>
              <w:rPr>
                <w:rFonts w:hint="default" w:ascii="宋体" w:hAnsi="宋体" w:eastAsia="宋体" w:cs="宋体"/>
                <w:color w:val="000000"/>
                <w:kern w:val="0"/>
                <w:sz w:val="21"/>
                <w:szCs w:val="21"/>
                <w:highlight w:val="none"/>
                <w:lang w:val="en-US" w:eastAsia="zh-CN" w:bidi="ar"/>
              </w:rPr>
            </w:pPr>
            <w:r>
              <w:rPr>
                <w:rFonts w:hint="eastAsia" w:ascii="宋体" w:hAnsi="宋体" w:eastAsia="宋体" w:cs="宋体"/>
                <w:b w:val="0"/>
                <w:bCs/>
                <w:i w:val="0"/>
                <w:iCs w:val="0"/>
                <w:color w:val="auto"/>
                <w:kern w:val="58"/>
                <w:sz w:val="21"/>
                <w:szCs w:val="21"/>
                <w:highlight w:val="none"/>
                <w:u w:val="none"/>
                <w:lang w:val="en-US" w:eastAsia="zh-CN"/>
              </w:rPr>
              <w:t>具备</w:t>
            </w:r>
            <w:r>
              <w:rPr>
                <w:rFonts w:hint="eastAsia" w:ascii="宋体" w:hAnsi="宋体" w:cs="宋体"/>
                <w:b w:val="0"/>
                <w:bCs/>
                <w:i w:val="0"/>
                <w:iCs w:val="0"/>
                <w:color w:val="auto"/>
                <w:kern w:val="58"/>
                <w:sz w:val="21"/>
                <w:szCs w:val="21"/>
                <w:highlight w:val="none"/>
                <w:u w:val="none"/>
                <w:lang w:val="en-US" w:eastAsia="zh-CN"/>
              </w:rPr>
              <w:t>市政公用</w:t>
            </w:r>
            <w:r>
              <w:rPr>
                <w:rFonts w:hint="eastAsia" w:ascii="宋体" w:hAnsi="宋体" w:eastAsia="宋体" w:cs="宋体"/>
                <w:b w:val="0"/>
                <w:bCs/>
                <w:i w:val="0"/>
                <w:iCs w:val="0"/>
                <w:color w:val="auto"/>
                <w:kern w:val="58"/>
                <w:sz w:val="21"/>
                <w:szCs w:val="21"/>
                <w:highlight w:val="none"/>
                <w:u w:val="none"/>
                <w:lang w:val="en-US" w:eastAsia="zh-CN"/>
              </w:rPr>
              <w:t>工程专业二级及以上建造师注册证书，并具有有效的安全生产考核合格证（B证），且在投标截止日不得在其他任何在建合同工程中担任项目负责人（包括工程总承包项目中的施工负责人）。</w:t>
            </w:r>
          </w:p>
        </w:tc>
        <w:tc>
          <w:tcPr>
            <w:tcW w:w="1411" w:type="dxa"/>
            <w:noWrap w:val="0"/>
            <w:vAlign w:val="center"/>
          </w:tcPr>
          <w:p w14:paraId="1742C6D0">
            <w:pPr>
              <w:keepNext w:val="0"/>
              <w:keepLines w:val="0"/>
              <w:pageBreakBefore w:val="0"/>
              <w:widowControl w:val="0"/>
              <w:tabs>
                <w:tab w:val="left" w:pos="540"/>
              </w:tabs>
              <w:kinsoku/>
              <w:wordWrap/>
              <w:overflowPunct/>
              <w:topLinePunct w:val="0"/>
              <w:autoSpaceDE/>
              <w:autoSpaceDN/>
              <w:bidi w:val="0"/>
              <w:adjustRightInd/>
              <w:snapToGrid/>
              <w:spacing w:line="400" w:lineRule="exact"/>
              <w:ind w:right="0" w:rightChars="0"/>
              <w:jc w:val="center"/>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1</w:t>
            </w:r>
          </w:p>
        </w:tc>
      </w:tr>
      <w:tr w14:paraId="50EE05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trPr>
        <w:tc>
          <w:tcPr>
            <w:tcW w:w="714" w:type="dxa"/>
            <w:noWrap w:val="0"/>
            <w:vAlign w:val="center"/>
          </w:tcPr>
          <w:p w14:paraId="77C2620D">
            <w:pPr>
              <w:keepNext w:val="0"/>
              <w:keepLines w:val="0"/>
              <w:pageBreakBefore w:val="0"/>
              <w:widowControl w:val="0"/>
              <w:kinsoku/>
              <w:wordWrap/>
              <w:overflowPunct/>
              <w:topLinePunct w:val="0"/>
              <w:autoSpaceDE/>
              <w:autoSpaceDN/>
              <w:bidi w:val="0"/>
              <w:adjustRightInd/>
              <w:snapToGrid/>
              <w:spacing w:line="400" w:lineRule="exact"/>
              <w:ind w:right="0" w:rightChars="0"/>
              <w:jc w:val="center"/>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2</w:t>
            </w:r>
          </w:p>
        </w:tc>
        <w:tc>
          <w:tcPr>
            <w:tcW w:w="2157" w:type="dxa"/>
            <w:noWrap w:val="0"/>
            <w:vAlign w:val="center"/>
          </w:tcPr>
          <w:p w14:paraId="3B80CA6B">
            <w:pPr>
              <w:keepNext w:val="0"/>
              <w:keepLines w:val="0"/>
              <w:pageBreakBefore w:val="0"/>
              <w:widowControl w:val="0"/>
              <w:tabs>
                <w:tab w:val="left" w:pos="540"/>
              </w:tabs>
              <w:kinsoku/>
              <w:wordWrap/>
              <w:overflowPunct/>
              <w:topLinePunct w:val="0"/>
              <w:autoSpaceDE/>
              <w:autoSpaceDN/>
              <w:bidi w:val="0"/>
              <w:adjustRightInd/>
              <w:snapToGrid/>
              <w:spacing w:line="400" w:lineRule="exact"/>
              <w:ind w:right="0" w:rightChars="0"/>
              <w:jc w:val="center"/>
              <w:textAlignment w:val="auto"/>
              <w:rPr>
                <w:rFonts w:hint="eastAsia" w:ascii="宋体" w:hAnsi="宋体" w:eastAsia="宋体" w:cs="宋体"/>
                <w:i w:val="0"/>
                <w:iCs w:val="0"/>
                <w:color w:val="auto"/>
                <w:sz w:val="21"/>
                <w:szCs w:val="21"/>
                <w:highlight w:val="none"/>
                <w:lang w:eastAsia="zh-CN"/>
              </w:rPr>
            </w:pPr>
            <w:r>
              <w:rPr>
                <w:rFonts w:hint="eastAsia" w:ascii="宋体" w:hAnsi="宋体" w:eastAsia="宋体" w:cs="宋体"/>
                <w:i w:val="0"/>
                <w:iCs w:val="0"/>
                <w:color w:val="auto"/>
                <w:sz w:val="21"/>
                <w:szCs w:val="21"/>
                <w:highlight w:val="none"/>
                <w:lang w:eastAsia="zh-CN"/>
              </w:rPr>
              <w:t>技术负责人</w:t>
            </w:r>
          </w:p>
        </w:tc>
        <w:tc>
          <w:tcPr>
            <w:tcW w:w="4963" w:type="dxa"/>
            <w:noWrap w:val="0"/>
            <w:vAlign w:val="center"/>
          </w:tcPr>
          <w:p w14:paraId="44EB0A29">
            <w:pPr>
              <w:keepNext w:val="0"/>
              <w:keepLines w:val="0"/>
              <w:pageBreakBefore w:val="0"/>
              <w:kinsoku/>
              <w:wordWrap/>
              <w:overflowPunct/>
              <w:topLinePunct w:val="0"/>
              <w:bidi w:val="0"/>
              <w:snapToGrid/>
              <w:spacing w:after="0" w:line="400" w:lineRule="exact"/>
              <w:jc w:val="left"/>
              <w:textAlignment w:val="auto"/>
              <w:rPr>
                <w:rFonts w:hint="eastAsia" w:ascii="宋体" w:hAnsi="宋体" w:eastAsia="宋体" w:cs="宋体"/>
                <w:color w:val="000000"/>
                <w:kern w:val="0"/>
                <w:sz w:val="21"/>
                <w:szCs w:val="21"/>
                <w:lang w:val="en-US" w:eastAsia="zh-CN" w:bidi="ar"/>
              </w:rPr>
            </w:pPr>
            <w:r>
              <w:rPr>
                <w:rFonts w:hint="eastAsia" w:ascii="宋体" w:hAnsi="宋体" w:eastAsia="宋体" w:cs="宋体"/>
                <w:b w:val="0"/>
                <w:bCs/>
                <w:i w:val="0"/>
                <w:iCs w:val="0"/>
                <w:color w:val="auto"/>
                <w:kern w:val="58"/>
                <w:sz w:val="21"/>
                <w:szCs w:val="21"/>
                <w:highlight w:val="none"/>
                <w:u w:val="none"/>
                <w:lang w:val="en-US" w:eastAsia="zh-CN"/>
              </w:rPr>
              <w:t>具有</w:t>
            </w:r>
            <w:r>
              <w:rPr>
                <w:rFonts w:hint="eastAsia" w:ascii="宋体" w:hAnsi="宋体" w:cs="宋体"/>
                <w:b/>
                <w:bCs w:val="0"/>
                <w:i w:val="0"/>
                <w:iCs w:val="0"/>
                <w:color w:val="auto"/>
                <w:kern w:val="58"/>
                <w:sz w:val="21"/>
                <w:szCs w:val="21"/>
                <w:highlight w:val="none"/>
                <w:u w:val="single"/>
                <w:lang w:val="en-US" w:eastAsia="zh-CN"/>
              </w:rPr>
              <w:t>市政</w:t>
            </w:r>
            <w:r>
              <w:rPr>
                <w:rFonts w:hint="eastAsia" w:ascii="宋体" w:hAnsi="宋体" w:eastAsia="宋体" w:cs="宋体"/>
                <w:b/>
                <w:bCs w:val="0"/>
                <w:i w:val="0"/>
                <w:iCs w:val="0"/>
                <w:color w:val="auto"/>
                <w:kern w:val="58"/>
                <w:sz w:val="21"/>
                <w:szCs w:val="21"/>
                <w:highlight w:val="none"/>
                <w:u w:val="single"/>
                <w:lang w:val="en-US" w:eastAsia="zh-CN"/>
              </w:rPr>
              <w:t>类</w:t>
            </w:r>
            <w:r>
              <w:rPr>
                <w:rFonts w:hint="eastAsia" w:ascii="宋体" w:hAnsi="宋体" w:eastAsia="宋体" w:cs="宋体"/>
                <w:b/>
                <w:bCs w:val="0"/>
                <w:i w:val="0"/>
                <w:iCs w:val="0"/>
                <w:color w:val="auto"/>
                <w:sz w:val="21"/>
                <w:szCs w:val="21"/>
                <w:highlight w:val="none"/>
                <w:u w:val="single"/>
              </w:rPr>
              <w:t>专业</w:t>
            </w:r>
            <w:r>
              <w:rPr>
                <w:rFonts w:hint="eastAsia" w:ascii="宋体" w:hAnsi="宋体" w:eastAsia="宋体" w:cs="宋体"/>
                <w:b w:val="0"/>
                <w:bCs/>
                <w:i w:val="0"/>
                <w:iCs w:val="0"/>
                <w:color w:val="auto"/>
                <w:sz w:val="21"/>
                <w:szCs w:val="21"/>
                <w:highlight w:val="none"/>
                <w:u w:val="none"/>
              </w:rPr>
              <w:t>工程师及以上职称</w:t>
            </w:r>
          </w:p>
        </w:tc>
        <w:tc>
          <w:tcPr>
            <w:tcW w:w="1411" w:type="dxa"/>
            <w:noWrap w:val="0"/>
            <w:vAlign w:val="center"/>
          </w:tcPr>
          <w:p w14:paraId="2F6B2CF4">
            <w:pPr>
              <w:keepNext w:val="0"/>
              <w:keepLines w:val="0"/>
              <w:pageBreakBefore w:val="0"/>
              <w:widowControl w:val="0"/>
              <w:kinsoku/>
              <w:wordWrap/>
              <w:overflowPunct/>
              <w:topLinePunct w:val="0"/>
              <w:autoSpaceDE/>
              <w:autoSpaceDN/>
              <w:bidi w:val="0"/>
              <w:adjustRightInd/>
              <w:snapToGrid/>
              <w:spacing w:line="400" w:lineRule="exact"/>
              <w:ind w:right="0" w:rightChars="0"/>
              <w:jc w:val="center"/>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1</w:t>
            </w:r>
          </w:p>
        </w:tc>
      </w:tr>
      <w:tr w14:paraId="2C7C94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14" w:type="dxa"/>
            <w:noWrap w:val="0"/>
            <w:vAlign w:val="center"/>
          </w:tcPr>
          <w:p w14:paraId="2645CDD0">
            <w:pPr>
              <w:keepNext w:val="0"/>
              <w:keepLines w:val="0"/>
              <w:pageBreakBefore w:val="0"/>
              <w:widowControl w:val="0"/>
              <w:kinsoku/>
              <w:wordWrap/>
              <w:overflowPunct/>
              <w:topLinePunct w:val="0"/>
              <w:autoSpaceDE/>
              <w:autoSpaceDN/>
              <w:bidi w:val="0"/>
              <w:adjustRightInd/>
              <w:snapToGrid/>
              <w:spacing w:line="400" w:lineRule="exact"/>
              <w:ind w:right="0" w:rightChars="0"/>
              <w:jc w:val="center"/>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3</w:t>
            </w:r>
          </w:p>
        </w:tc>
        <w:tc>
          <w:tcPr>
            <w:tcW w:w="2157" w:type="dxa"/>
            <w:noWrap w:val="0"/>
            <w:vAlign w:val="center"/>
          </w:tcPr>
          <w:p w14:paraId="56F943DD">
            <w:pPr>
              <w:keepNext w:val="0"/>
              <w:keepLines w:val="0"/>
              <w:pageBreakBefore w:val="0"/>
              <w:widowControl w:val="0"/>
              <w:tabs>
                <w:tab w:val="left" w:pos="540"/>
              </w:tabs>
              <w:kinsoku/>
              <w:wordWrap/>
              <w:overflowPunct/>
              <w:topLinePunct w:val="0"/>
              <w:autoSpaceDE/>
              <w:autoSpaceDN/>
              <w:bidi w:val="0"/>
              <w:adjustRightInd/>
              <w:snapToGrid/>
              <w:spacing w:line="400" w:lineRule="exact"/>
              <w:ind w:right="0" w:rightChars="0"/>
              <w:jc w:val="center"/>
              <w:textAlignment w:val="auto"/>
              <w:rPr>
                <w:rFonts w:hint="eastAsia" w:ascii="宋体" w:hAnsi="宋体" w:eastAsia="宋体" w:cs="宋体"/>
                <w:i w:val="0"/>
                <w:iCs w:val="0"/>
                <w:color w:val="auto"/>
                <w:sz w:val="21"/>
                <w:szCs w:val="21"/>
                <w:highlight w:val="none"/>
                <w:lang w:eastAsia="zh-CN"/>
              </w:rPr>
            </w:pPr>
            <w:r>
              <w:rPr>
                <w:rFonts w:hint="eastAsia" w:ascii="宋体" w:hAnsi="宋体" w:eastAsia="宋体" w:cs="宋体"/>
                <w:i w:val="0"/>
                <w:iCs w:val="0"/>
                <w:color w:val="auto"/>
                <w:kern w:val="2"/>
                <w:sz w:val="21"/>
                <w:szCs w:val="21"/>
                <w:highlight w:val="none"/>
                <w:lang w:val="en-US" w:eastAsia="zh-CN" w:bidi="ar-SA"/>
              </w:rPr>
              <w:t>安全员</w:t>
            </w:r>
          </w:p>
        </w:tc>
        <w:tc>
          <w:tcPr>
            <w:tcW w:w="4963" w:type="dxa"/>
            <w:noWrap w:val="0"/>
            <w:vAlign w:val="center"/>
          </w:tcPr>
          <w:p w14:paraId="7909B8B1">
            <w:pPr>
              <w:keepNext w:val="0"/>
              <w:keepLines w:val="0"/>
              <w:pageBreakBefore w:val="0"/>
              <w:widowControl/>
              <w:suppressLineNumbers w:val="0"/>
              <w:kinsoku/>
              <w:wordWrap/>
              <w:overflowPunct/>
              <w:topLinePunct w:val="0"/>
              <w:bidi w:val="0"/>
              <w:snapToGrid/>
              <w:spacing w:line="400" w:lineRule="exact"/>
              <w:jc w:val="left"/>
              <w:textAlignment w:val="auto"/>
              <w:rPr>
                <w:rFonts w:hint="eastAsia" w:ascii="宋体" w:hAnsi="宋体" w:eastAsia="宋体" w:cs="宋体"/>
                <w:i w:val="0"/>
                <w:iCs w:val="0"/>
                <w:color w:val="auto"/>
                <w:sz w:val="21"/>
                <w:szCs w:val="21"/>
                <w:highlight w:val="none"/>
                <w:u w:val="none"/>
                <w:lang w:eastAsia="zh-CN"/>
              </w:rPr>
            </w:pPr>
            <w:r>
              <w:rPr>
                <w:rFonts w:hint="eastAsia" w:ascii="宋体" w:hAnsi="宋体" w:eastAsia="宋体" w:cs="宋体"/>
                <w:color w:val="000000"/>
                <w:kern w:val="0"/>
                <w:sz w:val="21"/>
                <w:szCs w:val="21"/>
                <w:lang w:val="en-US" w:eastAsia="zh-CN" w:bidi="ar"/>
              </w:rPr>
              <w:t>具备建设行政主管部门核发的《专职安全生产管理人员安全生产考核合格证书》</w:t>
            </w:r>
          </w:p>
        </w:tc>
        <w:tc>
          <w:tcPr>
            <w:tcW w:w="1411" w:type="dxa"/>
            <w:noWrap w:val="0"/>
            <w:vAlign w:val="center"/>
          </w:tcPr>
          <w:p w14:paraId="19B72F7D">
            <w:pPr>
              <w:keepNext w:val="0"/>
              <w:keepLines w:val="0"/>
              <w:pageBreakBefore w:val="0"/>
              <w:widowControl w:val="0"/>
              <w:kinsoku/>
              <w:wordWrap/>
              <w:overflowPunct/>
              <w:topLinePunct w:val="0"/>
              <w:autoSpaceDE/>
              <w:autoSpaceDN/>
              <w:bidi w:val="0"/>
              <w:adjustRightInd/>
              <w:snapToGrid/>
              <w:spacing w:line="400" w:lineRule="exact"/>
              <w:ind w:right="0" w:rightChars="0"/>
              <w:jc w:val="center"/>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1</w:t>
            </w:r>
          </w:p>
        </w:tc>
      </w:tr>
      <w:tr w14:paraId="121D9F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714" w:type="dxa"/>
            <w:noWrap w:val="0"/>
            <w:vAlign w:val="center"/>
          </w:tcPr>
          <w:p w14:paraId="511DCBA0">
            <w:pPr>
              <w:keepNext w:val="0"/>
              <w:keepLines w:val="0"/>
              <w:pageBreakBefore w:val="0"/>
              <w:widowControl w:val="0"/>
              <w:kinsoku/>
              <w:wordWrap/>
              <w:overflowPunct/>
              <w:topLinePunct w:val="0"/>
              <w:autoSpaceDE/>
              <w:autoSpaceDN/>
              <w:bidi w:val="0"/>
              <w:adjustRightInd/>
              <w:snapToGrid/>
              <w:spacing w:line="400" w:lineRule="exact"/>
              <w:ind w:right="0" w:rightChars="0"/>
              <w:jc w:val="center"/>
              <w:textAlignment w:val="auto"/>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4</w:t>
            </w:r>
          </w:p>
        </w:tc>
        <w:tc>
          <w:tcPr>
            <w:tcW w:w="2157" w:type="dxa"/>
            <w:noWrap w:val="0"/>
            <w:vAlign w:val="center"/>
          </w:tcPr>
          <w:p w14:paraId="151B1AF2">
            <w:pPr>
              <w:keepNext w:val="0"/>
              <w:keepLines w:val="0"/>
              <w:pageBreakBefore w:val="0"/>
              <w:widowControl w:val="0"/>
              <w:tabs>
                <w:tab w:val="left" w:pos="540"/>
              </w:tabs>
              <w:kinsoku/>
              <w:wordWrap/>
              <w:overflowPunct/>
              <w:topLinePunct w:val="0"/>
              <w:autoSpaceDE/>
              <w:autoSpaceDN/>
              <w:bidi w:val="0"/>
              <w:adjustRightInd/>
              <w:snapToGrid/>
              <w:spacing w:line="400" w:lineRule="exact"/>
              <w:ind w:right="0" w:rightChars="0"/>
              <w:jc w:val="center"/>
              <w:textAlignment w:val="auto"/>
              <w:rPr>
                <w:rFonts w:hint="eastAsia" w:ascii="宋体" w:hAnsi="宋体" w:eastAsia="宋体" w:cs="宋体"/>
                <w:i w:val="0"/>
                <w:iCs w:val="0"/>
                <w:color w:val="auto"/>
                <w:sz w:val="21"/>
                <w:szCs w:val="21"/>
                <w:highlight w:val="none"/>
                <w:lang w:eastAsia="zh-CN"/>
              </w:rPr>
            </w:pPr>
            <w:r>
              <w:rPr>
                <w:rFonts w:hint="eastAsia" w:ascii="宋体" w:hAnsi="宋体" w:eastAsia="宋体" w:cs="宋体"/>
                <w:i w:val="0"/>
                <w:iCs w:val="0"/>
                <w:color w:val="auto"/>
                <w:sz w:val="21"/>
                <w:szCs w:val="21"/>
                <w:highlight w:val="none"/>
                <w:lang w:eastAsia="zh-CN"/>
              </w:rPr>
              <w:t>施工员</w:t>
            </w:r>
          </w:p>
        </w:tc>
        <w:tc>
          <w:tcPr>
            <w:tcW w:w="4963" w:type="dxa"/>
            <w:noWrap w:val="0"/>
            <w:vAlign w:val="center"/>
          </w:tcPr>
          <w:p w14:paraId="56D43260">
            <w:pPr>
              <w:keepNext w:val="0"/>
              <w:keepLines w:val="0"/>
              <w:pageBreakBefore w:val="0"/>
              <w:kinsoku/>
              <w:wordWrap/>
              <w:overflowPunct/>
              <w:topLinePunct w:val="0"/>
              <w:bidi w:val="0"/>
              <w:snapToGrid/>
              <w:spacing w:line="400" w:lineRule="exact"/>
              <w:jc w:val="left"/>
              <w:textAlignment w:val="auto"/>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color w:val="auto"/>
                <w:sz w:val="21"/>
                <w:szCs w:val="21"/>
                <w:highlight w:val="none"/>
              </w:rPr>
              <w:t>具备</w:t>
            </w:r>
            <w:r>
              <w:rPr>
                <w:rFonts w:hint="eastAsia" w:ascii="宋体" w:hAnsi="宋体" w:cs="宋体"/>
                <w:color w:val="auto"/>
                <w:sz w:val="21"/>
                <w:szCs w:val="21"/>
                <w:highlight w:val="none"/>
                <w:lang w:eastAsia="zh-CN"/>
              </w:rPr>
              <w:t>市政</w:t>
            </w:r>
            <w:r>
              <w:rPr>
                <w:rFonts w:hint="eastAsia" w:ascii="宋体" w:hAnsi="宋体" w:eastAsia="宋体" w:cs="宋体"/>
                <w:color w:val="auto"/>
                <w:sz w:val="21"/>
                <w:szCs w:val="21"/>
                <w:highlight w:val="none"/>
                <w:lang w:eastAsia="zh-CN"/>
              </w:rPr>
              <w:t>专业</w:t>
            </w:r>
            <w:r>
              <w:rPr>
                <w:rFonts w:hint="eastAsia" w:ascii="宋体" w:hAnsi="宋体" w:eastAsia="宋体" w:cs="宋体"/>
                <w:color w:val="auto"/>
                <w:sz w:val="21"/>
                <w:szCs w:val="21"/>
                <w:highlight w:val="none"/>
              </w:rPr>
              <w:t>施工员《浙江省建设专业管理岗位资格证书》（《住房和城乡建设领域施工现场专业人员职业培训合格证》）</w:t>
            </w:r>
          </w:p>
        </w:tc>
        <w:tc>
          <w:tcPr>
            <w:tcW w:w="1411" w:type="dxa"/>
            <w:noWrap w:val="0"/>
            <w:vAlign w:val="center"/>
          </w:tcPr>
          <w:p w14:paraId="73A4FF0D">
            <w:pPr>
              <w:keepNext w:val="0"/>
              <w:keepLines w:val="0"/>
              <w:pageBreakBefore w:val="0"/>
              <w:widowControl w:val="0"/>
              <w:kinsoku/>
              <w:wordWrap/>
              <w:overflowPunct/>
              <w:topLinePunct w:val="0"/>
              <w:autoSpaceDE/>
              <w:autoSpaceDN/>
              <w:bidi w:val="0"/>
              <w:adjustRightInd/>
              <w:snapToGrid/>
              <w:spacing w:line="400" w:lineRule="exact"/>
              <w:ind w:right="0" w:rightChars="0"/>
              <w:jc w:val="center"/>
              <w:textAlignment w:val="auto"/>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1</w:t>
            </w:r>
          </w:p>
        </w:tc>
      </w:tr>
      <w:tr w14:paraId="539497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714" w:type="dxa"/>
            <w:noWrap w:val="0"/>
            <w:vAlign w:val="center"/>
          </w:tcPr>
          <w:p w14:paraId="12F32476">
            <w:pPr>
              <w:keepNext w:val="0"/>
              <w:keepLines w:val="0"/>
              <w:pageBreakBefore w:val="0"/>
              <w:widowControl w:val="0"/>
              <w:kinsoku/>
              <w:wordWrap/>
              <w:overflowPunct/>
              <w:topLinePunct w:val="0"/>
              <w:autoSpaceDE/>
              <w:autoSpaceDN/>
              <w:bidi w:val="0"/>
              <w:adjustRightInd/>
              <w:snapToGrid/>
              <w:spacing w:line="400" w:lineRule="exact"/>
              <w:ind w:right="0" w:rightChars="0"/>
              <w:jc w:val="center"/>
              <w:textAlignment w:val="auto"/>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5</w:t>
            </w:r>
          </w:p>
        </w:tc>
        <w:tc>
          <w:tcPr>
            <w:tcW w:w="2157" w:type="dxa"/>
            <w:noWrap w:val="0"/>
            <w:vAlign w:val="center"/>
          </w:tcPr>
          <w:p w14:paraId="560D286F">
            <w:pPr>
              <w:keepNext w:val="0"/>
              <w:keepLines w:val="0"/>
              <w:pageBreakBefore w:val="0"/>
              <w:widowControl w:val="0"/>
              <w:tabs>
                <w:tab w:val="left" w:pos="540"/>
              </w:tabs>
              <w:kinsoku/>
              <w:wordWrap/>
              <w:overflowPunct/>
              <w:topLinePunct w:val="0"/>
              <w:autoSpaceDE/>
              <w:autoSpaceDN/>
              <w:bidi w:val="0"/>
              <w:adjustRightInd/>
              <w:snapToGrid/>
              <w:spacing w:line="400" w:lineRule="exact"/>
              <w:ind w:right="0" w:rightChars="0"/>
              <w:jc w:val="center"/>
              <w:textAlignment w:val="auto"/>
              <w:rPr>
                <w:rFonts w:hint="eastAsia" w:ascii="宋体" w:hAnsi="宋体" w:eastAsia="宋体" w:cs="宋体"/>
                <w:i w:val="0"/>
                <w:iCs w:val="0"/>
                <w:color w:val="auto"/>
                <w:kern w:val="2"/>
                <w:sz w:val="21"/>
                <w:szCs w:val="21"/>
                <w:highlight w:val="none"/>
                <w:lang w:val="en-US" w:eastAsia="zh-CN" w:bidi="ar-SA"/>
              </w:rPr>
            </w:pPr>
            <w:r>
              <w:rPr>
                <w:rFonts w:hint="eastAsia" w:ascii="宋体" w:hAnsi="宋体" w:eastAsia="宋体" w:cs="宋体"/>
                <w:i w:val="0"/>
                <w:iCs w:val="0"/>
                <w:color w:val="auto"/>
                <w:kern w:val="2"/>
                <w:sz w:val="21"/>
                <w:szCs w:val="21"/>
                <w:highlight w:val="none"/>
                <w:lang w:val="en-US" w:eastAsia="zh-CN" w:bidi="ar-SA"/>
              </w:rPr>
              <w:t>质量员</w:t>
            </w:r>
          </w:p>
        </w:tc>
        <w:tc>
          <w:tcPr>
            <w:tcW w:w="4963" w:type="dxa"/>
            <w:noWrap w:val="0"/>
            <w:vAlign w:val="center"/>
          </w:tcPr>
          <w:p w14:paraId="14CF0037">
            <w:pPr>
              <w:keepNext w:val="0"/>
              <w:keepLines w:val="0"/>
              <w:pageBreakBefore w:val="0"/>
              <w:kinsoku/>
              <w:wordWrap/>
              <w:overflowPunct/>
              <w:topLinePunct w:val="0"/>
              <w:bidi w:val="0"/>
              <w:snapToGrid/>
              <w:spacing w:line="400" w:lineRule="exact"/>
              <w:jc w:val="left"/>
              <w:textAlignment w:val="auto"/>
              <w:rPr>
                <w:rFonts w:hint="eastAsia" w:ascii="宋体" w:hAnsi="宋体" w:eastAsia="宋体" w:cs="宋体"/>
                <w:i w:val="0"/>
                <w:iCs w:val="0"/>
                <w:color w:val="auto"/>
                <w:kern w:val="2"/>
                <w:sz w:val="21"/>
                <w:szCs w:val="21"/>
                <w:highlight w:val="none"/>
                <w:lang w:val="en-US" w:eastAsia="zh-CN" w:bidi="ar-SA"/>
              </w:rPr>
            </w:pPr>
            <w:r>
              <w:rPr>
                <w:rFonts w:hint="eastAsia" w:ascii="宋体" w:hAnsi="宋体" w:eastAsia="宋体" w:cs="宋体"/>
                <w:color w:val="auto"/>
                <w:sz w:val="21"/>
                <w:szCs w:val="21"/>
                <w:highlight w:val="none"/>
              </w:rPr>
              <w:t>具备</w:t>
            </w:r>
            <w:r>
              <w:rPr>
                <w:rFonts w:hint="eastAsia" w:ascii="宋体" w:hAnsi="宋体" w:cs="宋体"/>
                <w:color w:val="auto"/>
                <w:sz w:val="21"/>
                <w:szCs w:val="21"/>
                <w:highlight w:val="none"/>
                <w:lang w:eastAsia="zh-CN"/>
              </w:rPr>
              <w:t>市政</w:t>
            </w:r>
            <w:r>
              <w:rPr>
                <w:rFonts w:hint="eastAsia" w:ascii="宋体" w:hAnsi="宋体" w:eastAsia="宋体" w:cs="宋体"/>
                <w:color w:val="auto"/>
                <w:sz w:val="21"/>
                <w:szCs w:val="21"/>
                <w:highlight w:val="none"/>
                <w:lang w:eastAsia="zh-CN"/>
              </w:rPr>
              <w:t>专业</w:t>
            </w:r>
            <w:r>
              <w:rPr>
                <w:rFonts w:hint="eastAsia" w:ascii="宋体" w:hAnsi="宋体" w:eastAsia="宋体" w:cs="宋体"/>
                <w:color w:val="auto"/>
                <w:sz w:val="21"/>
                <w:szCs w:val="21"/>
                <w:highlight w:val="none"/>
              </w:rPr>
              <w:t>质检员《浙江省建设专业管理岗位资格证书》（《住房和城乡建设领域施工现场专业人员职业培训合格证》）</w:t>
            </w:r>
          </w:p>
        </w:tc>
        <w:tc>
          <w:tcPr>
            <w:tcW w:w="1411" w:type="dxa"/>
            <w:noWrap w:val="0"/>
            <w:vAlign w:val="center"/>
          </w:tcPr>
          <w:p w14:paraId="22A9F8C8">
            <w:pPr>
              <w:keepNext w:val="0"/>
              <w:keepLines w:val="0"/>
              <w:pageBreakBefore w:val="0"/>
              <w:widowControl w:val="0"/>
              <w:kinsoku/>
              <w:wordWrap/>
              <w:overflowPunct/>
              <w:topLinePunct w:val="0"/>
              <w:autoSpaceDE/>
              <w:autoSpaceDN/>
              <w:bidi w:val="0"/>
              <w:adjustRightInd/>
              <w:snapToGrid/>
              <w:spacing w:line="400" w:lineRule="exact"/>
              <w:ind w:right="0" w:rightChars="0"/>
              <w:jc w:val="center"/>
              <w:textAlignment w:val="auto"/>
              <w:rPr>
                <w:rFonts w:hint="eastAsia" w:ascii="宋体" w:hAnsi="宋体" w:eastAsia="宋体" w:cs="宋体"/>
                <w:i w:val="0"/>
                <w:iCs w:val="0"/>
                <w:color w:val="auto"/>
                <w:kern w:val="2"/>
                <w:sz w:val="21"/>
                <w:szCs w:val="21"/>
                <w:highlight w:val="none"/>
                <w:lang w:val="en-US" w:eastAsia="zh-CN" w:bidi="ar-SA"/>
              </w:rPr>
            </w:pPr>
            <w:r>
              <w:rPr>
                <w:rFonts w:hint="eastAsia" w:ascii="宋体" w:hAnsi="宋体" w:eastAsia="宋体" w:cs="宋体"/>
                <w:i w:val="0"/>
                <w:iCs w:val="0"/>
                <w:color w:val="auto"/>
                <w:sz w:val="21"/>
                <w:szCs w:val="21"/>
                <w:highlight w:val="none"/>
                <w:lang w:val="en-US" w:eastAsia="zh-CN"/>
              </w:rPr>
              <w:t>1</w:t>
            </w:r>
          </w:p>
        </w:tc>
      </w:tr>
      <w:tr w14:paraId="4E2E07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9245" w:type="dxa"/>
            <w:gridSpan w:val="4"/>
            <w:noWrap w:val="0"/>
            <w:vAlign w:val="center"/>
          </w:tcPr>
          <w:p w14:paraId="12764BD8">
            <w:pPr>
              <w:keepNext w:val="0"/>
              <w:keepLines w:val="0"/>
              <w:pageBreakBefore w:val="0"/>
              <w:widowControl w:val="0"/>
              <w:kinsoku/>
              <w:wordWrap/>
              <w:overflowPunct/>
              <w:topLinePunct w:val="0"/>
              <w:autoSpaceDE/>
              <w:autoSpaceDN/>
              <w:bidi w:val="0"/>
              <w:adjustRightInd/>
              <w:snapToGrid/>
              <w:spacing w:line="400" w:lineRule="exact"/>
              <w:ind w:right="0" w:rightChars="0"/>
              <w:jc w:val="left"/>
              <w:textAlignment w:val="auto"/>
              <w:rPr>
                <w:rFonts w:hint="default" w:ascii="宋体" w:hAnsi="宋体" w:eastAsia="宋体" w:cs="宋体"/>
                <w:b/>
                <w:bCs/>
                <w:color w:val="auto"/>
                <w:sz w:val="21"/>
                <w:szCs w:val="21"/>
                <w:highlight w:val="none"/>
                <w:lang w:val="en-US" w:eastAsia="zh-CN"/>
              </w:rPr>
            </w:pPr>
            <w:bookmarkStart w:id="47" w:name="_Toc20889"/>
            <w:r>
              <w:rPr>
                <w:rFonts w:hint="eastAsia" w:ascii="宋体" w:hAnsi="宋体" w:eastAsia="宋体" w:cs="宋体"/>
                <w:b/>
                <w:bCs/>
                <w:color w:val="auto"/>
                <w:sz w:val="21"/>
                <w:szCs w:val="21"/>
                <w:highlight w:val="none"/>
                <w:lang w:val="en-US" w:eastAsia="zh-CN"/>
              </w:rPr>
              <w:t>注：表格中列具的项目管理机构人员是采购人要求的最低配置，供应商应根据工程实际情况配备，需增加的人员由供应商自行补充填写。供应商配备的项目管理机构人员不得低于采购人的最低配置要求，否则其投标作否决投标处理。</w:t>
            </w:r>
          </w:p>
        </w:tc>
      </w:tr>
      <w:bookmarkEnd w:id="46"/>
      <w:bookmarkEnd w:id="47"/>
    </w:tbl>
    <w:p w14:paraId="6C65D703">
      <w:pPr>
        <w:pStyle w:val="58"/>
        <w:ind w:left="0" w:leftChars="0" w:firstLine="0" w:firstLineChars="0"/>
        <w:rPr>
          <w:rFonts w:hint="default"/>
          <w:sz w:val="21"/>
          <w:szCs w:val="21"/>
          <w:lang w:val="en-US" w:eastAsia="zh-CN"/>
        </w:rPr>
      </w:pPr>
    </w:p>
    <w:p w14:paraId="143F7463">
      <w:pPr>
        <w:pStyle w:val="59"/>
        <w:ind w:left="0" w:leftChars="0" w:firstLine="211" w:firstLineChars="100"/>
        <w:rPr>
          <w:rFonts w:hint="eastAsia" w:ascii="Times New Roman" w:hAnsi="Times New Roman" w:eastAsia="宋体" w:cs="Times New Roman"/>
          <w:b/>
          <w:bCs/>
          <w:sz w:val="21"/>
          <w:szCs w:val="21"/>
          <w:lang w:val="en-US" w:eastAsia="zh-CN"/>
        </w:rPr>
      </w:pPr>
      <w:r>
        <w:rPr>
          <w:rFonts w:hint="eastAsia" w:ascii="Times New Roman" w:hAnsi="Times New Roman" w:cs="Times New Roman"/>
          <w:b/>
          <w:bCs/>
          <w:sz w:val="21"/>
          <w:szCs w:val="21"/>
          <w:lang w:val="en-US" w:eastAsia="zh-CN"/>
        </w:rPr>
        <w:t>五、项目技术参数</w:t>
      </w:r>
    </w:p>
    <w:tbl>
      <w:tblPr>
        <w:tblStyle w:val="60"/>
        <w:tblW w:w="88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799"/>
        <w:gridCol w:w="2006"/>
        <w:gridCol w:w="3105"/>
        <w:gridCol w:w="675"/>
        <w:gridCol w:w="1065"/>
        <w:gridCol w:w="1233"/>
      </w:tblGrid>
      <w:tr w14:paraId="5C4D72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90" w:hRule="atLeast"/>
          <w:jc w:val="center"/>
        </w:trPr>
        <w:tc>
          <w:tcPr>
            <w:tcW w:w="799" w:type="dxa"/>
            <w:shd w:val="clear" w:color="auto" w:fill="FFFFFF"/>
            <w:vAlign w:val="center"/>
          </w:tcPr>
          <w:p w14:paraId="56700AF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序号</w:t>
            </w:r>
          </w:p>
        </w:tc>
        <w:tc>
          <w:tcPr>
            <w:tcW w:w="2006" w:type="dxa"/>
            <w:shd w:val="clear" w:color="auto" w:fill="FFFFFF"/>
            <w:vAlign w:val="center"/>
          </w:tcPr>
          <w:p w14:paraId="23A27D9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项目名称</w:t>
            </w:r>
          </w:p>
        </w:tc>
        <w:tc>
          <w:tcPr>
            <w:tcW w:w="3105" w:type="dxa"/>
            <w:shd w:val="clear" w:color="auto" w:fill="FFFFFF"/>
            <w:vAlign w:val="center"/>
          </w:tcPr>
          <w:p w14:paraId="7178835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项目特征</w:t>
            </w:r>
          </w:p>
        </w:tc>
        <w:tc>
          <w:tcPr>
            <w:tcW w:w="675" w:type="dxa"/>
            <w:shd w:val="clear" w:color="auto" w:fill="FFFFFF"/>
            <w:vAlign w:val="center"/>
          </w:tcPr>
          <w:p w14:paraId="7AFD80B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计量</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单位</w:t>
            </w:r>
          </w:p>
        </w:tc>
        <w:tc>
          <w:tcPr>
            <w:tcW w:w="1065" w:type="dxa"/>
            <w:shd w:val="clear" w:color="auto" w:fill="FFFFFF"/>
            <w:vAlign w:val="center"/>
          </w:tcPr>
          <w:p w14:paraId="0F7C5E0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工程量</w:t>
            </w:r>
          </w:p>
        </w:tc>
        <w:tc>
          <w:tcPr>
            <w:tcW w:w="1233" w:type="dxa"/>
            <w:shd w:val="clear" w:color="auto" w:fill="FFFFFF"/>
            <w:vAlign w:val="center"/>
          </w:tcPr>
          <w:p w14:paraId="47985F1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3FECB2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74" w:hRule="atLeast"/>
          <w:jc w:val="center"/>
        </w:trPr>
        <w:tc>
          <w:tcPr>
            <w:tcW w:w="799" w:type="dxa"/>
            <w:shd w:val="clear" w:color="auto" w:fill="FFFFFF"/>
            <w:vAlign w:val="center"/>
          </w:tcPr>
          <w:p w14:paraId="7C769B2E">
            <w:pPr>
              <w:keepNext w:val="0"/>
              <w:keepLines w:val="0"/>
              <w:widowControl/>
              <w:suppressLineNumbers w:val="0"/>
              <w:tabs>
                <w:tab w:val="left" w:pos="508"/>
              </w:tabs>
              <w:jc w:val="left"/>
              <w:textAlignment w:val="center"/>
              <w:rPr>
                <w:rFonts w:hint="eastAsia" w:ascii="宋体" w:hAnsi="宋体" w:eastAsia="宋体" w:cs="宋体"/>
                <w:i w:val="0"/>
                <w:iCs w:val="0"/>
                <w:color w:val="000000"/>
                <w:kern w:val="0"/>
                <w:sz w:val="21"/>
                <w:szCs w:val="21"/>
                <w:u w:val="none"/>
                <w:lang w:val="en-US" w:eastAsia="zh-CN" w:bidi="ar"/>
              </w:rPr>
            </w:pPr>
          </w:p>
        </w:tc>
        <w:tc>
          <w:tcPr>
            <w:tcW w:w="2006" w:type="dxa"/>
            <w:shd w:val="clear" w:color="auto" w:fill="FFFFFF"/>
            <w:vAlign w:val="center"/>
          </w:tcPr>
          <w:p w14:paraId="070C670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运动场地</w:t>
            </w:r>
          </w:p>
        </w:tc>
        <w:tc>
          <w:tcPr>
            <w:tcW w:w="3105" w:type="dxa"/>
            <w:shd w:val="clear" w:color="auto" w:fill="FFFFFF"/>
            <w:vAlign w:val="center"/>
          </w:tcPr>
          <w:p w14:paraId="1AF5302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675" w:type="dxa"/>
            <w:shd w:val="clear" w:color="auto" w:fill="FFFFFF"/>
            <w:vAlign w:val="center"/>
          </w:tcPr>
          <w:p w14:paraId="28EDF8E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065" w:type="dxa"/>
            <w:shd w:val="clear" w:color="auto" w:fill="FFFFFF"/>
            <w:vAlign w:val="center"/>
          </w:tcPr>
          <w:p w14:paraId="0E62A92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233" w:type="dxa"/>
            <w:shd w:val="clear" w:color="auto" w:fill="FFFFFF"/>
            <w:vAlign w:val="center"/>
          </w:tcPr>
          <w:p w14:paraId="0F67705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3D1AD0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0" w:hRule="atLeast"/>
          <w:jc w:val="center"/>
        </w:trPr>
        <w:tc>
          <w:tcPr>
            <w:tcW w:w="799" w:type="dxa"/>
            <w:shd w:val="clear" w:color="auto" w:fill="FFFFFF"/>
            <w:vAlign w:val="center"/>
          </w:tcPr>
          <w:p w14:paraId="11B5D69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2006" w:type="dxa"/>
            <w:shd w:val="clear" w:color="auto" w:fill="FFFFFF"/>
            <w:vAlign w:val="center"/>
          </w:tcPr>
          <w:p w14:paraId="29525DB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塑胶地面拆除</w:t>
            </w:r>
          </w:p>
        </w:tc>
        <w:tc>
          <w:tcPr>
            <w:tcW w:w="3105" w:type="dxa"/>
            <w:shd w:val="clear" w:color="auto" w:fill="FFFFFF"/>
            <w:vAlign w:val="center"/>
          </w:tcPr>
          <w:p w14:paraId="37BC167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1.塑胶地面拆除</w:t>
            </w:r>
          </w:p>
        </w:tc>
        <w:tc>
          <w:tcPr>
            <w:tcW w:w="675" w:type="dxa"/>
            <w:shd w:val="clear" w:color="auto" w:fill="FFFFFF"/>
            <w:vAlign w:val="center"/>
          </w:tcPr>
          <w:p w14:paraId="45DA01C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m2</w:t>
            </w:r>
          </w:p>
        </w:tc>
        <w:tc>
          <w:tcPr>
            <w:tcW w:w="1065" w:type="dxa"/>
            <w:shd w:val="clear" w:color="auto" w:fill="FFFFFF"/>
            <w:vAlign w:val="center"/>
          </w:tcPr>
          <w:p w14:paraId="772AAC2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3905.15</w:t>
            </w:r>
          </w:p>
        </w:tc>
        <w:tc>
          <w:tcPr>
            <w:tcW w:w="1233" w:type="dxa"/>
            <w:shd w:val="clear" w:color="auto" w:fill="FFFFFF"/>
            <w:vAlign w:val="center"/>
          </w:tcPr>
          <w:p w14:paraId="168E5E6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338290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0" w:hRule="atLeast"/>
          <w:jc w:val="center"/>
        </w:trPr>
        <w:tc>
          <w:tcPr>
            <w:tcW w:w="799" w:type="dxa"/>
            <w:shd w:val="clear" w:color="auto" w:fill="FFFFFF"/>
            <w:vAlign w:val="center"/>
          </w:tcPr>
          <w:p w14:paraId="3A2907E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w:t>
            </w:r>
          </w:p>
        </w:tc>
        <w:tc>
          <w:tcPr>
            <w:tcW w:w="2006" w:type="dxa"/>
            <w:shd w:val="clear" w:color="auto" w:fill="FFFFFF"/>
            <w:vAlign w:val="center"/>
          </w:tcPr>
          <w:p w14:paraId="16D8112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场地清洗费</w:t>
            </w:r>
          </w:p>
        </w:tc>
        <w:tc>
          <w:tcPr>
            <w:tcW w:w="3105" w:type="dxa"/>
            <w:shd w:val="clear" w:color="auto" w:fill="FFFFFF"/>
            <w:vAlign w:val="center"/>
          </w:tcPr>
          <w:p w14:paraId="64A8788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1.场地清洗费</w:t>
            </w:r>
          </w:p>
        </w:tc>
        <w:tc>
          <w:tcPr>
            <w:tcW w:w="675" w:type="dxa"/>
            <w:shd w:val="clear" w:color="auto" w:fill="FFFFFF"/>
            <w:vAlign w:val="center"/>
          </w:tcPr>
          <w:p w14:paraId="624B64D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项</w:t>
            </w:r>
          </w:p>
        </w:tc>
        <w:tc>
          <w:tcPr>
            <w:tcW w:w="1065" w:type="dxa"/>
            <w:shd w:val="clear" w:color="auto" w:fill="FFFFFF"/>
            <w:vAlign w:val="center"/>
          </w:tcPr>
          <w:p w14:paraId="0DCB713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1233" w:type="dxa"/>
            <w:shd w:val="clear" w:color="auto" w:fill="FFFFFF"/>
            <w:vAlign w:val="center"/>
          </w:tcPr>
          <w:p w14:paraId="6174411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164C67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0" w:hRule="atLeast"/>
          <w:jc w:val="center"/>
        </w:trPr>
        <w:tc>
          <w:tcPr>
            <w:tcW w:w="799" w:type="dxa"/>
            <w:shd w:val="clear" w:color="auto" w:fill="FFFFFF"/>
            <w:vAlign w:val="center"/>
          </w:tcPr>
          <w:p w14:paraId="0CAA871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w:t>
            </w:r>
          </w:p>
        </w:tc>
        <w:tc>
          <w:tcPr>
            <w:tcW w:w="2006" w:type="dxa"/>
            <w:shd w:val="clear" w:color="auto" w:fill="FFFFFF"/>
            <w:vAlign w:val="center"/>
          </w:tcPr>
          <w:p w14:paraId="03A97AF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余方弃置</w:t>
            </w:r>
          </w:p>
        </w:tc>
        <w:tc>
          <w:tcPr>
            <w:tcW w:w="3105" w:type="dxa"/>
            <w:shd w:val="clear" w:color="auto" w:fill="FFFFFF"/>
            <w:vAlign w:val="center"/>
          </w:tcPr>
          <w:p w14:paraId="3309235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1.垃圾外运5km</w:t>
            </w:r>
          </w:p>
        </w:tc>
        <w:tc>
          <w:tcPr>
            <w:tcW w:w="675" w:type="dxa"/>
            <w:shd w:val="clear" w:color="auto" w:fill="FFFFFF"/>
            <w:vAlign w:val="center"/>
          </w:tcPr>
          <w:p w14:paraId="67CC305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t</w:t>
            </w:r>
          </w:p>
        </w:tc>
        <w:tc>
          <w:tcPr>
            <w:tcW w:w="1065" w:type="dxa"/>
            <w:shd w:val="clear" w:color="auto" w:fill="FFFFFF"/>
            <w:vAlign w:val="center"/>
          </w:tcPr>
          <w:p w14:paraId="3845A7D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97.360</w:t>
            </w:r>
          </w:p>
        </w:tc>
        <w:tc>
          <w:tcPr>
            <w:tcW w:w="1233" w:type="dxa"/>
            <w:shd w:val="clear" w:color="auto" w:fill="FFFFFF"/>
            <w:vAlign w:val="center"/>
          </w:tcPr>
          <w:p w14:paraId="133D9FD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540392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0" w:hRule="atLeast"/>
          <w:jc w:val="center"/>
        </w:trPr>
        <w:tc>
          <w:tcPr>
            <w:tcW w:w="799" w:type="dxa"/>
            <w:shd w:val="clear" w:color="auto" w:fill="FFFFFF"/>
            <w:vAlign w:val="center"/>
          </w:tcPr>
          <w:p w14:paraId="1C42621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w:t>
            </w:r>
          </w:p>
        </w:tc>
        <w:tc>
          <w:tcPr>
            <w:tcW w:w="2006" w:type="dxa"/>
            <w:shd w:val="clear" w:color="auto" w:fill="FFFFFF"/>
            <w:vAlign w:val="center"/>
          </w:tcPr>
          <w:p w14:paraId="0B526FE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13mm厚透气型塑胶面层</w:t>
            </w:r>
          </w:p>
        </w:tc>
        <w:tc>
          <w:tcPr>
            <w:tcW w:w="3105" w:type="dxa"/>
            <w:shd w:val="clear" w:color="auto" w:fill="FFFFFF"/>
            <w:vAlign w:val="center"/>
          </w:tcPr>
          <w:p w14:paraId="0844889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1.13mm厚透气型塑胶面层，参照GB36246-2018版标准（包含材料检测费用）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2.原基面修补</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3.底层涂接触剂一道</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4.防滑颗粒高聚物含量&gt;20%</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5.测绘划线</w:t>
            </w:r>
          </w:p>
        </w:tc>
        <w:tc>
          <w:tcPr>
            <w:tcW w:w="675" w:type="dxa"/>
            <w:shd w:val="clear" w:color="auto" w:fill="FFFFFF"/>
            <w:vAlign w:val="center"/>
          </w:tcPr>
          <w:p w14:paraId="2929E19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m2</w:t>
            </w:r>
          </w:p>
        </w:tc>
        <w:tc>
          <w:tcPr>
            <w:tcW w:w="1065" w:type="dxa"/>
            <w:shd w:val="clear" w:color="auto" w:fill="FFFFFF"/>
            <w:vAlign w:val="center"/>
          </w:tcPr>
          <w:p w14:paraId="264606D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2706.76</w:t>
            </w:r>
          </w:p>
        </w:tc>
        <w:tc>
          <w:tcPr>
            <w:tcW w:w="1233" w:type="dxa"/>
            <w:shd w:val="clear" w:color="auto" w:fill="FFFFFF"/>
            <w:vAlign w:val="center"/>
          </w:tcPr>
          <w:p w14:paraId="72F8BE3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23C59D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0" w:hRule="atLeast"/>
          <w:jc w:val="center"/>
        </w:trPr>
        <w:tc>
          <w:tcPr>
            <w:tcW w:w="799" w:type="dxa"/>
            <w:shd w:val="clear" w:color="auto" w:fill="FFFFFF"/>
            <w:vAlign w:val="center"/>
          </w:tcPr>
          <w:p w14:paraId="465B3F5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w:t>
            </w:r>
          </w:p>
        </w:tc>
        <w:tc>
          <w:tcPr>
            <w:tcW w:w="2006" w:type="dxa"/>
            <w:shd w:val="clear" w:color="auto" w:fill="FFFFFF"/>
            <w:vAlign w:val="center"/>
          </w:tcPr>
          <w:p w14:paraId="541F6E4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8mm-10mm厚EPDM塑胶面层</w:t>
            </w:r>
          </w:p>
        </w:tc>
        <w:tc>
          <w:tcPr>
            <w:tcW w:w="3105" w:type="dxa"/>
            <w:shd w:val="clear" w:color="auto" w:fill="FFFFFF"/>
            <w:vAlign w:val="center"/>
          </w:tcPr>
          <w:p w14:paraId="52A5528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1.8mm-10mm厚EPDM塑胶面层，参照GB36246-2018版标准（包含材料检测费用）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2.底层涂接触剂一道</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3.测绘划线</w:t>
            </w:r>
          </w:p>
        </w:tc>
        <w:tc>
          <w:tcPr>
            <w:tcW w:w="675" w:type="dxa"/>
            <w:shd w:val="clear" w:color="auto" w:fill="FFFFFF"/>
            <w:vAlign w:val="center"/>
          </w:tcPr>
          <w:p w14:paraId="77B9DD4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m2</w:t>
            </w:r>
          </w:p>
        </w:tc>
        <w:tc>
          <w:tcPr>
            <w:tcW w:w="1065" w:type="dxa"/>
            <w:shd w:val="clear" w:color="auto" w:fill="FFFFFF"/>
            <w:vAlign w:val="center"/>
          </w:tcPr>
          <w:p w14:paraId="30237C5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1198.39</w:t>
            </w:r>
          </w:p>
        </w:tc>
        <w:tc>
          <w:tcPr>
            <w:tcW w:w="1233" w:type="dxa"/>
            <w:shd w:val="clear" w:color="auto" w:fill="FFFFFF"/>
            <w:vAlign w:val="center"/>
          </w:tcPr>
          <w:p w14:paraId="6B76114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25ADFA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0" w:hRule="atLeast"/>
          <w:jc w:val="center"/>
        </w:trPr>
        <w:tc>
          <w:tcPr>
            <w:tcW w:w="799" w:type="dxa"/>
            <w:shd w:val="clear" w:color="auto" w:fill="FFFFFF"/>
            <w:vAlign w:val="center"/>
          </w:tcPr>
          <w:p w14:paraId="6BB8EC45">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w:t>
            </w:r>
          </w:p>
        </w:tc>
        <w:tc>
          <w:tcPr>
            <w:tcW w:w="2006" w:type="dxa"/>
            <w:shd w:val="clear" w:color="auto" w:fill="FFFFFF"/>
            <w:vAlign w:val="center"/>
          </w:tcPr>
          <w:p w14:paraId="17B4AB8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沟道盖板</w:t>
            </w:r>
          </w:p>
        </w:tc>
        <w:tc>
          <w:tcPr>
            <w:tcW w:w="3105" w:type="dxa"/>
            <w:shd w:val="clear" w:color="auto" w:fill="FFFFFF"/>
            <w:vAlign w:val="center"/>
          </w:tcPr>
          <w:p w14:paraId="2624093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1.100厚C25混凝土预制沟盖板更换，(内含钢筋）</w:t>
            </w:r>
          </w:p>
        </w:tc>
        <w:tc>
          <w:tcPr>
            <w:tcW w:w="675" w:type="dxa"/>
            <w:shd w:val="clear" w:color="auto" w:fill="FFFFFF"/>
            <w:vAlign w:val="center"/>
          </w:tcPr>
          <w:p w14:paraId="60825CB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m</w:t>
            </w:r>
          </w:p>
        </w:tc>
        <w:tc>
          <w:tcPr>
            <w:tcW w:w="1065" w:type="dxa"/>
            <w:shd w:val="clear" w:color="auto" w:fill="FFFFFF"/>
            <w:vAlign w:val="center"/>
          </w:tcPr>
          <w:p w14:paraId="010C64F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295.91</w:t>
            </w:r>
          </w:p>
        </w:tc>
        <w:tc>
          <w:tcPr>
            <w:tcW w:w="1233" w:type="dxa"/>
            <w:shd w:val="clear" w:color="auto" w:fill="FFFFFF"/>
            <w:vAlign w:val="center"/>
          </w:tcPr>
          <w:p w14:paraId="2F58F9D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47E897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0" w:hRule="atLeast"/>
          <w:jc w:val="center"/>
        </w:trPr>
        <w:tc>
          <w:tcPr>
            <w:tcW w:w="799" w:type="dxa"/>
            <w:shd w:val="clear" w:color="auto" w:fill="FFFFFF"/>
            <w:vAlign w:val="center"/>
          </w:tcPr>
          <w:p w14:paraId="4FDB6C5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w:t>
            </w:r>
          </w:p>
        </w:tc>
        <w:tc>
          <w:tcPr>
            <w:tcW w:w="2006" w:type="dxa"/>
            <w:shd w:val="clear" w:color="auto" w:fill="FFFFFF"/>
            <w:vAlign w:val="center"/>
          </w:tcPr>
          <w:p w14:paraId="081EF92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排水沟清理费</w:t>
            </w:r>
          </w:p>
        </w:tc>
        <w:tc>
          <w:tcPr>
            <w:tcW w:w="3105" w:type="dxa"/>
            <w:shd w:val="clear" w:color="auto" w:fill="FFFFFF"/>
            <w:vAlign w:val="center"/>
          </w:tcPr>
          <w:p w14:paraId="18EE94E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1.排水沟清理费</w:t>
            </w:r>
          </w:p>
        </w:tc>
        <w:tc>
          <w:tcPr>
            <w:tcW w:w="675" w:type="dxa"/>
            <w:shd w:val="clear" w:color="auto" w:fill="FFFFFF"/>
            <w:vAlign w:val="center"/>
          </w:tcPr>
          <w:p w14:paraId="41EA419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项</w:t>
            </w:r>
          </w:p>
        </w:tc>
        <w:tc>
          <w:tcPr>
            <w:tcW w:w="1065" w:type="dxa"/>
            <w:shd w:val="clear" w:color="auto" w:fill="FFFFFF"/>
            <w:vAlign w:val="center"/>
          </w:tcPr>
          <w:p w14:paraId="0B731C9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1233" w:type="dxa"/>
            <w:shd w:val="clear" w:color="auto" w:fill="FFFFFF"/>
            <w:vAlign w:val="center"/>
          </w:tcPr>
          <w:p w14:paraId="06A07E0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6339CB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0" w:hRule="atLeast"/>
          <w:jc w:val="center"/>
        </w:trPr>
        <w:tc>
          <w:tcPr>
            <w:tcW w:w="799" w:type="dxa"/>
            <w:shd w:val="clear" w:color="auto" w:fill="FFFFFF"/>
            <w:vAlign w:val="center"/>
          </w:tcPr>
          <w:p w14:paraId="4B4EB95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w:t>
            </w:r>
          </w:p>
        </w:tc>
        <w:tc>
          <w:tcPr>
            <w:tcW w:w="2006" w:type="dxa"/>
            <w:shd w:val="clear" w:color="auto" w:fill="FFFFFF"/>
            <w:vAlign w:val="center"/>
          </w:tcPr>
          <w:p w14:paraId="3F9B4AC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零星修复费</w:t>
            </w:r>
          </w:p>
        </w:tc>
        <w:tc>
          <w:tcPr>
            <w:tcW w:w="3105" w:type="dxa"/>
            <w:shd w:val="clear" w:color="auto" w:fill="FFFFFF"/>
            <w:vAlign w:val="center"/>
          </w:tcPr>
          <w:p w14:paraId="710F284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1.零星修复费</w:t>
            </w:r>
          </w:p>
        </w:tc>
        <w:tc>
          <w:tcPr>
            <w:tcW w:w="675" w:type="dxa"/>
            <w:shd w:val="clear" w:color="auto" w:fill="FFFFFF"/>
            <w:vAlign w:val="center"/>
          </w:tcPr>
          <w:p w14:paraId="63C5907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项</w:t>
            </w:r>
          </w:p>
        </w:tc>
        <w:tc>
          <w:tcPr>
            <w:tcW w:w="1065" w:type="dxa"/>
            <w:shd w:val="clear" w:color="auto" w:fill="FFFFFF"/>
            <w:vAlign w:val="center"/>
          </w:tcPr>
          <w:p w14:paraId="4AF215B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1233" w:type="dxa"/>
            <w:shd w:val="clear" w:color="auto" w:fill="FFFFFF"/>
            <w:vAlign w:val="center"/>
          </w:tcPr>
          <w:p w14:paraId="2E66FAE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bl>
    <w:p w14:paraId="46F69D01">
      <w:pPr>
        <w:pStyle w:val="59"/>
        <w:ind w:left="0" w:leftChars="0" w:firstLine="0" w:firstLineChars="0"/>
        <w:rPr>
          <w:rFonts w:hint="eastAsia" w:ascii="Times New Roman" w:hAnsi="Times New Roman" w:eastAsia="宋体" w:cs="Times New Roman"/>
          <w:sz w:val="21"/>
          <w:szCs w:val="21"/>
          <w:lang w:val="en-US" w:eastAsia="zh-CN"/>
        </w:rPr>
      </w:pPr>
    </w:p>
    <w:p w14:paraId="13240863">
      <w:pPr>
        <w:spacing w:line="360" w:lineRule="auto"/>
        <w:jc w:val="center"/>
        <w:rPr>
          <w:rFonts w:hint="eastAsia" w:ascii="宋体" w:hAnsi="宋体"/>
          <w:b/>
          <w:bCs/>
          <w:szCs w:val="21"/>
        </w:rPr>
      </w:pPr>
      <w:r>
        <w:rPr>
          <w:rFonts w:hint="eastAsia" w:ascii="宋体" w:hAnsi="宋体"/>
          <w:b/>
          <w:bCs/>
          <w:szCs w:val="21"/>
        </w:rPr>
        <w:t>B、技术参数标准</w:t>
      </w:r>
    </w:p>
    <w:p w14:paraId="3F09F8DE">
      <w:pPr>
        <w:spacing w:line="360" w:lineRule="auto"/>
        <w:jc w:val="left"/>
        <w:rPr>
          <w:rFonts w:ascii="宋体" w:hAnsi="宋体"/>
          <w:b/>
          <w:szCs w:val="21"/>
        </w:rPr>
      </w:pPr>
      <w:r>
        <w:rPr>
          <w:rFonts w:ascii="宋体" w:hAnsi="宋体"/>
          <w:b/>
          <w:szCs w:val="21"/>
        </w:rPr>
        <w:t>1、</w:t>
      </w:r>
      <w:r>
        <w:rPr>
          <w:rFonts w:hint="eastAsia" w:ascii="宋体" w:hAnsi="宋体"/>
          <w:b/>
          <w:szCs w:val="21"/>
        </w:rPr>
        <w:t>13mm</w:t>
      </w:r>
      <w:r>
        <w:rPr>
          <w:rFonts w:hint="eastAsia" w:ascii="宋体" w:hAnsi="宋体"/>
          <w:b/>
          <w:szCs w:val="21"/>
          <w:lang w:val="en-US" w:eastAsia="zh-CN"/>
        </w:rPr>
        <w:t>透气型塑胶面层</w:t>
      </w:r>
      <w:r>
        <w:rPr>
          <w:rFonts w:hint="eastAsia" w:ascii="宋体" w:hAnsi="宋体"/>
          <w:b/>
          <w:szCs w:val="21"/>
        </w:rPr>
        <w:t>要求及技术参</w:t>
      </w:r>
      <w:r>
        <w:rPr>
          <w:rFonts w:ascii="宋体" w:hAnsi="宋体"/>
          <w:b/>
          <w:szCs w:val="21"/>
        </w:rPr>
        <w:t>数</w:t>
      </w:r>
    </w:p>
    <w:p w14:paraId="47153096">
      <w:pPr>
        <w:numPr>
          <w:ilvl w:val="0"/>
          <w:numId w:val="8"/>
        </w:numPr>
        <w:spacing w:line="360" w:lineRule="auto"/>
        <w:jc w:val="left"/>
        <w:rPr>
          <w:rFonts w:hint="eastAsia" w:ascii="宋体" w:hAnsi="宋体"/>
          <w:szCs w:val="21"/>
          <w:highlight w:val="none"/>
        </w:rPr>
      </w:pPr>
      <w:r>
        <w:rPr>
          <w:rFonts w:hint="eastAsia" w:ascii="宋体" w:hAnsi="宋体"/>
          <w:szCs w:val="21"/>
          <w:highlight w:val="none"/>
        </w:rPr>
        <w:t>底层滚涂一层胶水进行加固；环保EPDM打底颗粒</w:t>
      </w:r>
      <w:r>
        <w:rPr>
          <w:rFonts w:hint="eastAsia" w:ascii="宋体" w:hAnsi="宋体"/>
          <w:szCs w:val="21"/>
          <w:highlight w:val="none"/>
          <w:lang w:eastAsia="zh-CN"/>
        </w:rPr>
        <w:t>（</w:t>
      </w:r>
      <w:r>
        <w:rPr>
          <w:rFonts w:hint="eastAsia" w:ascii="宋体" w:hAnsi="宋体"/>
          <w:szCs w:val="21"/>
          <w:highlight w:val="none"/>
          <w:lang w:val="en-US" w:eastAsia="zh-CN"/>
        </w:rPr>
        <w:t>2</w:t>
      </w:r>
      <w:r>
        <w:rPr>
          <w:rFonts w:hint="eastAsia" w:ascii="宋体" w:hAnsi="宋体"/>
          <w:szCs w:val="21"/>
          <w:highlight w:val="none"/>
          <w:lang w:eastAsia="zh-CN"/>
        </w:rPr>
        <w:t>-4mm）</w:t>
      </w:r>
      <w:r>
        <w:rPr>
          <w:rFonts w:hint="eastAsia" w:ascii="宋体" w:hAnsi="宋体"/>
          <w:szCs w:val="21"/>
          <w:highlight w:val="none"/>
        </w:rPr>
        <w:t>跟纯胶水机械摊铺弹性层，配比不大于6:1，厚度</w:t>
      </w:r>
      <w:r>
        <w:rPr>
          <w:rFonts w:hint="eastAsia" w:ascii="宋体" w:hAnsi="宋体"/>
          <w:szCs w:val="21"/>
          <w:highlight w:val="none"/>
          <w:lang w:val="en-US" w:eastAsia="zh-CN"/>
        </w:rPr>
        <w:t>8</w:t>
      </w:r>
      <w:r>
        <w:rPr>
          <w:rFonts w:hint="eastAsia" w:ascii="宋体" w:hAnsi="宋体"/>
          <w:szCs w:val="21"/>
          <w:highlight w:val="none"/>
        </w:rPr>
        <w:t>-10mm；</w:t>
      </w:r>
      <w:r>
        <w:rPr>
          <w:rFonts w:hint="eastAsia" w:ascii="宋体" w:hAnsi="宋体"/>
          <w:szCs w:val="21"/>
          <w:highlight w:val="none"/>
          <w:lang w:eastAsia="zh-CN"/>
        </w:rPr>
        <w:t>胶粒</w:t>
      </w:r>
      <w:r>
        <w:rPr>
          <w:rFonts w:hint="eastAsia" w:ascii="宋体" w:hAnsi="宋体"/>
          <w:szCs w:val="21"/>
          <w:highlight w:val="none"/>
        </w:rPr>
        <w:t>高聚物含量≧</w:t>
      </w:r>
      <w:r>
        <w:rPr>
          <w:rFonts w:hint="eastAsia" w:ascii="宋体" w:hAnsi="宋体"/>
          <w:szCs w:val="21"/>
          <w:highlight w:val="none"/>
          <w:lang w:val="en-US" w:eastAsia="zh-CN"/>
        </w:rPr>
        <w:t>15</w:t>
      </w:r>
      <w:r>
        <w:rPr>
          <w:rFonts w:hint="eastAsia" w:ascii="宋体" w:hAnsi="宋体"/>
          <w:szCs w:val="21"/>
          <w:highlight w:val="none"/>
        </w:rPr>
        <w:t>%；喷涂PU弹性稳定剂和EPDM彩色颗粒混合而成的摩擦层2-3遍，总厚度3-5mm</w:t>
      </w:r>
      <w:r>
        <w:rPr>
          <w:rFonts w:hint="eastAsia" w:ascii="宋体" w:hAnsi="宋体"/>
          <w:szCs w:val="21"/>
          <w:highlight w:val="none"/>
          <w:lang w:eastAsia="zh-CN"/>
        </w:rPr>
        <w:t>；EPDM防滑颗粒高聚物含量≥20%</w:t>
      </w:r>
    </w:p>
    <w:p w14:paraId="5CA886D4">
      <w:pPr>
        <w:numPr>
          <w:ilvl w:val="0"/>
          <w:numId w:val="0"/>
        </w:numPr>
        <w:spacing w:line="360" w:lineRule="auto"/>
        <w:jc w:val="left"/>
        <w:rPr>
          <w:rFonts w:ascii="宋体" w:hAnsi="宋体"/>
          <w:szCs w:val="21"/>
          <w:highlight w:val="none"/>
        </w:rPr>
      </w:pPr>
      <w:r>
        <w:rPr>
          <w:rFonts w:ascii="宋体" w:hAnsi="宋体"/>
          <w:szCs w:val="21"/>
          <w:highlight w:val="none"/>
        </w:rPr>
        <w:t>（2）有害物质及无机填料含量、有害物质释放量和气味等级符合GB36246-2018《中小学合成材料面层运动场地》标准</w:t>
      </w:r>
      <w:r>
        <w:rPr>
          <w:rFonts w:hint="eastAsia" w:ascii="宋体" w:hAnsi="宋体"/>
          <w:szCs w:val="21"/>
          <w:highlight w:val="none"/>
        </w:rPr>
        <w:t>；</w:t>
      </w:r>
    </w:p>
    <w:p w14:paraId="72AF52A4">
      <w:pPr>
        <w:spacing w:line="360" w:lineRule="auto"/>
        <w:jc w:val="left"/>
        <w:rPr>
          <w:rFonts w:ascii="宋体" w:hAnsi="宋体"/>
          <w:b w:val="0"/>
          <w:bCs w:val="0"/>
          <w:szCs w:val="21"/>
          <w:highlight w:val="none"/>
        </w:rPr>
      </w:pPr>
      <w:r>
        <w:rPr>
          <w:rFonts w:ascii="宋体" w:hAnsi="宋体"/>
          <w:szCs w:val="21"/>
          <w:highlight w:val="none"/>
        </w:rPr>
        <w:t>（3）</w:t>
      </w:r>
      <w:r>
        <w:rPr>
          <w:rFonts w:ascii="宋体" w:hAnsi="宋体"/>
          <w:b w:val="0"/>
          <w:bCs w:val="0"/>
          <w:szCs w:val="21"/>
          <w:highlight w:val="none"/>
        </w:rPr>
        <w:t>物理性能和耐人工气候老化性能符合GB36246-2018标准</w:t>
      </w:r>
      <w:r>
        <w:rPr>
          <w:rFonts w:hint="eastAsia" w:ascii="宋体" w:hAnsi="宋体"/>
          <w:b w:val="0"/>
          <w:bCs w:val="0"/>
          <w:szCs w:val="21"/>
          <w:highlight w:val="none"/>
        </w:rPr>
        <w:t>；</w:t>
      </w:r>
    </w:p>
    <w:p w14:paraId="206D37C3">
      <w:pPr>
        <w:spacing w:line="360" w:lineRule="auto"/>
        <w:jc w:val="left"/>
        <w:rPr>
          <w:rFonts w:ascii="宋体" w:hAnsi="宋体"/>
          <w:szCs w:val="21"/>
          <w:highlight w:val="none"/>
        </w:rPr>
      </w:pPr>
      <w:r>
        <w:rPr>
          <w:rFonts w:hint="eastAsia" w:ascii="宋体" w:hAnsi="宋体"/>
          <w:szCs w:val="21"/>
          <w:highlight w:val="none"/>
        </w:rPr>
        <w:t>（4）</w:t>
      </w:r>
      <w:r>
        <w:rPr>
          <w:rFonts w:ascii="宋体" w:hAnsi="宋体"/>
          <w:szCs w:val="21"/>
          <w:highlight w:val="none"/>
        </w:rPr>
        <w:t>EPDM摩擦面层不得小于3mm,环保胶粒吸震层其胶粒与聚氨脂单组份胶水配比不得大于6：1。</w:t>
      </w:r>
    </w:p>
    <w:p w14:paraId="5CFC0391">
      <w:pPr>
        <w:spacing w:line="360" w:lineRule="auto"/>
        <w:jc w:val="left"/>
        <w:rPr>
          <w:rFonts w:ascii="宋体" w:hAnsi="宋体"/>
          <w:b/>
          <w:szCs w:val="21"/>
        </w:rPr>
      </w:pPr>
      <w:r>
        <w:rPr>
          <w:rFonts w:hint="eastAsia" w:ascii="宋体" w:hAnsi="宋体"/>
          <w:b/>
          <w:szCs w:val="21"/>
          <w:lang w:val="en-US" w:eastAsia="zh-CN"/>
        </w:rPr>
        <w:t>2</w:t>
      </w:r>
      <w:r>
        <w:rPr>
          <w:rFonts w:ascii="宋体" w:hAnsi="宋体"/>
          <w:b/>
          <w:szCs w:val="21"/>
        </w:rPr>
        <w:t>、</w:t>
      </w:r>
      <w:r>
        <w:rPr>
          <w:rFonts w:hint="eastAsia" w:ascii="宋体" w:hAnsi="宋体"/>
          <w:b/>
          <w:szCs w:val="21"/>
          <w:lang w:val="en-US" w:eastAsia="zh-CN"/>
        </w:rPr>
        <w:t>8mm-10mm厚EPDM塑胶面层</w:t>
      </w:r>
      <w:r>
        <w:rPr>
          <w:rFonts w:hint="eastAsia" w:ascii="宋体" w:hAnsi="宋体"/>
          <w:b/>
          <w:szCs w:val="21"/>
        </w:rPr>
        <w:t>要求及技术参</w:t>
      </w:r>
      <w:r>
        <w:rPr>
          <w:rFonts w:ascii="宋体" w:hAnsi="宋体"/>
          <w:b/>
          <w:szCs w:val="21"/>
        </w:rPr>
        <w:t>数</w:t>
      </w:r>
    </w:p>
    <w:p w14:paraId="0FDB4E05">
      <w:pPr>
        <w:numPr>
          <w:ilvl w:val="0"/>
          <w:numId w:val="9"/>
        </w:numPr>
        <w:spacing w:line="360" w:lineRule="auto"/>
        <w:jc w:val="left"/>
        <w:rPr>
          <w:rFonts w:hint="eastAsia" w:ascii="宋体" w:hAnsi="宋体"/>
          <w:szCs w:val="21"/>
          <w:highlight w:val="none"/>
        </w:rPr>
      </w:pPr>
      <w:r>
        <w:rPr>
          <w:rFonts w:hint="eastAsia" w:ascii="宋体" w:hAnsi="宋体"/>
          <w:szCs w:val="21"/>
          <w:highlight w:val="none"/>
        </w:rPr>
        <w:t>底层滚涂一层胶水进行加固；环保EPDM打底颗粒</w:t>
      </w:r>
      <w:r>
        <w:rPr>
          <w:rFonts w:hint="eastAsia" w:ascii="宋体" w:hAnsi="宋体"/>
          <w:szCs w:val="21"/>
          <w:highlight w:val="none"/>
          <w:lang w:eastAsia="zh-CN"/>
        </w:rPr>
        <w:t>（</w:t>
      </w:r>
      <w:r>
        <w:rPr>
          <w:rFonts w:hint="eastAsia" w:ascii="宋体" w:hAnsi="宋体"/>
          <w:szCs w:val="21"/>
          <w:highlight w:val="none"/>
          <w:lang w:val="en-US" w:eastAsia="zh-CN"/>
        </w:rPr>
        <w:t>2</w:t>
      </w:r>
      <w:r>
        <w:rPr>
          <w:rFonts w:hint="eastAsia" w:ascii="宋体" w:hAnsi="宋体"/>
          <w:szCs w:val="21"/>
          <w:highlight w:val="none"/>
          <w:lang w:eastAsia="zh-CN"/>
        </w:rPr>
        <w:t>-4mm）</w:t>
      </w:r>
      <w:r>
        <w:rPr>
          <w:rFonts w:hint="eastAsia" w:ascii="宋体" w:hAnsi="宋体"/>
          <w:szCs w:val="21"/>
          <w:highlight w:val="none"/>
        </w:rPr>
        <w:t>跟纯胶水机械摊铺弹性层，配比不大于6:1，厚度</w:t>
      </w:r>
      <w:r>
        <w:rPr>
          <w:rFonts w:hint="eastAsia" w:ascii="宋体" w:hAnsi="宋体"/>
          <w:szCs w:val="21"/>
          <w:highlight w:val="none"/>
          <w:lang w:val="en-US" w:eastAsia="zh-CN"/>
        </w:rPr>
        <w:t>5-8</w:t>
      </w:r>
      <w:r>
        <w:rPr>
          <w:rFonts w:hint="eastAsia" w:ascii="宋体" w:hAnsi="宋体"/>
          <w:szCs w:val="21"/>
          <w:highlight w:val="none"/>
        </w:rPr>
        <w:t>mm；</w:t>
      </w:r>
      <w:r>
        <w:rPr>
          <w:rFonts w:hint="eastAsia" w:ascii="宋体" w:hAnsi="宋体"/>
          <w:szCs w:val="21"/>
          <w:highlight w:val="none"/>
          <w:lang w:eastAsia="zh-CN"/>
        </w:rPr>
        <w:t>胶粒</w:t>
      </w:r>
      <w:r>
        <w:rPr>
          <w:rFonts w:hint="eastAsia" w:ascii="宋体" w:hAnsi="宋体"/>
          <w:szCs w:val="21"/>
          <w:highlight w:val="none"/>
        </w:rPr>
        <w:t>高聚物含量≧</w:t>
      </w:r>
      <w:r>
        <w:rPr>
          <w:rFonts w:hint="eastAsia" w:ascii="宋体" w:hAnsi="宋体"/>
          <w:szCs w:val="21"/>
          <w:highlight w:val="none"/>
          <w:lang w:val="en-US" w:eastAsia="zh-CN"/>
        </w:rPr>
        <w:t>15</w:t>
      </w:r>
      <w:r>
        <w:rPr>
          <w:rFonts w:hint="eastAsia" w:ascii="宋体" w:hAnsi="宋体"/>
          <w:szCs w:val="21"/>
          <w:highlight w:val="none"/>
        </w:rPr>
        <w:t>%；喷涂PU弹性稳定剂和EPDM彩色颗粒混合而成的摩擦层2-3遍，总厚度3-5mm</w:t>
      </w:r>
      <w:r>
        <w:rPr>
          <w:rFonts w:hint="eastAsia" w:ascii="宋体" w:hAnsi="宋体"/>
          <w:szCs w:val="21"/>
          <w:highlight w:val="none"/>
          <w:lang w:eastAsia="zh-CN"/>
        </w:rPr>
        <w:t>；EPDM防滑颗粒高聚物含量≥20%</w:t>
      </w:r>
    </w:p>
    <w:p w14:paraId="46EAB0C0">
      <w:pPr>
        <w:numPr>
          <w:ilvl w:val="0"/>
          <w:numId w:val="0"/>
        </w:numPr>
        <w:spacing w:line="360" w:lineRule="auto"/>
        <w:jc w:val="left"/>
        <w:rPr>
          <w:rFonts w:ascii="宋体" w:hAnsi="宋体"/>
          <w:szCs w:val="21"/>
          <w:highlight w:val="none"/>
        </w:rPr>
      </w:pPr>
      <w:r>
        <w:rPr>
          <w:rFonts w:ascii="宋体" w:hAnsi="宋体"/>
          <w:szCs w:val="21"/>
          <w:highlight w:val="none"/>
        </w:rPr>
        <w:t>（2）有害物质及无机填料含量、有害物质释放量和气味等级符合GB36246-2018《中小学合成材料面层运动场地》标准</w:t>
      </w:r>
      <w:r>
        <w:rPr>
          <w:rFonts w:hint="eastAsia" w:ascii="宋体" w:hAnsi="宋体"/>
          <w:szCs w:val="21"/>
          <w:highlight w:val="none"/>
        </w:rPr>
        <w:t>；</w:t>
      </w:r>
    </w:p>
    <w:p w14:paraId="31D64C88">
      <w:pPr>
        <w:spacing w:line="360" w:lineRule="auto"/>
        <w:jc w:val="left"/>
        <w:rPr>
          <w:rFonts w:ascii="宋体" w:hAnsi="宋体"/>
          <w:b w:val="0"/>
          <w:bCs w:val="0"/>
          <w:szCs w:val="21"/>
          <w:highlight w:val="none"/>
        </w:rPr>
      </w:pPr>
      <w:r>
        <w:rPr>
          <w:rFonts w:ascii="宋体" w:hAnsi="宋体"/>
          <w:szCs w:val="21"/>
          <w:highlight w:val="none"/>
        </w:rPr>
        <w:t>（3）</w:t>
      </w:r>
      <w:r>
        <w:rPr>
          <w:rFonts w:ascii="宋体" w:hAnsi="宋体"/>
          <w:b w:val="0"/>
          <w:bCs w:val="0"/>
          <w:szCs w:val="21"/>
          <w:highlight w:val="none"/>
        </w:rPr>
        <w:t>物理性能和耐人工气候老化性能符合GB36246-2018标准</w:t>
      </w:r>
      <w:r>
        <w:rPr>
          <w:rFonts w:hint="eastAsia" w:ascii="宋体" w:hAnsi="宋体"/>
          <w:b w:val="0"/>
          <w:bCs w:val="0"/>
          <w:szCs w:val="21"/>
          <w:highlight w:val="none"/>
        </w:rPr>
        <w:t>；</w:t>
      </w:r>
    </w:p>
    <w:p w14:paraId="21DA424F">
      <w:pPr>
        <w:pStyle w:val="59"/>
        <w:ind w:left="0" w:leftChars="0" w:firstLine="0" w:firstLineChars="0"/>
        <w:rPr>
          <w:rFonts w:hint="default" w:ascii="Times New Roman" w:hAnsi="Times New Roman" w:eastAsia="宋体" w:cs="Times New Roman"/>
          <w:sz w:val="21"/>
          <w:szCs w:val="21"/>
          <w:highlight w:val="yellow"/>
          <w:lang w:val="en-US" w:eastAsia="zh-CN"/>
        </w:rPr>
      </w:pPr>
      <w:r>
        <w:rPr>
          <w:rFonts w:hint="eastAsia" w:ascii="宋体" w:hAnsi="宋体"/>
          <w:szCs w:val="21"/>
          <w:highlight w:val="none"/>
        </w:rPr>
        <w:t>（4）</w:t>
      </w:r>
      <w:r>
        <w:rPr>
          <w:rFonts w:ascii="宋体" w:hAnsi="宋体"/>
          <w:szCs w:val="21"/>
          <w:highlight w:val="none"/>
        </w:rPr>
        <w:t>EPDM摩擦面层不得小于3mm,环保胶粒吸震层其胶粒与聚氨脂单组份胶水配比不得大于6：1。</w:t>
      </w:r>
    </w:p>
    <w:p w14:paraId="270BE1A7">
      <w:pPr>
        <w:spacing w:before="120" w:beforeLines="50" w:after="120" w:afterLines="50" w:line="400" w:lineRule="exact"/>
        <w:rPr>
          <w:rFonts w:hint="eastAsia" w:asciiTheme="majorEastAsia" w:hAnsiTheme="majorEastAsia" w:eastAsiaTheme="majorEastAsia" w:cstheme="majorEastAsia"/>
          <w:b w:val="0"/>
          <w:bCs w:val="0"/>
          <w:i/>
          <w:iCs/>
          <w:color w:val="0000FF"/>
          <w:sz w:val="21"/>
          <w:szCs w:val="21"/>
          <w:highlight w:val="yellow"/>
          <w:lang w:val="en-US" w:eastAsia="zh-CN"/>
        </w:rPr>
      </w:pPr>
      <w:r>
        <w:rPr>
          <w:rFonts w:hint="eastAsia" w:asciiTheme="majorEastAsia" w:hAnsiTheme="majorEastAsia" w:eastAsiaTheme="majorEastAsia" w:cstheme="majorEastAsia"/>
          <w:b/>
          <w:bCs/>
          <w:color w:val="000000"/>
          <w:sz w:val="21"/>
          <w:szCs w:val="21"/>
          <w:highlight w:val="none"/>
          <w:lang w:eastAsia="zh-CN"/>
        </w:rPr>
        <w:t>六</w:t>
      </w:r>
      <w:r>
        <w:rPr>
          <w:rFonts w:hint="eastAsia" w:asciiTheme="majorEastAsia" w:hAnsiTheme="majorEastAsia" w:eastAsiaTheme="majorEastAsia" w:cstheme="majorEastAsia"/>
          <w:b/>
          <w:bCs/>
          <w:color w:val="000000"/>
          <w:sz w:val="21"/>
          <w:szCs w:val="21"/>
          <w:highlight w:val="none"/>
        </w:rPr>
        <w:t>、商务条款要求</w:t>
      </w:r>
    </w:p>
    <w:tbl>
      <w:tblPr>
        <w:tblStyle w:val="60"/>
        <w:tblW w:w="100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2"/>
        <w:gridCol w:w="9046"/>
      </w:tblGrid>
      <w:tr w14:paraId="62235A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2" w:type="dxa"/>
            <w:noWrap w:val="0"/>
            <w:vAlign w:val="center"/>
          </w:tcPr>
          <w:p w14:paraId="4611CF4E">
            <w:pPr>
              <w:spacing w:line="360" w:lineRule="exact"/>
              <w:jc w:val="center"/>
              <w:rPr>
                <w:rFonts w:hint="eastAsia" w:asciiTheme="majorEastAsia" w:hAnsiTheme="majorEastAsia" w:eastAsiaTheme="majorEastAsia" w:cstheme="majorEastAsia"/>
                <w:b w:val="0"/>
                <w:bCs w:val="0"/>
                <w:color w:val="auto"/>
                <w:sz w:val="21"/>
                <w:szCs w:val="21"/>
                <w:highlight w:val="none"/>
              </w:rPr>
            </w:pPr>
            <w:r>
              <w:rPr>
                <w:rFonts w:hint="eastAsia" w:asciiTheme="majorEastAsia" w:hAnsiTheme="majorEastAsia" w:eastAsiaTheme="majorEastAsia" w:cstheme="majorEastAsia"/>
                <w:b w:val="0"/>
                <w:bCs w:val="0"/>
                <w:color w:val="auto"/>
                <w:sz w:val="21"/>
                <w:szCs w:val="21"/>
                <w:highlight w:val="none"/>
              </w:rPr>
              <w:t>序号</w:t>
            </w:r>
          </w:p>
        </w:tc>
        <w:tc>
          <w:tcPr>
            <w:tcW w:w="9046" w:type="dxa"/>
            <w:noWrap w:val="0"/>
            <w:vAlign w:val="center"/>
          </w:tcPr>
          <w:p w14:paraId="7562A007">
            <w:pPr>
              <w:spacing w:line="360" w:lineRule="exact"/>
              <w:jc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lang w:val="en-US" w:eastAsia="zh-CN"/>
              </w:rPr>
              <w:t>商务条款</w:t>
            </w:r>
            <w:r>
              <w:rPr>
                <w:rFonts w:hint="eastAsia" w:asciiTheme="majorEastAsia" w:hAnsiTheme="majorEastAsia" w:eastAsiaTheme="majorEastAsia" w:cstheme="majorEastAsia"/>
                <w:color w:val="auto"/>
                <w:sz w:val="21"/>
                <w:szCs w:val="21"/>
                <w:highlight w:val="none"/>
              </w:rPr>
              <w:t>要求</w:t>
            </w:r>
          </w:p>
        </w:tc>
      </w:tr>
      <w:tr w14:paraId="69C165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2" w:type="dxa"/>
            <w:noWrap w:val="0"/>
            <w:vAlign w:val="center"/>
          </w:tcPr>
          <w:p w14:paraId="14E32D4C">
            <w:pPr>
              <w:spacing w:line="360" w:lineRule="exact"/>
              <w:jc w:val="center"/>
              <w:rPr>
                <w:rFonts w:hint="eastAsia" w:asciiTheme="majorEastAsia" w:hAnsiTheme="majorEastAsia" w:eastAsiaTheme="majorEastAsia" w:cstheme="majorEastAsia"/>
                <w:b w:val="0"/>
                <w:bCs w:val="0"/>
                <w:color w:val="auto"/>
                <w:sz w:val="21"/>
                <w:szCs w:val="21"/>
                <w:highlight w:val="none"/>
              </w:rPr>
            </w:pPr>
            <w:r>
              <w:rPr>
                <w:rFonts w:hint="eastAsia" w:asciiTheme="majorEastAsia" w:hAnsiTheme="majorEastAsia" w:eastAsiaTheme="majorEastAsia" w:cstheme="majorEastAsia"/>
                <w:b w:val="0"/>
                <w:bCs w:val="0"/>
                <w:color w:val="auto"/>
                <w:sz w:val="21"/>
                <w:szCs w:val="21"/>
                <w:highlight w:val="none"/>
              </w:rPr>
              <w:t>1</w:t>
            </w:r>
          </w:p>
        </w:tc>
        <w:tc>
          <w:tcPr>
            <w:tcW w:w="9046" w:type="dxa"/>
            <w:noWrap w:val="0"/>
            <w:vAlign w:val="center"/>
          </w:tcPr>
          <w:p w14:paraId="3641730E">
            <w:pPr>
              <w:pageBreakBefore w:val="0"/>
              <w:kinsoku/>
              <w:wordWrap/>
              <w:overflowPunct/>
              <w:topLinePunct w:val="0"/>
              <w:autoSpaceDE w:val="0"/>
              <w:autoSpaceDN w:val="0"/>
              <w:bidi w:val="0"/>
              <w:adjustRightInd w:val="0"/>
              <w:snapToGrid/>
              <w:spacing w:line="320" w:lineRule="exact"/>
              <w:textAlignment w:val="auto"/>
              <w:rPr>
                <w:rFonts w:hint="eastAsia" w:ascii="宋体" w:hAnsi="宋体"/>
                <w:kern w:val="0"/>
                <w:sz w:val="21"/>
                <w:szCs w:val="21"/>
              </w:rPr>
            </w:pPr>
            <w:r>
              <w:rPr>
                <w:rFonts w:hint="eastAsia" w:asciiTheme="majorEastAsia" w:hAnsiTheme="majorEastAsia" w:eastAsiaTheme="majorEastAsia" w:cstheme="majorEastAsia"/>
                <w:color w:val="auto"/>
                <w:sz w:val="21"/>
                <w:szCs w:val="21"/>
                <w:highlight w:val="none"/>
              </w:rPr>
              <w:t>履约保证金：</w:t>
            </w:r>
            <w:r>
              <w:rPr>
                <w:rFonts w:hint="eastAsia" w:ascii="宋体" w:hAnsi="宋体"/>
                <w:kern w:val="0"/>
                <w:sz w:val="21"/>
                <w:szCs w:val="21"/>
              </w:rPr>
              <w:t>履约担保金额为签约合同价的</w:t>
            </w:r>
            <w:r>
              <w:rPr>
                <w:rFonts w:hint="eastAsia" w:ascii="宋体" w:hAnsi="宋体"/>
                <w:kern w:val="0"/>
                <w:sz w:val="21"/>
                <w:szCs w:val="21"/>
                <w:u w:val="single"/>
              </w:rPr>
              <w:t xml:space="preserve">  </w:t>
            </w:r>
            <w:r>
              <w:rPr>
                <w:rFonts w:hint="eastAsia" w:ascii="宋体" w:hAnsi="宋体"/>
                <w:kern w:val="0"/>
                <w:sz w:val="21"/>
                <w:szCs w:val="21"/>
                <w:u w:val="single"/>
                <w:lang w:val="en-US" w:eastAsia="zh-CN"/>
              </w:rPr>
              <w:t>1</w:t>
            </w:r>
            <w:r>
              <w:rPr>
                <w:rFonts w:hint="eastAsia" w:hAnsi="宋体"/>
                <w:kern w:val="0"/>
                <w:sz w:val="21"/>
                <w:szCs w:val="21"/>
                <w:u w:val="single"/>
              </w:rPr>
              <w:t xml:space="preserve">   </w:t>
            </w:r>
            <w:r>
              <w:rPr>
                <w:rFonts w:hint="eastAsia" w:ascii="宋体" w:hAnsi="宋体"/>
                <w:kern w:val="0"/>
                <w:sz w:val="21"/>
                <w:szCs w:val="21"/>
                <w:u w:val="single"/>
              </w:rPr>
              <w:t xml:space="preserve">% </w:t>
            </w:r>
          </w:p>
          <w:p w14:paraId="67724D92">
            <w:pPr>
              <w:spacing w:line="360" w:lineRule="exact"/>
              <w:jc w:val="left"/>
              <w:rPr>
                <w:rFonts w:hint="eastAsia" w:asciiTheme="majorEastAsia" w:hAnsiTheme="majorEastAsia" w:eastAsiaTheme="majorEastAsia" w:cstheme="majorEastAsia"/>
                <w:color w:val="auto"/>
                <w:sz w:val="21"/>
                <w:szCs w:val="21"/>
                <w:highlight w:val="none"/>
                <w:lang w:val="en-US" w:eastAsia="zh-CN"/>
              </w:rPr>
            </w:pPr>
            <w:r>
              <w:rPr>
                <w:rFonts w:hint="eastAsia" w:ascii="宋体" w:hAnsi="宋体"/>
                <w:color w:val="000000"/>
                <w:kern w:val="0"/>
                <w:sz w:val="21"/>
                <w:szCs w:val="21"/>
              </w:rPr>
              <w:t>履约担保返还期限：在工程竣工验收合格后10日内全额返还。</w:t>
            </w:r>
          </w:p>
        </w:tc>
      </w:tr>
      <w:tr w14:paraId="4B7691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2" w:type="dxa"/>
            <w:noWrap w:val="0"/>
            <w:vAlign w:val="center"/>
          </w:tcPr>
          <w:p w14:paraId="10B81A00">
            <w:pPr>
              <w:spacing w:line="360" w:lineRule="exact"/>
              <w:jc w:val="center"/>
              <w:rPr>
                <w:rFonts w:hint="eastAsia" w:asciiTheme="majorEastAsia" w:hAnsiTheme="majorEastAsia" w:eastAsiaTheme="majorEastAsia" w:cstheme="majorEastAsia"/>
                <w:b w:val="0"/>
                <w:bCs w:val="0"/>
                <w:color w:val="auto"/>
                <w:sz w:val="21"/>
                <w:szCs w:val="21"/>
                <w:highlight w:val="none"/>
              </w:rPr>
            </w:pPr>
            <w:r>
              <w:rPr>
                <w:rFonts w:hint="eastAsia" w:ascii="宋体" w:hAnsi="宋体" w:cs="宋体"/>
                <w:b w:val="0"/>
                <w:bCs w:val="0"/>
                <w:sz w:val="21"/>
                <w:szCs w:val="21"/>
              </w:rPr>
              <w:t>▲</w:t>
            </w:r>
            <w:r>
              <w:rPr>
                <w:rFonts w:hint="eastAsia" w:asciiTheme="majorEastAsia" w:hAnsiTheme="majorEastAsia" w:eastAsiaTheme="majorEastAsia" w:cstheme="majorEastAsia"/>
                <w:b w:val="0"/>
                <w:bCs w:val="0"/>
                <w:color w:val="auto"/>
                <w:sz w:val="21"/>
                <w:szCs w:val="21"/>
                <w:highlight w:val="none"/>
              </w:rPr>
              <w:t>2</w:t>
            </w:r>
          </w:p>
        </w:tc>
        <w:tc>
          <w:tcPr>
            <w:tcW w:w="9046" w:type="dxa"/>
            <w:noWrap w:val="0"/>
            <w:vAlign w:val="center"/>
          </w:tcPr>
          <w:p w14:paraId="267CD408">
            <w:pPr>
              <w:spacing w:line="360" w:lineRule="exact"/>
              <w:jc w:val="left"/>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付款方式：</w:t>
            </w:r>
          </w:p>
          <w:p w14:paraId="08C4241D">
            <w:pPr>
              <w:numPr>
                <w:ilvl w:val="0"/>
                <w:numId w:val="0"/>
              </w:numPr>
              <w:spacing w:line="360" w:lineRule="exact"/>
              <w:jc w:val="left"/>
              <w:rPr>
                <w:rFonts w:hint="eastAsia" w:asciiTheme="majorEastAsia" w:hAnsiTheme="majorEastAsia" w:eastAsiaTheme="majorEastAsia" w:cstheme="majorEastAsia"/>
                <w:color w:val="auto"/>
                <w:sz w:val="21"/>
                <w:szCs w:val="21"/>
                <w:highlight w:val="none"/>
                <w:lang w:val="en-US" w:eastAsia="zh-CN"/>
              </w:rPr>
            </w:pPr>
            <w:r>
              <w:rPr>
                <w:rFonts w:hint="eastAsia" w:asciiTheme="majorEastAsia" w:hAnsiTheme="majorEastAsia" w:eastAsiaTheme="majorEastAsia" w:cstheme="majorEastAsia"/>
                <w:color w:val="auto"/>
                <w:sz w:val="21"/>
                <w:szCs w:val="21"/>
                <w:highlight w:val="none"/>
                <w:lang w:val="en-US" w:eastAsia="zh-CN"/>
              </w:rPr>
              <w:t>1、合同生效及具备实施条件后7个工作日内，采购人支付合同总价的40%；</w:t>
            </w:r>
          </w:p>
          <w:p w14:paraId="0B7A0DE1">
            <w:pPr>
              <w:numPr>
                <w:ilvl w:val="0"/>
                <w:numId w:val="0"/>
              </w:numPr>
              <w:spacing w:line="360" w:lineRule="exact"/>
              <w:jc w:val="left"/>
              <w:rPr>
                <w:rFonts w:hint="eastAsia" w:asciiTheme="majorEastAsia" w:hAnsiTheme="majorEastAsia" w:eastAsiaTheme="majorEastAsia" w:cstheme="majorEastAsia"/>
                <w:color w:val="auto"/>
                <w:sz w:val="21"/>
                <w:szCs w:val="21"/>
                <w:highlight w:val="none"/>
                <w:lang w:val="en-US" w:eastAsia="zh-CN"/>
              </w:rPr>
            </w:pPr>
            <w:r>
              <w:rPr>
                <w:rFonts w:hint="eastAsia" w:asciiTheme="majorEastAsia" w:hAnsiTheme="majorEastAsia" w:eastAsiaTheme="majorEastAsia" w:cstheme="majorEastAsia"/>
                <w:color w:val="auto"/>
                <w:sz w:val="21"/>
                <w:szCs w:val="21"/>
                <w:highlight w:val="none"/>
                <w:lang w:val="en-US" w:eastAsia="zh-CN"/>
              </w:rPr>
              <w:t>2、工程验收合格后7个工作日内，采购人支付至合同总价的80%；</w:t>
            </w:r>
          </w:p>
          <w:p w14:paraId="1FD3F7E4">
            <w:pPr>
              <w:numPr>
                <w:ilvl w:val="0"/>
                <w:numId w:val="0"/>
              </w:numPr>
              <w:spacing w:line="360" w:lineRule="exact"/>
              <w:jc w:val="left"/>
              <w:rPr>
                <w:rFonts w:hint="eastAsia" w:asciiTheme="majorEastAsia" w:hAnsiTheme="majorEastAsia" w:eastAsiaTheme="majorEastAsia" w:cstheme="majorEastAsia"/>
                <w:color w:val="auto"/>
                <w:sz w:val="21"/>
                <w:szCs w:val="21"/>
                <w:highlight w:val="none"/>
                <w:lang w:val="en-US" w:eastAsia="zh-CN"/>
              </w:rPr>
            </w:pPr>
            <w:r>
              <w:rPr>
                <w:rFonts w:hint="eastAsia" w:asciiTheme="majorEastAsia" w:hAnsiTheme="majorEastAsia" w:eastAsiaTheme="majorEastAsia" w:cstheme="majorEastAsia"/>
                <w:color w:val="auto"/>
                <w:sz w:val="21"/>
                <w:szCs w:val="21"/>
                <w:highlight w:val="none"/>
                <w:lang w:val="en-US" w:eastAsia="zh-CN"/>
              </w:rPr>
              <w:t>3、工程竣工验收（终验）合格后，根据相关部门核准的决算价，付清尾款。</w:t>
            </w:r>
          </w:p>
          <w:p w14:paraId="1EF918DB">
            <w:pPr>
              <w:numPr>
                <w:ilvl w:val="0"/>
                <w:numId w:val="0"/>
              </w:numPr>
              <w:spacing w:line="360" w:lineRule="exact"/>
              <w:jc w:val="left"/>
              <w:rPr>
                <w:rFonts w:hint="eastAsia" w:asciiTheme="majorEastAsia" w:hAnsiTheme="majorEastAsia" w:eastAsiaTheme="majorEastAsia" w:cstheme="majorEastAsia"/>
                <w:color w:val="auto"/>
                <w:sz w:val="21"/>
                <w:szCs w:val="21"/>
                <w:highlight w:val="none"/>
                <w:lang w:val="en-US" w:eastAsia="zh-CN"/>
              </w:rPr>
            </w:pPr>
            <w:r>
              <w:rPr>
                <w:rFonts w:hint="eastAsia" w:asciiTheme="majorEastAsia" w:hAnsiTheme="majorEastAsia" w:eastAsiaTheme="majorEastAsia" w:cstheme="majorEastAsia"/>
                <w:color w:val="auto"/>
                <w:sz w:val="21"/>
                <w:szCs w:val="21"/>
                <w:highlight w:val="none"/>
                <w:lang w:val="en-US" w:eastAsia="zh-CN"/>
              </w:rPr>
              <w:t>注：具体条款以双方签订的合同约定为准。每次付款前，供应商提供正规的发票。供应商如有更优惠的付款方式欢迎提供。</w:t>
            </w:r>
          </w:p>
        </w:tc>
      </w:tr>
      <w:tr w14:paraId="607CCB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2" w:type="dxa"/>
            <w:noWrap w:val="0"/>
            <w:vAlign w:val="center"/>
          </w:tcPr>
          <w:p w14:paraId="4AAE648C">
            <w:pPr>
              <w:spacing w:line="360" w:lineRule="exact"/>
              <w:jc w:val="center"/>
              <w:rPr>
                <w:rFonts w:hint="eastAsia" w:asciiTheme="majorEastAsia" w:hAnsiTheme="majorEastAsia" w:eastAsiaTheme="majorEastAsia" w:cstheme="majorEastAsia"/>
                <w:b w:val="0"/>
                <w:bCs w:val="0"/>
                <w:color w:val="auto"/>
                <w:sz w:val="21"/>
                <w:szCs w:val="21"/>
                <w:highlight w:val="none"/>
              </w:rPr>
            </w:pPr>
            <w:r>
              <w:rPr>
                <w:rFonts w:hint="eastAsia" w:ascii="宋体" w:hAnsi="宋体" w:cs="宋体"/>
                <w:b w:val="0"/>
                <w:bCs w:val="0"/>
                <w:sz w:val="21"/>
                <w:szCs w:val="21"/>
              </w:rPr>
              <w:t>▲</w:t>
            </w:r>
            <w:r>
              <w:rPr>
                <w:rFonts w:hint="eastAsia" w:asciiTheme="majorEastAsia" w:hAnsiTheme="majorEastAsia" w:eastAsiaTheme="majorEastAsia" w:cstheme="majorEastAsia"/>
                <w:b w:val="0"/>
                <w:bCs w:val="0"/>
                <w:color w:val="auto"/>
                <w:sz w:val="21"/>
                <w:szCs w:val="21"/>
                <w:highlight w:val="none"/>
              </w:rPr>
              <w:t>3</w:t>
            </w:r>
          </w:p>
        </w:tc>
        <w:tc>
          <w:tcPr>
            <w:tcW w:w="9046" w:type="dxa"/>
            <w:noWrap w:val="0"/>
            <w:vAlign w:val="center"/>
          </w:tcPr>
          <w:p w14:paraId="026F7D0D">
            <w:pPr>
              <w:spacing w:line="360" w:lineRule="exact"/>
              <w:jc w:val="left"/>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lang w:val="en-US" w:eastAsia="zh-CN"/>
              </w:rPr>
              <w:t>施工</w:t>
            </w:r>
            <w:r>
              <w:rPr>
                <w:rFonts w:hint="eastAsia" w:asciiTheme="majorEastAsia" w:hAnsiTheme="majorEastAsia" w:eastAsiaTheme="majorEastAsia" w:cstheme="majorEastAsia"/>
                <w:color w:val="auto"/>
                <w:sz w:val="21"/>
                <w:szCs w:val="21"/>
                <w:highlight w:val="none"/>
              </w:rPr>
              <w:t>工期：合同签订后</w:t>
            </w:r>
            <w:r>
              <w:rPr>
                <w:rFonts w:hint="eastAsia" w:asciiTheme="majorEastAsia" w:hAnsiTheme="majorEastAsia" w:eastAsiaTheme="majorEastAsia" w:cstheme="majorEastAsia"/>
                <w:color w:val="auto"/>
                <w:sz w:val="21"/>
                <w:szCs w:val="21"/>
                <w:highlight w:val="none"/>
                <w:lang w:val="en-US" w:eastAsia="zh-CN"/>
              </w:rPr>
              <w:t>40日历天</w:t>
            </w:r>
            <w:r>
              <w:rPr>
                <w:rFonts w:hint="eastAsia" w:asciiTheme="majorEastAsia" w:hAnsiTheme="majorEastAsia" w:eastAsiaTheme="majorEastAsia" w:cstheme="majorEastAsia"/>
                <w:color w:val="auto"/>
                <w:sz w:val="21"/>
                <w:szCs w:val="21"/>
                <w:highlight w:val="none"/>
              </w:rPr>
              <w:t>内完工并通过竣工验收。</w:t>
            </w:r>
          </w:p>
          <w:p w14:paraId="6851F428">
            <w:pPr>
              <w:spacing w:line="360" w:lineRule="exact"/>
              <w:jc w:val="left"/>
              <w:rPr>
                <w:rFonts w:hint="eastAsia" w:asciiTheme="majorEastAsia" w:hAnsiTheme="majorEastAsia" w:eastAsiaTheme="majorEastAsia" w:cstheme="majorEastAsia"/>
                <w:color w:val="auto"/>
                <w:sz w:val="21"/>
                <w:szCs w:val="21"/>
                <w:highlight w:val="none"/>
                <w:lang w:val="en-US" w:eastAsia="zh-CN"/>
              </w:rPr>
            </w:pPr>
            <w:r>
              <w:rPr>
                <w:rFonts w:hint="eastAsia" w:asciiTheme="majorEastAsia" w:hAnsiTheme="majorEastAsia" w:eastAsiaTheme="majorEastAsia" w:cstheme="majorEastAsia"/>
                <w:color w:val="auto"/>
                <w:sz w:val="21"/>
                <w:szCs w:val="21"/>
                <w:highlight w:val="none"/>
              </w:rPr>
              <w:t>施工地点：</w:t>
            </w:r>
            <w:r>
              <w:rPr>
                <w:rFonts w:hint="eastAsia" w:asciiTheme="majorEastAsia" w:hAnsiTheme="majorEastAsia" w:eastAsiaTheme="majorEastAsia" w:cstheme="majorEastAsia"/>
                <w:color w:val="auto"/>
                <w:sz w:val="21"/>
                <w:szCs w:val="21"/>
                <w:highlight w:val="none"/>
                <w:lang w:eastAsia="zh-CN"/>
              </w:rPr>
              <w:t>宁海县一市镇中心学校内</w:t>
            </w:r>
            <w:r>
              <w:rPr>
                <w:rFonts w:hint="eastAsia" w:asciiTheme="majorEastAsia" w:hAnsiTheme="majorEastAsia" w:eastAsiaTheme="majorEastAsia" w:cstheme="majorEastAsia"/>
                <w:color w:val="auto"/>
                <w:sz w:val="21"/>
                <w:szCs w:val="21"/>
                <w:highlight w:val="none"/>
                <w:lang w:val="en-US" w:eastAsia="zh-CN"/>
              </w:rPr>
              <w:t>。</w:t>
            </w:r>
          </w:p>
        </w:tc>
      </w:tr>
      <w:tr w14:paraId="27F4D5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2" w:type="dxa"/>
            <w:noWrap w:val="0"/>
            <w:vAlign w:val="center"/>
          </w:tcPr>
          <w:p w14:paraId="2B0F66FC">
            <w:pPr>
              <w:keepNext w:val="0"/>
              <w:keepLines w:val="0"/>
              <w:pageBreakBefore w:val="0"/>
              <w:widowControl w:val="0"/>
              <w:kinsoku/>
              <w:wordWrap/>
              <w:overflowPunct/>
              <w:topLinePunct w:val="0"/>
              <w:autoSpaceDE/>
              <w:autoSpaceDN/>
              <w:bidi w:val="0"/>
              <w:adjustRightInd/>
              <w:snapToGrid/>
              <w:spacing w:line="240" w:lineRule="auto"/>
              <w:jc w:val="center"/>
              <w:textAlignment w:val="baseline"/>
              <w:rPr>
                <w:rFonts w:hint="eastAsia" w:ascii="宋体" w:hAnsi="宋体" w:eastAsia="宋体" w:cs="宋体"/>
                <w:b w:val="0"/>
                <w:bCs w:val="0"/>
                <w:sz w:val="21"/>
                <w:szCs w:val="21"/>
                <w:lang w:eastAsia="zh-CN"/>
              </w:rPr>
            </w:pPr>
            <w:r>
              <w:rPr>
                <w:rFonts w:hint="eastAsia" w:ascii="宋体" w:hAnsi="宋体" w:eastAsia="宋体" w:cs="宋体"/>
                <w:b w:val="0"/>
                <w:bCs w:val="0"/>
                <w:color w:val="auto"/>
                <w:sz w:val="24"/>
                <w:szCs w:val="24"/>
                <w:highlight w:val="none"/>
                <w:lang w:val="en-US" w:eastAsia="zh-CN"/>
              </w:rPr>
              <w:t>4</w:t>
            </w:r>
          </w:p>
        </w:tc>
        <w:tc>
          <w:tcPr>
            <w:tcW w:w="9046" w:type="dxa"/>
            <w:noWrap w:val="0"/>
            <w:vAlign w:val="center"/>
          </w:tcPr>
          <w:p w14:paraId="77CE1748">
            <w:pPr>
              <w:spacing w:line="360" w:lineRule="exact"/>
              <w:jc w:val="left"/>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质量保修期</w:t>
            </w:r>
            <w:r>
              <w:rPr>
                <w:rFonts w:hint="eastAsia" w:asciiTheme="majorEastAsia" w:hAnsiTheme="majorEastAsia" w:eastAsiaTheme="majorEastAsia" w:cstheme="majorEastAsia"/>
                <w:color w:val="auto"/>
                <w:sz w:val="21"/>
                <w:szCs w:val="21"/>
                <w:highlight w:val="none"/>
                <w:lang w:eastAsia="zh-CN"/>
              </w:rPr>
              <w:t>：</w:t>
            </w:r>
            <w:r>
              <w:rPr>
                <w:rFonts w:hint="eastAsia" w:asciiTheme="majorEastAsia" w:hAnsiTheme="majorEastAsia" w:eastAsiaTheme="majorEastAsia" w:cstheme="majorEastAsia"/>
                <w:color w:val="auto"/>
                <w:sz w:val="21"/>
                <w:szCs w:val="21"/>
                <w:highlight w:val="none"/>
              </w:rPr>
              <w:t>1、质量保修期不少于2年</w:t>
            </w:r>
            <w:r>
              <w:rPr>
                <w:rFonts w:hint="eastAsia" w:asciiTheme="majorEastAsia" w:hAnsiTheme="majorEastAsia" w:eastAsiaTheme="majorEastAsia" w:cstheme="majorEastAsia"/>
                <w:color w:val="auto"/>
                <w:sz w:val="21"/>
                <w:szCs w:val="21"/>
                <w:highlight w:val="none"/>
                <w:lang w:eastAsia="zh-CN"/>
              </w:rPr>
              <w:t>。</w:t>
            </w:r>
            <w:r>
              <w:rPr>
                <w:rFonts w:hint="eastAsia" w:asciiTheme="majorEastAsia" w:hAnsiTheme="majorEastAsia" w:eastAsiaTheme="majorEastAsia" w:cstheme="majorEastAsia"/>
                <w:color w:val="auto"/>
                <w:sz w:val="21"/>
                <w:szCs w:val="21"/>
                <w:highlight w:val="none"/>
              </w:rPr>
              <w:t>质量保修期从</w:t>
            </w:r>
            <w:r>
              <w:rPr>
                <w:rFonts w:hint="eastAsia" w:asciiTheme="majorEastAsia" w:hAnsiTheme="majorEastAsia" w:eastAsiaTheme="majorEastAsia" w:cstheme="majorEastAsia"/>
                <w:color w:val="auto"/>
                <w:sz w:val="21"/>
                <w:szCs w:val="21"/>
                <w:highlight w:val="none"/>
                <w:lang w:val="en-US" w:eastAsia="zh-CN"/>
              </w:rPr>
              <w:t>采购</w:t>
            </w:r>
            <w:r>
              <w:rPr>
                <w:rFonts w:hint="eastAsia" w:asciiTheme="majorEastAsia" w:hAnsiTheme="majorEastAsia" w:eastAsiaTheme="majorEastAsia" w:cstheme="majorEastAsia"/>
                <w:color w:val="auto"/>
                <w:sz w:val="21"/>
                <w:szCs w:val="21"/>
                <w:highlight w:val="none"/>
              </w:rPr>
              <w:t>人批准的竣工验收通过之日起计算。</w:t>
            </w:r>
          </w:p>
          <w:p w14:paraId="6DA07874">
            <w:pPr>
              <w:spacing w:line="360" w:lineRule="exact"/>
              <w:jc w:val="left"/>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2、质量保修期内供应商须免费负责修理和替换任何由于</w:t>
            </w:r>
            <w:r>
              <w:rPr>
                <w:rFonts w:hint="eastAsia" w:asciiTheme="majorEastAsia" w:hAnsiTheme="majorEastAsia" w:eastAsiaTheme="majorEastAsia" w:cstheme="majorEastAsia"/>
                <w:color w:val="auto"/>
                <w:sz w:val="21"/>
                <w:szCs w:val="21"/>
                <w:highlight w:val="none"/>
                <w:lang w:val="en-US" w:eastAsia="zh-CN"/>
              </w:rPr>
              <w:t>改造、</w:t>
            </w:r>
            <w:r>
              <w:rPr>
                <w:rFonts w:hint="eastAsia" w:asciiTheme="majorEastAsia" w:hAnsiTheme="majorEastAsia" w:eastAsiaTheme="majorEastAsia" w:cstheme="majorEastAsia"/>
                <w:color w:val="auto"/>
                <w:sz w:val="21"/>
                <w:szCs w:val="21"/>
                <w:highlight w:val="none"/>
              </w:rPr>
              <w:t>配件自身的质量问题造成的损坏。</w:t>
            </w:r>
          </w:p>
        </w:tc>
      </w:tr>
      <w:tr w14:paraId="375E26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2" w:type="dxa"/>
            <w:noWrap w:val="0"/>
            <w:vAlign w:val="center"/>
          </w:tcPr>
          <w:p w14:paraId="376FC782">
            <w:pPr>
              <w:spacing w:line="360" w:lineRule="exact"/>
              <w:jc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5</w:t>
            </w:r>
          </w:p>
        </w:tc>
        <w:tc>
          <w:tcPr>
            <w:tcW w:w="9046" w:type="dxa"/>
            <w:noWrap w:val="0"/>
            <w:vAlign w:val="center"/>
          </w:tcPr>
          <w:p w14:paraId="4341C7EA">
            <w:pPr>
              <w:spacing w:line="360" w:lineRule="exact"/>
              <w:jc w:val="left"/>
              <w:rPr>
                <w:rFonts w:hint="eastAsia" w:asciiTheme="majorEastAsia" w:hAnsiTheme="majorEastAsia" w:eastAsiaTheme="majorEastAsia" w:cstheme="majorEastAsia"/>
                <w:color w:val="auto"/>
                <w:sz w:val="21"/>
                <w:szCs w:val="21"/>
                <w:highlight w:val="none"/>
                <w:lang w:val="en-US" w:eastAsia="zh-CN"/>
              </w:rPr>
            </w:pPr>
            <w:r>
              <w:rPr>
                <w:rFonts w:hint="eastAsia" w:asciiTheme="majorEastAsia" w:hAnsiTheme="majorEastAsia" w:eastAsiaTheme="majorEastAsia" w:cstheme="majorEastAsia"/>
                <w:color w:val="auto"/>
                <w:sz w:val="21"/>
                <w:szCs w:val="21"/>
                <w:highlight w:val="none"/>
                <w:lang w:val="en-US" w:eastAsia="zh-CN"/>
              </w:rPr>
              <w:t>在项目实施中须达到的施工要求国家标准如下：</w:t>
            </w:r>
          </w:p>
          <w:p w14:paraId="78B6EB3D">
            <w:pPr>
              <w:spacing w:line="360" w:lineRule="exact"/>
              <w:jc w:val="left"/>
              <w:rPr>
                <w:rFonts w:hint="eastAsia" w:asciiTheme="majorEastAsia" w:hAnsiTheme="majorEastAsia" w:eastAsiaTheme="majorEastAsia" w:cstheme="majorEastAsia"/>
                <w:color w:val="auto"/>
                <w:sz w:val="21"/>
                <w:szCs w:val="21"/>
                <w:highlight w:val="none"/>
                <w:lang w:val="en-US" w:eastAsia="zh-CN"/>
              </w:rPr>
            </w:pPr>
            <w:r>
              <w:rPr>
                <w:rFonts w:hint="eastAsia" w:asciiTheme="majorEastAsia" w:hAnsiTheme="majorEastAsia" w:eastAsiaTheme="majorEastAsia" w:cstheme="majorEastAsia"/>
                <w:color w:val="auto"/>
                <w:sz w:val="21"/>
                <w:szCs w:val="21"/>
                <w:highlight w:val="none"/>
                <w:lang w:val="en-US" w:eastAsia="zh-CN"/>
              </w:rPr>
              <w:t>《建筑工程施工质量验收统一标准》</w:t>
            </w:r>
          </w:p>
          <w:p w14:paraId="36D6EA64">
            <w:pPr>
              <w:spacing w:line="360" w:lineRule="exact"/>
              <w:jc w:val="left"/>
              <w:rPr>
                <w:rFonts w:hint="eastAsia" w:asciiTheme="majorEastAsia" w:hAnsiTheme="majorEastAsia" w:eastAsiaTheme="majorEastAsia" w:cstheme="majorEastAsia"/>
                <w:color w:val="auto"/>
                <w:sz w:val="21"/>
                <w:szCs w:val="21"/>
                <w:highlight w:val="none"/>
                <w:lang w:val="en-US" w:eastAsia="zh-CN"/>
              </w:rPr>
            </w:pPr>
            <w:r>
              <w:rPr>
                <w:rFonts w:hint="eastAsia" w:asciiTheme="majorEastAsia" w:hAnsiTheme="majorEastAsia" w:eastAsiaTheme="majorEastAsia" w:cstheme="majorEastAsia"/>
                <w:color w:val="auto"/>
                <w:sz w:val="21"/>
                <w:szCs w:val="21"/>
                <w:highlight w:val="none"/>
                <w:lang w:val="en-US" w:eastAsia="zh-CN"/>
              </w:rPr>
              <w:t>《建筑给水排水及采暖工程施工质量验收规范》</w:t>
            </w:r>
          </w:p>
          <w:p w14:paraId="198C6F4B">
            <w:pPr>
              <w:spacing w:line="360" w:lineRule="exact"/>
              <w:jc w:val="left"/>
              <w:rPr>
                <w:rFonts w:hint="eastAsia" w:asciiTheme="majorEastAsia" w:hAnsiTheme="majorEastAsia" w:eastAsiaTheme="majorEastAsia" w:cstheme="majorEastAsia"/>
                <w:color w:val="auto"/>
                <w:sz w:val="21"/>
                <w:szCs w:val="21"/>
                <w:highlight w:val="none"/>
                <w:lang w:val="en-US" w:eastAsia="zh-CN"/>
              </w:rPr>
            </w:pPr>
            <w:r>
              <w:rPr>
                <w:rFonts w:hint="eastAsia" w:asciiTheme="majorEastAsia" w:hAnsiTheme="majorEastAsia" w:eastAsiaTheme="majorEastAsia" w:cstheme="majorEastAsia"/>
                <w:color w:val="auto"/>
                <w:sz w:val="21"/>
                <w:szCs w:val="21"/>
                <w:highlight w:val="none"/>
                <w:lang w:val="en-US" w:eastAsia="zh-CN"/>
              </w:rPr>
              <w:t>《建筑电气工程施工质量验收规范》</w:t>
            </w:r>
          </w:p>
          <w:p w14:paraId="7812278A">
            <w:pPr>
              <w:spacing w:line="360" w:lineRule="exact"/>
              <w:jc w:val="left"/>
              <w:rPr>
                <w:rFonts w:hint="eastAsia" w:asciiTheme="majorEastAsia" w:hAnsiTheme="majorEastAsia" w:eastAsiaTheme="majorEastAsia" w:cstheme="majorEastAsia"/>
                <w:color w:val="auto"/>
                <w:sz w:val="21"/>
                <w:szCs w:val="21"/>
                <w:highlight w:val="none"/>
                <w:lang w:val="en-US" w:eastAsia="zh-CN"/>
              </w:rPr>
            </w:pPr>
            <w:r>
              <w:rPr>
                <w:rFonts w:hint="eastAsia" w:asciiTheme="majorEastAsia" w:hAnsiTheme="majorEastAsia" w:eastAsiaTheme="majorEastAsia" w:cstheme="majorEastAsia"/>
                <w:color w:val="auto"/>
                <w:sz w:val="21"/>
                <w:szCs w:val="21"/>
                <w:highlight w:val="none"/>
                <w:lang w:val="en-US" w:eastAsia="zh-CN"/>
              </w:rPr>
              <w:t>《给水排水管道工程施工及验收规范》</w:t>
            </w:r>
          </w:p>
          <w:p w14:paraId="397CD18C">
            <w:pPr>
              <w:spacing w:line="360" w:lineRule="exact"/>
              <w:jc w:val="left"/>
              <w:rPr>
                <w:rFonts w:hint="eastAsia" w:asciiTheme="majorEastAsia" w:hAnsiTheme="majorEastAsia" w:eastAsiaTheme="majorEastAsia" w:cstheme="majorEastAsia"/>
                <w:color w:val="auto"/>
                <w:sz w:val="21"/>
                <w:szCs w:val="21"/>
                <w:highlight w:val="none"/>
                <w:lang w:val="en-US" w:eastAsia="zh-CN"/>
              </w:rPr>
            </w:pPr>
            <w:r>
              <w:rPr>
                <w:rFonts w:hint="eastAsia" w:asciiTheme="majorEastAsia" w:hAnsiTheme="majorEastAsia" w:eastAsiaTheme="majorEastAsia" w:cstheme="majorEastAsia"/>
                <w:color w:val="auto"/>
                <w:sz w:val="21"/>
                <w:szCs w:val="21"/>
                <w:highlight w:val="none"/>
                <w:lang w:val="en-US" w:eastAsia="zh-CN"/>
              </w:rPr>
              <w:t>《建筑施工安全检查标准》</w:t>
            </w:r>
          </w:p>
          <w:p w14:paraId="7485847B">
            <w:pPr>
              <w:spacing w:line="360" w:lineRule="auto"/>
              <w:jc w:val="left"/>
              <w:rPr>
                <w:rFonts w:ascii="宋体" w:hAnsi="宋体"/>
                <w:szCs w:val="21"/>
              </w:rPr>
            </w:pPr>
            <w:r>
              <w:rPr>
                <w:rFonts w:ascii="宋体" w:hAnsi="宋体"/>
                <w:szCs w:val="21"/>
              </w:rPr>
              <w:t>符合GB36246-2018《中小学合成材料面层运动场地》标准</w:t>
            </w:r>
            <w:r>
              <w:rPr>
                <w:rFonts w:hint="eastAsia" w:ascii="宋体" w:hAnsi="宋体"/>
                <w:szCs w:val="21"/>
              </w:rPr>
              <w:t>；</w:t>
            </w:r>
          </w:p>
          <w:p w14:paraId="673551F7">
            <w:pPr>
              <w:pStyle w:val="59"/>
              <w:ind w:left="0" w:leftChars="0" w:firstLine="0" w:firstLineChars="0"/>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lang w:val="en-US" w:eastAsia="zh-CN"/>
              </w:rPr>
              <w:t>注：如标准有更新，以最新文件为准。本项目按照国家及地方颁发的现行相关施工及验收规范、标准，组织实施本项目工程的施工。</w:t>
            </w:r>
          </w:p>
        </w:tc>
      </w:tr>
      <w:tr w14:paraId="488663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2" w:type="dxa"/>
            <w:noWrap w:val="0"/>
            <w:vAlign w:val="center"/>
          </w:tcPr>
          <w:p w14:paraId="2CE07553">
            <w:pPr>
              <w:spacing w:line="360" w:lineRule="exact"/>
              <w:jc w:val="center"/>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6</w:t>
            </w:r>
          </w:p>
        </w:tc>
        <w:tc>
          <w:tcPr>
            <w:tcW w:w="9046" w:type="dxa"/>
            <w:noWrap w:val="0"/>
            <w:vAlign w:val="center"/>
          </w:tcPr>
          <w:p w14:paraId="5D641A6E">
            <w:pPr>
              <w:spacing w:line="360" w:lineRule="exact"/>
              <w:jc w:val="left"/>
              <w:rPr>
                <w:rFonts w:hint="eastAsia" w:asciiTheme="majorEastAsia" w:hAnsiTheme="majorEastAsia" w:eastAsiaTheme="majorEastAsia" w:cstheme="majorEastAsia"/>
                <w:color w:val="auto"/>
                <w:sz w:val="21"/>
                <w:szCs w:val="21"/>
                <w:highlight w:val="none"/>
                <w:lang w:val="en-US" w:eastAsia="zh-CN"/>
              </w:rPr>
            </w:pPr>
            <w:r>
              <w:rPr>
                <w:rFonts w:hint="eastAsia" w:asciiTheme="majorEastAsia" w:hAnsiTheme="majorEastAsia" w:eastAsiaTheme="majorEastAsia" w:cstheme="majorEastAsia"/>
                <w:color w:val="auto"/>
                <w:sz w:val="21"/>
                <w:szCs w:val="21"/>
                <w:highlight w:val="none"/>
                <w:lang w:val="en-US" w:eastAsia="zh-CN"/>
              </w:rPr>
              <w:t>作业要求</w:t>
            </w:r>
          </w:p>
          <w:p w14:paraId="00822A2B">
            <w:pPr>
              <w:spacing w:line="360" w:lineRule="exact"/>
              <w:jc w:val="left"/>
              <w:rPr>
                <w:rFonts w:hint="eastAsia" w:asciiTheme="majorEastAsia" w:hAnsiTheme="majorEastAsia" w:eastAsiaTheme="majorEastAsia" w:cstheme="majorEastAsia"/>
                <w:color w:val="auto"/>
                <w:sz w:val="21"/>
                <w:szCs w:val="21"/>
                <w:highlight w:val="none"/>
                <w:lang w:val="en-US" w:eastAsia="zh-CN"/>
              </w:rPr>
            </w:pPr>
            <w:r>
              <w:rPr>
                <w:rFonts w:hint="eastAsia" w:asciiTheme="majorEastAsia" w:hAnsiTheme="majorEastAsia" w:eastAsiaTheme="majorEastAsia" w:cstheme="majorEastAsia"/>
                <w:color w:val="auto"/>
                <w:sz w:val="21"/>
                <w:szCs w:val="21"/>
                <w:highlight w:val="none"/>
                <w:lang w:val="en-US" w:eastAsia="zh-CN"/>
              </w:rPr>
              <w:t>（1）安全生产要求：供应商须严格遵守《安全生产法》《建设工程安全生产管理条例》和《安全生产许可证条例》等法律法规，项目负责人和安全管理人员认真履行安全生产管理职责，负责工程现场的施工安全；施工过程中发生的一切非采购人原因的安全事故由供应商全权负责。</w:t>
            </w:r>
          </w:p>
          <w:p w14:paraId="3C614F5C">
            <w:pPr>
              <w:spacing w:line="360" w:lineRule="exact"/>
              <w:jc w:val="left"/>
              <w:rPr>
                <w:rFonts w:hint="eastAsia" w:asciiTheme="majorEastAsia" w:hAnsiTheme="majorEastAsia" w:eastAsiaTheme="majorEastAsia" w:cstheme="majorEastAsia"/>
                <w:color w:val="auto"/>
                <w:sz w:val="21"/>
                <w:szCs w:val="21"/>
                <w:highlight w:val="none"/>
                <w:lang w:val="en-US" w:eastAsia="zh-CN"/>
              </w:rPr>
            </w:pPr>
            <w:r>
              <w:rPr>
                <w:rFonts w:hint="eastAsia" w:asciiTheme="majorEastAsia" w:hAnsiTheme="majorEastAsia" w:eastAsiaTheme="majorEastAsia" w:cstheme="majorEastAsia"/>
                <w:color w:val="auto"/>
                <w:sz w:val="21"/>
                <w:szCs w:val="21"/>
                <w:highlight w:val="none"/>
                <w:lang w:val="en-US" w:eastAsia="zh-CN"/>
              </w:rPr>
              <w:t>（2）文明施工要求：在施工过程中，必须做到文明施工。工序衔接交叉合理，交接责任明确，施工场地整洁、卫生、道路畅通，有必要的围护和遮挡措施等。</w:t>
            </w:r>
          </w:p>
          <w:p w14:paraId="0C54DA73">
            <w:pPr>
              <w:spacing w:line="360" w:lineRule="exact"/>
              <w:jc w:val="left"/>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lang w:val="en-US" w:eastAsia="zh-CN"/>
              </w:rPr>
              <w:t>（3）供应商必须为全体作业员工购买社会和人身意外保险、公众责任保险费等其他保险，必须重视安全生产工作，确保不出安全生产责任事故。如发生安全生产责任事故或公众安全事故（含交通事故），一切责任及损失由供应商承担。</w:t>
            </w:r>
          </w:p>
        </w:tc>
      </w:tr>
      <w:tr w14:paraId="7FCDB7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2" w:type="dxa"/>
            <w:noWrap w:val="0"/>
            <w:vAlign w:val="center"/>
          </w:tcPr>
          <w:p w14:paraId="380A847C">
            <w:pPr>
              <w:spacing w:line="360" w:lineRule="exact"/>
              <w:jc w:val="center"/>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7</w:t>
            </w:r>
          </w:p>
        </w:tc>
        <w:tc>
          <w:tcPr>
            <w:tcW w:w="9046" w:type="dxa"/>
            <w:noWrap w:val="0"/>
            <w:vAlign w:val="center"/>
          </w:tcPr>
          <w:p w14:paraId="2BF4678C">
            <w:pPr>
              <w:spacing w:line="360" w:lineRule="exact"/>
              <w:jc w:val="left"/>
              <w:rPr>
                <w:rFonts w:hint="eastAsia" w:asciiTheme="majorEastAsia" w:hAnsiTheme="majorEastAsia" w:eastAsiaTheme="majorEastAsia" w:cstheme="majorEastAsia"/>
                <w:color w:val="auto"/>
                <w:sz w:val="21"/>
                <w:szCs w:val="21"/>
                <w:highlight w:val="none"/>
                <w:lang w:val="en-US" w:eastAsia="zh-CN"/>
              </w:rPr>
            </w:pPr>
            <w:r>
              <w:rPr>
                <w:rFonts w:hint="eastAsia" w:asciiTheme="majorEastAsia" w:hAnsiTheme="majorEastAsia" w:eastAsiaTheme="majorEastAsia" w:cstheme="majorEastAsia"/>
                <w:color w:val="auto"/>
                <w:sz w:val="21"/>
                <w:szCs w:val="21"/>
                <w:highlight w:val="none"/>
                <w:lang w:val="en-US" w:eastAsia="zh-CN"/>
              </w:rPr>
              <w:t>设备安装、调试和验收</w:t>
            </w:r>
          </w:p>
          <w:p w14:paraId="3846F619">
            <w:pPr>
              <w:spacing w:line="360" w:lineRule="exact"/>
              <w:jc w:val="left"/>
              <w:rPr>
                <w:rFonts w:hint="eastAsia" w:asciiTheme="majorEastAsia" w:hAnsiTheme="majorEastAsia" w:eastAsiaTheme="majorEastAsia" w:cstheme="majorEastAsia"/>
                <w:color w:val="auto"/>
                <w:sz w:val="21"/>
                <w:szCs w:val="21"/>
                <w:highlight w:val="none"/>
                <w:lang w:val="en-US" w:eastAsia="zh-CN"/>
              </w:rPr>
            </w:pPr>
            <w:r>
              <w:rPr>
                <w:rFonts w:hint="eastAsia" w:asciiTheme="majorEastAsia" w:hAnsiTheme="majorEastAsia" w:eastAsiaTheme="majorEastAsia" w:cstheme="majorEastAsia"/>
                <w:color w:val="auto"/>
                <w:sz w:val="21"/>
                <w:szCs w:val="21"/>
                <w:highlight w:val="none"/>
                <w:lang w:val="en-US" w:eastAsia="zh-CN"/>
              </w:rPr>
              <w:t>（1）供应商须负责完成本项目涉及的整体规划、安装调试、服务实施等相关工作，须详细确认和理解用户原有情况、本次项目的建设目标和服务要求，并严格根据用户方项目进度安排完成实施工作，如有偏差由供应商负责。</w:t>
            </w:r>
          </w:p>
          <w:p w14:paraId="13B12A77">
            <w:pPr>
              <w:spacing w:line="360" w:lineRule="exact"/>
              <w:jc w:val="left"/>
              <w:rPr>
                <w:rFonts w:hint="eastAsia" w:asciiTheme="majorEastAsia" w:hAnsiTheme="majorEastAsia" w:eastAsiaTheme="majorEastAsia" w:cstheme="majorEastAsia"/>
                <w:color w:val="auto"/>
                <w:sz w:val="21"/>
                <w:szCs w:val="21"/>
                <w:highlight w:val="none"/>
                <w:lang w:val="en-US" w:eastAsia="zh-CN"/>
              </w:rPr>
            </w:pPr>
            <w:r>
              <w:rPr>
                <w:rFonts w:hint="eastAsia" w:asciiTheme="majorEastAsia" w:hAnsiTheme="majorEastAsia" w:eastAsiaTheme="majorEastAsia" w:cstheme="majorEastAsia"/>
                <w:color w:val="auto"/>
                <w:sz w:val="21"/>
                <w:szCs w:val="21"/>
                <w:highlight w:val="none"/>
                <w:lang w:val="en-US" w:eastAsia="zh-CN"/>
              </w:rPr>
              <w:t>（2）供应商应保证其提供的施工工程在正常使用和保养条件下，在使用寿命期内应具有满意的性能；供应商应对由于工艺或材料的缺陷而产生的故障负完全责任。</w:t>
            </w:r>
          </w:p>
          <w:p w14:paraId="0A6025C1">
            <w:pPr>
              <w:spacing w:line="360" w:lineRule="exact"/>
              <w:jc w:val="left"/>
              <w:rPr>
                <w:rFonts w:hint="eastAsia" w:asciiTheme="majorEastAsia" w:hAnsiTheme="majorEastAsia" w:eastAsiaTheme="majorEastAsia" w:cstheme="majorEastAsia"/>
                <w:color w:val="auto"/>
                <w:sz w:val="21"/>
                <w:szCs w:val="21"/>
                <w:highlight w:val="none"/>
                <w:lang w:val="en-US" w:eastAsia="zh-CN"/>
              </w:rPr>
            </w:pPr>
            <w:r>
              <w:rPr>
                <w:rFonts w:hint="eastAsia" w:asciiTheme="majorEastAsia" w:hAnsiTheme="majorEastAsia" w:eastAsiaTheme="majorEastAsia" w:cstheme="majorEastAsia"/>
                <w:color w:val="auto"/>
                <w:sz w:val="21"/>
                <w:szCs w:val="21"/>
                <w:highlight w:val="none"/>
                <w:lang w:val="en-US" w:eastAsia="zh-CN"/>
              </w:rPr>
              <w:t>（3）供应商须保证所配置的产品有合法的使用权，并有相应的使用许可证。</w:t>
            </w:r>
          </w:p>
          <w:p w14:paraId="2C9C061C">
            <w:pPr>
              <w:spacing w:line="360" w:lineRule="exact"/>
              <w:jc w:val="left"/>
              <w:rPr>
                <w:rFonts w:hint="eastAsia" w:asciiTheme="majorEastAsia" w:hAnsiTheme="majorEastAsia" w:eastAsiaTheme="majorEastAsia" w:cstheme="majorEastAsia"/>
                <w:color w:val="auto"/>
                <w:sz w:val="21"/>
                <w:szCs w:val="21"/>
                <w:highlight w:val="none"/>
                <w:lang w:val="en-US" w:eastAsia="zh-CN"/>
              </w:rPr>
            </w:pPr>
            <w:r>
              <w:rPr>
                <w:rFonts w:hint="eastAsia" w:asciiTheme="majorEastAsia" w:hAnsiTheme="majorEastAsia" w:eastAsiaTheme="majorEastAsia" w:cstheme="majorEastAsia"/>
                <w:color w:val="auto"/>
                <w:sz w:val="21"/>
                <w:szCs w:val="21"/>
                <w:highlight w:val="none"/>
                <w:lang w:val="en-US" w:eastAsia="zh-CN"/>
              </w:rPr>
              <w:t>（4）供应商需对整体项目方案的可行性负责，根据用户要求完成本项目的所有实施工作，解决实施过程中的全部技术问题。如在项目实施过程中出现无法实施或者缺少相关设备不能满足用户需求的情况应免费提供相关设备与配件。</w:t>
            </w:r>
          </w:p>
          <w:p w14:paraId="5215A3A7">
            <w:pPr>
              <w:spacing w:line="360" w:lineRule="exact"/>
              <w:jc w:val="left"/>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lang w:val="en-US" w:eastAsia="zh-CN"/>
              </w:rPr>
              <w:t>（5）以上所有与（多次）安装、迁移、调试和验收相关的费用均需计入投标总价。</w:t>
            </w:r>
          </w:p>
        </w:tc>
      </w:tr>
      <w:tr w14:paraId="42C322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2" w:type="dxa"/>
            <w:noWrap w:val="0"/>
            <w:vAlign w:val="center"/>
          </w:tcPr>
          <w:p w14:paraId="4D50E09C">
            <w:pPr>
              <w:keepNext w:val="0"/>
              <w:keepLines w:val="0"/>
              <w:pageBreakBefore w:val="0"/>
              <w:widowControl w:val="0"/>
              <w:kinsoku/>
              <w:wordWrap/>
              <w:overflowPunct/>
              <w:topLinePunct w:val="0"/>
              <w:autoSpaceDE/>
              <w:autoSpaceDN/>
              <w:bidi w:val="0"/>
              <w:adjustRightInd/>
              <w:snapToGrid/>
              <w:spacing w:line="240" w:lineRule="auto"/>
              <w:jc w:val="center"/>
              <w:textAlignment w:val="baseline"/>
              <w:rPr>
                <w:rFonts w:hint="eastAsia" w:ascii="宋体" w:hAnsi="宋体" w:cs="宋体"/>
                <w:b w:val="0"/>
                <w:bCs w:val="0"/>
                <w:sz w:val="21"/>
                <w:szCs w:val="21"/>
              </w:rPr>
            </w:pPr>
            <w:r>
              <w:rPr>
                <w:rFonts w:hint="eastAsia" w:ascii="宋体" w:hAnsi="宋体" w:eastAsia="宋体" w:cs="宋体"/>
                <w:b w:val="0"/>
                <w:bCs w:val="0"/>
                <w:color w:val="auto"/>
                <w:sz w:val="24"/>
                <w:szCs w:val="24"/>
                <w:highlight w:val="none"/>
                <w:lang w:eastAsia="zh-CN"/>
              </w:rPr>
              <w:t>▲</w:t>
            </w:r>
            <w:r>
              <w:rPr>
                <w:rFonts w:hint="eastAsia" w:ascii="宋体" w:hAnsi="宋体" w:cs="宋体"/>
                <w:b w:val="0"/>
                <w:bCs w:val="0"/>
                <w:color w:val="auto"/>
                <w:sz w:val="24"/>
                <w:szCs w:val="24"/>
                <w:highlight w:val="none"/>
                <w:lang w:val="en-US" w:eastAsia="zh-CN"/>
              </w:rPr>
              <w:t>8</w:t>
            </w:r>
          </w:p>
        </w:tc>
        <w:tc>
          <w:tcPr>
            <w:tcW w:w="9046" w:type="dxa"/>
            <w:noWrap w:val="0"/>
            <w:vAlign w:val="center"/>
          </w:tcPr>
          <w:p w14:paraId="69512C56">
            <w:pPr>
              <w:spacing w:line="360" w:lineRule="exact"/>
              <w:jc w:val="left"/>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1、本招标所提的要求仅为主要要求，不应作为完整的详细的要求；</w:t>
            </w:r>
          </w:p>
          <w:p w14:paraId="3C364770">
            <w:pPr>
              <w:spacing w:line="360" w:lineRule="exact"/>
              <w:jc w:val="left"/>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2、供应商应负责保护采购人的利益不受损害；一切由于文字、商标和技术专利侵权引起的法律裁决、诉讼及其费用均与采购人无关。</w:t>
            </w:r>
          </w:p>
        </w:tc>
      </w:tr>
      <w:tr w14:paraId="27487C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2" w:type="dxa"/>
            <w:noWrap w:val="0"/>
            <w:vAlign w:val="center"/>
          </w:tcPr>
          <w:p w14:paraId="2D9B3196">
            <w:pPr>
              <w:spacing w:line="360" w:lineRule="exact"/>
              <w:jc w:val="left"/>
              <w:rPr>
                <w:rFonts w:hint="eastAsia" w:asciiTheme="majorEastAsia" w:hAnsiTheme="majorEastAsia" w:eastAsiaTheme="majorEastAsia" w:cstheme="majorEastAsia"/>
                <w:color w:val="auto"/>
                <w:sz w:val="21"/>
                <w:szCs w:val="21"/>
                <w:highlight w:val="none"/>
                <w:lang w:eastAsia="zh-CN"/>
              </w:rPr>
            </w:pPr>
            <w:r>
              <w:rPr>
                <w:rFonts w:hint="eastAsia" w:ascii="宋体" w:hAnsi="宋体" w:eastAsia="宋体" w:cs="宋体"/>
                <w:b w:val="0"/>
                <w:bCs w:val="0"/>
                <w:color w:val="auto"/>
                <w:sz w:val="24"/>
                <w:szCs w:val="24"/>
                <w:highlight w:val="none"/>
                <w:lang w:eastAsia="zh-CN"/>
              </w:rPr>
              <w:t>▲</w:t>
            </w:r>
            <w:r>
              <w:rPr>
                <w:rFonts w:hint="eastAsia" w:ascii="宋体" w:hAnsi="宋体" w:cs="宋体"/>
                <w:b w:val="0"/>
                <w:bCs w:val="0"/>
                <w:color w:val="auto"/>
                <w:sz w:val="24"/>
                <w:szCs w:val="24"/>
                <w:highlight w:val="none"/>
                <w:lang w:val="en-US" w:eastAsia="zh-CN"/>
              </w:rPr>
              <w:t>9</w:t>
            </w:r>
          </w:p>
        </w:tc>
        <w:tc>
          <w:tcPr>
            <w:tcW w:w="9046" w:type="dxa"/>
            <w:noWrap w:val="0"/>
            <w:vAlign w:val="center"/>
          </w:tcPr>
          <w:p w14:paraId="15DA87B4">
            <w:pPr>
              <w:spacing w:line="360" w:lineRule="exact"/>
              <w:jc w:val="left"/>
              <w:rPr>
                <w:rFonts w:hint="eastAsia" w:asciiTheme="majorEastAsia" w:hAnsiTheme="majorEastAsia" w:eastAsiaTheme="majorEastAsia" w:cstheme="majorEastAsia"/>
                <w:color w:val="auto"/>
                <w:sz w:val="21"/>
                <w:szCs w:val="21"/>
                <w:highlight w:val="none"/>
                <w:lang w:val="en-US" w:eastAsia="zh-CN"/>
              </w:rPr>
            </w:pPr>
            <w:r>
              <w:rPr>
                <w:rFonts w:hint="eastAsia" w:asciiTheme="majorEastAsia" w:hAnsiTheme="majorEastAsia" w:eastAsiaTheme="majorEastAsia" w:cstheme="majorEastAsia"/>
                <w:color w:val="auto"/>
                <w:sz w:val="21"/>
                <w:szCs w:val="21"/>
                <w:highlight w:val="none"/>
              </w:rPr>
              <w:t>报价方式：</w:t>
            </w:r>
            <w:r>
              <w:rPr>
                <w:rFonts w:hint="eastAsia" w:asciiTheme="majorEastAsia" w:hAnsiTheme="majorEastAsia" w:eastAsiaTheme="majorEastAsia" w:cstheme="majorEastAsia"/>
                <w:color w:val="auto"/>
                <w:sz w:val="21"/>
                <w:szCs w:val="21"/>
                <w:highlight w:val="none"/>
                <w:lang w:eastAsia="zh-CN"/>
              </w:rPr>
              <w:t>按竞争性磋商文件“工程量清单”的价格报统一</w:t>
            </w:r>
            <w:r>
              <w:rPr>
                <w:rFonts w:hint="eastAsia" w:asciiTheme="majorEastAsia" w:hAnsiTheme="majorEastAsia" w:eastAsiaTheme="majorEastAsia" w:cstheme="majorEastAsia"/>
                <w:color w:val="auto"/>
                <w:sz w:val="21"/>
                <w:szCs w:val="21"/>
                <w:highlight w:val="none"/>
                <w:lang w:val="en-US" w:eastAsia="zh-CN"/>
              </w:rPr>
              <w:t>综合折扣率（保留至整数位）</w:t>
            </w:r>
            <w:r>
              <w:rPr>
                <w:rFonts w:hint="eastAsia" w:asciiTheme="majorEastAsia" w:hAnsiTheme="majorEastAsia" w:eastAsiaTheme="majorEastAsia" w:cstheme="majorEastAsia"/>
                <w:color w:val="auto"/>
                <w:sz w:val="21"/>
                <w:szCs w:val="21"/>
                <w:highlight w:val="none"/>
                <w:lang w:eastAsia="zh-CN"/>
              </w:rPr>
              <w:t>。最高限价：</w:t>
            </w:r>
            <w:r>
              <w:rPr>
                <w:rFonts w:hint="eastAsia" w:asciiTheme="majorEastAsia" w:hAnsiTheme="majorEastAsia" w:eastAsiaTheme="majorEastAsia" w:cstheme="majorEastAsia"/>
                <w:color w:val="auto"/>
                <w:sz w:val="21"/>
                <w:szCs w:val="21"/>
                <w:highlight w:val="none"/>
                <w:u w:val="single"/>
                <w:lang w:val="en-US" w:eastAsia="zh-CN"/>
              </w:rPr>
              <w:t>916852</w:t>
            </w:r>
            <w:r>
              <w:rPr>
                <w:rFonts w:hint="eastAsia" w:asciiTheme="majorEastAsia" w:hAnsiTheme="majorEastAsia" w:eastAsiaTheme="majorEastAsia" w:cstheme="majorEastAsia"/>
                <w:color w:val="auto"/>
                <w:sz w:val="21"/>
                <w:szCs w:val="21"/>
                <w:highlight w:val="none"/>
                <w:lang w:val="en-US" w:eastAsia="zh-CN"/>
              </w:rPr>
              <w:t>元，</w:t>
            </w:r>
            <w:r>
              <w:rPr>
                <w:rFonts w:hint="eastAsia" w:asciiTheme="majorEastAsia" w:hAnsiTheme="majorEastAsia" w:eastAsiaTheme="majorEastAsia" w:cstheme="majorEastAsia"/>
                <w:color w:val="auto"/>
                <w:sz w:val="21"/>
                <w:szCs w:val="21"/>
                <w:highlight w:val="none"/>
              </w:rPr>
              <w:t>非竞争项目费用</w:t>
            </w:r>
            <w:r>
              <w:rPr>
                <w:rFonts w:hint="eastAsia" w:asciiTheme="majorEastAsia" w:hAnsiTheme="majorEastAsia" w:eastAsiaTheme="majorEastAsia" w:cstheme="majorEastAsia"/>
                <w:color w:val="auto"/>
                <w:sz w:val="21"/>
                <w:szCs w:val="21"/>
                <w:highlight w:val="none"/>
                <w:u w:val="single"/>
                <w:lang w:eastAsia="zh-CN"/>
              </w:rPr>
              <w:t>80298</w:t>
            </w:r>
            <w:r>
              <w:rPr>
                <w:rFonts w:hint="eastAsia" w:asciiTheme="majorEastAsia" w:hAnsiTheme="majorEastAsia" w:eastAsiaTheme="majorEastAsia" w:cstheme="majorEastAsia"/>
                <w:color w:val="auto"/>
                <w:sz w:val="21"/>
                <w:szCs w:val="21"/>
                <w:highlight w:val="none"/>
              </w:rPr>
              <w:t>元</w:t>
            </w:r>
            <w:r>
              <w:rPr>
                <w:rFonts w:hint="eastAsia" w:asciiTheme="majorEastAsia" w:hAnsiTheme="majorEastAsia" w:eastAsiaTheme="majorEastAsia" w:cstheme="majorEastAsia"/>
                <w:color w:val="auto"/>
                <w:sz w:val="21"/>
                <w:szCs w:val="21"/>
                <w:highlight w:val="none"/>
                <w:lang w:val="en-US" w:eastAsia="zh-CN"/>
              </w:rPr>
              <w:t>(含税)。</w:t>
            </w:r>
          </w:p>
          <w:p w14:paraId="429EABE6">
            <w:pPr>
              <w:spacing w:line="360" w:lineRule="exact"/>
              <w:jc w:val="left"/>
              <w:rPr>
                <w:rFonts w:hint="eastAsia" w:asciiTheme="majorEastAsia" w:hAnsiTheme="majorEastAsia" w:eastAsiaTheme="majorEastAsia" w:cstheme="majorEastAsia"/>
                <w:color w:val="auto"/>
                <w:sz w:val="21"/>
                <w:szCs w:val="21"/>
                <w:highlight w:val="none"/>
                <w:lang w:val="en-US" w:eastAsia="zh-CN"/>
              </w:rPr>
            </w:pPr>
            <w:r>
              <w:rPr>
                <w:rFonts w:hint="eastAsia" w:asciiTheme="majorEastAsia" w:hAnsiTheme="majorEastAsia" w:eastAsiaTheme="majorEastAsia" w:cstheme="majorEastAsia"/>
                <w:color w:val="auto"/>
                <w:sz w:val="21"/>
                <w:szCs w:val="21"/>
                <w:highlight w:val="none"/>
                <w:lang w:val="en-US" w:eastAsia="zh-CN"/>
              </w:rPr>
              <w:t>本工程采用单价合同形式，</w:t>
            </w:r>
            <w:r>
              <w:rPr>
                <w:rFonts w:hint="eastAsia" w:asciiTheme="majorEastAsia" w:hAnsiTheme="majorEastAsia" w:eastAsiaTheme="majorEastAsia" w:cstheme="majorEastAsia"/>
                <w:color w:val="auto"/>
                <w:sz w:val="21"/>
                <w:szCs w:val="21"/>
                <w:highlight w:val="none"/>
                <w:lang w:eastAsia="zh-CN"/>
              </w:rPr>
              <w:t>结算单价以</w:t>
            </w:r>
            <w:r>
              <w:rPr>
                <w:rFonts w:hint="eastAsia" w:asciiTheme="majorEastAsia" w:hAnsiTheme="majorEastAsia" w:eastAsiaTheme="majorEastAsia" w:cstheme="majorEastAsia"/>
                <w:color w:val="auto"/>
                <w:sz w:val="21"/>
                <w:szCs w:val="21"/>
                <w:highlight w:val="none"/>
                <w:lang w:val="en-US" w:eastAsia="zh-CN"/>
              </w:rPr>
              <w:t>采购人提供的</w:t>
            </w:r>
            <w:r>
              <w:rPr>
                <w:rFonts w:hint="eastAsia" w:asciiTheme="majorEastAsia" w:hAnsiTheme="majorEastAsia" w:eastAsiaTheme="majorEastAsia" w:cstheme="majorEastAsia"/>
                <w:color w:val="auto"/>
                <w:sz w:val="21"/>
                <w:szCs w:val="21"/>
                <w:highlight w:val="none"/>
                <w:lang w:eastAsia="zh-CN"/>
              </w:rPr>
              <w:t>工程</w:t>
            </w:r>
            <w:r>
              <w:rPr>
                <w:rFonts w:hint="eastAsia" w:asciiTheme="majorEastAsia" w:hAnsiTheme="majorEastAsia" w:eastAsiaTheme="majorEastAsia" w:cstheme="majorEastAsia"/>
                <w:color w:val="auto"/>
                <w:sz w:val="21"/>
                <w:szCs w:val="21"/>
                <w:highlight w:val="none"/>
                <w:lang w:val="en-US" w:eastAsia="zh-CN"/>
              </w:rPr>
              <w:t>量清单中各</w:t>
            </w:r>
            <w:r>
              <w:rPr>
                <w:rFonts w:hint="eastAsia" w:asciiTheme="majorEastAsia" w:hAnsiTheme="majorEastAsia" w:eastAsiaTheme="majorEastAsia" w:cstheme="majorEastAsia"/>
                <w:color w:val="auto"/>
                <w:sz w:val="21"/>
                <w:szCs w:val="21"/>
                <w:highlight w:val="none"/>
                <w:lang w:eastAsia="zh-CN"/>
              </w:rPr>
              <w:t>子项综合单价结合</w:t>
            </w:r>
            <w:r>
              <w:rPr>
                <w:rFonts w:hint="eastAsia" w:asciiTheme="majorEastAsia" w:hAnsiTheme="majorEastAsia" w:eastAsiaTheme="majorEastAsia" w:cstheme="majorEastAsia"/>
                <w:color w:val="auto"/>
                <w:sz w:val="21"/>
                <w:szCs w:val="21"/>
                <w:highlight w:val="none"/>
                <w:lang w:val="en-US" w:eastAsia="zh-CN"/>
              </w:rPr>
              <w:t>综合折扣率确</w:t>
            </w:r>
            <w:r>
              <w:rPr>
                <w:rFonts w:hint="eastAsia" w:asciiTheme="majorEastAsia" w:hAnsiTheme="majorEastAsia" w:eastAsiaTheme="majorEastAsia" w:cstheme="majorEastAsia"/>
                <w:color w:val="auto"/>
                <w:sz w:val="21"/>
                <w:szCs w:val="21"/>
                <w:highlight w:val="none"/>
                <w:lang w:eastAsia="zh-CN"/>
              </w:rPr>
              <w:t>定，工程量按实调整。</w:t>
            </w:r>
          </w:p>
          <w:p w14:paraId="73A5BD12">
            <w:pPr>
              <w:spacing w:line="360" w:lineRule="exact"/>
              <w:jc w:val="left"/>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本工程实行工程量清单固定综合单价，工程量按实际结算。</w:t>
            </w:r>
          </w:p>
        </w:tc>
      </w:tr>
    </w:tbl>
    <w:p w14:paraId="27BC61C2">
      <w:pPr>
        <w:pStyle w:val="22"/>
        <w:rPr>
          <w:rFonts w:hint="eastAsia" w:asciiTheme="majorEastAsia" w:hAnsiTheme="majorEastAsia" w:eastAsiaTheme="majorEastAsia" w:cstheme="majorEastAsia"/>
          <w:color w:val="000000"/>
          <w:sz w:val="21"/>
          <w:szCs w:val="21"/>
          <w:highlight w:val="none"/>
        </w:rPr>
      </w:pPr>
    </w:p>
    <w:p w14:paraId="3084772B">
      <w:pPr>
        <w:adjustRightInd/>
        <w:spacing w:line="360" w:lineRule="auto"/>
        <w:jc w:val="center"/>
        <w:outlineLvl w:val="0"/>
        <w:rPr>
          <w:rFonts w:hint="eastAsia" w:asciiTheme="majorEastAsia" w:hAnsiTheme="majorEastAsia" w:eastAsiaTheme="majorEastAsia" w:cstheme="majorEastAsia"/>
          <w:b/>
          <w:sz w:val="21"/>
          <w:szCs w:val="21"/>
        </w:rPr>
      </w:pPr>
    </w:p>
    <w:p w14:paraId="37F3D329">
      <w:pPr>
        <w:pStyle w:val="59"/>
        <w:ind w:left="0" w:leftChars="0" w:firstLine="0" w:firstLineChars="0"/>
        <w:rPr>
          <w:rFonts w:hint="eastAsia" w:ascii="仿宋" w:hAnsi="仿宋" w:eastAsia="仿宋" w:cs="仿宋"/>
          <w:b/>
          <w:sz w:val="36"/>
          <w:szCs w:val="20"/>
        </w:rPr>
      </w:pPr>
    </w:p>
    <w:p w14:paraId="2395A083">
      <w:pPr>
        <w:adjustRightInd/>
        <w:spacing w:line="360" w:lineRule="auto"/>
        <w:jc w:val="center"/>
        <w:outlineLvl w:val="0"/>
        <w:rPr>
          <w:rFonts w:hint="eastAsia" w:ascii="仿宋" w:hAnsi="仿宋" w:eastAsia="仿宋" w:cs="仿宋"/>
          <w:b/>
          <w:sz w:val="36"/>
          <w:szCs w:val="20"/>
        </w:rPr>
      </w:pPr>
    </w:p>
    <w:p w14:paraId="6531BA9E">
      <w:pPr>
        <w:adjustRightInd/>
        <w:spacing w:line="360" w:lineRule="auto"/>
        <w:jc w:val="center"/>
        <w:outlineLvl w:val="0"/>
        <w:rPr>
          <w:rFonts w:hint="eastAsia" w:ascii="仿宋" w:hAnsi="仿宋" w:eastAsia="仿宋" w:cs="仿宋"/>
          <w:b/>
          <w:sz w:val="36"/>
          <w:szCs w:val="20"/>
        </w:rPr>
      </w:pPr>
    </w:p>
    <w:p w14:paraId="320A626E">
      <w:pPr>
        <w:adjustRightInd/>
        <w:spacing w:line="360" w:lineRule="auto"/>
        <w:jc w:val="center"/>
        <w:outlineLvl w:val="0"/>
        <w:rPr>
          <w:rFonts w:hint="eastAsia" w:ascii="仿宋" w:hAnsi="仿宋" w:eastAsia="仿宋" w:cs="仿宋"/>
          <w:b/>
          <w:sz w:val="36"/>
          <w:szCs w:val="20"/>
        </w:rPr>
      </w:pPr>
    </w:p>
    <w:p w14:paraId="2E94BFD4">
      <w:pPr>
        <w:adjustRightInd/>
        <w:spacing w:line="360" w:lineRule="auto"/>
        <w:jc w:val="center"/>
        <w:outlineLvl w:val="0"/>
        <w:rPr>
          <w:rFonts w:hint="eastAsia" w:ascii="仿宋" w:hAnsi="仿宋" w:eastAsia="仿宋" w:cs="仿宋"/>
          <w:b/>
          <w:sz w:val="36"/>
          <w:szCs w:val="20"/>
        </w:rPr>
      </w:pPr>
    </w:p>
    <w:p w14:paraId="1F970EBF">
      <w:pPr>
        <w:adjustRightInd/>
        <w:spacing w:line="360" w:lineRule="auto"/>
        <w:jc w:val="center"/>
        <w:outlineLvl w:val="0"/>
        <w:rPr>
          <w:rFonts w:hint="eastAsia" w:ascii="仿宋" w:hAnsi="仿宋" w:eastAsia="仿宋" w:cs="仿宋"/>
          <w:b/>
          <w:sz w:val="36"/>
          <w:szCs w:val="20"/>
        </w:rPr>
      </w:pPr>
    </w:p>
    <w:p w14:paraId="76AB972B">
      <w:pPr>
        <w:adjustRightInd/>
        <w:spacing w:line="360" w:lineRule="auto"/>
        <w:jc w:val="center"/>
        <w:outlineLvl w:val="0"/>
        <w:rPr>
          <w:rFonts w:hint="eastAsia" w:ascii="仿宋" w:hAnsi="仿宋" w:eastAsia="仿宋" w:cs="仿宋"/>
          <w:b/>
          <w:sz w:val="36"/>
          <w:szCs w:val="20"/>
        </w:rPr>
      </w:pPr>
    </w:p>
    <w:p w14:paraId="36E1CF42">
      <w:pPr>
        <w:adjustRightInd/>
        <w:spacing w:line="360" w:lineRule="auto"/>
        <w:jc w:val="center"/>
        <w:outlineLvl w:val="0"/>
        <w:rPr>
          <w:rFonts w:hint="eastAsia" w:ascii="仿宋" w:hAnsi="仿宋" w:eastAsia="仿宋" w:cs="仿宋"/>
          <w:b/>
          <w:sz w:val="36"/>
          <w:szCs w:val="20"/>
        </w:rPr>
      </w:pPr>
    </w:p>
    <w:p w14:paraId="3F9AFB94">
      <w:pPr>
        <w:adjustRightInd/>
        <w:spacing w:line="360" w:lineRule="auto"/>
        <w:jc w:val="center"/>
        <w:outlineLvl w:val="0"/>
        <w:rPr>
          <w:rFonts w:ascii="仿宋" w:hAnsi="仿宋" w:eastAsia="仿宋" w:cs="仿宋"/>
          <w:b/>
          <w:sz w:val="36"/>
          <w:szCs w:val="20"/>
        </w:rPr>
      </w:pPr>
      <w:r>
        <w:rPr>
          <w:rFonts w:hint="eastAsia" w:ascii="仿宋" w:hAnsi="仿宋" w:eastAsia="仿宋" w:cs="仿宋"/>
          <w:b/>
          <w:sz w:val="36"/>
          <w:szCs w:val="20"/>
        </w:rPr>
        <w:t>第</w:t>
      </w:r>
      <w:r>
        <w:rPr>
          <w:rFonts w:hint="eastAsia" w:ascii="仿宋" w:hAnsi="仿宋" w:eastAsia="仿宋" w:cs="仿宋"/>
          <w:b/>
          <w:sz w:val="36"/>
          <w:szCs w:val="20"/>
          <w:lang w:eastAsia="zh-CN"/>
        </w:rPr>
        <w:t>三</w:t>
      </w:r>
      <w:r>
        <w:rPr>
          <w:rFonts w:hint="eastAsia" w:ascii="仿宋" w:hAnsi="仿宋" w:eastAsia="仿宋" w:cs="仿宋"/>
          <w:b/>
          <w:sz w:val="36"/>
          <w:szCs w:val="20"/>
        </w:rPr>
        <w:t xml:space="preserve">部分 </w:t>
      </w:r>
      <w:r>
        <w:rPr>
          <w:rFonts w:hint="eastAsia"/>
          <w:b/>
          <w:color w:val="000000"/>
          <w:sz w:val="36"/>
          <w:szCs w:val="36"/>
          <w:highlight w:val="none"/>
        </w:rPr>
        <w:t>竞争性磋商须知及前附表</w:t>
      </w:r>
    </w:p>
    <w:p w14:paraId="23AFEF36">
      <w:pPr>
        <w:snapToGrid w:val="0"/>
        <w:spacing w:line="360" w:lineRule="auto"/>
        <w:jc w:val="center"/>
        <w:rPr>
          <w:rFonts w:hint="eastAsia" w:ascii="仿宋" w:hAnsi="仿宋" w:eastAsia="仿宋" w:cs="仿宋"/>
          <w:b/>
          <w:sz w:val="32"/>
          <w:szCs w:val="20"/>
          <w:highlight w:val="none"/>
        </w:rPr>
      </w:pPr>
      <w:r>
        <w:rPr>
          <w:rFonts w:hint="eastAsia" w:ascii="仿宋" w:hAnsi="仿宋" w:eastAsia="仿宋" w:cs="仿宋"/>
          <w:b/>
          <w:sz w:val="32"/>
          <w:szCs w:val="20"/>
          <w:highlight w:val="none"/>
        </w:rPr>
        <w:t>前附表</w:t>
      </w:r>
    </w:p>
    <w:tbl>
      <w:tblPr>
        <w:tblStyle w:val="60"/>
        <w:tblW w:w="9116"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644"/>
      </w:tblGrid>
      <w:tr w14:paraId="52B0576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90" w:hRule="atLeast"/>
          <w:tblHeader/>
        </w:trPr>
        <w:tc>
          <w:tcPr>
            <w:tcW w:w="629" w:type="dxa"/>
            <w:tcBorders>
              <w:top w:val="single" w:color="auto" w:sz="4" w:space="0"/>
              <w:left w:val="single" w:color="auto" w:sz="4" w:space="0"/>
              <w:bottom w:val="single" w:color="auto" w:sz="4" w:space="0"/>
              <w:right w:val="single" w:color="auto" w:sz="4" w:space="0"/>
            </w:tcBorders>
            <w:noWrap w:val="0"/>
            <w:vAlign w:val="top"/>
          </w:tcPr>
          <w:p w14:paraId="380945A0">
            <w:pPr>
              <w:keepNext w:val="0"/>
              <w:keepLines w:val="0"/>
              <w:pageBreakBefore w:val="0"/>
              <w:kinsoku/>
              <w:wordWrap/>
              <w:overflowPunct/>
              <w:topLinePunct w:val="0"/>
              <w:bidi w:val="0"/>
              <w:snapToGrid w:val="0"/>
              <w:spacing w:line="320" w:lineRule="exact"/>
              <w:jc w:val="center"/>
              <w:rPr>
                <w:rFonts w:hint="eastAsia" w:asciiTheme="minorEastAsia" w:hAnsiTheme="minorEastAsia" w:eastAsiaTheme="minorEastAsia" w:cstheme="minorEastAsia"/>
                <w:b/>
                <w:sz w:val="21"/>
                <w:szCs w:val="21"/>
                <w:highlight w:val="none"/>
              </w:rPr>
            </w:pPr>
            <w:r>
              <w:rPr>
                <w:rFonts w:hint="eastAsia" w:asciiTheme="minorEastAsia" w:hAnsiTheme="minorEastAsia" w:eastAsiaTheme="minorEastAsia" w:cstheme="minorEastAsia"/>
                <w:b/>
                <w:sz w:val="21"/>
                <w:szCs w:val="21"/>
                <w:highlight w:val="none"/>
              </w:rPr>
              <w:t>序号</w:t>
            </w:r>
          </w:p>
        </w:tc>
        <w:tc>
          <w:tcPr>
            <w:tcW w:w="1843" w:type="dxa"/>
            <w:tcBorders>
              <w:top w:val="single" w:color="000000" w:sz="8" w:space="0"/>
              <w:left w:val="single" w:color="auto" w:sz="4" w:space="0"/>
              <w:bottom w:val="single" w:color="000000" w:sz="8" w:space="0"/>
              <w:right w:val="single" w:color="000000" w:sz="8" w:space="0"/>
            </w:tcBorders>
            <w:noWrap w:val="0"/>
            <w:vAlign w:val="center"/>
          </w:tcPr>
          <w:p w14:paraId="4E6CBE81">
            <w:pPr>
              <w:keepNext w:val="0"/>
              <w:keepLines w:val="0"/>
              <w:pageBreakBefore w:val="0"/>
              <w:kinsoku/>
              <w:wordWrap/>
              <w:overflowPunct/>
              <w:topLinePunct w:val="0"/>
              <w:bidi w:val="0"/>
              <w:snapToGrid w:val="0"/>
              <w:spacing w:line="320" w:lineRule="exact"/>
              <w:jc w:val="center"/>
              <w:rPr>
                <w:rFonts w:hint="eastAsia" w:asciiTheme="minorEastAsia" w:hAnsiTheme="minorEastAsia" w:eastAsiaTheme="minorEastAsia" w:cstheme="minorEastAsia"/>
                <w:b/>
                <w:sz w:val="21"/>
                <w:szCs w:val="21"/>
                <w:highlight w:val="none"/>
              </w:rPr>
            </w:pPr>
            <w:r>
              <w:rPr>
                <w:rFonts w:hint="eastAsia" w:asciiTheme="minorEastAsia" w:hAnsiTheme="minorEastAsia" w:eastAsiaTheme="minorEastAsia" w:cstheme="minorEastAsia"/>
                <w:b/>
                <w:sz w:val="21"/>
                <w:szCs w:val="21"/>
                <w:highlight w:val="none"/>
              </w:rPr>
              <w:t>事项</w:t>
            </w:r>
          </w:p>
        </w:tc>
        <w:tc>
          <w:tcPr>
            <w:tcW w:w="6644" w:type="dxa"/>
            <w:tcBorders>
              <w:top w:val="single" w:color="000000" w:sz="8" w:space="0"/>
              <w:left w:val="single" w:color="000000" w:sz="2" w:space="0"/>
              <w:bottom w:val="single" w:color="000000" w:sz="8" w:space="0"/>
              <w:right w:val="single" w:color="000000" w:sz="8" w:space="0"/>
            </w:tcBorders>
            <w:noWrap w:val="0"/>
            <w:vAlign w:val="center"/>
          </w:tcPr>
          <w:p w14:paraId="393379EB">
            <w:pPr>
              <w:keepNext w:val="0"/>
              <w:keepLines w:val="0"/>
              <w:pageBreakBefore w:val="0"/>
              <w:kinsoku/>
              <w:wordWrap/>
              <w:overflowPunct/>
              <w:topLinePunct w:val="0"/>
              <w:bidi w:val="0"/>
              <w:snapToGrid w:val="0"/>
              <w:spacing w:line="320" w:lineRule="exact"/>
              <w:jc w:val="center"/>
              <w:rPr>
                <w:rFonts w:hint="eastAsia" w:asciiTheme="minorEastAsia" w:hAnsiTheme="minorEastAsia" w:eastAsiaTheme="minorEastAsia" w:cstheme="minorEastAsia"/>
                <w:b/>
                <w:sz w:val="21"/>
                <w:szCs w:val="21"/>
                <w:highlight w:val="none"/>
              </w:rPr>
            </w:pPr>
            <w:r>
              <w:rPr>
                <w:rFonts w:hint="eastAsia" w:asciiTheme="minorEastAsia" w:hAnsiTheme="minorEastAsia" w:eastAsiaTheme="minorEastAsia" w:cstheme="minorEastAsia"/>
                <w:b/>
                <w:sz w:val="21"/>
                <w:szCs w:val="21"/>
                <w:highlight w:val="none"/>
              </w:rPr>
              <w:t>本项目的特别规定</w:t>
            </w:r>
          </w:p>
        </w:tc>
      </w:tr>
      <w:tr w14:paraId="7DAD6E5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60" w:hRule="atLeast"/>
          <w:tblHeader/>
        </w:trPr>
        <w:tc>
          <w:tcPr>
            <w:tcW w:w="629" w:type="dxa"/>
            <w:tcBorders>
              <w:top w:val="single" w:color="auto" w:sz="4" w:space="0"/>
              <w:left w:val="single" w:color="auto" w:sz="4" w:space="0"/>
              <w:bottom w:val="single" w:color="auto" w:sz="4" w:space="0"/>
              <w:right w:val="single" w:color="auto" w:sz="4" w:space="0"/>
            </w:tcBorders>
            <w:noWrap w:val="0"/>
            <w:vAlign w:val="center"/>
          </w:tcPr>
          <w:p w14:paraId="1A3CDAEA">
            <w:pPr>
              <w:keepNext w:val="0"/>
              <w:keepLines w:val="0"/>
              <w:pageBreakBefore w:val="0"/>
              <w:kinsoku/>
              <w:wordWrap/>
              <w:overflowPunct/>
              <w:topLinePunct w:val="0"/>
              <w:bidi w:val="0"/>
              <w:snapToGrid w:val="0"/>
              <w:spacing w:line="320" w:lineRule="exact"/>
              <w:jc w:val="center"/>
              <w:rPr>
                <w:rFonts w:hint="eastAsia" w:asciiTheme="minorEastAsia" w:hAnsiTheme="minorEastAsia" w:eastAsiaTheme="minorEastAsia" w:cstheme="minorEastAsia"/>
                <w:color w:val="auto"/>
                <w:sz w:val="21"/>
                <w:szCs w:val="21"/>
                <w:highlight w:val="none"/>
              </w:rPr>
            </w:pPr>
            <w:r>
              <w:rPr>
                <w:rFonts w:hint="eastAsia" w:ascii="宋体" w:hAnsi="宋体" w:cs="宋体"/>
                <w:sz w:val="21"/>
                <w:szCs w:val="21"/>
              </w:rPr>
              <w:t>1</w:t>
            </w:r>
          </w:p>
        </w:tc>
        <w:tc>
          <w:tcPr>
            <w:tcW w:w="1843" w:type="dxa"/>
            <w:tcBorders>
              <w:top w:val="single" w:color="000000" w:sz="8" w:space="0"/>
              <w:left w:val="single" w:color="auto" w:sz="4" w:space="0"/>
              <w:bottom w:val="single" w:color="000000" w:sz="8" w:space="0"/>
              <w:right w:val="single" w:color="000000" w:sz="8" w:space="0"/>
            </w:tcBorders>
            <w:noWrap w:val="0"/>
            <w:vAlign w:val="center"/>
          </w:tcPr>
          <w:p w14:paraId="633C7662">
            <w:pPr>
              <w:keepNext w:val="0"/>
              <w:keepLines w:val="0"/>
              <w:pageBreakBefore w:val="0"/>
              <w:kinsoku/>
              <w:wordWrap/>
              <w:overflowPunct/>
              <w:topLinePunct w:val="0"/>
              <w:bidi w:val="0"/>
              <w:snapToGrid w:val="0"/>
              <w:spacing w:line="320" w:lineRule="exact"/>
              <w:jc w:val="center"/>
              <w:rPr>
                <w:rFonts w:hint="eastAsia" w:asciiTheme="minorEastAsia" w:hAnsiTheme="minorEastAsia" w:eastAsiaTheme="minorEastAsia" w:cstheme="minorEastAsia"/>
                <w:b/>
                <w:color w:val="auto"/>
                <w:sz w:val="21"/>
                <w:szCs w:val="21"/>
                <w:highlight w:val="none"/>
              </w:rPr>
            </w:pPr>
            <w:r>
              <w:rPr>
                <w:rFonts w:hint="eastAsia" w:ascii="宋体" w:hAnsi="宋体" w:cs="宋体"/>
                <w:b/>
                <w:sz w:val="21"/>
                <w:szCs w:val="21"/>
              </w:rPr>
              <w:t>项目属性</w:t>
            </w:r>
          </w:p>
        </w:tc>
        <w:tc>
          <w:tcPr>
            <w:tcW w:w="6644" w:type="dxa"/>
            <w:tcBorders>
              <w:top w:val="single" w:color="000000" w:sz="8" w:space="0"/>
              <w:left w:val="single" w:color="000000" w:sz="2" w:space="0"/>
              <w:bottom w:val="single" w:color="000000" w:sz="8" w:space="0"/>
              <w:right w:val="single" w:color="000000" w:sz="8" w:space="0"/>
            </w:tcBorders>
            <w:noWrap w:val="0"/>
            <w:vAlign w:val="center"/>
          </w:tcPr>
          <w:p w14:paraId="53494051">
            <w:pPr>
              <w:keepNext w:val="0"/>
              <w:keepLines w:val="0"/>
              <w:pageBreakBefore w:val="0"/>
              <w:kinsoku/>
              <w:wordWrap/>
              <w:overflowPunct/>
              <w:topLinePunct w:val="0"/>
              <w:bidi w:val="0"/>
              <w:spacing w:line="320" w:lineRule="exact"/>
              <w:rPr>
                <w:rFonts w:hint="eastAsia" w:asciiTheme="minorEastAsia" w:hAnsiTheme="minorEastAsia" w:eastAsiaTheme="minorEastAsia" w:cstheme="minorEastAsia"/>
                <w:b/>
                <w:snapToGrid/>
                <w:color w:val="auto"/>
                <w:kern w:val="0"/>
                <w:sz w:val="21"/>
                <w:szCs w:val="21"/>
                <w:highlight w:val="none"/>
                <w:lang w:val="en-US" w:eastAsia="zh-CN" w:bidi="ar-SA"/>
              </w:rPr>
            </w:pPr>
            <w:r>
              <w:rPr>
                <w:rFonts w:hint="eastAsia" w:ascii="宋体" w:hAnsi="宋体" w:cs="宋体"/>
                <w:kern w:val="0"/>
                <w:sz w:val="21"/>
                <w:szCs w:val="21"/>
                <w:u w:val="single"/>
              </w:rPr>
              <w:t>工程</w:t>
            </w:r>
            <w:r>
              <w:rPr>
                <w:rFonts w:hint="eastAsia" w:ascii="宋体" w:hAnsi="宋体" w:cs="宋体"/>
                <w:sz w:val="21"/>
                <w:szCs w:val="21"/>
              </w:rPr>
              <w:t>类</w:t>
            </w:r>
          </w:p>
        </w:tc>
      </w:tr>
      <w:tr w14:paraId="5791770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500" w:hRule="atLeast"/>
          <w:tblHeader/>
        </w:trPr>
        <w:tc>
          <w:tcPr>
            <w:tcW w:w="629" w:type="dxa"/>
            <w:tcBorders>
              <w:top w:val="single" w:color="auto" w:sz="4" w:space="0"/>
              <w:left w:val="single" w:color="auto" w:sz="4" w:space="0"/>
              <w:bottom w:val="single" w:color="auto" w:sz="4" w:space="0"/>
              <w:right w:val="single" w:color="auto" w:sz="4" w:space="0"/>
            </w:tcBorders>
            <w:noWrap w:val="0"/>
            <w:vAlign w:val="top"/>
          </w:tcPr>
          <w:p w14:paraId="3E08D952">
            <w:pPr>
              <w:keepNext w:val="0"/>
              <w:keepLines w:val="0"/>
              <w:pageBreakBefore w:val="0"/>
              <w:kinsoku/>
              <w:wordWrap/>
              <w:overflowPunct/>
              <w:topLinePunct w:val="0"/>
              <w:bidi w:val="0"/>
              <w:snapToGrid w:val="0"/>
              <w:spacing w:line="320" w:lineRule="exact"/>
              <w:jc w:val="center"/>
              <w:rPr>
                <w:rFonts w:hint="eastAsia" w:asciiTheme="minorEastAsia" w:hAnsiTheme="minorEastAsia" w:eastAsiaTheme="minorEastAsia" w:cstheme="minorEastAsia"/>
                <w:color w:val="auto"/>
                <w:sz w:val="21"/>
                <w:szCs w:val="21"/>
                <w:highlight w:val="none"/>
                <w:lang w:val="en-US" w:eastAsia="zh-CN"/>
              </w:rPr>
            </w:pPr>
          </w:p>
          <w:p w14:paraId="455C0290">
            <w:pPr>
              <w:keepNext w:val="0"/>
              <w:keepLines w:val="0"/>
              <w:pageBreakBefore w:val="0"/>
              <w:kinsoku/>
              <w:wordWrap/>
              <w:overflowPunct/>
              <w:topLinePunct w:val="0"/>
              <w:bidi w:val="0"/>
              <w:snapToGrid w:val="0"/>
              <w:spacing w:line="320" w:lineRule="exact"/>
              <w:jc w:val="both"/>
              <w:rPr>
                <w:rFonts w:hint="eastAsia" w:asciiTheme="minorEastAsia" w:hAnsiTheme="minorEastAsia" w:eastAsiaTheme="minorEastAsia" w:cstheme="minorEastAsia"/>
                <w:color w:val="auto"/>
                <w:sz w:val="21"/>
                <w:szCs w:val="21"/>
                <w:highlight w:val="none"/>
                <w:lang w:val="en-US" w:eastAsia="zh-CN"/>
              </w:rPr>
            </w:pPr>
          </w:p>
          <w:p w14:paraId="2B15F65E">
            <w:pPr>
              <w:keepNext w:val="0"/>
              <w:keepLines w:val="0"/>
              <w:pageBreakBefore w:val="0"/>
              <w:kinsoku/>
              <w:wordWrap/>
              <w:overflowPunct/>
              <w:topLinePunct w:val="0"/>
              <w:bidi w:val="0"/>
              <w:snapToGrid w:val="0"/>
              <w:spacing w:line="320" w:lineRule="exact"/>
              <w:ind w:firstLine="210" w:firstLineChars="100"/>
              <w:jc w:val="both"/>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2</w:t>
            </w:r>
          </w:p>
        </w:tc>
        <w:tc>
          <w:tcPr>
            <w:tcW w:w="1843" w:type="dxa"/>
            <w:tcBorders>
              <w:top w:val="single" w:color="000000" w:sz="8" w:space="0"/>
              <w:left w:val="single" w:color="auto" w:sz="4" w:space="0"/>
              <w:bottom w:val="single" w:color="000000" w:sz="8" w:space="0"/>
              <w:right w:val="single" w:color="000000" w:sz="8" w:space="0"/>
            </w:tcBorders>
            <w:noWrap w:val="0"/>
            <w:vAlign w:val="center"/>
          </w:tcPr>
          <w:p w14:paraId="06B4111A">
            <w:pPr>
              <w:keepNext w:val="0"/>
              <w:keepLines w:val="0"/>
              <w:pageBreakBefore w:val="0"/>
              <w:kinsoku/>
              <w:wordWrap/>
              <w:overflowPunct/>
              <w:topLinePunct w:val="0"/>
              <w:bidi w:val="0"/>
              <w:snapToGrid w:val="0"/>
              <w:spacing w:line="320" w:lineRule="exact"/>
              <w:jc w:val="center"/>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采购标的对应的中小企业划分标准所属行业</w:t>
            </w:r>
          </w:p>
        </w:tc>
        <w:tc>
          <w:tcPr>
            <w:tcW w:w="6644" w:type="dxa"/>
            <w:tcBorders>
              <w:top w:val="single" w:color="000000" w:sz="8" w:space="0"/>
              <w:left w:val="single" w:color="000000" w:sz="2" w:space="0"/>
              <w:bottom w:val="single" w:color="000000" w:sz="8" w:space="0"/>
              <w:right w:val="single" w:color="000000" w:sz="8" w:space="0"/>
            </w:tcBorders>
            <w:noWrap w:val="0"/>
            <w:vAlign w:val="center"/>
          </w:tcPr>
          <w:p w14:paraId="329E08DA">
            <w:pPr>
              <w:keepNext w:val="0"/>
              <w:keepLines w:val="0"/>
              <w:pageBreakBefore w:val="0"/>
              <w:kinsoku/>
              <w:wordWrap/>
              <w:overflowPunct/>
              <w:topLinePunct w:val="0"/>
              <w:bidi w:val="0"/>
              <w:snapToGrid w:val="0"/>
              <w:spacing w:line="320" w:lineRule="exact"/>
              <w:jc w:val="left"/>
              <w:rPr>
                <w:rFonts w:hint="eastAsia" w:asciiTheme="minorEastAsia" w:hAnsiTheme="minorEastAsia" w:eastAsiaTheme="minorEastAsia" w:cstheme="minorEastAsia"/>
                <w:color w:val="auto"/>
                <w:kern w:val="0"/>
                <w:sz w:val="21"/>
                <w:szCs w:val="21"/>
                <w:highlight w:val="none"/>
                <w:lang w:val="zh-CN"/>
              </w:rPr>
            </w:pPr>
            <w:r>
              <w:rPr>
                <w:rFonts w:hint="eastAsia" w:asciiTheme="minorEastAsia" w:hAnsiTheme="minorEastAsia" w:eastAsiaTheme="minorEastAsia" w:cstheme="minorEastAsia"/>
                <w:color w:val="auto"/>
                <w:kern w:val="0"/>
                <w:sz w:val="21"/>
                <w:szCs w:val="21"/>
                <w:highlight w:val="none"/>
              </w:rPr>
              <w:t>标的：</w:t>
            </w:r>
            <w:r>
              <w:rPr>
                <w:rFonts w:hint="eastAsia" w:asciiTheme="minorEastAsia" w:hAnsiTheme="minorEastAsia" w:eastAsiaTheme="minorEastAsia" w:cstheme="minorEastAsia"/>
                <w:color w:val="auto"/>
                <w:kern w:val="0"/>
                <w:sz w:val="21"/>
                <w:szCs w:val="21"/>
                <w:highlight w:val="none"/>
                <w:u w:val="single"/>
                <w:lang w:val="en-US" w:eastAsia="zh-CN"/>
              </w:rPr>
              <w:t>宁海县一市镇中心学校塑胶跑道等维修工程</w:t>
            </w:r>
            <w:r>
              <w:rPr>
                <w:rFonts w:hint="eastAsia" w:asciiTheme="minorEastAsia" w:hAnsiTheme="minorEastAsia" w:eastAsiaTheme="minorEastAsia" w:cstheme="minorEastAsia"/>
                <w:color w:val="auto"/>
                <w:kern w:val="0"/>
                <w:sz w:val="21"/>
                <w:szCs w:val="21"/>
                <w:highlight w:val="none"/>
              </w:rPr>
              <w:t>，</w:t>
            </w:r>
            <w:r>
              <w:rPr>
                <w:rFonts w:hint="eastAsia" w:asciiTheme="minorEastAsia" w:hAnsiTheme="minorEastAsia" w:eastAsiaTheme="minorEastAsia" w:cstheme="minorEastAsia"/>
                <w:color w:val="auto"/>
                <w:kern w:val="0"/>
                <w:sz w:val="21"/>
                <w:szCs w:val="21"/>
                <w:highlight w:val="none"/>
                <w:lang w:val="zh-CN"/>
              </w:rPr>
              <w:t>属于</w:t>
            </w:r>
            <w:r>
              <w:rPr>
                <w:rFonts w:hint="eastAsia" w:asciiTheme="minorEastAsia" w:hAnsiTheme="minorEastAsia" w:eastAsiaTheme="minorEastAsia" w:cstheme="minorEastAsia"/>
                <w:color w:val="auto"/>
                <w:kern w:val="0"/>
                <w:sz w:val="21"/>
                <w:szCs w:val="21"/>
                <w:highlight w:val="none"/>
                <w:u w:val="single"/>
                <w:lang w:val="en-US" w:eastAsia="zh-CN"/>
              </w:rPr>
              <w:t>建筑业</w:t>
            </w:r>
            <w:r>
              <w:rPr>
                <w:rFonts w:hint="eastAsia" w:asciiTheme="minorEastAsia" w:hAnsiTheme="minorEastAsia" w:eastAsiaTheme="minorEastAsia" w:cstheme="minorEastAsia"/>
                <w:color w:val="auto"/>
                <w:kern w:val="0"/>
                <w:sz w:val="21"/>
                <w:szCs w:val="21"/>
                <w:highlight w:val="none"/>
                <w:lang w:val="zh-CN"/>
              </w:rPr>
              <w:t>行业；</w:t>
            </w:r>
          </w:p>
          <w:p w14:paraId="3E9CDBD7">
            <w:pPr>
              <w:keepNext w:val="0"/>
              <w:keepLines w:val="0"/>
              <w:pageBreakBefore w:val="0"/>
              <w:kinsoku/>
              <w:wordWrap/>
              <w:overflowPunct/>
              <w:topLinePunct w:val="0"/>
              <w:bidi w:val="0"/>
              <w:snapToGrid w:val="0"/>
              <w:spacing w:line="320" w:lineRule="exact"/>
              <w:jc w:val="left"/>
              <w:rPr>
                <w:rFonts w:hint="eastAsia"/>
                <w:sz w:val="21"/>
                <w:szCs w:val="21"/>
                <w:lang w:val="en-US" w:eastAsia="zh-CN"/>
              </w:rPr>
            </w:pPr>
            <w:r>
              <w:rPr>
                <w:rFonts w:hint="eastAsia" w:asciiTheme="minorEastAsia" w:hAnsiTheme="minorEastAsia" w:eastAsiaTheme="minorEastAsia" w:cstheme="minorEastAsia"/>
                <w:color w:val="auto"/>
                <w:kern w:val="0"/>
                <w:sz w:val="21"/>
                <w:szCs w:val="21"/>
                <w:highlight w:val="none"/>
                <w:lang w:val="en-US" w:eastAsia="zh-CN"/>
              </w:rPr>
              <w:t>标准：营业收入80000万元以下或资产总额80000万元以下的为中小微型企业。其中，营业收入6000万元及以上，且资产总额5000 万元及以上的为中型企业；营业收入300万元及以上，且资产总额300万元及以上的为小型企业；营业收入300万元以下或资产总额300万元以下的为微型企业。</w:t>
            </w:r>
          </w:p>
        </w:tc>
      </w:tr>
      <w:tr w14:paraId="796F4FB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90" w:hRule="atLeast"/>
          <w:tblHeader/>
        </w:trPr>
        <w:tc>
          <w:tcPr>
            <w:tcW w:w="629" w:type="dxa"/>
            <w:tcBorders>
              <w:top w:val="single" w:color="auto" w:sz="4" w:space="0"/>
              <w:left w:val="single" w:color="auto" w:sz="4" w:space="0"/>
              <w:bottom w:val="single" w:color="auto" w:sz="4" w:space="0"/>
              <w:right w:val="single" w:color="auto" w:sz="4" w:space="0"/>
            </w:tcBorders>
            <w:noWrap w:val="0"/>
            <w:vAlign w:val="center"/>
          </w:tcPr>
          <w:p w14:paraId="41B91297">
            <w:pPr>
              <w:keepNext w:val="0"/>
              <w:keepLines w:val="0"/>
              <w:pageBreakBefore w:val="0"/>
              <w:kinsoku/>
              <w:wordWrap/>
              <w:overflowPunct/>
              <w:topLinePunct w:val="0"/>
              <w:bidi w:val="0"/>
              <w:snapToGrid w:val="0"/>
              <w:spacing w:line="320" w:lineRule="exact"/>
              <w:jc w:val="center"/>
              <w:rPr>
                <w:rFonts w:hint="eastAsia" w:asciiTheme="minorEastAsia" w:hAnsiTheme="minorEastAsia" w:eastAsiaTheme="minorEastAsia" w:cstheme="minorEastAsia"/>
                <w:color w:val="auto"/>
                <w:sz w:val="21"/>
                <w:szCs w:val="21"/>
                <w:highlight w:val="none"/>
                <w:lang w:val="en-US" w:eastAsia="zh-CN"/>
              </w:rPr>
            </w:pPr>
            <w:r>
              <w:rPr>
                <w:rFonts w:hint="eastAsia" w:ascii="宋体" w:hAnsi="宋体" w:cs="宋体"/>
                <w:sz w:val="21"/>
                <w:szCs w:val="21"/>
              </w:rPr>
              <w:t>3</w:t>
            </w:r>
          </w:p>
        </w:tc>
        <w:tc>
          <w:tcPr>
            <w:tcW w:w="1843" w:type="dxa"/>
            <w:tcBorders>
              <w:top w:val="single" w:color="000000" w:sz="8" w:space="0"/>
              <w:left w:val="single" w:color="auto" w:sz="4" w:space="0"/>
              <w:bottom w:val="single" w:color="000000" w:sz="8" w:space="0"/>
              <w:right w:val="single" w:color="000000" w:sz="8" w:space="0"/>
            </w:tcBorders>
            <w:noWrap w:val="0"/>
            <w:vAlign w:val="center"/>
          </w:tcPr>
          <w:p w14:paraId="170F01BF">
            <w:pPr>
              <w:keepNext w:val="0"/>
              <w:keepLines w:val="0"/>
              <w:pageBreakBefore w:val="0"/>
              <w:kinsoku/>
              <w:wordWrap/>
              <w:overflowPunct/>
              <w:topLinePunct w:val="0"/>
              <w:bidi w:val="0"/>
              <w:snapToGrid w:val="0"/>
              <w:spacing w:line="320" w:lineRule="exact"/>
              <w:jc w:val="center"/>
              <w:rPr>
                <w:rFonts w:hint="eastAsia" w:asciiTheme="minorEastAsia" w:hAnsiTheme="minorEastAsia" w:eastAsiaTheme="minorEastAsia" w:cstheme="minorEastAsia"/>
                <w:b/>
                <w:color w:val="auto"/>
                <w:sz w:val="21"/>
                <w:szCs w:val="21"/>
                <w:highlight w:val="none"/>
              </w:rPr>
            </w:pPr>
            <w:r>
              <w:rPr>
                <w:rFonts w:hint="eastAsia" w:ascii="宋体" w:hAnsi="宋体" w:cs="宋体"/>
                <w:b/>
                <w:sz w:val="21"/>
                <w:szCs w:val="21"/>
              </w:rPr>
              <w:t>是否允许采购进口产品</w:t>
            </w:r>
          </w:p>
        </w:tc>
        <w:tc>
          <w:tcPr>
            <w:tcW w:w="6644" w:type="dxa"/>
            <w:tcBorders>
              <w:top w:val="single" w:color="000000" w:sz="8" w:space="0"/>
              <w:left w:val="single" w:color="000000" w:sz="2" w:space="0"/>
              <w:bottom w:val="single" w:color="000000" w:sz="8" w:space="0"/>
              <w:right w:val="single" w:color="000000" w:sz="8" w:space="0"/>
            </w:tcBorders>
            <w:noWrap w:val="0"/>
            <w:vAlign w:val="center"/>
          </w:tcPr>
          <w:p w14:paraId="2437FCDC">
            <w:pPr>
              <w:keepNext w:val="0"/>
              <w:keepLines w:val="0"/>
              <w:pageBreakBefore w:val="0"/>
              <w:kinsoku/>
              <w:wordWrap/>
              <w:overflowPunct/>
              <w:topLinePunct w:val="0"/>
              <w:bidi w:val="0"/>
              <w:spacing w:line="320" w:lineRule="exact"/>
              <w:rPr>
                <w:rFonts w:ascii="宋体" w:hAnsi="宋体" w:cs="宋体"/>
                <w:kern w:val="0"/>
                <w:sz w:val="21"/>
                <w:szCs w:val="21"/>
              </w:rPr>
            </w:pPr>
            <w:sdt>
              <w:sdtPr>
                <w:rPr>
                  <w:rFonts w:hint="eastAsia" w:ascii="宋体" w:hAnsi="宋体" w:cs="宋体"/>
                  <w:kern w:val="0"/>
                  <w:sz w:val="21"/>
                  <w:szCs w:val="21"/>
                </w:rPr>
                <w:id w:val="-1828425707"/>
                <w14:checkbox>
                  <w14:checked w14:val="1"/>
                  <w14:checkedState w14:val="00FE" w14:font="Wingdings"/>
                  <w14:uncheckedState w14:val="2610" w14:font="MS Gothic"/>
                </w14:checkbox>
              </w:sdtPr>
              <w:sdtEndPr>
                <w:rPr>
                  <w:rFonts w:hint="eastAsia" w:ascii="宋体" w:hAnsi="宋体" w:cs="宋体"/>
                  <w:kern w:val="0"/>
                  <w:sz w:val="21"/>
                  <w:szCs w:val="21"/>
                </w:rPr>
              </w:sdtEndPr>
              <w:sdtContent>
                <w:r>
                  <w:rPr>
                    <w:rFonts w:hint="eastAsia" w:ascii="宋体" w:hAnsi="宋体" w:cs="宋体"/>
                    <w:kern w:val="0"/>
                    <w:sz w:val="21"/>
                    <w:szCs w:val="21"/>
                  </w:rPr>
                  <w:sym w:font="Wingdings" w:char="F0FE"/>
                </w:r>
              </w:sdtContent>
            </w:sdt>
            <w:r>
              <w:rPr>
                <w:rFonts w:hint="eastAsia" w:ascii="宋体" w:hAnsi="宋体" w:cs="宋体"/>
                <w:kern w:val="0"/>
                <w:sz w:val="21"/>
                <w:szCs w:val="21"/>
              </w:rPr>
              <w:t>本项目不允许采购进口产品。</w:t>
            </w:r>
          </w:p>
          <w:p w14:paraId="61FFE9A9">
            <w:pPr>
              <w:keepNext w:val="0"/>
              <w:keepLines w:val="0"/>
              <w:pageBreakBefore w:val="0"/>
              <w:kinsoku/>
              <w:wordWrap/>
              <w:overflowPunct/>
              <w:topLinePunct w:val="0"/>
              <w:bidi w:val="0"/>
              <w:spacing w:line="320" w:lineRule="exact"/>
              <w:rPr>
                <w:rFonts w:hint="eastAsia" w:asciiTheme="minorEastAsia" w:hAnsiTheme="minorEastAsia" w:eastAsiaTheme="minorEastAsia" w:cstheme="minorEastAsia"/>
                <w:color w:val="auto"/>
                <w:kern w:val="0"/>
                <w:sz w:val="21"/>
                <w:szCs w:val="21"/>
                <w:highlight w:val="none"/>
                <w:lang w:val="en-US" w:eastAsia="zh-CN"/>
              </w:rPr>
            </w:pPr>
            <w:sdt>
              <w:sdtPr>
                <w:rPr>
                  <w:rFonts w:hint="eastAsia" w:ascii="宋体" w:hAnsi="宋体" w:cs="宋体"/>
                  <w:kern w:val="0"/>
                  <w:sz w:val="21"/>
                  <w:szCs w:val="21"/>
                </w:rPr>
                <w:id w:val="-52852824"/>
                <w14:checkbox>
                  <w14:checked w14:val="0"/>
                  <w14:checkedState w14:val="00FE" w14:font="Wingdings"/>
                  <w14:uncheckedState w14:val="2610" w14:font="MS Gothic"/>
                </w14:checkbox>
              </w:sdtPr>
              <w:sdtEndPr>
                <w:rPr>
                  <w:rFonts w:hint="eastAsia" w:ascii="宋体" w:hAnsi="宋体" w:cs="宋体"/>
                  <w:kern w:val="0"/>
                  <w:sz w:val="21"/>
                  <w:szCs w:val="21"/>
                </w:rPr>
              </w:sdtEndPr>
              <w:sdtContent>
                <w:r>
                  <w:rPr>
                    <w:rFonts w:hint="eastAsia" w:ascii="宋体" w:hAnsi="宋体" w:cs="宋体"/>
                    <w:kern w:val="0"/>
                    <w:sz w:val="21"/>
                    <w:szCs w:val="21"/>
                  </w:rPr>
                  <w:t>☐</w:t>
                </w:r>
              </w:sdtContent>
            </w:sdt>
            <w:r>
              <w:rPr>
                <w:rFonts w:hint="eastAsia" w:ascii="宋体" w:hAnsi="宋体" w:cs="宋体"/>
                <w:kern w:val="0"/>
                <w:sz w:val="21"/>
                <w:szCs w:val="21"/>
              </w:rPr>
              <w:t>可以就</w:t>
            </w:r>
            <w:r>
              <w:rPr>
                <w:rFonts w:hint="eastAsia" w:ascii="宋体" w:hAnsi="宋体" w:cs="宋体"/>
                <w:sz w:val="21"/>
                <w:szCs w:val="21"/>
                <w:u w:val="single"/>
              </w:rPr>
              <w:t xml:space="preserve">    </w:t>
            </w:r>
            <w:r>
              <w:rPr>
                <w:rFonts w:hint="eastAsia" w:ascii="宋体" w:hAnsi="宋体" w:cs="宋体"/>
                <w:kern w:val="0"/>
                <w:sz w:val="21"/>
                <w:szCs w:val="21"/>
              </w:rPr>
              <w:t>采购进口产品。</w:t>
            </w:r>
          </w:p>
        </w:tc>
      </w:tr>
      <w:tr w14:paraId="4B202F2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80" w:hRule="atLeast"/>
          <w:tblHeader/>
        </w:trPr>
        <w:tc>
          <w:tcPr>
            <w:tcW w:w="629" w:type="dxa"/>
            <w:tcBorders>
              <w:top w:val="single" w:color="auto" w:sz="4" w:space="0"/>
              <w:left w:val="single" w:color="auto" w:sz="4" w:space="0"/>
              <w:bottom w:val="single" w:color="auto" w:sz="4" w:space="0"/>
              <w:right w:val="single" w:color="auto" w:sz="4" w:space="0"/>
            </w:tcBorders>
            <w:noWrap w:val="0"/>
            <w:vAlign w:val="center"/>
          </w:tcPr>
          <w:p w14:paraId="3A7665EC">
            <w:pPr>
              <w:keepNext w:val="0"/>
              <w:keepLines w:val="0"/>
              <w:pageBreakBefore w:val="0"/>
              <w:kinsoku/>
              <w:wordWrap/>
              <w:overflowPunct/>
              <w:topLinePunct w:val="0"/>
              <w:bidi w:val="0"/>
              <w:snapToGrid w:val="0"/>
              <w:spacing w:line="320" w:lineRule="exact"/>
              <w:jc w:val="center"/>
              <w:rPr>
                <w:rFonts w:hint="eastAsia" w:asciiTheme="minorEastAsia" w:hAnsiTheme="minorEastAsia" w:eastAsiaTheme="minorEastAsia" w:cstheme="minorEastAsia"/>
                <w:color w:val="auto"/>
                <w:sz w:val="21"/>
                <w:szCs w:val="21"/>
                <w:highlight w:val="none"/>
                <w:lang w:val="en-US" w:eastAsia="zh-CN"/>
              </w:rPr>
            </w:pPr>
            <w:r>
              <w:rPr>
                <w:rFonts w:hint="eastAsia" w:ascii="宋体" w:hAnsi="宋体" w:cs="宋体"/>
                <w:sz w:val="21"/>
                <w:szCs w:val="21"/>
              </w:rPr>
              <w:t>4</w:t>
            </w:r>
          </w:p>
        </w:tc>
        <w:tc>
          <w:tcPr>
            <w:tcW w:w="1843" w:type="dxa"/>
            <w:tcBorders>
              <w:top w:val="single" w:color="000000" w:sz="8" w:space="0"/>
              <w:left w:val="single" w:color="auto" w:sz="4" w:space="0"/>
              <w:bottom w:val="single" w:color="000000" w:sz="8" w:space="0"/>
              <w:right w:val="single" w:color="000000" w:sz="8" w:space="0"/>
            </w:tcBorders>
            <w:noWrap w:val="0"/>
            <w:vAlign w:val="center"/>
          </w:tcPr>
          <w:p w14:paraId="48FF69B1">
            <w:pPr>
              <w:keepNext w:val="0"/>
              <w:keepLines w:val="0"/>
              <w:pageBreakBefore w:val="0"/>
              <w:kinsoku/>
              <w:wordWrap/>
              <w:overflowPunct/>
              <w:topLinePunct w:val="0"/>
              <w:bidi w:val="0"/>
              <w:snapToGrid w:val="0"/>
              <w:spacing w:line="320" w:lineRule="exact"/>
              <w:jc w:val="center"/>
              <w:rPr>
                <w:rFonts w:hint="eastAsia" w:asciiTheme="minorEastAsia" w:hAnsiTheme="minorEastAsia" w:eastAsiaTheme="minorEastAsia" w:cstheme="minorEastAsia"/>
                <w:b/>
                <w:color w:val="auto"/>
                <w:sz w:val="21"/>
                <w:szCs w:val="21"/>
                <w:highlight w:val="none"/>
              </w:rPr>
            </w:pPr>
            <w:r>
              <w:rPr>
                <w:rFonts w:hint="eastAsia" w:ascii="宋体" w:hAnsi="宋体" w:cs="宋体"/>
                <w:b/>
                <w:sz w:val="21"/>
                <w:szCs w:val="21"/>
              </w:rPr>
              <w:t>分包</w:t>
            </w:r>
          </w:p>
        </w:tc>
        <w:tc>
          <w:tcPr>
            <w:tcW w:w="6644" w:type="dxa"/>
            <w:tcBorders>
              <w:top w:val="single" w:color="000000" w:sz="8" w:space="0"/>
              <w:left w:val="single" w:color="000000" w:sz="2" w:space="0"/>
              <w:bottom w:val="single" w:color="000000" w:sz="8" w:space="0"/>
              <w:right w:val="single" w:color="000000" w:sz="8" w:space="0"/>
            </w:tcBorders>
            <w:noWrap w:val="0"/>
            <w:vAlign w:val="center"/>
          </w:tcPr>
          <w:p w14:paraId="6917759D">
            <w:pPr>
              <w:keepNext w:val="0"/>
              <w:keepLines w:val="0"/>
              <w:pageBreakBefore w:val="0"/>
              <w:kinsoku/>
              <w:wordWrap/>
              <w:overflowPunct/>
              <w:topLinePunct w:val="0"/>
              <w:bidi w:val="0"/>
              <w:spacing w:line="320" w:lineRule="exact"/>
              <w:rPr>
                <w:rFonts w:ascii="宋体" w:hAnsi="宋体" w:cs="宋体"/>
                <w:sz w:val="21"/>
                <w:szCs w:val="21"/>
              </w:rPr>
            </w:pPr>
            <w:sdt>
              <w:sdtPr>
                <w:rPr>
                  <w:rFonts w:hint="eastAsia" w:ascii="宋体" w:hAnsi="宋体" w:cs="宋体"/>
                  <w:kern w:val="0"/>
                  <w:sz w:val="21"/>
                  <w:szCs w:val="21"/>
                </w:rPr>
                <w:id w:val="-1477286927"/>
                <w14:checkbox>
                  <w14:checked w14:val="0"/>
                  <w14:checkedState w14:val="00FE" w14:font="Wingdings"/>
                  <w14:uncheckedState w14:val="2610" w14:font="MS Gothic"/>
                </w14:checkbox>
              </w:sdtPr>
              <w:sdtEndPr>
                <w:rPr>
                  <w:rFonts w:hint="eastAsia" w:ascii="宋体" w:hAnsi="宋体" w:cs="宋体"/>
                  <w:kern w:val="0"/>
                  <w:sz w:val="21"/>
                  <w:szCs w:val="21"/>
                </w:rPr>
              </w:sdtEndPr>
              <w:sdtContent>
                <w:r>
                  <w:rPr>
                    <w:rFonts w:ascii="MS Gothic" w:hAnsi="MS Gothic" w:eastAsia="宋体" w:cs="宋体"/>
                    <w:kern w:val="0"/>
                    <w:sz w:val="21"/>
                    <w:szCs w:val="21"/>
                    <w:lang w:val="en-US" w:eastAsia="zh-CN" w:bidi="ar-SA"/>
                  </w:rPr>
                  <w:t>☐</w:t>
                </w:r>
              </w:sdtContent>
            </w:sdt>
            <w:r>
              <w:rPr>
                <w:rFonts w:hint="eastAsia" w:ascii="宋体" w:hAnsi="宋体" w:cs="宋体"/>
                <w:kern w:val="0"/>
                <w:sz w:val="21"/>
                <w:szCs w:val="21"/>
              </w:rPr>
              <w:t xml:space="preserve"> A</w:t>
            </w:r>
            <w:r>
              <w:rPr>
                <w:rFonts w:hint="eastAsia" w:ascii="宋体" w:hAnsi="宋体" w:cs="宋体"/>
                <w:sz w:val="21"/>
                <w:szCs w:val="21"/>
              </w:rPr>
              <w:t>同意将非主体、非关键性的</w:t>
            </w:r>
            <w:r>
              <w:rPr>
                <w:rFonts w:hint="eastAsia" w:ascii="宋体" w:hAnsi="宋体" w:cs="宋体"/>
                <w:sz w:val="21"/>
                <w:szCs w:val="21"/>
                <w:u w:val="single"/>
                <w:lang w:val="en-US" w:eastAsia="zh-CN"/>
              </w:rPr>
              <w:t xml:space="preserve">       </w:t>
            </w:r>
            <w:r>
              <w:rPr>
                <w:rFonts w:hint="eastAsia" w:ascii="宋体" w:hAnsi="宋体" w:cs="宋体"/>
                <w:sz w:val="21"/>
                <w:szCs w:val="21"/>
              </w:rPr>
              <w:t>工作分包。</w:t>
            </w:r>
          </w:p>
          <w:p w14:paraId="13EF1F66">
            <w:pPr>
              <w:keepNext w:val="0"/>
              <w:keepLines w:val="0"/>
              <w:pageBreakBefore w:val="0"/>
              <w:kinsoku/>
              <w:wordWrap/>
              <w:overflowPunct/>
              <w:topLinePunct w:val="0"/>
              <w:bidi w:val="0"/>
              <w:spacing w:line="320" w:lineRule="exact"/>
              <w:rPr>
                <w:rFonts w:ascii="宋体" w:hAnsi="宋体" w:cs="宋体"/>
                <w:sz w:val="21"/>
                <w:szCs w:val="21"/>
              </w:rPr>
            </w:pPr>
            <w:sdt>
              <w:sdtPr>
                <w:rPr>
                  <w:rFonts w:hint="eastAsia" w:ascii="宋体" w:hAnsi="宋体" w:cs="宋体"/>
                  <w:kern w:val="0"/>
                  <w:sz w:val="21"/>
                  <w:szCs w:val="21"/>
                </w:rPr>
                <w:id w:val="-1276331357"/>
                <w14:checkbox>
                  <w14:checked w14:val="1"/>
                  <w14:checkedState w14:val="00FE" w14:font="Wingdings"/>
                  <w14:uncheckedState w14:val="2610" w14:font="MS Gothic"/>
                </w14:checkbox>
              </w:sdtPr>
              <w:sdtEndPr>
                <w:rPr>
                  <w:rFonts w:hint="eastAsia" w:ascii="宋体" w:hAnsi="宋体" w:cs="宋体"/>
                  <w:kern w:val="0"/>
                  <w:sz w:val="21"/>
                  <w:szCs w:val="21"/>
                </w:rPr>
              </w:sdtEndPr>
              <w:sdtContent>
                <w:r>
                  <w:rPr>
                    <w:rFonts w:hint="eastAsia" w:ascii="Wingdings" w:hAnsi="Wingdings" w:eastAsia="宋体" w:cs="宋体"/>
                    <w:kern w:val="0"/>
                    <w:sz w:val="21"/>
                    <w:szCs w:val="21"/>
                    <w:lang w:val="en-US" w:eastAsia="zh-CN" w:bidi="ar-SA"/>
                  </w:rPr>
                  <w:t>þ</w:t>
                </w:r>
              </w:sdtContent>
            </w:sdt>
            <w:r>
              <w:rPr>
                <w:rFonts w:hint="eastAsia" w:ascii="宋体" w:hAnsi="宋体" w:cs="宋体"/>
                <w:kern w:val="0"/>
                <w:sz w:val="21"/>
                <w:szCs w:val="21"/>
              </w:rPr>
              <w:t xml:space="preserve"> B</w:t>
            </w:r>
            <w:r>
              <w:rPr>
                <w:rFonts w:hint="eastAsia" w:ascii="宋体" w:hAnsi="宋体" w:cs="宋体"/>
                <w:sz w:val="21"/>
                <w:szCs w:val="21"/>
              </w:rPr>
              <w:t>不同意分包，具体理由：</w:t>
            </w:r>
            <w:r>
              <w:rPr>
                <w:rFonts w:hint="eastAsia" w:ascii="宋体" w:hAnsi="宋体" w:cs="宋体"/>
                <w:sz w:val="21"/>
                <w:szCs w:val="21"/>
                <w:u w:val="single"/>
              </w:rPr>
              <w:t xml:space="preserve">             </w:t>
            </w:r>
            <w:r>
              <w:rPr>
                <w:rFonts w:hint="eastAsia" w:ascii="宋体" w:hAnsi="宋体" w:cs="宋体"/>
                <w:sz w:val="21"/>
                <w:szCs w:val="21"/>
              </w:rPr>
              <w:t>。</w:t>
            </w:r>
          </w:p>
          <w:p w14:paraId="3127726A">
            <w:pPr>
              <w:keepNext w:val="0"/>
              <w:keepLines w:val="0"/>
              <w:pageBreakBefore w:val="0"/>
              <w:kinsoku/>
              <w:wordWrap/>
              <w:overflowPunct/>
              <w:topLinePunct w:val="0"/>
              <w:bidi w:val="0"/>
              <w:spacing w:line="320" w:lineRule="exact"/>
              <w:rPr>
                <w:rFonts w:hint="eastAsia" w:asciiTheme="minorEastAsia" w:hAnsiTheme="minorEastAsia" w:eastAsiaTheme="minorEastAsia" w:cstheme="minorEastAsia"/>
                <w:color w:val="auto"/>
                <w:kern w:val="0"/>
                <w:sz w:val="21"/>
                <w:szCs w:val="21"/>
                <w:highlight w:val="none"/>
                <w:lang w:val="en-US" w:eastAsia="zh-CN"/>
              </w:rPr>
            </w:pPr>
            <w:r>
              <w:rPr>
                <w:rFonts w:hint="eastAsia" w:ascii="宋体" w:hAnsi="宋体" w:cs="宋体"/>
                <w:sz w:val="21"/>
                <w:szCs w:val="21"/>
              </w:rPr>
              <w:t>注：不得限制大中型企业向小微企业合理分包。</w:t>
            </w:r>
          </w:p>
        </w:tc>
      </w:tr>
      <w:tr w14:paraId="244428D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75" w:hRule="atLeast"/>
          <w:tblHeader/>
        </w:trPr>
        <w:tc>
          <w:tcPr>
            <w:tcW w:w="629" w:type="dxa"/>
            <w:tcBorders>
              <w:top w:val="single" w:color="auto" w:sz="4" w:space="0"/>
              <w:left w:val="single" w:color="auto" w:sz="4" w:space="0"/>
              <w:bottom w:val="single" w:color="auto" w:sz="4" w:space="0"/>
              <w:right w:val="single" w:color="auto" w:sz="4" w:space="0"/>
            </w:tcBorders>
            <w:noWrap w:val="0"/>
            <w:vAlign w:val="center"/>
          </w:tcPr>
          <w:p w14:paraId="1D8E39C3">
            <w:pPr>
              <w:keepNext w:val="0"/>
              <w:keepLines w:val="0"/>
              <w:pageBreakBefore w:val="0"/>
              <w:kinsoku/>
              <w:wordWrap/>
              <w:overflowPunct/>
              <w:topLinePunct w:val="0"/>
              <w:bidi w:val="0"/>
              <w:snapToGrid w:val="0"/>
              <w:spacing w:line="320" w:lineRule="exact"/>
              <w:jc w:val="center"/>
              <w:rPr>
                <w:rFonts w:hint="eastAsia" w:asciiTheme="minorEastAsia" w:hAnsiTheme="minorEastAsia" w:eastAsiaTheme="minorEastAsia" w:cstheme="minorEastAsia"/>
                <w:color w:val="auto"/>
                <w:sz w:val="21"/>
                <w:szCs w:val="21"/>
                <w:highlight w:val="none"/>
                <w:lang w:val="en-US" w:eastAsia="zh-CN"/>
              </w:rPr>
            </w:pPr>
            <w:r>
              <w:rPr>
                <w:rFonts w:hint="eastAsia" w:ascii="宋体" w:hAnsi="宋体" w:cs="宋体"/>
                <w:sz w:val="21"/>
                <w:szCs w:val="21"/>
              </w:rPr>
              <w:t>5</w:t>
            </w:r>
          </w:p>
        </w:tc>
        <w:tc>
          <w:tcPr>
            <w:tcW w:w="1843" w:type="dxa"/>
            <w:tcBorders>
              <w:top w:val="single" w:color="000000" w:sz="8" w:space="0"/>
              <w:left w:val="single" w:color="auto" w:sz="4" w:space="0"/>
              <w:bottom w:val="single" w:color="000000" w:sz="8" w:space="0"/>
              <w:right w:val="single" w:color="000000" w:sz="8" w:space="0"/>
            </w:tcBorders>
            <w:noWrap w:val="0"/>
            <w:vAlign w:val="center"/>
          </w:tcPr>
          <w:p w14:paraId="57FE1511">
            <w:pPr>
              <w:keepNext w:val="0"/>
              <w:keepLines w:val="0"/>
              <w:pageBreakBefore w:val="0"/>
              <w:kinsoku/>
              <w:wordWrap/>
              <w:overflowPunct/>
              <w:topLinePunct w:val="0"/>
              <w:bidi w:val="0"/>
              <w:snapToGrid w:val="0"/>
              <w:spacing w:line="320" w:lineRule="exact"/>
              <w:jc w:val="center"/>
              <w:rPr>
                <w:rFonts w:hint="eastAsia" w:asciiTheme="minorEastAsia" w:hAnsiTheme="minorEastAsia" w:eastAsiaTheme="minorEastAsia" w:cstheme="minorEastAsia"/>
                <w:b/>
                <w:color w:val="auto"/>
                <w:sz w:val="21"/>
                <w:szCs w:val="21"/>
                <w:highlight w:val="none"/>
              </w:rPr>
            </w:pPr>
            <w:r>
              <w:rPr>
                <w:rFonts w:hint="eastAsia" w:ascii="宋体" w:hAnsi="宋体" w:cs="宋体"/>
                <w:b/>
                <w:sz w:val="21"/>
                <w:szCs w:val="21"/>
              </w:rPr>
              <w:t>磋商前答疑会或现场考察</w:t>
            </w:r>
          </w:p>
        </w:tc>
        <w:tc>
          <w:tcPr>
            <w:tcW w:w="6644" w:type="dxa"/>
            <w:tcBorders>
              <w:top w:val="single" w:color="000000" w:sz="8" w:space="0"/>
              <w:left w:val="single" w:color="000000" w:sz="2" w:space="0"/>
              <w:bottom w:val="single" w:color="000000" w:sz="8" w:space="0"/>
              <w:right w:val="single" w:color="000000" w:sz="8" w:space="0"/>
            </w:tcBorders>
            <w:noWrap w:val="0"/>
            <w:vAlign w:val="center"/>
          </w:tcPr>
          <w:p w14:paraId="101EACA6">
            <w:pPr>
              <w:keepNext w:val="0"/>
              <w:keepLines w:val="0"/>
              <w:pageBreakBefore w:val="0"/>
              <w:kinsoku/>
              <w:wordWrap/>
              <w:overflowPunct/>
              <w:topLinePunct w:val="0"/>
              <w:bidi w:val="0"/>
              <w:spacing w:line="320" w:lineRule="exact"/>
              <w:rPr>
                <w:rFonts w:ascii="宋体" w:hAnsi="宋体" w:cs="宋体"/>
                <w:sz w:val="21"/>
                <w:szCs w:val="21"/>
              </w:rPr>
            </w:pPr>
            <w:sdt>
              <w:sdtPr>
                <w:rPr>
                  <w:rFonts w:hint="eastAsia" w:ascii="宋体" w:hAnsi="宋体" w:cs="宋体"/>
                  <w:kern w:val="0"/>
                  <w:sz w:val="21"/>
                  <w:szCs w:val="21"/>
                </w:rPr>
                <w:id w:val="-212966419"/>
                <w14:checkbox>
                  <w14:checked w14:val="1"/>
                  <w14:checkedState w14:val="00FE" w14:font="Wingdings"/>
                  <w14:uncheckedState w14:val="2610" w14:font="MS Gothic"/>
                </w14:checkbox>
              </w:sdtPr>
              <w:sdtEndPr>
                <w:rPr>
                  <w:rFonts w:hint="eastAsia" w:ascii="宋体" w:hAnsi="宋体" w:cs="宋体"/>
                  <w:kern w:val="0"/>
                  <w:sz w:val="21"/>
                  <w:szCs w:val="21"/>
                </w:rPr>
              </w:sdtEndPr>
              <w:sdtContent>
                <w:r>
                  <w:rPr>
                    <w:rFonts w:hint="eastAsia" w:ascii="宋体" w:hAnsi="宋体" w:cs="宋体"/>
                    <w:kern w:val="0"/>
                    <w:sz w:val="21"/>
                    <w:szCs w:val="21"/>
                  </w:rPr>
                  <w:sym w:font="Wingdings" w:char="F0FE"/>
                </w:r>
              </w:sdtContent>
            </w:sdt>
            <w:r>
              <w:rPr>
                <w:rFonts w:hint="eastAsia" w:ascii="宋体" w:hAnsi="宋体" w:cs="宋体"/>
                <w:kern w:val="0"/>
                <w:sz w:val="21"/>
                <w:szCs w:val="21"/>
              </w:rPr>
              <w:t>A</w:t>
            </w:r>
            <w:r>
              <w:rPr>
                <w:rFonts w:hint="eastAsia" w:ascii="宋体" w:hAnsi="宋体" w:cs="宋体"/>
                <w:sz w:val="21"/>
                <w:szCs w:val="21"/>
              </w:rPr>
              <w:t>不组织。</w:t>
            </w:r>
          </w:p>
          <w:p w14:paraId="7099E543">
            <w:pPr>
              <w:keepNext w:val="0"/>
              <w:keepLines w:val="0"/>
              <w:pageBreakBefore w:val="0"/>
              <w:kinsoku/>
              <w:wordWrap/>
              <w:overflowPunct/>
              <w:topLinePunct w:val="0"/>
              <w:bidi w:val="0"/>
              <w:spacing w:line="320" w:lineRule="exact"/>
              <w:rPr>
                <w:rFonts w:hint="eastAsia" w:asciiTheme="minorEastAsia" w:hAnsiTheme="minorEastAsia" w:eastAsiaTheme="minorEastAsia" w:cstheme="minorEastAsia"/>
                <w:color w:val="auto"/>
                <w:kern w:val="0"/>
                <w:sz w:val="21"/>
                <w:szCs w:val="21"/>
                <w:highlight w:val="none"/>
                <w:lang w:val="en-US" w:eastAsia="zh-CN"/>
              </w:rPr>
            </w:pPr>
            <w:sdt>
              <w:sdtPr>
                <w:rPr>
                  <w:rFonts w:hint="eastAsia" w:ascii="宋体" w:hAnsi="宋体" w:cs="宋体"/>
                  <w:kern w:val="0"/>
                  <w:sz w:val="21"/>
                  <w:szCs w:val="21"/>
                </w:rPr>
                <w:id w:val="-999802974"/>
                <w14:checkbox>
                  <w14:checked w14:val="0"/>
                  <w14:checkedState w14:val="00FE" w14:font="Wingdings"/>
                  <w14:uncheckedState w14:val="2610" w14:font="MS Gothic"/>
                </w14:checkbox>
              </w:sdtPr>
              <w:sdtEndPr>
                <w:rPr>
                  <w:rFonts w:hint="eastAsia" w:ascii="宋体" w:hAnsi="宋体" w:cs="宋体"/>
                  <w:kern w:val="0"/>
                  <w:sz w:val="21"/>
                  <w:szCs w:val="21"/>
                </w:rPr>
              </w:sdtEndPr>
              <w:sdtContent>
                <w:r>
                  <w:rPr>
                    <w:rFonts w:hint="eastAsia" w:ascii="宋体" w:hAnsi="宋体" w:cs="宋体"/>
                    <w:kern w:val="0"/>
                    <w:sz w:val="21"/>
                    <w:szCs w:val="21"/>
                  </w:rPr>
                  <w:t>☐</w:t>
                </w:r>
              </w:sdtContent>
            </w:sdt>
            <w:r>
              <w:rPr>
                <w:rFonts w:hint="eastAsia" w:ascii="宋体" w:hAnsi="宋体" w:cs="宋体"/>
                <w:kern w:val="0"/>
                <w:sz w:val="21"/>
                <w:szCs w:val="21"/>
              </w:rPr>
              <w:t>B组织，</w:t>
            </w:r>
            <w:r>
              <w:rPr>
                <w:rFonts w:hint="eastAsia" w:ascii="宋体" w:hAnsi="宋体" w:cs="宋体"/>
                <w:sz w:val="21"/>
                <w:szCs w:val="21"/>
              </w:rPr>
              <w:t>时间：</w:t>
            </w:r>
            <w:r>
              <w:rPr>
                <w:rFonts w:hint="eastAsia" w:ascii="宋体" w:hAnsi="宋体" w:cs="宋体"/>
                <w:sz w:val="21"/>
                <w:szCs w:val="21"/>
                <w:u w:val="single"/>
              </w:rPr>
              <w:t xml:space="preserve">      </w:t>
            </w:r>
            <w:r>
              <w:rPr>
                <w:rFonts w:hint="eastAsia" w:ascii="宋体" w:hAnsi="宋体" w:cs="宋体"/>
                <w:sz w:val="21"/>
                <w:szCs w:val="21"/>
              </w:rPr>
              <w:t>,地点：</w:t>
            </w:r>
            <w:r>
              <w:rPr>
                <w:rFonts w:hint="eastAsia" w:ascii="宋体" w:hAnsi="宋体" w:cs="宋体"/>
                <w:sz w:val="21"/>
                <w:szCs w:val="21"/>
                <w:u w:val="single"/>
              </w:rPr>
              <w:t xml:space="preserve">      </w:t>
            </w:r>
            <w:r>
              <w:rPr>
                <w:rFonts w:hint="eastAsia" w:ascii="宋体" w:hAnsi="宋体" w:cs="宋体"/>
                <w:sz w:val="21"/>
                <w:szCs w:val="21"/>
              </w:rPr>
              <w:t>，联系人：</w:t>
            </w:r>
            <w:r>
              <w:rPr>
                <w:rFonts w:hint="eastAsia" w:ascii="宋体" w:hAnsi="宋体" w:cs="宋体"/>
                <w:sz w:val="21"/>
                <w:szCs w:val="21"/>
                <w:u w:val="single"/>
              </w:rPr>
              <w:t xml:space="preserve">      </w:t>
            </w:r>
            <w:r>
              <w:rPr>
                <w:rFonts w:hint="eastAsia" w:ascii="宋体" w:hAnsi="宋体" w:cs="宋体"/>
                <w:sz w:val="21"/>
                <w:szCs w:val="21"/>
              </w:rPr>
              <w:t>，联系方式：</w:t>
            </w:r>
            <w:r>
              <w:rPr>
                <w:rFonts w:hint="eastAsia" w:ascii="宋体" w:hAnsi="宋体" w:cs="宋体"/>
                <w:sz w:val="21"/>
                <w:szCs w:val="21"/>
                <w:u w:val="single"/>
              </w:rPr>
              <w:t xml:space="preserve">      </w:t>
            </w:r>
            <w:r>
              <w:rPr>
                <w:rFonts w:hint="eastAsia" w:ascii="宋体" w:hAnsi="宋体" w:cs="宋体"/>
                <w:sz w:val="21"/>
                <w:szCs w:val="21"/>
              </w:rPr>
              <w:t>。</w:t>
            </w:r>
          </w:p>
        </w:tc>
      </w:tr>
      <w:tr w14:paraId="793B7EA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280" w:hRule="atLeast"/>
          <w:tblHeader/>
        </w:trPr>
        <w:tc>
          <w:tcPr>
            <w:tcW w:w="629" w:type="dxa"/>
            <w:tcBorders>
              <w:top w:val="single" w:color="auto" w:sz="4" w:space="0"/>
              <w:left w:val="single" w:color="auto" w:sz="4" w:space="0"/>
              <w:bottom w:val="single" w:color="auto" w:sz="4" w:space="0"/>
              <w:right w:val="single" w:color="auto" w:sz="4" w:space="0"/>
            </w:tcBorders>
            <w:noWrap w:val="0"/>
            <w:vAlign w:val="center"/>
          </w:tcPr>
          <w:p w14:paraId="1A452D98">
            <w:pPr>
              <w:keepNext w:val="0"/>
              <w:keepLines w:val="0"/>
              <w:pageBreakBefore w:val="0"/>
              <w:kinsoku/>
              <w:wordWrap/>
              <w:overflowPunct/>
              <w:topLinePunct w:val="0"/>
              <w:bidi w:val="0"/>
              <w:snapToGrid w:val="0"/>
              <w:spacing w:line="320" w:lineRule="exact"/>
              <w:jc w:val="center"/>
              <w:rPr>
                <w:rFonts w:hint="eastAsia" w:ascii="宋体" w:hAnsi="宋体" w:cs="宋体"/>
                <w:sz w:val="21"/>
                <w:szCs w:val="21"/>
              </w:rPr>
            </w:pPr>
            <w:r>
              <w:rPr>
                <w:rFonts w:hint="eastAsia" w:asciiTheme="minorEastAsia" w:hAnsiTheme="minorEastAsia" w:eastAsiaTheme="minorEastAsia" w:cstheme="minorEastAsia"/>
                <w:color w:val="auto"/>
                <w:sz w:val="21"/>
                <w:szCs w:val="21"/>
                <w:highlight w:val="none"/>
                <w:lang w:val="en-US" w:eastAsia="zh-CN"/>
              </w:rPr>
              <w:t>6</w:t>
            </w:r>
          </w:p>
        </w:tc>
        <w:tc>
          <w:tcPr>
            <w:tcW w:w="1843" w:type="dxa"/>
            <w:tcBorders>
              <w:top w:val="single" w:color="000000" w:sz="8" w:space="0"/>
              <w:left w:val="single" w:color="auto" w:sz="4" w:space="0"/>
              <w:bottom w:val="single" w:color="000000" w:sz="8" w:space="0"/>
              <w:right w:val="single" w:color="000000" w:sz="8" w:space="0"/>
            </w:tcBorders>
            <w:noWrap w:val="0"/>
            <w:vAlign w:val="center"/>
          </w:tcPr>
          <w:p w14:paraId="639070A3">
            <w:pPr>
              <w:keepNext w:val="0"/>
              <w:keepLines w:val="0"/>
              <w:pageBreakBefore w:val="0"/>
              <w:kinsoku/>
              <w:wordWrap/>
              <w:overflowPunct/>
              <w:topLinePunct w:val="0"/>
              <w:bidi w:val="0"/>
              <w:snapToGrid w:val="0"/>
              <w:spacing w:line="320" w:lineRule="exact"/>
              <w:jc w:val="center"/>
              <w:rPr>
                <w:rFonts w:hint="eastAsia" w:ascii="宋体" w:hAnsi="宋体" w:cs="宋体"/>
                <w:b/>
                <w:sz w:val="21"/>
                <w:szCs w:val="21"/>
              </w:rPr>
            </w:pPr>
            <w:r>
              <w:rPr>
                <w:rFonts w:hint="eastAsia" w:asciiTheme="minorEastAsia" w:hAnsiTheme="minorEastAsia" w:eastAsiaTheme="minorEastAsia" w:cstheme="minorEastAsia"/>
                <w:b/>
                <w:color w:val="auto"/>
                <w:sz w:val="21"/>
                <w:szCs w:val="21"/>
                <w:highlight w:val="none"/>
              </w:rPr>
              <w:t>样品提供</w:t>
            </w:r>
          </w:p>
        </w:tc>
        <w:tc>
          <w:tcPr>
            <w:tcW w:w="6644" w:type="dxa"/>
            <w:tcBorders>
              <w:top w:val="single" w:color="000000" w:sz="8" w:space="0"/>
              <w:left w:val="single" w:color="000000" w:sz="2" w:space="0"/>
              <w:bottom w:val="single" w:color="000000" w:sz="8" w:space="0"/>
              <w:right w:val="single" w:color="000000" w:sz="8" w:space="0"/>
            </w:tcBorders>
            <w:noWrap w:val="0"/>
            <w:vAlign w:val="center"/>
          </w:tcPr>
          <w:p w14:paraId="16F23813">
            <w:pPr>
              <w:keepNext w:val="0"/>
              <w:keepLines w:val="0"/>
              <w:pageBreakBefore w:val="0"/>
              <w:kinsoku/>
              <w:wordWrap/>
              <w:overflowPunct/>
              <w:topLinePunct w:val="0"/>
              <w:bidi w:val="0"/>
              <w:spacing w:line="320" w:lineRule="exac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bidi="ar-SA"/>
              </w:rPr>
              <w:sym w:font="Wingdings" w:char="00A8"/>
            </w:r>
            <w:r>
              <w:rPr>
                <w:rFonts w:hint="eastAsia" w:asciiTheme="minorEastAsia" w:hAnsiTheme="minorEastAsia" w:eastAsiaTheme="minorEastAsia" w:cstheme="minorEastAsia"/>
                <w:color w:val="auto"/>
                <w:kern w:val="0"/>
                <w:sz w:val="21"/>
                <w:szCs w:val="21"/>
                <w:highlight w:val="none"/>
              </w:rPr>
              <w:t>A</w:t>
            </w:r>
            <w:r>
              <w:rPr>
                <w:rFonts w:hint="eastAsia" w:asciiTheme="minorEastAsia" w:hAnsiTheme="minorEastAsia" w:eastAsiaTheme="minorEastAsia" w:cstheme="minorEastAsia"/>
                <w:color w:val="auto"/>
                <w:sz w:val="21"/>
                <w:szCs w:val="21"/>
                <w:highlight w:val="none"/>
              </w:rPr>
              <w:t>不要求提供。</w:t>
            </w:r>
          </w:p>
          <w:p w14:paraId="17CC4BA7">
            <w:pPr>
              <w:keepNext w:val="0"/>
              <w:keepLines w:val="0"/>
              <w:pageBreakBefore w:val="0"/>
              <w:kinsoku/>
              <w:wordWrap/>
              <w:overflowPunct/>
              <w:topLinePunct w:val="0"/>
              <w:bidi w:val="0"/>
              <w:spacing w:line="320" w:lineRule="exac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sym w:font="Wingdings" w:char="00FE"/>
            </w:r>
            <w:r>
              <w:rPr>
                <w:rFonts w:hint="eastAsia" w:asciiTheme="minorEastAsia" w:hAnsiTheme="minorEastAsia" w:eastAsiaTheme="minorEastAsia" w:cstheme="minorEastAsia"/>
                <w:color w:val="auto"/>
                <w:kern w:val="0"/>
                <w:sz w:val="21"/>
                <w:szCs w:val="21"/>
                <w:highlight w:val="none"/>
              </w:rPr>
              <w:t>B要求提供，</w:t>
            </w:r>
          </w:p>
          <w:p w14:paraId="3F11C32C">
            <w:pPr>
              <w:keepNext w:val="0"/>
              <w:keepLines w:val="0"/>
              <w:pageBreakBefore w:val="0"/>
              <w:kinsoku/>
              <w:wordWrap/>
              <w:overflowPunct/>
              <w:topLinePunct w:val="0"/>
              <w:bidi w:val="0"/>
              <w:spacing w:line="320" w:lineRule="exac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（1）</w:t>
            </w:r>
            <w:r>
              <w:rPr>
                <w:rFonts w:hint="eastAsia" w:asciiTheme="minorEastAsia" w:hAnsiTheme="minorEastAsia" w:eastAsiaTheme="minorEastAsia" w:cstheme="minorEastAsia"/>
                <w:snapToGrid w:val="0"/>
                <w:color w:val="auto"/>
                <w:kern w:val="28"/>
                <w:sz w:val="21"/>
                <w:szCs w:val="21"/>
                <w:highlight w:val="none"/>
              </w:rPr>
              <w:t>样品：</w:t>
            </w:r>
            <w:r>
              <w:rPr>
                <w:rFonts w:hint="eastAsia" w:asciiTheme="minorEastAsia" w:hAnsiTheme="minorEastAsia" w:eastAsiaTheme="minorEastAsia" w:cstheme="minorEastAsia"/>
                <w:b/>
                <w:bCs/>
                <w:color w:val="auto"/>
                <w:sz w:val="21"/>
                <w:szCs w:val="21"/>
                <w:highlight w:val="none"/>
                <w:u w:val="single"/>
              </w:rPr>
              <w:t xml:space="preserve"> 提供13mm</w:t>
            </w:r>
            <w:r>
              <w:rPr>
                <w:rFonts w:hint="eastAsia" w:asciiTheme="minorEastAsia" w:hAnsiTheme="minorEastAsia" w:eastAsiaTheme="minorEastAsia" w:cstheme="minorEastAsia"/>
                <w:b/>
                <w:bCs/>
                <w:color w:val="auto"/>
                <w:sz w:val="21"/>
                <w:szCs w:val="21"/>
                <w:highlight w:val="none"/>
                <w:u w:val="single"/>
                <w:lang w:val="en-US" w:eastAsia="zh-CN"/>
              </w:rPr>
              <w:t>透气型</w:t>
            </w:r>
            <w:r>
              <w:rPr>
                <w:rFonts w:hint="eastAsia" w:asciiTheme="minorEastAsia" w:hAnsiTheme="minorEastAsia" w:eastAsiaTheme="minorEastAsia" w:cstheme="minorEastAsia"/>
                <w:b/>
                <w:bCs/>
                <w:color w:val="auto"/>
                <w:sz w:val="21"/>
                <w:szCs w:val="21"/>
                <w:highlight w:val="none"/>
                <w:u w:val="single"/>
              </w:rPr>
              <w:t>塑胶面层</w:t>
            </w:r>
            <w:r>
              <w:rPr>
                <w:rFonts w:hint="eastAsia" w:asciiTheme="minorEastAsia" w:hAnsiTheme="minorEastAsia" w:eastAsiaTheme="minorEastAsia" w:cstheme="minorEastAsia"/>
                <w:b/>
                <w:bCs/>
                <w:color w:val="auto"/>
                <w:sz w:val="21"/>
                <w:szCs w:val="21"/>
                <w:highlight w:val="none"/>
                <w:u w:val="single"/>
                <w:lang w:val="en-US" w:eastAsia="zh-CN"/>
              </w:rPr>
              <w:t>一块</w:t>
            </w:r>
            <w:r>
              <w:rPr>
                <w:rFonts w:hint="eastAsia" w:asciiTheme="minorEastAsia" w:hAnsiTheme="minorEastAsia" w:eastAsiaTheme="minorEastAsia" w:cstheme="minorEastAsia"/>
                <w:color w:val="auto"/>
                <w:kern w:val="0"/>
                <w:sz w:val="21"/>
                <w:szCs w:val="21"/>
                <w:highlight w:val="none"/>
              </w:rPr>
              <w:t>；</w:t>
            </w:r>
          </w:p>
          <w:p w14:paraId="104DC577">
            <w:pPr>
              <w:keepNext w:val="0"/>
              <w:keepLines w:val="0"/>
              <w:pageBreakBefore w:val="0"/>
              <w:kinsoku/>
              <w:wordWrap/>
              <w:overflowPunct/>
              <w:topLinePunct w:val="0"/>
              <w:bidi w:val="0"/>
              <w:spacing w:line="320" w:lineRule="exac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（2）</w:t>
            </w:r>
            <w:r>
              <w:rPr>
                <w:rFonts w:hint="eastAsia" w:asciiTheme="minorEastAsia" w:hAnsiTheme="minorEastAsia" w:eastAsiaTheme="minorEastAsia" w:cstheme="minorEastAsia"/>
                <w:snapToGrid w:val="0"/>
                <w:color w:val="auto"/>
                <w:kern w:val="28"/>
                <w:sz w:val="21"/>
                <w:szCs w:val="21"/>
                <w:highlight w:val="none"/>
              </w:rPr>
              <w:t>样品制作的标准和要求：</w:t>
            </w:r>
            <w:r>
              <w:rPr>
                <w:rFonts w:hint="eastAsia" w:asciiTheme="minorEastAsia" w:hAnsiTheme="minorEastAsia" w:eastAsiaTheme="minorEastAsia" w:cstheme="minorEastAsia"/>
                <w:b/>
                <w:bCs/>
                <w:i w:val="0"/>
                <w:iCs w:val="0"/>
                <w:color w:val="auto"/>
                <w:sz w:val="21"/>
                <w:szCs w:val="21"/>
                <w:highlight w:val="none"/>
                <w:u w:val="single"/>
              </w:rPr>
              <w:t xml:space="preserve"> </w:t>
            </w:r>
            <w:r>
              <w:rPr>
                <w:rFonts w:hint="eastAsia" w:ascii="宋体" w:hAnsi="宋体"/>
                <w:b/>
                <w:bCs/>
                <w:i w:val="0"/>
                <w:iCs w:val="0"/>
                <w:u w:val="single"/>
              </w:rPr>
              <w:t>符合国家相关标准</w:t>
            </w:r>
            <w:r>
              <w:rPr>
                <w:rFonts w:hint="eastAsia" w:asciiTheme="minorEastAsia" w:hAnsiTheme="minorEastAsia" w:eastAsiaTheme="minorEastAsia" w:cstheme="minorEastAsia"/>
                <w:b/>
                <w:bCs/>
                <w:i w:val="0"/>
                <w:iCs w:val="0"/>
                <w:color w:val="auto"/>
                <w:sz w:val="21"/>
                <w:szCs w:val="21"/>
                <w:highlight w:val="none"/>
                <w:u w:val="single"/>
                <w:lang w:eastAsia="zh-CN"/>
              </w:rPr>
              <w:t>，</w:t>
            </w:r>
            <w:r>
              <w:rPr>
                <w:rFonts w:hint="eastAsia" w:asciiTheme="minorEastAsia" w:hAnsiTheme="minorEastAsia" w:eastAsiaTheme="minorEastAsia" w:cstheme="minorEastAsia"/>
                <w:b/>
                <w:bCs/>
                <w:i w:val="0"/>
                <w:iCs w:val="0"/>
                <w:color w:val="auto"/>
                <w:sz w:val="21"/>
                <w:szCs w:val="21"/>
                <w:highlight w:val="none"/>
                <w:u w:val="single"/>
                <w:lang w:val="en-US" w:eastAsia="zh-CN"/>
              </w:rPr>
              <w:t>规</w:t>
            </w:r>
            <w:r>
              <w:rPr>
                <w:rFonts w:hint="eastAsia" w:asciiTheme="minorEastAsia" w:hAnsiTheme="minorEastAsia" w:eastAsiaTheme="minorEastAsia" w:cstheme="minorEastAsia"/>
                <w:b/>
                <w:bCs/>
                <w:color w:val="auto"/>
                <w:sz w:val="21"/>
                <w:szCs w:val="21"/>
                <w:highlight w:val="none"/>
                <w:u w:val="single"/>
                <w:lang w:val="en-US" w:eastAsia="zh-CN"/>
              </w:rPr>
              <w:t>格300×300mm</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kern w:val="0"/>
                <w:sz w:val="21"/>
                <w:szCs w:val="21"/>
                <w:highlight w:val="none"/>
              </w:rPr>
              <w:t>；</w:t>
            </w:r>
          </w:p>
          <w:p w14:paraId="6A747C49">
            <w:pPr>
              <w:keepNext w:val="0"/>
              <w:keepLines w:val="0"/>
              <w:pageBreakBefore w:val="0"/>
              <w:kinsoku/>
              <w:wordWrap/>
              <w:overflowPunct/>
              <w:topLinePunct w:val="0"/>
              <w:bidi w:val="0"/>
              <w:spacing w:line="320" w:lineRule="exac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（3）样品的评审方法以及评审标准</w:t>
            </w:r>
            <w:r>
              <w:rPr>
                <w:rFonts w:hint="eastAsia" w:asciiTheme="minorEastAsia" w:hAnsiTheme="minorEastAsia" w:eastAsiaTheme="minorEastAsia" w:cstheme="minorEastAsia"/>
                <w:snapToGrid w:val="0"/>
                <w:color w:val="auto"/>
                <w:kern w:val="28"/>
                <w:sz w:val="21"/>
                <w:szCs w:val="21"/>
                <w:highlight w:val="none"/>
              </w:rPr>
              <w:t>：详见</w:t>
            </w:r>
            <w:r>
              <w:rPr>
                <w:rFonts w:hint="eastAsia" w:asciiTheme="minorEastAsia" w:hAnsiTheme="minorEastAsia" w:eastAsiaTheme="minorEastAsia" w:cstheme="minorEastAsia"/>
                <w:color w:val="auto"/>
                <w:sz w:val="21"/>
                <w:szCs w:val="21"/>
                <w:highlight w:val="none"/>
                <w:u w:val="single"/>
              </w:rPr>
              <w:t>评标办法</w:t>
            </w:r>
            <w:r>
              <w:rPr>
                <w:rFonts w:hint="eastAsia" w:asciiTheme="minorEastAsia" w:hAnsiTheme="minorEastAsia" w:eastAsiaTheme="minorEastAsia" w:cstheme="minorEastAsia"/>
                <w:color w:val="auto"/>
                <w:kern w:val="0"/>
                <w:sz w:val="21"/>
                <w:szCs w:val="21"/>
                <w:highlight w:val="none"/>
              </w:rPr>
              <w:t>；</w:t>
            </w:r>
          </w:p>
          <w:p w14:paraId="08D4A4A4">
            <w:pPr>
              <w:keepNext w:val="0"/>
              <w:keepLines w:val="0"/>
              <w:pageBreakBefore w:val="0"/>
              <w:kinsoku/>
              <w:wordWrap/>
              <w:overflowPunct/>
              <w:topLinePunct w:val="0"/>
              <w:bidi w:val="0"/>
              <w:spacing w:line="320" w:lineRule="exac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（4）是否需要随样品提交检测报告：</w:t>
            </w:r>
            <w:r>
              <w:rPr>
                <w:rFonts w:hint="eastAsia" w:asciiTheme="minorEastAsia" w:hAnsiTheme="minorEastAsia" w:eastAsiaTheme="minorEastAsia" w:cstheme="minorEastAsia"/>
                <w:color w:val="auto"/>
                <w:kern w:val="0"/>
                <w:sz w:val="21"/>
                <w:szCs w:val="21"/>
                <w:highlight w:val="none"/>
              </w:rPr>
              <w:sym w:font="Wingdings" w:char="00A8"/>
            </w:r>
            <w:r>
              <w:rPr>
                <w:rFonts w:hint="eastAsia" w:asciiTheme="minorEastAsia" w:hAnsiTheme="minorEastAsia" w:eastAsiaTheme="minorEastAsia" w:cstheme="minorEastAsia"/>
                <w:color w:val="auto"/>
                <w:kern w:val="0"/>
                <w:sz w:val="21"/>
                <w:szCs w:val="21"/>
                <w:highlight w:val="none"/>
              </w:rPr>
              <w:t>否；☐是，检测机构的要求</w:t>
            </w: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u w:val="single"/>
                <w:lang w:val="en-US" w:eastAsia="zh-CN"/>
              </w:rPr>
              <w:t xml:space="preserve">   </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kern w:val="0"/>
                <w:sz w:val="21"/>
                <w:szCs w:val="21"/>
                <w:highlight w:val="none"/>
              </w:rPr>
              <w:t>；检测内容</w:t>
            </w: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u w:val="single"/>
                <w:lang w:val="en-US" w:eastAsia="zh-CN"/>
              </w:rPr>
              <w:t xml:space="preserve">     </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kern w:val="0"/>
                <w:sz w:val="21"/>
                <w:szCs w:val="21"/>
                <w:highlight w:val="none"/>
              </w:rPr>
              <w:t>。</w:t>
            </w:r>
          </w:p>
          <w:p w14:paraId="505AF891">
            <w:pPr>
              <w:keepNext w:val="0"/>
              <w:keepLines w:val="0"/>
              <w:pageBreakBefore w:val="0"/>
              <w:kinsoku/>
              <w:wordWrap/>
              <w:overflowPunct/>
              <w:topLinePunct w:val="0"/>
              <w:bidi w:val="0"/>
              <w:spacing w:line="320" w:lineRule="exact"/>
              <w:rPr>
                <w:rFonts w:hint="eastAsia" w:asciiTheme="minorEastAsia" w:hAnsiTheme="minorEastAsia" w:eastAsiaTheme="minorEastAsia" w:cstheme="minorEastAsia"/>
                <w:snapToGrid w:val="0"/>
                <w:color w:val="auto"/>
                <w:kern w:val="28"/>
                <w:sz w:val="21"/>
                <w:szCs w:val="21"/>
                <w:highlight w:val="none"/>
                <w:lang w:val="en-US" w:eastAsia="zh-CN"/>
              </w:rPr>
            </w:pPr>
            <w:r>
              <w:rPr>
                <w:rFonts w:hint="eastAsia" w:asciiTheme="minorEastAsia" w:hAnsiTheme="minorEastAsia" w:eastAsiaTheme="minorEastAsia" w:cstheme="minorEastAsia"/>
                <w:color w:val="auto"/>
                <w:sz w:val="21"/>
                <w:szCs w:val="21"/>
                <w:highlight w:val="none"/>
              </w:rPr>
              <w:t>（5）提供样品的时间</w:t>
            </w:r>
            <w:r>
              <w:rPr>
                <w:rFonts w:hint="eastAsia" w:asciiTheme="minorEastAsia" w:hAnsiTheme="minorEastAsia" w:eastAsiaTheme="minorEastAsia" w:cstheme="minorEastAsia"/>
                <w:snapToGrid w:val="0"/>
                <w:color w:val="auto"/>
                <w:kern w:val="28"/>
                <w:sz w:val="21"/>
                <w:szCs w:val="21"/>
                <w:highlight w:val="none"/>
                <w:lang w:val="en-US" w:eastAsia="zh-CN"/>
              </w:rPr>
              <w:t>及地点：</w:t>
            </w:r>
            <w:r>
              <w:rPr>
                <w:rFonts w:hint="eastAsia" w:asciiTheme="minorEastAsia" w:hAnsiTheme="minorEastAsia" w:eastAsiaTheme="minorEastAsia" w:cstheme="minorEastAsia"/>
                <w:snapToGrid w:val="0"/>
                <w:color w:val="auto"/>
                <w:kern w:val="28"/>
                <w:sz w:val="21"/>
                <w:szCs w:val="21"/>
                <w:highlight w:val="none"/>
                <w:u w:val="single"/>
                <w:lang w:val="en-US" w:eastAsia="zh-CN"/>
              </w:rPr>
              <w:t>宁海县公共资源交易中心五楼</w:t>
            </w:r>
            <w:r>
              <w:rPr>
                <w:rFonts w:hint="eastAsia" w:asciiTheme="minorEastAsia" w:hAnsiTheme="minorEastAsia" w:eastAsiaTheme="minorEastAsia" w:cstheme="minorEastAsia"/>
                <w:snapToGrid w:val="0"/>
                <w:color w:val="auto"/>
                <w:kern w:val="28"/>
                <w:sz w:val="21"/>
                <w:szCs w:val="21"/>
                <w:highlight w:val="none"/>
                <w:lang w:val="en-US" w:eastAsia="zh-CN"/>
              </w:rPr>
              <w:t>【具体受理场所详见当日电子指示屏】。</w:t>
            </w:r>
          </w:p>
          <w:p w14:paraId="495FBE30">
            <w:pPr>
              <w:keepNext w:val="0"/>
              <w:keepLines w:val="0"/>
              <w:pageBreakBefore w:val="0"/>
              <w:kinsoku/>
              <w:wordWrap/>
              <w:overflowPunct/>
              <w:topLinePunct w:val="0"/>
              <w:bidi w:val="0"/>
              <w:spacing w:line="320" w:lineRule="exact"/>
              <w:rPr>
                <w:rFonts w:hint="eastAsia" w:asciiTheme="minorEastAsia" w:hAnsiTheme="minorEastAsia" w:eastAsiaTheme="minorEastAsia" w:cstheme="minorEastAsia"/>
                <w:snapToGrid w:val="0"/>
                <w:color w:val="auto"/>
                <w:kern w:val="28"/>
                <w:sz w:val="21"/>
                <w:szCs w:val="21"/>
                <w:highlight w:val="none"/>
                <w:lang w:val="en-US" w:eastAsia="zh-CN"/>
              </w:rPr>
            </w:pPr>
            <w:r>
              <w:rPr>
                <w:rFonts w:hint="eastAsia" w:asciiTheme="minorEastAsia" w:hAnsiTheme="minorEastAsia" w:eastAsiaTheme="minorEastAsia" w:cstheme="minorEastAsia"/>
                <w:snapToGrid w:val="0"/>
                <w:color w:val="auto"/>
                <w:kern w:val="28"/>
                <w:sz w:val="21"/>
                <w:szCs w:val="21"/>
                <w:highlight w:val="none"/>
                <w:lang w:val="en-US" w:eastAsia="zh-CN"/>
              </w:rPr>
              <w:t>（2）以邮政快递方式提供的：</w:t>
            </w:r>
          </w:p>
          <w:p w14:paraId="77906579">
            <w:pPr>
              <w:keepNext w:val="0"/>
              <w:keepLines w:val="0"/>
              <w:pageBreakBefore w:val="0"/>
              <w:kinsoku/>
              <w:wordWrap/>
              <w:overflowPunct/>
              <w:topLinePunct w:val="0"/>
              <w:bidi w:val="0"/>
              <w:spacing w:line="320" w:lineRule="exact"/>
              <w:rPr>
                <w:rFonts w:hint="eastAsia" w:asciiTheme="minorEastAsia" w:hAnsiTheme="minorEastAsia" w:eastAsiaTheme="minorEastAsia" w:cstheme="minorEastAsia"/>
                <w:snapToGrid w:val="0"/>
                <w:color w:val="auto"/>
                <w:kern w:val="28"/>
                <w:sz w:val="21"/>
                <w:szCs w:val="21"/>
                <w:highlight w:val="none"/>
                <w:u w:val="single"/>
                <w:lang w:val="en-US" w:eastAsia="zh-CN"/>
              </w:rPr>
            </w:pPr>
            <w:r>
              <w:rPr>
                <w:rFonts w:hint="eastAsia" w:asciiTheme="minorEastAsia" w:hAnsiTheme="minorEastAsia" w:eastAsiaTheme="minorEastAsia" w:cstheme="minorEastAsia"/>
                <w:color w:val="auto"/>
                <w:sz w:val="21"/>
                <w:szCs w:val="21"/>
                <w:highlight w:val="none"/>
              </w:rPr>
              <w:t>样品</w:t>
            </w:r>
            <w:r>
              <w:rPr>
                <w:rFonts w:hint="eastAsia" w:asciiTheme="minorEastAsia" w:hAnsiTheme="minorEastAsia" w:eastAsiaTheme="minorEastAsia" w:cstheme="minorEastAsia"/>
                <w:snapToGrid w:val="0"/>
                <w:color w:val="auto"/>
                <w:kern w:val="28"/>
                <w:sz w:val="21"/>
                <w:szCs w:val="21"/>
                <w:highlight w:val="none"/>
                <w:lang w:val="en-US" w:eastAsia="zh-CN"/>
              </w:rPr>
              <w:t>送达截止时间：</w:t>
            </w:r>
            <w:r>
              <w:rPr>
                <w:rFonts w:hint="eastAsia" w:asciiTheme="minorEastAsia" w:hAnsiTheme="minorEastAsia" w:eastAsiaTheme="minorEastAsia" w:cstheme="minorEastAsia"/>
                <w:snapToGrid w:val="0"/>
                <w:color w:val="auto"/>
                <w:kern w:val="28"/>
                <w:sz w:val="21"/>
                <w:szCs w:val="21"/>
                <w:highlight w:val="none"/>
                <w:u w:val="single"/>
                <w:lang w:val="en-US" w:eastAsia="zh-CN"/>
              </w:rPr>
              <w:t>开标时间前一个工作日的16:00止。</w:t>
            </w:r>
            <w:r>
              <w:rPr>
                <w:rFonts w:hint="eastAsia" w:asciiTheme="minorEastAsia" w:hAnsiTheme="minorEastAsia" w:eastAsiaTheme="minorEastAsia" w:cstheme="minorEastAsia"/>
                <w:color w:val="auto"/>
                <w:sz w:val="21"/>
                <w:szCs w:val="21"/>
                <w:highlight w:val="none"/>
              </w:rPr>
              <w:t>样品</w:t>
            </w:r>
            <w:r>
              <w:rPr>
                <w:rFonts w:hint="eastAsia" w:asciiTheme="minorEastAsia" w:hAnsiTheme="minorEastAsia" w:eastAsiaTheme="minorEastAsia" w:cstheme="minorEastAsia"/>
                <w:snapToGrid w:val="0"/>
                <w:color w:val="auto"/>
                <w:kern w:val="28"/>
                <w:sz w:val="21"/>
                <w:szCs w:val="21"/>
                <w:highlight w:val="none"/>
                <w:lang w:val="en-US" w:eastAsia="zh-CN"/>
              </w:rPr>
              <w:t>送达地点</w:t>
            </w:r>
            <w:r>
              <w:rPr>
                <w:rFonts w:hint="eastAsia" w:asciiTheme="minorEastAsia" w:hAnsiTheme="minorEastAsia" w:eastAsiaTheme="minorEastAsia" w:cstheme="minorEastAsia"/>
                <w:snapToGrid w:val="0"/>
                <w:color w:val="auto"/>
                <w:kern w:val="28"/>
                <w:sz w:val="21"/>
                <w:szCs w:val="21"/>
                <w:highlight w:val="none"/>
                <w:u w:val="single"/>
                <w:lang w:val="en-US" w:eastAsia="zh-CN"/>
              </w:rPr>
              <w:t xml:space="preserve">宁海县桃源街道明湖银座2幢1号2102室 </w:t>
            </w:r>
            <w:r>
              <w:rPr>
                <w:rFonts w:hint="eastAsia" w:asciiTheme="minorEastAsia" w:hAnsiTheme="minorEastAsia" w:eastAsiaTheme="minorEastAsia" w:cstheme="minorEastAsia"/>
                <w:snapToGrid w:val="0"/>
                <w:color w:val="auto"/>
                <w:kern w:val="28"/>
                <w:sz w:val="21"/>
                <w:szCs w:val="21"/>
                <w:highlight w:val="none"/>
                <w:lang w:val="en-US" w:eastAsia="zh-CN"/>
              </w:rPr>
              <w:t>；</w:t>
            </w:r>
            <w:r>
              <w:rPr>
                <w:rFonts w:hint="eastAsia" w:asciiTheme="minorEastAsia" w:hAnsiTheme="minorEastAsia" w:eastAsiaTheme="minorEastAsia" w:cstheme="minorEastAsia"/>
                <w:color w:val="auto"/>
                <w:sz w:val="21"/>
                <w:szCs w:val="21"/>
                <w:highlight w:val="none"/>
              </w:rPr>
              <w:t>样品</w:t>
            </w:r>
            <w:r>
              <w:rPr>
                <w:rFonts w:hint="eastAsia" w:asciiTheme="minorEastAsia" w:hAnsiTheme="minorEastAsia" w:eastAsiaTheme="minorEastAsia" w:cstheme="minorEastAsia"/>
                <w:snapToGrid w:val="0"/>
                <w:color w:val="auto"/>
                <w:kern w:val="28"/>
                <w:sz w:val="21"/>
                <w:szCs w:val="21"/>
                <w:highlight w:val="none"/>
                <w:lang w:val="en-US" w:eastAsia="zh-CN"/>
              </w:rPr>
              <w:t>签收人员联系电话：</w:t>
            </w:r>
            <w:r>
              <w:rPr>
                <w:rFonts w:hint="eastAsia" w:asciiTheme="minorEastAsia" w:hAnsiTheme="minorEastAsia" w:eastAsiaTheme="minorEastAsia" w:cstheme="minorEastAsia"/>
                <w:snapToGrid w:val="0"/>
                <w:color w:val="auto"/>
                <w:kern w:val="28"/>
                <w:sz w:val="21"/>
                <w:szCs w:val="21"/>
                <w:highlight w:val="none"/>
                <w:u w:val="single"/>
                <w:lang w:val="en-US" w:eastAsia="zh-CN"/>
              </w:rPr>
              <w:t xml:space="preserve"> 0574-83555038 。</w:t>
            </w:r>
          </w:p>
          <w:p w14:paraId="2304A1A3">
            <w:pPr>
              <w:keepNext w:val="0"/>
              <w:keepLines w:val="0"/>
              <w:pageBreakBefore w:val="0"/>
              <w:kinsoku/>
              <w:wordWrap/>
              <w:overflowPunct/>
              <w:topLinePunct w:val="0"/>
              <w:bidi w:val="0"/>
              <w:spacing w:line="320" w:lineRule="exac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请</w:t>
            </w:r>
            <w:r>
              <w:rPr>
                <w:rFonts w:hint="eastAsia" w:asciiTheme="minorEastAsia" w:hAnsiTheme="minorEastAsia" w:eastAsiaTheme="minorEastAsia" w:cstheme="minorEastAsia"/>
                <w:color w:val="auto"/>
                <w:kern w:val="0"/>
                <w:sz w:val="21"/>
                <w:szCs w:val="21"/>
                <w:highlight w:val="none"/>
                <w:lang w:val="zh-CN"/>
              </w:rPr>
              <w:t>供应商</w:t>
            </w:r>
            <w:r>
              <w:rPr>
                <w:rFonts w:hint="eastAsia" w:asciiTheme="minorEastAsia" w:hAnsiTheme="minorEastAsia" w:eastAsiaTheme="minorEastAsia" w:cstheme="minorEastAsia"/>
                <w:color w:val="auto"/>
                <w:sz w:val="21"/>
                <w:szCs w:val="21"/>
                <w:highlight w:val="none"/>
              </w:rPr>
              <w:t>在上述时间内提供样品并按规定位置安装完毕。超过截止时间的，采购人或采购代理机构将不予接收，并将清场并封闭样品现场。</w:t>
            </w:r>
          </w:p>
          <w:p w14:paraId="41C07738">
            <w:pPr>
              <w:keepNext w:val="0"/>
              <w:keepLines w:val="0"/>
              <w:pageBreakBefore w:val="0"/>
              <w:kinsoku/>
              <w:wordWrap/>
              <w:overflowPunct/>
              <w:topLinePunct w:val="0"/>
              <w:bidi w:val="0"/>
              <w:spacing w:line="320" w:lineRule="exac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xml:space="preserve"> (6)采购活动结束后，对于未</w:t>
            </w:r>
            <w:r>
              <w:rPr>
                <w:rFonts w:hint="eastAsia" w:asciiTheme="minorEastAsia" w:hAnsiTheme="minorEastAsia" w:eastAsiaTheme="minorEastAsia" w:cstheme="minorEastAsia"/>
                <w:color w:val="auto"/>
                <w:sz w:val="21"/>
                <w:szCs w:val="21"/>
                <w:highlight w:val="none"/>
                <w:lang w:eastAsia="zh-CN"/>
              </w:rPr>
              <w:t>成交</w:t>
            </w:r>
            <w:r>
              <w:rPr>
                <w:rFonts w:hint="eastAsia" w:asciiTheme="minorEastAsia" w:hAnsiTheme="minorEastAsia" w:eastAsiaTheme="minorEastAsia" w:cstheme="minorEastAsia"/>
                <w:color w:val="auto"/>
                <w:sz w:val="21"/>
                <w:szCs w:val="21"/>
                <w:highlight w:val="none"/>
              </w:rPr>
              <w:t>人提供的样品，采购人、采购</w:t>
            </w:r>
            <w:r>
              <w:rPr>
                <w:rFonts w:hint="eastAsia" w:asciiTheme="minorEastAsia" w:hAnsiTheme="minorEastAsia" w:eastAsiaTheme="minorEastAsia" w:cstheme="minorEastAsia"/>
                <w:color w:val="auto"/>
                <w:sz w:val="21"/>
                <w:szCs w:val="21"/>
                <w:highlight w:val="none"/>
                <w:lang w:eastAsia="zh-CN"/>
              </w:rPr>
              <w:t>代理</w:t>
            </w:r>
            <w:r>
              <w:rPr>
                <w:rFonts w:hint="eastAsia" w:asciiTheme="minorEastAsia" w:hAnsiTheme="minorEastAsia" w:eastAsiaTheme="minorEastAsia" w:cstheme="minorEastAsia"/>
                <w:color w:val="auto"/>
                <w:sz w:val="21"/>
                <w:szCs w:val="21"/>
                <w:highlight w:val="none"/>
              </w:rPr>
              <w:t>机构将通知未</w:t>
            </w:r>
            <w:r>
              <w:rPr>
                <w:rFonts w:hint="eastAsia" w:asciiTheme="minorEastAsia" w:hAnsiTheme="minorEastAsia" w:eastAsiaTheme="minorEastAsia" w:cstheme="minorEastAsia"/>
                <w:color w:val="auto"/>
                <w:sz w:val="21"/>
                <w:szCs w:val="21"/>
                <w:highlight w:val="none"/>
                <w:lang w:eastAsia="zh-CN"/>
              </w:rPr>
              <w:t>成交</w:t>
            </w:r>
            <w:r>
              <w:rPr>
                <w:rFonts w:hint="eastAsia" w:asciiTheme="minorEastAsia" w:hAnsiTheme="minorEastAsia" w:eastAsiaTheme="minorEastAsia" w:cstheme="minorEastAsia"/>
                <w:color w:val="auto"/>
                <w:sz w:val="21"/>
                <w:szCs w:val="21"/>
                <w:highlight w:val="none"/>
              </w:rPr>
              <w:t>人在规定的时间内取回，逾期未取回的，采购人、采购</w:t>
            </w:r>
            <w:r>
              <w:rPr>
                <w:rFonts w:hint="eastAsia" w:asciiTheme="minorEastAsia" w:hAnsiTheme="minorEastAsia" w:eastAsiaTheme="minorEastAsia" w:cstheme="minorEastAsia"/>
                <w:color w:val="auto"/>
                <w:sz w:val="21"/>
                <w:szCs w:val="21"/>
                <w:highlight w:val="none"/>
                <w:lang w:eastAsia="zh-CN"/>
              </w:rPr>
              <w:t>代理</w:t>
            </w:r>
            <w:r>
              <w:rPr>
                <w:rFonts w:hint="eastAsia" w:asciiTheme="minorEastAsia" w:hAnsiTheme="minorEastAsia" w:eastAsiaTheme="minorEastAsia" w:cstheme="minorEastAsia"/>
                <w:color w:val="auto"/>
                <w:sz w:val="21"/>
                <w:szCs w:val="21"/>
                <w:highlight w:val="none"/>
              </w:rPr>
              <w:t>机构不负保管义务；对于</w:t>
            </w:r>
            <w:r>
              <w:rPr>
                <w:rFonts w:hint="eastAsia" w:asciiTheme="minorEastAsia" w:hAnsiTheme="minorEastAsia" w:eastAsiaTheme="minorEastAsia" w:cstheme="minorEastAsia"/>
                <w:color w:val="auto"/>
                <w:sz w:val="21"/>
                <w:szCs w:val="21"/>
                <w:highlight w:val="none"/>
                <w:lang w:eastAsia="zh-CN"/>
              </w:rPr>
              <w:t>成交</w:t>
            </w:r>
            <w:r>
              <w:rPr>
                <w:rFonts w:hint="eastAsia" w:asciiTheme="minorEastAsia" w:hAnsiTheme="minorEastAsia" w:eastAsiaTheme="minorEastAsia" w:cstheme="minorEastAsia"/>
                <w:color w:val="auto"/>
                <w:sz w:val="21"/>
                <w:szCs w:val="21"/>
                <w:highlight w:val="none"/>
              </w:rPr>
              <w:t>人提供的样品，采购人将进行保管、封存，并作为履约验收的参考。</w:t>
            </w:r>
          </w:p>
          <w:p w14:paraId="169B5BA9">
            <w:pPr>
              <w:keepNext w:val="0"/>
              <w:keepLines w:val="0"/>
              <w:pageBreakBefore w:val="0"/>
              <w:kinsoku/>
              <w:wordWrap/>
              <w:overflowPunct/>
              <w:topLinePunct w:val="0"/>
              <w:bidi w:val="0"/>
              <w:spacing w:line="320" w:lineRule="exact"/>
              <w:rPr>
                <w:rFonts w:hint="eastAsia" w:ascii="宋体" w:hAnsi="宋体" w:cs="宋体"/>
                <w:kern w:val="0"/>
                <w:sz w:val="21"/>
                <w:szCs w:val="21"/>
              </w:rPr>
            </w:pPr>
            <w:r>
              <w:rPr>
                <w:rFonts w:hint="eastAsia" w:asciiTheme="minorEastAsia" w:hAnsiTheme="minorEastAsia" w:eastAsiaTheme="minorEastAsia" w:cstheme="minorEastAsia"/>
                <w:color w:val="auto"/>
                <w:sz w:val="21"/>
                <w:szCs w:val="21"/>
                <w:highlight w:val="none"/>
              </w:rPr>
              <w:t>（7）制作、运输、安装和保管样品所发生的一切费用由</w:t>
            </w:r>
            <w:r>
              <w:rPr>
                <w:rFonts w:hint="eastAsia" w:asciiTheme="minorEastAsia" w:hAnsiTheme="minorEastAsia" w:eastAsiaTheme="minorEastAsia" w:cstheme="minorEastAsia"/>
                <w:color w:val="auto"/>
                <w:kern w:val="0"/>
                <w:sz w:val="21"/>
                <w:szCs w:val="21"/>
                <w:highlight w:val="none"/>
                <w:lang w:val="zh-CN"/>
              </w:rPr>
              <w:t>供应商</w:t>
            </w:r>
            <w:r>
              <w:rPr>
                <w:rFonts w:hint="eastAsia" w:asciiTheme="minorEastAsia" w:hAnsiTheme="minorEastAsia" w:eastAsiaTheme="minorEastAsia" w:cstheme="minorEastAsia"/>
                <w:color w:val="auto"/>
                <w:sz w:val="21"/>
                <w:szCs w:val="21"/>
                <w:highlight w:val="none"/>
              </w:rPr>
              <w:t>。</w:t>
            </w:r>
          </w:p>
        </w:tc>
      </w:tr>
      <w:tr w14:paraId="7B68975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730" w:hRule="atLeast"/>
          <w:tblHeader/>
        </w:trPr>
        <w:tc>
          <w:tcPr>
            <w:tcW w:w="629" w:type="dxa"/>
            <w:tcBorders>
              <w:top w:val="single" w:color="auto" w:sz="4" w:space="0"/>
              <w:left w:val="single" w:color="auto" w:sz="4" w:space="0"/>
              <w:bottom w:val="single" w:color="auto" w:sz="4" w:space="0"/>
              <w:right w:val="single" w:color="auto" w:sz="4" w:space="0"/>
            </w:tcBorders>
            <w:noWrap w:val="0"/>
            <w:vAlign w:val="center"/>
          </w:tcPr>
          <w:p w14:paraId="068EBF3B">
            <w:pPr>
              <w:keepNext w:val="0"/>
              <w:keepLines w:val="0"/>
              <w:pageBreakBefore w:val="0"/>
              <w:kinsoku/>
              <w:wordWrap/>
              <w:overflowPunct/>
              <w:topLinePunct w:val="0"/>
              <w:bidi w:val="0"/>
              <w:snapToGrid w:val="0"/>
              <w:spacing w:line="320" w:lineRule="exact"/>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7</w:t>
            </w:r>
          </w:p>
        </w:tc>
        <w:tc>
          <w:tcPr>
            <w:tcW w:w="1843" w:type="dxa"/>
            <w:tcBorders>
              <w:top w:val="single" w:color="000000" w:sz="8" w:space="0"/>
              <w:left w:val="single" w:color="auto" w:sz="4" w:space="0"/>
              <w:bottom w:val="single" w:color="000000" w:sz="8" w:space="0"/>
              <w:right w:val="single" w:color="000000" w:sz="8" w:space="0"/>
            </w:tcBorders>
            <w:noWrap w:val="0"/>
            <w:vAlign w:val="center"/>
          </w:tcPr>
          <w:p w14:paraId="1469E349">
            <w:pPr>
              <w:keepNext w:val="0"/>
              <w:keepLines w:val="0"/>
              <w:pageBreakBefore w:val="0"/>
              <w:kinsoku/>
              <w:wordWrap/>
              <w:overflowPunct/>
              <w:topLinePunct w:val="0"/>
              <w:bidi w:val="0"/>
              <w:snapToGrid w:val="0"/>
              <w:spacing w:line="320" w:lineRule="exact"/>
              <w:jc w:val="center"/>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方案讲解演示</w:t>
            </w:r>
          </w:p>
        </w:tc>
        <w:tc>
          <w:tcPr>
            <w:tcW w:w="6644" w:type="dxa"/>
            <w:tcBorders>
              <w:top w:val="single" w:color="000000" w:sz="8" w:space="0"/>
              <w:left w:val="single" w:color="000000" w:sz="2" w:space="0"/>
              <w:bottom w:val="single" w:color="000000" w:sz="8" w:space="0"/>
              <w:right w:val="single" w:color="000000" w:sz="8" w:space="0"/>
            </w:tcBorders>
            <w:noWrap w:val="0"/>
            <w:vAlign w:val="center"/>
          </w:tcPr>
          <w:p w14:paraId="40DAB24B">
            <w:pPr>
              <w:keepNext w:val="0"/>
              <w:keepLines w:val="0"/>
              <w:pageBreakBefore w:val="0"/>
              <w:kinsoku/>
              <w:wordWrap/>
              <w:overflowPunct/>
              <w:topLinePunct w:val="0"/>
              <w:bidi w:val="0"/>
              <w:spacing w:line="320" w:lineRule="exac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bidi="ar-SA"/>
              </w:rPr>
              <w:sym w:font="Wingdings" w:char="00FE"/>
            </w:r>
            <w:r>
              <w:rPr>
                <w:rFonts w:hint="eastAsia" w:asciiTheme="minorEastAsia" w:hAnsiTheme="minorEastAsia" w:eastAsiaTheme="minorEastAsia" w:cstheme="minorEastAsia"/>
                <w:color w:val="auto"/>
                <w:sz w:val="21"/>
                <w:szCs w:val="21"/>
                <w:highlight w:val="none"/>
              </w:rPr>
              <w:t>不组织。</w:t>
            </w:r>
          </w:p>
          <w:p w14:paraId="20054645">
            <w:pPr>
              <w:keepNext w:val="0"/>
              <w:keepLines w:val="0"/>
              <w:pageBreakBefore w:val="0"/>
              <w:kinsoku/>
              <w:wordWrap/>
              <w:overflowPunct/>
              <w:topLinePunct w:val="0"/>
              <w:bidi w:val="0"/>
              <w:spacing w:line="320" w:lineRule="exac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☐B组织。</w:t>
            </w:r>
          </w:p>
          <w:p w14:paraId="6FB6F878">
            <w:pPr>
              <w:keepNext w:val="0"/>
              <w:keepLines w:val="0"/>
              <w:pageBreakBefore w:val="0"/>
              <w:kinsoku/>
              <w:wordWrap/>
              <w:overflowPunct/>
              <w:topLinePunct w:val="0"/>
              <w:bidi w:val="0"/>
              <w:snapToGrid w:val="0"/>
              <w:spacing w:line="320" w:lineRule="exac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（1）在评标时安排每个</w:t>
            </w:r>
            <w:r>
              <w:rPr>
                <w:rFonts w:hint="eastAsia" w:asciiTheme="minorEastAsia" w:hAnsiTheme="minorEastAsia" w:eastAsiaTheme="minorEastAsia" w:cstheme="minorEastAsia"/>
                <w:color w:val="auto"/>
                <w:kern w:val="0"/>
                <w:sz w:val="21"/>
                <w:szCs w:val="21"/>
                <w:highlight w:val="none"/>
                <w:lang w:val="zh-CN"/>
              </w:rPr>
              <w:t>供应商</w:t>
            </w:r>
            <w:r>
              <w:rPr>
                <w:rFonts w:hint="eastAsia" w:asciiTheme="minorEastAsia" w:hAnsiTheme="minorEastAsia" w:eastAsiaTheme="minorEastAsia" w:cstheme="minorEastAsia"/>
                <w:color w:val="auto"/>
                <w:kern w:val="0"/>
                <w:sz w:val="21"/>
                <w:szCs w:val="21"/>
                <w:highlight w:val="none"/>
              </w:rPr>
              <w:t>进行方案讲解演示。每个</w:t>
            </w:r>
            <w:r>
              <w:rPr>
                <w:rFonts w:hint="eastAsia" w:asciiTheme="minorEastAsia" w:hAnsiTheme="minorEastAsia" w:eastAsiaTheme="minorEastAsia" w:cstheme="minorEastAsia"/>
                <w:color w:val="auto"/>
                <w:kern w:val="0"/>
                <w:sz w:val="21"/>
                <w:szCs w:val="21"/>
                <w:highlight w:val="none"/>
                <w:lang w:val="zh-CN"/>
              </w:rPr>
              <w:t>供应商</w:t>
            </w:r>
            <w:r>
              <w:rPr>
                <w:rFonts w:hint="eastAsia" w:asciiTheme="minorEastAsia" w:hAnsiTheme="minorEastAsia" w:eastAsiaTheme="minorEastAsia" w:cstheme="minorEastAsia"/>
                <w:color w:val="auto"/>
                <w:kern w:val="0"/>
                <w:sz w:val="21"/>
                <w:szCs w:val="21"/>
                <w:highlight w:val="none"/>
              </w:rPr>
              <w:t>时间不超过</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kern w:val="0"/>
                <w:sz w:val="21"/>
                <w:szCs w:val="21"/>
                <w:highlight w:val="none"/>
              </w:rPr>
              <w:t>分钟，讲解次序以</w:t>
            </w:r>
            <w:r>
              <w:rPr>
                <w:rFonts w:hint="eastAsia" w:asciiTheme="minorEastAsia" w:hAnsiTheme="minorEastAsia" w:eastAsiaTheme="minorEastAsia" w:cstheme="minorEastAsia"/>
                <w:color w:val="auto"/>
                <w:kern w:val="0"/>
                <w:sz w:val="21"/>
                <w:szCs w:val="21"/>
                <w:highlight w:val="none"/>
                <w:lang w:eastAsia="zh-CN"/>
              </w:rPr>
              <w:t>投标文件</w:t>
            </w:r>
            <w:r>
              <w:rPr>
                <w:rFonts w:hint="eastAsia" w:asciiTheme="minorEastAsia" w:hAnsiTheme="minorEastAsia" w:eastAsiaTheme="minorEastAsia" w:cstheme="minorEastAsia"/>
                <w:color w:val="auto"/>
                <w:kern w:val="0"/>
                <w:sz w:val="21"/>
                <w:szCs w:val="21"/>
                <w:highlight w:val="none"/>
              </w:rPr>
              <w:t>解密时间先后次序为准，讲解演示人员不超过</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kern w:val="0"/>
                <w:sz w:val="21"/>
                <w:szCs w:val="21"/>
                <w:highlight w:val="none"/>
              </w:rPr>
              <w:t>人。讲解演示结束后按要求解答</w:t>
            </w:r>
            <w:r>
              <w:rPr>
                <w:rFonts w:hint="eastAsia" w:asciiTheme="minorEastAsia" w:hAnsiTheme="minorEastAsia" w:eastAsiaTheme="minorEastAsia" w:cstheme="minorEastAsia"/>
                <w:color w:val="auto"/>
                <w:kern w:val="0"/>
                <w:sz w:val="21"/>
                <w:szCs w:val="21"/>
                <w:highlight w:val="none"/>
                <w:lang w:eastAsia="zh-CN"/>
              </w:rPr>
              <w:t>磋商小组</w:t>
            </w:r>
            <w:r>
              <w:rPr>
                <w:rFonts w:hint="eastAsia" w:asciiTheme="minorEastAsia" w:hAnsiTheme="minorEastAsia" w:eastAsiaTheme="minorEastAsia" w:cstheme="minorEastAsia"/>
                <w:color w:val="auto"/>
                <w:kern w:val="0"/>
                <w:sz w:val="21"/>
                <w:szCs w:val="21"/>
                <w:highlight w:val="none"/>
              </w:rPr>
              <w:t>提问。</w:t>
            </w:r>
          </w:p>
          <w:p w14:paraId="76DF960D">
            <w:pPr>
              <w:keepNext w:val="0"/>
              <w:keepLines w:val="0"/>
              <w:pageBreakBefore w:val="0"/>
              <w:kinsoku/>
              <w:wordWrap/>
              <w:overflowPunct/>
              <w:topLinePunct w:val="0"/>
              <w:bidi w:val="0"/>
              <w:snapToGrid w:val="0"/>
              <w:spacing w:line="320" w:lineRule="exac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（2）方案讲解演示可选择以下其中一种方式：</w:t>
            </w:r>
          </w:p>
          <w:p w14:paraId="69B871A6">
            <w:pPr>
              <w:keepNext w:val="0"/>
              <w:keepLines w:val="0"/>
              <w:pageBreakBefore w:val="0"/>
              <w:kinsoku/>
              <w:wordWrap/>
              <w:overflowPunct/>
              <w:topLinePunct w:val="0"/>
              <w:bidi w:val="0"/>
              <w:snapToGrid w:val="0"/>
              <w:spacing w:line="320" w:lineRule="exac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方式一：政采云平台在线讲解演示。政采云平台在线讲解需</w:t>
            </w:r>
            <w:r>
              <w:rPr>
                <w:rFonts w:hint="eastAsia" w:asciiTheme="minorEastAsia" w:hAnsiTheme="minorEastAsia" w:eastAsiaTheme="minorEastAsia" w:cstheme="minorEastAsia"/>
                <w:color w:val="auto"/>
                <w:kern w:val="0"/>
                <w:sz w:val="21"/>
                <w:szCs w:val="21"/>
                <w:highlight w:val="none"/>
                <w:lang w:val="zh-CN"/>
              </w:rPr>
              <w:t>供应商</w:t>
            </w:r>
            <w:r>
              <w:rPr>
                <w:rFonts w:hint="eastAsia" w:asciiTheme="minorEastAsia" w:hAnsiTheme="minorEastAsia" w:eastAsiaTheme="minorEastAsia" w:cstheme="minorEastAsia"/>
                <w:color w:val="auto"/>
                <w:kern w:val="0"/>
                <w:sz w:val="21"/>
                <w:szCs w:val="21"/>
                <w:highlight w:val="none"/>
              </w:rPr>
              <w:t>根据政采云平台操作要求做好准备工作，提前完善软硬件配置环境。</w:t>
            </w:r>
          </w:p>
          <w:p w14:paraId="1118F5D1">
            <w:pPr>
              <w:keepNext w:val="0"/>
              <w:keepLines w:val="0"/>
              <w:pageBreakBefore w:val="0"/>
              <w:kinsoku/>
              <w:wordWrap/>
              <w:overflowPunct/>
              <w:topLinePunct w:val="0"/>
              <w:bidi w:val="0"/>
              <w:snapToGrid w:val="0"/>
              <w:spacing w:line="320" w:lineRule="exac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方式二：交易中心现场讲解演示。现场讲解地点为</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u w:val="single"/>
                <w:lang w:val="en-US" w:eastAsia="zh-CN"/>
              </w:rPr>
              <w:t xml:space="preserve">    </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kern w:val="0"/>
                <w:sz w:val="21"/>
                <w:szCs w:val="21"/>
                <w:highlight w:val="none"/>
              </w:rPr>
              <w:t>，讲解演示所用电脑等设备由</w:t>
            </w:r>
            <w:r>
              <w:rPr>
                <w:rFonts w:hint="eastAsia" w:asciiTheme="minorEastAsia" w:hAnsiTheme="minorEastAsia" w:eastAsiaTheme="minorEastAsia" w:cstheme="minorEastAsia"/>
                <w:color w:val="auto"/>
                <w:kern w:val="0"/>
                <w:sz w:val="21"/>
                <w:szCs w:val="21"/>
                <w:highlight w:val="none"/>
                <w:lang w:val="zh-CN"/>
              </w:rPr>
              <w:t>供应商</w:t>
            </w:r>
            <w:r>
              <w:rPr>
                <w:rFonts w:hint="eastAsia" w:asciiTheme="minorEastAsia" w:hAnsiTheme="minorEastAsia" w:eastAsiaTheme="minorEastAsia" w:cstheme="minorEastAsia"/>
                <w:color w:val="auto"/>
                <w:kern w:val="0"/>
                <w:sz w:val="21"/>
                <w:szCs w:val="21"/>
                <w:highlight w:val="none"/>
              </w:rPr>
              <w:t>自备。现场讲解演示人员进场时提供讲解人员名单（加盖公章）及身份证明，否则不得讲解演示。</w:t>
            </w:r>
          </w:p>
          <w:p w14:paraId="2A3D9CEE">
            <w:pPr>
              <w:keepNext w:val="0"/>
              <w:keepLines w:val="0"/>
              <w:pageBreakBefore w:val="0"/>
              <w:kinsoku/>
              <w:wordWrap/>
              <w:overflowPunct/>
              <w:topLinePunct w:val="0"/>
              <w:bidi w:val="0"/>
              <w:snapToGrid w:val="0"/>
              <w:spacing w:line="320" w:lineRule="exac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rPr>
              <w:t>注：因</w:t>
            </w:r>
            <w:r>
              <w:rPr>
                <w:rFonts w:hint="eastAsia" w:asciiTheme="minorEastAsia" w:hAnsiTheme="minorEastAsia" w:eastAsiaTheme="minorEastAsia" w:cstheme="minorEastAsia"/>
                <w:color w:val="auto"/>
                <w:kern w:val="0"/>
                <w:sz w:val="21"/>
                <w:szCs w:val="21"/>
                <w:highlight w:val="none"/>
                <w:lang w:val="zh-CN"/>
              </w:rPr>
              <w:t>供应商</w:t>
            </w:r>
            <w:r>
              <w:rPr>
                <w:rFonts w:hint="eastAsia" w:asciiTheme="minorEastAsia" w:hAnsiTheme="minorEastAsia" w:eastAsiaTheme="minorEastAsia" w:cstheme="minorEastAsia"/>
                <w:color w:val="auto"/>
                <w:kern w:val="0"/>
                <w:sz w:val="21"/>
                <w:szCs w:val="21"/>
                <w:highlight w:val="none"/>
              </w:rPr>
              <w:t>自身原因导致无法演示或者演示效果不理想的，责任自负。因平台原因导致本项目方案讲解演示环节无法顺利开展，按照《浙江省政府采购项目电子交易管理暂行办法》相关规定执行。</w:t>
            </w:r>
          </w:p>
        </w:tc>
      </w:tr>
      <w:tr w14:paraId="0D0B29B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61" w:hRule="atLeast"/>
          <w:tblHeader/>
        </w:trPr>
        <w:tc>
          <w:tcPr>
            <w:tcW w:w="629" w:type="dxa"/>
            <w:tcBorders>
              <w:top w:val="single" w:color="auto" w:sz="4" w:space="0"/>
              <w:left w:val="single" w:color="auto" w:sz="4" w:space="0"/>
              <w:bottom w:val="single" w:color="auto" w:sz="4" w:space="0"/>
              <w:right w:val="single" w:color="auto" w:sz="4" w:space="0"/>
            </w:tcBorders>
            <w:noWrap w:val="0"/>
            <w:vAlign w:val="center"/>
          </w:tcPr>
          <w:p w14:paraId="7CC4028A">
            <w:pPr>
              <w:keepNext w:val="0"/>
              <w:keepLines w:val="0"/>
              <w:pageBreakBefore w:val="0"/>
              <w:kinsoku/>
              <w:wordWrap/>
              <w:overflowPunct/>
              <w:topLinePunct w:val="0"/>
              <w:bidi w:val="0"/>
              <w:snapToGrid w:val="0"/>
              <w:spacing w:line="320" w:lineRule="exact"/>
              <w:jc w:val="center"/>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8</w:t>
            </w:r>
          </w:p>
        </w:tc>
        <w:tc>
          <w:tcPr>
            <w:tcW w:w="1843" w:type="dxa"/>
            <w:tcBorders>
              <w:top w:val="single" w:color="000000" w:sz="8" w:space="0"/>
              <w:left w:val="single" w:color="auto" w:sz="4" w:space="0"/>
              <w:bottom w:val="single" w:color="000000" w:sz="8" w:space="0"/>
              <w:right w:val="single" w:color="000000" w:sz="8" w:space="0"/>
            </w:tcBorders>
            <w:noWrap w:val="0"/>
            <w:vAlign w:val="center"/>
          </w:tcPr>
          <w:p w14:paraId="5FADBDC5">
            <w:pPr>
              <w:keepNext w:val="0"/>
              <w:keepLines w:val="0"/>
              <w:pageBreakBefore w:val="0"/>
              <w:kinsoku/>
              <w:wordWrap/>
              <w:overflowPunct/>
              <w:topLinePunct w:val="0"/>
              <w:bidi w:val="0"/>
              <w:snapToGrid w:val="0"/>
              <w:spacing w:line="320" w:lineRule="exact"/>
              <w:jc w:val="center"/>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lang w:eastAsia="zh-CN"/>
              </w:rPr>
              <w:t>供应商</w:t>
            </w:r>
            <w:r>
              <w:rPr>
                <w:rFonts w:hint="eastAsia" w:asciiTheme="minorEastAsia" w:hAnsiTheme="minorEastAsia" w:eastAsiaTheme="minorEastAsia" w:cstheme="minorEastAsia"/>
                <w:b/>
                <w:color w:val="auto"/>
                <w:sz w:val="21"/>
                <w:szCs w:val="21"/>
                <w:highlight w:val="none"/>
              </w:rPr>
              <w:t>应当提供的资格文件</w:t>
            </w:r>
          </w:p>
        </w:tc>
        <w:tc>
          <w:tcPr>
            <w:tcW w:w="6644" w:type="dxa"/>
            <w:tcBorders>
              <w:top w:val="single" w:color="000000" w:sz="8" w:space="0"/>
              <w:left w:val="single" w:color="000000" w:sz="2" w:space="0"/>
              <w:bottom w:val="single" w:color="000000" w:sz="8" w:space="0"/>
              <w:right w:val="single" w:color="000000" w:sz="8" w:space="0"/>
            </w:tcBorders>
            <w:noWrap w:val="0"/>
            <w:vAlign w:val="center"/>
          </w:tcPr>
          <w:p w14:paraId="10642EE9">
            <w:pPr>
              <w:keepNext w:val="0"/>
              <w:keepLines w:val="0"/>
              <w:pageBreakBefore w:val="0"/>
              <w:kinsoku/>
              <w:wordWrap/>
              <w:overflowPunct/>
              <w:topLinePunct w:val="0"/>
              <w:bidi w:val="0"/>
              <w:snapToGrid w:val="0"/>
              <w:spacing w:line="320" w:lineRule="exact"/>
              <w:rPr>
                <w:rFonts w:hint="eastAsia" w:asciiTheme="minorEastAsia" w:hAnsiTheme="minorEastAsia" w:eastAsiaTheme="minorEastAsia" w:cstheme="minorEastAsia"/>
                <w:color w:val="auto"/>
                <w:kern w:val="0"/>
                <w:sz w:val="21"/>
                <w:szCs w:val="21"/>
                <w:highlight w:val="none"/>
                <w:lang w:eastAsia="zh-CN"/>
              </w:rPr>
            </w:pPr>
            <w:r>
              <w:rPr>
                <w:rFonts w:hint="eastAsia" w:asciiTheme="minorEastAsia" w:hAnsiTheme="minorEastAsia" w:eastAsiaTheme="minorEastAsia" w:cstheme="minorEastAsia"/>
                <w:color w:val="auto"/>
                <w:kern w:val="0"/>
                <w:sz w:val="21"/>
                <w:szCs w:val="21"/>
                <w:highlight w:val="none"/>
              </w:rPr>
              <w:t>资格证明文件：见</w:t>
            </w:r>
            <w:r>
              <w:rPr>
                <w:rFonts w:hint="eastAsia" w:asciiTheme="minorEastAsia" w:hAnsiTheme="minorEastAsia" w:eastAsiaTheme="minorEastAsia" w:cstheme="minorEastAsia"/>
                <w:color w:val="auto"/>
                <w:kern w:val="0"/>
                <w:sz w:val="21"/>
                <w:szCs w:val="21"/>
                <w:highlight w:val="none"/>
                <w:lang w:val="zh-CN"/>
              </w:rPr>
              <w:t>竞争性磋商公告“</w:t>
            </w:r>
            <w:r>
              <w:rPr>
                <w:rFonts w:hint="eastAsia" w:asciiTheme="minorEastAsia" w:hAnsiTheme="minorEastAsia" w:eastAsiaTheme="minorEastAsia" w:cstheme="minorEastAsia"/>
                <w:color w:val="auto"/>
                <w:kern w:val="0"/>
                <w:sz w:val="21"/>
                <w:szCs w:val="21"/>
                <w:highlight w:val="none"/>
              </w:rPr>
              <w:t>二、申请人的资格要求</w:t>
            </w:r>
            <w:r>
              <w:rPr>
                <w:rFonts w:hint="eastAsia" w:asciiTheme="minorEastAsia" w:hAnsiTheme="minorEastAsia" w:eastAsiaTheme="minorEastAsia" w:cstheme="minorEastAsia"/>
                <w:color w:val="auto"/>
                <w:kern w:val="0"/>
                <w:sz w:val="21"/>
                <w:szCs w:val="21"/>
                <w:highlight w:val="none"/>
                <w:lang w:eastAsia="zh-CN"/>
              </w:rPr>
              <w:t>”；</w:t>
            </w:r>
          </w:p>
          <w:p w14:paraId="4C33108E">
            <w:pPr>
              <w:keepNext w:val="0"/>
              <w:keepLines w:val="0"/>
              <w:pageBreakBefore w:val="0"/>
              <w:kinsoku/>
              <w:wordWrap/>
              <w:overflowPunct/>
              <w:topLinePunct w:val="0"/>
              <w:bidi w:val="0"/>
              <w:spacing w:line="320" w:lineRule="exac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资格证明文件不全的或者不符合</w:t>
            </w:r>
            <w:r>
              <w:rPr>
                <w:rFonts w:hint="eastAsia" w:asciiTheme="minorEastAsia" w:hAnsiTheme="minorEastAsia" w:eastAsiaTheme="minorEastAsia" w:cstheme="minorEastAsia"/>
                <w:color w:val="auto"/>
                <w:kern w:val="0"/>
                <w:sz w:val="21"/>
                <w:szCs w:val="21"/>
                <w:highlight w:val="none"/>
                <w:lang w:val="zh-CN"/>
              </w:rPr>
              <w:t>竞争性磋商文件</w:t>
            </w:r>
            <w:r>
              <w:rPr>
                <w:rFonts w:hint="eastAsia" w:asciiTheme="minorEastAsia" w:hAnsiTheme="minorEastAsia" w:eastAsiaTheme="minorEastAsia" w:cstheme="minorEastAsia"/>
                <w:color w:val="auto"/>
                <w:kern w:val="0"/>
                <w:sz w:val="21"/>
                <w:szCs w:val="21"/>
                <w:highlight w:val="none"/>
              </w:rPr>
              <w:t>标明的资格要求的</w:t>
            </w:r>
            <w:r>
              <w:rPr>
                <w:rFonts w:hint="eastAsia" w:asciiTheme="minorEastAsia" w:hAnsiTheme="minorEastAsia" w:eastAsiaTheme="minorEastAsia" w:cstheme="minorEastAsia"/>
                <w:color w:val="auto"/>
                <w:kern w:val="0"/>
                <w:sz w:val="21"/>
                <w:szCs w:val="21"/>
                <w:highlight w:val="none"/>
                <w:lang w:val="zh-CN"/>
              </w:rPr>
              <w:t>，视为供应商不具备竞争性磋商文件中规定的资格要求，响应无效。</w:t>
            </w:r>
          </w:p>
        </w:tc>
      </w:tr>
      <w:tr w14:paraId="21F994F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56" w:hRule="atLeast"/>
          <w:tblHeader/>
        </w:trPr>
        <w:tc>
          <w:tcPr>
            <w:tcW w:w="629" w:type="dxa"/>
            <w:tcBorders>
              <w:top w:val="single" w:color="auto" w:sz="4" w:space="0"/>
              <w:left w:val="single" w:color="auto" w:sz="4" w:space="0"/>
              <w:bottom w:val="single" w:color="auto" w:sz="4" w:space="0"/>
              <w:right w:val="single" w:color="auto" w:sz="4" w:space="0"/>
            </w:tcBorders>
            <w:noWrap w:val="0"/>
            <w:vAlign w:val="center"/>
          </w:tcPr>
          <w:p w14:paraId="195B3BA2">
            <w:pPr>
              <w:keepNext w:val="0"/>
              <w:keepLines w:val="0"/>
              <w:pageBreakBefore w:val="0"/>
              <w:kinsoku/>
              <w:wordWrap/>
              <w:overflowPunct/>
              <w:topLinePunct w:val="0"/>
              <w:bidi w:val="0"/>
              <w:snapToGrid w:val="0"/>
              <w:spacing w:line="320" w:lineRule="exact"/>
              <w:jc w:val="center"/>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9</w:t>
            </w:r>
          </w:p>
        </w:tc>
        <w:tc>
          <w:tcPr>
            <w:tcW w:w="1843" w:type="dxa"/>
            <w:tcBorders>
              <w:top w:val="single" w:color="000000" w:sz="8" w:space="0"/>
              <w:left w:val="single" w:color="auto" w:sz="4" w:space="0"/>
              <w:bottom w:val="single" w:color="000000" w:sz="8" w:space="0"/>
              <w:right w:val="single" w:color="000000" w:sz="8" w:space="0"/>
            </w:tcBorders>
            <w:noWrap w:val="0"/>
            <w:vAlign w:val="center"/>
          </w:tcPr>
          <w:p w14:paraId="0054663C">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outlineLvl w:val="9"/>
              <w:rPr>
                <w:rFonts w:hint="eastAsia" w:asciiTheme="minorEastAsia" w:hAnsiTheme="minorEastAsia" w:eastAsiaTheme="minorEastAsia" w:cstheme="minorEastAsia"/>
                <w:b/>
                <w:color w:val="auto"/>
                <w:sz w:val="21"/>
                <w:szCs w:val="21"/>
                <w:highlight w:val="none"/>
                <w:lang w:eastAsia="zh-CN"/>
              </w:rPr>
            </w:pPr>
            <w:r>
              <w:rPr>
                <w:rFonts w:hint="eastAsia" w:ascii="宋体" w:hAnsi="宋体" w:eastAsia="宋体" w:cs="宋体"/>
                <w:b/>
                <w:sz w:val="21"/>
                <w:szCs w:val="21"/>
                <w:highlight w:val="none"/>
              </w:rPr>
              <w:t>节能产品、环境标志产品</w:t>
            </w:r>
          </w:p>
        </w:tc>
        <w:tc>
          <w:tcPr>
            <w:tcW w:w="6644" w:type="dxa"/>
            <w:tcBorders>
              <w:top w:val="single" w:color="000000" w:sz="8" w:space="0"/>
              <w:left w:val="single" w:color="000000" w:sz="2" w:space="0"/>
              <w:bottom w:val="single" w:color="000000" w:sz="8" w:space="0"/>
              <w:right w:val="single" w:color="000000" w:sz="8" w:space="0"/>
            </w:tcBorders>
            <w:noWrap w:val="0"/>
            <w:vAlign w:val="center"/>
          </w:tcPr>
          <w:p w14:paraId="275138B0">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both"/>
              <w:textAlignment w:val="auto"/>
              <w:outlineLvl w:val="9"/>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72EEE34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962" w:hRule="atLeast"/>
          <w:tblHeader/>
        </w:trPr>
        <w:tc>
          <w:tcPr>
            <w:tcW w:w="629" w:type="dxa"/>
            <w:tcBorders>
              <w:top w:val="single" w:color="auto" w:sz="4" w:space="0"/>
              <w:left w:val="single" w:color="auto" w:sz="4" w:space="0"/>
              <w:bottom w:val="single" w:color="auto" w:sz="4" w:space="0"/>
              <w:right w:val="single" w:color="auto" w:sz="4" w:space="0"/>
            </w:tcBorders>
            <w:noWrap w:val="0"/>
            <w:vAlign w:val="top"/>
          </w:tcPr>
          <w:p w14:paraId="0342EDB3">
            <w:pPr>
              <w:keepNext w:val="0"/>
              <w:keepLines w:val="0"/>
              <w:pageBreakBefore w:val="0"/>
              <w:kinsoku/>
              <w:wordWrap/>
              <w:overflowPunct/>
              <w:topLinePunct w:val="0"/>
              <w:bidi w:val="0"/>
              <w:snapToGrid w:val="0"/>
              <w:spacing w:line="320" w:lineRule="exact"/>
              <w:jc w:val="center"/>
              <w:rPr>
                <w:rFonts w:hint="eastAsia" w:asciiTheme="minorEastAsia" w:hAnsiTheme="minorEastAsia" w:eastAsiaTheme="minorEastAsia" w:cstheme="minorEastAsia"/>
                <w:color w:val="auto"/>
                <w:sz w:val="21"/>
                <w:szCs w:val="21"/>
                <w:highlight w:val="none"/>
              </w:rPr>
            </w:pPr>
          </w:p>
          <w:p w14:paraId="21428121">
            <w:pPr>
              <w:keepNext w:val="0"/>
              <w:keepLines w:val="0"/>
              <w:pageBreakBefore w:val="0"/>
              <w:kinsoku/>
              <w:wordWrap/>
              <w:overflowPunct/>
              <w:topLinePunct w:val="0"/>
              <w:bidi w:val="0"/>
              <w:snapToGrid w:val="0"/>
              <w:spacing w:line="320" w:lineRule="exact"/>
              <w:jc w:val="center"/>
              <w:rPr>
                <w:rFonts w:hint="eastAsia" w:asciiTheme="minorEastAsia" w:hAnsiTheme="minorEastAsia" w:eastAsiaTheme="minorEastAsia" w:cstheme="minorEastAsia"/>
                <w:color w:val="auto"/>
                <w:sz w:val="21"/>
                <w:szCs w:val="21"/>
                <w:highlight w:val="none"/>
              </w:rPr>
            </w:pPr>
          </w:p>
          <w:p w14:paraId="103CDEB0">
            <w:pPr>
              <w:keepNext w:val="0"/>
              <w:keepLines w:val="0"/>
              <w:pageBreakBefore w:val="0"/>
              <w:kinsoku/>
              <w:wordWrap/>
              <w:overflowPunct/>
              <w:topLinePunct w:val="0"/>
              <w:bidi w:val="0"/>
              <w:snapToGrid w:val="0"/>
              <w:spacing w:line="320" w:lineRule="exact"/>
              <w:jc w:val="center"/>
              <w:rPr>
                <w:rFonts w:hint="eastAsia" w:asciiTheme="minorEastAsia" w:hAnsiTheme="minorEastAsia" w:eastAsiaTheme="minorEastAsia" w:cstheme="minorEastAsia"/>
                <w:color w:val="auto"/>
                <w:sz w:val="21"/>
                <w:szCs w:val="21"/>
                <w:highlight w:val="none"/>
              </w:rPr>
            </w:pPr>
          </w:p>
          <w:p w14:paraId="2291FDF2">
            <w:pPr>
              <w:keepNext w:val="0"/>
              <w:keepLines w:val="0"/>
              <w:pageBreakBefore w:val="0"/>
              <w:kinsoku/>
              <w:wordWrap/>
              <w:overflowPunct/>
              <w:topLinePunct w:val="0"/>
              <w:bidi w:val="0"/>
              <w:snapToGrid w:val="0"/>
              <w:spacing w:line="320" w:lineRule="exact"/>
              <w:jc w:val="center"/>
              <w:rPr>
                <w:rFonts w:hint="eastAsia" w:asciiTheme="minorEastAsia" w:hAnsiTheme="minorEastAsia" w:eastAsiaTheme="minorEastAsia" w:cstheme="minorEastAsia"/>
                <w:color w:val="auto"/>
                <w:sz w:val="21"/>
                <w:szCs w:val="21"/>
                <w:highlight w:val="none"/>
              </w:rPr>
            </w:pPr>
          </w:p>
          <w:p w14:paraId="127697C6">
            <w:pPr>
              <w:keepNext w:val="0"/>
              <w:keepLines w:val="0"/>
              <w:pageBreakBefore w:val="0"/>
              <w:kinsoku/>
              <w:wordWrap/>
              <w:overflowPunct/>
              <w:topLinePunct w:val="0"/>
              <w:bidi w:val="0"/>
              <w:snapToGrid w:val="0"/>
              <w:spacing w:line="320" w:lineRule="exact"/>
              <w:jc w:val="center"/>
              <w:rPr>
                <w:rFonts w:hint="eastAsia" w:asciiTheme="minorEastAsia" w:hAnsiTheme="minorEastAsia" w:eastAsiaTheme="minorEastAsia" w:cstheme="minorEastAsia"/>
                <w:color w:val="auto"/>
                <w:sz w:val="21"/>
                <w:szCs w:val="21"/>
                <w:highlight w:val="none"/>
              </w:rPr>
            </w:pPr>
          </w:p>
          <w:p w14:paraId="4EF7D70B">
            <w:pPr>
              <w:keepNext w:val="0"/>
              <w:keepLines w:val="0"/>
              <w:pageBreakBefore w:val="0"/>
              <w:kinsoku/>
              <w:wordWrap/>
              <w:overflowPunct/>
              <w:topLinePunct w:val="0"/>
              <w:bidi w:val="0"/>
              <w:snapToGrid w:val="0"/>
              <w:spacing w:line="320" w:lineRule="exact"/>
              <w:jc w:val="center"/>
              <w:rPr>
                <w:rFonts w:hint="eastAsia" w:asciiTheme="minorEastAsia" w:hAnsiTheme="minorEastAsia" w:eastAsiaTheme="minorEastAsia" w:cstheme="minorEastAsia"/>
                <w:color w:val="auto"/>
                <w:sz w:val="21"/>
                <w:szCs w:val="21"/>
                <w:highlight w:val="none"/>
              </w:rPr>
            </w:pPr>
          </w:p>
          <w:p w14:paraId="53E58DE2">
            <w:pPr>
              <w:keepNext w:val="0"/>
              <w:keepLines w:val="0"/>
              <w:pageBreakBefore w:val="0"/>
              <w:kinsoku/>
              <w:wordWrap/>
              <w:overflowPunct/>
              <w:topLinePunct w:val="0"/>
              <w:bidi w:val="0"/>
              <w:snapToGrid w:val="0"/>
              <w:spacing w:line="320" w:lineRule="exact"/>
              <w:jc w:val="center"/>
              <w:rPr>
                <w:rFonts w:hint="eastAsia" w:asciiTheme="minorEastAsia" w:hAnsiTheme="minorEastAsia" w:eastAsiaTheme="minorEastAsia" w:cstheme="minorEastAsia"/>
                <w:color w:val="auto"/>
                <w:sz w:val="21"/>
                <w:szCs w:val="21"/>
                <w:highlight w:val="none"/>
              </w:rPr>
            </w:pPr>
          </w:p>
          <w:p w14:paraId="318B272D">
            <w:pPr>
              <w:keepNext w:val="0"/>
              <w:keepLines w:val="0"/>
              <w:pageBreakBefore w:val="0"/>
              <w:kinsoku/>
              <w:wordWrap/>
              <w:overflowPunct/>
              <w:topLinePunct w:val="0"/>
              <w:bidi w:val="0"/>
              <w:snapToGrid w:val="0"/>
              <w:spacing w:line="320" w:lineRule="exact"/>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rPr>
              <w:t>1</w:t>
            </w:r>
            <w:r>
              <w:rPr>
                <w:rFonts w:hint="eastAsia" w:asciiTheme="minorEastAsia" w:hAnsiTheme="minorEastAsia" w:eastAsiaTheme="minorEastAsia" w:cstheme="minorEastAsia"/>
                <w:color w:val="auto"/>
                <w:sz w:val="21"/>
                <w:szCs w:val="21"/>
                <w:highlight w:val="none"/>
                <w:lang w:val="en-US" w:eastAsia="zh-CN"/>
              </w:rPr>
              <w:t>0</w:t>
            </w:r>
          </w:p>
        </w:tc>
        <w:tc>
          <w:tcPr>
            <w:tcW w:w="1843" w:type="dxa"/>
            <w:tcBorders>
              <w:top w:val="single" w:color="000000" w:sz="8" w:space="0"/>
              <w:left w:val="single" w:color="auto" w:sz="4" w:space="0"/>
              <w:bottom w:val="single" w:color="000000" w:sz="8" w:space="0"/>
              <w:right w:val="single" w:color="000000" w:sz="8" w:space="0"/>
            </w:tcBorders>
            <w:noWrap w:val="0"/>
            <w:vAlign w:val="center"/>
          </w:tcPr>
          <w:p w14:paraId="7F7ABBDF">
            <w:pPr>
              <w:keepNext w:val="0"/>
              <w:keepLines w:val="0"/>
              <w:pageBreakBefore w:val="0"/>
              <w:kinsoku/>
              <w:wordWrap/>
              <w:overflowPunct/>
              <w:topLinePunct w:val="0"/>
              <w:bidi w:val="0"/>
              <w:snapToGrid w:val="0"/>
              <w:spacing w:line="320" w:lineRule="exact"/>
              <w:jc w:val="center"/>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报价要求</w:t>
            </w:r>
          </w:p>
        </w:tc>
        <w:tc>
          <w:tcPr>
            <w:tcW w:w="6644" w:type="dxa"/>
            <w:tcBorders>
              <w:top w:val="single" w:color="000000" w:sz="8" w:space="0"/>
              <w:left w:val="single" w:color="000000" w:sz="2" w:space="0"/>
              <w:bottom w:val="single" w:color="000000" w:sz="8" w:space="0"/>
              <w:right w:val="single" w:color="000000" w:sz="8" w:space="0"/>
            </w:tcBorders>
            <w:noWrap w:val="0"/>
            <w:vAlign w:val="center"/>
          </w:tcPr>
          <w:p w14:paraId="2C06A671">
            <w:pPr>
              <w:pStyle w:val="22"/>
              <w:keepNext w:val="0"/>
              <w:keepLines w:val="0"/>
              <w:pageBreakBefore w:val="0"/>
              <w:kinsoku/>
              <w:wordWrap/>
              <w:overflowPunct/>
              <w:topLinePunct w:val="0"/>
              <w:bidi w:val="0"/>
              <w:spacing w:line="320" w:lineRule="exact"/>
              <w:rPr>
                <w:rFonts w:hint="eastAsia" w:asciiTheme="minorEastAsia" w:hAnsiTheme="minorEastAsia" w:eastAsiaTheme="minorEastAsia" w:cstheme="minorEastAsia"/>
                <w:b/>
                <w:snapToGrid/>
                <w:color w:val="auto"/>
                <w:kern w:val="0"/>
                <w:sz w:val="21"/>
                <w:szCs w:val="21"/>
                <w:highlight w:val="none"/>
                <w:lang w:val="en-US" w:eastAsia="zh-CN" w:bidi="ar-SA"/>
              </w:rPr>
            </w:pPr>
            <w:r>
              <w:rPr>
                <w:rFonts w:hint="eastAsia" w:asciiTheme="minorEastAsia" w:hAnsiTheme="minorEastAsia" w:eastAsiaTheme="minorEastAsia" w:cstheme="minorEastAsia"/>
                <w:b/>
                <w:snapToGrid/>
                <w:color w:val="auto"/>
                <w:kern w:val="0"/>
                <w:sz w:val="21"/>
                <w:szCs w:val="21"/>
                <w:highlight w:val="none"/>
                <w:lang w:val="en-US" w:eastAsia="zh-CN" w:bidi="ar-SA"/>
              </w:rPr>
              <w:t>关本项目实施所需的所有费用（含税费）均计入报价。报价单是报价的唯一载体。响应文件中价格全部采用人民币报价。采购文件未列明，而供应商认为必需的费用也需列入报价。提醒：验收时检测费用由采购人承担，不包含在总价中。</w:t>
            </w:r>
          </w:p>
          <w:p w14:paraId="7DC2CFF5">
            <w:pPr>
              <w:pStyle w:val="22"/>
              <w:keepNext w:val="0"/>
              <w:keepLines w:val="0"/>
              <w:pageBreakBefore w:val="0"/>
              <w:kinsoku/>
              <w:wordWrap/>
              <w:overflowPunct/>
              <w:topLinePunct w:val="0"/>
              <w:bidi w:val="0"/>
              <w:spacing w:line="320" w:lineRule="exact"/>
              <w:ind w:firstLine="211" w:firstLineChars="100"/>
              <w:rPr>
                <w:rFonts w:hint="eastAsia" w:asciiTheme="minorEastAsia" w:hAnsiTheme="minorEastAsia" w:eastAsiaTheme="minorEastAsia" w:cstheme="minorEastAsia"/>
                <w:b/>
                <w:snapToGrid/>
                <w:color w:val="auto"/>
                <w:kern w:val="0"/>
                <w:sz w:val="21"/>
                <w:szCs w:val="21"/>
                <w:highlight w:val="none"/>
                <w:lang w:val="en-US" w:eastAsia="zh-CN" w:bidi="ar-SA"/>
              </w:rPr>
            </w:pPr>
            <w:r>
              <w:rPr>
                <w:rFonts w:hint="eastAsia" w:asciiTheme="minorEastAsia" w:hAnsiTheme="minorEastAsia" w:eastAsiaTheme="minorEastAsia" w:cstheme="minorEastAsia"/>
                <w:b/>
                <w:snapToGrid/>
                <w:color w:val="auto"/>
                <w:kern w:val="0"/>
                <w:sz w:val="21"/>
                <w:szCs w:val="21"/>
                <w:highlight w:val="none"/>
                <w:lang w:val="en-US" w:eastAsia="zh-CN" w:bidi="ar-SA"/>
              </w:rPr>
              <w:t>最后报价出现下列情形的，响应文件无效：</w:t>
            </w:r>
          </w:p>
          <w:p w14:paraId="60F7E1D4">
            <w:pPr>
              <w:pStyle w:val="22"/>
              <w:keepNext w:val="0"/>
              <w:keepLines w:val="0"/>
              <w:pageBreakBefore w:val="0"/>
              <w:kinsoku/>
              <w:wordWrap/>
              <w:overflowPunct/>
              <w:topLinePunct w:val="0"/>
              <w:bidi w:val="0"/>
              <w:spacing w:line="320" w:lineRule="exact"/>
              <w:ind w:firstLine="211" w:firstLineChars="100"/>
              <w:rPr>
                <w:rFonts w:hint="eastAsia" w:asciiTheme="minorEastAsia" w:hAnsiTheme="minorEastAsia" w:eastAsiaTheme="minorEastAsia" w:cstheme="minorEastAsia"/>
                <w:b/>
                <w:snapToGrid/>
                <w:color w:val="auto"/>
                <w:kern w:val="0"/>
                <w:sz w:val="21"/>
                <w:szCs w:val="21"/>
                <w:highlight w:val="none"/>
                <w:lang w:val="en-US" w:eastAsia="zh-CN" w:bidi="ar-SA"/>
              </w:rPr>
            </w:pPr>
            <w:r>
              <w:rPr>
                <w:rFonts w:hint="eastAsia" w:asciiTheme="minorEastAsia" w:hAnsiTheme="minorEastAsia" w:eastAsiaTheme="minorEastAsia" w:cstheme="minorEastAsia"/>
                <w:b/>
                <w:snapToGrid/>
                <w:color w:val="auto"/>
                <w:kern w:val="0"/>
                <w:sz w:val="21"/>
                <w:szCs w:val="21"/>
                <w:highlight w:val="none"/>
                <w:lang w:val="en-US" w:eastAsia="zh-CN" w:bidi="ar-SA"/>
              </w:rPr>
              <w:t>响应文件出现不是唯一的、有选择性最后报价的；</w:t>
            </w:r>
          </w:p>
          <w:p w14:paraId="7C061CA4">
            <w:pPr>
              <w:pStyle w:val="22"/>
              <w:keepNext w:val="0"/>
              <w:keepLines w:val="0"/>
              <w:pageBreakBefore w:val="0"/>
              <w:kinsoku/>
              <w:wordWrap/>
              <w:overflowPunct/>
              <w:topLinePunct w:val="0"/>
              <w:bidi w:val="0"/>
              <w:spacing w:line="320" w:lineRule="exact"/>
              <w:ind w:firstLine="211" w:firstLineChars="100"/>
              <w:rPr>
                <w:rFonts w:hint="eastAsia" w:asciiTheme="minorEastAsia" w:hAnsiTheme="minorEastAsia" w:eastAsiaTheme="minorEastAsia" w:cstheme="minorEastAsia"/>
                <w:b/>
                <w:snapToGrid/>
                <w:color w:val="auto"/>
                <w:kern w:val="0"/>
                <w:sz w:val="21"/>
                <w:szCs w:val="21"/>
                <w:highlight w:val="none"/>
                <w:lang w:val="en-US" w:eastAsia="zh-CN" w:bidi="ar-SA"/>
              </w:rPr>
            </w:pPr>
            <w:r>
              <w:rPr>
                <w:rFonts w:hint="eastAsia" w:asciiTheme="minorEastAsia" w:hAnsiTheme="minorEastAsia" w:eastAsiaTheme="minorEastAsia" w:cstheme="minorEastAsia"/>
                <w:b/>
                <w:snapToGrid/>
                <w:color w:val="auto"/>
                <w:kern w:val="0"/>
                <w:sz w:val="21"/>
                <w:szCs w:val="21"/>
                <w:highlight w:val="none"/>
                <w:lang w:val="en-US" w:eastAsia="zh-CN" w:bidi="ar-SA"/>
              </w:rPr>
              <w:t>最后报价超过采购文件中规定的预算金额或者最高限价的;</w:t>
            </w:r>
          </w:p>
          <w:p w14:paraId="1DF027D6">
            <w:pPr>
              <w:pStyle w:val="22"/>
              <w:keepNext w:val="0"/>
              <w:keepLines w:val="0"/>
              <w:pageBreakBefore w:val="0"/>
              <w:kinsoku/>
              <w:wordWrap/>
              <w:overflowPunct/>
              <w:topLinePunct w:val="0"/>
              <w:bidi w:val="0"/>
              <w:spacing w:line="320" w:lineRule="exact"/>
              <w:ind w:firstLine="211" w:firstLineChars="100"/>
              <w:rPr>
                <w:rFonts w:hint="eastAsia" w:asciiTheme="minorEastAsia" w:hAnsiTheme="minorEastAsia" w:eastAsiaTheme="minorEastAsia" w:cstheme="minorEastAsia"/>
                <w:b/>
                <w:snapToGrid/>
                <w:color w:val="auto"/>
                <w:kern w:val="0"/>
                <w:sz w:val="21"/>
                <w:szCs w:val="21"/>
                <w:highlight w:val="none"/>
                <w:lang w:val="en-US" w:eastAsia="zh-CN" w:bidi="ar-SA"/>
              </w:rPr>
            </w:pPr>
            <w:r>
              <w:rPr>
                <w:rFonts w:hint="eastAsia" w:asciiTheme="minorEastAsia" w:hAnsiTheme="minorEastAsia" w:eastAsiaTheme="minorEastAsia" w:cstheme="minorEastAsia"/>
                <w:b/>
                <w:snapToGrid/>
                <w:color w:val="auto"/>
                <w:kern w:val="0"/>
                <w:sz w:val="21"/>
                <w:szCs w:val="21"/>
                <w:highlight w:val="none"/>
                <w:lang w:val="en-US" w:eastAsia="zh-CN" w:bidi="ar-SA"/>
              </w:rPr>
              <w:t>报价明显低于其他通过符合性审查供应商的报价，有可能影响产品质量或者不能诚信履约的，未能按要求提供书面说明或者提交相关证明材料证明其报价合理性的;</w:t>
            </w:r>
          </w:p>
          <w:p w14:paraId="0465B670">
            <w:pPr>
              <w:pStyle w:val="22"/>
              <w:keepNext w:val="0"/>
              <w:keepLines w:val="0"/>
              <w:pageBreakBefore w:val="0"/>
              <w:kinsoku/>
              <w:wordWrap/>
              <w:overflowPunct/>
              <w:topLinePunct w:val="0"/>
              <w:bidi w:val="0"/>
              <w:spacing w:line="320" w:lineRule="exact"/>
              <w:ind w:firstLine="211" w:firstLineChars="100"/>
              <w:rPr>
                <w:rFonts w:hint="eastAsia" w:asciiTheme="minorEastAsia" w:hAnsiTheme="minorEastAsia" w:eastAsiaTheme="minorEastAsia" w:cstheme="minorEastAsia"/>
                <w:b/>
                <w:snapToGrid/>
                <w:color w:val="auto"/>
                <w:kern w:val="0"/>
                <w:sz w:val="21"/>
                <w:szCs w:val="21"/>
                <w:highlight w:val="none"/>
                <w:lang w:val="en-US" w:eastAsia="zh-CN" w:bidi="ar-SA"/>
              </w:rPr>
            </w:pPr>
            <w:r>
              <w:rPr>
                <w:rFonts w:hint="eastAsia" w:asciiTheme="minorEastAsia" w:hAnsiTheme="minorEastAsia" w:eastAsiaTheme="minorEastAsia" w:cstheme="minorEastAsia"/>
                <w:b/>
                <w:snapToGrid/>
                <w:color w:val="auto"/>
                <w:kern w:val="0"/>
                <w:sz w:val="21"/>
                <w:szCs w:val="21"/>
                <w:highlight w:val="none"/>
                <w:lang w:val="en-US" w:eastAsia="zh-CN" w:bidi="ar-SA"/>
              </w:rPr>
              <w:t>供应商对根据修正原则修正后的报价不确认的。</w:t>
            </w:r>
          </w:p>
        </w:tc>
      </w:tr>
      <w:tr w14:paraId="72A732A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07" w:hRule="atLeast"/>
          <w:tblHeader/>
        </w:trPr>
        <w:tc>
          <w:tcPr>
            <w:tcW w:w="629" w:type="dxa"/>
            <w:tcBorders>
              <w:top w:val="single" w:color="auto" w:sz="4" w:space="0"/>
              <w:left w:val="single" w:color="auto" w:sz="4" w:space="0"/>
              <w:bottom w:val="single" w:color="auto" w:sz="4" w:space="0"/>
              <w:right w:val="single" w:color="auto" w:sz="4" w:space="0"/>
            </w:tcBorders>
            <w:noWrap w:val="0"/>
            <w:vAlign w:val="top"/>
          </w:tcPr>
          <w:p w14:paraId="4B02C11A">
            <w:pPr>
              <w:keepNext w:val="0"/>
              <w:keepLines w:val="0"/>
              <w:pageBreakBefore w:val="0"/>
              <w:kinsoku/>
              <w:wordWrap/>
              <w:overflowPunct/>
              <w:topLinePunct w:val="0"/>
              <w:bidi w:val="0"/>
              <w:snapToGrid w:val="0"/>
              <w:spacing w:line="320" w:lineRule="exact"/>
              <w:jc w:val="center"/>
              <w:rPr>
                <w:rFonts w:hint="eastAsia" w:asciiTheme="minorEastAsia" w:hAnsiTheme="minorEastAsia" w:eastAsiaTheme="minorEastAsia" w:cstheme="minorEastAsia"/>
                <w:color w:val="auto"/>
                <w:sz w:val="21"/>
                <w:szCs w:val="21"/>
                <w:highlight w:val="none"/>
              </w:rPr>
            </w:pPr>
          </w:p>
          <w:p w14:paraId="0E626DE2">
            <w:pPr>
              <w:keepNext w:val="0"/>
              <w:keepLines w:val="0"/>
              <w:pageBreakBefore w:val="0"/>
              <w:kinsoku/>
              <w:wordWrap/>
              <w:overflowPunct/>
              <w:topLinePunct w:val="0"/>
              <w:bidi w:val="0"/>
              <w:snapToGrid w:val="0"/>
              <w:spacing w:line="320" w:lineRule="exact"/>
              <w:jc w:val="center"/>
              <w:rPr>
                <w:rFonts w:hint="eastAsia" w:asciiTheme="minorEastAsia" w:hAnsiTheme="minorEastAsia" w:eastAsiaTheme="minorEastAsia" w:cstheme="minorEastAsia"/>
                <w:color w:val="auto"/>
                <w:sz w:val="21"/>
                <w:szCs w:val="21"/>
                <w:highlight w:val="none"/>
              </w:rPr>
            </w:pPr>
          </w:p>
          <w:p w14:paraId="0F31DAFC">
            <w:pPr>
              <w:keepNext w:val="0"/>
              <w:keepLines w:val="0"/>
              <w:pageBreakBefore w:val="0"/>
              <w:kinsoku/>
              <w:wordWrap/>
              <w:overflowPunct/>
              <w:topLinePunct w:val="0"/>
              <w:bidi w:val="0"/>
              <w:snapToGrid w:val="0"/>
              <w:spacing w:line="320" w:lineRule="exact"/>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w:t>
            </w:r>
            <w:r>
              <w:rPr>
                <w:rFonts w:hint="eastAsia" w:asciiTheme="minorEastAsia" w:hAnsiTheme="minorEastAsia" w:eastAsiaTheme="minorEastAsia" w:cstheme="minorEastAsia"/>
                <w:color w:val="auto"/>
                <w:sz w:val="21"/>
                <w:szCs w:val="21"/>
                <w:highlight w:val="none"/>
                <w:lang w:val="en-US" w:eastAsia="zh-CN"/>
              </w:rPr>
              <w:t>1</w:t>
            </w:r>
          </w:p>
        </w:tc>
        <w:tc>
          <w:tcPr>
            <w:tcW w:w="1843" w:type="dxa"/>
            <w:tcBorders>
              <w:top w:val="single" w:color="000000" w:sz="8" w:space="0"/>
              <w:left w:val="single" w:color="auto" w:sz="4" w:space="0"/>
              <w:bottom w:val="single" w:color="000000" w:sz="8" w:space="0"/>
              <w:right w:val="single" w:color="000000" w:sz="8" w:space="0"/>
            </w:tcBorders>
            <w:noWrap w:val="0"/>
            <w:vAlign w:val="center"/>
          </w:tcPr>
          <w:p w14:paraId="60347C6A">
            <w:pPr>
              <w:keepNext w:val="0"/>
              <w:keepLines w:val="0"/>
              <w:pageBreakBefore w:val="0"/>
              <w:kinsoku/>
              <w:wordWrap/>
              <w:overflowPunct/>
              <w:topLinePunct w:val="0"/>
              <w:bidi w:val="0"/>
              <w:snapToGrid w:val="0"/>
              <w:spacing w:line="320" w:lineRule="exact"/>
              <w:jc w:val="center"/>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中小企业信用融资</w:t>
            </w:r>
          </w:p>
        </w:tc>
        <w:tc>
          <w:tcPr>
            <w:tcW w:w="6644" w:type="dxa"/>
            <w:tcBorders>
              <w:top w:val="single" w:color="000000" w:sz="8" w:space="0"/>
              <w:left w:val="single" w:color="000000" w:sz="2" w:space="0"/>
              <w:bottom w:val="single" w:color="000000" w:sz="8" w:space="0"/>
              <w:right w:val="single" w:color="000000" w:sz="8" w:space="0"/>
            </w:tcBorders>
            <w:noWrap w:val="0"/>
            <w:vAlign w:val="center"/>
          </w:tcPr>
          <w:p w14:paraId="148C1066">
            <w:pPr>
              <w:keepNext w:val="0"/>
              <w:keepLines w:val="0"/>
              <w:pageBreakBefore w:val="0"/>
              <w:kinsoku/>
              <w:wordWrap/>
              <w:overflowPunct/>
              <w:topLinePunct w:val="0"/>
              <w:bidi w:val="0"/>
              <w:spacing w:line="320" w:lineRule="exact"/>
              <w:rPr>
                <w:rFonts w:hint="eastAsia" w:asciiTheme="minorEastAsia" w:hAnsiTheme="minorEastAsia" w:eastAsiaTheme="minorEastAsia" w:cstheme="minorEastAsia"/>
                <w:b/>
                <w:snapToGrid/>
                <w:color w:val="auto"/>
                <w:kern w:val="0"/>
                <w:sz w:val="21"/>
                <w:szCs w:val="21"/>
                <w:highlight w:val="none"/>
                <w:lang w:val="en-US" w:eastAsia="zh-CN" w:bidi="ar-SA"/>
              </w:rPr>
            </w:pPr>
            <w:r>
              <w:rPr>
                <w:rFonts w:hint="eastAsia" w:asciiTheme="minorEastAsia" w:hAnsiTheme="minorEastAsia" w:eastAsiaTheme="minorEastAsia" w:cstheme="minorEastAsia"/>
                <w:snapToGrid w:val="0"/>
                <w:color w:val="auto"/>
                <w:kern w:val="28"/>
                <w:sz w:val="21"/>
                <w:szCs w:val="21"/>
                <w:highlight w:val="none"/>
              </w:rPr>
              <w:t>供应商</w:t>
            </w:r>
            <w:r>
              <w:rPr>
                <w:rFonts w:hint="eastAsia" w:asciiTheme="minorEastAsia" w:hAnsiTheme="minorEastAsia" w:eastAsiaTheme="minorEastAsia" w:cstheme="minorEastAsia"/>
                <w:color w:val="auto"/>
                <w:sz w:val="21"/>
                <w:szCs w:val="21"/>
                <w:highlight w:val="none"/>
                <w:lang w:eastAsia="zh-CN"/>
              </w:rPr>
              <w:t>成交</w:t>
            </w:r>
            <w:r>
              <w:rPr>
                <w:rFonts w:hint="eastAsia" w:asciiTheme="minorEastAsia" w:hAnsiTheme="minorEastAsia" w:eastAsiaTheme="minorEastAsia" w:cstheme="minorEastAsia"/>
                <w:snapToGrid w:val="0"/>
                <w:color w:val="auto"/>
                <w:kern w:val="28"/>
                <w:sz w:val="21"/>
                <w:szCs w:val="21"/>
                <w:highlight w:val="none"/>
              </w:rPr>
              <w:t>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29751F5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56" w:hRule="atLeast"/>
          <w:tblHeader/>
        </w:trPr>
        <w:tc>
          <w:tcPr>
            <w:tcW w:w="629" w:type="dxa"/>
            <w:tcBorders>
              <w:top w:val="single" w:color="auto" w:sz="4" w:space="0"/>
              <w:left w:val="single" w:color="auto" w:sz="4" w:space="0"/>
              <w:bottom w:val="single" w:color="auto" w:sz="4" w:space="0"/>
              <w:right w:val="single" w:color="auto" w:sz="4" w:space="0"/>
            </w:tcBorders>
            <w:noWrap w:val="0"/>
            <w:vAlign w:val="center"/>
          </w:tcPr>
          <w:p w14:paraId="6C53513A">
            <w:pPr>
              <w:keepNext w:val="0"/>
              <w:keepLines w:val="0"/>
              <w:pageBreakBefore w:val="0"/>
              <w:kinsoku/>
              <w:wordWrap/>
              <w:overflowPunct/>
              <w:topLinePunct w:val="0"/>
              <w:bidi w:val="0"/>
              <w:snapToGrid w:val="0"/>
              <w:spacing w:line="320" w:lineRule="exact"/>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12</w:t>
            </w:r>
          </w:p>
        </w:tc>
        <w:tc>
          <w:tcPr>
            <w:tcW w:w="1843" w:type="dxa"/>
            <w:tcBorders>
              <w:top w:val="single" w:color="000000" w:sz="8" w:space="0"/>
              <w:left w:val="single" w:color="auto" w:sz="4" w:space="0"/>
              <w:bottom w:val="single" w:color="000000" w:sz="8" w:space="0"/>
              <w:right w:val="single" w:color="000000" w:sz="8" w:space="0"/>
            </w:tcBorders>
            <w:noWrap w:val="0"/>
            <w:vAlign w:val="center"/>
          </w:tcPr>
          <w:p w14:paraId="5F386F70">
            <w:pPr>
              <w:pStyle w:val="32"/>
              <w:keepNext w:val="0"/>
              <w:keepLines w:val="0"/>
              <w:pageBreakBefore w:val="0"/>
              <w:kinsoku/>
              <w:wordWrap/>
              <w:overflowPunct/>
              <w:topLinePunct w:val="0"/>
              <w:bidi w:val="0"/>
              <w:spacing w:line="320" w:lineRule="exact"/>
              <w:jc w:val="center"/>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kern w:val="28"/>
                <w:sz w:val="21"/>
                <w:szCs w:val="21"/>
                <w:highlight w:val="none"/>
              </w:rPr>
              <w:t>投标保证金</w:t>
            </w:r>
          </w:p>
        </w:tc>
        <w:tc>
          <w:tcPr>
            <w:tcW w:w="6644" w:type="dxa"/>
            <w:tcBorders>
              <w:top w:val="single" w:color="000000" w:sz="8" w:space="0"/>
              <w:left w:val="single" w:color="000000" w:sz="2" w:space="0"/>
              <w:bottom w:val="single" w:color="000000" w:sz="8" w:space="0"/>
              <w:right w:val="single" w:color="000000" w:sz="8" w:space="0"/>
            </w:tcBorders>
            <w:noWrap w:val="0"/>
            <w:vAlign w:val="center"/>
          </w:tcPr>
          <w:p w14:paraId="0628BC3F">
            <w:pPr>
              <w:pStyle w:val="5"/>
              <w:keepNext w:val="0"/>
              <w:keepLines w:val="0"/>
              <w:pageBreakBefore w:val="0"/>
              <w:kinsoku/>
              <w:wordWrap/>
              <w:overflowPunct/>
              <w:topLinePunct w:val="0"/>
              <w:bidi w:val="0"/>
              <w:spacing w:line="320" w:lineRule="exact"/>
              <w:ind w:left="0" w:leftChars="0" w:firstLine="0" w:firstLineChars="0"/>
              <w:jc w:val="left"/>
              <w:rPr>
                <w:rFonts w:hint="eastAsia" w:asciiTheme="minorEastAsia" w:hAnsiTheme="minorEastAsia" w:eastAsiaTheme="minorEastAsia" w:cstheme="minorEastAsia"/>
                <w:b/>
                <w:color w:val="auto"/>
                <w:kern w:val="0"/>
                <w:sz w:val="21"/>
                <w:szCs w:val="21"/>
                <w:highlight w:val="none"/>
              </w:rPr>
            </w:pPr>
            <w:r>
              <w:rPr>
                <w:rFonts w:hint="eastAsia" w:asciiTheme="minorEastAsia" w:hAnsiTheme="minorEastAsia" w:eastAsiaTheme="minorEastAsia" w:cstheme="minorEastAsia"/>
                <w:color w:val="auto"/>
                <w:sz w:val="21"/>
                <w:szCs w:val="21"/>
                <w:highlight w:val="none"/>
              </w:rPr>
              <w:t>本项目</w:t>
            </w:r>
            <w:r>
              <w:rPr>
                <w:rFonts w:hint="eastAsia" w:asciiTheme="minorEastAsia" w:hAnsiTheme="minorEastAsia" w:eastAsiaTheme="minorEastAsia" w:cstheme="minorEastAsia"/>
                <w:color w:val="auto"/>
                <w:sz w:val="21"/>
                <w:szCs w:val="21"/>
                <w:highlight w:val="none"/>
                <w:lang w:eastAsia="zh-CN"/>
              </w:rPr>
              <w:t>无</w:t>
            </w:r>
            <w:r>
              <w:rPr>
                <w:rFonts w:hint="eastAsia" w:asciiTheme="minorEastAsia" w:hAnsiTheme="minorEastAsia" w:eastAsiaTheme="minorEastAsia" w:cstheme="minorEastAsia"/>
                <w:color w:val="auto"/>
                <w:sz w:val="21"/>
                <w:szCs w:val="21"/>
                <w:highlight w:val="none"/>
              </w:rPr>
              <w:t>需缴纳投标保证金。</w:t>
            </w:r>
          </w:p>
        </w:tc>
      </w:tr>
      <w:tr w14:paraId="64697A2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97" w:hRule="atLeast"/>
          <w:tblHeader/>
        </w:trPr>
        <w:tc>
          <w:tcPr>
            <w:tcW w:w="629" w:type="dxa"/>
            <w:tcBorders>
              <w:top w:val="single" w:color="auto" w:sz="4" w:space="0"/>
              <w:left w:val="single" w:color="auto" w:sz="4" w:space="0"/>
              <w:bottom w:val="single" w:color="auto" w:sz="4" w:space="0"/>
              <w:right w:val="single" w:color="auto" w:sz="4" w:space="0"/>
            </w:tcBorders>
            <w:noWrap w:val="0"/>
            <w:vAlign w:val="center"/>
          </w:tcPr>
          <w:p w14:paraId="09319592">
            <w:pPr>
              <w:keepNext w:val="0"/>
              <w:keepLines w:val="0"/>
              <w:pageBreakBefore w:val="0"/>
              <w:kinsoku/>
              <w:wordWrap/>
              <w:overflowPunct/>
              <w:topLinePunct w:val="0"/>
              <w:bidi w:val="0"/>
              <w:snapToGrid w:val="0"/>
              <w:spacing w:line="320" w:lineRule="exact"/>
              <w:jc w:val="center"/>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val="en-US" w:eastAsia="zh-CN"/>
              </w:rPr>
              <w:t>13</w:t>
            </w:r>
          </w:p>
        </w:tc>
        <w:tc>
          <w:tcPr>
            <w:tcW w:w="1843" w:type="dxa"/>
            <w:tcBorders>
              <w:top w:val="single" w:color="000000" w:sz="8" w:space="0"/>
              <w:left w:val="single" w:color="auto" w:sz="4" w:space="0"/>
              <w:bottom w:val="single" w:color="000000" w:sz="8" w:space="0"/>
              <w:right w:val="single" w:color="000000" w:sz="8" w:space="0"/>
            </w:tcBorders>
            <w:noWrap w:val="0"/>
            <w:vAlign w:val="center"/>
          </w:tcPr>
          <w:p w14:paraId="6F2D6FD2">
            <w:pPr>
              <w:keepNext w:val="0"/>
              <w:keepLines w:val="0"/>
              <w:pageBreakBefore w:val="0"/>
              <w:kinsoku/>
              <w:wordWrap/>
              <w:overflowPunct/>
              <w:topLinePunct w:val="0"/>
              <w:bidi w:val="0"/>
              <w:snapToGrid w:val="0"/>
              <w:spacing w:line="320" w:lineRule="exact"/>
              <w:jc w:val="center"/>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备份投标文件送达</w:t>
            </w:r>
            <w:r>
              <w:rPr>
                <w:rFonts w:hint="eastAsia" w:asciiTheme="minorEastAsia" w:hAnsiTheme="minorEastAsia" w:eastAsiaTheme="minorEastAsia" w:cstheme="minorEastAsia"/>
                <w:b/>
                <w:color w:val="auto"/>
                <w:sz w:val="21"/>
                <w:szCs w:val="21"/>
                <w:highlight w:val="none"/>
                <w:lang w:val="en-US" w:eastAsia="zh-CN"/>
              </w:rPr>
              <w:t>时间、</w:t>
            </w:r>
            <w:r>
              <w:rPr>
                <w:rFonts w:hint="eastAsia" w:asciiTheme="minorEastAsia" w:hAnsiTheme="minorEastAsia" w:eastAsiaTheme="minorEastAsia" w:cstheme="minorEastAsia"/>
                <w:b/>
                <w:color w:val="auto"/>
                <w:sz w:val="21"/>
                <w:szCs w:val="21"/>
                <w:highlight w:val="none"/>
              </w:rPr>
              <w:t>地点和签收人员</w:t>
            </w:r>
          </w:p>
        </w:tc>
        <w:tc>
          <w:tcPr>
            <w:tcW w:w="6644" w:type="dxa"/>
            <w:tcBorders>
              <w:top w:val="single" w:color="000000" w:sz="8" w:space="0"/>
              <w:left w:val="single" w:color="000000" w:sz="2" w:space="0"/>
              <w:bottom w:val="single" w:color="000000" w:sz="8" w:space="0"/>
              <w:right w:val="single" w:color="000000" w:sz="8" w:space="0"/>
            </w:tcBorders>
            <w:noWrap w:val="0"/>
            <w:vAlign w:val="center"/>
          </w:tcPr>
          <w:p w14:paraId="2827BB7A">
            <w:pPr>
              <w:keepNext w:val="0"/>
              <w:keepLines w:val="0"/>
              <w:pageBreakBefore w:val="0"/>
              <w:kinsoku/>
              <w:wordWrap/>
              <w:overflowPunct/>
              <w:topLinePunct w:val="0"/>
              <w:bidi w:val="0"/>
              <w:spacing w:line="320" w:lineRule="exact"/>
              <w:rPr>
                <w:rFonts w:hint="eastAsia" w:asciiTheme="minorEastAsia" w:hAnsiTheme="minorEastAsia" w:eastAsiaTheme="minorEastAsia" w:cstheme="minorEastAsia"/>
                <w:snapToGrid w:val="0"/>
                <w:color w:val="auto"/>
                <w:kern w:val="28"/>
                <w:sz w:val="21"/>
                <w:szCs w:val="21"/>
                <w:highlight w:val="none"/>
                <w:lang w:val="en-US" w:eastAsia="zh-CN"/>
              </w:rPr>
            </w:pPr>
            <w:r>
              <w:rPr>
                <w:rFonts w:hint="eastAsia" w:asciiTheme="minorEastAsia" w:hAnsiTheme="minorEastAsia" w:eastAsiaTheme="minorEastAsia" w:cstheme="minorEastAsia"/>
                <w:snapToGrid w:val="0"/>
                <w:color w:val="auto"/>
                <w:kern w:val="28"/>
                <w:sz w:val="21"/>
                <w:szCs w:val="21"/>
                <w:highlight w:val="none"/>
                <w:lang w:val="en-US" w:eastAsia="zh-CN"/>
              </w:rPr>
              <w:t>（1）直接提交备份投标文件的：</w:t>
            </w:r>
          </w:p>
          <w:p w14:paraId="62A5598D">
            <w:pPr>
              <w:keepNext w:val="0"/>
              <w:keepLines w:val="0"/>
              <w:pageBreakBefore w:val="0"/>
              <w:kinsoku/>
              <w:wordWrap/>
              <w:overflowPunct/>
              <w:topLinePunct w:val="0"/>
              <w:bidi w:val="0"/>
              <w:spacing w:line="320" w:lineRule="exact"/>
              <w:rPr>
                <w:rFonts w:hint="eastAsia" w:asciiTheme="minorEastAsia" w:hAnsiTheme="minorEastAsia" w:eastAsiaTheme="minorEastAsia" w:cstheme="minorEastAsia"/>
                <w:snapToGrid w:val="0"/>
                <w:color w:val="auto"/>
                <w:kern w:val="28"/>
                <w:sz w:val="21"/>
                <w:szCs w:val="21"/>
                <w:highlight w:val="none"/>
                <w:lang w:val="en-US" w:eastAsia="zh-CN"/>
              </w:rPr>
            </w:pPr>
            <w:r>
              <w:rPr>
                <w:rFonts w:hint="eastAsia" w:asciiTheme="minorEastAsia" w:hAnsiTheme="minorEastAsia" w:eastAsiaTheme="minorEastAsia" w:cstheme="minorEastAsia"/>
                <w:snapToGrid w:val="0"/>
                <w:color w:val="auto"/>
                <w:kern w:val="28"/>
                <w:sz w:val="21"/>
                <w:szCs w:val="21"/>
                <w:highlight w:val="none"/>
                <w:lang w:val="en-US" w:eastAsia="zh-CN"/>
              </w:rPr>
              <w:t>备份投标文件送达地点：</w:t>
            </w:r>
            <w:r>
              <w:rPr>
                <w:rFonts w:hint="eastAsia" w:asciiTheme="minorEastAsia" w:hAnsiTheme="minorEastAsia" w:eastAsiaTheme="minorEastAsia" w:cstheme="minorEastAsia"/>
                <w:snapToGrid w:val="0"/>
                <w:color w:val="auto"/>
                <w:kern w:val="28"/>
                <w:sz w:val="21"/>
                <w:szCs w:val="21"/>
                <w:highlight w:val="none"/>
                <w:u w:val="single"/>
                <w:lang w:val="en-US" w:eastAsia="zh-CN"/>
              </w:rPr>
              <w:t>宁海县公共资源交易中心五楼</w:t>
            </w:r>
            <w:r>
              <w:rPr>
                <w:rFonts w:hint="eastAsia" w:asciiTheme="minorEastAsia" w:hAnsiTheme="minorEastAsia" w:eastAsiaTheme="minorEastAsia" w:cstheme="minorEastAsia"/>
                <w:snapToGrid w:val="0"/>
                <w:color w:val="auto"/>
                <w:kern w:val="28"/>
                <w:sz w:val="21"/>
                <w:szCs w:val="21"/>
                <w:highlight w:val="none"/>
                <w:lang w:val="en-US" w:eastAsia="zh-CN"/>
              </w:rPr>
              <w:t>【具体受理场所详见当日电子指示屏】。</w:t>
            </w:r>
          </w:p>
          <w:p w14:paraId="3CACD036">
            <w:pPr>
              <w:keepNext w:val="0"/>
              <w:keepLines w:val="0"/>
              <w:pageBreakBefore w:val="0"/>
              <w:kinsoku/>
              <w:wordWrap/>
              <w:overflowPunct/>
              <w:topLinePunct w:val="0"/>
              <w:bidi w:val="0"/>
              <w:spacing w:line="320" w:lineRule="exact"/>
              <w:rPr>
                <w:rFonts w:hint="eastAsia" w:asciiTheme="minorEastAsia" w:hAnsiTheme="minorEastAsia" w:eastAsiaTheme="minorEastAsia" w:cstheme="minorEastAsia"/>
                <w:snapToGrid w:val="0"/>
                <w:color w:val="auto"/>
                <w:kern w:val="28"/>
                <w:sz w:val="21"/>
                <w:szCs w:val="21"/>
                <w:highlight w:val="none"/>
                <w:lang w:val="en-US" w:eastAsia="zh-CN"/>
              </w:rPr>
            </w:pPr>
            <w:r>
              <w:rPr>
                <w:rFonts w:hint="eastAsia" w:asciiTheme="minorEastAsia" w:hAnsiTheme="minorEastAsia" w:eastAsiaTheme="minorEastAsia" w:cstheme="minorEastAsia"/>
                <w:snapToGrid w:val="0"/>
                <w:color w:val="auto"/>
                <w:kern w:val="28"/>
                <w:sz w:val="21"/>
                <w:szCs w:val="21"/>
                <w:highlight w:val="none"/>
                <w:lang w:val="en-US" w:eastAsia="zh-CN"/>
              </w:rPr>
              <w:t>（2）以邮政快递方式递交备份投标文件的：</w:t>
            </w:r>
          </w:p>
          <w:p w14:paraId="1693A328">
            <w:pPr>
              <w:keepNext w:val="0"/>
              <w:keepLines w:val="0"/>
              <w:pageBreakBefore w:val="0"/>
              <w:kinsoku/>
              <w:wordWrap/>
              <w:overflowPunct/>
              <w:topLinePunct w:val="0"/>
              <w:bidi w:val="0"/>
              <w:spacing w:line="320" w:lineRule="exact"/>
              <w:rPr>
                <w:rFonts w:hint="eastAsia" w:asciiTheme="minorEastAsia" w:hAnsiTheme="minorEastAsia" w:eastAsiaTheme="minorEastAsia" w:cstheme="minorEastAsia"/>
                <w:snapToGrid w:val="0"/>
                <w:color w:val="auto"/>
                <w:kern w:val="28"/>
                <w:sz w:val="21"/>
                <w:szCs w:val="21"/>
                <w:highlight w:val="none"/>
                <w:u w:val="single"/>
                <w:lang w:val="en-US" w:eastAsia="zh-CN"/>
              </w:rPr>
            </w:pPr>
            <w:r>
              <w:rPr>
                <w:rFonts w:hint="eastAsia" w:asciiTheme="minorEastAsia" w:hAnsiTheme="minorEastAsia" w:eastAsiaTheme="minorEastAsia" w:cstheme="minorEastAsia"/>
                <w:snapToGrid w:val="0"/>
                <w:color w:val="auto"/>
                <w:kern w:val="28"/>
                <w:sz w:val="21"/>
                <w:szCs w:val="21"/>
                <w:highlight w:val="none"/>
                <w:lang w:val="en-US" w:eastAsia="zh-CN"/>
              </w:rPr>
              <w:t>备份投标文件送达截止时间：</w:t>
            </w:r>
            <w:r>
              <w:rPr>
                <w:rFonts w:hint="eastAsia" w:asciiTheme="minorEastAsia" w:hAnsiTheme="minorEastAsia" w:eastAsiaTheme="minorEastAsia" w:cstheme="minorEastAsia"/>
                <w:snapToGrid w:val="0"/>
                <w:color w:val="auto"/>
                <w:kern w:val="28"/>
                <w:sz w:val="21"/>
                <w:szCs w:val="21"/>
                <w:highlight w:val="none"/>
                <w:u w:val="single"/>
                <w:lang w:val="en-US" w:eastAsia="zh-CN"/>
              </w:rPr>
              <w:t>开标时间前一个工作日的16:00止。</w:t>
            </w:r>
            <w:r>
              <w:rPr>
                <w:rFonts w:hint="eastAsia" w:asciiTheme="minorEastAsia" w:hAnsiTheme="minorEastAsia" w:eastAsiaTheme="minorEastAsia" w:cstheme="minorEastAsia"/>
                <w:snapToGrid w:val="0"/>
                <w:color w:val="auto"/>
                <w:kern w:val="28"/>
                <w:sz w:val="21"/>
                <w:szCs w:val="21"/>
                <w:highlight w:val="none"/>
                <w:lang w:val="en-US" w:eastAsia="zh-CN"/>
              </w:rPr>
              <w:t>备份投标文件送达地点</w:t>
            </w:r>
            <w:r>
              <w:rPr>
                <w:rFonts w:hint="eastAsia" w:asciiTheme="minorEastAsia" w:hAnsiTheme="minorEastAsia" w:eastAsiaTheme="minorEastAsia" w:cstheme="minorEastAsia"/>
                <w:snapToGrid w:val="0"/>
                <w:color w:val="auto"/>
                <w:kern w:val="28"/>
                <w:sz w:val="21"/>
                <w:szCs w:val="21"/>
                <w:highlight w:val="none"/>
                <w:u w:val="single"/>
                <w:lang w:val="en-US" w:eastAsia="zh-CN"/>
              </w:rPr>
              <w:t xml:space="preserve">宁海县桃源街道明湖银座2幢1号2102室 </w:t>
            </w:r>
            <w:r>
              <w:rPr>
                <w:rFonts w:hint="eastAsia" w:asciiTheme="minorEastAsia" w:hAnsiTheme="minorEastAsia" w:eastAsiaTheme="minorEastAsia" w:cstheme="minorEastAsia"/>
                <w:snapToGrid w:val="0"/>
                <w:color w:val="auto"/>
                <w:kern w:val="28"/>
                <w:sz w:val="21"/>
                <w:szCs w:val="21"/>
                <w:highlight w:val="none"/>
                <w:lang w:val="en-US" w:eastAsia="zh-CN"/>
              </w:rPr>
              <w:t>；备份投标文件签收人员联系电话：</w:t>
            </w:r>
            <w:r>
              <w:rPr>
                <w:rFonts w:hint="eastAsia" w:asciiTheme="minorEastAsia" w:hAnsiTheme="minorEastAsia" w:eastAsiaTheme="minorEastAsia" w:cstheme="minorEastAsia"/>
                <w:snapToGrid w:val="0"/>
                <w:color w:val="auto"/>
                <w:kern w:val="28"/>
                <w:sz w:val="21"/>
                <w:szCs w:val="21"/>
                <w:highlight w:val="none"/>
                <w:u w:val="single"/>
                <w:lang w:val="en-US" w:eastAsia="zh-CN"/>
              </w:rPr>
              <w:t xml:space="preserve"> 0574-83555038 。</w:t>
            </w:r>
          </w:p>
          <w:p w14:paraId="4BC7CE89">
            <w:pPr>
              <w:keepNext w:val="0"/>
              <w:keepLines w:val="0"/>
              <w:pageBreakBefore w:val="0"/>
              <w:kinsoku/>
              <w:wordWrap/>
              <w:overflowPunct/>
              <w:topLinePunct w:val="0"/>
              <w:bidi w:val="0"/>
              <w:spacing w:line="320" w:lineRule="exac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snapToGrid w:val="0"/>
                <w:color w:val="auto"/>
                <w:kern w:val="28"/>
                <w:sz w:val="21"/>
                <w:szCs w:val="21"/>
                <w:highlight w:val="none"/>
                <w:lang w:val="en-US" w:eastAsia="zh-CN"/>
              </w:rPr>
              <w:t>采购人、采购代理机构不强制或变相强制投标人提交备份投标文件。</w:t>
            </w:r>
          </w:p>
        </w:tc>
      </w:tr>
      <w:tr w14:paraId="2CA0E86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82" w:hRule="atLeast"/>
          <w:tblHeader/>
        </w:trPr>
        <w:tc>
          <w:tcPr>
            <w:tcW w:w="629" w:type="dxa"/>
            <w:tcBorders>
              <w:top w:val="single" w:color="auto" w:sz="4" w:space="0"/>
              <w:left w:val="single" w:color="auto" w:sz="4" w:space="0"/>
              <w:bottom w:val="single" w:color="auto" w:sz="4" w:space="0"/>
              <w:right w:val="single" w:color="auto" w:sz="4" w:space="0"/>
            </w:tcBorders>
            <w:noWrap w:val="0"/>
            <w:vAlign w:val="center"/>
          </w:tcPr>
          <w:p w14:paraId="4227634A">
            <w:pPr>
              <w:keepNext w:val="0"/>
              <w:keepLines w:val="0"/>
              <w:pageBreakBefore w:val="0"/>
              <w:kinsoku/>
              <w:wordWrap/>
              <w:overflowPunct/>
              <w:topLinePunct w:val="0"/>
              <w:bidi w:val="0"/>
              <w:snapToGrid w:val="0"/>
              <w:spacing w:line="320" w:lineRule="exact"/>
              <w:jc w:val="center"/>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val="en-US" w:eastAsia="zh-CN"/>
              </w:rPr>
              <w:t>14</w:t>
            </w:r>
          </w:p>
        </w:tc>
        <w:tc>
          <w:tcPr>
            <w:tcW w:w="1843" w:type="dxa"/>
            <w:tcBorders>
              <w:top w:val="single" w:color="000000" w:sz="8" w:space="0"/>
              <w:left w:val="single" w:color="auto" w:sz="4" w:space="0"/>
              <w:bottom w:val="single" w:color="000000" w:sz="8" w:space="0"/>
              <w:right w:val="single" w:color="000000" w:sz="8" w:space="0"/>
            </w:tcBorders>
            <w:noWrap w:val="0"/>
            <w:vAlign w:val="center"/>
          </w:tcPr>
          <w:p w14:paraId="05AEDC6E">
            <w:pPr>
              <w:keepNext w:val="0"/>
              <w:keepLines w:val="0"/>
              <w:pageBreakBefore w:val="0"/>
              <w:kinsoku/>
              <w:wordWrap/>
              <w:overflowPunct/>
              <w:topLinePunct w:val="0"/>
              <w:bidi w:val="0"/>
              <w:snapToGrid w:val="0"/>
              <w:spacing w:line="320" w:lineRule="exact"/>
              <w:jc w:val="center"/>
              <w:rPr>
                <w:rFonts w:hint="eastAsia" w:asciiTheme="minorEastAsia" w:hAnsiTheme="minorEastAsia" w:eastAsiaTheme="minorEastAsia" w:cstheme="minorEastAsia"/>
                <w:b/>
                <w:color w:val="auto"/>
                <w:sz w:val="21"/>
                <w:szCs w:val="21"/>
                <w:highlight w:val="none"/>
              </w:rPr>
            </w:pPr>
            <w:r>
              <w:rPr>
                <w:rFonts w:hint="eastAsia" w:ascii="宋体" w:hAnsi="宋体" w:cs="宋体"/>
                <w:b/>
                <w:sz w:val="21"/>
                <w:szCs w:val="21"/>
              </w:rPr>
              <w:t>其它说明</w:t>
            </w:r>
          </w:p>
        </w:tc>
        <w:tc>
          <w:tcPr>
            <w:tcW w:w="6644" w:type="dxa"/>
            <w:tcBorders>
              <w:top w:val="single" w:color="000000" w:sz="8" w:space="0"/>
              <w:left w:val="single" w:color="000000" w:sz="2" w:space="0"/>
              <w:bottom w:val="single" w:color="000000" w:sz="8" w:space="0"/>
              <w:right w:val="single" w:color="000000" w:sz="8" w:space="0"/>
            </w:tcBorders>
            <w:noWrap w:val="0"/>
            <w:vAlign w:val="center"/>
          </w:tcPr>
          <w:p w14:paraId="3750DDE6">
            <w:pPr>
              <w:keepNext w:val="0"/>
              <w:keepLines w:val="0"/>
              <w:pageBreakBefore w:val="0"/>
              <w:kinsoku/>
              <w:wordWrap/>
              <w:overflowPunct/>
              <w:topLinePunct w:val="0"/>
              <w:bidi w:val="0"/>
              <w:spacing w:line="320" w:lineRule="exact"/>
              <w:rPr>
                <w:rFonts w:hint="eastAsia" w:asciiTheme="minorEastAsia" w:hAnsiTheme="minorEastAsia" w:eastAsiaTheme="minorEastAsia" w:cstheme="minorEastAsia"/>
                <w:color w:val="auto"/>
                <w:kern w:val="0"/>
                <w:sz w:val="21"/>
                <w:szCs w:val="21"/>
                <w:highlight w:val="none"/>
              </w:rPr>
            </w:pPr>
            <w:r>
              <w:rPr>
                <w:rFonts w:hint="eastAsia" w:ascii="宋体" w:hAnsi="宋体" w:cs="宋体"/>
                <w:snapToGrid w:val="0"/>
                <w:kern w:val="28"/>
                <w:sz w:val="21"/>
                <w:szCs w:val="21"/>
              </w:rPr>
              <w:t>联合体或者以分包方式履行合同的，联合体各方（供应商与分包供应商）分别提供与联合体协议（分包意向协议）中规定的分工内容相应的业绩证明材料，</w:t>
            </w:r>
            <w:r>
              <w:rPr>
                <w:rFonts w:hint="eastAsia" w:ascii="宋体" w:hAnsi="宋体" w:cs="宋体"/>
                <w:snapToGrid w:val="0"/>
                <w:kern w:val="28"/>
                <w:sz w:val="21"/>
                <w:szCs w:val="21"/>
                <w:highlight w:val="none"/>
              </w:rPr>
              <w:t>业绩数量以提供材料较少的一方为准</w:t>
            </w:r>
            <w:r>
              <w:rPr>
                <w:rFonts w:hint="eastAsia" w:ascii="宋体" w:hAnsi="宋体" w:cs="宋体"/>
                <w:b/>
                <w:kern w:val="0"/>
                <w:sz w:val="21"/>
                <w:szCs w:val="21"/>
                <w:highlight w:val="none"/>
              </w:rPr>
              <w:t>。</w:t>
            </w:r>
          </w:p>
        </w:tc>
      </w:tr>
      <w:tr w14:paraId="4424AD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182" w:hRule="atLeast"/>
          <w:tblHeader/>
        </w:trPr>
        <w:tc>
          <w:tcPr>
            <w:tcW w:w="629" w:type="dxa"/>
            <w:tcBorders>
              <w:top w:val="single" w:color="auto" w:sz="4" w:space="0"/>
              <w:left w:val="single" w:color="000000" w:sz="8" w:space="0"/>
              <w:bottom w:val="single" w:color="auto" w:sz="4" w:space="0"/>
              <w:right w:val="single" w:color="000000" w:sz="2" w:space="0"/>
            </w:tcBorders>
            <w:noWrap w:val="0"/>
            <w:vAlign w:val="center"/>
          </w:tcPr>
          <w:p w14:paraId="11C49767">
            <w:pPr>
              <w:keepNext w:val="0"/>
              <w:keepLines w:val="0"/>
              <w:pageBreakBefore w:val="0"/>
              <w:kinsoku/>
              <w:wordWrap/>
              <w:overflowPunct/>
              <w:topLinePunct w:val="0"/>
              <w:bidi w:val="0"/>
              <w:snapToGrid w:val="0"/>
              <w:spacing w:line="320" w:lineRule="exact"/>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15</w:t>
            </w:r>
          </w:p>
        </w:tc>
        <w:tc>
          <w:tcPr>
            <w:tcW w:w="1843" w:type="dxa"/>
            <w:tcBorders>
              <w:top w:val="single" w:color="000000" w:sz="8" w:space="0"/>
              <w:left w:val="single" w:color="000000" w:sz="2" w:space="0"/>
              <w:bottom w:val="single" w:color="000000" w:sz="8" w:space="0"/>
              <w:right w:val="single" w:color="000000" w:sz="8" w:space="0"/>
            </w:tcBorders>
            <w:noWrap w:val="0"/>
            <w:vAlign w:val="center"/>
          </w:tcPr>
          <w:p w14:paraId="34AD6B31">
            <w:pPr>
              <w:keepNext w:val="0"/>
              <w:keepLines w:val="0"/>
              <w:pageBreakBefore w:val="0"/>
              <w:kinsoku/>
              <w:wordWrap/>
              <w:overflowPunct/>
              <w:topLinePunct w:val="0"/>
              <w:bidi w:val="0"/>
              <w:snapToGrid w:val="0"/>
              <w:spacing w:line="320" w:lineRule="exact"/>
              <w:jc w:val="center"/>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中标服务费</w:t>
            </w:r>
          </w:p>
        </w:tc>
        <w:tc>
          <w:tcPr>
            <w:tcW w:w="6644" w:type="dxa"/>
            <w:tcBorders>
              <w:top w:val="single" w:color="000000" w:sz="8" w:space="0"/>
              <w:left w:val="single" w:color="000000" w:sz="2" w:space="0"/>
              <w:bottom w:val="single" w:color="000000" w:sz="8" w:space="0"/>
              <w:right w:val="single" w:color="000000" w:sz="8" w:space="0"/>
            </w:tcBorders>
            <w:noWrap w:val="0"/>
            <w:vAlign w:val="center"/>
          </w:tcPr>
          <w:p w14:paraId="35D2E356">
            <w:pPr>
              <w:keepNext w:val="0"/>
              <w:keepLines w:val="0"/>
              <w:pageBreakBefore w:val="0"/>
              <w:kinsoku/>
              <w:wordWrap/>
              <w:overflowPunct/>
              <w:topLinePunct w:val="0"/>
              <w:bidi w:val="0"/>
              <w:spacing w:line="320" w:lineRule="exact"/>
              <w:rPr>
                <w:rFonts w:hint="eastAsia" w:asciiTheme="minorEastAsia" w:hAnsiTheme="minorEastAsia" w:eastAsiaTheme="minorEastAsia" w:cstheme="minorEastAsia"/>
                <w:snapToGrid w:val="0"/>
                <w:color w:val="auto"/>
                <w:kern w:val="28"/>
                <w:sz w:val="21"/>
                <w:szCs w:val="21"/>
                <w:highlight w:val="none"/>
                <w:lang w:val="en-US" w:eastAsia="zh-CN"/>
              </w:rPr>
            </w:pPr>
            <w:r>
              <w:rPr>
                <w:rFonts w:hint="eastAsia" w:asciiTheme="minorEastAsia" w:hAnsiTheme="minorEastAsia" w:eastAsiaTheme="minorEastAsia" w:cstheme="minorEastAsia"/>
                <w:snapToGrid w:val="0"/>
                <w:color w:val="auto"/>
                <w:kern w:val="28"/>
                <w:sz w:val="21"/>
                <w:szCs w:val="21"/>
                <w:highlight w:val="none"/>
                <w:lang w:val="en-US" w:eastAsia="zh-CN"/>
              </w:rPr>
              <w:t>采购代理按下表中服务招标标准（按差额定率累进法计算），根据中标金额计算不足10000元，按照10000元向成交人收取招标代理服务费。</w:t>
            </w:r>
          </w:p>
          <w:tbl>
            <w:tblPr>
              <w:tblStyle w:val="60"/>
              <w:tblW w:w="58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2639"/>
              <w:gridCol w:w="1061"/>
              <w:gridCol w:w="960"/>
              <w:gridCol w:w="1169"/>
            </w:tblGrid>
            <w:tr w14:paraId="52950E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29" w:hRule="atLeast"/>
                <w:jc w:val="center"/>
              </w:trPr>
              <w:tc>
                <w:tcPr>
                  <w:tcW w:w="2639" w:type="dxa"/>
                  <w:tcBorders>
                    <w:tl2br w:val="single" w:color="auto" w:sz="4" w:space="0"/>
                  </w:tcBorders>
                  <w:noWrap w:val="0"/>
                  <w:tcMar>
                    <w:top w:w="30" w:type="dxa"/>
                    <w:left w:w="150" w:type="dxa"/>
                    <w:bottom w:w="30" w:type="dxa"/>
                    <w:right w:w="150" w:type="dxa"/>
                  </w:tcMar>
                  <w:vAlign w:val="center"/>
                  <mc:AlternateContent>
                    <mc:Choice Requires="wpsCustomData">
                      <wpsCustomData:diagonals>
                        <wpsCustomData:diagonal from="30000" to="15200">
                          <wpsCustomData:border w:val="single" w:color="auto" w:sz="4" w:space="0"/>
                        </wpsCustomData:diagonal>
                        <wpsCustomData:diagonal from="10000" to="30000">
                          <wpsCustomData:border w:val="single" w:color="auto" w:sz="4" w:space="0"/>
                        </wpsCustomData:diagonal>
                      </wpsCustomData:diagonals>
                    </mc:Choice>
                  </mc:AlternateContent>
                </w:tcPr>
                <w:p w14:paraId="0239E481">
                  <w:pPr>
                    <w:keepNext w:val="0"/>
                    <w:keepLines w:val="0"/>
                    <w:pageBreakBefore w:val="0"/>
                    <w:kinsoku/>
                    <w:wordWrap/>
                    <w:overflowPunct/>
                    <w:topLinePunct w:val="0"/>
                    <w:bidi w:val="0"/>
                    <w:spacing w:line="320" w:lineRule="exact"/>
                    <w:rPr>
                      <w:rFonts w:hint="eastAsia" w:asciiTheme="minorEastAsia" w:hAnsiTheme="minorEastAsia" w:eastAsiaTheme="minorEastAsia" w:cstheme="minorEastAsia"/>
                      <w:snapToGrid w:val="0"/>
                      <w:color w:val="auto"/>
                      <w:kern w:val="28"/>
                      <w:sz w:val="21"/>
                      <w:szCs w:val="21"/>
                      <w:highlight w:val="none"/>
                    </w:rPr>
                  </w:pPr>
                </w:p>
                <w:p w14:paraId="6A53A693">
                  <w:pPr>
                    <w:keepNext w:val="0"/>
                    <w:keepLines w:val="0"/>
                    <w:pageBreakBefore w:val="0"/>
                    <w:kinsoku/>
                    <w:wordWrap/>
                    <w:overflowPunct/>
                    <w:topLinePunct w:val="0"/>
                    <w:bidi w:val="0"/>
                    <w:spacing w:line="320" w:lineRule="exact"/>
                    <w:rPr>
                      <w:rFonts w:hint="eastAsia" w:asciiTheme="minorEastAsia" w:hAnsiTheme="minorEastAsia" w:eastAsiaTheme="minorEastAsia" w:cstheme="minorEastAsia"/>
                      <w:snapToGrid w:val="0"/>
                      <w:color w:val="auto"/>
                      <w:kern w:val="28"/>
                      <w:sz w:val="21"/>
                      <w:szCs w:val="21"/>
                      <w:highlight w:val="none"/>
                    </w:rPr>
                  </w:pPr>
                  <w:r>
                    <w:rPr>
                      <w:rFonts w:hint="eastAsia" w:asciiTheme="minorEastAsia" w:hAnsiTheme="minorEastAsia" w:eastAsiaTheme="minorEastAsia" w:cstheme="minorEastAsia"/>
                      <w:snapToGrid w:val="0"/>
                      <w:color w:val="auto"/>
                      <w:kern w:val="28"/>
                      <w:sz w:val="21"/>
                      <w:szCs w:val="21"/>
                      <w:highlight w:val="none"/>
                    </w:rPr>
                    <w:t>金额</w:t>
                  </w:r>
                </w:p>
                <w:p w14:paraId="5E89B781">
                  <w:pPr>
                    <w:keepNext w:val="0"/>
                    <w:keepLines w:val="0"/>
                    <w:pageBreakBefore w:val="0"/>
                    <w:kinsoku/>
                    <w:wordWrap/>
                    <w:overflowPunct/>
                    <w:topLinePunct w:val="0"/>
                    <w:bidi w:val="0"/>
                    <w:spacing w:line="320" w:lineRule="exact"/>
                    <mc:AlternateContent>
                      <mc:Choice Requires="wpsCustomData">
                        <wpsCustomData:diagonalParaType/>
                      </mc:Choice>
                    </mc:AlternateContent>
                    <w:rPr>
                      <w:rFonts w:hint="eastAsia" w:asciiTheme="minorEastAsia" w:hAnsiTheme="minorEastAsia" w:eastAsiaTheme="minorEastAsia" w:cstheme="minorEastAsia"/>
                      <w:snapToGrid w:val="0"/>
                      <w:color w:val="auto"/>
                      <w:kern w:val="28"/>
                      <w:sz w:val="21"/>
                      <w:szCs w:val="21"/>
                      <w:highlight w:val="none"/>
                    </w:rPr>
                  </w:pPr>
                  <w:r>
                    <w:rPr>
                      <w:rFonts w:hint="eastAsia" w:asciiTheme="minorEastAsia" w:hAnsiTheme="minorEastAsia" w:eastAsiaTheme="minorEastAsia" w:cstheme="minorEastAsia"/>
                      <w:snapToGrid w:val="0"/>
                      <w:color w:val="auto"/>
                      <w:kern w:val="28"/>
                      <w:sz w:val="21"/>
                      <w:szCs w:val="21"/>
                      <w:highlight w:val="none"/>
                    </w:rPr>
                    <w:t>（万元）</w:t>
                  </w:r>
                </w:p>
                <w:p w14:paraId="039FFEE6">
                  <w:pPr>
                    <w:keepNext w:val="0"/>
                    <w:keepLines w:val="0"/>
                    <w:pageBreakBefore w:val="0"/>
                    <w:kinsoku/>
                    <w:wordWrap/>
                    <w:overflowPunct/>
                    <w:topLinePunct w:val="0"/>
                    <w:bidi w:val="0"/>
                    <w:spacing w:line="320" w:lineRule="exact"/>
                    <mc:AlternateContent>
                      <mc:Choice Requires="wpsCustomData">
                        <wpsCustomData:diagonalParaType/>
                      </mc:Choice>
                    </mc:AlternateContent>
                    <w:rPr>
                      <w:rFonts w:hint="eastAsia" w:asciiTheme="minorEastAsia" w:hAnsiTheme="minorEastAsia" w:eastAsiaTheme="minorEastAsia" w:cstheme="minorEastAsia"/>
                      <w:snapToGrid w:val="0"/>
                      <w:color w:val="auto"/>
                      <w:kern w:val="28"/>
                      <w:sz w:val="21"/>
                      <w:szCs w:val="21"/>
                      <w:highlight w:val="none"/>
                    </w:rPr>
                  </w:pPr>
                  <w:r>
                    <w:rPr>
                      <w:rFonts w:hint="eastAsia" w:asciiTheme="minorEastAsia" w:hAnsiTheme="minorEastAsia" w:eastAsiaTheme="minorEastAsia" w:cstheme="minorEastAsia"/>
                      <w:snapToGrid w:val="0"/>
                      <w:color w:val="auto"/>
                      <w:kern w:val="28"/>
                      <w:sz w:val="21"/>
                      <w:szCs w:val="21"/>
                      <w:highlight w:val="none"/>
                    </w:rPr>
                    <w:t>费率</w:t>
                  </w:r>
                </w:p>
                <w:p w14:paraId="30C1A5A1">
                  <w:pPr>
                    <w:keepNext w:val="0"/>
                    <w:keepLines w:val="0"/>
                    <w:pageBreakBefore w:val="0"/>
                    <w:kinsoku/>
                    <w:wordWrap/>
                    <w:overflowPunct/>
                    <w:topLinePunct w:val="0"/>
                    <w:bidi w:val="0"/>
                    <w:spacing w:line="320" w:lineRule="exact"/>
                    <w:rPr>
                      <w:rFonts w:hint="eastAsia" w:asciiTheme="minorEastAsia" w:hAnsiTheme="minorEastAsia" w:eastAsiaTheme="minorEastAsia" w:cstheme="minorEastAsia"/>
                      <w:snapToGrid w:val="0"/>
                      <w:color w:val="auto"/>
                      <w:kern w:val="28"/>
                      <w:sz w:val="21"/>
                      <w:szCs w:val="21"/>
                      <w:highlight w:val="none"/>
                    </w:rPr>
                  </w:pPr>
                  <w:r>
                    <w:rPr>
                      <w:rFonts w:hint="eastAsia" w:asciiTheme="minorEastAsia" w:hAnsiTheme="minorEastAsia" w:eastAsiaTheme="minorEastAsia" w:cstheme="minorEastAsia"/>
                      <w:snapToGrid w:val="0"/>
                      <w:color w:val="auto"/>
                      <w:kern w:val="28"/>
                      <w:sz w:val="21"/>
                      <w:szCs w:val="21"/>
                      <w:highlight w:val="none"/>
                    </w:rPr>
                    <w:t>服务类型</w:t>
                  </w:r>
                </w:p>
              </w:tc>
              <w:tc>
                <w:tcPr>
                  <w:tcW w:w="1061" w:type="dxa"/>
                  <w:noWrap w:val="0"/>
                  <w:tcMar>
                    <w:top w:w="30" w:type="dxa"/>
                    <w:left w:w="150" w:type="dxa"/>
                    <w:bottom w:w="30" w:type="dxa"/>
                    <w:right w:w="150" w:type="dxa"/>
                  </w:tcMar>
                  <w:vAlign w:val="center"/>
                </w:tcPr>
                <w:p w14:paraId="53F1176C">
                  <w:pPr>
                    <w:keepNext w:val="0"/>
                    <w:keepLines w:val="0"/>
                    <w:pageBreakBefore w:val="0"/>
                    <w:kinsoku/>
                    <w:wordWrap/>
                    <w:overflowPunct/>
                    <w:topLinePunct w:val="0"/>
                    <w:bidi w:val="0"/>
                    <w:spacing w:line="320" w:lineRule="exact"/>
                    <w:rPr>
                      <w:rFonts w:hint="eastAsia" w:asciiTheme="minorEastAsia" w:hAnsiTheme="minorEastAsia" w:eastAsiaTheme="minorEastAsia" w:cstheme="minorEastAsia"/>
                      <w:snapToGrid w:val="0"/>
                      <w:color w:val="auto"/>
                      <w:kern w:val="28"/>
                      <w:sz w:val="21"/>
                      <w:szCs w:val="21"/>
                      <w:highlight w:val="none"/>
                    </w:rPr>
                  </w:pPr>
                  <w:r>
                    <w:rPr>
                      <w:rFonts w:hint="eastAsia" w:asciiTheme="minorEastAsia" w:hAnsiTheme="minorEastAsia" w:eastAsiaTheme="minorEastAsia" w:cstheme="minorEastAsia"/>
                      <w:snapToGrid w:val="0"/>
                      <w:color w:val="auto"/>
                      <w:kern w:val="28"/>
                      <w:sz w:val="21"/>
                      <w:szCs w:val="21"/>
                      <w:highlight w:val="none"/>
                    </w:rPr>
                    <w:t>货物</w:t>
                  </w:r>
                </w:p>
                <w:p w14:paraId="471340D7">
                  <w:pPr>
                    <w:keepNext w:val="0"/>
                    <w:keepLines w:val="0"/>
                    <w:pageBreakBefore w:val="0"/>
                    <w:kinsoku/>
                    <w:wordWrap/>
                    <w:overflowPunct/>
                    <w:topLinePunct w:val="0"/>
                    <w:bidi w:val="0"/>
                    <w:spacing w:line="320" w:lineRule="exact"/>
                    <w:rPr>
                      <w:rFonts w:hint="eastAsia" w:asciiTheme="minorEastAsia" w:hAnsiTheme="minorEastAsia" w:eastAsiaTheme="minorEastAsia" w:cstheme="minorEastAsia"/>
                      <w:snapToGrid w:val="0"/>
                      <w:color w:val="auto"/>
                      <w:kern w:val="28"/>
                      <w:sz w:val="21"/>
                      <w:szCs w:val="21"/>
                      <w:highlight w:val="none"/>
                    </w:rPr>
                  </w:pPr>
                  <w:r>
                    <w:rPr>
                      <w:rFonts w:hint="eastAsia" w:asciiTheme="minorEastAsia" w:hAnsiTheme="minorEastAsia" w:eastAsiaTheme="minorEastAsia" w:cstheme="minorEastAsia"/>
                      <w:snapToGrid w:val="0"/>
                      <w:color w:val="auto"/>
                      <w:kern w:val="28"/>
                      <w:sz w:val="21"/>
                      <w:szCs w:val="21"/>
                      <w:highlight w:val="none"/>
                    </w:rPr>
                    <w:t>招标</w:t>
                  </w:r>
                </w:p>
              </w:tc>
              <w:tc>
                <w:tcPr>
                  <w:tcW w:w="960" w:type="dxa"/>
                  <w:noWrap w:val="0"/>
                  <w:tcMar>
                    <w:top w:w="30" w:type="dxa"/>
                    <w:left w:w="150" w:type="dxa"/>
                    <w:bottom w:w="30" w:type="dxa"/>
                    <w:right w:w="150" w:type="dxa"/>
                  </w:tcMar>
                  <w:vAlign w:val="center"/>
                </w:tcPr>
                <w:p w14:paraId="607C87E8">
                  <w:pPr>
                    <w:keepNext w:val="0"/>
                    <w:keepLines w:val="0"/>
                    <w:pageBreakBefore w:val="0"/>
                    <w:kinsoku/>
                    <w:wordWrap/>
                    <w:overflowPunct/>
                    <w:topLinePunct w:val="0"/>
                    <w:bidi w:val="0"/>
                    <w:spacing w:line="320" w:lineRule="exact"/>
                    <w:rPr>
                      <w:rFonts w:hint="eastAsia" w:asciiTheme="minorEastAsia" w:hAnsiTheme="minorEastAsia" w:eastAsiaTheme="minorEastAsia" w:cstheme="minorEastAsia"/>
                      <w:snapToGrid w:val="0"/>
                      <w:color w:val="auto"/>
                      <w:kern w:val="28"/>
                      <w:sz w:val="21"/>
                      <w:szCs w:val="21"/>
                      <w:highlight w:val="none"/>
                    </w:rPr>
                  </w:pPr>
                  <w:r>
                    <w:rPr>
                      <w:rFonts w:hint="eastAsia" w:asciiTheme="minorEastAsia" w:hAnsiTheme="minorEastAsia" w:eastAsiaTheme="minorEastAsia" w:cstheme="minorEastAsia"/>
                      <w:snapToGrid w:val="0"/>
                      <w:color w:val="auto"/>
                      <w:kern w:val="28"/>
                      <w:sz w:val="21"/>
                      <w:szCs w:val="21"/>
                      <w:highlight w:val="none"/>
                    </w:rPr>
                    <w:t>服务</w:t>
                  </w:r>
                </w:p>
                <w:p w14:paraId="6DC5E123">
                  <w:pPr>
                    <w:keepNext w:val="0"/>
                    <w:keepLines w:val="0"/>
                    <w:pageBreakBefore w:val="0"/>
                    <w:kinsoku/>
                    <w:wordWrap/>
                    <w:overflowPunct/>
                    <w:topLinePunct w:val="0"/>
                    <w:bidi w:val="0"/>
                    <w:spacing w:line="320" w:lineRule="exact"/>
                    <w:rPr>
                      <w:rFonts w:hint="eastAsia" w:asciiTheme="minorEastAsia" w:hAnsiTheme="minorEastAsia" w:eastAsiaTheme="minorEastAsia" w:cstheme="minorEastAsia"/>
                      <w:snapToGrid w:val="0"/>
                      <w:color w:val="auto"/>
                      <w:kern w:val="28"/>
                      <w:sz w:val="21"/>
                      <w:szCs w:val="21"/>
                      <w:highlight w:val="none"/>
                    </w:rPr>
                  </w:pPr>
                  <w:r>
                    <w:rPr>
                      <w:rFonts w:hint="eastAsia" w:asciiTheme="minorEastAsia" w:hAnsiTheme="minorEastAsia" w:eastAsiaTheme="minorEastAsia" w:cstheme="minorEastAsia"/>
                      <w:snapToGrid w:val="0"/>
                      <w:color w:val="auto"/>
                      <w:kern w:val="28"/>
                      <w:sz w:val="21"/>
                      <w:szCs w:val="21"/>
                      <w:highlight w:val="none"/>
                    </w:rPr>
                    <w:t>招标</w:t>
                  </w:r>
                </w:p>
              </w:tc>
              <w:tc>
                <w:tcPr>
                  <w:tcW w:w="1169" w:type="dxa"/>
                  <w:noWrap w:val="0"/>
                  <w:tcMar>
                    <w:top w:w="30" w:type="dxa"/>
                    <w:left w:w="150" w:type="dxa"/>
                    <w:bottom w:w="30" w:type="dxa"/>
                    <w:right w:w="150" w:type="dxa"/>
                  </w:tcMar>
                  <w:vAlign w:val="center"/>
                </w:tcPr>
                <w:p w14:paraId="3D7CE991">
                  <w:pPr>
                    <w:keepNext w:val="0"/>
                    <w:keepLines w:val="0"/>
                    <w:pageBreakBefore w:val="0"/>
                    <w:kinsoku/>
                    <w:wordWrap/>
                    <w:overflowPunct/>
                    <w:topLinePunct w:val="0"/>
                    <w:bidi w:val="0"/>
                    <w:spacing w:line="320" w:lineRule="exact"/>
                    <w:rPr>
                      <w:rFonts w:hint="eastAsia" w:asciiTheme="minorEastAsia" w:hAnsiTheme="minorEastAsia" w:eastAsiaTheme="minorEastAsia" w:cstheme="minorEastAsia"/>
                      <w:snapToGrid w:val="0"/>
                      <w:color w:val="auto"/>
                      <w:kern w:val="28"/>
                      <w:sz w:val="21"/>
                      <w:szCs w:val="21"/>
                      <w:highlight w:val="none"/>
                    </w:rPr>
                  </w:pPr>
                  <w:r>
                    <w:rPr>
                      <w:rFonts w:hint="eastAsia" w:asciiTheme="minorEastAsia" w:hAnsiTheme="minorEastAsia" w:eastAsiaTheme="minorEastAsia" w:cstheme="minorEastAsia"/>
                      <w:snapToGrid w:val="0"/>
                      <w:color w:val="auto"/>
                      <w:kern w:val="28"/>
                      <w:sz w:val="21"/>
                      <w:szCs w:val="21"/>
                      <w:highlight w:val="none"/>
                    </w:rPr>
                    <w:t>工程</w:t>
                  </w:r>
                </w:p>
                <w:p w14:paraId="54B761B4">
                  <w:pPr>
                    <w:keepNext w:val="0"/>
                    <w:keepLines w:val="0"/>
                    <w:pageBreakBefore w:val="0"/>
                    <w:kinsoku/>
                    <w:wordWrap/>
                    <w:overflowPunct/>
                    <w:topLinePunct w:val="0"/>
                    <w:bidi w:val="0"/>
                    <w:spacing w:line="320" w:lineRule="exact"/>
                    <w:rPr>
                      <w:rFonts w:hint="eastAsia" w:asciiTheme="minorEastAsia" w:hAnsiTheme="minorEastAsia" w:eastAsiaTheme="minorEastAsia" w:cstheme="minorEastAsia"/>
                      <w:snapToGrid w:val="0"/>
                      <w:color w:val="auto"/>
                      <w:kern w:val="28"/>
                      <w:sz w:val="21"/>
                      <w:szCs w:val="21"/>
                      <w:highlight w:val="none"/>
                    </w:rPr>
                  </w:pPr>
                  <w:r>
                    <w:rPr>
                      <w:rFonts w:hint="eastAsia" w:asciiTheme="minorEastAsia" w:hAnsiTheme="minorEastAsia" w:eastAsiaTheme="minorEastAsia" w:cstheme="minorEastAsia"/>
                      <w:snapToGrid w:val="0"/>
                      <w:color w:val="auto"/>
                      <w:kern w:val="28"/>
                      <w:sz w:val="21"/>
                      <w:szCs w:val="21"/>
                      <w:highlight w:val="none"/>
                    </w:rPr>
                    <w:t>招标</w:t>
                  </w:r>
                </w:p>
              </w:tc>
            </w:tr>
            <w:tr w14:paraId="372CEE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90" w:hRule="atLeast"/>
                <w:jc w:val="center"/>
              </w:trPr>
              <w:tc>
                <w:tcPr>
                  <w:tcW w:w="2639" w:type="dxa"/>
                  <w:noWrap w:val="0"/>
                  <w:tcMar>
                    <w:top w:w="30" w:type="dxa"/>
                    <w:left w:w="150" w:type="dxa"/>
                    <w:bottom w:w="30" w:type="dxa"/>
                    <w:right w:w="150" w:type="dxa"/>
                  </w:tcMar>
                  <w:vAlign w:val="center"/>
                </w:tcPr>
                <w:p w14:paraId="16E763B1">
                  <w:pPr>
                    <w:keepNext w:val="0"/>
                    <w:keepLines w:val="0"/>
                    <w:pageBreakBefore w:val="0"/>
                    <w:kinsoku/>
                    <w:wordWrap/>
                    <w:overflowPunct/>
                    <w:topLinePunct w:val="0"/>
                    <w:bidi w:val="0"/>
                    <w:spacing w:line="320" w:lineRule="exact"/>
                    <w:rPr>
                      <w:rFonts w:hint="eastAsia" w:asciiTheme="minorEastAsia" w:hAnsiTheme="minorEastAsia" w:eastAsiaTheme="minorEastAsia" w:cstheme="minorEastAsia"/>
                      <w:snapToGrid w:val="0"/>
                      <w:color w:val="auto"/>
                      <w:kern w:val="28"/>
                      <w:sz w:val="21"/>
                      <w:szCs w:val="21"/>
                      <w:highlight w:val="none"/>
                    </w:rPr>
                  </w:pPr>
                  <w:r>
                    <w:rPr>
                      <w:rFonts w:hint="eastAsia" w:asciiTheme="minorEastAsia" w:hAnsiTheme="minorEastAsia" w:eastAsiaTheme="minorEastAsia" w:cstheme="minorEastAsia"/>
                      <w:snapToGrid w:val="0"/>
                      <w:color w:val="auto"/>
                      <w:kern w:val="28"/>
                      <w:sz w:val="21"/>
                      <w:szCs w:val="21"/>
                      <w:highlight w:val="none"/>
                    </w:rPr>
                    <w:t>100以下</w:t>
                  </w:r>
                </w:p>
              </w:tc>
              <w:tc>
                <w:tcPr>
                  <w:tcW w:w="1061" w:type="dxa"/>
                  <w:noWrap w:val="0"/>
                  <w:tcMar>
                    <w:top w:w="30" w:type="dxa"/>
                    <w:left w:w="150" w:type="dxa"/>
                    <w:bottom w:w="30" w:type="dxa"/>
                    <w:right w:w="150" w:type="dxa"/>
                  </w:tcMar>
                  <w:vAlign w:val="center"/>
                </w:tcPr>
                <w:p w14:paraId="6AD43F96">
                  <w:pPr>
                    <w:keepNext w:val="0"/>
                    <w:keepLines w:val="0"/>
                    <w:pageBreakBefore w:val="0"/>
                    <w:widowControl/>
                    <w:suppressLineNumbers w:val="0"/>
                    <w:kinsoku/>
                    <w:wordWrap/>
                    <w:overflowPunct/>
                    <w:topLinePunct w:val="0"/>
                    <w:bidi w:val="0"/>
                    <w:spacing w:line="320" w:lineRule="exact"/>
                    <w:jc w:val="center"/>
                    <w:textAlignment w:val="center"/>
                    <w:rPr>
                      <w:rFonts w:hint="eastAsia" w:asciiTheme="minorEastAsia" w:hAnsiTheme="minorEastAsia" w:eastAsiaTheme="minorEastAsia" w:cstheme="minorEastAsia"/>
                      <w:snapToGrid w:val="0"/>
                      <w:color w:val="auto"/>
                      <w:kern w:val="28"/>
                      <w:sz w:val="21"/>
                      <w:szCs w:val="21"/>
                      <w:highlight w:val="none"/>
                    </w:rPr>
                  </w:pPr>
                  <w:r>
                    <w:rPr>
                      <w:rFonts w:hint="eastAsia" w:ascii="宋体" w:hAnsi="宋体" w:eastAsia="宋体" w:cs="宋体"/>
                      <w:i w:val="0"/>
                      <w:iCs w:val="0"/>
                      <w:color w:val="000000"/>
                      <w:kern w:val="0"/>
                      <w:sz w:val="21"/>
                      <w:szCs w:val="21"/>
                      <w:u w:val="none"/>
                      <w:lang w:val="en-US" w:eastAsia="zh-CN" w:bidi="ar"/>
                    </w:rPr>
                    <w:t>1.</w:t>
                  </w:r>
                  <w:r>
                    <w:rPr>
                      <w:rFonts w:hint="eastAsia" w:ascii="宋体" w:hAnsi="宋体" w:cs="宋体"/>
                      <w:i w:val="0"/>
                      <w:iCs w:val="0"/>
                      <w:color w:val="000000"/>
                      <w:kern w:val="0"/>
                      <w:sz w:val="21"/>
                      <w:szCs w:val="21"/>
                      <w:u w:val="none"/>
                      <w:lang w:val="en-US" w:eastAsia="zh-CN" w:bidi="ar"/>
                    </w:rPr>
                    <w:t>5</w:t>
                  </w:r>
                  <w:r>
                    <w:rPr>
                      <w:rFonts w:hint="eastAsia" w:ascii="宋体" w:hAnsi="宋体" w:eastAsia="宋体" w:cs="宋体"/>
                      <w:i w:val="0"/>
                      <w:iCs w:val="0"/>
                      <w:color w:val="000000"/>
                      <w:kern w:val="0"/>
                      <w:sz w:val="21"/>
                      <w:szCs w:val="21"/>
                      <w:u w:val="none"/>
                      <w:lang w:val="en-US" w:eastAsia="zh-CN" w:bidi="ar"/>
                    </w:rPr>
                    <w:t>0%</w:t>
                  </w:r>
                </w:p>
              </w:tc>
              <w:tc>
                <w:tcPr>
                  <w:tcW w:w="960" w:type="dxa"/>
                  <w:noWrap w:val="0"/>
                  <w:tcMar>
                    <w:top w:w="30" w:type="dxa"/>
                    <w:left w:w="150" w:type="dxa"/>
                    <w:bottom w:w="30" w:type="dxa"/>
                    <w:right w:w="150" w:type="dxa"/>
                  </w:tcMar>
                  <w:vAlign w:val="center"/>
                </w:tcPr>
                <w:p w14:paraId="58A89809">
                  <w:pPr>
                    <w:keepNext w:val="0"/>
                    <w:keepLines w:val="0"/>
                    <w:pageBreakBefore w:val="0"/>
                    <w:widowControl/>
                    <w:suppressLineNumbers w:val="0"/>
                    <w:kinsoku/>
                    <w:wordWrap/>
                    <w:overflowPunct/>
                    <w:topLinePunct w:val="0"/>
                    <w:bidi w:val="0"/>
                    <w:spacing w:line="320" w:lineRule="exact"/>
                    <w:jc w:val="center"/>
                    <w:textAlignment w:val="center"/>
                    <w:rPr>
                      <w:rFonts w:hint="eastAsia" w:asciiTheme="minorEastAsia" w:hAnsiTheme="minorEastAsia" w:eastAsiaTheme="minorEastAsia" w:cstheme="minorEastAsia"/>
                      <w:snapToGrid w:val="0"/>
                      <w:color w:val="auto"/>
                      <w:kern w:val="28"/>
                      <w:sz w:val="21"/>
                      <w:szCs w:val="21"/>
                      <w:highlight w:val="none"/>
                    </w:rPr>
                  </w:pPr>
                  <w:r>
                    <w:rPr>
                      <w:rFonts w:hint="eastAsia" w:ascii="宋体" w:hAnsi="宋体" w:eastAsia="宋体" w:cs="宋体"/>
                      <w:i w:val="0"/>
                      <w:iCs w:val="0"/>
                      <w:color w:val="000000"/>
                      <w:kern w:val="0"/>
                      <w:sz w:val="21"/>
                      <w:szCs w:val="21"/>
                      <w:u w:val="none"/>
                      <w:lang w:val="en-US" w:eastAsia="zh-CN" w:bidi="ar"/>
                    </w:rPr>
                    <w:t>1.</w:t>
                  </w:r>
                  <w:r>
                    <w:rPr>
                      <w:rFonts w:hint="eastAsia" w:ascii="宋体" w:hAnsi="宋体" w:cs="宋体"/>
                      <w:i w:val="0"/>
                      <w:iCs w:val="0"/>
                      <w:color w:val="000000"/>
                      <w:kern w:val="0"/>
                      <w:sz w:val="21"/>
                      <w:szCs w:val="21"/>
                      <w:u w:val="none"/>
                      <w:lang w:val="en-US" w:eastAsia="zh-CN" w:bidi="ar"/>
                    </w:rPr>
                    <w:t>5</w:t>
                  </w:r>
                  <w:r>
                    <w:rPr>
                      <w:rFonts w:hint="eastAsia" w:ascii="宋体" w:hAnsi="宋体" w:eastAsia="宋体" w:cs="宋体"/>
                      <w:i w:val="0"/>
                      <w:iCs w:val="0"/>
                      <w:color w:val="000000"/>
                      <w:kern w:val="0"/>
                      <w:sz w:val="21"/>
                      <w:szCs w:val="21"/>
                      <w:u w:val="none"/>
                      <w:lang w:val="en-US" w:eastAsia="zh-CN" w:bidi="ar"/>
                    </w:rPr>
                    <w:t>0%</w:t>
                  </w:r>
                </w:p>
              </w:tc>
              <w:tc>
                <w:tcPr>
                  <w:tcW w:w="1169" w:type="dxa"/>
                  <w:noWrap w:val="0"/>
                  <w:tcMar>
                    <w:top w:w="30" w:type="dxa"/>
                    <w:left w:w="150" w:type="dxa"/>
                    <w:bottom w:w="30" w:type="dxa"/>
                    <w:right w:w="150" w:type="dxa"/>
                  </w:tcMar>
                  <w:vAlign w:val="center"/>
                </w:tcPr>
                <w:p w14:paraId="75DEACC7">
                  <w:pPr>
                    <w:keepNext w:val="0"/>
                    <w:keepLines w:val="0"/>
                    <w:pageBreakBefore w:val="0"/>
                    <w:widowControl/>
                    <w:suppressLineNumbers w:val="0"/>
                    <w:kinsoku/>
                    <w:wordWrap/>
                    <w:overflowPunct/>
                    <w:topLinePunct w:val="0"/>
                    <w:bidi w:val="0"/>
                    <w:spacing w:line="320" w:lineRule="exact"/>
                    <w:jc w:val="center"/>
                    <w:textAlignment w:val="center"/>
                    <w:rPr>
                      <w:rFonts w:hint="eastAsia" w:asciiTheme="minorEastAsia" w:hAnsiTheme="minorEastAsia" w:eastAsiaTheme="minorEastAsia" w:cstheme="minorEastAsia"/>
                      <w:snapToGrid w:val="0"/>
                      <w:color w:val="auto"/>
                      <w:kern w:val="28"/>
                      <w:sz w:val="21"/>
                      <w:szCs w:val="21"/>
                      <w:highlight w:val="none"/>
                    </w:rPr>
                  </w:pPr>
                  <w:r>
                    <w:rPr>
                      <w:rFonts w:hint="eastAsia" w:ascii="宋体" w:hAnsi="宋体" w:eastAsia="宋体" w:cs="宋体"/>
                      <w:i w:val="0"/>
                      <w:iCs w:val="0"/>
                      <w:color w:val="000000"/>
                      <w:kern w:val="0"/>
                      <w:sz w:val="21"/>
                      <w:szCs w:val="21"/>
                      <w:u w:val="none"/>
                      <w:lang w:val="en-US" w:eastAsia="zh-CN" w:bidi="ar"/>
                    </w:rPr>
                    <w:t>1.00%</w:t>
                  </w:r>
                </w:p>
              </w:tc>
            </w:tr>
            <w:tr w14:paraId="3E7F4D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90" w:hRule="atLeast"/>
                <w:jc w:val="center"/>
              </w:trPr>
              <w:tc>
                <w:tcPr>
                  <w:tcW w:w="2639" w:type="dxa"/>
                  <w:noWrap w:val="0"/>
                  <w:tcMar>
                    <w:top w:w="30" w:type="dxa"/>
                    <w:left w:w="150" w:type="dxa"/>
                    <w:bottom w:w="30" w:type="dxa"/>
                    <w:right w:w="150" w:type="dxa"/>
                  </w:tcMar>
                  <w:vAlign w:val="center"/>
                </w:tcPr>
                <w:p w14:paraId="1D21BF68">
                  <w:pPr>
                    <w:keepNext w:val="0"/>
                    <w:keepLines w:val="0"/>
                    <w:pageBreakBefore w:val="0"/>
                    <w:kinsoku/>
                    <w:wordWrap/>
                    <w:overflowPunct/>
                    <w:topLinePunct w:val="0"/>
                    <w:bidi w:val="0"/>
                    <w:spacing w:line="320" w:lineRule="exact"/>
                    <w:rPr>
                      <w:rFonts w:hint="eastAsia" w:asciiTheme="minorEastAsia" w:hAnsiTheme="minorEastAsia" w:eastAsiaTheme="minorEastAsia" w:cstheme="minorEastAsia"/>
                      <w:snapToGrid w:val="0"/>
                      <w:color w:val="auto"/>
                      <w:kern w:val="28"/>
                      <w:sz w:val="21"/>
                      <w:szCs w:val="21"/>
                      <w:highlight w:val="none"/>
                    </w:rPr>
                  </w:pPr>
                  <w:r>
                    <w:rPr>
                      <w:rFonts w:hint="eastAsia" w:asciiTheme="minorEastAsia" w:hAnsiTheme="minorEastAsia" w:eastAsiaTheme="minorEastAsia" w:cstheme="minorEastAsia"/>
                      <w:snapToGrid w:val="0"/>
                      <w:color w:val="auto"/>
                      <w:kern w:val="28"/>
                      <w:sz w:val="21"/>
                      <w:szCs w:val="21"/>
                      <w:highlight w:val="none"/>
                    </w:rPr>
                    <w:t>100-500</w:t>
                  </w:r>
                </w:p>
              </w:tc>
              <w:tc>
                <w:tcPr>
                  <w:tcW w:w="1061" w:type="dxa"/>
                  <w:noWrap w:val="0"/>
                  <w:tcMar>
                    <w:top w:w="30" w:type="dxa"/>
                    <w:left w:w="150" w:type="dxa"/>
                    <w:bottom w:w="30" w:type="dxa"/>
                    <w:right w:w="150" w:type="dxa"/>
                  </w:tcMar>
                  <w:vAlign w:val="center"/>
                </w:tcPr>
                <w:p w14:paraId="7E03C73C">
                  <w:pPr>
                    <w:keepNext w:val="0"/>
                    <w:keepLines w:val="0"/>
                    <w:pageBreakBefore w:val="0"/>
                    <w:widowControl/>
                    <w:suppressLineNumbers w:val="0"/>
                    <w:kinsoku/>
                    <w:wordWrap/>
                    <w:overflowPunct/>
                    <w:topLinePunct w:val="0"/>
                    <w:bidi w:val="0"/>
                    <w:spacing w:line="320" w:lineRule="exact"/>
                    <w:jc w:val="center"/>
                    <w:textAlignment w:val="center"/>
                    <w:rPr>
                      <w:rFonts w:hint="eastAsia" w:asciiTheme="minorEastAsia" w:hAnsiTheme="minorEastAsia" w:eastAsiaTheme="minorEastAsia" w:cstheme="minorEastAsia"/>
                      <w:snapToGrid w:val="0"/>
                      <w:color w:val="auto"/>
                      <w:kern w:val="28"/>
                      <w:sz w:val="21"/>
                      <w:szCs w:val="21"/>
                      <w:highlight w:val="none"/>
                    </w:rPr>
                  </w:pPr>
                  <w:r>
                    <w:rPr>
                      <w:rFonts w:hint="eastAsia" w:ascii="宋体" w:hAnsi="宋体" w:eastAsia="宋体" w:cs="宋体"/>
                      <w:i w:val="0"/>
                      <w:iCs w:val="0"/>
                      <w:color w:val="000000"/>
                      <w:kern w:val="0"/>
                      <w:sz w:val="21"/>
                      <w:szCs w:val="21"/>
                      <w:u w:val="none"/>
                      <w:lang w:val="en-US" w:eastAsia="zh-CN" w:bidi="ar"/>
                    </w:rPr>
                    <w:t>1.</w:t>
                  </w:r>
                  <w:r>
                    <w:rPr>
                      <w:rFonts w:hint="eastAsia" w:ascii="宋体" w:hAnsi="宋体" w:cs="宋体"/>
                      <w:i w:val="0"/>
                      <w:iCs w:val="0"/>
                      <w:color w:val="000000"/>
                      <w:kern w:val="0"/>
                      <w:sz w:val="21"/>
                      <w:szCs w:val="21"/>
                      <w:u w:val="none"/>
                      <w:lang w:val="en-US" w:eastAsia="zh-CN" w:bidi="ar"/>
                    </w:rPr>
                    <w:t>1</w:t>
                  </w:r>
                  <w:r>
                    <w:rPr>
                      <w:rFonts w:hint="eastAsia" w:ascii="宋体" w:hAnsi="宋体" w:eastAsia="宋体" w:cs="宋体"/>
                      <w:i w:val="0"/>
                      <w:iCs w:val="0"/>
                      <w:color w:val="000000"/>
                      <w:kern w:val="0"/>
                      <w:sz w:val="21"/>
                      <w:szCs w:val="21"/>
                      <w:u w:val="none"/>
                      <w:lang w:val="en-US" w:eastAsia="zh-CN" w:bidi="ar"/>
                    </w:rPr>
                    <w:t>0%</w:t>
                  </w:r>
                </w:p>
              </w:tc>
              <w:tc>
                <w:tcPr>
                  <w:tcW w:w="960" w:type="dxa"/>
                  <w:noWrap w:val="0"/>
                  <w:tcMar>
                    <w:top w:w="30" w:type="dxa"/>
                    <w:left w:w="150" w:type="dxa"/>
                    <w:bottom w:w="30" w:type="dxa"/>
                    <w:right w:w="150" w:type="dxa"/>
                  </w:tcMar>
                  <w:vAlign w:val="center"/>
                </w:tcPr>
                <w:p w14:paraId="4CA6ED2F">
                  <w:pPr>
                    <w:keepNext w:val="0"/>
                    <w:keepLines w:val="0"/>
                    <w:pageBreakBefore w:val="0"/>
                    <w:widowControl/>
                    <w:suppressLineNumbers w:val="0"/>
                    <w:kinsoku/>
                    <w:wordWrap/>
                    <w:overflowPunct/>
                    <w:topLinePunct w:val="0"/>
                    <w:bidi w:val="0"/>
                    <w:spacing w:line="320" w:lineRule="exact"/>
                    <w:jc w:val="center"/>
                    <w:textAlignment w:val="center"/>
                    <w:rPr>
                      <w:rFonts w:hint="eastAsia" w:asciiTheme="minorEastAsia" w:hAnsiTheme="minorEastAsia" w:eastAsiaTheme="minorEastAsia" w:cstheme="minorEastAsia"/>
                      <w:snapToGrid w:val="0"/>
                      <w:color w:val="auto"/>
                      <w:kern w:val="28"/>
                      <w:sz w:val="21"/>
                      <w:szCs w:val="21"/>
                      <w:highlight w:val="none"/>
                    </w:rPr>
                  </w:pPr>
                  <w:r>
                    <w:rPr>
                      <w:rFonts w:hint="eastAsia" w:ascii="宋体" w:hAnsi="宋体" w:eastAsia="宋体" w:cs="宋体"/>
                      <w:i w:val="0"/>
                      <w:iCs w:val="0"/>
                      <w:color w:val="000000"/>
                      <w:kern w:val="0"/>
                      <w:sz w:val="21"/>
                      <w:szCs w:val="21"/>
                      <w:u w:val="none"/>
                      <w:lang w:val="en-US" w:eastAsia="zh-CN" w:bidi="ar"/>
                    </w:rPr>
                    <w:t>0.</w:t>
                  </w:r>
                  <w:r>
                    <w:rPr>
                      <w:rFonts w:hint="eastAsia" w:ascii="宋体" w:hAnsi="宋体" w:cs="宋体"/>
                      <w:i w:val="0"/>
                      <w:iCs w:val="0"/>
                      <w:color w:val="000000"/>
                      <w:kern w:val="0"/>
                      <w:sz w:val="21"/>
                      <w:szCs w:val="21"/>
                      <w:u w:val="none"/>
                      <w:lang w:val="en-US" w:eastAsia="zh-CN" w:bidi="ar"/>
                    </w:rPr>
                    <w:t>8</w:t>
                  </w:r>
                  <w:r>
                    <w:rPr>
                      <w:rFonts w:hint="eastAsia" w:ascii="宋体" w:hAnsi="宋体" w:eastAsia="宋体" w:cs="宋体"/>
                      <w:i w:val="0"/>
                      <w:iCs w:val="0"/>
                      <w:color w:val="000000"/>
                      <w:kern w:val="0"/>
                      <w:sz w:val="21"/>
                      <w:szCs w:val="21"/>
                      <w:u w:val="none"/>
                      <w:lang w:val="en-US" w:eastAsia="zh-CN" w:bidi="ar"/>
                    </w:rPr>
                    <w:t>0%</w:t>
                  </w:r>
                </w:p>
              </w:tc>
              <w:tc>
                <w:tcPr>
                  <w:tcW w:w="1169" w:type="dxa"/>
                  <w:noWrap w:val="0"/>
                  <w:tcMar>
                    <w:top w:w="30" w:type="dxa"/>
                    <w:left w:w="150" w:type="dxa"/>
                    <w:bottom w:w="30" w:type="dxa"/>
                    <w:right w:w="150" w:type="dxa"/>
                  </w:tcMar>
                  <w:vAlign w:val="center"/>
                </w:tcPr>
                <w:p w14:paraId="6B953A7D">
                  <w:pPr>
                    <w:keepNext w:val="0"/>
                    <w:keepLines w:val="0"/>
                    <w:pageBreakBefore w:val="0"/>
                    <w:widowControl/>
                    <w:suppressLineNumbers w:val="0"/>
                    <w:kinsoku/>
                    <w:wordWrap/>
                    <w:overflowPunct/>
                    <w:topLinePunct w:val="0"/>
                    <w:bidi w:val="0"/>
                    <w:spacing w:line="320" w:lineRule="exact"/>
                    <w:jc w:val="center"/>
                    <w:textAlignment w:val="center"/>
                    <w:rPr>
                      <w:rFonts w:hint="eastAsia" w:asciiTheme="minorEastAsia" w:hAnsiTheme="minorEastAsia" w:eastAsiaTheme="minorEastAsia" w:cstheme="minorEastAsia"/>
                      <w:snapToGrid w:val="0"/>
                      <w:color w:val="auto"/>
                      <w:kern w:val="28"/>
                      <w:sz w:val="21"/>
                      <w:szCs w:val="21"/>
                      <w:highlight w:val="none"/>
                    </w:rPr>
                  </w:pPr>
                  <w:r>
                    <w:rPr>
                      <w:rFonts w:hint="eastAsia" w:ascii="宋体" w:hAnsi="宋体" w:eastAsia="宋体" w:cs="宋体"/>
                      <w:i w:val="0"/>
                      <w:iCs w:val="0"/>
                      <w:color w:val="000000"/>
                      <w:kern w:val="0"/>
                      <w:sz w:val="21"/>
                      <w:szCs w:val="21"/>
                      <w:u w:val="none"/>
                      <w:lang w:val="en-US" w:eastAsia="zh-CN" w:bidi="ar"/>
                    </w:rPr>
                    <w:t>0.70%</w:t>
                  </w:r>
                </w:p>
              </w:tc>
            </w:tr>
            <w:tr w14:paraId="370739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90" w:hRule="atLeast"/>
                <w:jc w:val="center"/>
              </w:trPr>
              <w:tc>
                <w:tcPr>
                  <w:tcW w:w="2639" w:type="dxa"/>
                  <w:noWrap w:val="0"/>
                  <w:tcMar>
                    <w:top w:w="30" w:type="dxa"/>
                    <w:left w:w="150" w:type="dxa"/>
                    <w:bottom w:w="30" w:type="dxa"/>
                    <w:right w:w="150" w:type="dxa"/>
                  </w:tcMar>
                  <w:vAlign w:val="center"/>
                </w:tcPr>
                <w:p w14:paraId="032BCAAE">
                  <w:pPr>
                    <w:keepNext w:val="0"/>
                    <w:keepLines w:val="0"/>
                    <w:pageBreakBefore w:val="0"/>
                    <w:kinsoku/>
                    <w:wordWrap/>
                    <w:overflowPunct/>
                    <w:topLinePunct w:val="0"/>
                    <w:bidi w:val="0"/>
                    <w:spacing w:line="320" w:lineRule="exact"/>
                    <w:rPr>
                      <w:rFonts w:hint="eastAsia" w:asciiTheme="minorEastAsia" w:hAnsiTheme="minorEastAsia" w:eastAsiaTheme="minorEastAsia" w:cstheme="minorEastAsia"/>
                      <w:snapToGrid w:val="0"/>
                      <w:color w:val="auto"/>
                      <w:kern w:val="28"/>
                      <w:sz w:val="21"/>
                      <w:szCs w:val="21"/>
                      <w:highlight w:val="none"/>
                    </w:rPr>
                  </w:pPr>
                  <w:r>
                    <w:rPr>
                      <w:rFonts w:hint="eastAsia" w:asciiTheme="minorEastAsia" w:hAnsiTheme="minorEastAsia" w:eastAsiaTheme="minorEastAsia" w:cstheme="minorEastAsia"/>
                      <w:snapToGrid w:val="0"/>
                      <w:color w:val="auto"/>
                      <w:kern w:val="28"/>
                      <w:sz w:val="21"/>
                      <w:szCs w:val="21"/>
                      <w:highlight w:val="none"/>
                    </w:rPr>
                    <w:t>500-1000</w:t>
                  </w:r>
                </w:p>
              </w:tc>
              <w:tc>
                <w:tcPr>
                  <w:tcW w:w="1061" w:type="dxa"/>
                  <w:noWrap w:val="0"/>
                  <w:tcMar>
                    <w:top w:w="30" w:type="dxa"/>
                    <w:left w:w="150" w:type="dxa"/>
                    <w:bottom w:w="30" w:type="dxa"/>
                    <w:right w:w="150" w:type="dxa"/>
                  </w:tcMar>
                  <w:vAlign w:val="center"/>
                </w:tcPr>
                <w:p w14:paraId="3612E6C5">
                  <w:pPr>
                    <w:keepNext w:val="0"/>
                    <w:keepLines w:val="0"/>
                    <w:pageBreakBefore w:val="0"/>
                    <w:widowControl/>
                    <w:suppressLineNumbers w:val="0"/>
                    <w:kinsoku/>
                    <w:wordWrap/>
                    <w:overflowPunct/>
                    <w:topLinePunct w:val="0"/>
                    <w:bidi w:val="0"/>
                    <w:spacing w:line="320" w:lineRule="exact"/>
                    <w:jc w:val="center"/>
                    <w:textAlignment w:val="center"/>
                    <w:rPr>
                      <w:rFonts w:hint="eastAsia" w:asciiTheme="minorEastAsia" w:hAnsiTheme="minorEastAsia" w:eastAsiaTheme="minorEastAsia" w:cstheme="minorEastAsia"/>
                      <w:snapToGrid w:val="0"/>
                      <w:color w:val="auto"/>
                      <w:kern w:val="28"/>
                      <w:sz w:val="21"/>
                      <w:szCs w:val="21"/>
                      <w:highlight w:val="none"/>
                    </w:rPr>
                  </w:pPr>
                  <w:r>
                    <w:rPr>
                      <w:rFonts w:hint="eastAsia" w:ascii="宋体" w:hAnsi="宋体" w:eastAsia="宋体" w:cs="宋体"/>
                      <w:i w:val="0"/>
                      <w:iCs w:val="0"/>
                      <w:color w:val="000000"/>
                      <w:kern w:val="0"/>
                      <w:sz w:val="21"/>
                      <w:szCs w:val="21"/>
                      <w:u w:val="none"/>
                      <w:lang w:val="en-US" w:eastAsia="zh-CN" w:bidi="ar"/>
                    </w:rPr>
                    <w:t>0.</w:t>
                  </w:r>
                  <w:r>
                    <w:rPr>
                      <w:rFonts w:hint="eastAsia" w:ascii="宋体" w:hAnsi="宋体" w:cs="宋体"/>
                      <w:i w:val="0"/>
                      <w:iCs w:val="0"/>
                      <w:color w:val="000000"/>
                      <w:kern w:val="0"/>
                      <w:sz w:val="21"/>
                      <w:szCs w:val="21"/>
                      <w:u w:val="none"/>
                      <w:lang w:val="en-US" w:eastAsia="zh-CN" w:bidi="ar"/>
                    </w:rPr>
                    <w:t>8</w:t>
                  </w:r>
                  <w:r>
                    <w:rPr>
                      <w:rFonts w:hint="eastAsia" w:ascii="宋体" w:hAnsi="宋体" w:eastAsia="宋体" w:cs="宋体"/>
                      <w:i w:val="0"/>
                      <w:iCs w:val="0"/>
                      <w:color w:val="000000"/>
                      <w:kern w:val="0"/>
                      <w:sz w:val="21"/>
                      <w:szCs w:val="21"/>
                      <w:u w:val="none"/>
                      <w:lang w:val="en-US" w:eastAsia="zh-CN" w:bidi="ar"/>
                    </w:rPr>
                    <w:t>0%</w:t>
                  </w:r>
                </w:p>
              </w:tc>
              <w:tc>
                <w:tcPr>
                  <w:tcW w:w="960" w:type="dxa"/>
                  <w:noWrap w:val="0"/>
                  <w:tcMar>
                    <w:top w:w="30" w:type="dxa"/>
                    <w:left w:w="150" w:type="dxa"/>
                    <w:bottom w:w="30" w:type="dxa"/>
                    <w:right w:w="150" w:type="dxa"/>
                  </w:tcMar>
                  <w:vAlign w:val="center"/>
                </w:tcPr>
                <w:p w14:paraId="05046F40">
                  <w:pPr>
                    <w:keepNext w:val="0"/>
                    <w:keepLines w:val="0"/>
                    <w:pageBreakBefore w:val="0"/>
                    <w:widowControl/>
                    <w:suppressLineNumbers w:val="0"/>
                    <w:kinsoku/>
                    <w:wordWrap/>
                    <w:overflowPunct/>
                    <w:topLinePunct w:val="0"/>
                    <w:bidi w:val="0"/>
                    <w:spacing w:line="320" w:lineRule="exact"/>
                    <w:jc w:val="center"/>
                    <w:textAlignment w:val="center"/>
                    <w:rPr>
                      <w:rFonts w:hint="eastAsia" w:asciiTheme="minorEastAsia" w:hAnsiTheme="minorEastAsia" w:eastAsiaTheme="minorEastAsia" w:cstheme="minorEastAsia"/>
                      <w:snapToGrid w:val="0"/>
                      <w:color w:val="auto"/>
                      <w:kern w:val="28"/>
                      <w:sz w:val="21"/>
                      <w:szCs w:val="21"/>
                      <w:highlight w:val="none"/>
                    </w:rPr>
                  </w:pPr>
                  <w:r>
                    <w:rPr>
                      <w:rFonts w:hint="eastAsia" w:ascii="宋体" w:hAnsi="宋体" w:eastAsia="宋体" w:cs="宋体"/>
                      <w:i w:val="0"/>
                      <w:iCs w:val="0"/>
                      <w:color w:val="000000"/>
                      <w:kern w:val="0"/>
                      <w:sz w:val="21"/>
                      <w:szCs w:val="21"/>
                      <w:u w:val="none"/>
                      <w:lang w:val="en-US" w:eastAsia="zh-CN" w:bidi="ar"/>
                    </w:rPr>
                    <w:t>0.</w:t>
                  </w:r>
                  <w:r>
                    <w:rPr>
                      <w:rFonts w:hint="eastAsia" w:ascii="宋体" w:hAnsi="宋体" w:cs="宋体"/>
                      <w:i w:val="0"/>
                      <w:iCs w:val="0"/>
                      <w:color w:val="000000"/>
                      <w:kern w:val="0"/>
                      <w:sz w:val="21"/>
                      <w:szCs w:val="21"/>
                      <w:u w:val="none"/>
                      <w:lang w:val="en-US" w:eastAsia="zh-CN" w:bidi="ar"/>
                    </w:rPr>
                    <w:t>45</w:t>
                  </w:r>
                  <w:r>
                    <w:rPr>
                      <w:rFonts w:hint="eastAsia" w:ascii="宋体" w:hAnsi="宋体" w:eastAsia="宋体" w:cs="宋体"/>
                      <w:i w:val="0"/>
                      <w:iCs w:val="0"/>
                      <w:color w:val="000000"/>
                      <w:kern w:val="0"/>
                      <w:sz w:val="21"/>
                      <w:szCs w:val="21"/>
                      <w:u w:val="none"/>
                      <w:lang w:val="en-US" w:eastAsia="zh-CN" w:bidi="ar"/>
                    </w:rPr>
                    <w:t>%</w:t>
                  </w:r>
                </w:p>
              </w:tc>
              <w:tc>
                <w:tcPr>
                  <w:tcW w:w="1169" w:type="dxa"/>
                  <w:noWrap w:val="0"/>
                  <w:tcMar>
                    <w:top w:w="30" w:type="dxa"/>
                    <w:left w:w="150" w:type="dxa"/>
                    <w:bottom w:w="30" w:type="dxa"/>
                    <w:right w:w="150" w:type="dxa"/>
                  </w:tcMar>
                  <w:vAlign w:val="center"/>
                </w:tcPr>
                <w:p w14:paraId="6415E47B">
                  <w:pPr>
                    <w:keepNext w:val="0"/>
                    <w:keepLines w:val="0"/>
                    <w:pageBreakBefore w:val="0"/>
                    <w:widowControl/>
                    <w:suppressLineNumbers w:val="0"/>
                    <w:kinsoku/>
                    <w:wordWrap/>
                    <w:overflowPunct/>
                    <w:topLinePunct w:val="0"/>
                    <w:bidi w:val="0"/>
                    <w:spacing w:line="320" w:lineRule="exact"/>
                    <w:jc w:val="center"/>
                    <w:textAlignment w:val="center"/>
                    <w:rPr>
                      <w:rFonts w:hint="eastAsia" w:asciiTheme="minorEastAsia" w:hAnsiTheme="minorEastAsia" w:eastAsiaTheme="minorEastAsia" w:cstheme="minorEastAsia"/>
                      <w:snapToGrid w:val="0"/>
                      <w:color w:val="auto"/>
                      <w:kern w:val="28"/>
                      <w:sz w:val="21"/>
                      <w:szCs w:val="21"/>
                      <w:highlight w:val="none"/>
                    </w:rPr>
                  </w:pPr>
                  <w:r>
                    <w:rPr>
                      <w:rFonts w:hint="eastAsia" w:ascii="宋体" w:hAnsi="宋体" w:eastAsia="宋体" w:cs="宋体"/>
                      <w:i w:val="0"/>
                      <w:iCs w:val="0"/>
                      <w:color w:val="000000"/>
                      <w:kern w:val="0"/>
                      <w:sz w:val="21"/>
                      <w:szCs w:val="21"/>
                      <w:u w:val="none"/>
                      <w:lang w:val="en-US" w:eastAsia="zh-CN" w:bidi="ar"/>
                    </w:rPr>
                    <w:t>0.55%</w:t>
                  </w:r>
                </w:p>
              </w:tc>
            </w:tr>
            <w:tr w14:paraId="3F94B0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90" w:hRule="atLeast"/>
                <w:jc w:val="center"/>
              </w:trPr>
              <w:tc>
                <w:tcPr>
                  <w:tcW w:w="2639" w:type="dxa"/>
                  <w:noWrap w:val="0"/>
                  <w:tcMar>
                    <w:top w:w="30" w:type="dxa"/>
                    <w:left w:w="150" w:type="dxa"/>
                    <w:bottom w:w="30" w:type="dxa"/>
                    <w:right w:w="150" w:type="dxa"/>
                  </w:tcMar>
                  <w:vAlign w:val="center"/>
                </w:tcPr>
                <w:p w14:paraId="162E2A3E">
                  <w:pPr>
                    <w:keepNext w:val="0"/>
                    <w:keepLines w:val="0"/>
                    <w:pageBreakBefore w:val="0"/>
                    <w:kinsoku/>
                    <w:wordWrap/>
                    <w:overflowPunct/>
                    <w:topLinePunct w:val="0"/>
                    <w:bidi w:val="0"/>
                    <w:spacing w:line="320" w:lineRule="exact"/>
                    <w:rPr>
                      <w:rFonts w:hint="eastAsia" w:asciiTheme="minorEastAsia" w:hAnsiTheme="minorEastAsia" w:eastAsiaTheme="minorEastAsia" w:cstheme="minorEastAsia"/>
                      <w:snapToGrid w:val="0"/>
                      <w:color w:val="auto"/>
                      <w:kern w:val="28"/>
                      <w:sz w:val="21"/>
                      <w:szCs w:val="21"/>
                      <w:highlight w:val="none"/>
                    </w:rPr>
                  </w:pPr>
                  <w:r>
                    <w:rPr>
                      <w:rFonts w:hint="eastAsia" w:asciiTheme="minorEastAsia" w:hAnsiTheme="minorEastAsia" w:eastAsiaTheme="minorEastAsia" w:cstheme="minorEastAsia"/>
                      <w:snapToGrid w:val="0"/>
                      <w:color w:val="auto"/>
                      <w:kern w:val="28"/>
                      <w:sz w:val="21"/>
                      <w:szCs w:val="21"/>
                      <w:highlight w:val="none"/>
                    </w:rPr>
                    <w:t>1000-5000</w:t>
                  </w:r>
                </w:p>
              </w:tc>
              <w:tc>
                <w:tcPr>
                  <w:tcW w:w="1061" w:type="dxa"/>
                  <w:noWrap w:val="0"/>
                  <w:tcMar>
                    <w:top w:w="30" w:type="dxa"/>
                    <w:left w:w="150" w:type="dxa"/>
                    <w:bottom w:w="30" w:type="dxa"/>
                    <w:right w:w="150" w:type="dxa"/>
                  </w:tcMar>
                  <w:vAlign w:val="center"/>
                </w:tcPr>
                <w:p w14:paraId="4BA1576D">
                  <w:pPr>
                    <w:keepNext w:val="0"/>
                    <w:keepLines w:val="0"/>
                    <w:pageBreakBefore w:val="0"/>
                    <w:widowControl/>
                    <w:suppressLineNumbers w:val="0"/>
                    <w:kinsoku/>
                    <w:wordWrap/>
                    <w:overflowPunct/>
                    <w:topLinePunct w:val="0"/>
                    <w:bidi w:val="0"/>
                    <w:spacing w:line="320" w:lineRule="exact"/>
                    <w:jc w:val="center"/>
                    <w:textAlignment w:val="center"/>
                    <w:rPr>
                      <w:rFonts w:hint="eastAsia" w:asciiTheme="minorEastAsia" w:hAnsiTheme="minorEastAsia" w:eastAsiaTheme="minorEastAsia" w:cstheme="minorEastAsia"/>
                      <w:snapToGrid w:val="0"/>
                      <w:color w:val="auto"/>
                      <w:kern w:val="28"/>
                      <w:sz w:val="21"/>
                      <w:szCs w:val="21"/>
                      <w:highlight w:val="none"/>
                    </w:rPr>
                  </w:pPr>
                  <w:r>
                    <w:rPr>
                      <w:rFonts w:hint="eastAsia" w:ascii="宋体" w:hAnsi="宋体" w:eastAsia="宋体" w:cs="宋体"/>
                      <w:i w:val="0"/>
                      <w:iCs w:val="0"/>
                      <w:color w:val="000000"/>
                      <w:kern w:val="0"/>
                      <w:sz w:val="21"/>
                      <w:szCs w:val="21"/>
                      <w:u w:val="none"/>
                      <w:lang w:val="en-US" w:eastAsia="zh-CN" w:bidi="ar"/>
                    </w:rPr>
                    <w:t>0.</w:t>
                  </w:r>
                  <w:r>
                    <w:rPr>
                      <w:rFonts w:hint="eastAsia" w:ascii="宋体" w:hAnsi="宋体" w:cs="宋体"/>
                      <w:i w:val="0"/>
                      <w:iCs w:val="0"/>
                      <w:color w:val="000000"/>
                      <w:kern w:val="0"/>
                      <w:sz w:val="21"/>
                      <w:szCs w:val="21"/>
                      <w:u w:val="none"/>
                      <w:lang w:val="en-US" w:eastAsia="zh-CN" w:bidi="ar"/>
                    </w:rPr>
                    <w:t>5</w:t>
                  </w:r>
                  <w:r>
                    <w:rPr>
                      <w:rFonts w:hint="eastAsia" w:ascii="宋体" w:hAnsi="宋体" w:eastAsia="宋体" w:cs="宋体"/>
                      <w:i w:val="0"/>
                      <w:iCs w:val="0"/>
                      <w:color w:val="000000"/>
                      <w:kern w:val="0"/>
                      <w:sz w:val="21"/>
                      <w:szCs w:val="21"/>
                      <w:u w:val="none"/>
                      <w:lang w:val="en-US" w:eastAsia="zh-CN" w:bidi="ar"/>
                    </w:rPr>
                    <w:t>0%</w:t>
                  </w:r>
                </w:p>
              </w:tc>
              <w:tc>
                <w:tcPr>
                  <w:tcW w:w="960" w:type="dxa"/>
                  <w:noWrap w:val="0"/>
                  <w:tcMar>
                    <w:top w:w="30" w:type="dxa"/>
                    <w:left w:w="150" w:type="dxa"/>
                    <w:bottom w:w="30" w:type="dxa"/>
                    <w:right w:w="150" w:type="dxa"/>
                  </w:tcMar>
                  <w:vAlign w:val="center"/>
                </w:tcPr>
                <w:p w14:paraId="0F2D0D06">
                  <w:pPr>
                    <w:keepNext w:val="0"/>
                    <w:keepLines w:val="0"/>
                    <w:pageBreakBefore w:val="0"/>
                    <w:widowControl/>
                    <w:suppressLineNumbers w:val="0"/>
                    <w:kinsoku/>
                    <w:wordWrap/>
                    <w:overflowPunct/>
                    <w:topLinePunct w:val="0"/>
                    <w:bidi w:val="0"/>
                    <w:spacing w:line="320" w:lineRule="exact"/>
                    <w:jc w:val="center"/>
                    <w:textAlignment w:val="center"/>
                    <w:rPr>
                      <w:rFonts w:hint="eastAsia" w:asciiTheme="minorEastAsia" w:hAnsiTheme="minorEastAsia" w:eastAsiaTheme="minorEastAsia" w:cstheme="minorEastAsia"/>
                      <w:snapToGrid w:val="0"/>
                      <w:color w:val="auto"/>
                      <w:kern w:val="28"/>
                      <w:sz w:val="21"/>
                      <w:szCs w:val="21"/>
                      <w:highlight w:val="none"/>
                    </w:rPr>
                  </w:pPr>
                  <w:r>
                    <w:rPr>
                      <w:rFonts w:hint="eastAsia" w:ascii="宋体" w:hAnsi="宋体" w:eastAsia="宋体" w:cs="宋体"/>
                      <w:i w:val="0"/>
                      <w:iCs w:val="0"/>
                      <w:color w:val="000000"/>
                      <w:kern w:val="0"/>
                      <w:sz w:val="21"/>
                      <w:szCs w:val="21"/>
                      <w:u w:val="none"/>
                      <w:lang w:val="en-US" w:eastAsia="zh-CN" w:bidi="ar"/>
                    </w:rPr>
                    <w:t>0.</w:t>
                  </w:r>
                  <w:r>
                    <w:rPr>
                      <w:rFonts w:hint="eastAsia" w:ascii="宋体" w:hAnsi="宋体" w:cs="宋体"/>
                      <w:i w:val="0"/>
                      <w:iCs w:val="0"/>
                      <w:color w:val="000000"/>
                      <w:kern w:val="0"/>
                      <w:sz w:val="21"/>
                      <w:szCs w:val="21"/>
                      <w:u w:val="none"/>
                      <w:lang w:val="en-US" w:eastAsia="zh-CN" w:bidi="ar"/>
                    </w:rPr>
                    <w:t>25</w:t>
                  </w:r>
                  <w:r>
                    <w:rPr>
                      <w:rFonts w:hint="eastAsia" w:ascii="宋体" w:hAnsi="宋体" w:eastAsia="宋体" w:cs="宋体"/>
                      <w:i w:val="0"/>
                      <w:iCs w:val="0"/>
                      <w:color w:val="000000"/>
                      <w:kern w:val="0"/>
                      <w:sz w:val="21"/>
                      <w:szCs w:val="21"/>
                      <w:u w:val="none"/>
                      <w:lang w:val="en-US" w:eastAsia="zh-CN" w:bidi="ar"/>
                    </w:rPr>
                    <w:t>%</w:t>
                  </w:r>
                </w:p>
              </w:tc>
              <w:tc>
                <w:tcPr>
                  <w:tcW w:w="1169" w:type="dxa"/>
                  <w:noWrap w:val="0"/>
                  <w:tcMar>
                    <w:top w:w="30" w:type="dxa"/>
                    <w:left w:w="150" w:type="dxa"/>
                    <w:bottom w:w="30" w:type="dxa"/>
                    <w:right w:w="150" w:type="dxa"/>
                  </w:tcMar>
                  <w:vAlign w:val="center"/>
                </w:tcPr>
                <w:p w14:paraId="4515A148">
                  <w:pPr>
                    <w:keepNext w:val="0"/>
                    <w:keepLines w:val="0"/>
                    <w:pageBreakBefore w:val="0"/>
                    <w:widowControl/>
                    <w:suppressLineNumbers w:val="0"/>
                    <w:kinsoku/>
                    <w:wordWrap/>
                    <w:overflowPunct/>
                    <w:topLinePunct w:val="0"/>
                    <w:bidi w:val="0"/>
                    <w:spacing w:line="320" w:lineRule="exact"/>
                    <w:jc w:val="center"/>
                    <w:textAlignment w:val="center"/>
                    <w:rPr>
                      <w:rFonts w:hint="eastAsia" w:asciiTheme="minorEastAsia" w:hAnsiTheme="minorEastAsia" w:eastAsiaTheme="minorEastAsia" w:cstheme="minorEastAsia"/>
                      <w:snapToGrid w:val="0"/>
                      <w:color w:val="auto"/>
                      <w:kern w:val="28"/>
                      <w:sz w:val="21"/>
                      <w:szCs w:val="21"/>
                      <w:highlight w:val="none"/>
                    </w:rPr>
                  </w:pPr>
                  <w:r>
                    <w:rPr>
                      <w:rFonts w:hint="eastAsia" w:ascii="宋体" w:hAnsi="宋体" w:eastAsia="宋体" w:cs="宋体"/>
                      <w:i w:val="0"/>
                      <w:iCs w:val="0"/>
                      <w:color w:val="000000"/>
                      <w:kern w:val="0"/>
                      <w:sz w:val="21"/>
                      <w:szCs w:val="21"/>
                      <w:u w:val="none"/>
                      <w:lang w:val="en-US" w:eastAsia="zh-CN" w:bidi="ar"/>
                    </w:rPr>
                    <w:t>0.35%</w:t>
                  </w:r>
                </w:p>
              </w:tc>
            </w:tr>
            <w:tr w14:paraId="0E6961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90" w:hRule="atLeast"/>
                <w:jc w:val="center"/>
              </w:trPr>
              <w:tc>
                <w:tcPr>
                  <w:tcW w:w="2639" w:type="dxa"/>
                  <w:noWrap w:val="0"/>
                  <w:tcMar>
                    <w:top w:w="30" w:type="dxa"/>
                    <w:left w:w="150" w:type="dxa"/>
                    <w:bottom w:w="30" w:type="dxa"/>
                    <w:right w:w="150" w:type="dxa"/>
                  </w:tcMar>
                  <w:vAlign w:val="center"/>
                </w:tcPr>
                <w:p w14:paraId="6A36136C">
                  <w:pPr>
                    <w:keepNext w:val="0"/>
                    <w:keepLines w:val="0"/>
                    <w:pageBreakBefore w:val="0"/>
                    <w:kinsoku/>
                    <w:wordWrap/>
                    <w:overflowPunct/>
                    <w:topLinePunct w:val="0"/>
                    <w:bidi w:val="0"/>
                    <w:spacing w:line="320" w:lineRule="exact"/>
                    <w:rPr>
                      <w:rFonts w:hint="eastAsia" w:asciiTheme="minorEastAsia" w:hAnsiTheme="minorEastAsia" w:eastAsiaTheme="minorEastAsia" w:cstheme="minorEastAsia"/>
                      <w:snapToGrid w:val="0"/>
                      <w:color w:val="auto"/>
                      <w:kern w:val="28"/>
                      <w:sz w:val="21"/>
                      <w:szCs w:val="21"/>
                      <w:highlight w:val="none"/>
                    </w:rPr>
                  </w:pPr>
                  <w:r>
                    <w:rPr>
                      <w:rFonts w:hint="eastAsia" w:asciiTheme="minorEastAsia" w:hAnsiTheme="minorEastAsia" w:eastAsiaTheme="minorEastAsia" w:cstheme="minorEastAsia"/>
                      <w:snapToGrid w:val="0"/>
                      <w:color w:val="auto"/>
                      <w:kern w:val="28"/>
                      <w:sz w:val="21"/>
                      <w:szCs w:val="21"/>
                      <w:highlight w:val="none"/>
                    </w:rPr>
                    <w:t>5000-10000</w:t>
                  </w:r>
                </w:p>
              </w:tc>
              <w:tc>
                <w:tcPr>
                  <w:tcW w:w="1061" w:type="dxa"/>
                  <w:noWrap w:val="0"/>
                  <w:tcMar>
                    <w:top w:w="30" w:type="dxa"/>
                    <w:left w:w="150" w:type="dxa"/>
                    <w:bottom w:w="30" w:type="dxa"/>
                    <w:right w:w="150" w:type="dxa"/>
                  </w:tcMar>
                  <w:vAlign w:val="center"/>
                </w:tcPr>
                <w:p w14:paraId="5644BE67">
                  <w:pPr>
                    <w:keepNext w:val="0"/>
                    <w:keepLines w:val="0"/>
                    <w:pageBreakBefore w:val="0"/>
                    <w:widowControl/>
                    <w:suppressLineNumbers w:val="0"/>
                    <w:kinsoku/>
                    <w:wordWrap/>
                    <w:overflowPunct/>
                    <w:topLinePunct w:val="0"/>
                    <w:bidi w:val="0"/>
                    <w:spacing w:line="320" w:lineRule="exact"/>
                    <w:jc w:val="center"/>
                    <w:textAlignment w:val="center"/>
                    <w:rPr>
                      <w:rFonts w:hint="eastAsia" w:asciiTheme="minorEastAsia" w:hAnsiTheme="minorEastAsia" w:eastAsiaTheme="minorEastAsia" w:cstheme="minorEastAsia"/>
                      <w:snapToGrid w:val="0"/>
                      <w:color w:val="auto"/>
                      <w:kern w:val="28"/>
                      <w:sz w:val="21"/>
                      <w:szCs w:val="21"/>
                      <w:highlight w:val="none"/>
                    </w:rPr>
                  </w:pPr>
                  <w:r>
                    <w:rPr>
                      <w:rFonts w:hint="eastAsia" w:ascii="宋体" w:hAnsi="宋体" w:eastAsia="宋体" w:cs="宋体"/>
                      <w:i w:val="0"/>
                      <w:iCs w:val="0"/>
                      <w:color w:val="000000"/>
                      <w:kern w:val="0"/>
                      <w:sz w:val="21"/>
                      <w:szCs w:val="21"/>
                      <w:u w:val="none"/>
                      <w:lang w:val="en-US" w:eastAsia="zh-CN" w:bidi="ar"/>
                    </w:rPr>
                    <w:t>0.2</w:t>
                  </w:r>
                  <w:r>
                    <w:rPr>
                      <w:rFonts w:hint="eastAsia" w:ascii="宋体" w:hAnsi="宋体" w:cs="宋体"/>
                      <w:i w:val="0"/>
                      <w:iCs w:val="0"/>
                      <w:color w:val="000000"/>
                      <w:kern w:val="0"/>
                      <w:sz w:val="21"/>
                      <w:szCs w:val="21"/>
                      <w:u w:val="none"/>
                      <w:lang w:val="en-US" w:eastAsia="zh-CN" w:bidi="ar"/>
                    </w:rPr>
                    <w:t>5</w:t>
                  </w:r>
                  <w:r>
                    <w:rPr>
                      <w:rFonts w:hint="eastAsia" w:ascii="宋体" w:hAnsi="宋体" w:eastAsia="宋体" w:cs="宋体"/>
                      <w:i w:val="0"/>
                      <w:iCs w:val="0"/>
                      <w:color w:val="000000"/>
                      <w:kern w:val="0"/>
                      <w:sz w:val="21"/>
                      <w:szCs w:val="21"/>
                      <w:u w:val="none"/>
                      <w:lang w:val="en-US" w:eastAsia="zh-CN" w:bidi="ar"/>
                    </w:rPr>
                    <w:t>%</w:t>
                  </w:r>
                </w:p>
              </w:tc>
              <w:tc>
                <w:tcPr>
                  <w:tcW w:w="960" w:type="dxa"/>
                  <w:noWrap w:val="0"/>
                  <w:tcMar>
                    <w:top w:w="30" w:type="dxa"/>
                    <w:left w:w="150" w:type="dxa"/>
                    <w:bottom w:w="30" w:type="dxa"/>
                    <w:right w:w="150" w:type="dxa"/>
                  </w:tcMar>
                  <w:vAlign w:val="center"/>
                </w:tcPr>
                <w:p w14:paraId="33084CBD">
                  <w:pPr>
                    <w:keepNext w:val="0"/>
                    <w:keepLines w:val="0"/>
                    <w:pageBreakBefore w:val="0"/>
                    <w:widowControl/>
                    <w:suppressLineNumbers w:val="0"/>
                    <w:kinsoku/>
                    <w:wordWrap/>
                    <w:overflowPunct/>
                    <w:topLinePunct w:val="0"/>
                    <w:bidi w:val="0"/>
                    <w:spacing w:line="320" w:lineRule="exact"/>
                    <w:jc w:val="center"/>
                    <w:textAlignment w:val="center"/>
                    <w:rPr>
                      <w:rFonts w:hint="eastAsia" w:asciiTheme="minorEastAsia" w:hAnsiTheme="minorEastAsia" w:eastAsiaTheme="minorEastAsia" w:cstheme="minorEastAsia"/>
                      <w:snapToGrid w:val="0"/>
                      <w:color w:val="auto"/>
                      <w:kern w:val="28"/>
                      <w:sz w:val="21"/>
                      <w:szCs w:val="21"/>
                      <w:highlight w:val="none"/>
                    </w:rPr>
                  </w:pPr>
                  <w:r>
                    <w:rPr>
                      <w:rFonts w:hint="eastAsia" w:ascii="宋体" w:hAnsi="宋体" w:eastAsia="宋体" w:cs="宋体"/>
                      <w:i w:val="0"/>
                      <w:iCs w:val="0"/>
                      <w:color w:val="000000"/>
                      <w:kern w:val="0"/>
                      <w:sz w:val="21"/>
                      <w:szCs w:val="21"/>
                      <w:u w:val="none"/>
                      <w:lang w:val="en-US" w:eastAsia="zh-CN" w:bidi="ar"/>
                    </w:rPr>
                    <w:t>0.</w:t>
                  </w:r>
                  <w:r>
                    <w:rPr>
                      <w:rFonts w:hint="eastAsia" w:ascii="宋体" w:hAnsi="宋体" w:cs="宋体"/>
                      <w:i w:val="0"/>
                      <w:iCs w:val="0"/>
                      <w:color w:val="000000"/>
                      <w:kern w:val="0"/>
                      <w:sz w:val="21"/>
                      <w:szCs w:val="21"/>
                      <w:u w:val="none"/>
                      <w:lang w:val="en-US" w:eastAsia="zh-CN" w:bidi="ar"/>
                    </w:rPr>
                    <w:t>1</w:t>
                  </w:r>
                  <w:r>
                    <w:rPr>
                      <w:rFonts w:hint="eastAsia" w:ascii="宋体" w:hAnsi="宋体" w:eastAsia="宋体" w:cs="宋体"/>
                      <w:i w:val="0"/>
                      <w:iCs w:val="0"/>
                      <w:color w:val="000000"/>
                      <w:kern w:val="0"/>
                      <w:sz w:val="21"/>
                      <w:szCs w:val="21"/>
                      <w:u w:val="none"/>
                      <w:lang w:val="en-US" w:eastAsia="zh-CN" w:bidi="ar"/>
                    </w:rPr>
                    <w:t>%</w:t>
                  </w:r>
                </w:p>
              </w:tc>
              <w:tc>
                <w:tcPr>
                  <w:tcW w:w="1169" w:type="dxa"/>
                  <w:noWrap w:val="0"/>
                  <w:tcMar>
                    <w:top w:w="30" w:type="dxa"/>
                    <w:left w:w="150" w:type="dxa"/>
                    <w:bottom w:w="30" w:type="dxa"/>
                    <w:right w:w="150" w:type="dxa"/>
                  </w:tcMar>
                  <w:vAlign w:val="center"/>
                </w:tcPr>
                <w:p w14:paraId="7EB806D3">
                  <w:pPr>
                    <w:keepNext w:val="0"/>
                    <w:keepLines w:val="0"/>
                    <w:pageBreakBefore w:val="0"/>
                    <w:widowControl/>
                    <w:suppressLineNumbers w:val="0"/>
                    <w:kinsoku/>
                    <w:wordWrap/>
                    <w:overflowPunct/>
                    <w:topLinePunct w:val="0"/>
                    <w:bidi w:val="0"/>
                    <w:spacing w:line="320" w:lineRule="exact"/>
                    <w:jc w:val="center"/>
                    <w:textAlignment w:val="center"/>
                    <w:rPr>
                      <w:rFonts w:hint="eastAsia" w:asciiTheme="minorEastAsia" w:hAnsiTheme="minorEastAsia" w:eastAsiaTheme="minorEastAsia" w:cstheme="minorEastAsia"/>
                      <w:snapToGrid w:val="0"/>
                      <w:color w:val="auto"/>
                      <w:kern w:val="28"/>
                      <w:sz w:val="21"/>
                      <w:szCs w:val="21"/>
                      <w:highlight w:val="none"/>
                    </w:rPr>
                  </w:pPr>
                  <w:r>
                    <w:rPr>
                      <w:rFonts w:hint="eastAsia" w:ascii="宋体" w:hAnsi="宋体" w:eastAsia="宋体" w:cs="宋体"/>
                      <w:i w:val="0"/>
                      <w:iCs w:val="0"/>
                      <w:color w:val="000000"/>
                      <w:kern w:val="0"/>
                      <w:sz w:val="21"/>
                      <w:szCs w:val="21"/>
                      <w:u w:val="none"/>
                      <w:lang w:val="en-US" w:eastAsia="zh-CN" w:bidi="ar"/>
                    </w:rPr>
                    <w:t>0.20%</w:t>
                  </w:r>
                </w:p>
              </w:tc>
            </w:tr>
            <w:tr w14:paraId="7CEDDC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99" w:hRule="atLeast"/>
                <w:jc w:val="center"/>
              </w:trPr>
              <w:tc>
                <w:tcPr>
                  <w:tcW w:w="2639" w:type="dxa"/>
                  <w:noWrap w:val="0"/>
                  <w:tcMar>
                    <w:top w:w="30" w:type="dxa"/>
                    <w:left w:w="150" w:type="dxa"/>
                    <w:bottom w:w="30" w:type="dxa"/>
                    <w:right w:w="150" w:type="dxa"/>
                  </w:tcMar>
                  <w:vAlign w:val="center"/>
                </w:tcPr>
                <w:p w14:paraId="1D9FE0BF">
                  <w:pPr>
                    <w:keepNext w:val="0"/>
                    <w:keepLines w:val="0"/>
                    <w:pageBreakBefore w:val="0"/>
                    <w:kinsoku/>
                    <w:wordWrap/>
                    <w:overflowPunct/>
                    <w:topLinePunct w:val="0"/>
                    <w:bidi w:val="0"/>
                    <w:spacing w:line="320" w:lineRule="exact"/>
                    <w:rPr>
                      <w:rFonts w:hint="eastAsia" w:asciiTheme="minorEastAsia" w:hAnsiTheme="minorEastAsia" w:eastAsiaTheme="minorEastAsia" w:cstheme="minorEastAsia"/>
                      <w:snapToGrid w:val="0"/>
                      <w:color w:val="auto"/>
                      <w:kern w:val="28"/>
                      <w:sz w:val="21"/>
                      <w:szCs w:val="21"/>
                      <w:highlight w:val="none"/>
                    </w:rPr>
                  </w:pPr>
                  <w:r>
                    <w:rPr>
                      <w:rFonts w:hint="eastAsia" w:asciiTheme="minorEastAsia" w:hAnsiTheme="minorEastAsia" w:eastAsiaTheme="minorEastAsia" w:cstheme="minorEastAsia"/>
                      <w:snapToGrid w:val="0"/>
                      <w:color w:val="auto"/>
                      <w:kern w:val="28"/>
                      <w:sz w:val="21"/>
                      <w:szCs w:val="21"/>
                      <w:highlight w:val="none"/>
                    </w:rPr>
                    <w:t>1亿～5亿</w:t>
                  </w:r>
                </w:p>
              </w:tc>
              <w:tc>
                <w:tcPr>
                  <w:tcW w:w="1061" w:type="dxa"/>
                  <w:noWrap w:val="0"/>
                  <w:tcMar>
                    <w:top w:w="30" w:type="dxa"/>
                    <w:left w:w="150" w:type="dxa"/>
                    <w:bottom w:w="30" w:type="dxa"/>
                    <w:right w:w="150" w:type="dxa"/>
                  </w:tcMar>
                  <w:vAlign w:val="center"/>
                </w:tcPr>
                <w:p w14:paraId="357239E2">
                  <w:pPr>
                    <w:keepNext w:val="0"/>
                    <w:keepLines w:val="0"/>
                    <w:pageBreakBefore w:val="0"/>
                    <w:widowControl/>
                    <w:suppressLineNumbers w:val="0"/>
                    <w:kinsoku/>
                    <w:wordWrap/>
                    <w:overflowPunct/>
                    <w:topLinePunct w:val="0"/>
                    <w:bidi w:val="0"/>
                    <w:spacing w:line="320" w:lineRule="exact"/>
                    <w:jc w:val="center"/>
                    <w:textAlignment w:val="center"/>
                    <w:rPr>
                      <w:rFonts w:hint="eastAsia" w:asciiTheme="minorEastAsia" w:hAnsiTheme="minorEastAsia" w:eastAsiaTheme="minorEastAsia" w:cstheme="minorEastAsia"/>
                      <w:snapToGrid w:val="0"/>
                      <w:color w:val="auto"/>
                      <w:kern w:val="28"/>
                      <w:sz w:val="21"/>
                      <w:szCs w:val="21"/>
                      <w:highlight w:val="none"/>
                    </w:rPr>
                  </w:pPr>
                  <w:r>
                    <w:rPr>
                      <w:rFonts w:hint="eastAsia" w:ascii="宋体" w:hAnsi="宋体" w:eastAsia="宋体" w:cs="宋体"/>
                      <w:i w:val="0"/>
                      <w:iCs w:val="0"/>
                      <w:color w:val="000000"/>
                      <w:kern w:val="0"/>
                      <w:sz w:val="21"/>
                      <w:szCs w:val="21"/>
                      <w:u w:val="none"/>
                      <w:lang w:val="en-US" w:eastAsia="zh-CN" w:bidi="ar"/>
                    </w:rPr>
                    <w:t>0.05%</w:t>
                  </w:r>
                </w:p>
              </w:tc>
              <w:tc>
                <w:tcPr>
                  <w:tcW w:w="960" w:type="dxa"/>
                  <w:noWrap w:val="0"/>
                  <w:tcMar>
                    <w:top w:w="30" w:type="dxa"/>
                    <w:left w:w="150" w:type="dxa"/>
                    <w:bottom w:w="30" w:type="dxa"/>
                    <w:right w:w="150" w:type="dxa"/>
                  </w:tcMar>
                  <w:vAlign w:val="center"/>
                </w:tcPr>
                <w:p w14:paraId="1BCAEB9E">
                  <w:pPr>
                    <w:keepNext w:val="0"/>
                    <w:keepLines w:val="0"/>
                    <w:pageBreakBefore w:val="0"/>
                    <w:widowControl/>
                    <w:suppressLineNumbers w:val="0"/>
                    <w:kinsoku/>
                    <w:wordWrap/>
                    <w:overflowPunct/>
                    <w:topLinePunct w:val="0"/>
                    <w:bidi w:val="0"/>
                    <w:spacing w:line="320" w:lineRule="exact"/>
                    <w:jc w:val="center"/>
                    <w:textAlignment w:val="center"/>
                    <w:rPr>
                      <w:rFonts w:hint="eastAsia" w:asciiTheme="minorEastAsia" w:hAnsiTheme="minorEastAsia" w:eastAsiaTheme="minorEastAsia" w:cstheme="minorEastAsia"/>
                      <w:snapToGrid w:val="0"/>
                      <w:color w:val="auto"/>
                      <w:kern w:val="28"/>
                      <w:sz w:val="21"/>
                      <w:szCs w:val="21"/>
                      <w:highlight w:val="none"/>
                    </w:rPr>
                  </w:pPr>
                  <w:r>
                    <w:rPr>
                      <w:rFonts w:hint="eastAsia" w:ascii="宋体" w:hAnsi="宋体" w:eastAsia="宋体" w:cs="宋体"/>
                      <w:i w:val="0"/>
                      <w:iCs w:val="0"/>
                      <w:color w:val="000000"/>
                      <w:kern w:val="0"/>
                      <w:sz w:val="21"/>
                      <w:szCs w:val="21"/>
                      <w:u w:val="none"/>
                      <w:lang w:val="en-US" w:eastAsia="zh-CN" w:bidi="ar"/>
                    </w:rPr>
                    <w:t>0.0</w:t>
                  </w:r>
                  <w:r>
                    <w:rPr>
                      <w:rFonts w:hint="eastAsia" w:ascii="宋体" w:hAnsi="宋体" w:cs="宋体"/>
                      <w:i w:val="0"/>
                      <w:iCs w:val="0"/>
                      <w:color w:val="000000"/>
                      <w:kern w:val="0"/>
                      <w:sz w:val="21"/>
                      <w:szCs w:val="21"/>
                      <w:u w:val="none"/>
                      <w:lang w:val="en-US" w:eastAsia="zh-CN" w:bidi="ar"/>
                    </w:rPr>
                    <w:t>5</w:t>
                  </w:r>
                  <w:r>
                    <w:rPr>
                      <w:rFonts w:hint="eastAsia" w:ascii="宋体" w:hAnsi="宋体" w:eastAsia="宋体" w:cs="宋体"/>
                      <w:i w:val="0"/>
                      <w:iCs w:val="0"/>
                      <w:color w:val="000000"/>
                      <w:kern w:val="0"/>
                      <w:sz w:val="21"/>
                      <w:szCs w:val="21"/>
                      <w:u w:val="none"/>
                      <w:lang w:val="en-US" w:eastAsia="zh-CN" w:bidi="ar"/>
                    </w:rPr>
                    <w:t>%</w:t>
                  </w:r>
                </w:p>
              </w:tc>
              <w:tc>
                <w:tcPr>
                  <w:tcW w:w="1169" w:type="dxa"/>
                  <w:noWrap w:val="0"/>
                  <w:tcMar>
                    <w:top w:w="30" w:type="dxa"/>
                    <w:left w:w="150" w:type="dxa"/>
                    <w:bottom w:w="30" w:type="dxa"/>
                    <w:right w:w="150" w:type="dxa"/>
                  </w:tcMar>
                  <w:vAlign w:val="center"/>
                </w:tcPr>
                <w:p w14:paraId="0785CD40">
                  <w:pPr>
                    <w:keepNext w:val="0"/>
                    <w:keepLines w:val="0"/>
                    <w:pageBreakBefore w:val="0"/>
                    <w:widowControl/>
                    <w:suppressLineNumbers w:val="0"/>
                    <w:kinsoku/>
                    <w:wordWrap/>
                    <w:overflowPunct/>
                    <w:topLinePunct w:val="0"/>
                    <w:bidi w:val="0"/>
                    <w:spacing w:line="320" w:lineRule="exact"/>
                    <w:jc w:val="center"/>
                    <w:textAlignment w:val="center"/>
                    <w:rPr>
                      <w:rFonts w:hint="eastAsia" w:asciiTheme="minorEastAsia" w:hAnsiTheme="minorEastAsia" w:eastAsiaTheme="minorEastAsia" w:cstheme="minorEastAsia"/>
                      <w:snapToGrid w:val="0"/>
                      <w:color w:val="auto"/>
                      <w:kern w:val="28"/>
                      <w:sz w:val="21"/>
                      <w:szCs w:val="21"/>
                      <w:highlight w:val="none"/>
                    </w:rPr>
                  </w:pPr>
                  <w:r>
                    <w:rPr>
                      <w:rFonts w:hint="eastAsia" w:ascii="宋体" w:hAnsi="宋体" w:eastAsia="宋体" w:cs="宋体"/>
                      <w:i w:val="0"/>
                      <w:iCs w:val="0"/>
                      <w:color w:val="000000"/>
                      <w:kern w:val="0"/>
                      <w:sz w:val="21"/>
                      <w:szCs w:val="21"/>
                      <w:u w:val="none"/>
                      <w:lang w:val="en-US" w:eastAsia="zh-CN" w:bidi="ar"/>
                    </w:rPr>
                    <w:t>0.0</w:t>
                  </w:r>
                  <w:r>
                    <w:rPr>
                      <w:rFonts w:hint="eastAsia" w:ascii="宋体" w:hAnsi="宋体" w:cs="宋体"/>
                      <w:i w:val="0"/>
                      <w:iCs w:val="0"/>
                      <w:color w:val="000000"/>
                      <w:kern w:val="0"/>
                      <w:sz w:val="21"/>
                      <w:szCs w:val="21"/>
                      <w:u w:val="none"/>
                      <w:lang w:val="en-US" w:eastAsia="zh-CN" w:bidi="ar"/>
                    </w:rPr>
                    <w:t>5</w:t>
                  </w:r>
                  <w:r>
                    <w:rPr>
                      <w:rFonts w:hint="eastAsia" w:ascii="宋体" w:hAnsi="宋体" w:eastAsia="宋体" w:cs="宋体"/>
                      <w:i w:val="0"/>
                      <w:iCs w:val="0"/>
                      <w:color w:val="000000"/>
                      <w:kern w:val="0"/>
                      <w:sz w:val="21"/>
                      <w:szCs w:val="21"/>
                      <w:u w:val="none"/>
                      <w:lang w:val="en-US" w:eastAsia="zh-CN" w:bidi="ar"/>
                    </w:rPr>
                    <w:t>%</w:t>
                  </w:r>
                </w:p>
              </w:tc>
            </w:tr>
          </w:tbl>
          <w:p w14:paraId="38AD239B">
            <w:pPr>
              <w:keepNext w:val="0"/>
              <w:keepLines w:val="0"/>
              <w:pageBreakBefore w:val="0"/>
              <w:kinsoku/>
              <w:wordWrap/>
              <w:overflowPunct/>
              <w:topLinePunct w:val="0"/>
              <w:bidi w:val="0"/>
              <w:spacing w:line="320" w:lineRule="exact"/>
              <w:rPr>
                <w:rFonts w:hint="eastAsia" w:asciiTheme="minorEastAsia" w:hAnsiTheme="minorEastAsia" w:eastAsiaTheme="minorEastAsia" w:cstheme="minorEastAsia"/>
                <w:sz w:val="21"/>
                <w:szCs w:val="21"/>
                <w:lang w:bidi="ar"/>
              </w:rPr>
            </w:pPr>
            <w:r>
              <w:rPr>
                <w:rFonts w:hint="eastAsia" w:asciiTheme="minorEastAsia" w:hAnsiTheme="minorEastAsia" w:eastAsiaTheme="minorEastAsia" w:cstheme="minorEastAsia"/>
                <w:sz w:val="21"/>
                <w:szCs w:val="21"/>
                <w:lang w:bidi="ar"/>
              </w:rPr>
              <w:t>备注：（1）中标服务费按差额定率累进法计算；</w:t>
            </w:r>
          </w:p>
          <w:p w14:paraId="4969EBA8">
            <w:pPr>
              <w:keepNext w:val="0"/>
              <w:keepLines w:val="0"/>
              <w:pageBreakBefore w:val="0"/>
              <w:kinsoku/>
              <w:wordWrap/>
              <w:overflowPunct/>
              <w:topLinePunct w:val="0"/>
              <w:bidi w:val="0"/>
              <w:spacing w:line="320" w:lineRule="exact"/>
              <w:ind w:firstLine="420" w:firstLineChars="200"/>
              <w:rPr>
                <w:rFonts w:hint="eastAsia" w:asciiTheme="minorEastAsia" w:hAnsiTheme="minorEastAsia" w:eastAsiaTheme="minorEastAsia" w:cstheme="minorEastAsia"/>
                <w:snapToGrid w:val="0"/>
                <w:color w:val="auto"/>
                <w:kern w:val="28"/>
                <w:sz w:val="21"/>
                <w:szCs w:val="21"/>
                <w:highlight w:val="none"/>
              </w:rPr>
            </w:pPr>
            <w:r>
              <w:rPr>
                <w:rFonts w:hint="eastAsia" w:asciiTheme="minorEastAsia" w:hAnsiTheme="minorEastAsia" w:eastAsiaTheme="minorEastAsia" w:cstheme="minorEastAsia"/>
                <w:sz w:val="21"/>
                <w:szCs w:val="21"/>
                <w:lang w:bidi="ar"/>
              </w:rPr>
              <w:t>（2）中标服务费只收现金、银行票汇款、电汇款。汇入以下账户：</w:t>
            </w:r>
            <w:r>
              <w:rPr>
                <w:rFonts w:hint="eastAsia" w:asciiTheme="minorEastAsia" w:hAnsiTheme="minorEastAsia" w:eastAsiaTheme="minorEastAsia" w:cstheme="minorEastAsia"/>
                <w:sz w:val="21"/>
                <w:szCs w:val="21"/>
              </w:rPr>
              <w:t>开户银行：</w:t>
            </w:r>
            <w:r>
              <w:rPr>
                <w:rFonts w:hint="eastAsia" w:cs="Times New Roman"/>
                <w:kern w:val="1"/>
                <w:sz w:val="21"/>
                <w:szCs w:val="21"/>
                <w:lang w:val="en-US" w:eastAsia="zh-CN"/>
              </w:rPr>
              <w:t>宁波和丰建设项目管理有限公司</w:t>
            </w:r>
            <w:r>
              <w:rPr>
                <w:rFonts w:hint="eastAsia" w:asciiTheme="minorEastAsia" w:hAnsiTheme="minorEastAsia" w:eastAsiaTheme="minorEastAsia" w:cstheme="minorEastAsia"/>
                <w:sz w:val="21"/>
                <w:szCs w:val="21"/>
              </w:rPr>
              <w:t>，户名：</w:t>
            </w:r>
            <w:r>
              <w:rPr>
                <w:rFonts w:hint="eastAsia" w:cs="Times New Roman"/>
                <w:kern w:val="1"/>
                <w:sz w:val="21"/>
                <w:szCs w:val="21"/>
                <w:lang w:val="en-US" w:eastAsia="zh-CN"/>
              </w:rPr>
              <w:t>宁波和丰建设项目管理有限公司宁海分公司</w:t>
            </w:r>
            <w:r>
              <w:rPr>
                <w:rFonts w:hint="eastAsia" w:asciiTheme="minorEastAsia" w:hAnsiTheme="minorEastAsia" w:eastAsiaTheme="minorEastAsia" w:cstheme="minorEastAsia"/>
                <w:sz w:val="21"/>
                <w:szCs w:val="21"/>
              </w:rPr>
              <w:t>，账号：</w:t>
            </w:r>
            <w:r>
              <w:rPr>
                <w:rFonts w:hint="eastAsia" w:cs="Times New Roman"/>
                <w:color w:val="auto"/>
                <w:kern w:val="1"/>
                <w:sz w:val="21"/>
                <w:szCs w:val="21"/>
                <w:lang w:val="en-US" w:eastAsia="zh-CN"/>
              </w:rPr>
              <w:t>94180078801500002258</w:t>
            </w:r>
            <w:r>
              <w:rPr>
                <w:rFonts w:hint="eastAsia" w:asciiTheme="minorEastAsia" w:hAnsiTheme="minorEastAsia" w:eastAsiaTheme="minorEastAsia" w:cstheme="minorEastAsia"/>
                <w:sz w:val="21"/>
                <w:szCs w:val="21"/>
              </w:rPr>
              <w:t>。</w:t>
            </w:r>
          </w:p>
        </w:tc>
      </w:tr>
    </w:tbl>
    <w:p w14:paraId="2EFF89CE">
      <w:pPr>
        <w:adjustRightInd/>
        <w:spacing w:line="360" w:lineRule="auto"/>
        <w:rPr>
          <w:rFonts w:cs="仿宋_GB2312" w:asciiTheme="minorEastAsia" w:hAnsiTheme="minorEastAsia" w:eastAsiaTheme="minorEastAsia"/>
          <w:b/>
          <w:sz w:val="21"/>
          <w:szCs w:val="21"/>
        </w:rPr>
      </w:pPr>
    </w:p>
    <w:bookmarkEnd w:id="7"/>
    <w:bookmarkEnd w:id="8"/>
    <w:bookmarkEnd w:id="9"/>
    <w:bookmarkEnd w:id="40"/>
    <w:p w14:paraId="64E067A9">
      <w:pPr>
        <w:snapToGrid w:val="0"/>
        <w:spacing w:line="360" w:lineRule="auto"/>
        <w:jc w:val="center"/>
        <w:outlineLvl w:val="0"/>
        <w:rPr>
          <w:rFonts w:ascii="宋体" w:hAnsi="宋体" w:cs="宋体"/>
          <w:b/>
          <w:sz w:val="21"/>
          <w:szCs w:val="21"/>
        </w:rPr>
      </w:pPr>
      <w:bookmarkStart w:id="48" w:name="_Hlt68072990"/>
      <w:bookmarkEnd w:id="48"/>
      <w:bookmarkStart w:id="49" w:name="_Hlt74729768"/>
      <w:bookmarkEnd w:id="49"/>
      <w:bookmarkStart w:id="50" w:name="_Hlt74707468"/>
      <w:bookmarkEnd w:id="50"/>
      <w:bookmarkStart w:id="51" w:name="_Hlt75236101"/>
      <w:bookmarkEnd w:id="51"/>
      <w:bookmarkStart w:id="52" w:name="_Hlt74714665"/>
      <w:bookmarkEnd w:id="52"/>
      <w:bookmarkStart w:id="53" w:name="_Hlt74730295"/>
      <w:bookmarkEnd w:id="53"/>
      <w:bookmarkStart w:id="54" w:name="_Hlt68057669"/>
      <w:bookmarkEnd w:id="54"/>
      <w:bookmarkStart w:id="55" w:name="_Hlt75236290"/>
      <w:bookmarkEnd w:id="55"/>
      <w:bookmarkStart w:id="56" w:name="_Hlt75236011"/>
      <w:bookmarkEnd w:id="56"/>
      <w:bookmarkStart w:id="57" w:name="_Toc164416483"/>
      <w:bookmarkStart w:id="58" w:name="第三部分"/>
      <w:r>
        <w:rPr>
          <w:rFonts w:hint="eastAsia" w:ascii="宋体" w:hAnsi="宋体" w:cs="宋体"/>
          <w:b/>
          <w:sz w:val="21"/>
          <w:szCs w:val="21"/>
        </w:rPr>
        <w:t>一、总则</w:t>
      </w:r>
    </w:p>
    <w:p w14:paraId="07A839CF">
      <w:pPr>
        <w:snapToGrid w:val="0"/>
        <w:spacing w:line="360" w:lineRule="auto"/>
        <w:jc w:val="left"/>
        <w:outlineLvl w:val="1"/>
        <w:rPr>
          <w:rFonts w:ascii="宋体" w:hAnsi="宋体" w:cs="宋体"/>
          <w:b/>
          <w:sz w:val="21"/>
          <w:szCs w:val="21"/>
        </w:rPr>
      </w:pPr>
      <w:r>
        <w:rPr>
          <w:rFonts w:hint="eastAsia" w:ascii="宋体" w:hAnsi="宋体" w:cs="宋体"/>
          <w:b/>
          <w:sz w:val="21"/>
          <w:szCs w:val="21"/>
        </w:rPr>
        <w:t>1. 适用范围</w:t>
      </w:r>
    </w:p>
    <w:p w14:paraId="3C9958A9">
      <w:pPr>
        <w:snapToGrid w:val="0"/>
        <w:spacing w:line="360" w:lineRule="auto"/>
        <w:ind w:firstLine="420" w:firstLineChars="200"/>
        <w:jc w:val="left"/>
        <w:rPr>
          <w:rFonts w:ascii="宋体" w:hAnsi="宋体" w:cs="宋体"/>
          <w:sz w:val="21"/>
          <w:szCs w:val="21"/>
        </w:rPr>
      </w:pPr>
      <w:r>
        <w:rPr>
          <w:rFonts w:hint="eastAsia" w:ascii="宋体" w:hAnsi="宋体" w:cs="宋体"/>
          <w:sz w:val="21"/>
          <w:szCs w:val="21"/>
        </w:rPr>
        <w:t>本采购文件适用于该项目的采购邀请、响应文件提交、响应文件开启、资格审查及信用信息查询、磋商、评审、成交供应商确定、合同、验收等行为（法律、法规另有规定的，从其规定）。</w:t>
      </w:r>
    </w:p>
    <w:p w14:paraId="699ED70A">
      <w:pPr>
        <w:snapToGrid w:val="0"/>
        <w:spacing w:line="360" w:lineRule="auto"/>
        <w:outlineLvl w:val="0"/>
        <w:rPr>
          <w:rFonts w:ascii="宋体" w:hAnsi="宋体" w:cs="宋体"/>
          <w:b/>
          <w:sz w:val="21"/>
          <w:szCs w:val="21"/>
        </w:rPr>
      </w:pPr>
      <w:r>
        <w:rPr>
          <w:rFonts w:hint="eastAsia" w:ascii="宋体" w:hAnsi="宋体" w:cs="宋体"/>
          <w:b/>
          <w:sz w:val="21"/>
          <w:szCs w:val="21"/>
        </w:rPr>
        <w:t>2.定义</w:t>
      </w:r>
    </w:p>
    <w:p w14:paraId="486BA8C9">
      <w:pPr>
        <w:snapToGrid w:val="0"/>
        <w:spacing w:line="360" w:lineRule="auto"/>
        <w:ind w:firstLine="420" w:firstLineChars="200"/>
        <w:rPr>
          <w:rFonts w:ascii="宋体" w:hAnsi="宋体" w:cs="宋体"/>
          <w:sz w:val="21"/>
          <w:szCs w:val="21"/>
        </w:rPr>
      </w:pPr>
      <w:r>
        <w:rPr>
          <w:rFonts w:hint="eastAsia" w:ascii="宋体" w:hAnsi="宋体" w:cs="宋体"/>
          <w:sz w:val="21"/>
          <w:szCs w:val="21"/>
        </w:rPr>
        <w:t>2.1 “采购人”系指竞争性磋商公告中载明的本项目的采购人。</w:t>
      </w:r>
    </w:p>
    <w:p w14:paraId="38ED86C7">
      <w:pPr>
        <w:snapToGrid w:val="0"/>
        <w:spacing w:line="360" w:lineRule="auto"/>
        <w:ind w:firstLine="420" w:firstLineChars="200"/>
        <w:rPr>
          <w:rFonts w:ascii="宋体" w:hAnsi="宋体" w:cs="宋体"/>
          <w:sz w:val="21"/>
          <w:szCs w:val="21"/>
        </w:rPr>
      </w:pPr>
      <w:r>
        <w:rPr>
          <w:rFonts w:hint="eastAsia" w:ascii="宋体" w:hAnsi="宋体" w:cs="宋体"/>
          <w:sz w:val="21"/>
          <w:szCs w:val="21"/>
        </w:rPr>
        <w:t>2.2 “</w:t>
      </w:r>
      <w:r>
        <w:rPr>
          <w:rFonts w:hint="eastAsia" w:ascii="宋体" w:hAnsi="宋体" w:cs="宋体"/>
          <w:sz w:val="21"/>
          <w:szCs w:val="21"/>
          <w:lang w:eastAsia="zh-CN"/>
        </w:rPr>
        <w:t>采购代理机构</w:t>
      </w:r>
      <w:r>
        <w:rPr>
          <w:rFonts w:hint="eastAsia" w:ascii="宋体" w:hAnsi="宋体" w:cs="宋体"/>
          <w:sz w:val="21"/>
          <w:szCs w:val="21"/>
        </w:rPr>
        <w:t>”系指竞争性磋商公告中载明的本项目的</w:t>
      </w:r>
      <w:r>
        <w:rPr>
          <w:rFonts w:hint="eastAsia" w:ascii="宋体" w:hAnsi="宋体" w:cs="宋体"/>
          <w:sz w:val="21"/>
          <w:szCs w:val="21"/>
          <w:lang w:eastAsia="zh-CN"/>
        </w:rPr>
        <w:t>采购代理机构</w:t>
      </w:r>
      <w:r>
        <w:rPr>
          <w:rFonts w:hint="eastAsia" w:ascii="宋体" w:hAnsi="宋体" w:cs="宋体"/>
          <w:sz w:val="21"/>
          <w:szCs w:val="21"/>
        </w:rPr>
        <w:t>。</w:t>
      </w:r>
    </w:p>
    <w:p w14:paraId="564A3086">
      <w:pPr>
        <w:snapToGrid w:val="0"/>
        <w:spacing w:line="360" w:lineRule="auto"/>
        <w:ind w:firstLine="420" w:firstLineChars="200"/>
        <w:rPr>
          <w:rFonts w:ascii="宋体" w:hAnsi="宋体" w:cs="宋体"/>
          <w:sz w:val="21"/>
          <w:szCs w:val="21"/>
        </w:rPr>
      </w:pPr>
      <w:r>
        <w:rPr>
          <w:rFonts w:hint="eastAsia" w:ascii="宋体" w:hAnsi="宋体" w:cs="宋体"/>
          <w:sz w:val="21"/>
          <w:szCs w:val="21"/>
        </w:rPr>
        <w:t>2.3 “供应商”系指是指提交响应文件和报价、参与竞争性磋商采购活动的法人、其他组织或者自然人。</w:t>
      </w:r>
    </w:p>
    <w:p w14:paraId="209C0771">
      <w:pPr>
        <w:snapToGrid w:val="0"/>
        <w:spacing w:line="360" w:lineRule="auto"/>
        <w:ind w:firstLine="420" w:firstLineChars="200"/>
        <w:rPr>
          <w:rFonts w:ascii="宋体" w:hAnsi="宋体" w:cs="宋体"/>
          <w:sz w:val="21"/>
          <w:szCs w:val="21"/>
        </w:rPr>
      </w:pPr>
      <w:r>
        <w:rPr>
          <w:rFonts w:hint="eastAsia" w:ascii="宋体" w:hAnsi="宋体" w:cs="宋体"/>
          <w:sz w:val="21"/>
          <w:szCs w:val="21"/>
        </w:rPr>
        <w:t>2.4 “负责人”系指法人企业的法定负责人，或其他组织为法律、行政法规规定代表单位行使职权的主要负责人，或自然人本人。</w:t>
      </w:r>
    </w:p>
    <w:p w14:paraId="08C9E9E1">
      <w:pPr>
        <w:snapToGrid w:val="0"/>
        <w:spacing w:line="360" w:lineRule="auto"/>
        <w:ind w:firstLine="420" w:firstLineChars="200"/>
        <w:rPr>
          <w:rFonts w:ascii="宋体" w:hAnsi="宋体" w:cs="宋体"/>
          <w:sz w:val="21"/>
          <w:szCs w:val="21"/>
        </w:rPr>
      </w:pPr>
      <w:r>
        <w:rPr>
          <w:rFonts w:hint="eastAsia" w:ascii="宋体" w:hAnsi="宋体" w:cs="宋体"/>
          <w:sz w:val="21"/>
          <w:szCs w:val="21"/>
        </w:rPr>
        <w:t>2.5“电子签名”系指数据电文中以电子形式所含、所附用于识别签名人身份并表明签名人认可其中内容的数据；“公章”系指单位法定名称章。因特殊原因需要使用冠以法定名称的业务专用章的，提交响应文件时须提供《业务专用章使用说明函》（附件4）。</w:t>
      </w:r>
    </w:p>
    <w:p w14:paraId="638D703C">
      <w:pPr>
        <w:snapToGrid w:val="0"/>
        <w:spacing w:line="360" w:lineRule="auto"/>
        <w:ind w:firstLine="420" w:firstLineChars="200"/>
        <w:rPr>
          <w:rFonts w:ascii="宋体" w:hAnsi="宋体" w:cs="宋体"/>
          <w:sz w:val="21"/>
          <w:szCs w:val="21"/>
        </w:rPr>
      </w:pPr>
      <w:r>
        <w:rPr>
          <w:rFonts w:hint="eastAsia" w:ascii="宋体" w:hAnsi="宋体" w:cs="宋体"/>
          <w:sz w:val="21"/>
          <w:szCs w:val="21"/>
        </w:rPr>
        <w:t>2.6“电子交易平台”</w:t>
      </w:r>
      <w:r>
        <w:rPr>
          <w:rFonts w:hint="eastAsia" w:ascii="宋体" w:hAnsi="宋体" w:cs="宋体"/>
          <w:sz w:val="21"/>
          <w:szCs w:val="21"/>
          <w:lang w:val="en-US" w:eastAsia="zh-CN"/>
        </w:rPr>
        <w:t>系</w:t>
      </w:r>
      <w:r>
        <w:rPr>
          <w:rFonts w:hint="eastAsia" w:ascii="宋体" w:hAnsi="宋体" w:cs="宋体"/>
          <w:sz w:val="21"/>
          <w:szCs w:val="21"/>
        </w:rPr>
        <w:t>指本项目政府采购活动所依托的政府采购云平台（https://www.zcygov.cn/）。</w:t>
      </w:r>
    </w:p>
    <w:p w14:paraId="23B318C6">
      <w:pPr>
        <w:snapToGrid w:val="0"/>
        <w:spacing w:line="360" w:lineRule="auto"/>
        <w:ind w:firstLine="420" w:firstLineChars="200"/>
        <w:rPr>
          <w:rFonts w:ascii="宋体" w:hAnsi="宋体" w:cs="宋体"/>
          <w:sz w:val="21"/>
          <w:szCs w:val="21"/>
        </w:rPr>
      </w:pPr>
      <w:r>
        <w:rPr>
          <w:rFonts w:hint="eastAsia" w:ascii="宋体" w:hAnsi="宋体" w:cs="宋体"/>
          <w:sz w:val="21"/>
          <w:szCs w:val="21"/>
        </w:rPr>
        <w:t>2.7 “▲” 系指实质性要求条款，“</w:t>
      </w:r>
      <w:sdt>
        <w:sdtPr>
          <w:rPr>
            <w:rFonts w:hint="eastAsia" w:ascii="宋体" w:hAnsi="宋体" w:cs="宋体"/>
            <w:kern w:val="0"/>
            <w:sz w:val="21"/>
            <w:szCs w:val="21"/>
          </w:rPr>
          <w:id w:val="512970236"/>
          <w14:checkbox>
            <w14:checked w14:val="1"/>
            <w14:checkedState w14:val="00FE" w14:font="Wingdings"/>
            <w14:uncheckedState w14:val="2610" w14:font="MS Gothic"/>
          </w14:checkbox>
        </w:sdtPr>
        <w:sdtEndPr>
          <w:rPr>
            <w:rFonts w:hint="eastAsia" w:ascii="宋体" w:hAnsi="宋体" w:cs="宋体"/>
            <w:kern w:val="0"/>
            <w:sz w:val="21"/>
            <w:szCs w:val="21"/>
          </w:rPr>
        </w:sdtEndPr>
        <w:sdtContent>
          <w:r>
            <w:rPr>
              <w:rFonts w:ascii="Wingdings" w:hAnsi="Wingdings" w:cs="宋体"/>
              <w:kern w:val="0"/>
              <w:sz w:val="21"/>
              <w:szCs w:val="21"/>
            </w:rPr>
            <w:t></w:t>
          </w:r>
        </w:sdtContent>
      </w:sdt>
      <w:r>
        <w:rPr>
          <w:rFonts w:hint="eastAsia" w:ascii="宋体" w:hAnsi="宋体" w:cs="宋体"/>
          <w:sz w:val="21"/>
          <w:szCs w:val="21"/>
        </w:rPr>
        <w:t>” 系指适用本项目的要求，“</w:t>
      </w:r>
      <w:sdt>
        <w:sdtPr>
          <w:rPr>
            <w:rFonts w:hint="eastAsia" w:ascii="宋体" w:hAnsi="宋体" w:cs="宋体"/>
            <w:kern w:val="0"/>
            <w:sz w:val="21"/>
            <w:szCs w:val="21"/>
          </w:rPr>
          <w:id w:val="404888855"/>
          <w14:checkbox>
            <w14:checked w14:val="0"/>
            <w14:checkedState w14:val="00FE" w14:font="Wingdings"/>
            <w14:uncheckedState w14:val="2610" w14:font="MS Gothic"/>
          </w14:checkbox>
        </w:sdtPr>
        <w:sdtEndPr>
          <w:rPr>
            <w:rFonts w:hint="eastAsia" w:ascii="宋体" w:hAnsi="宋体" w:cs="宋体"/>
            <w:kern w:val="0"/>
            <w:sz w:val="21"/>
            <w:szCs w:val="21"/>
          </w:rPr>
        </w:sdtEndPr>
        <w:sdtContent>
          <w:r>
            <w:rPr>
              <w:rFonts w:hint="eastAsia" w:ascii="宋体" w:hAnsi="宋体" w:cs="宋体"/>
              <w:kern w:val="0"/>
              <w:sz w:val="21"/>
              <w:szCs w:val="21"/>
            </w:rPr>
            <w:t>☐</w:t>
          </w:r>
        </w:sdtContent>
      </w:sdt>
      <w:r>
        <w:rPr>
          <w:rFonts w:hint="eastAsia" w:ascii="宋体" w:hAnsi="宋体" w:cs="宋体"/>
          <w:sz w:val="21"/>
          <w:szCs w:val="21"/>
        </w:rPr>
        <w:t>” 系指不适用本项目的要求，“※”系指磋商过程中可能实质性变动的内容。</w:t>
      </w:r>
    </w:p>
    <w:p w14:paraId="271E624A">
      <w:pPr>
        <w:snapToGrid w:val="0"/>
        <w:spacing w:line="360" w:lineRule="auto"/>
        <w:rPr>
          <w:rFonts w:ascii="宋体" w:hAnsi="宋体" w:cs="宋体"/>
          <w:b/>
          <w:sz w:val="21"/>
          <w:szCs w:val="21"/>
        </w:rPr>
      </w:pPr>
      <w:r>
        <w:rPr>
          <w:rFonts w:hint="eastAsia" w:ascii="宋体" w:hAnsi="宋体" w:cs="宋体"/>
          <w:b/>
          <w:sz w:val="21"/>
          <w:szCs w:val="21"/>
        </w:rPr>
        <w:t>3.</w:t>
      </w:r>
      <w:r>
        <w:rPr>
          <w:rFonts w:hint="eastAsia" w:ascii="宋体" w:hAnsi="宋体" w:cs="宋体"/>
          <w:sz w:val="21"/>
          <w:szCs w:val="21"/>
        </w:rPr>
        <w:t xml:space="preserve"> </w:t>
      </w:r>
      <w:r>
        <w:rPr>
          <w:rFonts w:hint="eastAsia" w:ascii="宋体" w:hAnsi="宋体" w:cs="宋体"/>
          <w:b/>
          <w:sz w:val="21"/>
          <w:szCs w:val="21"/>
        </w:rPr>
        <w:t>采购项目需要落实的政府采购政策</w:t>
      </w:r>
    </w:p>
    <w:p w14:paraId="43D5DD7C">
      <w:pPr>
        <w:snapToGrid w:val="0"/>
        <w:spacing w:line="360" w:lineRule="auto"/>
        <w:ind w:firstLine="420" w:firstLineChars="200"/>
        <w:rPr>
          <w:rFonts w:ascii="宋体" w:hAnsi="宋体" w:cs="宋体"/>
          <w:sz w:val="21"/>
          <w:szCs w:val="21"/>
        </w:rPr>
      </w:pPr>
      <w:r>
        <w:rPr>
          <w:rFonts w:hint="eastAsia" w:ascii="宋体" w:hAnsi="宋体" w:cs="宋体"/>
          <w:sz w:val="21"/>
          <w:szCs w:val="21"/>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cs="宋体"/>
          <w:sz w:val="21"/>
          <w:szCs w:val="21"/>
          <w:lang w:eastAsia="zh-CN"/>
        </w:rPr>
        <w:t>采购代理机构</w:t>
      </w:r>
      <w:r>
        <w:rPr>
          <w:rFonts w:hint="eastAsia" w:ascii="宋体" w:hAnsi="宋体" w:cs="宋体"/>
          <w:sz w:val="21"/>
          <w:szCs w:val="21"/>
        </w:rPr>
        <w:t>不会对其加以限制，仍将按照公平竞争原则实施采购）；</w:t>
      </w:r>
      <w:r>
        <w:rPr>
          <w:rFonts w:hint="eastAsia" w:ascii="宋体" w:hAnsi="宋体" w:cs="宋体"/>
          <w:kern w:val="0"/>
          <w:sz w:val="21"/>
          <w:szCs w:val="21"/>
        </w:rPr>
        <w:t>优先采购向我国企业转让技术、与我国企业签订消化吸收再创新方案的供应商的进口产品</w:t>
      </w:r>
      <w:r>
        <w:rPr>
          <w:rFonts w:hint="eastAsia" w:ascii="宋体" w:hAnsi="宋体" w:cs="宋体"/>
          <w:sz w:val="21"/>
          <w:szCs w:val="21"/>
        </w:rPr>
        <w:t>。</w:t>
      </w:r>
    </w:p>
    <w:p w14:paraId="0AE8CF43">
      <w:pPr>
        <w:snapToGrid w:val="0"/>
        <w:spacing w:line="360" w:lineRule="auto"/>
        <w:ind w:firstLine="420" w:firstLineChars="200"/>
        <w:rPr>
          <w:rFonts w:ascii="宋体" w:hAnsi="宋体" w:cs="宋体"/>
          <w:sz w:val="21"/>
          <w:szCs w:val="21"/>
        </w:rPr>
      </w:pPr>
      <w:r>
        <w:rPr>
          <w:rFonts w:hint="eastAsia" w:ascii="宋体" w:hAnsi="宋体" w:cs="宋体"/>
          <w:sz w:val="21"/>
          <w:szCs w:val="21"/>
        </w:rPr>
        <w:t>3.2 支持绿色发展</w:t>
      </w:r>
    </w:p>
    <w:p w14:paraId="04AE0D5B">
      <w:pPr>
        <w:snapToGrid w:val="0"/>
        <w:spacing w:line="360" w:lineRule="auto"/>
        <w:ind w:firstLine="420" w:firstLineChars="200"/>
        <w:rPr>
          <w:rFonts w:ascii="宋体" w:hAnsi="宋体" w:cs="宋体"/>
          <w:b/>
          <w:sz w:val="21"/>
          <w:szCs w:val="21"/>
        </w:rPr>
      </w:pPr>
      <w:r>
        <w:rPr>
          <w:rFonts w:hint="eastAsia" w:ascii="宋体" w:hAnsi="宋体" w:cs="宋体"/>
          <w:sz w:val="21"/>
          <w:szCs w:val="21"/>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购文件要求提供相关产品认证证书。▲</w:t>
      </w:r>
      <w:r>
        <w:rPr>
          <w:rFonts w:hint="eastAsia" w:ascii="宋体" w:hAnsi="宋体" w:cs="宋体"/>
          <w:b/>
          <w:sz w:val="21"/>
          <w:szCs w:val="21"/>
        </w:rPr>
        <w:t>采购人拟采购的产品属于政府强制采购的节能产品品目清单范围的，供应商未按采购文件要求提供国家确定的认证机构出具的、处于有效期之内的节能产品认证证书的，响应文件无效。</w:t>
      </w:r>
    </w:p>
    <w:p w14:paraId="78D36B0D">
      <w:pPr>
        <w:snapToGrid w:val="0"/>
        <w:spacing w:line="360" w:lineRule="auto"/>
        <w:ind w:firstLine="420" w:firstLineChars="200"/>
        <w:rPr>
          <w:rFonts w:ascii="宋体" w:hAnsi="宋体" w:cs="宋体"/>
          <w:sz w:val="21"/>
          <w:szCs w:val="21"/>
        </w:rPr>
      </w:pPr>
      <w:r>
        <w:rPr>
          <w:rFonts w:hint="eastAsia" w:ascii="宋体" w:hAnsi="宋体" w:cs="宋体"/>
          <w:sz w:val="21"/>
          <w:szCs w:val="21"/>
        </w:rPr>
        <w:t>3.2.2纳入政府采购管理的修缮、装修类项目采购建材的，鼓励采购单位将绿色建材性能、指标等作为实质性条件纳入采购文件和合同，具体性能指标要求参考相关绿色建材政府采购需求标准。</w:t>
      </w:r>
    </w:p>
    <w:p w14:paraId="0B78A7ED">
      <w:pPr>
        <w:spacing w:line="360" w:lineRule="auto"/>
        <w:ind w:firstLine="420" w:firstLineChars="200"/>
        <w:rPr>
          <w:rFonts w:ascii="宋体" w:hAnsi="宋体" w:cs="宋体"/>
          <w:sz w:val="21"/>
          <w:szCs w:val="21"/>
        </w:rPr>
      </w:pPr>
      <w:r>
        <w:rPr>
          <w:rFonts w:hint="eastAsia" w:ascii="宋体" w:hAnsi="宋体" w:cs="宋体"/>
          <w:sz w:val="21"/>
          <w:szCs w:val="21"/>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r>
        <w:rPr>
          <w:rFonts w:hint="eastAsia" w:ascii="宋体" w:hAnsi="宋体" w:cs="宋体"/>
          <w:sz w:val="21"/>
          <w:szCs w:val="21"/>
          <w:highlight w:val="none"/>
        </w:rPr>
        <w:t>鼓励采购单位优先采购秸秆环保板材等资源综合利用产品。鼓励采购单位优先采购绿色物流配送服务、提供新能源交通工具的租赁服务。</w:t>
      </w:r>
    </w:p>
    <w:p w14:paraId="7CB8EEFD">
      <w:pPr>
        <w:pStyle w:val="3"/>
        <w:numPr>
          <w:ilvl w:val="0"/>
          <w:numId w:val="0"/>
        </w:numPr>
        <w:tabs>
          <w:tab w:val="left" w:pos="0"/>
          <w:tab w:val="clear" w:pos="432"/>
        </w:tabs>
        <w:ind w:firstLine="420" w:firstLineChars="200"/>
        <w:rPr>
          <w:sz w:val="21"/>
          <w:szCs w:val="21"/>
          <w:lang w:val="en-US"/>
        </w:rPr>
      </w:pPr>
      <w:r>
        <w:rPr>
          <w:rFonts w:ascii="宋体" w:hAnsi="宋体" w:eastAsia="宋体" w:cs="宋体"/>
          <w:b w:val="0"/>
          <w:bCs w:val="0"/>
          <w:sz w:val="21"/>
          <w:szCs w:val="21"/>
          <w:highlight w:val="none"/>
          <w:lang w:val="en-US"/>
        </w:rPr>
        <w:t xml:space="preserve">3.2.4 </w:t>
      </w:r>
      <w:r>
        <w:rPr>
          <w:rFonts w:hint="eastAsia" w:ascii="宋体" w:hAnsi="宋体" w:eastAsia="宋体" w:cs="宋体"/>
          <w:b w:val="0"/>
          <w:bCs w:val="0"/>
          <w:sz w:val="21"/>
          <w:szCs w:val="21"/>
          <w:highlight w:val="none"/>
          <w:lang w:val="en-US"/>
        </w:rPr>
        <w:t>鼓励供应商在参加政府采购过程中开展绿色设计、选择绿色材料、打造绿色制造工艺、开展绿色运输、做好废弃产品回收处理，实现产品全周期的绿色环保。鼓励采购单位对其提高预付款比例、免收履约保证金。</w:t>
      </w:r>
    </w:p>
    <w:p w14:paraId="482CC10A">
      <w:pPr>
        <w:snapToGrid w:val="0"/>
        <w:spacing w:line="360" w:lineRule="auto"/>
        <w:ind w:firstLine="420" w:firstLineChars="200"/>
        <w:rPr>
          <w:rFonts w:ascii="宋体" w:hAnsi="宋体" w:cs="宋体"/>
          <w:sz w:val="21"/>
          <w:szCs w:val="21"/>
        </w:rPr>
      </w:pPr>
      <w:r>
        <w:rPr>
          <w:rFonts w:hint="eastAsia" w:ascii="宋体" w:hAnsi="宋体" w:cs="宋体"/>
          <w:sz w:val="21"/>
          <w:szCs w:val="21"/>
        </w:rPr>
        <w:t>3.3支持中小企业发展</w:t>
      </w:r>
    </w:p>
    <w:p w14:paraId="3EB22696">
      <w:pPr>
        <w:snapToGrid w:val="0"/>
        <w:spacing w:line="360" w:lineRule="auto"/>
        <w:ind w:firstLine="420" w:firstLineChars="200"/>
        <w:rPr>
          <w:rFonts w:ascii="宋体" w:hAnsi="宋体" w:cs="宋体"/>
          <w:sz w:val="21"/>
          <w:szCs w:val="21"/>
        </w:rPr>
      </w:pPr>
      <w:r>
        <w:rPr>
          <w:rFonts w:hint="eastAsia" w:ascii="宋体" w:hAnsi="宋体" w:cs="宋体"/>
          <w:sz w:val="21"/>
          <w:szCs w:val="21"/>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0BCB3A84">
      <w:pPr>
        <w:snapToGrid w:val="0"/>
        <w:spacing w:line="360" w:lineRule="auto"/>
        <w:ind w:firstLine="420" w:firstLineChars="200"/>
        <w:rPr>
          <w:rFonts w:ascii="宋体" w:hAnsi="宋体" w:cs="宋体"/>
          <w:sz w:val="21"/>
          <w:szCs w:val="21"/>
        </w:rPr>
      </w:pPr>
      <w:r>
        <w:rPr>
          <w:rFonts w:hint="eastAsia" w:ascii="宋体" w:hAnsi="宋体" w:cs="宋体"/>
          <w:sz w:val="21"/>
          <w:szCs w:val="21"/>
        </w:rPr>
        <w:t>符合中小企业划分标准的个体工商户，在政府采购活动中视同中小企业。</w:t>
      </w:r>
    </w:p>
    <w:p w14:paraId="5EB13D3B">
      <w:pPr>
        <w:widowControl/>
        <w:snapToGrid w:val="0"/>
        <w:spacing w:line="360" w:lineRule="auto"/>
        <w:ind w:firstLine="420" w:firstLineChars="200"/>
        <w:jc w:val="left"/>
        <w:rPr>
          <w:rFonts w:ascii="宋体" w:hAnsi="宋体" w:cs="宋体"/>
          <w:kern w:val="0"/>
          <w:sz w:val="21"/>
          <w:szCs w:val="21"/>
        </w:rPr>
      </w:pPr>
      <w:r>
        <w:rPr>
          <w:rFonts w:hint="eastAsia" w:ascii="宋体" w:hAnsi="宋体" w:cs="宋体"/>
          <w:bCs/>
          <w:sz w:val="21"/>
          <w:szCs w:val="21"/>
        </w:rPr>
        <w:t>3.3.2</w:t>
      </w:r>
      <w:r>
        <w:rPr>
          <w:rFonts w:hint="eastAsia" w:ascii="宋体" w:hAnsi="宋体" w:cs="宋体"/>
          <w:kern w:val="0"/>
          <w:sz w:val="21"/>
          <w:szCs w:val="21"/>
        </w:rPr>
        <w:t>在政府采购活动中，供应商提供的工程符合下列情形的，享受中小企业扶持政策：</w:t>
      </w:r>
      <w:r>
        <w:rPr>
          <w:rFonts w:ascii="宋体" w:hAnsi="宋体" w:cs="宋体"/>
          <w:sz w:val="21"/>
          <w:szCs w:val="21"/>
        </w:rPr>
        <w:t>在工程采购项目中，工程由中小企业承建，即工程施工单位为中小企业</w:t>
      </w:r>
      <w:r>
        <w:rPr>
          <w:rFonts w:hint="eastAsia" w:ascii="宋体" w:hAnsi="宋体" w:cs="宋体"/>
          <w:kern w:val="0"/>
          <w:sz w:val="21"/>
          <w:szCs w:val="21"/>
        </w:rPr>
        <w:t>。</w:t>
      </w:r>
    </w:p>
    <w:p w14:paraId="3D62CD23">
      <w:pPr>
        <w:widowControl/>
        <w:snapToGrid w:val="0"/>
        <w:spacing w:line="360" w:lineRule="auto"/>
        <w:ind w:firstLine="420" w:firstLineChars="200"/>
        <w:jc w:val="left"/>
        <w:rPr>
          <w:rFonts w:ascii="宋体" w:hAnsi="宋体" w:cs="宋体"/>
          <w:kern w:val="0"/>
          <w:sz w:val="21"/>
          <w:szCs w:val="21"/>
        </w:rPr>
      </w:pPr>
      <w:r>
        <w:rPr>
          <w:rFonts w:hint="eastAsia" w:ascii="宋体" w:hAnsi="宋体" w:cs="宋体"/>
          <w:kern w:val="0"/>
          <w:sz w:val="21"/>
          <w:szCs w:val="21"/>
        </w:rPr>
        <w:t>以联合体形式参加政府采购活动，联合体各方均为中小企业的，联合体视同中小企业。其中，联合体各方均为小微企业的，联合体视同小微企业。</w:t>
      </w:r>
    </w:p>
    <w:p w14:paraId="51914848">
      <w:pPr>
        <w:snapToGrid w:val="0"/>
        <w:spacing w:line="360" w:lineRule="auto"/>
        <w:ind w:firstLine="420" w:firstLineChars="200"/>
        <w:rPr>
          <w:rFonts w:ascii="宋体" w:hAnsi="宋体" w:cs="宋体"/>
          <w:sz w:val="21"/>
          <w:szCs w:val="21"/>
        </w:rPr>
      </w:pPr>
      <w:r>
        <w:rPr>
          <w:rFonts w:hint="eastAsia" w:ascii="宋体" w:hAnsi="宋体" w:cs="宋体"/>
          <w:sz w:val="21"/>
          <w:szCs w:val="21"/>
        </w:rPr>
        <w:t>3.3.3对于未预留份额专门面向中小企业的政府采购工程项目，以及预留份额政府采购工程项目中的非预留部分标项，对小型和微型企业的最后报价给予5%的扣除，用扣除后的价格参与评审。接受大中型企业与小微企业组成联合体或者允许大中型企业向一家或者多家小微企业分包的政府采购工程项目，对于</w:t>
      </w:r>
      <w:bookmarkStart w:id="59" w:name="_Hlk101132181"/>
      <w:r>
        <w:rPr>
          <w:rFonts w:hint="eastAsia" w:ascii="宋体" w:hAnsi="宋体" w:cs="宋体"/>
          <w:sz w:val="21"/>
          <w:szCs w:val="21"/>
        </w:rPr>
        <w:t>联合协议或者分包意向协议约定小微企业的合同份额占到合同总金额30%以上的</w:t>
      </w:r>
      <w:bookmarkEnd w:id="59"/>
      <w:r>
        <w:rPr>
          <w:rFonts w:hint="eastAsia" w:ascii="宋体" w:hAnsi="宋体" w:cs="宋体"/>
          <w:sz w:val="21"/>
          <w:szCs w:val="21"/>
        </w:rPr>
        <w:t>，对联合体或者大中型企业的报价给予2%的扣除，用扣除后的价格参加评审。组成联合体或者接受分包的小微企业与联合体内其他企业、分包企业之间存在直接控股、管理关系的，不享受价格扣除优惠政策。</w:t>
      </w:r>
    </w:p>
    <w:p w14:paraId="7E6D7255">
      <w:pPr>
        <w:snapToGrid w:val="0"/>
        <w:spacing w:line="360" w:lineRule="auto"/>
        <w:ind w:firstLine="420" w:firstLineChars="200"/>
        <w:rPr>
          <w:rFonts w:ascii="宋体" w:hAnsi="宋体" w:cs="宋体"/>
          <w:sz w:val="21"/>
          <w:szCs w:val="21"/>
        </w:rPr>
      </w:pPr>
      <w:r>
        <w:rPr>
          <w:rFonts w:hint="eastAsia" w:ascii="宋体" w:hAnsi="宋体" w:cs="宋体"/>
          <w:sz w:val="21"/>
          <w:szCs w:val="21"/>
        </w:rPr>
        <w:t>3.3.4符合《关于促进残疾人就业政府采购政策的通知》（财库〔2017〕141号）规定的条件并提供《残疾人福利性单位声明函》（附件1）的残疾人福利性单位视同小型、微型企业；</w:t>
      </w:r>
    </w:p>
    <w:p w14:paraId="241A2F81">
      <w:pPr>
        <w:snapToGrid w:val="0"/>
        <w:spacing w:line="360" w:lineRule="auto"/>
        <w:ind w:firstLine="420" w:firstLineChars="200"/>
        <w:rPr>
          <w:rFonts w:ascii="宋体" w:hAnsi="宋体" w:cs="宋体"/>
          <w:sz w:val="21"/>
          <w:szCs w:val="21"/>
        </w:rPr>
      </w:pPr>
      <w:r>
        <w:rPr>
          <w:rFonts w:hint="eastAsia" w:ascii="宋体" w:hAnsi="宋体" w:cs="宋体"/>
          <w:sz w:val="21"/>
          <w:szCs w:val="21"/>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653852CA">
      <w:pPr>
        <w:snapToGrid w:val="0"/>
        <w:spacing w:line="360" w:lineRule="auto"/>
        <w:ind w:firstLine="420" w:firstLineChars="200"/>
        <w:rPr>
          <w:rFonts w:ascii="宋体" w:hAnsi="宋体" w:cs="宋体"/>
          <w:sz w:val="21"/>
          <w:szCs w:val="21"/>
        </w:rPr>
      </w:pPr>
      <w:r>
        <w:rPr>
          <w:rFonts w:hint="eastAsia" w:ascii="宋体" w:hAnsi="宋体" w:cs="宋体"/>
          <w:sz w:val="21"/>
          <w:szCs w:val="21"/>
        </w:rPr>
        <w:t>3.3.6可享受中小企业扶持政策的供应商应按照采购文件格式要求提供《中小企业声明函》，供应商提供的《中小企业声明函》与实际情况不符的，不享受中小企业扶持政策。声明内容不实的，属于提供虚假材料谋取中标、成交的，依法承担法律责任。</w:t>
      </w:r>
    </w:p>
    <w:p w14:paraId="312C8280">
      <w:pPr>
        <w:snapToGrid w:val="0"/>
        <w:spacing w:line="360" w:lineRule="auto"/>
        <w:ind w:firstLine="420" w:firstLineChars="200"/>
        <w:rPr>
          <w:rFonts w:ascii="宋体" w:hAnsi="宋体" w:cs="宋体"/>
          <w:sz w:val="21"/>
          <w:szCs w:val="21"/>
        </w:rPr>
      </w:pPr>
      <w:r>
        <w:rPr>
          <w:rFonts w:hint="eastAsia" w:ascii="宋体" w:hAnsi="宋体" w:cs="宋体"/>
          <w:sz w:val="21"/>
          <w:szCs w:val="21"/>
        </w:rPr>
        <w:t>3.3.7中小企业享受扶持政策获得政府采购合同的，小微企业不得将合同分包给大中型企业，中型企业不得将合同分包给大型企业。</w:t>
      </w:r>
    </w:p>
    <w:p w14:paraId="059C92FA">
      <w:pPr>
        <w:snapToGrid w:val="0"/>
        <w:spacing w:line="360" w:lineRule="auto"/>
        <w:ind w:firstLine="420" w:firstLineChars="200"/>
        <w:rPr>
          <w:rFonts w:ascii="宋体" w:hAnsi="宋体" w:cs="宋体"/>
          <w:sz w:val="21"/>
          <w:szCs w:val="21"/>
        </w:rPr>
      </w:pPr>
      <w:r>
        <w:rPr>
          <w:rFonts w:hint="eastAsia" w:ascii="宋体" w:hAnsi="宋体" w:cs="宋体"/>
          <w:sz w:val="21"/>
          <w:szCs w:val="21"/>
        </w:rPr>
        <w:t>3.4</w:t>
      </w:r>
      <w:r>
        <w:rPr>
          <w:rFonts w:hint="eastAsia" w:ascii="宋体" w:hAnsi="宋体" w:cs="宋体"/>
          <w:bCs/>
          <w:sz w:val="21"/>
          <w:szCs w:val="21"/>
        </w:rPr>
        <w:t>支持创新发展</w:t>
      </w:r>
    </w:p>
    <w:p w14:paraId="57F31EAD">
      <w:pPr>
        <w:snapToGrid w:val="0"/>
        <w:spacing w:line="360" w:lineRule="auto"/>
        <w:ind w:firstLine="420" w:firstLineChars="200"/>
        <w:rPr>
          <w:rFonts w:ascii="宋体" w:hAnsi="宋体" w:cs="宋体"/>
          <w:sz w:val="21"/>
          <w:szCs w:val="21"/>
        </w:rPr>
      </w:pPr>
      <w:r>
        <w:rPr>
          <w:rFonts w:hint="eastAsia" w:ascii="宋体" w:hAnsi="宋体" w:cs="宋体"/>
          <w:sz w:val="21"/>
          <w:szCs w:val="21"/>
        </w:rPr>
        <w:t>3.4.1 采购人优先采购被认定为首台套产品和“制造精品”的自主创新产品。</w:t>
      </w:r>
    </w:p>
    <w:p w14:paraId="78871FE0">
      <w:pPr>
        <w:snapToGrid w:val="0"/>
        <w:spacing w:line="360" w:lineRule="auto"/>
        <w:ind w:firstLine="420" w:firstLineChars="200"/>
        <w:rPr>
          <w:rFonts w:ascii="宋体" w:hAnsi="宋体" w:cs="宋体"/>
          <w:sz w:val="21"/>
          <w:szCs w:val="21"/>
        </w:rPr>
      </w:pPr>
      <w:r>
        <w:rPr>
          <w:rFonts w:hint="eastAsia" w:ascii="宋体" w:hAnsi="宋体" w:cs="宋体"/>
          <w:sz w:val="21"/>
          <w:szCs w:val="21"/>
        </w:rPr>
        <w:t>3.4.2首台套产品被纳入《首台套产品推广应用指导目录》之日起</w:t>
      </w:r>
      <w:r>
        <w:rPr>
          <w:rFonts w:hint="eastAsia" w:ascii="宋体" w:hAnsi="宋体" w:cs="宋体"/>
          <w:color w:val="FF0000"/>
          <w:sz w:val="21"/>
          <w:szCs w:val="21"/>
        </w:rPr>
        <w:t>3</w:t>
      </w:r>
      <w:r>
        <w:rPr>
          <w:rFonts w:hint="eastAsia" w:ascii="宋体" w:hAnsi="宋体" w:cs="宋体"/>
          <w:sz w:val="21"/>
          <w:szCs w:val="21"/>
        </w:rPr>
        <w:t>年内，以及产品核心技术高于国内领先水平，并具有明晰自主知识产权的“制造精品”产品，自认定之日起2年内视同已具备相应销售业绩，参加政府采购活动时业绩分值为满分。</w:t>
      </w:r>
    </w:p>
    <w:p w14:paraId="5DECD3E0">
      <w:pPr>
        <w:snapToGrid w:val="0"/>
        <w:spacing w:line="360" w:lineRule="auto"/>
        <w:ind w:firstLine="210" w:firstLineChars="100"/>
        <w:rPr>
          <w:rFonts w:ascii="宋体" w:hAnsi="宋体" w:cs="宋体"/>
          <w:sz w:val="21"/>
          <w:szCs w:val="21"/>
        </w:rPr>
      </w:pPr>
      <w:r>
        <w:rPr>
          <w:rFonts w:hint="eastAsia" w:ascii="宋体" w:hAnsi="宋体" w:cs="宋体"/>
          <w:sz w:val="21"/>
          <w:szCs w:val="21"/>
        </w:rPr>
        <w:t>3.5平等对待内外资企业和符合条件的破产重整企业：</w:t>
      </w:r>
    </w:p>
    <w:p w14:paraId="2408EDFA">
      <w:pPr>
        <w:snapToGrid w:val="0"/>
        <w:spacing w:line="360" w:lineRule="auto"/>
        <w:ind w:firstLine="420" w:firstLineChars="200"/>
        <w:rPr>
          <w:rFonts w:ascii="宋体" w:hAnsi="宋体" w:cs="宋体"/>
          <w:b/>
          <w:sz w:val="21"/>
          <w:szCs w:val="21"/>
        </w:rPr>
      </w:pPr>
      <w:r>
        <w:rPr>
          <w:rFonts w:hint="eastAsia" w:ascii="宋体" w:hAnsi="宋体" w:cs="宋体"/>
          <w:sz w:val="21"/>
          <w:szCs w:val="21"/>
        </w:rPr>
        <w:t>平等对待内外资企业和符合条件的破产重整企业，切实保障企业公平竞争，平等维护企业的合法利益。</w:t>
      </w:r>
      <w:r>
        <w:rPr>
          <w:rFonts w:hint="eastAsia" w:ascii="宋体" w:hAnsi="宋体" w:cs="宋体"/>
          <w:sz w:val="21"/>
          <w:szCs w:val="21"/>
        </w:rPr>
        <w:cr/>
      </w:r>
      <w:r>
        <w:rPr>
          <w:rFonts w:hint="eastAsia" w:ascii="宋体" w:hAnsi="宋体" w:cs="宋体"/>
          <w:b/>
          <w:sz w:val="21"/>
          <w:szCs w:val="21"/>
        </w:rPr>
        <w:t>4. 询问、质疑、投诉</w:t>
      </w:r>
    </w:p>
    <w:p w14:paraId="1F095A31">
      <w:pPr>
        <w:pStyle w:val="619"/>
        <w:shd w:val="clear" w:color="auto" w:fill="FFFFFF"/>
        <w:adjustRightInd w:val="0"/>
        <w:snapToGrid w:val="0"/>
        <w:spacing w:before="0" w:beforeAutospacing="0" w:after="0" w:afterAutospacing="0" w:line="360" w:lineRule="auto"/>
        <w:ind w:firstLine="420" w:firstLineChars="200"/>
        <w:contextualSpacing/>
        <w:rPr>
          <w:sz w:val="21"/>
          <w:szCs w:val="21"/>
        </w:rPr>
      </w:pPr>
      <w:r>
        <w:rPr>
          <w:rFonts w:hint="eastAsia"/>
          <w:sz w:val="21"/>
          <w:szCs w:val="21"/>
        </w:rPr>
        <w:t>4.1在线询问、质疑、投诉</w:t>
      </w:r>
    </w:p>
    <w:p w14:paraId="4F42CD95">
      <w:pPr>
        <w:pStyle w:val="619"/>
        <w:shd w:val="clear" w:color="auto" w:fill="FFFFFF"/>
        <w:adjustRightInd w:val="0"/>
        <w:snapToGrid w:val="0"/>
        <w:spacing w:before="0" w:beforeAutospacing="0" w:after="0" w:afterAutospacing="0" w:line="360" w:lineRule="auto"/>
        <w:ind w:firstLine="420" w:firstLineChars="200"/>
        <w:contextualSpacing/>
        <w:rPr>
          <w:sz w:val="21"/>
          <w:szCs w:val="21"/>
        </w:rPr>
      </w:pPr>
      <w:r>
        <w:rPr>
          <w:rFonts w:hint="eastAsia"/>
          <w:sz w:val="21"/>
          <w:szCs w:val="21"/>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65348512">
      <w:pPr>
        <w:autoSpaceDE w:val="0"/>
        <w:autoSpaceDN w:val="0"/>
        <w:snapToGrid w:val="0"/>
        <w:spacing w:line="360" w:lineRule="auto"/>
        <w:ind w:firstLine="420" w:firstLineChars="200"/>
        <w:jc w:val="left"/>
        <w:rPr>
          <w:rFonts w:ascii="宋体" w:hAnsi="宋体" w:cs="宋体"/>
          <w:kern w:val="0"/>
          <w:sz w:val="21"/>
          <w:szCs w:val="21"/>
          <w:lang w:val="zh-CN"/>
        </w:rPr>
      </w:pPr>
      <w:r>
        <w:rPr>
          <w:rFonts w:hint="eastAsia" w:ascii="宋体" w:hAnsi="宋体" w:cs="宋体"/>
          <w:kern w:val="0"/>
          <w:sz w:val="21"/>
          <w:szCs w:val="21"/>
          <w:lang w:val="zh-CN"/>
        </w:rPr>
        <w:t>4.2供应商询问</w:t>
      </w:r>
    </w:p>
    <w:p w14:paraId="44C3F9FD">
      <w:pPr>
        <w:autoSpaceDE w:val="0"/>
        <w:autoSpaceDN w:val="0"/>
        <w:snapToGrid w:val="0"/>
        <w:spacing w:line="360" w:lineRule="auto"/>
        <w:ind w:firstLine="420" w:firstLineChars="200"/>
        <w:jc w:val="left"/>
        <w:rPr>
          <w:rFonts w:ascii="宋体" w:hAnsi="宋体" w:cs="宋体"/>
          <w:kern w:val="0"/>
          <w:sz w:val="21"/>
          <w:szCs w:val="21"/>
          <w:lang w:val="zh-CN"/>
        </w:rPr>
      </w:pPr>
      <w:r>
        <w:rPr>
          <w:rFonts w:hint="eastAsia" w:ascii="宋体" w:hAnsi="宋体" w:cs="宋体"/>
          <w:kern w:val="0"/>
          <w:sz w:val="21"/>
          <w:szCs w:val="21"/>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479A6D5A">
      <w:pPr>
        <w:autoSpaceDE w:val="0"/>
        <w:autoSpaceDN w:val="0"/>
        <w:snapToGrid w:val="0"/>
        <w:spacing w:line="360" w:lineRule="auto"/>
        <w:ind w:firstLine="420" w:firstLineChars="200"/>
        <w:jc w:val="left"/>
        <w:rPr>
          <w:rFonts w:ascii="宋体" w:hAnsi="宋体" w:cs="宋体"/>
          <w:kern w:val="0"/>
          <w:sz w:val="21"/>
          <w:szCs w:val="21"/>
          <w:lang w:val="zh-CN"/>
        </w:rPr>
      </w:pPr>
      <w:r>
        <w:rPr>
          <w:rFonts w:hint="eastAsia" w:ascii="宋体" w:hAnsi="宋体" w:cs="宋体"/>
          <w:kern w:val="0"/>
          <w:sz w:val="21"/>
          <w:szCs w:val="21"/>
          <w:lang w:val="zh-CN"/>
        </w:rPr>
        <w:t>4.3供应商质疑</w:t>
      </w:r>
    </w:p>
    <w:p w14:paraId="40A8B504">
      <w:pPr>
        <w:pStyle w:val="32"/>
        <w:snapToGrid w:val="0"/>
        <w:spacing w:line="360" w:lineRule="auto"/>
        <w:ind w:firstLine="420" w:firstLineChars="200"/>
        <w:rPr>
          <w:rFonts w:hAnsi="宋体" w:cs="宋体"/>
          <w:sz w:val="21"/>
          <w:szCs w:val="21"/>
        </w:rPr>
      </w:pPr>
      <w:r>
        <w:rPr>
          <w:rFonts w:hint="eastAsia" w:hAnsi="宋体" w:cs="宋体"/>
          <w:kern w:val="0"/>
          <w:sz w:val="21"/>
          <w:szCs w:val="21"/>
          <w:lang w:val="zh-CN"/>
        </w:rPr>
        <w:t>4.3</w:t>
      </w:r>
      <w:r>
        <w:rPr>
          <w:rFonts w:hint="eastAsia" w:hAnsi="宋体" w:cs="宋体"/>
          <w:sz w:val="21"/>
          <w:szCs w:val="21"/>
        </w:rPr>
        <w:t>.1提出质疑的供应商应当是参与所质疑项目采购活动的供应商。潜在供应商已依法获取其可质疑的采购文件的，可以对该文件提出质疑。</w:t>
      </w:r>
    </w:p>
    <w:p w14:paraId="27AAF3F2">
      <w:pPr>
        <w:pStyle w:val="32"/>
        <w:snapToGrid w:val="0"/>
        <w:spacing w:line="360" w:lineRule="auto"/>
        <w:ind w:firstLine="420" w:firstLineChars="200"/>
        <w:rPr>
          <w:rFonts w:hAnsi="宋体" w:cs="宋体"/>
          <w:sz w:val="21"/>
          <w:szCs w:val="21"/>
        </w:rPr>
      </w:pPr>
      <w:r>
        <w:rPr>
          <w:rFonts w:hint="eastAsia" w:hAnsi="宋体" w:cs="宋体"/>
          <w:kern w:val="0"/>
          <w:sz w:val="21"/>
          <w:szCs w:val="21"/>
          <w:lang w:val="zh-CN"/>
        </w:rPr>
        <w:t>4.3</w:t>
      </w:r>
      <w:r>
        <w:rPr>
          <w:rFonts w:hint="eastAsia" w:hAnsi="宋体" w:cs="宋体"/>
          <w:sz w:val="21"/>
          <w:szCs w:val="21"/>
        </w:rPr>
        <w:t>.2供应商认为采购文件、采购过程和成交结果使自己的权益受到损害的，可以在知道或者应知其权益受到损害之日起七个工作日内，以书面形式向采购人或者</w:t>
      </w:r>
      <w:r>
        <w:rPr>
          <w:rFonts w:hint="eastAsia" w:hAnsi="宋体" w:cs="宋体"/>
          <w:sz w:val="21"/>
          <w:szCs w:val="21"/>
          <w:lang w:eastAsia="zh-CN"/>
        </w:rPr>
        <w:t>采购代理机构</w:t>
      </w:r>
      <w:r>
        <w:rPr>
          <w:rFonts w:hint="eastAsia" w:hAnsi="宋体" w:cs="宋体"/>
          <w:sz w:val="21"/>
          <w:szCs w:val="21"/>
        </w:rPr>
        <w:t>提出质疑，否则，采购人或者</w:t>
      </w:r>
      <w:r>
        <w:rPr>
          <w:rFonts w:hint="eastAsia" w:hAnsi="宋体" w:cs="宋体"/>
          <w:sz w:val="21"/>
          <w:szCs w:val="21"/>
          <w:lang w:eastAsia="zh-CN"/>
        </w:rPr>
        <w:t>采购代理机构</w:t>
      </w:r>
      <w:r>
        <w:rPr>
          <w:rFonts w:hint="eastAsia" w:hAnsi="宋体" w:cs="宋体"/>
          <w:sz w:val="21"/>
          <w:szCs w:val="21"/>
        </w:rPr>
        <w:t>不予受理：</w:t>
      </w:r>
    </w:p>
    <w:p w14:paraId="420BD765">
      <w:pPr>
        <w:pStyle w:val="5"/>
        <w:spacing w:line="360" w:lineRule="auto"/>
        <w:ind w:firstLine="420" w:firstLineChars="200"/>
        <w:rPr>
          <w:rFonts w:hAnsi="宋体" w:cs="宋体"/>
          <w:snapToGrid/>
          <w:color w:val="auto"/>
          <w:kern w:val="2"/>
          <w:sz w:val="21"/>
          <w:szCs w:val="21"/>
        </w:rPr>
      </w:pPr>
      <w:r>
        <w:rPr>
          <w:rFonts w:hint="eastAsia" w:hAnsi="宋体" w:cs="宋体"/>
          <w:snapToGrid/>
          <w:color w:val="auto"/>
          <w:kern w:val="2"/>
          <w:sz w:val="21"/>
          <w:szCs w:val="21"/>
        </w:rPr>
        <w:t>4.3.2.1对采购文件提出质疑的，质疑期限为供应商获得采购文件之日或者采购文件公告期限届满之日起计算。</w:t>
      </w:r>
    </w:p>
    <w:p w14:paraId="47ED59FC">
      <w:pPr>
        <w:pStyle w:val="32"/>
        <w:snapToGrid w:val="0"/>
        <w:spacing w:line="360" w:lineRule="auto"/>
        <w:ind w:firstLine="420" w:firstLineChars="200"/>
        <w:rPr>
          <w:rFonts w:hAnsi="宋体" w:cs="宋体"/>
          <w:sz w:val="21"/>
          <w:szCs w:val="21"/>
        </w:rPr>
      </w:pPr>
      <w:r>
        <w:rPr>
          <w:rFonts w:hint="eastAsia" w:hAnsi="宋体" w:cs="宋体"/>
          <w:sz w:val="21"/>
          <w:szCs w:val="21"/>
        </w:rPr>
        <w:t>4.3.2.2对采购过程提出质疑的，质疑期限为各采购程序环节结束之日起计算。</w:t>
      </w:r>
    </w:p>
    <w:p w14:paraId="77443B89">
      <w:pPr>
        <w:pStyle w:val="32"/>
        <w:snapToGrid w:val="0"/>
        <w:spacing w:line="360" w:lineRule="auto"/>
        <w:ind w:firstLine="420" w:firstLineChars="200"/>
        <w:rPr>
          <w:rFonts w:hAnsi="宋体" w:cs="宋体"/>
          <w:sz w:val="21"/>
          <w:szCs w:val="21"/>
        </w:rPr>
      </w:pPr>
      <w:r>
        <w:rPr>
          <w:rFonts w:hint="eastAsia" w:hAnsi="宋体" w:cs="宋体"/>
          <w:sz w:val="21"/>
          <w:szCs w:val="21"/>
        </w:rPr>
        <w:t>4.3.2.3对采购结果提出质疑的，质疑期限自采购结果公告期限届满之日起计算。</w:t>
      </w:r>
    </w:p>
    <w:p w14:paraId="006AD792">
      <w:pPr>
        <w:pStyle w:val="32"/>
        <w:snapToGrid w:val="0"/>
        <w:spacing w:line="360" w:lineRule="auto"/>
        <w:ind w:firstLine="420" w:firstLineChars="200"/>
        <w:rPr>
          <w:rFonts w:hAnsi="宋体" w:cs="宋体"/>
          <w:kern w:val="0"/>
          <w:sz w:val="21"/>
          <w:szCs w:val="21"/>
          <w:lang w:val="zh-CN"/>
        </w:rPr>
      </w:pPr>
      <w:r>
        <w:rPr>
          <w:rFonts w:hint="eastAsia" w:hAnsi="宋体" w:cs="宋体"/>
          <w:kern w:val="0"/>
          <w:sz w:val="21"/>
          <w:szCs w:val="21"/>
          <w:lang w:val="zh-CN"/>
        </w:rPr>
        <w:t>4.3.3</w:t>
      </w:r>
      <w:r>
        <w:rPr>
          <w:rFonts w:hint="eastAsia" w:hAnsi="宋体" w:cs="宋体"/>
          <w:sz w:val="21"/>
          <w:szCs w:val="21"/>
        </w:rPr>
        <w:t>供应商提出质疑应当提交质疑函和必要的证明材料。质疑函应当包括下列内容：</w:t>
      </w:r>
    </w:p>
    <w:p w14:paraId="5E2E9447">
      <w:pPr>
        <w:pStyle w:val="32"/>
        <w:snapToGrid w:val="0"/>
        <w:spacing w:line="360" w:lineRule="auto"/>
        <w:ind w:firstLine="630" w:firstLineChars="300"/>
        <w:rPr>
          <w:rFonts w:hAnsi="宋体" w:cs="宋体"/>
          <w:kern w:val="0"/>
          <w:sz w:val="21"/>
          <w:szCs w:val="21"/>
          <w:lang w:val="zh-CN"/>
        </w:rPr>
      </w:pPr>
      <w:r>
        <w:rPr>
          <w:rFonts w:hint="eastAsia" w:hAnsi="宋体" w:cs="宋体"/>
          <w:kern w:val="0"/>
          <w:sz w:val="21"/>
          <w:szCs w:val="21"/>
          <w:lang w:val="zh-CN"/>
        </w:rPr>
        <w:t>4.3.3.1供应商的姓名或者名称、地址、邮编、联系人及联系电话；</w:t>
      </w:r>
    </w:p>
    <w:p w14:paraId="64D01207">
      <w:pPr>
        <w:pStyle w:val="32"/>
        <w:snapToGrid w:val="0"/>
        <w:spacing w:line="360" w:lineRule="auto"/>
        <w:ind w:firstLine="630" w:firstLineChars="300"/>
        <w:rPr>
          <w:rFonts w:hAnsi="宋体" w:cs="宋体"/>
          <w:kern w:val="0"/>
          <w:sz w:val="21"/>
          <w:szCs w:val="21"/>
          <w:lang w:val="zh-CN"/>
        </w:rPr>
      </w:pPr>
      <w:r>
        <w:rPr>
          <w:rFonts w:hint="eastAsia" w:hAnsi="宋体" w:cs="宋体"/>
          <w:kern w:val="0"/>
          <w:sz w:val="21"/>
          <w:szCs w:val="21"/>
          <w:lang w:val="zh-CN"/>
        </w:rPr>
        <w:t>4.3.3.2质疑项目的名称、编号；</w:t>
      </w:r>
    </w:p>
    <w:p w14:paraId="71EE2C5F">
      <w:pPr>
        <w:pStyle w:val="32"/>
        <w:snapToGrid w:val="0"/>
        <w:spacing w:line="360" w:lineRule="auto"/>
        <w:ind w:firstLine="630" w:firstLineChars="300"/>
        <w:rPr>
          <w:rFonts w:hAnsi="宋体" w:cs="宋体"/>
          <w:kern w:val="0"/>
          <w:sz w:val="21"/>
          <w:szCs w:val="21"/>
          <w:lang w:val="zh-CN"/>
        </w:rPr>
      </w:pPr>
      <w:r>
        <w:rPr>
          <w:rFonts w:hint="eastAsia" w:hAnsi="宋体" w:cs="宋体"/>
          <w:kern w:val="0"/>
          <w:sz w:val="21"/>
          <w:szCs w:val="21"/>
          <w:lang w:val="zh-CN"/>
        </w:rPr>
        <w:t>4.3.3.3具体、明确的质疑事项和与质疑事项相关的请求；</w:t>
      </w:r>
    </w:p>
    <w:p w14:paraId="1E40B6F5">
      <w:pPr>
        <w:pStyle w:val="32"/>
        <w:snapToGrid w:val="0"/>
        <w:spacing w:line="360" w:lineRule="auto"/>
        <w:ind w:firstLine="630" w:firstLineChars="300"/>
        <w:rPr>
          <w:rFonts w:hAnsi="宋体" w:cs="宋体"/>
          <w:kern w:val="0"/>
          <w:sz w:val="21"/>
          <w:szCs w:val="21"/>
          <w:lang w:val="zh-CN"/>
        </w:rPr>
      </w:pPr>
      <w:r>
        <w:rPr>
          <w:rFonts w:hint="eastAsia" w:hAnsi="宋体" w:cs="宋体"/>
          <w:kern w:val="0"/>
          <w:sz w:val="21"/>
          <w:szCs w:val="21"/>
          <w:lang w:val="zh-CN"/>
        </w:rPr>
        <w:t>4.3.3.4事实依据；</w:t>
      </w:r>
    </w:p>
    <w:p w14:paraId="1FC2D0F2">
      <w:pPr>
        <w:pStyle w:val="32"/>
        <w:snapToGrid w:val="0"/>
        <w:spacing w:line="360" w:lineRule="auto"/>
        <w:ind w:firstLine="630" w:firstLineChars="300"/>
        <w:rPr>
          <w:rFonts w:hAnsi="宋体" w:cs="宋体"/>
          <w:kern w:val="0"/>
          <w:sz w:val="21"/>
          <w:szCs w:val="21"/>
          <w:lang w:val="zh-CN"/>
        </w:rPr>
      </w:pPr>
      <w:r>
        <w:rPr>
          <w:rFonts w:hint="eastAsia" w:hAnsi="宋体" w:cs="宋体"/>
          <w:kern w:val="0"/>
          <w:sz w:val="21"/>
          <w:szCs w:val="21"/>
          <w:lang w:val="zh-CN"/>
        </w:rPr>
        <w:t>4.3.3.5必要的法律依据；</w:t>
      </w:r>
    </w:p>
    <w:p w14:paraId="7313A631">
      <w:pPr>
        <w:pStyle w:val="32"/>
        <w:snapToGrid w:val="0"/>
        <w:spacing w:line="360" w:lineRule="auto"/>
        <w:ind w:firstLine="630" w:firstLineChars="300"/>
        <w:rPr>
          <w:rFonts w:hAnsi="宋体" w:cs="宋体"/>
          <w:kern w:val="0"/>
          <w:sz w:val="21"/>
          <w:szCs w:val="21"/>
          <w:lang w:val="zh-CN"/>
        </w:rPr>
      </w:pPr>
      <w:r>
        <w:rPr>
          <w:rFonts w:hint="eastAsia" w:hAnsi="宋体" w:cs="宋体"/>
          <w:kern w:val="0"/>
          <w:sz w:val="21"/>
          <w:szCs w:val="21"/>
          <w:lang w:val="zh-CN"/>
        </w:rPr>
        <w:t>4.3.3.6提出质疑的日期。</w:t>
      </w:r>
    </w:p>
    <w:p w14:paraId="78C4A4C1">
      <w:pPr>
        <w:pStyle w:val="619"/>
        <w:shd w:val="clear" w:color="auto" w:fill="FFFFFF"/>
        <w:adjustRightInd w:val="0"/>
        <w:snapToGrid w:val="0"/>
        <w:spacing w:before="0" w:beforeAutospacing="0" w:after="0" w:afterAutospacing="0" w:line="360" w:lineRule="auto"/>
        <w:ind w:firstLine="420" w:firstLineChars="200"/>
        <w:contextualSpacing/>
        <w:rPr>
          <w:sz w:val="21"/>
          <w:szCs w:val="21"/>
        </w:rPr>
      </w:pPr>
      <w:r>
        <w:rPr>
          <w:rFonts w:hint="eastAsia"/>
          <w:sz w:val="21"/>
          <w:szCs w:val="21"/>
        </w:rPr>
        <w:t>供应商提交的质疑函需一式三份。供应商为自然人的，应当由本人签字；供应商为法人或者其他组织的，应当由法定代表人、主要负责人，或者其授权代表签字或者盖章，并加盖公章。</w:t>
      </w:r>
    </w:p>
    <w:p w14:paraId="7F1BF7E0">
      <w:pPr>
        <w:pStyle w:val="619"/>
        <w:shd w:val="clear" w:color="auto" w:fill="FFFFFF"/>
        <w:adjustRightInd w:val="0"/>
        <w:snapToGrid w:val="0"/>
        <w:spacing w:before="0" w:beforeAutospacing="0" w:after="0" w:afterAutospacing="0" w:line="360" w:lineRule="auto"/>
        <w:ind w:firstLine="420" w:firstLineChars="200"/>
        <w:contextualSpacing/>
        <w:rPr>
          <w:sz w:val="21"/>
          <w:szCs w:val="21"/>
        </w:rPr>
      </w:pPr>
      <w:r>
        <w:rPr>
          <w:rFonts w:hint="eastAsia"/>
          <w:sz w:val="21"/>
          <w:szCs w:val="21"/>
        </w:rPr>
        <w:t>质疑函范本及制作说明详见附件2。</w:t>
      </w:r>
    </w:p>
    <w:p w14:paraId="5B47626C">
      <w:pPr>
        <w:pStyle w:val="619"/>
        <w:shd w:val="clear" w:color="auto" w:fill="FFFFFF"/>
        <w:adjustRightInd w:val="0"/>
        <w:snapToGrid w:val="0"/>
        <w:spacing w:before="0" w:beforeAutospacing="0" w:after="0" w:afterAutospacing="0" w:line="360" w:lineRule="auto"/>
        <w:ind w:firstLine="420" w:firstLineChars="200"/>
        <w:contextualSpacing/>
        <w:rPr>
          <w:sz w:val="21"/>
          <w:szCs w:val="21"/>
        </w:rPr>
      </w:pPr>
      <w:r>
        <w:rPr>
          <w:rFonts w:hint="eastAsia"/>
          <w:sz w:val="21"/>
          <w:szCs w:val="21"/>
        </w:rPr>
        <w:t>4.3.4对同一采购程序环节的质疑，供应商须在法定质疑期内一次性提出。</w:t>
      </w:r>
    </w:p>
    <w:p w14:paraId="77964978">
      <w:pPr>
        <w:pStyle w:val="619"/>
        <w:shd w:val="clear" w:color="auto" w:fill="FFFFFF"/>
        <w:adjustRightInd w:val="0"/>
        <w:snapToGrid w:val="0"/>
        <w:spacing w:before="0" w:beforeAutospacing="0" w:after="0" w:afterAutospacing="0" w:line="360" w:lineRule="auto"/>
        <w:ind w:firstLine="420" w:firstLineChars="200"/>
        <w:contextualSpacing/>
        <w:rPr>
          <w:sz w:val="21"/>
          <w:szCs w:val="21"/>
        </w:rPr>
      </w:pPr>
      <w:r>
        <w:rPr>
          <w:rFonts w:hint="eastAsia"/>
          <w:sz w:val="21"/>
          <w:szCs w:val="21"/>
          <w:lang w:val="zh-CN"/>
        </w:rPr>
        <w:t>4.3</w:t>
      </w:r>
      <w:r>
        <w:rPr>
          <w:rFonts w:hint="eastAsia"/>
          <w:sz w:val="21"/>
          <w:szCs w:val="21"/>
        </w:rPr>
        <w:t>.5采购人或者</w:t>
      </w:r>
      <w:r>
        <w:rPr>
          <w:rFonts w:hint="eastAsia"/>
          <w:sz w:val="21"/>
          <w:szCs w:val="21"/>
          <w:lang w:eastAsia="zh-CN"/>
        </w:rPr>
        <w:t>采购代理机构</w:t>
      </w:r>
      <w:r>
        <w:rPr>
          <w:rFonts w:hint="eastAsia"/>
          <w:sz w:val="21"/>
          <w:szCs w:val="21"/>
        </w:rPr>
        <w:t>应当在收到供应商的书面质疑后七个工作日内作出答复，并以书面形式通知质疑供应商和其他与质疑处理结果有利害关系的政府采购当事人，但答复的内容不得涉及商业秘密。根据《财政局关于进一步加强政府采购信息公开优化营商环境的通知》,采购人或者</w:t>
      </w:r>
      <w:r>
        <w:rPr>
          <w:rFonts w:hint="eastAsia"/>
          <w:sz w:val="21"/>
          <w:szCs w:val="21"/>
          <w:lang w:eastAsia="zh-CN"/>
        </w:rPr>
        <w:t>采购代理机构</w:t>
      </w:r>
      <w:r>
        <w:rPr>
          <w:rFonts w:hint="eastAsia"/>
          <w:sz w:val="21"/>
          <w:szCs w:val="21"/>
        </w:rPr>
        <w:t>在质疑回复后5个工作日内，在浙江政府采购网的“其他公告”栏目公开质疑答复，答复内容应当完整。质疑函作为附件上传。</w:t>
      </w:r>
    </w:p>
    <w:p w14:paraId="01CDB38D">
      <w:pPr>
        <w:pStyle w:val="619"/>
        <w:shd w:val="clear" w:color="auto" w:fill="FFFFFF"/>
        <w:adjustRightInd w:val="0"/>
        <w:snapToGrid w:val="0"/>
        <w:spacing w:before="0" w:beforeAutospacing="0" w:after="0" w:afterAutospacing="0" w:line="360" w:lineRule="auto"/>
        <w:ind w:firstLine="420" w:firstLineChars="200"/>
        <w:contextualSpacing/>
        <w:rPr>
          <w:sz w:val="21"/>
          <w:szCs w:val="21"/>
        </w:rPr>
      </w:pPr>
      <w:r>
        <w:rPr>
          <w:rFonts w:hint="eastAsia"/>
          <w:sz w:val="21"/>
          <w:szCs w:val="21"/>
          <w:lang w:val="zh-CN"/>
        </w:rPr>
        <w:t>4.3</w:t>
      </w:r>
      <w:r>
        <w:rPr>
          <w:rFonts w:hint="eastAsia"/>
          <w:sz w:val="21"/>
          <w:szCs w:val="21"/>
        </w:rPr>
        <w:t>.6询问或者质疑事项可能影响采购结果的，采购人应当暂停签订合同，已经签订合同的，应当中止履行合同。</w:t>
      </w:r>
    </w:p>
    <w:p w14:paraId="0B4C5ED7">
      <w:pPr>
        <w:pStyle w:val="619"/>
        <w:shd w:val="clear" w:color="auto" w:fill="FFFFFF"/>
        <w:adjustRightInd w:val="0"/>
        <w:snapToGrid w:val="0"/>
        <w:spacing w:before="0" w:beforeAutospacing="0" w:after="0" w:afterAutospacing="0" w:line="360" w:lineRule="auto"/>
        <w:ind w:firstLine="420" w:firstLineChars="200"/>
        <w:contextualSpacing/>
        <w:rPr>
          <w:sz w:val="21"/>
          <w:szCs w:val="21"/>
          <w:lang w:val="zh-CN"/>
        </w:rPr>
      </w:pPr>
      <w:r>
        <w:rPr>
          <w:rFonts w:hint="eastAsia"/>
          <w:sz w:val="21"/>
          <w:szCs w:val="21"/>
          <w:lang w:val="zh-CN"/>
        </w:rPr>
        <w:t>4.4供应商投诉</w:t>
      </w:r>
    </w:p>
    <w:p w14:paraId="0C8CDFC1">
      <w:pPr>
        <w:pStyle w:val="619"/>
        <w:shd w:val="clear" w:color="auto" w:fill="FFFFFF"/>
        <w:adjustRightInd w:val="0"/>
        <w:snapToGrid w:val="0"/>
        <w:spacing w:before="0" w:beforeAutospacing="0" w:after="0" w:afterAutospacing="0" w:line="360" w:lineRule="auto"/>
        <w:ind w:firstLine="420" w:firstLineChars="200"/>
        <w:contextualSpacing/>
        <w:rPr>
          <w:sz w:val="21"/>
          <w:szCs w:val="21"/>
        </w:rPr>
      </w:pPr>
      <w:r>
        <w:rPr>
          <w:rFonts w:hint="eastAsia"/>
          <w:sz w:val="21"/>
          <w:szCs w:val="21"/>
        </w:rPr>
        <w:t>4.4.1质疑供应商对采购人、</w:t>
      </w:r>
      <w:r>
        <w:rPr>
          <w:rFonts w:hint="eastAsia"/>
          <w:sz w:val="21"/>
          <w:szCs w:val="21"/>
          <w:lang w:eastAsia="zh-CN"/>
        </w:rPr>
        <w:t>采购代理机构</w:t>
      </w:r>
      <w:r>
        <w:rPr>
          <w:rFonts w:hint="eastAsia"/>
          <w:sz w:val="21"/>
          <w:szCs w:val="21"/>
        </w:rPr>
        <w:t>的答复不满意或者采购人、</w:t>
      </w:r>
      <w:r>
        <w:rPr>
          <w:rFonts w:hint="eastAsia"/>
          <w:sz w:val="21"/>
          <w:szCs w:val="21"/>
          <w:lang w:eastAsia="zh-CN"/>
        </w:rPr>
        <w:t>采购代理机构</w:t>
      </w:r>
      <w:r>
        <w:rPr>
          <w:rFonts w:hint="eastAsia"/>
          <w:sz w:val="21"/>
          <w:szCs w:val="21"/>
        </w:rPr>
        <w:t>未在规定的时间内作出答复的，可以在答复期满后十五个工作日内向同级政府采购监督管理部门提出投诉。</w:t>
      </w:r>
    </w:p>
    <w:p w14:paraId="1F1AD92E">
      <w:pPr>
        <w:pStyle w:val="619"/>
        <w:shd w:val="clear" w:color="auto" w:fill="FFFFFF"/>
        <w:adjustRightInd w:val="0"/>
        <w:snapToGrid w:val="0"/>
        <w:spacing w:before="0" w:beforeAutospacing="0" w:after="0" w:afterAutospacing="0" w:line="360" w:lineRule="auto"/>
        <w:ind w:firstLine="420" w:firstLineChars="200"/>
        <w:contextualSpacing/>
        <w:rPr>
          <w:sz w:val="21"/>
          <w:szCs w:val="21"/>
        </w:rPr>
      </w:pPr>
      <w:r>
        <w:rPr>
          <w:rFonts w:hint="eastAsia"/>
          <w:sz w:val="21"/>
          <w:szCs w:val="21"/>
        </w:rPr>
        <w:t>4.4.</w:t>
      </w:r>
      <w:r>
        <w:rPr>
          <w:rFonts w:hint="eastAsia"/>
          <w:sz w:val="21"/>
          <w:szCs w:val="21"/>
          <w:lang w:val="zh-CN"/>
        </w:rPr>
        <w:t>2</w:t>
      </w:r>
      <w:r>
        <w:rPr>
          <w:rFonts w:hint="eastAsia"/>
          <w:sz w:val="21"/>
          <w:szCs w:val="21"/>
        </w:rPr>
        <w:t>供应商投诉的事项不得超出已质疑事项的范围，基于质疑答复内容提出的投诉事项除外。</w:t>
      </w:r>
    </w:p>
    <w:p w14:paraId="4B155465">
      <w:pPr>
        <w:pStyle w:val="619"/>
        <w:shd w:val="clear" w:color="auto" w:fill="FFFFFF"/>
        <w:adjustRightInd w:val="0"/>
        <w:snapToGrid w:val="0"/>
        <w:spacing w:before="0" w:beforeAutospacing="0" w:after="0" w:afterAutospacing="0" w:line="360" w:lineRule="auto"/>
        <w:ind w:firstLine="420" w:firstLineChars="200"/>
        <w:contextualSpacing/>
        <w:rPr>
          <w:sz w:val="21"/>
          <w:szCs w:val="21"/>
        </w:rPr>
      </w:pPr>
      <w:r>
        <w:rPr>
          <w:rFonts w:hint="eastAsia"/>
          <w:sz w:val="21"/>
          <w:szCs w:val="21"/>
        </w:rPr>
        <w:t>4.4.3供应商投诉应当有明确的请求和必要的证明材料。</w:t>
      </w:r>
    </w:p>
    <w:p w14:paraId="0B074F0D">
      <w:pPr>
        <w:pStyle w:val="619"/>
        <w:shd w:val="clear" w:color="auto" w:fill="FFFFFF"/>
        <w:adjustRightInd w:val="0"/>
        <w:snapToGrid w:val="0"/>
        <w:spacing w:before="0" w:beforeAutospacing="0" w:after="0" w:afterAutospacing="0" w:line="360" w:lineRule="auto"/>
        <w:ind w:firstLine="420" w:firstLineChars="200"/>
        <w:contextualSpacing/>
        <w:rPr>
          <w:sz w:val="21"/>
          <w:szCs w:val="21"/>
          <w:highlight w:val="yellow"/>
        </w:rPr>
      </w:pPr>
      <w:r>
        <w:rPr>
          <w:rFonts w:hint="eastAsia"/>
          <w:sz w:val="21"/>
          <w:szCs w:val="21"/>
        </w:rPr>
        <w:t>4.4.4以联合体形式参加政府采购活动的，其投诉应当由组成联合体的所有供应商共同提出。</w:t>
      </w:r>
    </w:p>
    <w:p w14:paraId="2B4B294C">
      <w:pPr>
        <w:pStyle w:val="619"/>
        <w:shd w:val="clear" w:color="auto" w:fill="FFFFFF"/>
        <w:adjustRightInd w:val="0"/>
        <w:snapToGrid w:val="0"/>
        <w:spacing w:before="0" w:beforeAutospacing="0" w:after="0" w:afterAutospacing="0" w:line="360" w:lineRule="auto"/>
        <w:ind w:firstLine="420" w:firstLineChars="200"/>
        <w:contextualSpacing/>
        <w:rPr>
          <w:sz w:val="21"/>
          <w:szCs w:val="21"/>
        </w:rPr>
      </w:pPr>
      <w:r>
        <w:rPr>
          <w:rFonts w:hint="eastAsia"/>
          <w:sz w:val="21"/>
          <w:szCs w:val="21"/>
        </w:rPr>
        <w:t>投诉书范本及制作说明详见附件3。</w:t>
      </w:r>
    </w:p>
    <w:p w14:paraId="596B8D04">
      <w:pPr>
        <w:pStyle w:val="396"/>
        <w:snapToGrid w:val="0"/>
        <w:spacing w:before="0"/>
        <w:ind w:firstLine="360"/>
        <w:rPr>
          <w:rFonts w:ascii="宋体" w:hAnsi="宋体" w:cs="宋体"/>
          <w:sz w:val="21"/>
          <w:szCs w:val="21"/>
        </w:rPr>
      </w:pPr>
    </w:p>
    <w:p w14:paraId="4A87E55B">
      <w:pPr>
        <w:snapToGrid w:val="0"/>
        <w:spacing w:line="360" w:lineRule="auto"/>
        <w:jc w:val="center"/>
        <w:outlineLvl w:val="0"/>
        <w:rPr>
          <w:rFonts w:ascii="宋体" w:hAnsi="宋体" w:cs="宋体"/>
          <w:b/>
          <w:sz w:val="21"/>
          <w:szCs w:val="21"/>
        </w:rPr>
      </w:pPr>
      <w:r>
        <w:rPr>
          <w:rFonts w:hint="eastAsia" w:ascii="宋体" w:hAnsi="宋体" w:cs="宋体"/>
          <w:b/>
          <w:sz w:val="21"/>
          <w:szCs w:val="21"/>
        </w:rPr>
        <w:t>二、采购文件的构成、澄清、修改</w:t>
      </w:r>
    </w:p>
    <w:p w14:paraId="2424F0D7">
      <w:pPr>
        <w:pStyle w:val="32"/>
        <w:spacing w:line="360" w:lineRule="auto"/>
        <w:rPr>
          <w:rFonts w:hAnsi="宋体" w:cs="宋体"/>
          <w:b/>
          <w:sz w:val="21"/>
          <w:szCs w:val="21"/>
        </w:rPr>
      </w:pPr>
      <w:r>
        <w:rPr>
          <w:rFonts w:hint="eastAsia" w:hAnsi="宋体" w:cs="宋体"/>
          <w:b/>
          <w:sz w:val="21"/>
          <w:szCs w:val="21"/>
        </w:rPr>
        <w:t>5．采购文件的构成</w:t>
      </w:r>
    </w:p>
    <w:p w14:paraId="32DDC364">
      <w:pPr>
        <w:pStyle w:val="32"/>
        <w:spacing w:line="360" w:lineRule="auto"/>
        <w:ind w:firstLine="420" w:firstLineChars="200"/>
        <w:rPr>
          <w:rFonts w:hAnsi="宋体" w:cs="宋体"/>
          <w:sz w:val="21"/>
          <w:szCs w:val="21"/>
        </w:rPr>
      </w:pPr>
      <w:r>
        <w:rPr>
          <w:rFonts w:hint="eastAsia" w:hAnsi="宋体" w:cs="宋体"/>
          <w:sz w:val="21"/>
          <w:szCs w:val="21"/>
        </w:rPr>
        <w:t>5.1 采购文件包括下列文件及附件：</w:t>
      </w:r>
    </w:p>
    <w:p w14:paraId="7DBE4E94">
      <w:pPr>
        <w:pStyle w:val="32"/>
        <w:tabs>
          <w:tab w:val="left" w:pos="840"/>
        </w:tabs>
        <w:spacing w:line="360" w:lineRule="auto"/>
        <w:ind w:firstLine="840" w:firstLineChars="400"/>
        <w:rPr>
          <w:rFonts w:hAnsi="宋体" w:cs="宋体"/>
          <w:sz w:val="21"/>
          <w:szCs w:val="21"/>
        </w:rPr>
      </w:pPr>
      <w:r>
        <w:rPr>
          <w:rFonts w:hint="eastAsia" w:hAnsi="宋体" w:cs="宋体"/>
          <w:sz w:val="21"/>
          <w:szCs w:val="21"/>
        </w:rPr>
        <w:t>5.1.1竞争性磋商公告；</w:t>
      </w:r>
    </w:p>
    <w:p w14:paraId="48BCDC8E">
      <w:pPr>
        <w:pStyle w:val="32"/>
        <w:tabs>
          <w:tab w:val="left" w:pos="840"/>
        </w:tabs>
        <w:spacing w:line="360" w:lineRule="auto"/>
        <w:ind w:firstLine="840" w:firstLineChars="400"/>
        <w:rPr>
          <w:rFonts w:hAnsi="宋体" w:cs="宋体"/>
          <w:sz w:val="21"/>
          <w:szCs w:val="21"/>
        </w:rPr>
      </w:pPr>
      <w:r>
        <w:rPr>
          <w:rFonts w:hint="eastAsia" w:hAnsi="宋体" w:cs="宋体"/>
          <w:sz w:val="21"/>
          <w:szCs w:val="21"/>
        </w:rPr>
        <w:t>5.1.2供应商须知；</w:t>
      </w:r>
    </w:p>
    <w:p w14:paraId="112384B7">
      <w:pPr>
        <w:pStyle w:val="32"/>
        <w:tabs>
          <w:tab w:val="left" w:pos="840"/>
        </w:tabs>
        <w:spacing w:line="360" w:lineRule="auto"/>
        <w:ind w:firstLine="840" w:firstLineChars="400"/>
        <w:rPr>
          <w:rFonts w:hAnsi="宋体" w:cs="宋体"/>
          <w:sz w:val="21"/>
          <w:szCs w:val="21"/>
        </w:rPr>
      </w:pPr>
      <w:r>
        <w:rPr>
          <w:rFonts w:hint="eastAsia" w:hAnsi="宋体" w:cs="宋体"/>
          <w:sz w:val="21"/>
          <w:szCs w:val="21"/>
        </w:rPr>
        <w:t>5.1.3采购需求；</w:t>
      </w:r>
    </w:p>
    <w:p w14:paraId="56E25EFB">
      <w:pPr>
        <w:pStyle w:val="32"/>
        <w:tabs>
          <w:tab w:val="left" w:pos="840"/>
        </w:tabs>
        <w:spacing w:line="360" w:lineRule="auto"/>
        <w:ind w:firstLine="840" w:firstLineChars="400"/>
        <w:rPr>
          <w:rFonts w:hAnsi="宋体" w:cs="宋体"/>
          <w:sz w:val="21"/>
          <w:szCs w:val="21"/>
        </w:rPr>
      </w:pPr>
      <w:r>
        <w:rPr>
          <w:rFonts w:hint="eastAsia" w:hAnsi="宋体" w:cs="宋体"/>
          <w:sz w:val="21"/>
          <w:szCs w:val="21"/>
        </w:rPr>
        <w:t>5.1.4评审办法；</w:t>
      </w:r>
    </w:p>
    <w:p w14:paraId="563ABC15">
      <w:pPr>
        <w:pStyle w:val="32"/>
        <w:tabs>
          <w:tab w:val="left" w:pos="840"/>
        </w:tabs>
        <w:spacing w:line="360" w:lineRule="auto"/>
        <w:ind w:firstLine="840" w:firstLineChars="400"/>
        <w:rPr>
          <w:rFonts w:hAnsi="宋体" w:cs="宋体"/>
          <w:sz w:val="21"/>
          <w:szCs w:val="21"/>
        </w:rPr>
      </w:pPr>
      <w:r>
        <w:rPr>
          <w:rFonts w:hint="eastAsia" w:hAnsi="宋体" w:cs="宋体"/>
          <w:sz w:val="21"/>
          <w:szCs w:val="21"/>
        </w:rPr>
        <w:t>5.1.5拟签订的合同文本；</w:t>
      </w:r>
    </w:p>
    <w:p w14:paraId="25030EC1">
      <w:pPr>
        <w:pStyle w:val="32"/>
        <w:tabs>
          <w:tab w:val="left" w:pos="840"/>
        </w:tabs>
        <w:spacing w:line="360" w:lineRule="auto"/>
        <w:ind w:firstLine="840" w:firstLineChars="400"/>
        <w:rPr>
          <w:rFonts w:hAnsi="宋体" w:cs="宋体"/>
          <w:sz w:val="21"/>
          <w:szCs w:val="21"/>
        </w:rPr>
      </w:pPr>
      <w:r>
        <w:rPr>
          <w:rFonts w:hint="eastAsia" w:hAnsi="宋体" w:cs="宋体"/>
          <w:sz w:val="21"/>
          <w:szCs w:val="21"/>
        </w:rPr>
        <w:t>5.1.6应提交的有关格式范例。</w:t>
      </w:r>
    </w:p>
    <w:p w14:paraId="6D5F47C5">
      <w:pPr>
        <w:spacing w:line="360" w:lineRule="auto"/>
        <w:ind w:firstLine="420" w:firstLineChars="200"/>
        <w:rPr>
          <w:rFonts w:ascii="宋体" w:hAnsi="宋体" w:cs="宋体"/>
          <w:sz w:val="21"/>
          <w:szCs w:val="21"/>
        </w:rPr>
      </w:pPr>
      <w:r>
        <w:rPr>
          <w:rFonts w:hint="eastAsia" w:ascii="宋体" w:hAnsi="宋体" w:cs="宋体"/>
          <w:sz w:val="21"/>
          <w:szCs w:val="21"/>
        </w:rPr>
        <w:t>5.2与本项目有关的</w:t>
      </w:r>
      <w:r>
        <w:rPr>
          <w:rFonts w:hint="eastAsia" w:ascii="宋体" w:hAnsi="宋体" w:cs="宋体"/>
          <w:bCs/>
          <w:sz w:val="21"/>
          <w:szCs w:val="21"/>
        </w:rPr>
        <w:t>澄清或者修改的内容为采购文件的组成部分</w:t>
      </w:r>
      <w:r>
        <w:rPr>
          <w:rFonts w:hint="eastAsia" w:ascii="宋体" w:hAnsi="宋体" w:cs="宋体"/>
          <w:sz w:val="21"/>
          <w:szCs w:val="21"/>
        </w:rPr>
        <w:t>。</w:t>
      </w:r>
    </w:p>
    <w:p w14:paraId="09CFB3B1">
      <w:pPr>
        <w:pStyle w:val="32"/>
        <w:spacing w:line="360" w:lineRule="auto"/>
        <w:rPr>
          <w:rFonts w:hAnsi="宋体" w:cs="宋体"/>
          <w:b/>
          <w:sz w:val="21"/>
          <w:szCs w:val="21"/>
        </w:rPr>
      </w:pPr>
      <w:r>
        <w:rPr>
          <w:rFonts w:hint="eastAsia" w:hAnsi="宋体" w:cs="宋体"/>
          <w:b/>
          <w:sz w:val="21"/>
          <w:szCs w:val="21"/>
        </w:rPr>
        <w:t>6. 采购文件的澄清、修改</w:t>
      </w:r>
    </w:p>
    <w:p w14:paraId="4344F86B">
      <w:pPr>
        <w:pStyle w:val="396"/>
        <w:snapToGrid w:val="0"/>
        <w:spacing w:before="0"/>
        <w:ind w:firstLine="480"/>
        <w:rPr>
          <w:rFonts w:ascii="宋体" w:hAnsi="宋体" w:cs="宋体"/>
          <w:sz w:val="21"/>
          <w:szCs w:val="21"/>
        </w:rPr>
      </w:pPr>
      <w:r>
        <w:rPr>
          <w:rFonts w:hint="eastAsia" w:ascii="宋体" w:hAnsi="宋体" w:cs="宋体"/>
          <w:sz w:val="21"/>
          <w:szCs w:val="21"/>
        </w:rPr>
        <w:t>6.1已获取采购文件的潜在供应商，若有问题需要澄清，应于响应文件提交（上传）截止时间前，以书面形式向</w:t>
      </w:r>
      <w:r>
        <w:rPr>
          <w:rFonts w:hint="eastAsia" w:ascii="宋体" w:hAnsi="宋体" w:cs="宋体"/>
          <w:sz w:val="21"/>
          <w:szCs w:val="21"/>
          <w:lang w:eastAsia="zh-CN"/>
        </w:rPr>
        <w:t>采购代理机构</w:t>
      </w:r>
      <w:r>
        <w:rPr>
          <w:rFonts w:hint="eastAsia" w:ascii="宋体" w:hAnsi="宋体" w:cs="宋体"/>
          <w:sz w:val="21"/>
          <w:szCs w:val="21"/>
        </w:rPr>
        <w:t>提出。</w:t>
      </w:r>
    </w:p>
    <w:p w14:paraId="7E41542E">
      <w:pPr>
        <w:pStyle w:val="396"/>
        <w:snapToGrid w:val="0"/>
        <w:spacing w:before="0"/>
        <w:ind w:firstLine="480"/>
        <w:rPr>
          <w:rFonts w:ascii="宋体" w:hAnsi="宋体" w:cs="宋体"/>
          <w:sz w:val="21"/>
          <w:szCs w:val="21"/>
        </w:rPr>
      </w:pPr>
      <w:r>
        <w:rPr>
          <w:rFonts w:hint="eastAsia" w:ascii="宋体" w:hAnsi="宋体" w:cs="宋体"/>
          <w:sz w:val="21"/>
          <w:szCs w:val="21"/>
        </w:rPr>
        <w:t xml:space="preserve">6.2 </w:t>
      </w:r>
      <w:r>
        <w:rPr>
          <w:rFonts w:hint="eastAsia" w:ascii="宋体" w:hAnsi="宋体" w:cs="宋体"/>
          <w:sz w:val="21"/>
          <w:szCs w:val="21"/>
          <w:lang w:eastAsia="zh-CN"/>
        </w:rPr>
        <w:t>采购代理机构</w:t>
      </w:r>
      <w:r>
        <w:rPr>
          <w:rFonts w:hint="eastAsia" w:ascii="宋体" w:hAnsi="宋体" w:cs="宋体"/>
          <w:sz w:val="21"/>
          <w:szCs w:val="21"/>
        </w:rPr>
        <w:t>对采购文件进行澄清或修改的，将同时通过电子交易平台通知已获取采购文件的潜在供应商。依法应当公告的，将按规定公告，同时视情况延长响应文件提交（上传）截止时间和响应文件开启时间。该澄清或者修改的内容为采购文件的组成部分。</w:t>
      </w:r>
    </w:p>
    <w:p w14:paraId="1297EBE9">
      <w:pPr>
        <w:pStyle w:val="22"/>
        <w:rPr>
          <w:rFonts w:hAnsi="宋体" w:cs="宋体"/>
          <w:sz w:val="21"/>
          <w:szCs w:val="21"/>
          <w:lang w:val="en-US"/>
        </w:rPr>
      </w:pPr>
    </w:p>
    <w:p w14:paraId="03BAF11C">
      <w:pPr>
        <w:snapToGrid w:val="0"/>
        <w:spacing w:line="360" w:lineRule="auto"/>
        <w:jc w:val="center"/>
        <w:outlineLvl w:val="0"/>
        <w:rPr>
          <w:rFonts w:ascii="宋体" w:hAnsi="宋体" w:cs="宋体"/>
          <w:b/>
          <w:sz w:val="21"/>
          <w:szCs w:val="21"/>
        </w:rPr>
      </w:pPr>
      <w:r>
        <w:rPr>
          <w:rFonts w:hint="eastAsia" w:ascii="宋体" w:hAnsi="宋体" w:cs="宋体"/>
          <w:b/>
          <w:sz w:val="21"/>
          <w:szCs w:val="21"/>
        </w:rPr>
        <w:t>三、提交响应文件</w:t>
      </w:r>
    </w:p>
    <w:p w14:paraId="770A17B6">
      <w:pPr>
        <w:pStyle w:val="32"/>
        <w:spacing w:line="360" w:lineRule="auto"/>
        <w:rPr>
          <w:rFonts w:hAnsi="宋体" w:cs="宋体"/>
          <w:b/>
          <w:sz w:val="21"/>
          <w:szCs w:val="21"/>
        </w:rPr>
      </w:pPr>
      <w:r>
        <w:rPr>
          <w:rFonts w:hint="eastAsia" w:hAnsi="宋体" w:cs="宋体"/>
          <w:b/>
          <w:sz w:val="21"/>
          <w:szCs w:val="21"/>
        </w:rPr>
        <w:t>7. 采购文件的获取</w:t>
      </w:r>
    </w:p>
    <w:p w14:paraId="0CFAD7E3">
      <w:pPr>
        <w:spacing w:line="360" w:lineRule="auto"/>
        <w:ind w:firstLine="420" w:firstLineChars="200"/>
        <w:rPr>
          <w:rFonts w:ascii="宋体" w:hAnsi="宋体" w:cs="宋体"/>
          <w:snapToGrid w:val="0"/>
          <w:kern w:val="28"/>
          <w:sz w:val="21"/>
          <w:szCs w:val="21"/>
        </w:rPr>
      </w:pPr>
      <w:r>
        <w:rPr>
          <w:rFonts w:hint="eastAsia" w:ascii="宋体" w:hAnsi="宋体" w:cs="宋体"/>
          <w:snapToGrid w:val="0"/>
          <w:kern w:val="28"/>
          <w:sz w:val="21"/>
          <w:szCs w:val="21"/>
        </w:rPr>
        <w:t>详见竞争性磋商公告中获取采购文件的时间期限、地点、方式及采购文件售价。</w:t>
      </w:r>
    </w:p>
    <w:p w14:paraId="3DE05D17">
      <w:pPr>
        <w:pStyle w:val="32"/>
        <w:spacing w:line="360" w:lineRule="auto"/>
        <w:rPr>
          <w:rFonts w:hAnsi="宋体" w:cs="宋体"/>
          <w:b/>
          <w:sz w:val="21"/>
          <w:szCs w:val="21"/>
        </w:rPr>
      </w:pPr>
      <w:r>
        <w:rPr>
          <w:rFonts w:hint="eastAsia" w:hAnsi="宋体" w:cs="宋体"/>
          <w:b/>
          <w:sz w:val="21"/>
          <w:szCs w:val="21"/>
        </w:rPr>
        <w:t>8.磋商前答疑会或现场考察</w:t>
      </w:r>
    </w:p>
    <w:p w14:paraId="138CCBDC">
      <w:pPr>
        <w:pStyle w:val="32"/>
        <w:spacing w:line="360" w:lineRule="auto"/>
        <w:ind w:firstLine="420" w:firstLineChars="200"/>
        <w:rPr>
          <w:rFonts w:hAnsi="宋体" w:cs="宋体"/>
          <w:sz w:val="21"/>
          <w:szCs w:val="21"/>
        </w:rPr>
      </w:pPr>
      <w:r>
        <w:rPr>
          <w:rFonts w:hint="eastAsia" w:hAnsi="宋体" w:cs="宋体"/>
          <w:sz w:val="21"/>
          <w:szCs w:val="21"/>
        </w:rPr>
        <w:t>采购人组织潜在供应商现场考察或者召开磋商前答疑会的，潜在供应商按第</w:t>
      </w:r>
      <w:r>
        <w:rPr>
          <w:rFonts w:hint="eastAsia" w:hAnsi="宋体" w:cs="宋体"/>
          <w:sz w:val="21"/>
          <w:szCs w:val="21"/>
          <w:lang w:eastAsia="zh-CN"/>
        </w:rPr>
        <w:t>三</w:t>
      </w:r>
      <w:r>
        <w:rPr>
          <w:rFonts w:hint="eastAsia" w:hAnsi="宋体" w:cs="宋体"/>
          <w:sz w:val="21"/>
          <w:szCs w:val="21"/>
        </w:rPr>
        <w:t>部分供应商须知前附表的规定参加现场考察或者磋商前答疑会。</w:t>
      </w:r>
    </w:p>
    <w:p w14:paraId="02032293">
      <w:pPr>
        <w:pStyle w:val="32"/>
        <w:spacing w:line="360" w:lineRule="auto"/>
        <w:rPr>
          <w:rFonts w:hAnsi="宋体" w:cs="宋体"/>
          <w:b/>
          <w:sz w:val="21"/>
          <w:szCs w:val="21"/>
        </w:rPr>
      </w:pPr>
      <w:r>
        <w:rPr>
          <w:rFonts w:hint="eastAsia" w:hAnsi="宋体" w:cs="宋体"/>
          <w:b/>
          <w:kern w:val="28"/>
          <w:sz w:val="21"/>
          <w:szCs w:val="21"/>
        </w:rPr>
        <w:t>9.磋商保证金</w:t>
      </w:r>
    </w:p>
    <w:p w14:paraId="33BEEBF1">
      <w:pPr>
        <w:pStyle w:val="5"/>
        <w:spacing w:line="360" w:lineRule="auto"/>
        <w:ind w:firstLine="411" w:firstLineChars="196"/>
        <w:rPr>
          <w:rFonts w:hAnsi="宋体" w:cs="宋体"/>
          <w:color w:val="auto"/>
          <w:sz w:val="21"/>
          <w:szCs w:val="21"/>
        </w:rPr>
      </w:pPr>
      <w:r>
        <w:rPr>
          <w:rFonts w:hint="eastAsia" w:hAnsi="宋体" w:cs="宋体"/>
          <w:color w:val="auto"/>
          <w:sz w:val="21"/>
          <w:szCs w:val="21"/>
        </w:rPr>
        <w:t>本项目不需缴纳磋商保证金。</w:t>
      </w:r>
    </w:p>
    <w:p w14:paraId="54A2C12C">
      <w:pPr>
        <w:pStyle w:val="32"/>
        <w:spacing w:line="360" w:lineRule="auto"/>
        <w:rPr>
          <w:rFonts w:hAnsi="宋体" w:cs="宋体"/>
          <w:b/>
          <w:sz w:val="21"/>
          <w:szCs w:val="21"/>
        </w:rPr>
      </w:pPr>
      <w:r>
        <w:rPr>
          <w:rFonts w:hint="eastAsia" w:hAnsi="宋体" w:cs="宋体"/>
          <w:b/>
          <w:sz w:val="21"/>
          <w:szCs w:val="21"/>
        </w:rPr>
        <w:t>10. 响应文件的语言</w:t>
      </w:r>
    </w:p>
    <w:p w14:paraId="60C9FA6A">
      <w:pPr>
        <w:autoSpaceDE w:val="0"/>
        <w:autoSpaceDN w:val="0"/>
        <w:spacing w:line="360" w:lineRule="auto"/>
        <w:ind w:firstLine="420" w:firstLineChars="200"/>
        <w:rPr>
          <w:rFonts w:ascii="宋体" w:hAnsi="宋体" w:cs="宋体"/>
          <w:sz w:val="21"/>
          <w:szCs w:val="21"/>
          <w:lang w:val="zh-CN"/>
        </w:rPr>
      </w:pPr>
      <w:r>
        <w:rPr>
          <w:rFonts w:hint="eastAsia" w:ascii="宋体" w:hAnsi="宋体" w:cs="宋体"/>
          <w:sz w:val="21"/>
          <w:szCs w:val="21"/>
        </w:rPr>
        <w:t>响应文件及供应商与采购有关的来往通知、函件和文件均应使用中文。</w:t>
      </w:r>
    </w:p>
    <w:p w14:paraId="174A6D8C">
      <w:pPr>
        <w:pStyle w:val="32"/>
        <w:spacing w:line="360" w:lineRule="auto"/>
        <w:rPr>
          <w:rFonts w:hAnsi="宋体" w:cs="宋体"/>
          <w:b/>
          <w:sz w:val="21"/>
          <w:szCs w:val="21"/>
        </w:rPr>
      </w:pPr>
      <w:r>
        <w:rPr>
          <w:rFonts w:hint="eastAsia" w:hAnsi="宋体" w:cs="宋体"/>
          <w:b/>
          <w:sz w:val="21"/>
          <w:szCs w:val="21"/>
        </w:rPr>
        <w:t>11. 响应文件的组成</w:t>
      </w:r>
    </w:p>
    <w:p w14:paraId="79BAC7F8">
      <w:pPr>
        <w:snapToGrid w:val="0"/>
        <w:spacing w:line="360" w:lineRule="auto"/>
        <w:ind w:firstLine="420" w:firstLineChars="200"/>
        <w:rPr>
          <w:rFonts w:ascii="宋体" w:hAnsi="宋体" w:cs="宋体"/>
          <w:sz w:val="21"/>
          <w:szCs w:val="21"/>
        </w:rPr>
      </w:pPr>
      <w:r>
        <w:rPr>
          <w:rFonts w:hint="eastAsia" w:ascii="宋体" w:hAnsi="宋体" w:cs="宋体"/>
          <w:sz w:val="21"/>
          <w:szCs w:val="21"/>
        </w:rPr>
        <w:t>11.1</w:t>
      </w:r>
      <w:r>
        <w:rPr>
          <w:rFonts w:hint="eastAsia" w:ascii="宋体" w:hAnsi="宋体" w:cs="宋体"/>
          <w:b/>
          <w:sz w:val="21"/>
          <w:szCs w:val="21"/>
        </w:rPr>
        <w:t>资格文件</w:t>
      </w:r>
      <w:r>
        <w:rPr>
          <w:rFonts w:hint="eastAsia" w:ascii="宋体" w:hAnsi="宋体" w:cs="宋体"/>
          <w:sz w:val="21"/>
          <w:szCs w:val="21"/>
        </w:rPr>
        <w:t>：</w:t>
      </w:r>
    </w:p>
    <w:p w14:paraId="0397BDD6">
      <w:pPr>
        <w:snapToGrid w:val="0"/>
        <w:spacing w:line="360" w:lineRule="auto"/>
        <w:ind w:firstLine="840" w:firstLineChars="400"/>
        <w:rPr>
          <w:rFonts w:ascii="宋体" w:hAnsi="宋体" w:cs="宋体"/>
          <w:sz w:val="21"/>
          <w:szCs w:val="21"/>
        </w:rPr>
      </w:pPr>
      <w:r>
        <w:rPr>
          <w:rFonts w:hint="eastAsia" w:ascii="宋体" w:hAnsi="宋体" w:cs="宋体"/>
          <w:sz w:val="21"/>
          <w:szCs w:val="21"/>
        </w:rPr>
        <w:t>11.1.1符合参加政府采购活动应当具备的一般条件的承诺函；</w:t>
      </w:r>
    </w:p>
    <w:p w14:paraId="5AE5C172">
      <w:pPr>
        <w:snapToGrid w:val="0"/>
        <w:spacing w:line="360" w:lineRule="auto"/>
        <w:ind w:firstLine="840" w:firstLineChars="400"/>
        <w:rPr>
          <w:rFonts w:ascii="宋体" w:hAnsi="宋体" w:cs="宋体"/>
          <w:sz w:val="21"/>
          <w:szCs w:val="21"/>
        </w:rPr>
      </w:pPr>
      <w:r>
        <w:rPr>
          <w:rFonts w:hint="eastAsia" w:ascii="宋体" w:hAnsi="宋体" w:cs="宋体"/>
          <w:sz w:val="21"/>
          <w:szCs w:val="21"/>
        </w:rPr>
        <w:t>1</w:t>
      </w:r>
      <w:r>
        <w:rPr>
          <w:rFonts w:ascii="宋体" w:hAnsi="宋体" w:cs="宋体"/>
          <w:sz w:val="21"/>
          <w:szCs w:val="21"/>
        </w:rPr>
        <w:t>1.1.2</w:t>
      </w:r>
      <w:bookmarkStart w:id="60" w:name="_Hlk101259339"/>
      <w:r>
        <w:rPr>
          <w:rFonts w:hint="eastAsia" w:ascii="宋体" w:hAnsi="宋体" w:cs="宋体"/>
          <w:snapToGrid w:val="0"/>
          <w:kern w:val="28"/>
          <w:sz w:val="21"/>
          <w:szCs w:val="21"/>
        </w:rPr>
        <w:t>联合协议</w:t>
      </w:r>
      <w:bookmarkStart w:id="61" w:name="_Hlk101257010"/>
      <w:r>
        <w:rPr>
          <w:rFonts w:hint="eastAsia" w:ascii="宋体" w:hAnsi="宋体" w:cs="宋体"/>
          <w:snapToGrid w:val="0"/>
          <w:kern w:val="28"/>
          <w:sz w:val="21"/>
          <w:szCs w:val="21"/>
        </w:rPr>
        <w:t>（如果有)</w:t>
      </w:r>
      <w:bookmarkEnd w:id="60"/>
      <w:bookmarkEnd w:id="61"/>
      <w:r>
        <w:rPr>
          <w:rFonts w:hint="eastAsia" w:ascii="宋体" w:hAnsi="宋体" w:cs="宋体"/>
          <w:snapToGrid w:val="0"/>
          <w:kern w:val="28"/>
          <w:sz w:val="21"/>
          <w:szCs w:val="21"/>
        </w:rPr>
        <w:t>；</w:t>
      </w:r>
    </w:p>
    <w:p w14:paraId="3BA90FD2">
      <w:pPr>
        <w:snapToGrid w:val="0"/>
        <w:spacing w:line="360" w:lineRule="auto"/>
        <w:ind w:firstLine="840" w:firstLineChars="400"/>
        <w:rPr>
          <w:rFonts w:ascii="宋体" w:hAnsi="宋体" w:cs="宋体"/>
          <w:sz w:val="21"/>
          <w:szCs w:val="21"/>
        </w:rPr>
      </w:pPr>
      <w:r>
        <w:rPr>
          <w:rFonts w:hint="eastAsia" w:ascii="宋体" w:hAnsi="宋体" w:cs="宋体"/>
          <w:sz w:val="21"/>
          <w:szCs w:val="21"/>
        </w:rPr>
        <w:t>11.1.</w:t>
      </w:r>
      <w:r>
        <w:rPr>
          <w:rFonts w:ascii="宋体" w:hAnsi="宋体" w:cs="宋体"/>
          <w:sz w:val="21"/>
          <w:szCs w:val="21"/>
        </w:rPr>
        <w:t>3</w:t>
      </w:r>
      <w:r>
        <w:rPr>
          <w:rFonts w:hint="eastAsia" w:ascii="宋体" w:hAnsi="宋体" w:cs="宋体"/>
          <w:sz w:val="21"/>
          <w:szCs w:val="21"/>
        </w:rPr>
        <w:t>落实政府采购政策需满足的资格要求</w:t>
      </w:r>
      <w:r>
        <w:rPr>
          <w:rFonts w:hint="eastAsia" w:ascii="宋体" w:hAnsi="宋体" w:cs="宋体"/>
          <w:snapToGrid w:val="0"/>
          <w:kern w:val="28"/>
          <w:sz w:val="21"/>
          <w:szCs w:val="21"/>
        </w:rPr>
        <w:t>（如果有)</w:t>
      </w:r>
      <w:r>
        <w:rPr>
          <w:rFonts w:hint="eastAsia" w:ascii="宋体" w:hAnsi="宋体" w:cs="宋体"/>
          <w:sz w:val="21"/>
          <w:szCs w:val="21"/>
        </w:rPr>
        <w:t>；</w:t>
      </w:r>
    </w:p>
    <w:p w14:paraId="1CA9D763">
      <w:pPr>
        <w:snapToGrid w:val="0"/>
        <w:spacing w:line="360" w:lineRule="auto"/>
        <w:ind w:firstLine="840" w:firstLineChars="400"/>
        <w:rPr>
          <w:rFonts w:ascii="宋体" w:hAnsi="宋体" w:cs="宋体"/>
          <w:sz w:val="21"/>
          <w:szCs w:val="21"/>
        </w:rPr>
      </w:pPr>
      <w:r>
        <w:rPr>
          <w:rFonts w:hint="eastAsia" w:ascii="宋体" w:hAnsi="宋体" w:cs="宋体"/>
          <w:sz w:val="21"/>
          <w:szCs w:val="21"/>
        </w:rPr>
        <w:t>11.1.</w:t>
      </w:r>
      <w:r>
        <w:rPr>
          <w:rFonts w:ascii="宋体" w:hAnsi="宋体" w:cs="宋体"/>
          <w:sz w:val="21"/>
          <w:szCs w:val="21"/>
        </w:rPr>
        <w:t>4</w:t>
      </w:r>
      <w:r>
        <w:rPr>
          <w:rFonts w:hint="eastAsia" w:ascii="宋体" w:hAnsi="宋体" w:cs="宋体"/>
          <w:sz w:val="21"/>
          <w:szCs w:val="21"/>
        </w:rPr>
        <w:t>本项目的特定资格要求。</w:t>
      </w:r>
    </w:p>
    <w:p w14:paraId="0A7BE3EA">
      <w:pPr>
        <w:snapToGrid w:val="0"/>
        <w:spacing w:line="360" w:lineRule="auto"/>
        <w:ind w:firstLine="420" w:firstLineChars="200"/>
        <w:rPr>
          <w:rFonts w:ascii="宋体" w:hAnsi="宋体" w:cs="宋体"/>
          <w:sz w:val="21"/>
          <w:szCs w:val="21"/>
          <w:lang w:val="zh-CN"/>
        </w:rPr>
      </w:pPr>
      <w:r>
        <w:rPr>
          <w:rFonts w:hint="eastAsia" w:ascii="宋体" w:hAnsi="宋体" w:cs="宋体"/>
          <w:sz w:val="21"/>
          <w:szCs w:val="21"/>
          <w:lang w:val="zh-CN"/>
        </w:rPr>
        <w:t>11.</w:t>
      </w:r>
      <w:r>
        <w:rPr>
          <w:rFonts w:hint="eastAsia" w:ascii="宋体" w:hAnsi="宋体" w:cs="宋体"/>
          <w:sz w:val="21"/>
          <w:szCs w:val="21"/>
        </w:rPr>
        <w:t>2</w:t>
      </w:r>
      <w:r>
        <w:rPr>
          <w:rFonts w:hint="eastAsia" w:ascii="宋体" w:hAnsi="宋体" w:cs="宋体"/>
          <w:sz w:val="21"/>
          <w:szCs w:val="21"/>
          <w:lang w:val="zh-CN"/>
        </w:rPr>
        <w:t xml:space="preserve">  </w:t>
      </w:r>
      <w:r>
        <w:rPr>
          <w:rFonts w:hint="eastAsia" w:ascii="宋体" w:hAnsi="宋体" w:cs="宋体"/>
          <w:sz w:val="21"/>
          <w:szCs w:val="21"/>
        </w:rPr>
        <w:t>商务技术</w:t>
      </w:r>
      <w:r>
        <w:rPr>
          <w:rFonts w:hint="eastAsia" w:ascii="宋体" w:hAnsi="宋体" w:cs="宋体"/>
          <w:sz w:val="21"/>
          <w:szCs w:val="21"/>
          <w:lang w:val="zh-CN"/>
        </w:rPr>
        <w:t>文件：</w:t>
      </w:r>
    </w:p>
    <w:p w14:paraId="7BE42257">
      <w:pPr>
        <w:snapToGrid w:val="0"/>
        <w:spacing w:line="360" w:lineRule="auto"/>
        <w:ind w:firstLine="840" w:firstLineChars="400"/>
        <w:rPr>
          <w:rFonts w:ascii="宋体" w:hAnsi="宋体" w:cs="宋体"/>
          <w:sz w:val="21"/>
          <w:szCs w:val="21"/>
        </w:rPr>
      </w:pPr>
      <w:r>
        <w:rPr>
          <w:rFonts w:hint="eastAsia" w:ascii="宋体" w:hAnsi="宋体" w:cs="宋体"/>
          <w:sz w:val="21"/>
          <w:szCs w:val="21"/>
        </w:rPr>
        <w:t>11.2.1响应函；</w:t>
      </w:r>
      <w:r>
        <w:rPr>
          <w:rFonts w:hint="eastAsia" w:ascii="宋体" w:hAnsi="宋体" w:cs="宋体"/>
          <w:sz w:val="21"/>
          <w:szCs w:val="21"/>
          <w:lang w:val="zh-CN"/>
        </w:rPr>
        <w:t xml:space="preserve"> </w:t>
      </w:r>
    </w:p>
    <w:p w14:paraId="65EE7696">
      <w:pPr>
        <w:snapToGrid w:val="0"/>
        <w:spacing w:line="360" w:lineRule="auto"/>
        <w:ind w:firstLine="840" w:firstLineChars="400"/>
        <w:rPr>
          <w:rFonts w:ascii="宋体" w:hAnsi="宋体" w:cs="宋体"/>
          <w:sz w:val="21"/>
          <w:szCs w:val="21"/>
        </w:rPr>
      </w:pPr>
      <w:r>
        <w:rPr>
          <w:rFonts w:hint="eastAsia" w:ascii="宋体" w:hAnsi="宋体" w:cs="宋体"/>
          <w:sz w:val="21"/>
          <w:szCs w:val="21"/>
        </w:rPr>
        <w:t>11.2.2授权委托书或法定代表人（单位负责人、自然人本人）身份证明；</w:t>
      </w:r>
    </w:p>
    <w:p w14:paraId="4A70C255">
      <w:pPr>
        <w:snapToGrid w:val="0"/>
        <w:spacing w:line="360" w:lineRule="auto"/>
        <w:ind w:firstLine="840" w:firstLineChars="400"/>
        <w:rPr>
          <w:rFonts w:ascii="宋体" w:hAnsi="宋体" w:cs="宋体"/>
          <w:sz w:val="21"/>
          <w:szCs w:val="21"/>
        </w:rPr>
      </w:pPr>
      <w:r>
        <w:rPr>
          <w:rFonts w:hint="eastAsia" w:ascii="宋体" w:hAnsi="宋体" w:cs="宋体"/>
          <w:sz w:val="21"/>
          <w:szCs w:val="21"/>
        </w:rPr>
        <w:t>11.2.3分包意向协议（如果有)；</w:t>
      </w:r>
    </w:p>
    <w:p w14:paraId="7506EC99">
      <w:pPr>
        <w:snapToGrid w:val="0"/>
        <w:spacing w:line="360" w:lineRule="auto"/>
        <w:ind w:firstLine="840" w:firstLineChars="400"/>
        <w:rPr>
          <w:rFonts w:ascii="宋体" w:hAnsi="宋体" w:cs="宋体"/>
          <w:sz w:val="21"/>
          <w:szCs w:val="21"/>
        </w:rPr>
      </w:pPr>
      <w:r>
        <w:rPr>
          <w:rFonts w:hint="eastAsia" w:ascii="宋体" w:hAnsi="宋体" w:cs="宋体"/>
          <w:sz w:val="21"/>
          <w:szCs w:val="21"/>
        </w:rPr>
        <w:t>11.2.4符合性审查资料；</w:t>
      </w:r>
    </w:p>
    <w:p w14:paraId="0003E7F7">
      <w:pPr>
        <w:snapToGrid w:val="0"/>
        <w:spacing w:line="360" w:lineRule="auto"/>
        <w:ind w:firstLine="840" w:firstLineChars="400"/>
        <w:rPr>
          <w:rFonts w:ascii="宋体" w:hAnsi="宋体" w:cs="宋体"/>
          <w:sz w:val="21"/>
          <w:szCs w:val="21"/>
        </w:rPr>
      </w:pPr>
      <w:r>
        <w:rPr>
          <w:rFonts w:hint="eastAsia" w:ascii="宋体" w:hAnsi="宋体" w:cs="宋体"/>
          <w:sz w:val="21"/>
          <w:szCs w:val="21"/>
        </w:rPr>
        <w:t>11.2.5评审标准相应的商务技术资料；</w:t>
      </w:r>
    </w:p>
    <w:p w14:paraId="36285B50">
      <w:pPr>
        <w:snapToGrid w:val="0"/>
        <w:spacing w:line="360" w:lineRule="auto"/>
        <w:ind w:firstLine="840" w:firstLineChars="400"/>
        <w:rPr>
          <w:rFonts w:ascii="宋体" w:hAnsi="宋体" w:cs="宋体"/>
          <w:sz w:val="21"/>
          <w:szCs w:val="21"/>
        </w:rPr>
      </w:pPr>
      <w:r>
        <w:rPr>
          <w:rFonts w:hint="eastAsia" w:ascii="宋体" w:hAnsi="宋体" w:cs="宋体"/>
          <w:sz w:val="21"/>
          <w:szCs w:val="21"/>
        </w:rPr>
        <w:t>11.2.6商务技术偏离表；</w:t>
      </w:r>
    </w:p>
    <w:p w14:paraId="03A362AC">
      <w:pPr>
        <w:snapToGrid w:val="0"/>
        <w:spacing w:line="360" w:lineRule="auto"/>
        <w:ind w:firstLine="840" w:firstLineChars="400"/>
        <w:rPr>
          <w:rFonts w:ascii="宋体" w:hAnsi="宋体" w:cs="宋体"/>
          <w:sz w:val="21"/>
          <w:szCs w:val="21"/>
          <w:lang w:val="zh-CN"/>
        </w:rPr>
      </w:pPr>
      <w:r>
        <w:rPr>
          <w:rFonts w:hint="eastAsia" w:ascii="宋体" w:hAnsi="宋体" w:cs="宋体"/>
          <w:sz w:val="21"/>
          <w:szCs w:val="21"/>
          <w:lang w:val="zh-CN"/>
        </w:rPr>
        <w:t>11.</w:t>
      </w:r>
      <w:r>
        <w:rPr>
          <w:rFonts w:hint="eastAsia" w:ascii="宋体" w:hAnsi="宋体" w:cs="宋体"/>
          <w:sz w:val="21"/>
          <w:szCs w:val="21"/>
        </w:rPr>
        <w:t>2</w:t>
      </w:r>
      <w:r>
        <w:rPr>
          <w:rFonts w:hint="eastAsia" w:ascii="宋体" w:hAnsi="宋体" w:cs="宋体"/>
          <w:sz w:val="21"/>
          <w:szCs w:val="21"/>
          <w:lang w:val="zh-CN"/>
        </w:rPr>
        <w:t>.</w:t>
      </w:r>
      <w:r>
        <w:rPr>
          <w:rFonts w:hint="eastAsia" w:ascii="宋体" w:hAnsi="宋体" w:cs="宋体"/>
          <w:sz w:val="21"/>
          <w:szCs w:val="21"/>
        </w:rPr>
        <w:t>7</w:t>
      </w:r>
      <w:r>
        <w:rPr>
          <w:rFonts w:hint="eastAsia" w:ascii="宋体" w:hAnsi="宋体" w:cs="宋体"/>
          <w:sz w:val="21"/>
          <w:szCs w:val="21"/>
          <w:lang w:val="zh-CN"/>
        </w:rPr>
        <w:t>政府采购供应商廉洁自律承诺书；</w:t>
      </w:r>
    </w:p>
    <w:p w14:paraId="23E2152D">
      <w:pPr>
        <w:snapToGrid w:val="0"/>
        <w:spacing w:line="360" w:lineRule="auto"/>
        <w:ind w:firstLine="420" w:firstLineChars="200"/>
        <w:rPr>
          <w:rFonts w:ascii="宋体" w:hAnsi="宋体" w:cs="宋体"/>
          <w:sz w:val="21"/>
          <w:szCs w:val="21"/>
          <w:u w:val="single"/>
          <w:lang w:val="zh-CN"/>
        </w:rPr>
      </w:pPr>
      <w:r>
        <w:rPr>
          <w:rFonts w:hint="eastAsia" w:ascii="宋体" w:hAnsi="宋体" w:cs="宋体"/>
          <w:kern w:val="0"/>
          <w:sz w:val="21"/>
          <w:szCs w:val="21"/>
          <w:lang w:val="zh-CN"/>
        </w:rPr>
        <w:t>11.</w:t>
      </w:r>
      <w:r>
        <w:rPr>
          <w:rFonts w:hint="eastAsia" w:ascii="宋体" w:hAnsi="宋体" w:cs="宋体"/>
          <w:kern w:val="0"/>
          <w:sz w:val="21"/>
          <w:szCs w:val="21"/>
        </w:rPr>
        <w:t>3</w:t>
      </w:r>
      <w:r>
        <w:rPr>
          <w:rFonts w:hint="eastAsia" w:ascii="宋体" w:hAnsi="宋体" w:cs="宋体"/>
          <w:b/>
          <w:sz w:val="21"/>
          <w:szCs w:val="21"/>
        </w:rPr>
        <w:t>报价文件：</w:t>
      </w:r>
      <w:r>
        <w:rPr>
          <w:rFonts w:hint="eastAsia" w:ascii="宋体" w:hAnsi="宋体" w:cs="宋体"/>
          <w:sz w:val="21"/>
          <w:szCs w:val="21"/>
        </w:rPr>
        <w:t xml:space="preserve"> </w:t>
      </w:r>
    </w:p>
    <w:p w14:paraId="1D3C0605">
      <w:pPr>
        <w:snapToGrid w:val="0"/>
        <w:spacing w:line="360" w:lineRule="auto"/>
        <w:ind w:firstLine="840" w:firstLineChars="400"/>
        <w:rPr>
          <w:rFonts w:ascii="宋体" w:hAnsi="宋体" w:cs="宋体"/>
          <w:sz w:val="21"/>
          <w:szCs w:val="21"/>
        </w:rPr>
      </w:pPr>
      <w:r>
        <w:rPr>
          <w:rFonts w:hint="eastAsia" w:ascii="宋体" w:hAnsi="宋体" w:cs="宋体"/>
          <w:sz w:val="21"/>
          <w:szCs w:val="21"/>
        </w:rPr>
        <w:t>11.3.1报价单；</w:t>
      </w:r>
    </w:p>
    <w:p w14:paraId="417A3404">
      <w:pPr>
        <w:snapToGrid w:val="0"/>
        <w:spacing w:line="360" w:lineRule="auto"/>
        <w:ind w:firstLine="840" w:firstLineChars="400"/>
        <w:rPr>
          <w:rFonts w:ascii="宋体" w:hAnsi="宋体" w:cs="宋体"/>
          <w:sz w:val="21"/>
          <w:szCs w:val="21"/>
        </w:rPr>
      </w:pPr>
      <w:r>
        <w:rPr>
          <w:rFonts w:hint="eastAsia" w:ascii="宋体" w:hAnsi="宋体" w:cs="宋体"/>
          <w:sz w:val="21"/>
          <w:szCs w:val="21"/>
        </w:rPr>
        <w:t>11.3.2已标价工程量清单；</w:t>
      </w:r>
    </w:p>
    <w:p w14:paraId="624FDE51">
      <w:pPr>
        <w:snapToGrid w:val="0"/>
        <w:spacing w:line="360" w:lineRule="auto"/>
        <w:ind w:firstLine="840" w:firstLineChars="400"/>
        <w:rPr>
          <w:rFonts w:ascii="宋体" w:hAnsi="宋体" w:cs="宋体"/>
          <w:sz w:val="21"/>
          <w:szCs w:val="21"/>
        </w:rPr>
      </w:pPr>
      <w:r>
        <w:rPr>
          <w:rFonts w:hint="eastAsia" w:ascii="宋体" w:hAnsi="宋体" w:cs="宋体"/>
          <w:sz w:val="21"/>
          <w:szCs w:val="21"/>
        </w:rPr>
        <w:t>11.3.3中小企业声明函。</w:t>
      </w:r>
    </w:p>
    <w:p w14:paraId="5637EAB3">
      <w:pPr>
        <w:spacing w:line="360" w:lineRule="auto"/>
        <w:ind w:firstLine="632" w:firstLineChars="300"/>
        <w:rPr>
          <w:rFonts w:ascii="宋体" w:hAnsi="宋体" w:cs="宋体"/>
          <w:b/>
          <w:sz w:val="21"/>
          <w:szCs w:val="21"/>
        </w:rPr>
      </w:pPr>
      <w:r>
        <w:rPr>
          <w:rFonts w:hint="eastAsia" w:ascii="宋体" w:hAnsi="宋体" w:cs="宋体"/>
          <w:b/>
          <w:sz w:val="21"/>
          <w:szCs w:val="21"/>
        </w:rPr>
        <w:t>响应文件含有采购人不能接受的附加条件的，响应文件无效；</w:t>
      </w:r>
    </w:p>
    <w:p w14:paraId="37562BC3">
      <w:pPr>
        <w:spacing w:line="360" w:lineRule="auto"/>
        <w:ind w:firstLine="632" w:firstLineChars="300"/>
        <w:rPr>
          <w:rFonts w:ascii="宋体" w:hAnsi="宋体" w:cs="宋体"/>
          <w:b/>
          <w:sz w:val="21"/>
          <w:szCs w:val="21"/>
        </w:rPr>
      </w:pPr>
      <w:r>
        <w:rPr>
          <w:rFonts w:hint="eastAsia" w:ascii="宋体" w:hAnsi="宋体" w:cs="宋体"/>
          <w:b/>
          <w:sz w:val="21"/>
          <w:szCs w:val="21"/>
        </w:rPr>
        <w:t>供应商提供虚假材料的，响应文件无效。</w:t>
      </w:r>
    </w:p>
    <w:p w14:paraId="7DCCC300">
      <w:pPr>
        <w:pStyle w:val="396"/>
        <w:snapToGrid w:val="0"/>
        <w:spacing w:before="0"/>
        <w:ind w:firstLine="0" w:firstLineChars="0"/>
        <w:outlineLvl w:val="0"/>
        <w:rPr>
          <w:rFonts w:ascii="宋体" w:hAnsi="宋体" w:cs="宋体"/>
          <w:b/>
          <w:sz w:val="21"/>
          <w:szCs w:val="21"/>
        </w:rPr>
      </w:pPr>
      <w:r>
        <w:rPr>
          <w:rFonts w:hint="eastAsia" w:ascii="宋体" w:hAnsi="宋体" w:cs="宋体"/>
          <w:b/>
          <w:sz w:val="21"/>
          <w:szCs w:val="21"/>
        </w:rPr>
        <w:t>12</w:t>
      </w:r>
      <w:r>
        <w:rPr>
          <w:rFonts w:hint="eastAsia" w:ascii="宋体" w:hAnsi="宋体" w:cs="宋体"/>
          <w:b/>
          <w:kern w:val="0"/>
          <w:sz w:val="21"/>
          <w:szCs w:val="21"/>
          <w:lang w:val="zh-CN"/>
        </w:rPr>
        <w:t xml:space="preserve">. </w:t>
      </w:r>
      <w:r>
        <w:rPr>
          <w:rFonts w:hint="eastAsia" w:ascii="宋体" w:hAnsi="宋体" w:cs="宋体"/>
          <w:b/>
          <w:sz w:val="21"/>
          <w:szCs w:val="21"/>
        </w:rPr>
        <w:t>响应文件的编制</w:t>
      </w:r>
    </w:p>
    <w:p w14:paraId="714B0250">
      <w:pPr>
        <w:spacing w:line="360" w:lineRule="auto"/>
        <w:ind w:firstLine="420" w:firstLineChars="200"/>
        <w:rPr>
          <w:rFonts w:ascii="宋体" w:hAnsi="宋体" w:cs="宋体"/>
          <w:b/>
          <w:sz w:val="21"/>
          <w:szCs w:val="21"/>
        </w:rPr>
      </w:pPr>
      <w:r>
        <w:rPr>
          <w:rFonts w:hint="eastAsia" w:ascii="宋体" w:hAnsi="宋体" w:cs="宋体"/>
          <w:kern w:val="0"/>
          <w:sz w:val="21"/>
          <w:szCs w:val="21"/>
          <w:lang w:val="zh-CN"/>
        </w:rPr>
        <w:t>12.1响应文件分为资格文件、商务技术文件、报价文件三部分。各供应商在编制响应文件时请按照采购文件第六部分规定的格式进行，混乱的编排导致响应文件被误读或磋商小组查找不到有效文件是供应商的风险。</w:t>
      </w:r>
    </w:p>
    <w:p w14:paraId="3C85260A">
      <w:pPr>
        <w:spacing w:line="360" w:lineRule="auto"/>
        <w:ind w:firstLine="420" w:firstLineChars="200"/>
        <w:rPr>
          <w:rFonts w:ascii="宋体" w:hAnsi="宋体" w:cs="宋体"/>
          <w:kern w:val="0"/>
          <w:sz w:val="21"/>
          <w:szCs w:val="21"/>
          <w:lang w:val="zh-CN"/>
        </w:rPr>
      </w:pPr>
      <w:r>
        <w:rPr>
          <w:rFonts w:hint="eastAsia" w:ascii="宋体" w:hAnsi="宋体" w:cs="宋体"/>
          <w:kern w:val="0"/>
          <w:sz w:val="21"/>
          <w:szCs w:val="21"/>
          <w:lang w:val="zh-CN"/>
        </w:rPr>
        <w:t>12.2供应商进行电子投标应安装客户端软件—“政采云电子交易客户端”，并按照采购文件和电子交易平台的要求编制并加密响应文件。供应商未按规定加密的响应文件，电子交易平台将拒收并提示。</w:t>
      </w:r>
    </w:p>
    <w:p w14:paraId="49D334F0">
      <w:pPr>
        <w:snapToGrid w:val="0"/>
        <w:spacing w:line="360" w:lineRule="auto"/>
        <w:ind w:firstLine="420" w:firstLineChars="200"/>
        <w:rPr>
          <w:rFonts w:ascii="宋体" w:hAnsi="宋体" w:cs="宋体"/>
          <w:kern w:val="0"/>
          <w:sz w:val="21"/>
          <w:szCs w:val="21"/>
          <w:lang w:val="zh-CN"/>
        </w:rPr>
      </w:pPr>
      <w:r>
        <w:rPr>
          <w:rFonts w:hint="eastAsia" w:ascii="宋体" w:hAnsi="宋体" w:cs="宋体"/>
          <w:kern w:val="0"/>
          <w:sz w:val="21"/>
          <w:szCs w:val="21"/>
          <w:lang w:val="zh-CN"/>
        </w:rPr>
        <w:t>12.3使用“政采云电子交易客户端”需要提前申领CA数字证书，申领流程请自行前往“浙江政府采购网-下载专区-电子交易客户端-CA驱动和申领流程”进行查阅。</w:t>
      </w:r>
    </w:p>
    <w:p w14:paraId="66A35F64">
      <w:pPr>
        <w:snapToGrid w:val="0"/>
        <w:spacing w:line="360" w:lineRule="auto"/>
        <w:rPr>
          <w:rFonts w:ascii="宋体" w:hAnsi="宋体" w:cs="宋体"/>
          <w:b/>
          <w:sz w:val="21"/>
          <w:szCs w:val="21"/>
        </w:rPr>
      </w:pPr>
      <w:r>
        <w:rPr>
          <w:rFonts w:hint="eastAsia" w:ascii="宋体" w:hAnsi="宋体" w:cs="宋体"/>
          <w:b/>
          <w:sz w:val="21"/>
          <w:szCs w:val="21"/>
        </w:rPr>
        <w:t>13.响应文件的签署、盖章</w:t>
      </w:r>
    </w:p>
    <w:p w14:paraId="564DA7FE">
      <w:pPr>
        <w:pStyle w:val="396"/>
        <w:snapToGrid w:val="0"/>
        <w:spacing w:before="0"/>
        <w:ind w:firstLine="480"/>
        <w:rPr>
          <w:rFonts w:ascii="宋体" w:hAnsi="宋体" w:cs="宋体"/>
          <w:b/>
          <w:sz w:val="21"/>
          <w:szCs w:val="21"/>
        </w:rPr>
      </w:pPr>
      <w:r>
        <w:rPr>
          <w:rFonts w:hint="eastAsia" w:ascii="宋体" w:hAnsi="宋体" w:cs="宋体"/>
          <w:sz w:val="21"/>
          <w:szCs w:val="21"/>
        </w:rPr>
        <w:t>13.1响应文件按照采购文件第六部分格式要求进行签署、盖章。</w:t>
      </w:r>
      <w:r>
        <w:rPr>
          <w:rFonts w:hint="eastAsia" w:ascii="宋体" w:hAnsi="宋体" w:cs="宋体"/>
          <w:b/>
          <w:sz w:val="21"/>
          <w:szCs w:val="21"/>
        </w:rPr>
        <w:t>▲供应商的响应文件未按照采购文件要求签署、盖章的，其响应文件无效</w:t>
      </w:r>
      <w:r>
        <w:rPr>
          <w:rFonts w:hint="eastAsia" w:ascii="宋体" w:hAnsi="宋体" w:cs="宋体"/>
          <w:sz w:val="21"/>
          <w:szCs w:val="21"/>
        </w:rPr>
        <w:t>。</w:t>
      </w:r>
    </w:p>
    <w:p w14:paraId="268A14AB">
      <w:pPr>
        <w:pStyle w:val="396"/>
        <w:snapToGrid w:val="0"/>
        <w:spacing w:before="0"/>
        <w:ind w:firstLine="480"/>
        <w:rPr>
          <w:rFonts w:ascii="宋体" w:hAnsi="宋体" w:cs="宋体"/>
          <w:sz w:val="21"/>
          <w:szCs w:val="21"/>
        </w:rPr>
      </w:pPr>
      <w:r>
        <w:rPr>
          <w:rFonts w:hint="eastAsia" w:ascii="宋体" w:hAnsi="宋体" w:cs="宋体"/>
          <w:sz w:val="21"/>
          <w:szCs w:val="21"/>
        </w:rPr>
        <w:t>13.2为确保网上操作合法、有效和安全，供应商应当在响应文件提交（上传）截止时间前完成在“政府采购云平台”的身份认证，确保在电子投标过程中能够对相关数据电文进行加密和使用电子签名。</w:t>
      </w:r>
    </w:p>
    <w:p w14:paraId="5E83A178">
      <w:pPr>
        <w:pStyle w:val="396"/>
        <w:snapToGrid w:val="0"/>
        <w:spacing w:before="0"/>
        <w:ind w:firstLine="480"/>
        <w:rPr>
          <w:rFonts w:ascii="宋体" w:hAnsi="宋体" w:cs="宋体"/>
          <w:sz w:val="21"/>
          <w:szCs w:val="21"/>
        </w:rPr>
      </w:pPr>
      <w:r>
        <w:rPr>
          <w:rFonts w:hint="eastAsia" w:ascii="宋体" w:hAnsi="宋体" w:cs="宋体"/>
          <w:sz w:val="21"/>
          <w:szCs w:val="21"/>
        </w:rPr>
        <w:t>13.3采购文件对响应文件签署、盖章的要求适用于电子签名。</w:t>
      </w:r>
    </w:p>
    <w:p w14:paraId="1AC78F79">
      <w:pPr>
        <w:pStyle w:val="396"/>
        <w:snapToGrid w:val="0"/>
        <w:spacing w:before="0"/>
        <w:ind w:firstLine="0" w:firstLineChars="0"/>
        <w:rPr>
          <w:rFonts w:ascii="宋体" w:hAnsi="宋体" w:cs="宋体"/>
          <w:b/>
          <w:sz w:val="21"/>
          <w:szCs w:val="21"/>
        </w:rPr>
      </w:pPr>
    </w:p>
    <w:p w14:paraId="211E30F2">
      <w:pPr>
        <w:pStyle w:val="396"/>
        <w:snapToGrid w:val="0"/>
        <w:spacing w:before="0"/>
        <w:ind w:firstLine="0" w:firstLineChars="0"/>
        <w:rPr>
          <w:rFonts w:ascii="宋体" w:hAnsi="宋体" w:cs="宋体"/>
          <w:b/>
          <w:sz w:val="21"/>
          <w:szCs w:val="21"/>
        </w:rPr>
      </w:pPr>
      <w:r>
        <w:rPr>
          <w:rFonts w:hint="eastAsia" w:ascii="宋体" w:hAnsi="宋体" w:cs="宋体"/>
          <w:b/>
          <w:sz w:val="21"/>
          <w:szCs w:val="21"/>
        </w:rPr>
        <w:t>14. 响应文件的提交、补充、修改、撤回</w:t>
      </w:r>
    </w:p>
    <w:p w14:paraId="037057EF">
      <w:pPr>
        <w:pStyle w:val="396"/>
        <w:snapToGrid w:val="0"/>
        <w:spacing w:before="0"/>
        <w:ind w:firstLine="480"/>
        <w:rPr>
          <w:rFonts w:ascii="宋体" w:hAnsi="宋体" w:cs="宋体"/>
          <w:sz w:val="21"/>
          <w:szCs w:val="21"/>
        </w:rPr>
      </w:pPr>
      <w:r>
        <w:rPr>
          <w:rFonts w:hint="eastAsia" w:ascii="宋体" w:hAnsi="宋体" w:cs="宋体"/>
          <w:sz w:val="21"/>
          <w:szCs w:val="21"/>
        </w:rPr>
        <w:t>14.1 供应商应当在响应文件提交（上传）截止时间前完成响应文件的传输递交，并可以补充、修改或者撤回响应文件。补充或者修改响应文件的，应当先行撤回原文件，补充、修改后重新传输递交。响应文件提交（上传）截止时间前未完成传输的，视为撤回响应文件。响应文件提交（上传）截止时间后递交的响应文件，电子交易平台将拒收。</w:t>
      </w:r>
    </w:p>
    <w:p w14:paraId="5311722C">
      <w:pPr>
        <w:pStyle w:val="396"/>
        <w:snapToGrid w:val="0"/>
        <w:spacing w:before="0"/>
        <w:ind w:firstLine="480"/>
        <w:rPr>
          <w:rFonts w:ascii="宋体" w:hAnsi="宋体" w:cs="宋体"/>
          <w:sz w:val="21"/>
          <w:szCs w:val="21"/>
        </w:rPr>
      </w:pPr>
      <w:r>
        <w:rPr>
          <w:rFonts w:hint="eastAsia" w:ascii="宋体" w:hAnsi="宋体" w:cs="宋体"/>
          <w:sz w:val="21"/>
          <w:szCs w:val="21"/>
        </w:rPr>
        <w:t>14.2电子交易平台收到响应文件，将妥善保存并即时向供应商发出确认回执通知。在响应文件提交（上传）截止时间前，除供应商补充、修改或者撤回响应文件外，任何单位和个人不得解密或提取响应文件。</w:t>
      </w:r>
    </w:p>
    <w:p w14:paraId="4F4D3441">
      <w:pPr>
        <w:pStyle w:val="396"/>
        <w:snapToGrid w:val="0"/>
        <w:spacing w:before="0"/>
        <w:ind w:firstLine="480"/>
        <w:rPr>
          <w:rFonts w:ascii="宋体" w:hAnsi="宋体" w:cs="宋体"/>
          <w:sz w:val="21"/>
          <w:szCs w:val="21"/>
        </w:rPr>
      </w:pPr>
      <w:r>
        <w:rPr>
          <w:rFonts w:hint="eastAsia" w:ascii="宋体" w:hAnsi="宋体" w:cs="宋体"/>
          <w:sz w:val="21"/>
          <w:szCs w:val="21"/>
        </w:rPr>
        <w:t>14.3采购人、</w:t>
      </w:r>
      <w:r>
        <w:rPr>
          <w:rFonts w:hint="eastAsia" w:ascii="宋体" w:hAnsi="宋体" w:cs="宋体"/>
          <w:sz w:val="21"/>
          <w:szCs w:val="21"/>
          <w:lang w:eastAsia="zh-CN"/>
        </w:rPr>
        <w:t>采购代理机构</w:t>
      </w:r>
      <w:r>
        <w:rPr>
          <w:rFonts w:hint="eastAsia" w:ascii="宋体" w:hAnsi="宋体" w:cs="宋体"/>
          <w:sz w:val="21"/>
          <w:szCs w:val="21"/>
        </w:rPr>
        <w:t>可以视情况延长响应文件提交的截止时间。在上述情况下，</w:t>
      </w:r>
      <w:r>
        <w:rPr>
          <w:rFonts w:hint="eastAsia" w:ascii="宋体" w:hAnsi="宋体" w:cs="宋体"/>
          <w:sz w:val="21"/>
          <w:szCs w:val="21"/>
          <w:lang w:eastAsia="zh-CN"/>
        </w:rPr>
        <w:t>采购代理机构</w:t>
      </w:r>
      <w:r>
        <w:rPr>
          <w:rFonts w:hint="eastAsia" w:ascii="宋体" w:hAnsi="宋体" w:cs="宋体"/>
          <w:sz w:val="21"/>
          <w:szCs w:val="21"/>
        </w:rPr>
        <w:t>与供应商以前在响应文件提交截止时间方面的全部权利、责任和义务，将适用于延长至新的响应文件提交截止时间。</w:t>
      </w:r>
    </w:p>
    <w:p w14:paraId="67242BA2">
      <w:pPr>
        <w:pStyle w:val="32"/>
        <w:snapToGrid w:val="0"/>
        <w:spacing w:line="360" w:lineRule="auto"/>
        <w:rPr>
          <w:rFonts w:hAnsi="宋体" w:cs="宋体"/>
          <w:b/>
          <w:sz w:val="21"/>
          <w:szCs w:val="21"/>
        </w:rPr>
      </w:pPr>
      <w:r>
        <w:rPr>
          <w:rFonts w:hint="eastAsia" w:hAnsi="宋体" w:cs="宋体"/>
          <w:b/>
          <w:sz w:val="21"/>
          <w:szCs w:val="21"/>
        </w:rPr>
        <w:t>15.备份响应文件</w:t>
      </w:r>
    </w:p>
    <w:p w14:paraId="03BCAA7E">
      <w:pPr>
        <w:pStyle w:val="32"/>
        <w:snapToGrid w:val="0"/>
        <w:spacing w:line="360" w:lineRule="auto"/>
        <w:ind w:firstLine="315" w:firstLineChars="150"/>
        <w:rPr>
          <w:rFonts w:hAnsi="宋体" w:cs="宋体"/>
          <w:b/>
          <w:sz w:val="21"/>
          <w:szCs w:val="21"/>
        </w:rPr>
      </w:pPr>
      <w:r>
        <w:rPr>
          <w:rFonts w:hint="eastAsia" w:hAnsi="宋体" w:cs="宋体"/>
          <w:sz w:val="21"/>
          <w:szCs w:val="21"/>
        </w:rPr>
        <w:t xml:space="preserve"> 15.1供应商在电子交易平台传输递交响应文件后，还可以在响应文件提交（上传）截止时间前直接提交或者以邮政快递方式递交备份响应文件1份，</w:t>
      </w:r>
      <w:r>
        <w:rPr>
          <w:rFonts w:hint="eastAsia" w:hAnsi="宋体" w:cs="宋体"/>
          <w:b/>
          <w:sz w:val="21"/>
          <w:szCs w:val="21"/>
        </w:rPr>
        <w:t>但采购人、</w:t>
      </w:r>
      <w:r>
        <w:rPr>
          <w:rFonts w:hint="eastAsia" w:hAnsi="宋体" w:cs="宋体"/>
          <w:b/>
          <w:sz w:val="21"/>
          <w:szCs w:val="21"/>
          <w:lang w:eastAsia="zh-CN"/>
        </w:rPr>
        <w:t>采购代理机构</w:t>
      </w:r>
      <w:r>
        <w:rPr>
          <w:rFonts w:hint="eastAsia" w:hAnsi="宋体" w:cs="宋体"/>
          <w:b/>
          <w:sz w:val="21"/>
          <w:szCs w:val="21"/>
        </w:rPr>
        <w:t>不强制或变相强制供应商提交备份响应文件。</w:t>
      </w:r>
    </w:p>
    <w:p w14:paraId="01F6A10A">
      <w:pPr>
        <w:pStyle w:val="32"/>
        <w:snapToGrid w:val="0"/>
        <w:spacing w:line="360" w:lineRule="auto"/>
        <w:ind w:firstLine="420" w:firstLineChars="200"/>
        <w:rPr>
          <w:rFonts w:hAnsi="宋体" w:cs="宋体"/>
          <w:b/>
          <w:sz w:val="21"/>
          <w:szCs w:val="21"/>
        </w:rPr>
      </w:pPr>
      <w:r>
        <w:rPr>
          <w:rFonts w:hint="eastAsia" w:hAnsi="宋体" w:cs="宋体"/>
          <w:sz w:val="21"/>
          <w:szCs w:val="21"/>
        </w:rPr>
        <w:t>15.2备份响应文件须在“政采云投标客户端”制作生成，并储存在DVD光盘</w:t>
      </w:r>
      <w:r>
        <w:rPr>
          <w:rFonts w:hint="eastAsia" w:hAnsi="宋体" w:cs="宋体"/>
          <w:sz w:val="21"/>
          <w:szCs w:val="21"/>
          <w:lang w:val="en-US" w:eastAsia="zh-CN"/>
        </w:rPr>
        <w:t>等存储介质</w:t>
      </w:r>
      <w:r>
        <w:rPr>
          <w:rFonts w:hint="eastAsia" w:hAnsi="宋体" w:cs="宋体"/>
          <w:sz w:val="21"/>
          <w:szCs w:val="21"/>
        </w:rPr>
        <w:t>中。备份响应文件应当密封包装并在包装上加盖公章并注明采购项目名称，供应商名称(联合体参与的，包装物封面需注明联合体，并注明联合体成员各方的名称和联合协议中约定的牵头人的名称)。</w:t>
      </w:r>
      <w:r>
        <w:rPr>
          <w:rFonts w:hint="eastAsia" w:hAnsi="宋体" w:cs="宋体"/>
          <w:b/>
          <w:sz w:val="21"/>
          <w:szCs w:val="21"/>
        </w:rPr>
        <w:t>不符合上述制作、存储、密封规定的备份响应文件将被视为无效或者被拒绝接收。</w:t>
      </w:r>
    </w:p>
    <w:p w14:paraId="2340A0BA">
      <w:pPr>
        <w:pStyle w:val="32"/>
        <w:snapToGrid w:val="0"/>
        <w:spacing w:line="360" w:lineRule="auto"/>
        <w:ind w:firstLine="420" w:firstLineChars="200"/>
        <w:rPr>
          <w:rFonts w:hAnsi="宋体" w:cs="宋体"/>
          <w:sz w:val="21"/>
          <w:szCs w:val="21"/>
        </w:rPr>
      </w:pPr>
      <w:r>
        <w:rPr>
          <w:rFonts w:hint="eastAsia" w:hAnsi="宋体" w:cs="宋体"/>
          <w:sz w:val="21"/>
          <w:szCs w:val="21"/>
        </w:rPr>
        <w:t>15.3直接提交备份响应文件的，供应商应于响应文件提交（上传）截止时间前在竞争性磋商公告中载明的响应文件开启地点将备份响应文件提交给</w:t>
      </w:r>
      <w:r>
        <w:rPr>
          <w:rFonts w:hint="eastAsia" w:hAnsi="宋体" w:cs="宋体"/>
          <w:sz w:val="21"/>
          <w:szCs w:val="21"/>
          <w:lang w:eastAsia="zh-CN"/>
        </w:rPr>
        <w:t>采购代理机构</w:t>
      </w:r>
      <w:r>
        <w:rPr>
          <w:rFonts w:hint="eastAsia" w:hAnsi="宋体" w:cs="宋体"/>
          <w:sz w:val="21"/>
          <w:szCs w:val="21"/>
        </w:rPr>
        <w:t>，</w:t>
      </w:r>
      <w:r>
        <w:rPr>
          <w:rFonts w:hint="eastAsia" w:hAnsi="宋体" w:cs="宋体"/>
          <w:sz w:val="21"/>
          <w:szCs w:val="21"/>
          <w:lang w:eastAsia="zh-CN"/>
        </w:rPr>
        <w:t>采购代理机构</w:t>
      </w:r>
      <w:r>
        <w:rPr>
          <w:rFonts w:hint="eastAsia" w:hAnsi="宋体" w:cs="宋体"/>
          <w:sz w:val="21"/>
          <w:szCs w:val="21"/>
        </w:rPr>
        <w:t>将拒绝接受逾期送达的备份响应文件。</w:t>
      </w:r>
    </w:p>
    <w:p w14:paraId="507ABB9D">
      <w:pPr>
        <w:pStyle w:val="32"/>
        <w:snapToGrid w:val="0"/>
        <w:spacing w:line="360" w:lineRule="auto"/>
        <w:ind w:firstLine="420" w:firstLineChars="200"/>
        <w:rPr>
          <w:rFonts w:hAnsi="宋体" w:cs="宋体"/>
          <w:sz w:val="21"/>
          <w:szCs w:val="21"/>
        </w:rPr>
      </w:pPr>
      <w:r>
        <w:rPr>
          <w:rFonts w:hint="eastAsia" w:hAnsi="宋体" w:cs="宋体"/>
          <w:sz w:val="21"/>
          <w:szCs w:val="21"/>
        </w:rPr>
        <w:t>15.4以邮政快递方式递交备份响应文件的，供应商应先将备份响应文件按要求密封和标记，再进行邮政快递包装后邮寄。备份响应文件须在响应文件提交（上传）截止时间之前送达</w:t>
      </w:r>
      <w:r>
        <w:rPr>
          <w:rFonts w:hint="eastAsia" w:hAnsi="宋体" w:cs="宋体"/>
          <w:snapToGrid/>
          <w:sz w:val="21"/>
          <w:szCs w:val="21"/>
        </w:rPr>
        <w:t>采购文件第</w:t>
      </w:r>
      <w:r>
        <w:rPr>
          <w:rFonts w:hint="eastAsia" w:hAnsi="宋体" w:cs="宋体"/>
          <w:snapToGrid/>
          <w:sz w:val="21"/>
          <w:szCs w:val="21"/>
          <w:lang w:eastAsia="zh-CN"/>
        </w:rPr>
        <w:t>三</w:t>
      </w:r>
      <w:r>
        <w:rPr>
          <w:rFonts w:hint="eastAsia" w:hAnsi="宋体" w:cs="宋体"/>
          <w:snapToGrid/>
          <w:sz w:val="21"/>
          <w:szCs w:val="21"/>
        </w:rPr>
        <w:t>部分供应商须知前附表规定的备份响应文件送达地点；</w:t>
      </w:r>
      <w:r>
        <w:rPr>
          <w:rFonts w:hint="eastAsia" w:hAnsi="宋体" w:cs="宋体"/>
          <w:sz w:val="21"/>
          <w:szCs w:val="21"/>
        </w:rPr>
        <w:t>送达时间以签收人签收时间为准。</w:t>
      </w:r>
      <w:r>
        <w:rPr>
          <w:rFonts w:hint="eastAsia" w:hAnsi="宋体" w:cs="宋体"/>
          <w:sz w:val="21"/>
          <w:szCs w:val="21"/>
          <w:lang w:eastAsia="zh-CN"/>
        </w:rPr>
        <w:t>采购代理机构</w:t>
      </w:r>
      <w:r>
        <w:rPr>
          <w:rFonts w:hint="eastAsia" w:hAnsi="宋体" w:cs="宋体"/>
          <w:sz w:val="21"/>
          <w:szCs w:val="21"/>
        </w:rPr>
        <w:t>将拒绝接受逾期送达的备份响应文件。邮寄过程中，电子备份响应文件发生泄露、遗失、损坏或延期送达等情况的，由供应商自行负责。</w:t>
      </w:r>
    </w:p>
    <w:p w14:paraId="59EA80E5">
      <w:pPr>
        <w:pStyle w:val="32"/>
        <w:snapToGrid w:val="0"/>
        <w:spacing w:line="360" w:lineRule="auto"/>
        <w:ind w:firstLine="420" w:firstLineChars="199"/>
        <w:rPr>
          <w:rFonts w:hAnsi="宋体" w:cs="宋体"/>
          <w:b/>
          <w:sz w:val="21"/>
          <w:szCs w:val="21"/>
        </w:rPr>
      </w:pPr>
      <w:r>
        <w:rPr>
          <w:rFonts w:hint="eastAsia" w:hAnsi="宋体" w:cs="宋体"/>
          <w:b/>
          <w:sz w:val="21"/>
          <w:szCs w:val="21"/>
        </w:rPr>
        <w:t>15.5供应商仅提交备份响应文件，未在电子交易平台传输递交响应文件的，响应文件无效。</w:t>
      </w:r>
    </w:p>
    <w:p w14:paraId="5883C657">
      <w:pPr>
        <w:pStyle w:val="396"/>
        <w:spacing w:before="0"/>
        <w:ind w:firstLine="0" w:firstLineChars="0"/>
        <w:rPr>
          <w:rFonts w:ascii="宋体" w:hAnsi="宋体" w:cs="宋体"/>
          <w:b/>
          <w:sz w:val="21"/>
          <w:szCs w:val="21"/>
        </w:rPr>
      </w:pPr>
      <w:r>
        <w:rPr>
          <w:rFonts w:hint="eastAsia" w:ascii="宋体" w:hAnsi="宋体" w:cs="宋体"/>
          <w:b/>
          <w:sz w:val="21"/>
          <w:szCs w:val="21"/>
        </w:rPr>
        <w:t>16.响应文件的无效处理</w:t>
      </w:r>
    </w:p>
    <w:p w14:paraId="1C786384">
      <w:pPr>
        <w:pStyle w:val="24"/>
        <w:spacing w:line="360" w:lineRule="auto"/>
        <w:ind w:firstLine="315" w:firstLineChars="150"/>
        <w:rPr>
          <w:rFonts w:cs="宋体"/>
          <w:sz w:val="21"/>
          <w:szCs w:val="21"/>
        </w:rPr>
      </w:pPr>
      <w:r>
        <w:rPr>
          <w:rFonts w:hint="eastAsia" w:cs="宋体"/>
          <w:sz w:val="21"/>
          <w:szCs w:val="21"/>
        </w:rPr>
        <w:t>有采购文件第四部分4.2规定的情形之一的，响应文件无效：</w:t>
      </w:r>
    </w:p>
    <w:p w14:paraId="52CD3F8B">
      <w:pPr>
        <w:pStyle w:val="396"/>
        <w:spacing w:before="0"/>
        <w:ind w:firstLine="0" w:firstLineChars="0"/>
        <w:rPr>
          <w:rFonts w:ascii="宋体" w:hAnsi="宋体" w:cs="宋体"/>
          <w:b/>
          <w:sz w:val="21"/>
          <w:szCs w:val="21"/>
        </w:rPr>
      </w:pPr>
      <w:r>
        <w:rPr>
          <w:rFonts w:hint="eastAsia" w:ascii="宋体" w:hAnsi="宋体" w:cs="宋体"/>
          <w:b/>
          <w:sz w:val="21"/>
          <w:szCs w:val="21"/>
        </w:rPr>
        <w:t>17.响应文件有效期</w:t>
      </w:r>
    </w:p>
    <w:p w14:paraId="3B517CB0">
      <w:pPr>
        <w:spacing w:line="360" w:lineRule="auto"/>
        <w:ind w:firstLine="420" w:firstLineChars="200"/>
        <w:rPr>
          <w:rFonts w:ascii="宋体" w:hAnsi="宋体" w:cs="宋体"/>
          <w:b/>
          <w:sz w:val="21"/>
          <w:szCs w:val="21"/>
        </w:rPr>
      </w:pPr>
      <w:r>
        <w:rPr>
          <w:rFonts w:hint="eastAsia" w:ascii="宋体" w:hAnsi="宋体" w:cs="宋体"/>
          <w:sz w:val="21"/>
          <w:szCs w:val="21"/>
        </w:rPr>
        <w:t>17.1响应文件有效期为从提交响应文件的截止之日起90天。▲</w:t>
      </w:r>
      <w:r>
        <w:rPr>
          <w:rFonts w:hint="eastAsia" w:ascii="宋体" w:hAnsi="宋体" w:cs="宋体"/>
          <w:b/>
          <w:sz w:val="21"/>
          <w:szCs w:val="21"/>
        </w:rPr>
        <w:t>供应商的响应文件中承诺的响应文件有效期少于采购文件中载明的响应文件有效期的，响应文件无效。</w:t>
      </w:r>
    </w:p>
    <w:p w14:paraId="4022ECFE">
      <w:pPr>
        <w:pStyle w:val="396"/>
        <w:spacing w:before="0"/>
        <w:ind w:firstLine="480"/>
        <w:rPr>
          <w:rFonts w:ascii="宋体" w:hAnsi="宋体" w:cs="宋体"/>
          <w:sz w:val="21"/>
          <w:szCs w:val="21"/>
        </w:rPr>
      </w:pPr>
      <w:r>
        <w:rPr>
          <w:rFonts w:hint="eastAsia" w:ascii="宋体" w:hAnsi="宋体" w:cs="宋体"/>
          <w:sz w:val="21"/>
          <w:szCs w:val="21"/>
        </w:rPr>
        <w:t>17.2响应文件合格投递后，自响应文件提交截止时间起，在响应文件有效期内有效。</w:t>
      </w:r>
    </w:p>
    <w:p w14:paraId="497B84C4">
      <w:pPr>
        <w:pStyle w:val="396"/>
        <w:spacing w:before="0"/>
        <w:ind w:firstLine="480"/>
        <w:rPr>
          <w:rFonts w:ascii="宋体" w:hAnsi="宋体" w:cs="宋体"/>
          <w:sz w:val="21"/>
          <w:szCs w:val="21"/>
        </w:rPr>
      </w:pPr>
      <w:r>
        <w:rPr>
          <w:rFonts w:hint="eastAsia" w:ascii="宋体" w:hAnsi="宋体" w:cs="宋体"/>
          <w:sz w:val="21"/>
          <w:szCs w:val="21"/>
        </w:rPr>
        <w:t>17.3在原定响应文件有效期满之前，如果出现特殊情况，</w:t>
      </w:r>
      <w:r>
        <w:rPr>
          <w:rFonts w:hint="eastAsia" w:ascii="宋体" w:hAnsi="宋体" w:cs="宋体"/>
          <w:sz w:val="21"/>
          <w:szCs w:val="21"/>
          <w:lang w:eastAsia="zh-CN"/>
        </w:rPr>
        <w:t>采购代理机构</w:t>
      </w:r>
      <w:r>
        <w:rPr>
          <w:rFonts w:hint="eastAsia" w:ascii="宋体" w:hAnsi="宋体" w:cs="宋体"/>
          <w:sz w:val="21"/>
          <w:szCs w:val="21"/>
        </w:rPr>
        <w:t>可以以书面形式通知供应商延长响应文件有效期。供应商同意延长的，不得要求或被允许修改其响应文件，供应商拒绝延长的，其响应文件无效。</w:t>
      </w:r>
    </w:p>
    <w:p w14:paraId="2D25ED60">
      <w:pPr>
        <w:pStyle w:val="396"/>
        <w:spacing w:before="0"/>
        <w:ind w:firstLine="643"/>
        <w:rPr>
          <w:rFonts w:ascii="宋体" w:hAnsi="宋体" w:cs="宋体"/>
          <w:b/>
          <w:sz w:val="21"/>
          <w:szCs w:val="21"/>
        </w:rPr>
      </w:pPr>
    </w:p>
    <w:p w14:paraId="6DC12405">
      <w:pPr>
        <w:snapToGrid w:val="0"/>
        <w:spacing w:line="360" w:lineRule="auto"/>
        <w:jc w:val="center"/>
        <w:outlineLvl w:val="0"/>
        <w:rPr>
          <w:rFonts w:ascii="宋体" w:hAnsi="宋体" w:cs="宋体"/>
          <w:b/>
          <w:sz w:val="21"/>
          <w:szCs w:val="21"/>
        </w:rPr>
      </w:pPr>
      <w:r>
        <w:rPr>
          <w:rFonts w:hint="eastAsia" w:ascii="宋体" w:hAnsi="宋体" w:cs="宋体"/>
          <w:b/>
          <w:sz w:val="21"/>
          <w:szCs w:val="21"/>
        </w:rPr>
        <w:t>四、响应文件开启、资格审查与信用信息查询</w:t>
      </w:r>
    </w:p>
    <w:p w14:paraId="3596CE2B">
      <w:pPr>
        <w:pStyle w:val="358"/>
        <w:spacing w:before="0" w:line="360" w:lineRule="auto"/>
        <w:ind w:left="0" w:firstLine="0"/>
        <w:contextualSpacing/>
        <w:rPr>
          <w:rFonts w:ascii="宋体" w:hAnsi="宋体" w:cs="宋体"/>
          <w:sz w:val="21"/>
          <w:szCs w:val="21"/>
        </w:rPr>
      </w:pPr>
      <w:r>
        <w:rPr>
          <w:rFonts w:hint="eastAsia" w:ascii="宋体" w:hAnsi="宋体" w:cs="宋体"/>
          <w:b/>
          <w:sz w:val="21"/>
          <w:szCs w:val="21"/>
        </w:rPr>
        <w:t>18.响应文件开启</w:t>
      </w:r>
      <w:r>
        <w:rPr>
          <w:rFonts w:hint="eastAsia" w:ascii="宋体" w:hAnsi="宋体" w:cs="宋体"/>
          <w:sz w:val="21"/>
          <w:szCs w:val="21"/>
        </w:rPr>
        <w:t xml:space="preserve"> </w:t>
      </w:r>
    </w:p>
    <w:p w14:paraId="4AE5CBF1">
      <w:pPr>
        <w:pStyle w:val="358"/>
        <w:snapToGrid w:val="0"/>
        <w:spacing w:before="0" w:line="360" w:lineRule="auto"/>
        <w:ind w:left="0" w:firstLine="420" w:firstLineChars="200"/>
        <w:contextualSpacing/>
        <w:rPr>
          <w:rFonts w:ascii="宋体" w:hAnsi="宋体" w:cs="宋体"/>
          <w:sz w:val="21"/>
          <w:szCs w:val="21"/>
        </w:rPr>
      </w:pPr>
      <w:r>
        <w:rPr>
          <w:rFonts w:hint="eastAsia" w:ascii="宋体" w:hAnsi="宋体" w:cs="宋体"/>
          <w:sz w:val="21"/>
          <w:szCs w:val="21"/>
        </w:rPr>
        <w:t>18.1</w:t>
      </w:r>
      <w:r>
        <w:rPr>
          <w:rFonts w:hint="eastAsia" w:ascii="宋体" w:hAnsi="宋体" w:cs="宋体"/>
          <w:sz w:val="21"/>
          <w:szCs w:val="21"/>
          <w:lang w:eastAsia="zh-CN"/>
        </w:rPr>
        <w:t>采购代理机构</w:t>
      </w:r>
      <w:r>
        <w:rPr>
          <w:rFonts w:hint="eastAsia" w:ascii="宋体" w:hAnsi="宋体" w:cs="宋体"/>
          <w:sz w:val="21"/>
          <w:szCs w:val="21"/>
        </w:rPr>
        <w:t>按照采购文件规定的时间通过电子交易平台组织响应文件开启，所有供应商均应当准时在线参加。供应商不足3家的，不得开启。</w:t>
      </w:r>
    </w:p>
    <w:p w14:paraId="09C94EC8">
      <w:pPr>
        <w:pStyle w:val="358"/>
        <w:snapToGrid w:val="0"/>
        <w:spacing w:before="0" w:line="360" w:lineRule="auto"/>
        <w:ind w:left="0" w:firstLine="420" w:firstLineChars="200"/>
        <w:contextualSpacing/>
        <w:rPr>
          <w:rFonts w:ascii="宋体" w:hAnsi="宋体" w:cs="宋体"/>
          <w:sz w:val="21"/>
          <w:szCs w:val="21"/>
        </w:rPr>
      </w:pPr>
      <w:r>
        <w:rPr>
          <w:rFonts w:hint="eastAsia" w:ascii="宋体" w:hAnsi="宋体" w:cs="宋体"/>
          <w:sz w:val="21"/>
          <w:szCs w:val="21"/>
        </w:rPr>
        <w:t>18.2响应文件开启时，电子交易平台按响应文件开启时间自动提取所有响应文件。</w:t>
      </w:r>
      <w:r>
        <w:rPr>
          <w:rFonts w:hint="eastAsia" w:ascii="宋体" w:hAnsi="宋体" w:cs="宋体"/>
          <w:sz w:val="21"/>
          <w:szCs w:val="21"/>
          <w:lang w:eastAsia="zh-CN"/>
        </w:rPr>
        <w:t>采购代理机构</w:t>
      </w:r>
      <w:r>
        <w:rPr>
          <w:rFonts w:hint="eastAsia" w:ascii="宋体" w:hAnsi="宋体" w:cs="宋体"/>
          <w:sz w:val="21"/>
          <w:szCs w:val="21"/>
        </w:rPr>
        <w:t>依托电子交易平台发起开始解密指令，供应商按照平台提示和采购文件的规定在半小时内完成在线解密。</w:t>
      </w:r>
    </w:p>
    <w:p w14:paraId="466E63AE">
      <w:pPr>
        <w:pStyle w:val="358"/>
        <w:snapToGrid w:val="0"/>
        <w:spacing w:before="0" w:line="360" w:lineRule="auto"/>
        <w:ind w:left="0" w:firstLine="420" w:firstLineChars="200"/>
        <w:contextualSpacing/>
        <w:rPr>
          <w:rFonts w:ascii="宋体" w:hAnsi="宋体" w:cs="宋体"/>
          <w:sz w:val="21"/>
          <w:szCs w:val="21"/>
        </w:rPr>
      </w:pPr>
      <w:r>
        <w:rPr>
          <w:rFonts w:hint="eastAsia" w:ascii="宋体" w:hAnsi="宋体" w:cs="宋体"/>
          <w:sz w:val="21"/>
          <w:szCs w:val="21"/>
        </w:rPr>
        <w:t>18.3</w:t>
      </w:r>
      <w:r>
        <w:rPr>
          <w:rFonts w:hint="eastAsia" w:ascii="宋体" w:hAnsi="宋体" w:cs="宋体"/>
          <w:b/>
          <w:bCs/>
          <w:sz w:val="21"/>
          <w:szCs w:val="21"/>
        </w:rPr>
        <w:t>响应文件未按时解密，供应商提供了备份响应文件的，以备份响应文件作为依据，否则视为响应文件撤回。响应文件已按时解密的，备份响应文件自动失效。</w:t>
      </w:r>
    </w:p>
    <w:p w14:paraId="4BB5CFD7">
      <w:pPr>
        <w:pStyle w:val="358"/>
        <w:spacing w:before="0" w:line="360" w:lineRule="auto"/>
        <w:ind w:left="0" w:firstLine="0"/>
        <w:contextualSpacing/>
        <w:rPr>
          <w:rFonts w:ascii="宋体" w:hAnsi="宋体" w:cs="宋体"/>
          <w:b/>
          <w:sz w:val="21"/>
          <w:szCs w:val="21"/>
        </w:rPr>
      </w:pPr>
      <w:r>
        <w:rPr>
          <w:rFonts w:hint="eastAsia" w:ascii="宋体" w:hAnsi="宋体" w:cs="宋体"/>
          <w:b/>
          <w:sz w:val="21"/>
          <w:szCs w:val="21"/>
        </w:rPr>
        <w:t>19、资格审查</w:t>
      </w:r>
    </w:p>
    <w:p w14:paraId="41DA6500">
      <w:pPr>
        <w:snapToGrid w:val="0"/>
        <w:spacing w:line="360" w:lineRule="auto"/>
        <w:ind w:firstLine="420" w:firstLineChars="200"/>
        <w:rPr>
          <w:rFonts w:ascii="宋体" w:hAnsi="宋体" w:cs="宋体"/>
          <w:sz w:val="21"/>
          <w:szCs w:val="21"/>
        </w:rPr>
      </w:pPr>
      <w:r>
        <w:rPr>
          <w:rFonts w:hint="eastAsia" w:ascii="宋体" w:hAnsi="宋体" w:cs="宋体"/>
          <w:kern w:val="0"/>
          <w:sz w:val="21"/>
          <w:szCs w:val="21"/>
        </w:rPr>
        <w:t>19.</w:t>
      </w:r>
      <w:r>
        <w:rPr>
          <w:rFonts w:hint="eastAsia" w:ascii="宋体" w:hAnsi="宋体" w:cs="宋体"/>
          <w:kern w:val="0"/>
          <w:sz w:val="21"/>
          <w:szCs w:val="21"/>
          <w:lang w:val="en-US" w:eastAsia="zh-CN"/>
        </w:rPr>
        <w:t>1</w:t>
      </w:r>
      <w:r>
        <w:rPr>
          <w:rFonts w:hint="eastAsia" w:ascii="宋体" w:hAnsi="宋体" w:cs="宋体"/>
          <w:sz w:val="21"/>
          <w:szCs w:val="21"/>
        </w:rPr>
        <w:t>采购人、</w:t>
      </w:r>
      <w:r>
        <w:rPr>
          <w:rFonts w:hint="eastAsia" w:ascii="宋体" w:hAnsi="宋体" w:cs="宋体"/>
          <w:sz w:val="21"/>
          <w:szCs w:val="21"/>
          <w:lang w:eastAsia="zh-CN"/>
        </w:rPr>
        <w:t>采购代理机构</w:t>
      </w:r>
      <w:r>
        <w:rPr>
          <w:rFonts w:hint="eastAsia" w:ascii="宋体" w:hAnsi="宋体" w:cs="宋体"/>
          <w:sz w:val="21"/>
          <w:szCs w:val="21"/>
        </w:rPr>
        <w:t>或磋商小组依据法律法规和采购文件的规定，对供应商的资格进行审查。</w:t>
      </w:r>
    </w:p>
    <w:p w14:paraId="7D67C81F">
      <w:pPr>
        <w:pStyle w:val="396"/>
        <w:spacing w:before="0"/>
        <w:ind w:firstLine="480"/>
        <w:rPr>
          <w:rFonts w:ascii="宋体" w:hAnsi="宋体" w:cs="宋体"/>
          <w:sz w:val="21"/>
          <w:szCs w:val="21"/>
        </w:rPr>
      </w:pPr>
      <w:r>
        <w:rPr>
          <w:rFonts w:hint="eastAsia" w:ascii="宋体" w:hAnsi="宋体" w:cs="宋体"/>
          <w:kern w:val="0"/>
          <w:sz w:val="21"/>
          <w:szCs w:val="21"/>
        </w:rPr>
        <w:t>19.</w:t>
      </w:r>
      <w:r>
        <w:rPr>
          <w:rFonts w:hint="eastAsia" w:ascii="宋体" w:hAnsi="宋体" w:cs="宋体"/>
          <w:kern w:val="0"/>
          <w:sz w:val="21"/>
          <w:szCs w:val="21"/>
          <w:lang w:val="en-US" w:eastAsia="zh-CN"/>
        </w:rPr>
        <w:t>2</w:t>
      </w:r>
      <w:r>
        <w:rPr>
          <w:rFonts w:hint="eastAsia" w:ascii="宋体" w:hAnsi="宋体" w:cs="宋体"/>
          <w:kern w:val="0"/>
          <w:sz w:val="21"/>
          <w:szCs w:val="21"/>
        </w:rPr>
        <w:t>供应商未按照采购文件要求提供与</w:t>
      </w:r>
      <w:r>
        <w:rPr>
          <w:rFonts w:hint="eastAsia" w:ascii="宋体" w:hAnsi="宋体" w:cs="宋体"/>
          <w:sz w:val="21"/>
          <w:szCs w:val="21"/>
        </w:rPr>
        <w:t>资格条件相应的</w:t>
      </w:r>
      <w:r>
        <w:rPr>
          <w:rFonts w:hint="eastAsia" w:ascii="宋体" w:hAnsi="宋体" w:cs="宋体"/>
          <w:kern w:val="0"/>
          <w:sz w:val="21"/>
          <w:szCs w:val="21"/>
        </w:rPr>
        <w:t>有效资格证明材料的，视为</w:t>
      </w:r>
      <w:r>
        <w:rPr>
          <w:rFonts w:hint="eastAsia" w:ascii="宋体" w:hAnsi="宋体" w:cs="宋体"/>
          <w:sz w:val="21"/>
          <w:szCs w:val="21"/>
        </w:rPr>
        <w:t>供应商不具备采购文件中规定的资格要求，其响应文件无效。</w:t>
      </w:r>
    </w:p>
    <w:p w14:paraId="450172B4">
      <w:pPr>
        <w:pStyle w:val="396"/>
        <w:spacing w:before="0"/>
        <w:ind w:firstLine="480"/>
        <w:rPr>
          <w:rFonts w:ascii="宋体" w:hAnsi="宋体" w:cs="宋体"/>
          <w:sz w:val="21"/>
          <w:szCs w:val="21"/>
        </w:rPr>
      </w:pPr>
      <w:r>
        <w:rPr>
          <w:rFonts w:hint="eastAsia" w:ascii="宋体" w:hAnsi="宋体" w:cs="宋体"/>
          <w:kern w:val="0"/>
          <w:sz w:val="21"/>
          <w:szCs w:val="21"/>
        </w:rPr>
        <w:t>19.</w:t>
      </w:r>
      <w:r>
        <w:rPr>
          <w:rFonts w:hint="eastAsia" w:ascii="宋体" w:hAnsi="宋体" w:cs="宋体"/>
          <w:sz w:val="21"/>
          <w:szCs w:val="21"/>
          <w:lang w:val="en-US" w:eastAsia="zh-CN"/>
        </w:rPr>
        <w:t>3</w:t>
      </w:r>
      <w:r>
        <w:rPr>
          <w:rFonts w:hint="eastAsia" w:ascii="宋体" w:hAnsi="宋体" w:cs="宋体"/>
          <w:sz w:val="21"/>
          <w:szCs w:val="21"/>
        </w:rPr>
        <w:t>对未通过资格审查的供应商，采购人或</w:t>
      </w:r>
      <w:r>
        <w:rPr>
          <w:rFonts w:hint="eastAsia" w:ascii="宋体" w:hAnsi="宋体" w:cs="宋体"/>
          <w:sz w:val="21"/>
          <w:szCs w:val="21"/>
          <w:lang w:eastAsia="zh-CN"/>
        </w:rPr>
        <w:t>采购代理机构</w:t>
      </w:r>
      <w:r>
        <w:rPr>
          <w:rFonts w:hint="eastAsia" w:ascii="宋体" w:hAnsi="宋体" w:cs="宋体"/>
          <w:sz w:val="21"/>
          <w:szCs w:val="21"/>
        </w:rPr>
        <w:t>告知其未通过的原因。</w:t>
      </w:r>
    </w:p>
    <w:p w14:paraId="146F7CE6">
      <w:pPr>
        <w:pStyle w:val="396"/>
        <w:spacing w:before="0"/>
        <w:ind w:firstLine="480"/>
        <w:rPr>
          <w:rFonts w:ascii="宋体" w:hAnsi="宋体" w:cs="宋体"/>
          <w:sz w:val="21"/>
          <w:szCs w:val="21"/>
        </w:rPr>
      </w:pPr>
      <w:r>
        <w:rPr>
          <w:rFonts w:hint="eastAsia" w:ascii="宋体" w:hAnsi="宋体" w:cs="宋体"/>
          <w:kern w:val="0"/>
          <w:sz w:val="21"/>
          <w:szCs w:val="21"/>
        </w:rPr>
        <w:t>19.</w:t>
      </w:r>
      <w:r>
        <w:rPr>
          <w:rFonts w:hint="eastAsia" w:ascii="宋体" w:hAnsi="宋体" w:cs="宋体"/>
          <w:sz w:val="21"/>
          <w:szCs w:val="21"/>
          <w:lang w:val="en-US" w:eastAsia="zh-CN"/>
        </w:rPr>
        <w:t>4</w:t>
      </w:r>
      <w:r>
        <w:rPr>
          <w:rFonts w:hint="eastAsia" w:ascii="宋体" w:hAnsi="宋体" w:cs="宋体"/>
          <w:sz w:val="21"/>
          <w:szCs w:val="21"/>
        </w:rPr>
        <w:t>合格供应商不足3家的，不再评审。</w:t>
      </w:r>
    </w:p>
    <w:p w14:paraId="52C7B7C2">
      <w:pPr>
        <w:pStyle w:val="396"/>
        <w:spacing w:before="0"/>
        <w:ind w:firstLine="0" w:firstLineChars="0"/>
        <w:rPr>
          <w:rFonts w:ascii="宋体" w:hAnsi="宋体" w:cs="宋体"/>
          <w:b/>
          <w:sz w:val="21"/>
          <w:szCs w:val="21"/>
        </w:rPr>
      </w:pPr>
      <w:r>
        <w:rPr>
          <w:rFonts w:hint="eastAsia" w:ascii="宋体" w:hAnsi="宋体" w:cs="宋体"/>
          <w:b/>
          <w:sz w:val="21"/>
          <w:szCs w:val="21"/>
        </w:rPr>
        <w:t>20、信用信息查询</w:t>
      </w:r>
    </w:p>
    <w:p w14:paraId="2EADFEBF">
      <w:pPr>
        <w:pStyle w:val="396"/>
        <w:spacing w:before="0"/>
        <w:ind w:firstLine="495" w:firstLineChars="0"/>
        <w:rPr>
          <w:rFonts w:ascii="宋体" w:hAnsi="宋体" w:cs="宋体"/>
          <w:kern w:val="0"/>
          <w:sz w:val="21"/>
          <w:szCs w:val="21"/>
        </w:rPr>
      </w:pPr>
      <w:r>
        <w:rPr>
          <w:rFonts w:hint="eastAsia" w:ascii="宋体" w:hAnsi="宋体" w:cs="宋体"/>
          <w:kern w:val="0"/>
          <w:sz w:val="21"/>
          <w:szCs w:val="21"/>
        </w:rPr>
        <w:t>20.1信用信息查询渠道及截止时间：</w:t>
      </w:r>
      <w:r>
        <w:rPr>
          <w:rFonts w:hint="eastAsia" w:ascii="宋体" w:hAnsi="宋体" w:cs="宋体"/>
          <w:kern w:val="0"/>
          <w:sz w:val="21"/>
          <w:szCs w:val="21"/>
          <w:lang w:eastAsia="zh-CN"/>
        </w:rPr>
        <w:t>采购代理机构</w:t>
      </w:r>
      <w:r>
        <w:rPr>
          <w:rFonts w:hint="eastAsia" w:ascii="宋体" w:hAnsi="宋体" w:cs="宋体"/>
          <w:kern w:val="0"/>
          <w:sz w:val="21"/>
          <w:szCs w:val="21"/>
        </w:rPr>
        <w:t>将在资格审查时通过“信用中国”网站(www.creditchina.gov.cn)、中国政府采购网(www.ccgp.gov.cn)渠道查询供应商接受资格审查时的信用记录。</w:t>
      </w:r>
    </w:p>
    <w:p w14:paraId="4BB3D32B">
      <w:pPr>
        <w:pStyle w:val="396"/>
        <w:spacing w:before="0"/>
        <w:ind w:firstLine="495" w:firstLineChars="0"/>
        <w:rPr>
          <w:rFonts w:ascii="宋体" w:hAnsi="宋体" w:cs="宋体"/>
          <w:kern w:val="0"/>
          <w:sz w:val="21"/>
          <w:szCs w:val="21"/>
        </w:rPr>
      </w:pPr>
      <w:r>
        <w:rPr>
          <w:rFonts w:hint="eastAsia" w:ascii="宋体" w:hAnsi="宋体" w:cs="宋体"/>
          <w:kern w:val="0"/>
          <w:sz w:val="21"/>
          <w:szCs w:val="21"/>
        </w:rPr>
        <w:t>20.2信用信息查询记录和证据留存的具体方式：现场查询的供应商的信用记录、查询结果经确认后将与采购文件一起存档。</w:t>
      </w:r>
    </w:p>
    <w:p w14:paraId="0FBD1B4C">
      <w:pPr>
        <w:pStyle w:val="396"/>
        <w:spacing w:before="0"/>
        <w:ind w:firstLine="495" w:firstLineChars="0"/>
        <w:rPr>
          <w:rFonts w:ascii="宋体" w:hAnsi="宋体" w:cs="宋体"/>
          <w:kern w:val="0"/>
          <w:sz w:val="21"/>
          <w:szCs w:val="21"/>
        </w:rPr>
      </w:pPr>
      <w:r>
        <w:rPr>
          <w:rFonts w:hint="eastAsia" w:ascii="宋体" w:hAnsi="宋体" w:cs="宋体"/>
          <w:kern w:val="0"/>
          <w:sz w:val="21"/>
          <w:szCs w:val="21"/>
        </w:rPr>
        <w:t>20.3信用信息的使用规则：经查询列入失信被执行人名单、重大税收违法案件当事人名单、政府采购严重违法失信行为记录名单的供应商将被拒绝参与政府采购活动。</w:t>
      </w:r>
    </w:p>
    <w:p w14:paraId="683DBF87">
      <w:pPr>
        <w:pStyle w:val="396"/>
        <w:spacing w:before="0"/>
        <w:ind w:firstLine="480"/>
        <w:rPr>
          <w:rFonts w:ascii="宋体" w:hAnsi="宋体" w:cs="宋体"/>
          <w:sz w:val="21"/>
          <w:szCs w:val="21"/>
        </w:rPr>
      </w:pPr>
      <w:r>
        <w:rPr>
          <w:rFonts w:hint="eastAsia" w:ascii="宋体" w:hAnsi="宋体" w:cs="宋体"/>
          <w:kern w:val="0"/>
          <w:sz w:val="21"/>
          <w:szCs w:val="21"/>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sz w:val="21"/>
          <w:szCs w:val="21"/>
        </w:rPr>
        <w:t>。</w:t>
      </w:r>
    </w:p>
    <w:p w14:paraId="7FB9A077">
      <w:pPr>
        <w:pStyle w:val="396"/>
        <w:spacing w:before="0"/>
        <w:ind w:firstLine="0" w:firstLineChars="0"/>
        <w:rPr>
          <w:rFonts w:ascii="宋体" w:hAnsi="宋体" w:cs="宋体"/>
          <w:kern w:val="0"/>
          <w:sz w:val="21"/>
          <w:szCs w:val="21"/>
        </w:rPr>
      </w:pPr>
    </w:p>
    <w:p w14:paraId="155C4F37">
      <w:pPr>
        <w:snapToGrid w:val="0"/>
        <w:spacing w:line="360" w:lineRule="auto"/>
        <w:jc w:val="center"/>
        <w:outlineLvl w:val="0"/>
        <w:rPr>
          <w:rFonts w:ascii="宋体" w:hAnsi="宋体" w:cs="宋体"/>
          <w:b/>
          <w:sz w:val="21"/>
          <w:szCs w:val="21"/>
        </w:rPr>
      </w:pPr>
      <w:r>
        <w:rPr>
          <w:rFonts w:hint="eastAsia" w:ascii="宋体" w:hAnsi="宋体" w:cs="宋体"/>
          <w:b/>
          <w:sz w:val="21"/>
          <w:szCs w:val="21"/>
        </w:rPr>
        <w:t>五、评审</w:t>
      </w:r>
    </w:p>
    <w:p w14:paraId="0F5DD2AC">
      <w:pPr>
        <w:spacing w:line="360" w:lineRule="auto"/>
        <w:rPr>
          <w:rFonts w:ascii="宋体" w:hAnsi="宋体" w:cs="宋体"/>
          <w:b/>
          <w:sz w:val="21"/>
          <w:szCs w:val="21"/>
        </w:rPr>
      </w:pPr>
      <w:bookmarkStart w:id="62" w:name="_Toc91899903"/>
      <w:r>
        <w:rPr>
          <w:rFonts w:hint="eastAsia" w:ascii="宋体" w:hAnsi="宋体" w:cs="宋体"/>
          <w:b/>
          <w:sz w:val="21"/>
          <w:szCs w:val="21"/>
        </w:rPr>
        <w:t>21.</w:t>
      </w:r>
      <w:r>
        <w:rPr>
          <w:rFonts w:hint="eastAsia" w:ascii="宋体" w:hAnsi="宋体" w:cs="宋体"/>
          <w:sz w:val="21"/>
          <w:szCs w:val="21"/>
        </w:rPr>
        <w:t xml:space="preserve"> 磋商小组将根据采购文件和有关规定，履行评审工作职责，并按照评审方法及评分标准，全面衡量各供应商对采购文件的响应情况。对实质上响应采购文件的供应商，按照评审因素的量化指标排出推荐成交的供应商的先后顺序，并按顺序提出授标建议。</w:t>
      </w:r>
      <w:r>
        <w:rPr>
          <w:rFonts w:hint="eastAsia" w:ascii="宋体" w:hAnsi="宋体" w:cs="宋体"/>
          <w:b/>
          <w:sz w:val="21"/>
          <w:szCs w:val="21"/>
        </w:rPr>
        <w:t>详见采购文件第四部分评审办法。</w:t>
      </w:r>
    </w:p>
    <w:p w14:paraId="0AF7B8F9">
      <w:pPr>
        <w:spacing w:line="360" w:lineRule="auto"/>
        <w:rPr>
          <w:rFonts w:ascii="宋体" w:hAnsi="宋体" w:cs="宋体"/>
          <w:b/>
          <w:sz w:val="21"/>
          <w:szCs w:val="21"/>
        </w:rPr>
      </w:pPr>
    </w:p>
    <w:p w14:paraId="02ADCBA0">
      <w:pPr>
        <w:snapToGrid w:val="0"/>
        <w:spacing w:line="360" w:lineRule="auto"/>
        <w:jc w:val="center"/>
        <w:outlineLvl w:val="0"/>
        <w:rPr>
          <w:rFonts w:ascii="宋体" w:hAnsi="宋体" w:cs="宋体"/>
          <w:b/>
          <w:sz w:val="21"/>
          <w:szCs w:val="21"/>
        </w:rPr>
      </w:pPr>
      <w:r>
        <w:rPr>
          <w:rFonts w:hint="eastAsia" w:ascii="宋体" w:hAnsi="宋体" w:cs="宋体"/>
          <w:b/>
          <w:sz w:val="21"/>
          <w:szCs w:val="21"/>
        </w:rPr>
        <w:t>六、成交供应商确定</w:t>
      </w:r>
    </w:p>
    <w:p w14:paraId="5EA61E55">
      <w:pPr>
        <w:pStyle w:val="24"/>
        <w:spacing w:line="360" w:lineRule="auto"/>
        <w:ind w:left="479" w:hanging="420" w:hangingChars="199"/>
        <w:rPr>
          <w:rFonts w:cs="宋体"/>
          <w:b/>
          <w:sz w:val="21"/>
          <w:szCs w:val="21"/>
        </w:rPr>
      </w:pPr>
      <w:r>
        <w:rPr>
          <w:rFonts w:hint="eastAsia" w:cs="宋体"/>
          <w:b/>
          <w:sz w:val="21"/>
          <w:szCs w:val="21"/>
        </w:rPr>
        <w:t>22. 确定成交供应商</w:t>
      </w:r>
    </w:p>
    <w:p w14:paraId="7CAFCD8F">
      <w:pPr>
        <w:pStyle w:val="396"/>
        <w:snapToGrid w:val="0"/>
        <w:spacing w:before="0"/>
        <w:ind w:firstLine="480"/>
        <w:rPr>
          <w:rFonts w:ascii="宋体" w:hAnsi="宋体" w:cs="宋体"/>
          <w:b/>
          <w:sz w:val="21"/>
          <w:szCs w:val="21"/>
        </w:rPr>
      </w:pPr>
      <w:r>
        <w:rPr>
          <w:rFonts w:hint="eastAsia" w:ascii="宋体" w:hAnsi="宋体" w:cs="宋体"/>
          <w:sz w:val="21"/>
          <w:szCs w:val="21"/>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14:paraId="02653669">
      <w:pPr>
        <w:pStyle w:val="396"/>
        <w:snapToGrid w:val="0"/>
        <w:spacing w:before="0"/>
        <w:ind w:firstLine="0" w:firstLineChars="0"/>
        <w:rPr>
          <w:rFonts w:ascii="宋体" w:hAnsi="宋体" w:cs="宋体"/>
          <w:b/>
          <w:sz w:val="21"/>
          <w:szCs w:val="21"/>
        </w:rPr>
      </w:pPr>
      <w:r>
        <w:rPr>
          <w:rFonts w:hint="eastAsia" w:ascii="宋体" w:hAnsi="宋体" w:cs="宋体"/>
          <w:b/>
          <w:sz w:val="21"/>
          <w:szCs w:val="21"/>
        </w:rPr>
        <w:t>23. 成交通知与成交结果公告</w:t>
      </w:r>
    </w:p>
    <w:p w14:paraId="3C77E8DD">
      <w:pPr>
        <w:widowControl/>
        <w:shd w:val="clear" w:color="auto" w:fill="FFFFFF"/>
        <w:spacing w:line="360" w:lineRule="auto"/>
        <w:ind w:firstLine="480"/>
        <w:jc w:val="left"/>
        <w:rPr>
          <w:rFonts w:ascii="宋体" w:hAnsi="宋体" w:cs="宋体"/>
          <w:sz w:val="21"/>
          <w:szCs w:val="21"/>
        </w:rPr>
      </w:pPr>
      <w:r>
        <w:rPr>
          <w:rFonts w:hint="eastAsia" w:ascii="宋体" w:hAnsi="宋体" w:cs="宋体"/>
          <w:sz w:val="21"/>
          <w:szCs w:val="21"/>
        </w:rPr>
        <w:t>23.1自成交供应商确定之日起1个工作日内，</w:t>
      </w:r>
      <w:r>
        <w:rPr>
          <w:rFonts w:hint="eastAsia" w:ascii="宋体" w:hAnsi="宋体" w:cs="宋体"/>
          <w:sz w:val="21"/>
          <w:szCs w:val="21"/>
          <w:lang w:eastAsia="zh-CN"/>
        </w:rPr>
        <w:t>采购代理机构</w:t>
      </w:r>
      <w:r>
        <w:rPr>
          <w:rFonts w:hint="eastAsia" w:ascii="宋体" w:hAnsi="宋体" w:cs="宋体"/>
          <w:sz w:val="21"/>
          <w:szCs w:val="21"/>
        </w:rPr>
        <w:t>通过电子交易平台向成交供应商发出成交通知书，同时编制发布采购结果公告。</w:t>
      </w:r>
      <w:r>
        <w:rPr>
          <w:rFonts w:hint="eastAsia" w:ascii="宋体" w:hAnsi="宋体" w:cs="宋体"/>
          <w:sz w:val="21"/>
          <w:szCs w:val="21"/>
          <w:lang w:eastAsia="zh-CN"/>
        </w:rPr>
        <w:t>采购代理机构</w:t>
      </w:r>
      <w:r>
        <w:rPr>
          <w:rFonts w:hint="eastAsia" w:ascii="宋体" w:hAnsi="宋体" w:cs="宋体"/>
          <w:sz w:val="21"/>
          <w:szCs w:val="21"/>
        </w:rPr>
        <w:t>也可以以纸质形式进行成交通知。</w:t>
      </w:r>
    </w:p>
    <w:p w14:paraId="24EB8314">
      <w:pPr>
        <w:widowControl/>
        <w:shd w:val="clear" w:color="auto" w:fill="FFFFFF"/>
        <w:spacing w:line="360" w:lineRule="auto"/>
        <w:ind w:firstLine="480"/>
        <w:jc w:val="left"/>
        <w:rPr>
          <w:rFonts w:ascii="宋体" w:hAnsi="宋体" w:cs="宋体"/>
          <w:sz w:val="21"/>
          <w:szCs w:val="21"/>
        </w:rPr>
      </w:pPr>
      <w:r>
        <w:rPr>
          <w:rFonts w:hint="eastAsia" w:ascii="宋体" w:hAnsi="宋体" w:cs="宋体"/>
          <w:sz w:val="21"/>
          <w:szCs w:val="21"/>
        </w:rPr>
        <w:t>23.2成交结果公告内容包括采购人及其委托的</w:t>
      </w:r>
      <w:r>
        <w:rPr>
          <w:rFonts w:hint="eastAsia" w:ascii="宋体" w:hAnsi="宋体" w:cs="宋体"/>
          <w:sz w:val="21"/>
          <w:szCs w:val="21"/>
          <w:lang w:eastAsia="zh-CN"/>
        </w:rPr>
        <w:t>采购代理机构</w:t>
      </w:r>
      <w:r>
        <w:rPr>
          <w:rFonts w:hint="eastAsia" w:ascii="宋体" w:hAnsi="宋体" w:cs="宋体"/>
          <w:sz w:val="21"/>
          <w:szCs w:val="21"/>
        </w:rPr>
        <w:t>的名称、地址、联系方式，项目名称和项目编号，成交供应商名称、地址和成交金额，主要成交标的的名称、规格型号、数量、单价、服务要求，开标记录、资格审查情况、评审专家抽取规则、符合性审查情况、未成交情况说明、成交结果公告期限以及评审专家名单、评分汇总及明细。</w:t>
      </w:r>
    </w:p>
    <w:p w14:paraId="6ADBD498">
      <w:pPr>
        <w:widowControl/>
        <w:shd w:val="clear" w:color="auto" w:fill="FFFFFF"/>
        <w:spacing w:line="360" w:lineRule="auto"/>
        <w:ind w:firstLine="480"/>
        <w:jc w:val="left"/>
        <w:rPr>
          <w:rFonts w:ascii="宋体" w:hAnsi="宋体" w:cs="宋体"/>
          <w:sz w:val="21"/>
          <w:szCs w:val="21"/>
        </w:rPr>
      </w:pPr>
      <w:r>
        <w:rPr>
          <w:rFonts w:hint="eastAsia" w:ascii="宋体" w:hAnsi="宋体" w:cs="宋体"/>
          <w:sz w:val="21"/>
          <w:szCs w:val="21"/>
        </w:rPr>
        <w:t>23.3公告期限为1个工作日。</w:t>
      </w:r>
    </w:p>
    <w:p w14:paraId="04E6498A">
      <w:pPr>
        <w:snapToGrid w:val="0"/>
        <w:spacing w:line="360" w:lineRule="auto"/>
        <w:ind w:left="120" w:leftChars="57" w:firstLine="316" w:firstLineChars="150"/>
        <w:jc w:val="center"/>
        <w:rPr>
          <w:rFonts w:ascii="宋体" w:hAnsi="宋体" w:cs="宋体"/>
          <w:b/>
          <w:sz w:val="21"/>
          <w:szCs w:val="21"/>
        </w:rPr>
      </w:pPr>
    </w:p>
    <w:p w14:paraId="500AF93B">
      <w:pPr>
        <w:snapToGrid w:val="0"/>
        <w:spacing w:line="360" w:lineRule="auto"/>
        <w:jc w:val="center"/>
        <w:outlineLvl w:val="0"/>
        <w:rPr>
          <w:rFonts w:ascii="宋体" w:hAnsi="宋体" w:cs="宋体"/>
          <w:b/>
          <w:sz w:val="21"/>
          <w:szCs w:val="21"/>
        </w:rPr>
      </w:pPr>
      <w:r>
        <w:rPr>
          <w:rFonts w:hint="eastAsia" w:ascii="宋体" w:hAnsi="宋体" w:cs="宋体"/>
          <w:b/>
          <w:sz w:val="21"/>
          <w:szCs w:val="21"/>
        </w:rPr>
        <w:t>七、合同授予</w:t>
      </w:r>
    </w:p>
    <w:p w14:paraId="0985D9F4">
      <w:pPr>
        <w:pStyle w:val="24"/>
        <w:snapToGrid w:val="0"/>
        <w:spacing w:line="360" w:lineRule="auto"/>
        <w:ind w:left="479" w:hanging="420" w:hangingChars="199"/>
        <w:rPr>
          <w:rFonts w:cs="宋体"/>
          <w:b/>
          <w:sz w:val="21"/>
          <w:szCs w:val="21"/>
        </w:rPr>
      </w:pPr>
      <w:r>
        <w:rPr>
          <w:rFonts w:hint="eastAsia" w:cs="宋体"/>
          <w:b/>
          <w:sz w:val="21"/>
          <w:szCs w:val="21"/>
        </w:rPr>
        <w:t xml:space="preserve">24. </w:t>
      </w:r>
      <w:r>
        <w:rPr>
          <w:rFonts w:hint="eastAsia" w:cs="宋体"/>
          <w:sz w:val="21"/>
          <w:szCs w:val="21"/>
        </w:rPr>
        <w:t>合同主要条款详见第五部分拟签订的合同文本。</w:t>
      </w:r>
    </w:p>
    <w:p w14:paraId="032D7E39">
      <w:pPr>
        <w:pStyle w:val="24"/>
        <w:snapToGrid w:val="0"/>
        <w:spacing w:line="360" w:lineRule="auto"/>
        <w:ind w:left="479" w:hanging="420" w:hangingChars="199"/>
        <w:rPr>
          <w:rFonts w:cs="宋体"/>
          <w:b/>
          <w:sz w:val="21"/>
          <w:szCs w:val="21"/>
        </w:rPr>
      </w:pPr>
      <w:r>
        <w:rPr>
          <w:rFonts w:hint="eastAsia" w:cs="宋体"/>
          <w:b/>
          <w:sz w:val="21"/>
          <w:szCs w:val="21"/>
        </w:rPr>
        <w:t>25. 合同的签订</w:t>
      </w:r>
    </w:p>
    <w:p w14:paraId="15CA8A7D">
      <w:pPr>
        <w:widowControl/>
        <w:shd w:val="clear" w:color="auto" w:fill="FFFFFF"/>
        <w:snapToGrid w:val="0"/>
        <w:spacing w:line="360" w:lineRule="auto"/>
        <w:ind w:firstLine="480"/>
        <w:jc w:val="left"/>
        <w:rPr>
          <w:rFonts w:ascii="宋体" w:hAnsi="宋体" w:cs="宋体"/>
          <w:kern w:val="0"/>
          <w:sz w:val="21"/>
          <w:szCs w:val="21"/>
        </w:rPr>
      </w:pPr>
      <w:r>
        <w:rPr>
          <w:rFonts w:hint="eastAsia" w:ascii="宋体" w:hAnsi="宋体" w:cs="宋体"/>
          <w:sz w:val="21"/>
          <w:szCs w:val="21"/>
        </w:rPr>
        <w:t>25.1</w:t>
      </w:r>
      <w:r>
        <w:rPr>
          <w:rFonts w:hint="eastAsia" w:ascii="宋体" w:hAnsi="宋体" w:cs="宋体"/>
          <w:kern w:val="0"/>
          <w:sz w:val="21"/>
          <w:szCs w:val="21"/>
        </w:rPr>
        <w:t xml:space="preserve"> 采购人与成交供应商应当通过电子交易平台在成交通知书发出之日起三十日内，按照采购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成交通知书发出之日起10个工作日内，与成交供应商按照采购文件确定的事项签订政府采购合同。</w:t>
      </w:r>
    </w:p>
    <w:p w14:paraId="1CEA13D8">
      <w:pPr>
        <w:pStyle w:val="396"/>
        <w:snapToGrid w:val="0"/>
        <w:spacing w:before="0"/>
        <w:ind w:firstLine="480"/>
        <w:rPr>
          <w:rFonts w:ascii="宋体" w:hAnsi="宋体" w:cs="宋体"/>
          <w:kern w:val="0"/>
          <w:sz w:val="21"/>
          <w:szCs w:val="21"/>
        </w:rPr>
      </w:pPr>
      <w:r>
        <w:rPr>
          <w:rFonts w:hint="eastAsia" w:ascii="宋体" w:hAnsi="宋体" w:cs="宋体"/>
          <w:kern w:val="0"/>
          <w:sz w:val="21"/>
          <w:szCs w:val="21"/>
          <w:lang w:val="zh-CN"/>
        </w:rPr>
        <w:t>25.2成交供应商按规定的日期、时间、地点，由法定代表人或其授权代表与采购人代表签订合同。如成交供应商为联合体的，由联合体成员各方法定代表人或其授权代表与采购人代表签订合同。</w:t>
      </w:r>
    </w:p>
    <w:p w14:paraId="1B12E696">
      <w:pPr>
        <w:pStyle w:val="396"/>
        <w:snapToGrid w:val="0"/>
        <w:spacing w:before="0"/>
        <w:ind w:firstLine="480"/>
        <w:rPr>
          <w:rFonts w:ascii="宋体" w:hAnsi="宋体" w:cs="宋体"/>
          <w:sz w:val="21"/>
          <w:szCs w:val="21"/>
        </w:rPr>
      </w:pPr>
      <w:r>
        <w:rPr>
          <w:rFonts w:hint="eastAsia" w:ascii="宋体" w:hAnsi="宋体" w:cs="宋体"/>
          <w:sz w:val="21"/>
          <w:szCs w:val="21"/>
        </w:rPr>
        <w:t>25.3如签订合同并生效后，供应商无故拒绝或延期，除按照合同条款处理外，列入不良行为记录一次，并给予通报。</w:t>
      </w:r>
    </w:p>
    <w:p w14:paraId="550AFCEE">
      <w:pPr>
        <w:pStyle w:val="396"/>
        <w:snapToGrid w:val="0"/>
        <w:spacing w:before="0"/>
        <w:ind w:firstLine="480"/>
        <w:rPr>
          <w:rFonts w:ascii="宋体" w:hAnsi="宋体" w:cs="宋体"/>
          <w:sz w:val="21"/>
          <w:szCs w:val="21"/>
        </w:rPr>
      </w:pPr>
      <w:r>
        <w:rPr>
          <w:rFonts w:hint="eastAsia" w:ascii="宋体" w:hAnsi="宋体" w:cs="宋体"/>
          <w:sz w:val="21"/>
          <w:szCs w:val="21"/>
        </w:rPr>
        <w:t>25.4成交供应商拒绝与采购人签订合同的，采购人可以按照评审报告推荐的成交候选人名单排序，确定下一候选人为成交供应商，也可以重新开展政府采购活动。拒绝与采购人签订合同的成交供应商应承担采购代理服务费、评审专家劳务报酬等相关费用。</w:t>
      </w:r>
    </w:p>
    <w:p w14:paraId="4CB66426">
      <w:pPr>
        <w:pStyle w:val="396"/>
        <w:snapToGrid w:val="0"/>
        <w:spacing w:before="0"/>
        <w:ind w:firstLine="480"/>
        <w:rPr>
          <w:rFonts w:ascii="宋体" w:hAnsi="宋体" w:cs="宋体"/>
          <w:sz w:val="21"/>
          <w:szCs w:val="21"/>
        </w:rPr>
      </w:pPr>
      <w:r>
        <w:rPr>
          <w:rFonts w:hint="eastAsia" w:ascii="宋体" w:hAnsi="宋体" w:cs="宋体"/>
          <w:sz w:val="21"/>
          <w:szCs w:val="21"/>
        </w:rPr>
        <w:t>25.5采购合同由采购人与成交供应商根据采购文件、响应文件等内容通过政府采购电子交易平台在线签订，自动备案。</w:t>
      </w:r>
    </w:p>
    <w:p w14:paraId="320569A8">
      <w:pPr>
        <w:pStyle w:val="24"/>
        <w:snapToGrid w:val="0"/>
        <w:spacing w:line="360" w:lineRule="auto"/>
        <w:ind w:left="479" w:hanging="420" w:hangingChars="199"/>
        <w:rPr>
          <w:rFonts w:cs="宋体"/>
          <w:b/>
          <w:sz w:val="21"/>
          <w:szCs w:val="21"/>
        </w:rPr>
      </w:pPr>
      <w:r>
        <w:rPr>
          <w:rFonts w:hint="eastAsia" w:cs="宋体"/>
          <w:b/>
          <w:sz w:val="21"/>
          <w:szCs w:val="21"/>
        </w:rPr>
        <w:t>26. 履约保证金</w:t>
      </w:r>
    </w:p>
    <w:p w14:paraId="79F65A31">
      <w:pPr>
        <w:tabs>
          <w:tab w:val="left" w:pos="0"/>
        </w:tabs>
        <w:snapToGrid w:val="0"/>
        <w:spacing w:line="360" w:lineRule="auto"/>
        <w:ind w:firstLine="482"/>
        <w:rPr>
          <w:rFonts w:ascii="宋体" w:hAnsi="宋体" w:cs="宋体"/>
          <w:sz w:val="21"/>
          <w:szCs w:val="21"/>
        </w:rPr>
      </w:pPr>
      <w:r>
        <w:rPr>
          <w:rFonts w:hint="eastAsia" w:ascii="宋体" w:hAnsi="宋体" w:cs="宋体"/>
          <w:kern w:val="0"/>
          <w:sz w:val="21"/>
          <w:szCs w:val="21"/>
        </w:rPr>
        <w:t>拟签订的合同文本要求成交供应商提交履约保证金的，供应商应当以支票、汇票、本票或者金融机构、担保机构出具的保函等非现金形式提交</w:t>
      </w:r>
      <w:r>
        <w:rPr>
          <w:rFonts w:hint="eastAsia" w:ascii="宋体" w:hAnsi="宋体" w:cs="宋体"/>
          <w:sz w:val="21"/>
          <w:szCs w:val="21"/>
        </w:rPr>
        <w:t>。市政府采购网公布的供应商履约评价为满分的供应商，采购单位应当免收履约保证金。确需收取履约保证金的，履约保证金缴纳最高比例由不超过</w:t>
      </w:r>
      <w:r>
        <w:rPr>
          <w:rFonts w:hint="eastAsia" w:ascii="宋体" w:hAnsi="宋体" w:cs="宋体"/>
          <w:kern w:val="2"/>
          <w:sz w:val="21"/>
          <w:szCs w:val="21"/>
        </w:rPr>
        <w:t>合同金额的</w:t>
      </w:r>
      <w:r>
        <w:rPr>
          <w:rFonts w:ascii="宋体" w:hAnsi="宋体" w:cs="宋体"/>
          <w:kern w:val="2"/>
          <w:sz w:val="21"/>
          <w:szCs w:val="21"/>
        </w:rPr>
        <w:t>1%</w:t>
      </w:r>
      <w:r>
        <w:rPr>
          <w:rFonts w:hint="eastAsia" w:ascii="宋体" w:hAnsi="宋体" w:cs="宋体"/>
          <w:kern w:val="2"/>
          <w:sz w:val="21"/>
          <w:szCs w:val="21"/>
          <w:highlight w:val="none"/>
        </w:rPr>
        <w:t>，鼓励根据项目特点、供应商诚信等因素免收履约保证金或降低缴纳比例</w:t>
      </w:r>
      <w:r>
        <w:rPr>
          <w:rFonts w:hint="eastAsia" w:ascii="宋体" w:hAnsi="宋体" w:cs="宋体"/>
          <w:kern w:val="2"/>
          <w:sz w:val="21"/>
          <w:szCs w:val="21"/>
        </w:rPr>
        <w:t>。</w:t>
      </w:r>
      <w:r>
        <w:rPr>
          <w:rFonts w:hint="eastAsia" w:ascii="宋体" w:hAnsi="宋体" w:cs="宋体"/>
          <w:sz w:val="21"/>
          <w:szCs w:val="21"/>
        </w:rPr>
        <w:t>采购单位鼓励供应商采取履约保函形式提供信用保证；供应商提供保函的，采购单位不得拒收。项目验收结束后应及时退还，</w:t>
      </w:r>
      <w:r>
        <w:rPr>
          <w:rFonts w:ascii="宋体" w:hAnsi="宋体" w:cs="宋体"/>
          <w:sz w:val="21"/>
          <w:szCs w:val="21"/>
        </w:rPr>
        <w:t>延迟退还的，应当按照合同约定和法律规定承担相应的赔偿责任</w:t>
      </w:r>
      <w:r>
        <w:rPr>
          <w:rFonts w:hint="eastAsia" w:ascii="宋体" w:hAnsi="宋体" w:cs="宋体"/>
          <w:sz w:val="21"/>
          <w:szCs w:val="21"/>
        </w:rPr>
        <w:t>。</w:t>
      </w:r>
    </w:p>
    <w:p w14:paraId="5232CDB9">
      <w:pPr>
        <w:pStyle w:val="3"/>
        <w:snapToGrid w:val="0"/>
        <w:ind w:left="0" w:firstLine="420" w:firstLineChars="200"/>
        <w:rPr>
          <w:rFonts w:ascii="宋体" w:hAnsi="宋体" w:eastAsia="宋体" w:cs="宋体"/>
          <w:b w:val="0"/>
          <w:bCs w:val="0"/>
          <w:snapToGrid w:val="0"/>
          <w:kern w:val="28"/>
          <w:sz w:val="21"/>
          <w:szCs w:val="21"/>
        </w:rPr>
      </w:pPr>
      <w:r>
        <w:rPr>
          <w:rFonts w:hint="eastAsia" w:ascii="宋体" w:hAnsi="宋体" w:eastAsia="宋体" w:cs="宋体"/>
          <w:b w:val="0"/>
          <w:bCs w:val="0"/>
          <w:snapToGrid w:val="0"/>
          <w:kern w:val="28"/>
          <w:sz w:val="21"/>
          <w:szCs w:val="21"/>
        </w:rPr>
        <w:t>供应商</w:t>
      </w:r>
      <w:r>
        <w:rPr>
          <w:rFonts w:hint="eastAsia" w:ascii="宋体" w:hAnsi="宋体" w:eastAsia="宋体" w:cs="宋体"/>
          <w:b w:val="0"/>
          <w:bCs w:val="0"/>
          <w:snapToGrid w:val="0"/>
          <w:kern w:val="28"/>
          <w:sz w:val="21"/>
          <w:szCs w:val="21"/>
          <w:lang w:val="en-US"/>
        </w:rPr>
        <w:t>可</w:t>
      </w:r>
      <w:r>
        <w:rPr>
          <w:rFonts w:hint="eastAsia" w:ascii="宋体" w:hAnsi="宋体" w:eastAsia="宋体" w:cs="宋体"/>
          <w:b w:val="0"/>
          <w:bCs w:val="0"/>
          <w:snapToGrid w:val="0"/>
          <w:kern w:val="28"/>
          <w:sz w:val="21"/>
          <w:szCs w:val="21"/>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55FC4327">
      <w:pPr>
        <w:pStyle w:val="3"/>
        <w:numPr>
          <w:ilvl w:val="0"/>
          <w:numId w:val="0"/>
        </w:numPr>
        <w:ind w:leftChars="0"/>
        <w:rPr>
          <w:sz w:val="21"/>
          <w:szCs w:val="21"/>
          <w:highlight w:val="none"/>
        </w:rPr>
      </w:pPr>
      <w:r>
        <w:rPr>
          <w:rFonts w:ascii="宋体" w:hAnsi="宋体" w:eastAsia="宋体" w:cs="Times New Roman"/>
          <w:b/>
          <w:bCs/>
          <w:kern w:val="2"/>
          <w:sz w:val="21"/>
          <w:szCs w:val="21"/>
          <w:highlight w:val="none"/>
          <w:lang w:val="en-US"/>
        </w:rPr>
        <w:t>27.预付款</w:t>
      </w:r>
    </w:p>
    <w:p w14:paraId="421F010A">
      <w:pPr>
        <w:adjustRightInd/>
        <w:spacing w:line="360" w:lineRule="auto"/>
        <w:ind w:firstLine="420" w:firstLineChars="200"/>
        <w:rPr>
          <w:sz w:val="21"/>
          <w:szCs w:val="21"/>
          <w:highlight w:val="none"/>
        </w:rPr>
      </w:pPr>
      <w:r>
        <w:rPr>
          <w:rFonts w:hint="eastAsia" w:ascii="宋体" w:hAnsi="宋体" w:cs="Times New Roman"/>
          <w:kern w:val="2"/>
          <w:sz w:val="21"/>
          <w:szCs w:val="21"/>
          <w:highlight w:val="none"/>
        </w:rPr>
        <w:t>采购单位应当在政府采购合同中约定预付款，对中小企业合同预付款比例原则上不低于合同金额的</w:t>
      </w:r>
      <w:r>
        <w:rPr>
          <w:rFonts w:ascii="宋体" w:hAnsi="宋体" w:cs="Times New Roman"/>
          <w:kern w:val="2"/>
          <w:sz w:val="21"/>
          <w:szCs w:val="21"/>
          <w:highlight w:val="none"/>
        </w:rPr>
        <w:t>40％</w:t>
      </w:r>
      <w:r>
        <w:rPr>
          <w:rFonts w:hint="eastAsia" w:ascii="宋体" w:hAnsi="宋体" w:cs="Times New Roman"/>
          <w:kern w:val="2"/>
          <w:sz w:val="21"/>
          <w:szCs w:val="21"/>
          <w:highlight w:val="none"/>
        </w:rPr>
        <w:t>，不高于合同金额的</w:t>
      </w:r>
      <w:r>
        <w:rPr>
          <w:rFonts w:ascii="宋体" w:hAnsi="宋体" w:cs="Times New Roman"/>
          <w:kern w:val="2"/>
          <w:sz w:val="21"/>
          <w:szCs w:val="21"/>
          <w:highlight w:val="none"/>
        </w:rPr>
        <w:t>70%；项目分年安排预算的，每年预付款比例</w:t>
      </w:r>
      <w:r>
        <w:rPr>
          <w:rFonts w:hint="eastAsia" w:ascii="宋体" w:hAnsi="宋体"/>
          <w:sz w:val="21"/>
          <w:szCs w:val="21"/>
        </w:rPr>
        <w:t>不低于</w:t>
      </w:r>
      <w:r>
        <w:rPr>
          <w:rFonts w:ascii="宋体" w:hAnsi="宋体" w:cs="Times New Roman"/>
          <w:kern w:val="2"/>
          <w:sz w:val="21"/>
          <w:szCs w:val="21"/>
          <w:highlight w:val="none"/>
        </w:rPr>
        <w:t>项目年度计划支付资金额的40％</w:t>
      </w:r>
      <w:r>
        <w:rPr>
          <w:rFonts w:hint="eastAsia" w:ascii="宋体" w:hAnsi="宋体" w:cs="Times New Roman"/>
          <w:kern w:val="2"/>
          <w:sz w:val="21"/>
          <w:szCs w:val="21"/>
          <w:highlight w:val="none"/>
        </w:rPr>
        <w:t>，不高于合同金额的</w:t>
      </w:r>
      <w:r>
        <w:rPr>
          <w:rFonts w:ascii="宋体" w:hAnsi="宋体" w:cs="Times New Roman"/>
          <w:kern w:val="2"/>
          <w:sz w:val="21"/>
          <w:szCs w:val="21"/>
          <w:highlight w:val="none"/>
        </w:rPr>
        <w:t>70%；采购项目实施以人工投入为主的，</w:t>
      </w:r>
      <w:r>
        <w:rPr>
          <w:rFonts w:hint="eastAsia" w:ascii="宋体" w:hAnsi="宋体" w:cs="Times New Roman"/>
          <w:kern w:val="2"/>
          <w:sz w:val="21"/>
          <w:szCs w:val="21"/>
          <w:highlight w:val="none"/>
        </w:rPr>
        <w:t>可适当降低预付款比例，但不得低于</w:t>
      </w:r>
      <w:r>
        <w:rPr>
          <w:rFonts w:ascii="宋体" w:hAnsi="宋体" w:cs="Times New Roman"/>
          <w:kern w:val="2"/>
          <w:sz w:val="21"/>
          <w:szCs w:val="21"/>
          <w:highlight w:val="none"/>
        </w:rPr>
        <w:t>20%。对供应商为大型企业的项目或者以人工投入为主且实行按月定期结算支付款项的项目，预付款可低于上述比例或者不约定预付款。在签订合同时，</w:t>
      </w:r>
      <w:r>
        <w:rPr>
          <w:rFonts w:hint="eastAsia" w:ascii="宋体" w:hAnsi="宋体" w:cs="Times New Roman"/>
          <w:kern w:val="2"/>
          <w:sz w:val="21"/>
          <w:szCs w:val="21"/>
          <w:highlight w:val="none"/>
        </w:rPr>
        <w:t>供应商</w:t>
      </w:r>
      <w:r>
        <w:rPr>
          <w:rFonts w:ascii="宋体" w:hAnsi="宋体" w:cs="Times New Roman"/>
          <w:kern w:val="2"/>
          <w:sz w:val="21"/>
          <w:szCs w:val="21"/>
          <w:highlight w:val="none"/>
        </w:rPr>
        <w:t>明确表示无需预付款或者主动要求降低预付款比例的，</w:t>
      </w:r>
      <w:r>
        <w:rPr>
          <w:rFonts w:hint="eastAsia" w:ascii="宋体" w:hAnsi="宋体" w:cs="Times New Roman"/>
          <w:kern w:val="2"/>
          <w:sz w:val="21"/>
          <w:szCs w:val="21"/>
          <w:highlight w:val="none"/>
        </w:rPr>
        <w:t>采购单位</w:t>
      </w:r>
      <w:r>
        <w:rPr>
          <w:rFonts w:ascii="宋体" w:hAnsi="宋体" w:cs="Times New Roman"/>
          <w:kern w:val="2"/>
          <w:sz w:val="21"/>
          <w:szCs w:val="21"/>
          <w:highlight w:val="none"/>
        </w:rPr>
        <w:t>可不适用前述规定。</w:t>
      </w:r>
      <w:r>
        <w:rPr>
          <w:rFonts w:hint="eastAsia" w:ascii="宋体" w:hAnsi="宋体" w:cs="Times New Roman"/>
          <w:kern w:val="2"/>
          <w:sz w:val="21"/>
          <w:szCs w:val="21"/>
          <w:highlight w:val="none"/>
        </w:rPr>
        <w:t>采购单位</w:t>
      </w:r>
      <w:r>
        <w:rPr>
          <w:rFonts w:ascii="宋体" w:hAnsi="宋体" w:cs="Times New Roman"/>
          <w:kern w:val="2"/>
          <w:sz w:val="21"/>
          <w:szCs w:val="21"/>
          <w:highlight w:val="none"/>
        </w:rPr>
        <w:t>根据项目特点、供应商诚信等因素，可以要求</w:t>
      </w:r>
      <w:r>
        <w:rPr>
          <w:rFonts w:hint="eastAsia" w:ascii="宋体" w:hAnsi="宋体" w:cs="Times New Roman"/>
          <w:kern w:val="2"/>
          <w:sz w:val="21"/>
          <w:szCs w:val="21"/>
          <w:highlight w:val="none"/>
        </w:rPr>
        <w:t>供应商</w:t>
      </w:r>
      <w:r>
        <w:rPr>
          <w:rFonts w:ascii="宋体" w:hAnsi="宋体" w:cs="Times New Roman"/>
          <w:kern w:val="2"/>
          <w:sz w:val="21"/>
          <w:szCs w:val="21"/>
          <w:highlight w:val="none"/>
        </w:rPr>
        <w:t>提交银行、保险公司等金融机构出具的预付款保函或其他担保措施。政府采购预付款应在合同生效以及具备实施条件后5个工作日内支付。</w:t>
      </w:r>
      <w:r>
        <w:rPr>
          <w:rFonts w:hint="eastAsia" w:ascii="宋体" w:hAnsi="宋体" w:cs="Times New Roman"/>
          <w:kern w:val="2"/>
          <w:sz w:val="21"/>
          <w:szCs w:val="21"/>
          <w:highlight w:val="none"/>
        </w:rPr>
        <w:t>政府采购工程以及与工程建设有关的货物、服务，采用招标方式采购的，预付款从其相关规定。供应商可登录政采云前台大厅选择金融服务</w:t>
      </w:r>
      <w:r>
        <w:rPr>
          <w:rFonts w:ascii="宋体" w:hAnsi="宋体" w:cs="Times New Roman"/>
          <w:kern w:val="2"/>
          <w:sz w:val="21"/>
          <w:szCs w:val="21"/>
          <w:highlight w:val="none"/>
        </w:rPr>
        <w:t xml:space="preserve"> - </w:t>
      </w:r>
      <w:r>
        <w:rPr>
          <w:rFonts w:hint="eastAsia" w:ascii="宋体" w:hAnsi="宋体" w:cs="Times New Roman"/>
          <w:kern w:val="2"/>
          <w:sz w:val="21"/>
          <w:szCs w:val="21"/>
          <w:highlight w:val="none"/>
        </w:rPr>
        <w:t>【保函保险服务】出具预付款保函，具体步骤：选择产品—填写供应商信息—选择中标项目—确认信息—等待保险</w:t>
      </w:r>
      <w:r>
        <w:rPr>
          <w:rFonts w:ascii="宋体" w:hAnsi="宋体" w:cs="Times New Roman"/>
          <w:kern w:val="2"/>
          <w:sz w:val="21"/>
          <w:szCs w:val="21"/>
          <w:highlight w:val="none"/>
        </w:rPr>
        <w:t>/保函受理—确认保单—支付保费—成功出单。政</w:t>
      </w:r>
      <w:r>
        <w:rPr>
          <w:rFonts w:hint="eastAsia" w:ascii="宋体" w:hAnsi="宋体" w:cs="Times New Roman"/>
          <w:kern w:val="2"/>
          <w:sz w:val="21"/>
          <w:szCs w:val="21"/>
          <w:highlight w:val="none"/>
        </w:rPr>
        <w:t>采云金融专线</w:t>
      </w:r>
      <w:r>
        <w:rPr>
          <w:rFonts w:ascii="宋体" w:hAnsi="宋体" w:cs="Times New Roman"/>
          <w:kern w:val="2"/>
          <w:sz w:val="21"/>
          <w:szCs w:val="21"/>
          <w:highlight w:val="none"/>
        </w:rPr>
        <w:t>400-903-9583。</w:t>
      </w:r>
    </w:p>
    <w:p w14:paraId="4BF2B431">
      <w:pPr>
        <w:rPr>
          <w:sz w:val="21"/>
          <w:szCs w:val="21"/>
        </w:rPr>
      </w:pPr>
    </w:p>
    <w:p w14:paraId="179B0700">
      <w:pPr>
        <w:snapToGrid w:val="0"/>
        <w:spacing w:line="360" w:lineRule="auto"/>
        <w:ind w:firstLine="2203" w:firstLineChars="1045"/>
        <w:rPr>
          <w:rFonts w:ascii="宋体" w:hAnsi="宋体" w:cs="宋体"/>
          <w:b/>
          <w:sz w:val="21"/>
          <w:szCs w:val="21"/>
        </w:rPr>
      </w:pPr>
    </w:p>
    <w:p w14:paraId="48F57306">
      <w:pPr>
        <w:snapToGrid w:val="0"/>
        <w:spacing w:line="360" w:lineRule="auto"/>
        <w:jc w:val="center"/>
        <w:outlineLvl w:val="0"/>
        <w:rPr>
          <w:rFonts w:ascii="宋体" w:hAnsi="宋体" w:cs="宋体"/>
          <w:b/>
          <w:sz w:val="21"/>
          <w:szCs w:val="21"/>
        </w:rPr>
      </w:pPr>
      <w:r>
        <w:rPr>
          <w:rFonts w:hint="eastAsia" w:ascii="宋体" w:hAnsi="宋体" w:cs="宋体"/>
          <w:b/>
          <w:sz w:val="21"/>
          <w:szCs w:val="21"/>
        </w:rPr>
        <w:t>八、电子交易活动的中止</w:t>
      </w:r>
    </w:p>
    <w:p w14:paraId="49A314C8">
      <w:pPr>
        <w:pStyle w:val="396"/>
        <w:snapToGrid w:val="0"/>
        <w:spacing w:before="0"/>
        <w:ind w:firstLine="0" w:firstLineChars="0"/>
        <w:rPr>
          <w:rFonts w:ascii="宋体" w:hAnsi="宋体" w:cs="宋体"/>
          <w:sz w:val="21"/>
          <w:szCs w:val="21"/>
        </w:rPr>
      </w:pPr>
      <w:r>
        <w:rPr>
          <w:rFonts w:ascii="宋体" w:hAnsi="宋体" w:cs="宋体"/>
          <w:b/>
          <w:bCs/>
          <w:kern w:val="2"/>
          <w:sz w:val="21"/>
          <w:szCs w:val="21"/>
        </w:rPr>
        <w:t>28</w:t>
      </w:r>
      <w:r>
        <w:rPr>
          <w:rFonts w:hint="eastAsia" w:ascii="宋体" w:hAnsi="宋体" w:cs="宋体"/>
          <w:b/>
          <w:sz w:val="21"/>
          <w:szCs w:val="21"/>
        </w:rPr>
        <w:t>. 电子交易活动的中止。</w:t>
      </w:r>
      <w:r>
        <w:rPr>
          <w:rFonts w:hint="eastAsia" w:ascii="宋体" w:hAnsi="宋体" w:cs="宋体"/>
          <w:sz w:val="21"/>
          <w:szCs w:val="21"/>
        </w:rPr>
        <w:t>采购过程中出现以下情形，导致电子交易平台无法正常运行，或者无法保证电子交易的公平、公正和安全时，</w:t>
      </w:r>
      <w:r>
        <w:rPr>
          <w:rFonts w:hint="eastAsia" w:ascii="宋体" w:hAnsi="宋体" w:cs="宋体"/>
          <w:sz w:val="21"/>
          <w:szCs w:val="21"/>
          <w:lang w:eastAsia="zh-CN"/>
        </w:rPr>
        <w:t>采购代理机构</w:t>
      </w:r>
      <w:r>
        <w:rPr>
          <w:rFonts w:hint="eastAsia" w:ascii="宋体" w:hAnsi="宋体" w:cs="宋体"/>
          <w:sz w:val="21"/>
          <w:szCs w:val="21"/>
        </w:rPr>
        <w:t>可中止电子交易活动：</w:t>
      </w:r>
    </w:p>
    <w:p w14:paraId="4B98EB47">
      <w:pPr>
        <w:pStyle w:val="396"/>
        <w:snapToGrid w:val="0"/>
        <w:spacing w:before="0"/>
        <w:ind w:firstLine="480"/>
        <w:rPr>
          <w:rFonts w:ascii="宋体" w:hAnsi="宋体" w:cs="宋体"/>
          <w:sz w:val="21"/>
          <w:szCs w:val="21"/>
        </w:rPr>
      </w:pPr>
      <w:r>
        <w:rPr>
          <w:rFonts w:hint="eastAsia" w:ascii="宋体" w:hAnsi="宋体" w:cs="宋体"/>
          <w:sz w:val="21"/>
          <w:szCs w:val="21"/>
        </w:rPr>
        <w:t xml:space="preserve">28.1电子交易平台发生故障而无法登录访问的； </w:t>
      </w:r>
    </w:p>
    <w:p w14:paraId="2D9F0E11">
      <w:pPr>
        <w:pStyle w:val="396"/>
        <w:snapToGrid w:val="0"/>
        <w:spacing w:before="0"/>
        <w:ind w:firstLine="480"/>
        <w:rPr>
          <w:rFonts w:ascii="宋体" w:hAnsi="宋体" w:cs="宋体"/>
          <w:sz w:val="21"/>
          <w:szCs w:val="21"/>
        </w:rPr>
      </w:pPr>
      <w:r>
        <w:rPr>
          <w:rFonts w:hint="eastAsia" w:ascii="宋体" w:hAnsi="宋体" w:cs="宋体"/>
          <w:sz w:val="21"/>
          <w:szCs w:val="21"/>
        </w:rPr>
        <w:t>28.2电子交易平台应用或数据库出现错误，不能进行正常操作的；</w:t>
      </w:r>
    </w:p>
    <w:p w14:paraId="5F44B50C">
      <w:pPr>
        <w:pStyle w:val="396"/>
        <w:snapToGrid w:val="0"/>
        <w:spacing w:before="0"/>
        <w:ind w:firstLine="480"/>
        <w:rPr>
          <w:rFonts w:ascii="宋体" w:hAnsi="宋体" w:cs="宋体"/>
          <w:sz w:val="21"/>
          <w:szCs w:val="21"/>
        </w:rPr>
      </w:pPr>
      <w:r>
        <w:rPr>
          <w:rFonts w:hint="eastAsia" w:ascii="宋体" w:hAnsi="宋体" w:cs="宋体"/>
          <w:sz w:val="21"/>
          <w:szCs w:val="21"/>
        </w:rPr>
        <w:t>28.3电子交易平台发现严重安全漏洞，有潜在泄密危险的；</w:t>
      </w:r>
    </w:p>
    <w:p w14:paraId="4F6944C9">
      <w:pPr>
        <w:pStyle w:val="396"/>
        <w:snapToGrid w:val="0"/>
        <w:spacing w:before="0"/>
        <w:ind w:firstLine="480"/>
        <w:rPr>
          <w:rFonts w:ascii="宋体" w:hAnsi="宋体" w:cs="宋体"/>
          <w:sz w:val="21"/>
          <w:szCs w:val="21"/>
        </w:rPr>
      </w:pPr>
      <w:r>
        <w:rPr>
          <w:rFonts w:hint="eastAsia" w:ascii="宋体" w:hAnsi="宋体" w:cs="宋体"/>
          <w:sz w:val="21"/>
          <w:szCs w:val="21"/>
        </w:rPr>
        <w:t xml:space="preserve">28.4病毒发作导致不能进行正常操作的； </w:t>
      </w:r>
    </w:p>
    <w:p w14:paraId="4941E09F">
      <w:pPr>
        <w:pStyle w:val="396"/>
        <w:snapToGrid w:val="0"/>
        <w:spacing w:before="0"/>
        <w:ind w:firstLine="480"/>
        <w:rPr>
          <w:rFonts w:ascii="宋体" w:hAnsi="宋体" w:cs="宋体"/>
          <w:sz w:val="21"/>
          <w:szCs w:val="21"/>
        </w:rPr>
      </w:pPr>
      <w:r>
        <w:rPr>
          <w:rFonts w:hint="eastAsia" w:ascii="宋体" w:hAnsi="宋体" w:cs="宋体"/>
          <w:sz w:val="21"/>
          <w:szCs w:val="21"/>
        </w:rPr>
        <w:t>28.5其他无法保证电子交易的公平、公正和安全的情况。</w:t>
      </w:r>
    </w:p>
    <w:p w14:paraId="64341F5D">
      <w:pPr>
        <w:pStyle w:val="396"/>
        <w:snapToGrid w:val="0"/>
        <w:spacing w:before="0"/>
        <w:ind w:firstLine="0" w:firstLineChars="0"/>
        <w:rPr>
          <w:rFonts w:ascii="宋体" w:hAnsi="宋体" w:cs="宋体"/>
          <w:sz w:val="21"/>
          <w:szCs w:val="21"/>
        </w:rPr>
      </w:pPr>
      <w:r>
        <w:rPr>
          <w:rFonts w:hint="eastAsia" w:ascii="宋体" w:hAnsi="宋体" w:cs="宋体"/>
          <w:sz w:val="21"/>
          <w:szCs w:val="21"/>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706E7823">
      <w:pPr>
        <w:tabs>
          <w:tab w:val="left" w:pos="0"/>
        </w:tabs>
        <w:spacing w:line="360" w:lineRule="auto"/>
        <w:ind w:firstLine="480"/>
        <w:rPr>
          <w:rFonts w:ascii="宋体" w:hAnsi="宋体" w:cs="宋体"/>
          <w:sz w:val="21"/>
          <w:szCs w:val="21"/>
        </w:rPr>
      </w:pPr>
    </w:p>
    <w:p w14:paraId="17AB3348">
      <w:pPr>
        <w:snapToGrid w:val="0"/>
        <w:spacing w:line="360" w:lineRule="auto"/>
        <w:jc w:val="center"/>
        <w:outlineLvl w:val="0"/>
        <w:rPr>
          <w:rFonts w:ascii="宋体" w:hAnsi="宋体" w:cs="宋体"/>
          <w:b/>
          <w:sz w:val="21"/>
          <w:szCs w:val="21"/>
        </w:rPr>
      </w:pPr>
      <w:r>
        <w:rPr>
          <w:rFonts w:hint="eastAsia" w:ascii="宋体" w:hAnsi="宋体" w:cs="宋体"/>
          <w:b/>
          <w:sz w:val="21"/>
          <w:szCs w:val="21"/>
        </w:rPr>
        <w:t>九、验收</w:t>
      </w:r>
    </w:p>
    <w:p w14:paraId="333EE800">
      <w:pPr>
        <w:pStyle w:val="24"/>
        <w:spacing w:line="360" w:lineRule="auto"/>
        <w:ind w:firstLine="0" w:firstLineChars="0"/>
        <w:rPr>
          <w:rFonts w:cs="宋体"/>
          <w:b/>
          <w:sz w:val="21"/>
          <w:szCs w:val="21"/>
        </w:rPr>
      </w:pPr>
      <w:r>
        <w:rPr>
          <w:rFonts w:hint="eastAsia" w:cs="宋体"/>
          <w:b/>
          <w:sz w:val="21"/>
          <w:szCs w:val="21"/>
        </w:rPr>
        <w:t>30.验收</w:t>
      </w:r>
    </w:p>
    <w:p w14:paraId="53D226F2">
      <w:pPr>
        <w:tabs>
          <w:tab w:val="left" w:pos="0"/>
        </w:tabs>
        <w:spacing w:line="360" w:lineRule="auto"/>
        <w:ind w:firstLine="480"/>
        <w:rPr>
          <w:rFonts w:ascii="宋体" w:hAnsi="宋体" w:cs="宋体"/>
          <w:kern w:val="0"/>
          <w:sz w:val="21"/>
          <w:szCs w:val="21"/>
        </w:rPr>
      </w:pPr>
      <w:r>
        <w:rPr>
          <w:rFonts w:hint="eastAsia" w:ascii="宋体" w:hAnsi="宋体" w:cs="宋体"/>
          <w:kern w:val="0"/>
          <w:sz w:val="21"/>
          <w:szCs w:val="21"/>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7B4E30FA">
      <w:pPr>
        <w:tabs>
          <w:tab w:val="left" w:pos="0"/>
        </w:tabs>
        <w:spacing w:line="360" w:lineRule="auto"/>
        <w:ind w:firstLine="480"/>
        <w:rPr>
          <w:rFonts w:ascii="宋体" w:hAnsi="宋体" w:cs="宋体"/>
          <w:kern w:val="0"/>
          <w:sz w:val="21"/>
          <w:szCs w:val="21"/>
        </w:rPr>
      </w:pPr>
      <w:r>
        <w:rPr>
          <w:rFonts w:hint="eastAsia" w:ascii="宋体" w:hAnsi="宋体" w:cs="宋体"/>
          <w:kern w:val="0"/>
          <w:sz w:val="21"/>
          <w:szCs w:val="21"/>
        </w:rPr>
        <w:t>30.2采购人可以邀请参加本项目的其他供应商或者第三方机构参与验收。参与验收的供应商或者第三方机构的意见作为验收书的参考资料一并存档。</w:t>
      </w:r>
    </w:p>
    <w:p w14:paraId="2E76DEEC">
      <w:pPr>
        <w:tabs>
          <w:tab w:val="left" w:pos="0"/>
        </w:tabs>
        <w:spacing w:line="360" w:lineRule="auto"/>
        <w:ind w:firstLine="480"/>
        <w:rPr>
          <w:rFonts w:ascii="宋体" w:hAnsi="宋体" w:cs="宋体"/>
          <w:kern w:val="0"/>
          <w:sz w:val="21"/>
          <w:szCs w:val="21"/>
        </w:rPr>
      </w:pPr>
      <w:r>
        <w:rPr>
          <w:rFonts w:hint="eastAsia" w:ascii="宋体" w:hAnsi="宋体" w:cs="宋体"/>
          <w:kern w:val="0"/>
          <w:sz w:val="21"/>
          <w:szCs w:val="21"/>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443E9F03">
      <w:pPr>
        <w:tabs>
          <w:tab w:val="left" w:pos="0"/>
        </w:tabs>
        <w:spacing w:line="360" w:lineRule="auto"/>
        <w:ind w:firstLine="480"/>
        <w:rPr>
          <w:rFonts w:ascii="宋体" w:hAnsi="宋体" w:cs="宋体"/>
          <w:sz w:val="18"/>
          <w:szCs w:val="18"/>
        </w:rPr>
      </w:pPr>
      <w:r>
        <w:rPr>
          <w:rFonts w:hint="eastAsia" w:ascii="宋体" w:hAnsi="宋体" w:cs="宋体"/>
          <w:kern w:val="0"/>
          <w:sz w:val="21"/>
          <w:szCs w:val="21"/>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57"/>
    <w:bookmarkEnd w:id="58"/>
    <w:bookmarkEnd w:id="62"/>
    <w:p w14:paraId="735B5909">
      <w:pPr>
        <w:tabs>
          <w:tab w:val="left" w:pos="0"/>
        </w:tabs>
        <w:spacing w:line="360" w:lineRule="auto"/>
        <w:jc w:val="center"/>
        <w:rPr>
          <w:rFonts w:hint="eastAsia" w:ascii="宋体" w:hAnsi="宋体" w:cs="宋体"/>
          <w:b/>
          <w:sz w:val="36"/>
          <w:szCs w:val="36"/>
        </w:rPr>
      </w:pPr>
      <w:bookmarkStart w:id="63" w:name="_Hlt68072998"/>
      <w:bookmarkEnd w:id="63"/>
      <w:bookmarkStart w:id="64" w:name="_Hlt68073093"/>
      <w:bookmarkEnd w:id="64"/>
      <w:bookmarkStart w:id="65" w:name="_Hlt68403820"/>
      <w:bookmarkEnd w:id="65"/>
      <w:bookmarkStart w:id="66" w:name="第四部分"/>
    </w:p>
    <w:p w14:paraId="7617F212">
      <w:pPr>
        <w:pStyle w:val="2"/>
        <w:numPr>
          <w:ilvl w:val="0"/>
          <w:numId w:val="0"/>
        </w:numPr>
        <w:ind w:leftChars="0"/>
        <w:rPr>
          <w:rFonts w:hint="eastAsia"/>
        </w:rPr>
      </w:pPr>
    </w:p>
    <w:p w14:paraId="3F82698A">
      <w:pPr>
        <w:tabs>
          <w:tab w:val="left" w:pos="0"/>
        </w:tabs>
        <w:spacing w:line="360" w:lineRule="auto"/>
        <w:jc w:val="both"/>
        <w:rPr>
          <w:rFonts w:hint="eastAsia" w:ascii="宋体" w:hAnsi="宋体" w:cs="宋体"/>
          <w:b/>
          <w:sz w:val="36"/>
          <w:szCs w:val="36"/>
        </w:rPr>
      </w:pPr>
    </w:p>
    <w:p w14:paraId="7F790CFF">
      <w:pPr>
        <w:tabs>
          <w:tab w:val="left" w:pos="0"/>
        </w:tabs>
        <w:spacing w:line="360" w:lineRule="auto"/>
        <w:jc w:val="center"/>
        <w:rPr>
          <w:rFonts w:ascii="宋体" w:hAnsi="宋体" w:cs="宋体"/>
          <w:b/>
          <w:sz w:val="36"/>
          <w:szCs w:val="36"/>
        </w:rPr>
      </w:pPr>
      <w:r>
        <w:rPr>
          <w:rFonts w:hint="eastAsia" w:ascii="宋体" w:hAnsi="宋体" w:cs="宋体"/>
          <w:b/>
          <w:sz w:val="36"/>
          <w:szCs w:val="36"/>
        </w:rPr>
        <w:t xml:space="preserve">第四部分   </w:t>
      </w:r>
      <w:bookmarkStart w:id="67" w:name="_Toc184308041"/>
      <w:bookmarkEnd w:id="67"/>
      <w:bookmarkStart w:id="68" w:name="_Toc184312078"/>
      <w:bookmarkEnd w:id="68"/>
      <w:bookmarkStart w:id="69" w:name="_Toc184312105"/>
      <w:bookmarkEnd w:id="69"/>
      <w:bookmarkStart w:id="70" w:name="_Toc184313256"/>
      <w:bookmarkEnd w:id="70"/>
      <w:bookmarkStart w:id="71" w:name="_Toc184308045"/>
      <w:bookmarkEnd w:id="71"/>
      <w:bookmarkStart w:id="72" w:name="_Toc184308046"/>
      <w:bookmarkEnd w:id="72"/>
      <w:bookmarkStart w:id="73" w:name="_Toc184314451"/>
      <w:bookmarkEnd w:id="73"/>
      <w:bookmarkStart w:id="74" w:name="_Toc184314416"/>
      <w:bookmarkEnd w:id="74"/>
      <w:bookmarkStart w:id="75" w:name="_Toc184310272"/>
      <w:bookmarkEnd w:id="75"/>
      <w:bookmarkStart w:id="76" w:name="_Toc184313306"/>
      <w:bookmarkEnd w:id="76"/>
      <w:bookmarkStart w:id="77" w:name="_Toc184314420"/>
      <w:bookmarkEnd w:id="77"/>
      <w:bookmarkStart w:id="78" w:name="_Toc184314432"/>
      <w:bookmarkEnd w:id="78"/>
      <w:bookmarkStart w:id="79" w:name="_Toc184313265"/>
      <w:bookmarkEnd w:id="79"/>
      <w:bookmarkStart w:id="80" w:name="_Toc184313275"/>
      <w:bookmarkEnd w:id="80"/>
      <w:bookmarkStart w:id="81" w:name="_Toc184310336"/>
      <w:bookmarkEnd w:id="81"/>
      <w:bookmarkStart w:id="82" w:name="_Toc184310330"/>
      <w:bookmarkEnd w:id="82"/>
      <w:bookmarkStart w:id="83" w:name="_Toc184308059"/>
      <w:bookmarkEnd w:id="83"/>
      <w:bookmarkStart w:id="84" w:name="_Toc184314426"/>
      <w:bookmarkEnd w:id="84"/>
      <w:bookmarkStart w:id="85" w:name="_Toc184312093"/>
      <w:bookmarkEnd w:id="85"/>
      <w:bookmarkStart w:id="86" w:name="_Toc184312085"/>
      <w:bookmarkEnd w:id="86"/>
      <w:bookmarkStart w:id="87" w:name="_Toc184314439"/>
      <w:bookmarkEnd w:id="87"/>
      <w:bookmarkStart w:id="88" w:name="_Toc184310282"/>
      <w:bookmarkEnd w:id="88"/>
      <w:bookmarkStart w:id="89" w:name="_Toc184312124"/>
      <w:bookmarkEnd w:id="89"/>
      <w:bookmarkStart w:id="90" w:name="_Toc184312076"/>
      <w:bookmarkEnd w:id="90"/>
      <w:bookmarkStart w:id="91" w:name="_Toc184314476"/>
      <w:bookmarkEnd w:id="91"/>
      <w:bookmarkStart w:id="92" w:name="_Toc184308093"/>
      <w:bookmarkEnd w:id="92"/>
      <w:bookmarkStart w:id="93" w:name="_Toc184308071"/>
      <w:bookmarkEnd w:id="93"/>
      <w:bookmarkStart w:id="94" w:name="_Toc184314436"/>
      <w:bookmarkEnd w:id="94"/>
      <w:bookmarkStart w:id="95" w:name="_Toc184310288"/>
      <w:bookmarkEnd w:id="95"/>
      <w:bookmarkStart w:id="96" w:name="_Toc184308105"/>
      <w:bookmarkEnd w:id="96"/>
      <w:bookmarkStart w:id="97" w:name="_Toc184314459"/>
      <w:bookmarkEnd w:id="97"/>
      <w:bookmarkStart w:id="98" w:name="_Toc184308058"/>
      <w:bookmarkEnd w:id="98"/>
      <w:bookmarkStart w:id="99" w:name="_Toc184312134"/>
      <w:bookmarkEnd w:id="99"/>
      <w:bookmarkStart w:id="100" w:name="_Toc184308076"/>
      <w:bookmarkEnd w:id="100"/>
      <w:bookmarkStart w:id="101" w:name="_Toc184312117"/>
      <w:bookmarkEnd w:id="101"/>
      <w:bookmarkStart w:id="102" w:name="_Toc184308074"/>
      <w:bookmarkEnd w:id="102"/>
      <w:bookmarkStart w:id="103" w:name="_Toc184314430"/>
      <w:bookmarkEnd w:id="103"/>
      <w:bookmarkStart w:id="104" w:name="_Toc184310292"/>
      <w:bookmarkEnd w:id="104"/>
      <w:bookmarkStart w:id="105" w:name="_Toc184312108"/>
      <w:bookmarkEnd w:id="105"/>
      <w:bookmarkStart w:id="106" w:name="_Toc184313308"/>
      <w:bookmarkEnd w:id="106"/>
      <w:bookmarkStart w:id="107" w:name="_Toc184310286"/>
      <w:bookmarkEnd w:id="107"/>
      <w:bookmarkStart w:id="108" w:name="_Toc184312098"/>
      <w:bookmarkEnd w:id="108"/>
      <w:bookmarkStart w:id="109" w:name="_Toc184312121"/>
      <w:bookmarkEnd w:id="109"/>
      <w:bookmarkStart w:id="110" w:name="_Toc184310277"/>
      <w:bookmarkEnd w:id="110"/>
      <w:bookmarkStart w:id="111" w:name="_Toc184314479"/>
      <w:bookmarkEnd w:id="111"/>
      <w:bookmarkStart w:id="112" w:name="_Toc184310333"/>
      <w:bookmarkEnd w:id="112"/>
      <w:bookmarkStart w:id="113" w:name="_Toc184312127"/>
      <w:bookmarkEnd w:id="113"/>
      <w:bookmarkStart w:id="114" w:name="_Toc184308067"/>
      <w:bookmarkEnd w:id="114"/>
      <w:bookmarkStart w:id="115" w:name="_Toc184313284"/>
      <w:bookmarkEnd w:id="115"/>
      <w:bookmarkStart w:id="116" w:name="_Toc184314440"/>
      <w:bookmarkEnd w:id="116"/>
      <w:bookmarkStart w:id="117" w:name="_Toc184314418"/>
      <w:bookmarkEnd w:id="117"/>
      <w:bookmarkStart w:id="118" w:name="_Toc184310321"/>
      <w:bookmarkEnd w:id="118"/>
      <w:bookmarkStart w:id="119" w:name="_Toc184313266"/>
      <w:bookmarkEnd w:id="119"/>
      <w:bookmarkStart w:id="120" w:name="_Toc184310342"/>
      <w:bookmarkEnd w:id="120"/>
      <w:bookmarkStart w:id="121" w:name="_Toc184312067"/>
      <w:bookmarkEnd w:id="121"/>
      <w:bookmarkStart w:id="122" w:name="_Toc184313298"/>
      <w:bookmarkEnd w:id="122"/>
      <w:bookmarkStart w:id="123" w:name="_Toc184312088"/>
      <w:bookmarkEnd w:id="123"/>
      <w:bookmarkStart w:id="124" w:name="_Toc184313259"/>
      <w:bookmarkEnd w:id="124"/>
      <w:bookmarkStart w:id="125" w:name="_Toc184314465"/>
      <w:bookmarkEnd w:id="125"/>
      <w:bookmarkStart w:id="126" w:name="_Toc184310283"/>
      <w:bookmarkEnd w:id="126"/>
      <w:bookmarkStart w:id="127" w:name="_Toc184310281"/>
      <w:bookmarkEnd w:id="127"/>
      <w:bookmarkStart w:id="128" w:name="_Toc184308064"/>
      <w:bookmarkEnd w:id="128"/>
      <w:bookmarkStart w:id="129" w:name="_Toc184310289"/>
      <w:bookmarkEnd w:id="129"/>
      <w:bookmarkStart w:id="130" w:name="_Toc184312109"/>
      <w:bookmarkEnd w:id="130"/>
      <w:bookmarkStart w:id="131" w:name="_Toc184310317"/>
      <w:bookmarkEnd w:id="131"/>
      <w:bookmarkStart w:id="132" w:name="_Toc184313263"/>
      <w:bookmarkEnd w:id="132"/>
      <w:bookmarkStart w:id="133" w:name="_Toc184314469"/>
      <w:bookmarkEnd w:id="133"/>
      <w:bookmarkStart w:id="134" w:name="_Toc184314450"/>
      <w:bookmarkEnd w:id="134"/>
      <w:bookmarkStart w:id="135" w:name="_Toc184313299"/>
      <w:bookmarkEnd w:id="135"/>
      <w:bookmarkStart w:id="136" w:name="_Toc184310298"/>
      <w:bookmarkEnd w:id="136"/>
      <w:bookmarkStart w:id="137" w:name="_Toc184308086"/>
      <w:bookmarkEnd w:id="137"/>
      <w:bookmarkStart w:id="138" w:name="_Toc184308092"/>
      <w:bookmarkEnd w:id="138"/>
      <w:bookmarkStart w:id="139" w:name="_Toc184314455"/>
      <w:bookmarkEnd w:id="139"/>
      <w:bookmarkStart w:id="140" w:name="_Toc184313267"/>
      <w:bookmarkEnd w:id="140"/>
      <w:bookmarkStart w:id="141" w:name="_Toc184310301"/>
      <w:bookmarkEnd w:id="141"/>
      <w:bookmarkStart w:id="142" w:name="_Toc184314462"/>
      <w:bookmarkEnd w:id="142"/>
      <w:bookmarkStart w:id="143" w:name="_Toc184308054"/>
      <w:bookmarkEnd w:id="143"/>
      <w:bookmarkStart w:id="144" w:name="_Toc184314422"/>
      <w:bookmarkEnd w:id="144"/>
      <w:bookmarkStart w:id="145" w:name="_Toc184310295"/>
      <w:bookmarkEnd w:id="145"/>
      <w:bookmarkStart w:id="146" w:name="_Toc184308042"/>
      <w:bookmarkEnd w:id="146"/>
      <w:bookmarkStart w:id="147" w:name="_Toc184313271"/>
      <w:bookmarkEnd w:id="147"/>
      <w:bookmarkStart w:id="148" w:name="_Toc184313253"/>
      <w:bookmarkEnd w:id="148"/>
      <w:bookmarkStart w:id="149" w:name="_Toc184312123"/>
      <w:bookmarkEnd w:id="149"/>
      <w:bookmarkStart w:id="150" w:name="_Toc184314433"/>
      <w:bookmarkEnd w:id="150"/>
      <w:bookmarkStart w:id="151" w:name="_Toc184308070"/>
      <w:bookmarkEnd w:id="151"/>
      <w:bookmarkStart w:id="152" w:name="_Toc184314443"/>
      <w:bookmarkEnd w:id="152"/>
      <w:bookmarkStart w:id="153" w:name="_Toc184313277"/>
      <w:bookmarkEnd w:id="153"/>
      <w:bookmarkStart w:id="154" w:name="_Toc184308037"/>
      <w:bookmarkEnd w:id="154"/>
      <w:bookmarkStart w:id="155" w:name="_Toc184308079"/>
      <w:bookmarkEnd w:id="155"/>
      <w:bookmarkStart w:id="156" w:name="_Toc184312069"/>
      <w:bookmarkEnd w:id="156"/>
      <w:bookmarkStart w:id="157" w:name="_Toc184308081"/>
      <w:bookmarkEnd w:id="157"/>
      <w:bookmarkStart w:id="158" w:name="_Toc184314424"/>
      <w:bookmarkEnd w:id="158"/>
      <w:bookmarkStart w:id="159" w:name="_Toc184308101"/>
      <w:bookmarkEnd w:id="159"/>
      <w:bookmarkStart w:id="160" w:name="_Toc184312128"/>
      <w:bookmarkEnd w:id="160"/>
      <w:bookmarkStart w:id="161" w:name="_Toc184312089"/>
      <w:bookmarkEnd w:id="161"/>
      <w:bookmarkStart w:id="162" w:name="_Toc184313292"/>
      <w:bookmarkEnd w:id="162"/>
      <w:bookmarkStart w:id="163" w:name="_Toc184314444"/>
      <w:bookmarkEnd w:id="163"/>
      <w:bookmarkStart w:id="164" w:name="_Toc184308082"/>
      <w:bookmarkEnd w:id="164"/>
      <w:bookmarkStart w:id="165" w:name="_Toc184313268"/>
      <w:bookmarkEnd w:id="165"/>
      <w:bookmarkStart w:id="166" w:name="_Toc184310326"/>
      <w:bookmarkEnd w:id="166"/>
      <w:bookmarkStart w:id="167" w:name="_Toc184308056"/>
      <w:bookmarkEnd w:id="167"/>
      <w:bookmarkStart w:id="168" w:name="_Toc184308048"/>
      <w:bookmarkEnd w:id="168"/>
      <w:bookmarkStart w:id="169" w:name="_Toc184314461"/>
      <w:bookmarkEnd w:id="169"/>
      <w:bookmarkStart w:id="170" w:name="_Toc184308036"/>
      <w:bookmarkEnd w:id="170"/>
      <w:bookmarkStart w:id="171" w:name="_Toc184310273"/>
      <w:bookmarkEnd w:id="171"/>
      <w:bookmarkStart w:id="172" w:name="_Toc184313243"/>
      <w:bookmarkEnd w:id="172"/>
      <w:bookmarkStart w:id="173" w:name="_Toc184313288"/>
      <w:bookmarkEnd w:id="173"/>
      <w:bookmarkStart w:id="174" w:name="_Toc184313272"/>
      <w:bookmarkEnd w:id="174"/>
      <w:bookmarkStart w:id="175" w:name="_Toc184312118"/>
      <w:bookmarkEnd w:id="175"/>
      <w:bookmarkStart w:id="176" w:name="_Toc184308068"/>
      <w:bookmarkEnd w:id="176"/>
      <w:bookmarkStart w:id="177" w:name="_Toc184312114"/>
      <w:bookmarkEnd w:id="177"/>
      <w:bookmarkStart w:id="178" w:name="_Toc184308075"/>
      <w:bookmarkEnd w:id="178"/>
      <w:bookmarkStart w:id="179" w:name="_Toc184310278"/>
      <w:bookmarkEnd w:id="179"/>
      <w:bookmarkStart w:id="180" w:name="_Toc184314480"/>
      <w:bookmarkEnd w:id="180"/>
      <w:bookmarkStart w:id="181" w:name="_Toc184313279"/>
      <w:bookmarkEnd w:id="181"/>
      <w:bookmarkStart w:id="182" w:name="_Toc184312125"/>
      <w:bookmarkEnd w:id="182"/>
      <w:bookmarkStart w:id="183" w:name="_Toc184312087"/>
      <w:bookmarkEnd w:id="183"/>
      <w:bookmarkStart w:id="184" w:name="_Toc184312133"/>
      <w:bookmarkEnd w:id="184"/>
      <w:bookmarkStart w:id="185" w:name="_Toc184312081"/>
      <w:bookmarkEnd w:id="185"/>
      <w:bookmarkStart w:id="186" w:name="_Toc184308057"/>
      <w:bookmarkEnd w:id="186"/>
      <w:bookmarkStart w:id="187" w:name="_Toc184314429"/>
      <w:bookmarkEnd w:id="187"/>
      <w:bookmarkStart w:id="188" w:name="_Toc184312111"/>
      <w:bookmarkEnd w:id="188"/>
      <w:bookmarkStart w:id="189" w:name="_Toc184313290"/>
      <w:bookmarkEnd w:id="189"/>
      <w:bookmarkStart w:id="190" w:name="_Toc184314446"/>
      <w:bookmarkEnd w:id="190"/>
      <w:bookmarkStart w:id="191" w:name="_Toc184313281"/>
      <w:bookmarkEnd w:id="191"/>
      <w:bookmarkStart w:id="192" w:name="_Toc184313280"/>
      <w:bookmarkEnd w:id="192"/>
      <w:bookmarkStart w:id="193" w:name="_Toc184308083"/>
      <w:bookmarkEnd w:id="193"/>
      <w:bookmarkStart w:id="194" w:name="_Toc184313276"/>
      <w:bookmarkEnd w:id="194"/>
      <w:bookmarkStart w:id="195" w:name="_Toc184313301"/>
      <w:bookmarkEnd w:id="195"/>
      <w:bookmarkStart w:id="196" w:name="_Toc184312073"/>
      <w:bookmarkEnd w:id="196"/>
      <w:bookmarkStart w:id="197" w:name="_Toc184310312"/>
      <w:bookmarkEnd w:id="197"/>
      <w:bookmarkStart w:id="198" w:name="_Toc184312113"/>
      <w:bookmarkEnd w:id="198"/>
      <w:bookmarkStart w:id="199" w:name="_Toc184312100"/>
      <w:bookmarkEnd w:id="199"/>
      <w:bookmarkStart w:id="200" w:name="_Toc184310274"/>
      <w:bookmarkEnd w:id="200"/>
      <w:bookmarkStart w:id="201" w:name="_Toc184313307"/>
      <w:bookmarkEnd w:id="201"/>
      <w:bookmarkStart w:id="202" w:name="_Toc184310339"/>
      <w:bookmarkEnd w:id="202"/>
      <w:bookmarkStart w:id="203" w:name="_Toc184314428"/>
      <w:bookmarkEnd w:id="203"/>
      <w:bookmarkStart w:id="204" w:name="_Toc184314412"/>
      <w:bookmarkEnd w:id="204"/>
      <w:bookmarkStart w:id="205" w:name="_Toc184312137"/>
      <w:bookmarkEnd w:id="205"/>
      <w:bookmarkStart w:id="206" w:name="_Toc184313296"/>
      <w:bookmarkEnd w:id="206"/>
      <w:bookmarkStart w:id="207" w:name="_Toc184313246"/>
      <w:bookmarkEnd w:id="207"/>
      <w:bookmarkStart w:id="208" w:name="_Toc184313269"/>
      <w:bookmarkEnd w:id="208"/>
      <w:bookmarkStart w:id="209" w:name="_Toc184310338"/>
      <w:bookmarkEnd w:id="209"/>
      <w:bookmarkStart w:id="210" w:name="_Toc184308055"/>
      <w:bookmarkEnd w:id="210"/>
      <w:bookmarkStart w:id="211" w:name="_Toc184314481"/>
      <w:bookmarkEnd w:id="211"/>
      <w:bookmarkStart w:id="212" w:name="_Toc184313305"/>
      <w:bookmarkEnd w:id="212"/>
      <w:bookmarkStart w:id="213" w:name="_Toc184313287"/>
      <w:bookmarkEnd w:id="213"/>
      <w:bookmarkStart w:id="214" w:name="_Toc184310307"/>
      <w:bookmarkEnd w:id="214"/>
      <w:bookmarkStart w:id="215" w:name="_Toc184310285"/>
      <w:bookmarkEnd w:id="215"/>
      <w:bookmarkStart w:id="216" w:name="_Toc184308104"/>
      <w:bookmarkEnd w:id="216"/>
      <w:bookmarkStart w:id="217" w:name="_Toc184314467"/>
      <w:bookmarkEnd w:id="217"/>
      <w:bookmarkStart w:id="218" w:name="_Toc184310344"/>
      <w:bookmarkEnd w:id="218"/>
      <w:bookmarkStart w:id="219" w:name="_Toc184308091"/>
      <w:bookmarkEnd w:id="219"/>
      <w:bookmarkStart w:id="220" w:name="_Toc184314452"/>
      <w:bookmarkEnd w:id="220"/>
      <w:bookmarkStart w:id="221" w:name="_Toc184314445"/>
      <w:bookmarkEnd w:id="221"/>
      <w:bookmarkStart w:id="222" w:name="_Toc184312094"/>
      <w:bookmarkEnd w:id="222"/>
      <w:bookmarkStart w:id="223" w:name="_Toc184310304"/>
      <w:bookmarkEnd w:id="223"/>
      <w:bookmarkStart w:id="224" w:name="_Toc184310325"/>
      <w:bookmarkEnd w:id="224"/>
      <w:bookmarkStart w:id="225" w:name="_Toc184308052"/>
      <w:bookmarkEnd w:id="225"/>
      <w:bookmarkStart w:id="226" w:name="_Toc184312095"/>
      <w:bookmarkEnd w:id="226"/>
      <w:bookmarkStart w:id="227" w:name="_Toc184310315"/>
      <w:bookmarkEnd w:id="227"/>
      <w:bookmarkStart w:id="228" w:name="_Toc184310337"/>
      <w:bookmarkEnd w:id="228"/>
      <w:bookmarkStart w:id="229" w:name="_Toc184314413"/>
      <w:bookmarkEnd w:id="229"/>
      <w:bookmarkStart w:id="230" w:name="_Toc184310287"/>
      <w:bookmarkEnd w:id="230"/>
      <w:bookmarkStart w:id="231" w:name="_Toc184308094"/>
      <w:bookmarkEnd w:id="231"/>
      <w:bookmarkStart w:id="232" w:name="_Toc184312107"/>
      <w:bookmarkEnd w:id="232"/>
      <w:bookmarkStart w:id="233" w:name="_Toc184310332"/>
      <w:bookmarkEnd w:id="233"/>
      <w:bookmarkStart w:id="234" w:name="_Toc184308089"/>
      <w:bookmarkEnd w:id="234"/>
      <w:bookmarkStart w:id="235" w:name="_Toc184314458"/>
      <w:bookmarkEnd w:id="235"/>
      <w:bookmarkStart w:id="236" w:name="_Toc184313241"/>
      <w:bookmarkEnd w:id="236"/>
      <w:bookmarkStart w:id="237" w:name="_Toc184314414"/>
      <w:bookmarkEnd w:id="237"/>
      <w:bookmarkStart w:id="238" w:name="_Toc184312119"/>
      <w:bookmarkEnd w:id="238"/>
      <w:bookmarkStart w:id="239" w:name="_Toc184314431"/>
      <w:bookmarkEnd w:id="239"/>
      <w:bookmarkStart w:id="240" w:name="_Toc184310294"/>
      <w:bookmarkEnd w:id="240"/>
      <w:bookmarkStart w:id="241" w:name="_Toc184313249"/>
      <w:bookmarkEnd w:id="241"/>
      <w:bookmarkStart w:id="242" w:name="_Toc184310302"/>
      <w:bookmarkEnd w:id="242"/>
      <w:bookmarkStart w:id="243" w:name="_Toc184310314"/>
      <w:bookmarkEnd w:id="243"/>
      <w:bookmarkStart w:id="244" w:name="_Toc184313257"/>
      <w:bookmarkEnd w:id="244"/>
      <w:bookmarkStart w:id="245" w:name="_Toc184314448"/>
      <w:bookmarkEnd w:id="245"/>
      <w:bookmarkStart w:id="246" w:name="_Toc184312106"/>
      <w:bookmarkEnd w:id="246"/>
      <w:bookmarkStart w:id="247" w:name="_Toc184312115"/>
      <w:bookmarkEnd w:id="247"/>
      <w:bookmarkStart w:id="248" w:name="_Toc184314438"/>
      <w:bookmarkEnd w:id="248"/>
      <w:bookmarkStart w:id="249" w:name="_Toc184314477"/>
      <w:bookmarkEnd w:id="249"/>
      <w:bookmarkStart w:id="250" w:name="_Toc184310296"/>
      <w:bookmarkEnd w:id="250"/>
      <w:bookmarkStart w:id="251" w:name="_Toc184308097"/>
      <w:bookmarkEnd w:id="251"/>
      <w:bookmarkStart w:id="252" w:name="_Toc184313254"/>
      <w:bookmarkEnd w:id="252"/>
      <w:bookmarkStart w:id="253" w:name="_Toc184310343"/>
      <w:bookmarkEnd w:id="253"/>
      <w:bookmarkStart w:id="254" w:name="_Toc184310306"/>
      <w:bookmarkEnd w:id="254"/>
      <w:bookmarkStart w:id="255" w:name="_Toc184313294"/>
      <w:bookmarkEnd w:id="255"/>
      <w:bookmarkStart w:id="256" w:name="_Toc184312077"/>
      <w:bookmarkEnd w:id="256"/>
      <w:bookmarkStart w:id="257" w:name="_Toc184313303"/>
      <w:bookmarkEnd w:id="257"/>
      <w:bookmarkStart w:id="258" w:name="_Toc184313295"/>
      <w:bookmarkEnd w:id="258"/>
      <w:bookmarkStart w:id="259" w:name="_Toc184308051"/>
      <w:bookmarkEnd w:id="259"/>
      <w:bookmarkStart w:id="260" w:name="_Toc184314423"/>
      <w:bookmarkEnd w:id="260"/>
      <w:bookmarkStart w:id="261" w:name="_Toc184310300"/>
      <w:bookmarkEnd w:id="261"/>
      <w:bookmarkStart w:id="262" w:name="_Toc184308080"/>
      <w:bookmarkEnd w:id="262"/>
      <w:bookmarkStart w:id="263" w:name="_Toc184314425"/>
      <w:bookmarkEnd w:id="263"/>
      <w:bookmarkStart w:id="264" w:name="_Toc184313289"/>
      <w:bookmarkEnd w:id="264"/>
      <w:bookmarkStart w:id="265" w:name="_Toc184312083"/>
      <w:bookmarkEnd w:id="265"/>
      <w:bookmarkStart w:id="266" w:name="_Toc184314454"/>
      <w:bookmarkEnd w:id="266"/>
      <w:bookmarkStart w:id="267" w:name="_Toc184308098"/>
      <w:bookmarkEnd w:id="267"/>
      <w:bookmarkStart w:id="268" w:name="_Toc184313274"/>
      <w:bookmarkEnd w:id="268"/>
      <w:bookmarkStart w:id="269" w:name="_Toc184308039"/>
      <w:bookmarkEnd w:id="269"/>
      <w:bookmarkStart w:id="270" w:name="_Toc184310331"/>
      <w:bookmarkEnd w:id="270"/>
      <w:bookmarkStart w:id="271" w:name="_Toc184313297"/>
      <w:bookmarkEnd w:id="271"/>
      <w:bookmarkStart w:id="272" w:name="_Toc184314411"/>
      <w:bookmarkEnd w:id="272"/>
      <w:bookmarkStart w:id="273" w:name="_Toc184313251"/>
      <w:bookmarkEnd w:id="273"/>
      <w:bookmarkStart w:id="274" w:name="_Toc184312090"/>
      <w:bookmarkEnd w:id="274"/>
      <w:bookmarkStart w:id="275" w:name="_Toc184314421"/>
      <w:bookmarkEnd w:id="275"/>
      <w:bookmarkStart w:id="276" w:name="_Toc184310279"/>
      <w:bookmarkEnd w:id="276"/>
      <w:bookmarkStart w:id="277" w:name="_Toc184312120"/>
      <w:bookmarkEnd w:id="277"/>
      <w:bookmarkStart w:id="278" w:name="_Toc184308061"/>
      <w:bookmarkEnd w:id="278"/>
      <w:bookmarkStart w:id="279" w:name="_Toc184310316"/>
      <w:bookmarkEnd w:id="279"/>
      <w:bookmarkStart w:id="280" w:name="_Toc184312086"/>
      <w:bookmarkEnd w:id="280"/>
      <w:bookmarkStart w:id="281" w:name="_Toc184313304"/>
      <w:bookmarkEnd w:id="281"/>
      <w:bookmarkStart w:id="282" w:name="_Toc184314460"/>
      <w:bookmarkEnd w:id="282"/>
      <w:bookmarkStart w:id="283" w:name="_Toc184308072"/>
      <w:bookmarkEnd w:id="283"/>
      <w:bookmarkStart w:id="284" w:name="_Toc184313240"/>
      <w:bookmarkEnd w:id="284"/>
      <w:bookmarkStart w:id="285" w:name="_Toc184313285"/>
      <w:bookmarkEnd w:id="285"/>
      <w:bookmarkStart w:id="286" w:name="_Toc184312070"/>
      <w:bookmarkEnd w:id="286"/>
      <w:bookmarkStart w:id="287" w:name="_Toc184312099"/>
      <w:bookmarkEnd w:id="287"/>
      <w:bookmarkStart w:id="288" w:name="_Toc184308099"/>
      <w:bookmarkEnd w:id="288"/>
      <w:bookmarkStart w:id="289" w:name="_Toc184312122"/>
      <w:bookmarkEnd w:id="289"/>
      <w:bookmarkStart w:id="290" w:name="_Toc184314472"/>
      <w:bookmarkEnd w:id="290"/>
      <w:bookmarkStart w:id="291" w:name="_Toc184310313"/>
      <w:bookmarkEnd w:id="291"/>
      <w:bookmarkStart w:id="292" w:name="_Toc184312074"/>
      <w:bookmarkEnd w:id="292"/>
      <w:bookmarkStart w:id="293" w:name="_Toc184310290"/>
      <w:bookmarkEnd w:id="293"/>
      <w:bookmarkStart w:id="294" w:name="_Toc184313291"/>
      <w:bookmarkEnd w:id="294"/>
      <w:bookmarkStart w:id="295" w:name="_Toc184314441"/>
      <w:bookmarkEnd w:id="295"/>
      <w:bookmarkStart w:id="296" w:name="_Toc184313248"/>
      <w:bookmarkEnd w:id="296"/>
      <w:bookmarkStart w:id="297" w:name="_Toc184308043"/>
      <w:bookmarkEnd w:id="297"/>
      <w:bookmarkStart w:id="298" w:name="_Toc184310297"/>
      <w:bookmarkEnd w:id="298"/>
      <w:bookmarkStart w:id="299" w:name="_Toc184314447"/>
      <w:bookmarkEnd w:id="299"/>
      <w:bookmarkStart w:id="300" w:name="_Toc184313238"/>
      <w:bookmarkEnd w:id="300"/>
      <w:bookmarkStart w:id="301" w:name="_Toc184308066"/>
      <w:bookmarkEnd w:id="301"/>
      <w:bookmarkStart w:id="302" w:name="_Toc184310308"/>
      <w:bookmarkEnd w:id="302"/>
      <w:bookmarkStart w:id="303" w:name="_Toc184314442"/>
      <w:bookmarkEnd w:id="303"/>
      <w:bookmarkStart w:id="304" w:name="_Toc184308050"/>
      <w:bookmarkEnd w:id="304"/>
      <w:bookmarkStart w:id="305" w:name="_Toc184314475"/>
      <w:bookmarkEnd w:id="305"/>
      <w:bookmarkStart w:id="306" w:name="_Toc184312071"/>
      <w:bookmarkEnd w:id="306"/>
      <w:bookmarkStart w:id="307" w:name="_Toc184314437"/>
      <w:bookmarkEnd w:id="307"/>
      <w:bookmarkStart w:id="308" w:name="_Toc184308073"/>
      <w:bookmarkEnd w:id="308"/>
      <w:bookmarkStart w:id="309" w:name="_Toc184313239"/>
      <w:bookmarkEnd w:id="309"/>
      <w:bookmarkStart w:id="310" w:name="_Toc184312096"/>
      <w:bookmarkEnd w:id="310"/>
      <w:bookmarkStart w:id="311" w:name="_Toc184310340"/>
      <w:bookmarkEnd w:id="311"/>
      <w:bookmarkStart w:id="312" w:name="_Toc184312079"/>
      <w:bookmarkEnd w:id="312"/>
      <w:bookmarkStart w:id="313" w:name="_Toc184310275"/>
      <w:bookmarkEnd w:id="313"/>
      <w:bookmarkStart w:id="314" w:name="_Toc184308090"/>
      <w:bookmarkEnd w:id="314"/>
      <w:bookmarkStart w:id="315" w:name="_Toc184310311"/>
      <w:bookmarkEnd w:id="315"/>
      <w:bookmarkStart w:id="316" w:name="_Toc184308063"/>
      <w:bookmarkEnd w:id="316"/>
      <w:bookmarkStart w:id="317" w:name="_Toc184308100"/>
      <w:bookmarkEnd w:id="317"/>
      <w:bookmarkStart w:id="318" w:name="_Toc184313283"/>
      <w:bookmarkEnd w:id="318"/>
      <w:bookmarkStart w:id="319" w:name="_Toc184308087"/>
      <w:bookmarkEnd w:id="319"/>
      <w:bookmarkStart w:id="320" w:name="_Toc184310329"/>
      <w:bookmarkEnd w:id="320"/>
      <w:bookmarkStart w:id="321" w:name="_Toc184314474"/>
      <w:bookmarkEnd w:id="321"/>
      <w:bookmarkStart w:id="322" w:name="_Toc184308069"/>
      <w:bookmarkEnd w:id="322"/>
      <w:bookmarkStart w:id="323" w:name="_Toc184313273"/>
      <w:bookmarkEnd w:id="323"/>
      <w:bookmarkStart w:id="324" w:name="_Toc184312126"/>
      <w:bookmarkEnd w:id="324"/>
      <w:bookmarkStart w:id="325" w:name="_Toc184313310"/>
      <w:bookmarkEnd w:id="325"/>
      <w:bookmarkStart w:id="326" w:name="_Toc184313293"/>
      <w:bookmarkEnd w:id="326"/>
      <w:bookmarkStart w:id="327" w:name="_Toc184312072"/>
      <w:bookmarkEnd w:id="327"/>
      <w:bookmarkStart w:id="328" w:name="_Toc184314457"/>
      <w:bookmarkEnd w:id="328"/>
      <w:bookmarkStart w:id="329" w:name="_Toc184314417"/>
      <w:bookmarkEnd w:id="329"/>
      <w:bookmarkStart w:id="330" w:name="_Toc184308085"/>
      <w:bookmarkEnd w:id="330"/>
      <w:bookmarkStart w:id="331" w:name="_Toc184312138"/>
      <w:bookmarkEnd w:id="331"/>
      <w:bookmarkStart w:id="332" w:name="_Toc184313245"/>
      <w:bookmarkEnd w:id="332"/>
      <w:bookmarkStart w:id="333" w:name="_Toc184312101"/>
      <w:bookmarkEnd w:id="333"/>
      <w:bookmarkStart w:id="334" w:name="_Toc184314427"/>
      <w:bookmarkEnd w:id="334"/>
      <w:bookmarkStart w:id="335" w:name="_Toc184308038"/>
      <w:bookmarkEnd w:id="335"/>
      <w:bookmarkStart w:id="336" w:name="_Toc184314453"/>
      <w:bookmarkEnd w:id="336"/>
      <w:bookmarkStart w:id="337" w:name="_Toc184308095"/>
      <w:bookmarkEnd w:id="337"/>
      <w:bookmarkStart w:id="338" w:name="_Toc184313252"/>
      <w:bookmarkEnd w:id="338"/>
      <w:bookmarkStart w:id="339" w:name="_Toc184312104"/>
      <w:bookmarkEnd w:id="339"/>
      <w:bookmarkStart w:id="340" w:name="_Toc184312130"/>
      <w:bookmarkEnd w:id="340"/>
      <w:bookmarkStart w:id="341" w:name="_Toc184314471"/>
      <w:bookmarkEnd w:id="341"/>
      <w:bookmarkStart w:id="342" w:name="_Toc184310299"/>
      <w:bookmarkEnd w:id="342"/>
      <w:bookmarkStart w:id="343" w:name="_Toc184312136"/>
      <w:bookmarkEnd w:id="343"/>
      <w:bookmarkStart w:id="344" w:name="_Toc184313282"/>
      <w:bookmarkEnd w:id="344"/>
      <w:bookmarkStart w:id="345" w:name="_Toc184312080"/>
      <w:bookmarkEnd w:id="345"/>
      <w:bookmarkStart w:id="346" w:name="_Toc184312091"/>
      <w:bookmarkEnd w:id="346"/>
      <w:bookmarkStart w:id="347" w:name="_Toc184308108"/>
      <w:bookmarkEnd w:id="347"/>
      <w:bookmarkStart w:id="348" w:name="_Toc184313255"/>
      <w:bookmarkEnd w:id="348"/>
      <w:bookmarkStart w:id="349" w:name="_Toc184310305"/>
      <w:bookmarkEnd w:id="349"/>
      <w:bookmarkStart w:id="350" w:name="_Toc184312068"/>
      <w:bookmarkEnd w:id="350"/>
      <w:bookmarkStart w:id="351" w:name="_Toc184310276"/>
      <w:bookmarkEnd w:id="351"/>
      <w:bookmarkStart w:id="352" w:name="_Toc184310327"/>
      <w:bookmarkEnd w:id="352"/>
      <w:bookmarkStart w:id="353" w:name="_Toc184312075"/>
      <w:bookmarkEnd w:id="353"/>
      <w:bookmarkStart w:id="354" w:name="_Toc184314478"/>
      <w:bookmarkEnd w:id="354"/>
      <w:bookmarkStart w:id="355" w:name="_Toc184308053"/>
      <w:bookmarkEnd w:id="355"/>
      <w:bookmarkStart w:id="356" w:name="_Toc184313270"/>
      <w:bookmarkEnd w:id="356"/>
      <w:bookmarkStart w:id="357" w:name="_Toc184313278"/>
      <w:bookmarkEnd w:id="357"/>
      <w:bookmarkStart w:id="358" w:name="_Toc184312139"/>
      <w:bookmarkEnd w:id="358"/>
      <w:bookmarkStart w:id="359" w:name="_Toc184312129"/>
      <w:bookmarkEnd w:id="359"/>
      <w:bookmarkStart w:id="360" w:name="_Toc184314415"/>
      <w:bookmarkEnd w:id="360"/>
      <w:bookmarkStart w:id="361" w:name="_Toc184313302"/>
      <w:bookmarkEnd w:id="361"/>
      <w:bookmarkStart w:id="362" w:name="_Toc184314435"/>
      <w:bookmarkEnd w:id="362"/>
      <w:bookmarkStart w:id="363" w:name="_Toc184312116"/>
      <w:bookmarkEnd w:id="363"/>
      <w:bookmarkStart w:id="364" w:name="_Toc184313247"/>
      <w:bookmarkEnd w:id="364"/>
      <w:bookmarkStart w:id="365" w:name="_Toc184308106"/>
      <w:bookmarkEnd w:id="365"/>
      <w:bookmarkStart w:id="366" w:name="_Toc184313250"/>
      <w:bookmarkEnd w:id="366"/>
      <w:bookmarkStart w:id="367" w:name="_Toc184308096"/>
      <w:bookmarkEnd w:id="367"/>
      <w:bookmarkStart w:id="368" w:name="_Toc184308078"/>
      <w:bookmarkEnd w:id="368"/>
      <w:bookmarkStart w:id="369" w:name="_Toc184310335"/>
      <w:bookmarkEnd w:id="369"/>
      <w:bookmarkStart w:id="370" w:name="_Toc184308077"/>
      <w:bookmarkEnd w:id="370"/>
      <w:bookmarkStart w:id="371" w:name="_Toc184308103"/>
      <w:bookmarkEnd w:id="371"/>
      <w:bookmarkStart w:id="372" w:name="_Toc184312110"/>
      <w:bookmarkEnd w:id="372"/>
      <w:bookmarkStart w:id="373" w:name="_Toc184308062"/>
      <w:bookmarkEnd w:id="373"/>
      <w:bookmarkStart w:id="374" w:name="_Toc184314434"/>
      <w:bookmarkEnd w:id="374"/>
      <w:bookmarkStart w:id="375" w:name="_Toc184312082"/>
      <w:bookmarkEnd w:id="375"/>
      <w:bookmarkStart w:id="376" w:name="_Toc184308044"/>
      <w:bookmarkEnd w:id="376"/>
      <w:bookmarkStart w:id="377" w:name="_Toc184314456"/>
      <w:bookmarkEnd w:id="377"/>
      <w:bookmarkStart w:id="378" w:name="_Toc184308040"/>
      <w:bookmarkEnd w:id="378"/>
      <w:bookmarkStart w:id="379" w:name="_Toc184312132"/>
      <w:bookmarkEnd w:id="379"/>
      <w:bookmarkStart w:id="380" w:name="_Toc184313264"/>
      <w:bookmarkEnd w:id="380"/>
      <w:bookmarkStart w:id="381" w:name="_Toc184308060"/>
      <w:bookmarkEnd w:id="381"/>
      <w:bookmarkStart w:id="382" w:name="_Toc184310323"/>
      <w:bookmarkEnd w:id="382"/>
      <w:bookmarkStart w:id="383" w:name="_Toc184310318"/>
      <w:bookmarkEnd w:id="383"/>
      <w:bookmarkStart w:id="384" w:name="_Toc184310284"/>
      <w:bookmarkEnd w:id="384"/>
      <w:bookmarkStart w:id="385" w:name="_Toc184314473"/>
      <w:bookmarkEnd w:id="385"/>
      <w:bookmarkStart w:id="386" w:name="_Toc184312112"/>
      <w:bookmarkEnd w:id="386"/>
      <w:bookmarkStart w:id="387" w:name="_Toc184314468"/>
      <w:bookmarkEnd w:id="387"/>
      <w:bookmarkStart w:id="388" w:name="_Toc184310334"/>
      <w:bookmarkEnd w:id="388"/>
      <w:bookmarkStart w:id="389" w:name="_Toc184313286"/>
      <w:bookmarkEnd w:id="389"/>
      <w:bookmarkStart w:id="390" w:name="_Toc184312131"/>
      <w:bookmarkEnd w:id="390"/>
      <w:bookmarkStart w:id="391" w:name="_Toc184310328"/>
      <w:bookmarkEnd w:id="391"/>
      <w:bookmarkStart w:id="392" w:name="_Toc184313309"/>
      <w:bookmarkEnd w:id="392"/>
      <w:bookmarkStart w:id="393" w:name="_Toc184313262"/>
      <w:bookmarkEnd w:id="393"/>
      <w:bookmarkStart w:id="394" w:name="_Toc184310310"/>
      <w:bookmarkEnd w:id="394"/>
      <w:bookmarkStart w:id="395" w:name="_Toc184312103"/>
      <w:bookmarkEnd w:id="395"/>
      <w:bookmarkStart w:id="396" w:name="_Toc184314410"/>
      <w:bookmarkEnd w:id="396"/>
      <w:bookmarkStart w:id="397" w:name="_Toc184310324"/>
      <w:bookmarkEnd w:id="397"/>
      <w:bookmarkStart w:id="398" w:name="_Toc184314449"/>
      <w:bookmarkEnd w:id="398"/>
      <w:bookmarkStart w:id="399" w:name="_Toc184310322"/>
      <w:bookmarkEnd w:id="399"/>
      <w:bookmarkStart w:id="400" w:name="_Toc184313244"/>
      <w:bookmarkEnd w:id="400"/>
      <w:bookmarkStart w:id="401" w:name="_Toc184310303"/>
      <w:bookmarkEnd w:id="401"/>
      <w:bookmarkStart w:id="402" w:name="_Toc184312135"/>
      <w:bookmarkEnd w:id="402"/>
      <w:bookmarkStart w:id="403" w:name="_Toc184310293"/>
      <w:bookmarkEnd w:id="403"/>
      <w:bookmarkStart w:id="404" w:name="_Toc184314466"/>
      <w:bookmarkEnd w:id="404"/>
      <w:bookmarkStart w:id="405" w:name="_Toc184310319"/>
      <w:bookmarkEnd w:id="405"/>
      <w:bookmarkStart w:id="406" w:name="_Toc184308049"/>
      <w:bookmarkEnd w:id="406"/>
      <w:bookmarkStart w:id="407" w:name="_Toc184308084"/>
      <w:bookmarkEnd w:id="407"/>
      <w:bookmarkStart w:id="408" w:name="_Toc184314463"/>
      <w:bookmarkEnd w:id="408"/>
      <w:bookmarkStart w:id="409" w:name="_Toc184312084"/>
      <w:bookmarkEnd w:id="409"/>
      <w:bookmarkStart w:id="410" w:name="_Toc184310309"/>
      <w:bookmarkEnd w:id="410"/>
      <w:bookmarkStart w:id="411" w:name="_Toc184310280"/>
      <w:bookmarkEnd w:id="411"/>
      <w:bookmarkStart w:id="412" w:name="_Toc184308102"/>
      <w:bookmarkEnd w:id="412"/>
      <w:bookmarkStart w:id="413" w:name="_Toc184308107"/>
      <w:bookmarkEnd w:id="413"/>
      <w:bookmarkStart w:id="414" w:name="_Toc184313260"/>
      <w:bookmarkEnd w:id="414"/>
      <w:bookmarkStart w:id="415" w:name="_Toc184313261"/>
      <w:bookmarkEnd w:id="415"/>
      <w:bookmarkStart w:id="416" w:name="_Toc184308088"/>
      <w:bookmarkEnd w:id="416"/>
      <w:bookmarkStart w:id="417" w:name="_Toc184310320"/>
      <w:bookmarkEnd w:id="417"/>
      <w:bookmarkStart w:id="418" w:name="_Toc184312092"/>
      <w:bookmarkEnd w:id="418"/>
      <w:bookmarkStart w:id="419" w:name="_Toc184314470"/>
      <w:bookmarkEnd w:id="419"/>
      <w:bookmarkStart w:id="420" w:name="_Toc184314464"/>
      <w:bookmarkEnd w:id="420"/>
      <w:bookmarkStart w:id="421" w:name="_Toc184310291"/>
      <w:bookmarkEnd w:id="421"/>
      <w:bookmarkStart w:id="422" w:name="_Toc184313300"/>
      <w:bookmarkEnd w:id="422"/>
      <w:bookmarkStart w:id="423" w:name="_Toc184313242"/>
      <w:bookmarkEnd w:id="423"/>
      <w:bookmarkStart w:id="424" w:name="_Toc184312097"/>
      <w:bookmarkEnd w:id="424"/>
      <w:bookmarkStart w:id="425" w:name="_Toc184308065"/>
      <w:bookmarkEnd w:id="425"/>
      <w:bookmarkStart w:id="426" w:name="_Toc184314482"/>
      <w:bookmarkEnd w:id="426"/>
      <w:bookmarkStart w:id="427" w:name="_Toc184313258"/>
      <w:bookmarkEnd w:id="427"/>
      <w:bookmarkStart w:id="428" w:name="_Toc184310341"/>
      <w:bookmarkEnd w:id="428"/>
      <w:bookmarkStart w:id="429" w:name="_Toc184314419"/>
      <w:bookmarkEnd w:id="429"/>
      <w:bookmarkStart w:id="430" w:name="_Toc184312102"/>
      <w:bookmarkEnd w:id="430"/>
      <w:bookmarkStart w:id="431" w:name="_Toc184308047"/>
      <w:bookmarkEnd w:id="431"/>
      <w:r>
        <w:rPr>
          <w:rFonts w:hint="eastAsia" w:ascii="宋体" w:hAnsi="宋体" w:cs="宋体"/>
          <w:b/>
          <w:sz w:val="36"/>
          <w:szCs w:val="36"/>
        </w:rPr>
        <w:t>评标办法</w:t>
      </w:r>
    </w:p>
    <w:p w14:paraId="7096D6D4">
      <w:pPr>
        <w:snapToGrid w:val="0"/>
        <w:spacing w:line="360" w:lineRule="auto"/>
        <w:jc w:val="both"/>
        <w:rPr>
          <w:rFonts w:ascii="宋体" w:hAnsi="宋体" w:cs="宋体"/>
          <w:b/>
          <w:sz w:val="21"/>
          <w:szCs w:val="21"/>
        </w:rPr>
      </w:pPr>
      <w:r>
        <w:rPr>
          <w:rFonts w:hint="eastAsia" w:ascii="宋体" w:hAnsi="宋体" w:cs="宋体"/>
          <w:b/>
          <w:sz w:val="21"/>
          <w:szCs w:val="21"/>
        </w:rPr>
        <w:t>一、评审方法</w:t>
      </w:r>
    </w:p>
    <w:p w14:paraId="46C232DD">
      <w:pPr>
        <w:adjustRightInd/>
        <w:spacing w:line="360" w:lineRule="auto"/>
        <w:ind w:firstLine="413" w:firstLineChars="196"/>
        <w:rPr>
          <w:rFonts w:ascii="宋体" w:hAnsi="宋体" w:cs="宋体"/>
          <w:kern w:val="0"/>
          <w:sz w:val="21"/>
          <w:szCs w:val="21"/>
        </w:rPr>
      </w:pPr>
      <w:r>
        <w:rPr>
          <w:rFonts w:hint="eastAsia" w:ascii="宋体" w:hAnsi="宋体" w:cs="宋体"/>
          <w:b/>
          <w:kern w:val="0"/>
          <w:sz w:val="21"/>
          <w:szCs w:val="21"/>
        </w:rPr>
        <w:t>1.本项目采用综合评分法。</w:t>
      </w:r>
      <w:r>
        <w:rPr>
          <w:rFonts w:hint="eastAsia" w:ascii="宋体" w:hAnsi="宋体" w:cs="宋体"/>
          <w:kern w:val="0"/>
          <w:sz w:val="21"/>
          <w:szCs w:val="21"/>
        </w:rPr>
        <w:t>综合评分法，是指响应文件满足磋商文件全部实质性要求且按评审因素的量化指标评审得分最高的供应商为成交候选供应商的评审方法。</w:t>
      </w:r>
    </w:p>
    <w:p w14:paraId="11310389">
      <w:pPr>
        <w:snapToGrid w:val="0"/>
        <w:spacing w:line="360" w:lineRule="auto"/>
        <w:jc w:val="both"/>
        <w:rPr>
          <w:rFonts w:ascii="宋体" w:hAnsi="宋体" w:cs="宋体"/>
          <w:b/>
          <w:sz w:val="21"/>
          <w:szCs w:val="21"/>
        </w:rPr>
      </w:pPr>
      <w:r>
        <w:rPr>
          <w:rFonts w:hint="eastAsia" w:ascii="宋体" w:hAnsi="宋体" w:cs="宋体"/>
          <w:b/>
          <w:sz w:val="21"/>
          <w:szCs w:val="21"/>
        </w:rPr>
        <w:t>二、评审标准</w:t>
      </w:r>
    </w:p>
    <w:p w14:paraId="51FD7D71">
      <w:pPr>
        <w:spacing w:line="360" w:lineRule="auto"/>
        <w:ind w:firstLine="413" w:firstLineChars="196"/>
        <w:rPr>
          <w:rFonts w:ascii="宋体" w:hAnsi="宋体" w:cs="宋体"/>
          <w:b/>
          <w:sz w:val="21"/>
          <w:szCs w:val="21"/>
        </w:rPr>
      </w:pPr>
      <w:r>
        <w:rPr>
          <w:rFonts w:hint="eastAsia" w:ascii="宋体" w:hAnsi="宋体" w:cs="宋体"/>
          <w:b/>
          <w:sz w:val="21"/>
          <w:szCs w:val="21"/>
        </w:rPr>
        <w:t>2.</w:t>
      </w:r>
      <w:r>
        <w:rPr>
          <w:rFonts w:hint="eastAsia" w:ascii="宋体" w:hAnsi="宋体" w:cs="宋体"/>
          <w:sz w:val="21"/>
          <w:szCs w:val="21"/>
        </w:rPr>
        <w:t xml:space="preserve"> </w:t>
      </w:r>
      <w:r>
        <w:rPr>
          <w:rFonts w:hint="eastAsia" w:ascii="宋体" w:hAnsi="宋体" w:cs="宋体"/>
          <w:b/>
          <w:sz w:val="21"/>
          <w:szCs w:val="21"/>
        </w:rPr>
        <w:t>评审标准：</w:t>
      </w:r>
      <w:r>
        <w:rPr>
          <w:rFonts w:hint="eastAsia" w:ascii="宋体" w:hAnsi="宋体" w:cs="宋体"/>
          <w:kern w:val="0"/>
          <w:sz w:val="21"/>
          <w:szCs w:val="21"/>
        </w:rPr>
        <w:t>见评审办法前附表。</w:t>
      </w:r>
    </w:p>
    <w:p w14:paraId="4DA14FBA">
      <w:pPr>
        <w:snapToGrid w:val="0"/>
        <w:spacing w:line="360" w:lineRule="auto"/>
        <w:jc w:val="both"/>
        <w:rPr>
          <w:rFonts w:ascii="宋体" w:hAnsi="宋体" w:cs="宋体"/>
          <w:b/>
          <w:sz w:val="21"/>
          <w:szCs w:val="21"/>
        </w:rPr>
      </w:pPr>
      <w:r>
        <w:rPr>
          <w:rFonts w:hint="eastAsia" w:ascii="宋体" w:hAnsi="宋体" w:cs="宋体"/>
          <w:b/>
          <w:sz w:val="21"/>
          <w:szCs w:val="21"/>
        </w:rPr>
        <w:t>三、评审程序</w:t>
      </w:r>
    </w:p>
    <w:p w14:paraId="20AABE75">
      <w:pPr>
        <w:spacing w:line="360" w:lineRule="auto"/>
        <w:ind w:firstLine="413" w:firstLineChars="196"/>
        <w:rPr>
          <w:rFonts w:ascii="宋体" w:hAnsi="宋体" w:cs="宋体"/>
          <w:kern w:val="0"/>
          <w:sz w:val="21"/>
          <w:szCs w:val="21"/>
        </w:rPr>
      </w:pPr>
      <w:r>
        <w:rPr>
          <w:rFonts w:hint="eastAsia" w:ascii="宋体" w:hAnsi="宋体" w:cs="宋体"/>
          <w:b/>
          <w:kern w:val="0"/>
          <w:sz w:val="21"/>
          <w:szCs w:val="21"/>
        </w:rPr>
        <w:t>3.1符合性审查。</w:t>
      </w:r>
      <w:r>
        <w:rPr>
          <w:rFonts w:hint="eastAsia" w:ascii="宋体" w:hAnsi="宋体" w:cs="宋体"/>
          <w:kern w:val="0"/>
          <w:sz w:val="21"/>
          <w:szCs w:val="21"/>
        </w:rPr>
        <w:t>磋商小组应当对符合资格的供应商的响应文件进行符合性审查，以确定其是否满足采购文件的实质性要求。不满足采购文件的实质性要求的，响应文件无效。</w:t>
      </w:r>
    </w:p>
    <w:p w14:paraId="019392B5">
      <w:pPr>
        <w:spacing w:line="360" w:lineRule="auto"/>
        <w:ind w:firstLine="413" w:firstLineChars="196"/>
        <w:rPr>
          <w:rFonts w:ascii="宋体" w:hAnsi="宋体" w:cs="宋体"/>
          <w:sz w:val="21"/>
          <w:szCs w:val="21"/>
        </w:rPr>
      </w:pPr>
      <w:r>
        <w:rPr>
          <w:rFonts w:hint="eastAsia" w:ascii="宋体" w:hAnsi="宋体" w:cs="宋体"/>
          <w:b/>
          <w:kern w:val="0"/>
          <w:sz w:val="21"/>
          <w:szCs w:val="21"/>
        </w:rPr>
        <w:t>3.2 磋商。</w:t>
      </w:r>
      <w:r>
        <w:rPr>
          <w:rFonts w:hint="eastAsia" w:ascii="宋体" w:hAnsi="宋体" w:cs="宋体"/>
          <w:sz w:val="21"/>
          <w:szCs w:val="21"/>
        </w:rPr>
        <w:t>磋商小组将对确定为实质性响应本采购文件的响应文件进行详细评价和比较，主要就资信、服务方案内容、服务承诺等磋商小组认为与本次采购有关的因素与</w:t>
      </w:r>
      <w:r>
        <w:rPr>
          <w:rFonts w:hint="eastAsia" w:ascii="宋体" w:hAnsi="宋体" w:cs="宋体"/>
          <w:kern w:val="0"/>
          <w:sz w:val="21"/>
          <w:szCs w:val="21"/>
        </w:rPr>
        <w:t>符合性审查合格的</w:t>
      </w:r>
      <w:r>
        <w:rPr>
          <w:rFonts w:hint="eastAsia" w:ascii="宋体" w:hAnsi="宋体" w:cs="宋体"/>
          <w:sz w:val="21"/>
          <w:szCs w:val="21"/>
        </w:rPr>
        <w:t>供应商逐一进行磋商。</w:t>
      </w:r>
    </w:p>
    <w:p w14:paraId="6147117E">
      <w:pPr>
        <w:spacing w:line="360" w:lineRule="auto"/>
        <w:ind w:firstLine="411" w:firstLineChars="196"/>
        <w:rPr>
          <w:rFonts w:ascii="宋体" w:hAnsi="宋体" w:cs="宋体"/>
          <w:b/>
          <w:sz w:val="21"/>
          <w:szCs w:val="21"/>
        </w:rPr>
      </w:pPr>
      <w:r>
        <w:rPr>
          <w:rFonts w:hint="eastAsia" w:ascii="宋体" w:hAnsi="宋体" w:cs="宋体"/>
          <w:bCs/>
          <w:sz w:val="21"/>
          <w:szCs w:val="21"/>
        </w:rPr>
        <w:t xml:space="preserve">3.2.1 </w:t>
      </w:r>
      <w:r>
        <w:rPr>
          <w:rFonts w:hint="eastAsia" w:ascii="宋体" w:hAnsi="宋体" w:cs="宋体"/>
          <w:sz w:val="21"/>
          <w:szCs w:val="21"/>
        </w:rPr>
        <w:t>供应商逐家回答磋商小组的提问；</w:t>
      </w:r>
      <w:r>
        <w:rPr>
          <w:rFonts w:hint="eastAsia" w:ascii="宋体" w:hAnsi="宋体" w:cs="宋体"/>
          <w:b/>
          <w:sz w:val="21"/>
          <w:szCs w:val="21"/>
        </w:rPr>
        <w:t>逐家磋商一次为一个轮次，磋商轮次根据实际情况进行。</w:t>
      </w:r>
    </w:p>
    <w:p w14:paraId="6005ED96">
      <w:pPr>
        <w:spacing w:line="360" w:lineRule="auto"/>
        <w:ind w:firstLine="411" w:firstLineChars="196"/>
        <w:rPr>
          <w:rFonts w:ascii="宋体" w:hAnsi="宋体" w:cs="宋体"/>
          <w:sz w:val="21"/>
          <w:szCs w:val="21"/>
        </w:rPr>
      </w:pPr>
      <w:r>
        <w:rPr>
          <w:rFonts w:hint="eastAsia" w:ascii="宋体" w:hAnsi="宋体" w:cs="宋体"/>
          <w:bCs/>
          <w:sz w:val="21"/>
          <w:szCs w:val="21"/>
        </w:rPr>
        <w:t xml:space="preserve">3.2.2 </w:t>
      </w:r>
      <w:r>
        <w:rPr>
          <w:rFonts w:hint="eastAsia" w:ascii="宋体" w:hAnsi="宋体" w:cs="宋体"/>
          <w:sz w:val="21"/>
          <w:szCs w:val="21"/>
        </w:rPr>
        <w:t>供应商应按磋商小组通知的时间在线或以邮件回复做出承诺或回复，承诺或回复的内容须由供应商法定代表人或授权代表签署，并作为响应文件的补充部分。</w:t>
      </w:r>
    </w:p>
    <w:p w14:paraId="3B52E086">
      <w:pPr>
        <w:spacing w:line="360" w:lineRule="auto"/>
        <w:ind w:firstLine="411" w:firstLineChars="196"/>
        <w:rPr>
          <w:rFonts w:ascii="宋体" w:hAnsi="宋体" w:cs="宋体"/>
          <w:bCs/>
          <w:kern w:val="0"/>
          <w:sz w:val="21"/>
          <w:szCs w:val="21"/>
        </w:rPr>
      </w:pPr>
      <w:r>
        <w:rPr>
          <w:rFonts w:hint="eastAsia" w:ascii="宋体" w:hAnsi="宋体" w:cs="宋体"/>
          <w:sz w:val="21"/>
          <w:szCs w:val="21"/>
        </w:rPr>
        <w:t xml:space="preserve">3.2.3 </w:t>
      </w:r>
      <w:r>
        <w:rPr>
          <w:rFonts w:hint="eastAsia" w:ascii="宋体" w:hAnsi="宋体" w:cs="宋体"/>
          <w:b/>
          <w:bCs/>
          <w:sz w:val="21"/>
          <w:szCs w:val="21"/>
        </w:rPr>
        <w:t>在磋商过程中，磋商小组可以根据磋商文件和磋商情况实质性变动采购需求中的“※”号技术、服务要求以及合同草案中的“※”号条款，但不得变动磋商文件中的其他内容。</w:t>
      </w:r>
      <w:r>
        <w:rPr>
          <w:rFonts w:hint="eastAsia" w:ascii="宋体" w:hAnsi="宋体" w:cs="宋体"/>
          <w:sz w:val="21"/>
          <w:szCs w:val="21"/>
        </w:rPr>
        <w:t>实质性变动的内容，须经采购人代表确认。磋商文件有实质性变动的，磋商小组将以书面形式通知所有</w:t>
      </w:r>
      <w:r>
        <w:rPr>
          <w:rFonts w:hint="eastAsia" w:ascii="宋体" w:hAnsi="宋体" w:cs="宋体"/>
          <w:kern w:val="0"/>
          <w:sz w:val="21"/>
          <w:szCs w:val="21"/>
        </w:rPr>
        <w:t>符合性审查合格的</w:t>
      </w:r>
      <w:r>
        <w:rPr>
          <w:rFonts w:hint="eastAsia" w:ascii="宋体" w:hAnsi="宋体" w:cs="宋体"/>
          <w:sz w:val="21"/>
          <w:szCs w:val="21"/>
        </w:rPr>
        <w:t xml:space="preserve">供应商。 </w:t>
      </w:r>
    </w:p>
    <w:p w14:paraId="2226D1E3">
      <w:pPr>
        <w:spacing w:line="360" w:lineRule="auto"/>
        <w:ind w:firstLine="413" w:firstLineChars="196"/>
        <w:rPr>
          <w:rFonts w:ascii="宋体" w:hAnsi="宋体" w:cs="宋体"/>
          <w:b/>
          <w:bCs/>
          <w:kern w:val="0"/>
          <w:sz w:val="21"/>
          <w:szCs w:val="21"/>
        </w:rPr>
      </w:pPr>
      <w:r>
        <w:rPr>
          <w:rFonts w:hint="eastAsia" w:ascii="宋体" w:hAnsi="宋体" w:cs="宋体"/>
          <w:b/>
          <w:bCs/>
          <w:kern w:val="0"/>
          <w:sz w:val="21"/>
          <w:szCs w:val="21"/>
        </w:rPr>
        <w:t>3.3最后报价</w:t>
      </w:r>
    </w:p>
    <w:p w14:paraId="7C841858">
      <w:pPr>
        <w:spacing w:line="360" w:lineRule="auto"/>
        <w:ind w:firstLine="411" w:firstLineChars="196"/>
        <w:rPr>
          <w:rFonts w:ascii="宋体" w:hAnsi="宋体" w:cs="宋体"/>
          <w:kern w:val="0"/>
          <w:sz w:val="21"/>
          <w:szCs w:val="21"/>
        </w:rPr>
      </w:pPr>
      <w:r>
        <w:rPr>
          <w:rFonts w:hint="eastAsia" w:ascii="宋体" w:hAnsi="宋体" w:cs="宋体"/>
          <w:kern w:val="0"/>
          <w:sz w:val="21"/>
          <w:szCs w:val="21"/>
        </w:rPr>
        <w:t>3.3.1 磋商文件能够详细列明采购标的的技术、服务要求的，磋商结束后，磋商小组应当要求所有符合性审查合格的供应商在规定时间内提交最后报价，提交最后报价的供应商不得少于3家。</w:t>
      </w:r>
    </w:p>
    <w:p w14:paraId="075D145F">
      <w:pPr>
        <w:spacing w:line="360" w:lineRule="auto"/>
        <w:ind w:firstLine="411" w:firstLineChars="196"/>
        <w:rPr>
          <w:rFonts w:ascii="宋体" w:hAnsi="宋体" w:cs="宋体"/>
          <w:kern w:val="0"/>
          <w:sz w:val="21"/>
          <w:szCs w:val="21"/>
        </w:rPr>
      </w:pPr>
      <w:r>
        <w:rPr>
          <w:rFonts w:hint="eastAsia" w:ascii="宋体" w:hAnsi="宋体" w:cs="宋体"/>
          <w:kern w:val="0"/>
          <w:sz w:val="21"/>
          <w:szCs w:val="21"/>
        </w:rPr>
        <w:t>3.3.2 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w:t>
      </w:r>
    </w:p>
    <w:p w14:paraId="04DF9B25">
      <w:pPr>
        <w:spacing w:line="360" w:lineRule="auto"/>
        <w:ind w:firstLine="411" w:firstLineChars="196"/>
        <w:rPr>
          <w:rFonts w:ascii="宋体" w:hAnsi="宋体" w:cs="宋体"/>
          <w:kern w:val="0"/>
          <w:sz w:val="21"/>
          <w:szCs w:val="21"/>
        </w:rPr>
      </w:pPr>
      <w:r>
        <w:rPr>
          <w:rFonts w:hint="eastAsia" w:ascii="宋体" w:hAnsi="宋体" w:cs="宋体"/>
          <w:kern w:val="0"/>
          <w:sz w:val="21"/>
          <w:szCs w:val="21"/>
        </w:rPr>
        <w:t>3.3.3 已提交响应文件的供应商，在提交最后报价之前，可以根据磋商情况退出磋商</w:t>
      </w:r>
    </w:p>
    <w:p w14:paraId="78CD755E">
      <w:pPr>
        <w:spacing w:line="360" w:lineRule="auto"/>
        <w:ind w:firstLine="413" w:firstLineChars="196"/>
        <w:rPr>
          <w:rFonts w:ascii="宋体" w:hAnsi="宋体" w:cs="宋体"/>
          <w:kern w:val="0"/>
          <w:sz w:val="21"/>
          <w:szCs w:val="21"/>
        </w:rPr>
      </w:pPr>
      <w:r>
        <w:rPr>
          <w:rFonts w:hint="eastAsia" w:ascii="宋体" w:hAnsi="宋体" w:cs="宋体"/>
          <w:b/>
          <w:kern w:val="0"/>
          <w:sz w:val="21"/>
          <w:szCs w:val="21"/>
        </w:rPr>
        <w:t>3.4 综合评分。</w:t>
      </w:r>
      <w:r>
        <w:rPr>
          <w:rFonts w:hint="eastAsia" w:ascii="宋体" w:hAnsi="宋体" w:cs="宋体"/>
          <w:bCs/>
          <w:kern w:val="0"/>
          <w:sz w:val="21"/>
          <w:szCs w:val="21"/>
        </w:rPr>
        <w:t>经磋商确定最终采购需求和提交最后报价的供应商后，</w:t>
      </w:r>
      <w:r>
        <w:rPr>
          <w:rFonts w:hint="eastAsia" w:ascii="宋体" w:hAnsi="宋体" w:cs="宋体"/>
          <w:kern w:val="0"/>
          <w:sz w:val="21"/>
          <w:szCs w:val="21"/>
        </w:rPr>
        <w:t>磋商小组应当按照采购文件中规定的评审标准，对符合性审查合格的响应文件进行综合评分。磋商文件中没有规定的评审标准不得作为评审依据。</w:t>
      </w:r>
    </w:p>
    <w:p w14:paraId="1A9D9CAE">
      <w:pPr>
        <w:spacing w:line="360" w:lineRule="auto"/>
        <w:ind w:firstLine="413" w:firstLineChars="196"/>
        <w:rPr>
          <w:rFonts w:ascii="宋体" w:hAnsi="宋体" w:cs="宋体"/>
          <w:color w:val="000000" w:themeColor="text1"/>
          <w:kern w:val="0"/>
          <w:sz w:val="21"/>
          <w:szCs w:val="21"/>
          <w14:textFill>
            <w14:solidFill>
              <w14:schemeClr w14:val="tx1"/>
            </w14:solidFill>
          </w14:textFill>
        </w:rPr>
      </w:pPr>
      <w:r>
        <w:rPr>
          <w:rFonts w:hint="eastAsia" w:ascii="宋体" w:hAnsi="宋体" w:cs="宋体"/>
          <w:b/>
          <w:kern w:val="0"/>
          <w:sz w:val="21"/>
          <w:szCs w:val="21"/>
        </w:rPr>
        <w:t>3.5汇总商务技术得分。</w:t>
      </w:r>
      <w:r>
        <w:rPr>
          <w:rFonts w:hint="eastAsia" w:ascii="宋体" w:hAnsi="宋体" w:cs="宋体"/>
          <w:kern w:val="0"/>
          <w:sz w:val="21"/>
          <w:szCs w:val="21"/>
        </w:rPr>
        <w:t>磋商小组各成员应当独立对每个供应商的商务和技术文件进行评价，并汇总商务技术得分情况</w:t>
      </w:r>
      <w:r>
        <w:rPr>
          <w:rFonts w:hint="eastAsia" w:ascii="宋体" w:hAnsi="宋体" w:cs="宋体"/>
          <w:color w:val="000000" w:themeColor="text1"/>
          <w:kern w:val="0"/>
          <w:sz w:val="21"/>
          <w:szCs w:val="21"/>
          <w14:textFill>
            <w14:solidFill>
              <w14:schemeClr w14:val="tx1"/>
            </w14:solidFill>
          </w14:textFill>
        </w:rPr>
        <w:t>。磋商小组成员总评分偏离平均分30%以上的，以及个人主观打分偏离所有磋商小组成员主观打分平均值</w:t>
      </w:r>
      <w:r>
        <w:rPr>
          <w:rFonts w:ascii="宋体" w:hAnsi="宋体" w:cs="宋体"/>
          <w:color w:val="000000" w:themeColor="text1"/>
          <w:kern w:val="0"/>
          <w:sz w:val="21"/>
          <w:szCs w:val="21"/>
          <w14:textFill>
            <w14:solidFill>
              <w14:schemeClr w14:val="tx1"/>
            </w14:solidFill>
          </w14:textFill>
        </w:rPr>
        <w:t>30%以上的，由</w:t>
      </w:r>
      <w:r>
        <w:rPr>
          <w:rFonts w:hint="eastAsia" w:ascii="宋体" w:hAnsi="宋体" w:cs="宋体"/>
          <w:color w:val="000000" w:themeColor="text1"/>
          <w:kern w:val="0"/>
          <w:sz w:val="21"/>
          <w:szCs w:val="21"/>
          <w14:textFill>
            <w14:solidFill>
              <w14:schemeClr w14:val="tx1"/>
            </w14:solidFill>
          </w14:textFill>
        </w:rPr>
        <w:t>磋商小组</w:t>
      </w:r>
      <w:r>
        <w:rPr>
          <w:rFonts w:ascii="宋体" w:hAnsi="宋体" w:cs="宋体"/>
          <w:color w:val="000000" w:themeColor="text1"/>
          <w:kern w:val="0"/>
          <w:sz w:val="21"/>
          <w:szCs w:val="21"/>
          <w14:textFill>
            <w14:solidFill>
              <w14:schemeClr w14:val="tx1"/>
            </w14:solidFill>
          </w14:textFill>
        </w:rPr>
        <w:t>启动评分畸高、畸低行为认定程序</w:t>
      </w:r>
      <w:r>
        <w:rPr>
          <w:rFonts w:hint="eastAsia" w:ascii="宋体" w:hAnsi="宋体" w:cs="宋体"/>
          <w:color w:val="000000" w:themeColor="text1"/>
          <w:kern w:val="0"/>
          <w:sz w:val="21"/>
          <w:szCs w:val="21"/>
          <w14:textFill>
            <w14:solidFill>
              <w14:schemeClr w14:val="tx1"/>
            </w14:solidFill>
          </w14:textFill>
        </w:rPr>
        <w:t>，磋商小组组长应提醒相关评审人员进行复核或书面说明理由，评审人员拒绝说明的，由现场监督员据实记录；评审人员的评审、修改记录应保留原件，随项目其他资料一并存档。</w:t>
      </w:r>
    </w:p>
    <w:p w14:paraId="54E3555D">
      <w:pPr>
        <w:spacing w:line="360" w:lineRule="auto"/>
        <w:ind w:firstLine="413" w:firstLineChars="196"/>
        <w:rPr>
          <w:rFonts w:ascii="宋体" w:hAnsi="宋体" w:cs="宋体"/>
          <w:b/>
          <w:kern w:val="0"/>
          <w:sz w:val="21"/>
          <w:szCs w:val="21"/>
        </w:rPr>
      </w:pPr>
      <w:r>
        <w:rPr>
          <w:rFonts w:hint="eastAsia" w:ascii="宋体" w:hAnsi="宋体" w:cs="宋体"/>
          <w:b/>
          <w:kern w:val="0"/>
          <w:sz w:val="21"/>
          <w:szCs w:val="21"/>
        </w:rPr>
        <w:t>3.6报价评审。</w:t>
      </w:r>
    </w:p>
    <w:p w14:paraId="083876F9">
      <w:pPr>
        <w:pStyle w:val="396"/>
        <w:spacing w:before="0"/>
        <w:ind w:firstLine="445" w:firstLineChars="212"/>
        <w:rPr>
          <w:rFonts w:ascii="宋体" w:hAnsi="宋体" w:cs="宋体"/>
          <w:kern w:val="0"/>
          <w:sz w:val="21"/>
          <w:szCs w:val="21"/>
        </w:rPr>
      </w:pPr>
      <w:r>
        <w:rPr>
          <w:rFonts w:hint="eastAsia" w:ascii="宋体" w:hAnsi="宋体" w:cs="宋体"/>
          <w:kern w:val="0"/>
          <w:sz w:val="21"/>
          <w:szCs w:val="21"/>
        </w:rPr>
        <w:t>3.6.1响应文件报价出现前后不一致的，按照下列规定修正：</w:t>
      </w:r>
    </w:p>
    <w:p w14:paraId="29AB3DE5">
      <w:pPr>
        <w:pStyle w:val="396"/>
        <w:spacing w:before="0"/>
        <w:ind w:firstLine="480"/>
        <w:rPr>
          <w:rFonts w:ascii="宋体" w:hAnsi="宋体" w:cs="宋体"/>
          <w:kern w:val="0"/>
          <w:sz w:val="21"/>
          <w:szCs w:val="21"/>
        </w:rPr>
      </w:pPr>
      <w:r>
        <w:rPr>
          <w:rFonts w:hint="eastAsia" w:ascii="宋体" w:hAnsi="宋体" w:cs="宋体"/>
          <w:kern w:val="0"/>
          <w:sz w:val="21"/>
          <w:szCs w:val="21"/>
        </w:rPr>
        <w:t>3.6.1.1响应文件中已标价工程量清单内容与响应文件中相应内容不一致的，以已标价工程量清单为准;</w:t>
      </w:r>
    </w:p>
    <w:p w14:paraId="6F738E85">
      <w:pPr>
        <w:pStyle w:val="396"/>
        <w:spacing w:before="0"/>
        <w:ind w:firstLine="480"/>
        <w:rPr>
          <w:rFonts w:ascii="宋体" w:hAnsi="宋体" w:cs="宋体"/>
          <w:kern w:val="0"/>
          <w:sz w:val="21"/>
          <w:szCs w:val="21"/>
        </w:rPr>
      </w:pPr>
      <w:r>
        <w:rPr>
          <w:rFonts w:hint="eastAsia" w:ascii="宋体" w:hAnsi="宋体" w:cs="宋体"/>
          <w:kern w:val="0"/>
          <w:sz w:val="21"/>
          <w:szCs w:val="21"/>
        </w:rPr>
        <w:t>3.6.1.2大写金额和小写金额不一致的，以大写金额为准;</w:t>
      </w:r>
    </w:p>
    <w:p w14:paraId="1FC1F96C">
      <w:pPr>
        <w:pStyle w:val="396"/>
        <w:spacing w:before="0"/>
        <w:ind w:firstLine="480"/>
        <w:rPr>
          <w:rFonts w:ascii="宋体" w:hAnsi="宋体" w:cs="宋体"/>
          <w:kern w:val="0"/>
          <w:sz w:val="21"/>
          <w:szCs w:val="21"/>
        </w:rPr>
      </w:pPr>
      <w:r>
        <w:rPr>
          <w:rFonts w:hint="eastAsia" w:ascii="宋体" w:hAnsi="宋体" w:cs="宋体"/>
          <w:kern w:val="0"/>
          <w:sz w:val="21"/>
          <w:szCs w:val="21"/>
        </w:rPr>
        <w:t>3.6.1.3单价金额小数点或者百分比有明显错位的，以已标价工程量清单的总价为准，并修改单价;</w:t>
      </w:r>
    </w:p>
    <w:p w14:paraId="24A2D27A">
      <w:pPr>
        <w:pStyle w:val="396"/>
        <w:spacing w:before="0"/>
        <w:ind w:firstLine="480"/>
        <w:rPr>
          <w:rFonts w:ascii="宋体" w:hAnsi="宋体" w:cs="宋体"/>
          <w:kern w:val="0"/>
          <w:sz w:val="21"/>
          <w:szCs w:val="21"/>
        </w:rPr>
      </w:pPr>
      <w:r>
        <w:rPr>
          <w:rFonts w:hint="eastAsia" w:ascii="宋体" w:hAnsi="宋体" w:cs="宋体"/>
          <w:kern w:val="0"/>
          <w:sz w:val="21"/>
          <w:szCs w:val="21"/>
        </w:rPr>
        <w:t>3.6.1.4总价金额与按单价汇总金额不一致的，以单价金额计算结果为准。</w:t>
      </w:r>
    </w:p>
    <w:p w14:paraId="3582A2F9">
      <w:pPr>
        <w:pStyle w:val="396"/>
        <w:spacing w:before="0"/>
        <w:ind w:firstLine="480"/>
        <w:rPr>
          <w:rFonts w:ascii="宋体" w:hAnsi="宋体" w:cs="宋体"/>
          <w:kern w:val="0"/>
          <w:sz w:val="21"/>
          <w:szCs w:val="21"/>
        </w:rPr>
      </w:pPr>
      <w:r>
        <w:rPr>
          <w:rFonts w:hint="eastAsia" w:ascii="宋体" w:hAnsi="宋体" w:cs="宋体"/>
          <w:kern w:val="0"/>
          <w:sz w:val="21"/>
          <w:szCs w:val="21"/>
        </w:rPr>
        <w:t>3.6.1.5同时出现两种以上不一致的，按照3.6.1规定的顺序修正。修正后的报价经供应商确认后产生约束力。</w:t>
      </w:r>
    </w:p>
    <w:p w14:paraId="36E944AB">
      <w:pPr>
        <w:snapToGrid w:val="0"/>
        <w:spacing w:line="360" w:lineRule="auto"/>
        <w:ind w:firstLine="420" w:firstLineChars="200"/>
        <w:jc w:val="left"/>
        <w:rPr>
          <w:rFonts w:ascii="宋体" w:hAnsi="宋体" w:cs="宋体"/>
          <w:kern w:val="0"/>
          <w:sz w:val="21"/>
          <w:szCs w:val="21"/>
        </w:rPr>
      </w:pPr>
      <w:r>
        <w:rPr>
          <w:rFonts w:hint="eastAsia" w:ascii="宋体" w:hAnsi="宋体" w:cs="宋体"/>
          <w:kern w:val="0"/>
          <w:sz w:val="21"/>
          <w:szCs w:val="21"/>
        </w:rPr>
        <w:t>3.6.2响应文件出现不是唯一的、有选择性最后报价的，响应文件无效。</w:t>
      </w:r>
    </w:p>
    <w:p w14:paraId="30489E6A">
      <w:pPr>
        <w:snapToGrid w:val="0"/>
        <w:spacing w:line="360" w:lineRule="auto"/>
        <w:ind w:firstLine="420" w:firstLineChars="200"/>
        <w:jc w:val="left"/>
        <w:rPr>
          <w:rFonts w:ascii="宋体" w:hAnsi="宋体" w:cs="宋体"/>
          <w:kern w:val="0"/>
          <w:sz w:val="21"/>
          <w:szCs w:val="21"/>
        </w:rPr>
      </w:pPr>
      <w:r>
        <w:rPr>
          <w:rFonts w:hint="eastAsia" w:ascii="宋体" w:hAnsi="宋体" w:cs="宋体"/>
          <w:kern w:val="0"/>
          <w:sz w:val="21"/>
          <w:szCs w:val="21"/>
        </w:rPr>
        <w:t>3.6.3最后报价超过采购文件中规定的预算金额或者最高限价的，响应文件无效。</w:t>
      </w:r>
    </w:p>
    <w:p w14:paraId="064E6991">
      <w:pPr>
        <w:pStyle w:val="396"/>
        <w:spacing w:before="0"/>
        <w:ind w:firstLine="480"/>
        <w:rPr>
          <w:rFonts w:ascii="宋体" w:hAnsi="宋体" w:cs="宋体"/>
          <w:kern w:val="0"/>
          <w:sz w:val="21"/>
          <w:szCs w:val="21"/>
        </w:rPr>
      </w:pPr>
      <w:r>
        <w:rPr>
          <w:rFonts w:hint="eastAsia" w:ascii="宋体" w:hAnsi="宋体" w:cs="宋体"/>
          <w:kern w:val="0"/>
          <w:sz w:val="21"/>
          <w:szCs w:val="21"/>
        </w:rPr>
        <w:t>3.6.4对于未预留份额专门面向中小企业的政府采购工程项目，以及预留份额政府采购工程项目中的非预留部分标项，对小型和微型企业的最后报价给予5%的扣除，用扣除后的价格参与评审。接受大中型企业与小微企业组成联合体或者允许大中型企业向一家或者多家小微企业分包的政府采购工程项目，对于联合协议或者分包意向协议约定小微企业的合同份额占到合同总金额30%以上的，对联合体或者大中型企业的报价给予2%的扣除，用扣除后的价格参加评审。组成联合体或者接受分包的小微企业与联合体内其他企业、分包企业之间存在直接控股、管理关系的，不享受价格扣除优惠政策。</w:t>
      </w:r>
    </w:p>
    <w:p w14:paraId="3B4F88F2">
      <w:pPr>
        <w:spacing w:line="360" w:lineRule="auto"/>
        <w:ind w:firstLine="422" w:firstLineChars="200"/>
        <w:rPr>
          <w:rFonts w:ascii="宋体" w:hAnsi="宋体" w:cs="宋体"/>
          <w:b/>
          <w:kern w:val="0"/>
          <w:sz w:val="21"/>
          <w:szCs w:val="21"/>
        </w:rPr>
      </w:pPr>
      <w:r>
        <w:rPr>
          <w:rFonts w:hint="eastAsia" w:ascii="宋体" w:hAnsi="宋体" w:cs="宋体"/>
          <w:b/>
          <w:kern w:val="0"/>
          <w:sz w:val="21"/>
          <w:szCs w:val="21"/>
        </w:rPr>
        <w:t>3.7排序与推荐。</w:t>
      </w:r>
      <w:r>
        <w:rPr>
          <w:rFonts w:hint="eastAsia" w:ascii="宋体" w:hAnsi="宋体" w:cs="宋体"/>
          <w:kern w:val="0"/>
          <w:sz w:val="21"/>
          <w:szCs w:val="21"/>
        </w:rPr>
        <w:t>评审结果按评审后得分由高到低顺序排列。得分相同的，按最后报价由低到高顺序排列。得分且最后报价相同的并列。响应文件满足采购文件全部实质性要求，且按照评审因素的量化指标评审得分由高到低顺序推荐3名以上成交候选供应商</w:t>
      </w:r>
    </w:p>
    <w:p w14:paraId="52EC29EB">
      <w:pPr>
        <w:spacing w:line="360" w:lineRule="auto"/>
        <w:ind w:firstLine="413" w:firstLineChars="196"/>
        <w:rPr>
          <w:rFonts w:ascii="宋体" w:hAnsi="宋体" w:cs="宋体"/>
          <w:kern w:val="0"/>
          <w:sz w:val="21"/>
          <w:szCs w:val="21"/>
        </w:rPr>
      </w:pPr>
      <w:r>
        <w:rPr>
          <w:rFonts w:hint="eastAsia" w:ascii="宋体" w:hAnsi="宋体" w:cs="宋体"/>
          <w:b/>
          <w:kern w:val="0"/>
          <w:sz w:val="21"/>
          <w:szCs w:val="21"/>
        </w:rPr>
        <w:t>3.8编写评审报告。</w:t>
      </w:r>
      <w:r>
        <w:rPr>
          <w:rFonts w:hint="eastAsia" w:ascii="宋体" w:hAnsi="宋体" w:cs="宋体"/>
          <w:kern w:val="0"/>
          <w:sz w:val="21"/>
          <w:szCs w:val="21"/>
        </w:rPr>
        <w:t>磋商小组根据全体评审成员签字的原始评审记录和评审结果编写评审报告。磋商小组成员对需要共同认定的事项存在争议的，应当按照少数服从多数的原则作出结论。持不同意见的磋商小组成员应当在评审报告上签署不同意见及理由，否则视为同意评审报告。</w:t>
      </w:r>
    </w:p>
    <w:p w14:paraId="18BAA1ED">
      <w:pPr>
        <w:snapToGrid w:val="0"/>
        <w:spacing w:line="360" w:lineRule="auto"/>
        <w:jc w:val="both"/>
        <w:rPr>
          <w:rFonts w:ascii="宋体" w:hAnsi="宋体" w:cs="宋体"/>
          <w:b/>
          <w:sz w:val="21"/>
          <w:szCs w:val="21"/>
        </w:rPr>
      </w:pPr>
      <w:r>
        <w:rPr>
          <w:rFonts w:hint="eastAsia" w:ascii="宋体" w:hAnsi="宋体" w:cs="宋体"/>
          <w:b/>
          <w:sz w:val="21"/>
          <w:szCs w:val="21"/>
        </w:rPr>
        <w:t>四、评审中的其他事项</w:t>
      </w:r>
    </w:p>
    <w:p w14:paraId="48C4B8BE">
      <w:pPr>
        <w:pStyle w:val="396"/>
        <w:spacing w:before="0"/>
        <w:ind w:firstLine="413" w:firstLineChars="196"/>
        <w:rPr>
          <w:rFonts w:ascii="宋体" w:hAnsi="宋体" w:cs="宋体"/>
          <w:kern w:val="0"/>
          <w:sz w:val="21"/>
          <w:szCs w:val="21"/>
        </w:rPr>
      </w:pPr>
      <w:r>
        <w:rPr>
          <w:rFonts w:hint="eastAsia" w:ascii="宋体" w:hAnsi="宋体" w:cs="宋体"/>
          <w:b/>
          <w:kern w:val="0"/>
          <w:sz w:val="21"/>
          <w:szCs w:val="21"/>
        </w:rPr>
        <w:t>4.1供应商澄清、说明或者补正。</w:t>
      </w:r>
      <w:r>
        <w:rPr>
          <w:rFonts w:hint="eastAsia" w:ascii="宋体" w:hAnsi="宋体" w:cs="宋体"/>
          <w:kern w:val="0"/>
          <w:sz w:val="21"/>
          <w:szCs w:val="21"/>
        </w:rPr>
        <w:t>对于响应文件中含义不明确、同类问题表述不一致或者有明显文字和计算错误的内容需要供应商作出必要的澄清、说明或者补正的，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响应文件的范围或者改变响应文件的实质性内容。</w:t>
      </w:r>
    </w:p>
    <w:p w14:paraId="5F2026A9">
      <w:pPr>
        <w:pStyle w:val="24"/>
        <w:spacing w:line="360" w:lineRule="auto"/>
        <w:ind w:left="954" w:leftChars="226" w:hanging="479" w:firstLineChars="0"/>
        <w:rPr>
          <w:rFonts w:cs="宋体"/>
          <w:sz w:val="21"/>
          <w:szCs w:val="21"/>
        </w:rPr>
      </w:pPr>
      <w:r>
        <w:rPr>
          <w:rFonts w:hint="eastAsia" w:cs="宋体"/>
          <w:b/>
          <w:kern w:val="0"/>
          <w:sz w:val="21"/>
          <w:szCs w:val="21"/>
        </w:rPr>
        <w:t>4.2响应文件无效。</w:t>
      </w:r>
      <w:r>
        <w:rPr>
          <w:rFonts w:hint="eastAsia" w:cs="宋体"/>
          <w:sz w:val="21"/>
          <w:szCs w:val="21"/>
        </w:rPr>
        <w:t>有下列情形之一的，响应文件无效：</w:t>
      </w:r>
    </w:p>
    <w:p w14:paraId="04C46D31">
      <w:pPr>
        <w:spacing w:line="360" w:lineRule="auto"/>
        <w:ind w:firstLine="420" w:firstLineChars="200"/>
        <w:rPr>
          <w:rFonts w:ascii="宋体" w:hAnsi="宋体" w:cs="宋体"/>
          <w:kern w:val="0"/>
          <w:sz w:val="21"/>
          <w:szCs w:val="21"/>
        </w:rPr>
      </w:pPr>
      <w:r>
        <w:rPr>
          <w:rFonts w:hint="eastAsia" w:ascii="宋体" w:hAnsi="宋体" w:cs="宋体"/>
          <w:kern w:val="0"/>
          <w:sz w:val="21"/>
          <w:szCs w:val="21"/>
        </w:rPr>
        <w:t>4.2.1供应商不具备采购文件中规定的资格要求的（供应商未提供有效的资格文件的，视为供应商不具备采购文件中规定的资格要求）；</w:t>
      </w:r>
    </w:p>
    <w:p w14:paraId="073E9BCE">
      <w:pPr>
        <w:spacing w:line="360" w:lineRule="auto"/>
        <w:ind w:firstLine="420" w:firstLineChars="200"/>
        <w:rPr>
          <w:rFonts w:ascii="宋体" w:hAnsi="宋体" w:cs="宋体"/>
          <w:kern w:val="0"/>
          <w:sz w:val="21"/>
          <w:szCs w:val="21"/>
        </w:rPr>
      </w:pPr>
      <w:r>
        <w:rPr>
          <w:rFonts w:hint="eastAsia" w:ascii="宋体" w:hAnsi="宋体" w:cs="宋体"/>
          <w:kern w:val="0"/>
          <w:sz w:val="21"/>
          <w:szCs w:val="21"/>
        </w:rPr>
        <w:t>4.2.2响应文件未按照采购文件要求签署、盖章的；</w:t>
      </w:r>
    </w:p>
    <w:p w14:paraId="203FA6E7">
      <w:pPr>
        <w:spacing w:line="360" w:lineRule="auto"/>
        <w:ind w:firstLine="420" w:firstLineChars="200"/>
        <w:rPr>
          <w:rFonts w:ascii="宋体" w:hAnsi="宋体" w:cs="宋体"/>
          <w:kern w:val="0"/>
          <w:sz w:val="21"/>
          <w:szCs w:val="21"/>
        </w:rPr>
      </w:pPr>
      <w:r>
        <w:rPr>
          <w:rFonts w:hint="eastAsia" w:ascii="宋体" w:hAnsi="宋体" w:cs="宋体"/>
          <w:kern w:val="0"/>
          <w:sz w:val="21"/>
          <w:szCs w:val="21"/>
        </w:rPr>
        <w:t>4.2.3采购人拟采购的产品属于政府强制采购的节能产品品目清单范围的，供应商未按采购文件要求提供国家确定的认证机构出具的、处于有效期之内的节能产品认证证书的；</w:t>
      </w:r>
    </w:p>
    <w:p w14:paraId="07E60EC2">
      <w:pPr>
        <w:spacing w:line="360" w:lineRule="auto"/>
        <w:ind w:firstLine="420" w:firstLineChars="200"/>
        <w:rPr>
          <w:rFonts w:ascii="宋体" w:hAnsi="宋体" w:cs="宋体"/>
          <w:kern w:val="0"/>
          <w:sz w:val="21"/>
          <w:szCs w:val="21"/>
        </w:rPr>
      </w:pPr>
      <w:r>
        <w:rPr>
          <w:rFonts w:hint="eastAsia" w:ascii="宋体" w:hAnsi="宋体" w:cs="宋体"/>
          <w:kern w:val="0"/>
          <w:sz w:val="21"/>
          <w:szCs w:val="21"/>
        </w:rPr>
        <w:t>4.2.4响应文件含有采购人不能接受的附加条件的；</w:t>
      </w:r>
    </w:p>
    <w:p w14:paraId="6BB3130E">
      <w:pPr>
        <w:spacing w:line="360" w:lineRule="auto"/>
        <w:ind w:firstLine="420" w:firstLineChars="200"/>
        <w:rPr>
          <w:rFonts w:ascii="宋体" w:hAnsi="宋体" w:cs="宋体"/>
          <w:kern w:val="0"/>
          <w:sz w:val="21"/>
          <w:szCs w:val="21"/>
        </w:rPr>
      </w:pPr>
      <w:r>
        <w:rPr>
          <w:rFonts w:hint="eastAsia" w:ascii="宋体" w:hAnsi="宋体" w:cs="宋体"/>
          <w:kern w:val="0"/>
          <w:sz w:val="21"/>
          <w:szCs w:val="21"/>
        </w:rPr>
        <w:t>4.2.5响应文件中承诺的响应文件有效期少于采购文件中载明的响应文件有效期的；</w:t>
      </w:r>
    </w:p>
    <w:p w14:paraId="7CE38BC4">
      <w:pPr>
        <w:spacing w:line="360" w:lineRule="auto"/>
        <w:ind w:firstLine="420" w:firstLineChars="200"/>
        <w:rPr>
          <w:rFonts w:ascii="宋体" w:hAnsi="宋体" w:cs="宋体"/>
          <w:kern w:val="0"/>
          <w:sz w:val="21"/>
          <w:szCs w:val="21"/>
        </w:rPr>
      </w:pPr>
      <w:r>
        <w:rPr>
          <w:rFonts w:hint="eastAsia" w:ascii="宋体" w:hAnsi="宋体" w:cs="宋体"/>
          <w:kern w:val="0"/>
          <w:sz w:val="21"/>
          <w:szCs w:val="21"/>
        </w:rPr>
        <w:t>4.2.6响应文件出现不是唯一的、有选择性最后报价的;</w:t>
      </w:r>
    </w:p>
    <w:p w14:paraId="2EE08156">
      <w:pPr>
        <w:spacing w:line="360" w:lineRule="auto"/>
        <w:ind w:firstLine="420" w:firstLineChars="200"/>
        <w:rPr>
          <w:rFonts w:ascii="宋体" w:hAnsi="宋体" w:cs="宋体"/>
          <w:kern w:val="0"/>
          <w:sz w:val="21"/>
          <w:szCs w:val="21"/>
        </w:rPr>
      </w:pPr>
      <w:r>
        <w:rPr>
          <w:rFonts w:hint="eastAsia" w:ascii="宋体" w:hAnsi="宋体" w:cs="宋体"/>
          <w:kern w:val="0"/>
          <w:sz w:val="21"/>
          <w:szCs w:val="21"/>
        </w:rPr>
        <w:t>4.2.7最后报价超过采购文件中规定的预算金额或者最高限价的;</w:t>
      </w:r>
    </w:p>
    <w:p w14:paraId="21F1E446">
      <w:pPr>
        <w:spacing w:line="360" w:lineRule="auto"/>
        <w:ind w:firstLine="420" w:firstLineChars="200"/>
        <w:rPr>
          <w:rFonts w:ascii="宋体" w:hAnsi="宋体" w:cs="宋体"/>
          <w:kern w:val="0"/>
          <w:sz w:val="21"/>
          <w:szCs w:val="21"/>
        </w:rPr>
      </w:pPr>
      <w:r>
        <w:rPr>
          <w:rFonts w:hint="eastAsia" w:ascii="宋体" w:hAnsi="宋体" w:cs="宋体"/>
          <w:kern w:val="0"/>
          <w:sz w:val="21"/>
          <w:szCs w:val="21"/>
        </w:rPr>
        <w:t>4.2.8报价明显低于其他通过符合性审查供应商的报价，有可能影响产品质量或者不能诚信履约的，未能按要求提供书面说明或者提交相关证明材料，不能证明其报价合理性的;</w:t>
      </w:r>
    </w:p>
    <w:p w14:paraId="44CA08D7">
      <w:pPr>
        <w:spacing w:line="360" w:lineRule="auto"/>
        <w:ind w:firstLine="420" w:firstLineChars="200"/>
        <w:rPr>
          <w:rFonts w:ascii="宋体" w:hAnsi="宋体" w:cs="宋体"/>
          <w:kern w:val="0"/>
          <w:sz w:val="21"/>
          <w:szCs w:val="21"/>
        </w:rPr>
      </w:pPr>
      <w:r>
        <w:rPr>
          <w:rFonts w:hint="eastAsia" w:ascii="宋体" w:hAnsi="宋体" w:cs="宋体"/>
          <w:kern w:val="0"/>
          <w:sz w:val="21"/>
          <w:szCs w:val="21"/>
        </w:rPr>
        <w:t>4.2.9供应商对根据修正原则修正后的报价不确认的；</w:t>
      </w:r>
    </w:p>
    <w:p w14:paraId="60977D69">
      <w:pPr>
        <w:spacing w:line="360" w:lineRule="auto"/>
        <w:ind w:firstLine="420" w:firstLineChars="200"/>
        <w:rPr>
          <w:rFonts w:ascii="宋体" w:hAnsi="宋体" w:cs="宋体"/>
          <w:kern w:val="0"/>
          <w:sz w:val="21"/>
          <w:szCs w:val="21"/>
        </w:rPr>
      </w:pPr>
      <w:r>
        <w:rPr>
          <w:rFonts w:hint="eastAsia" w:ascii="宋体" w:hAnsi="宋体" w:cs="宋体"/>
          <w:kern w:val="0"/>
          <w:sz w:val="21"/>
          <w:szCs w:val="21"/>
        </w:rPr>
        <w:t>4.2.10供应商提供虚假材料响应的；</w:t>
      </w:r>
    </w:p>
    <w:p w14:paraId="40B33D0B">
      <w:pPr>
        <w:spacing w:line="360" w:lineRule="auto"/>
        <w:ind w:firstLine="420" w:firstLineChars="200"/>
        <w:rPr>
          <w:rFonts w:ascii="宋体" w:hAnsi="宋体" w:cs="宋体"/>
          <w:kern w:val="0"/>
          <w:sz w:val="21"/>
          <w:szCs w:val="21"/>
        </w:rPr>
      </w:pPr>
      <w:r>
        <w:rPr>
          <w:rFonts w:hint="eastAsia" w:ascii="宋体" w:hAnsi="宋体" w:cs="宋体"/>
          <w:kern w:val="0"/>
          <w:sz w:val="21"/>
          <w:szCs w:val="21"/>
        </w:rPr>
        <w:t>4.2.11供应商有恶意串通、妨碍其他供应商的竞争行为、损害采购人或者其他供应商的合法权益情形的；</w:t>
      </w:r>
    </w:p>
    <w:p w14:paraId="70639E0B">
      <w:pPr>
        <w:spacing w:line="360" w:lineRule="auto"/>
        <w:ind w:firstLine="420" w:firstLineChars="200"/>
        <w:rPr>
          <w:rFonts w:ascii="宋体" w:hAnsi="宋体" w:cs="宋体"/>
          <w:kern w:val="0"/>
          <w:sz w:val="21"/>
          <w:szCs w:val="21"/>
        </w:rPr>
      </w:pPr>
      <w:r>
        <w:rPr>
          <w:rFonts w:hint="eastAsia" w:ascii="宋体" w:hAnsi="宋体" w:cs="宋体"/>
          <w:kern w:val="0"/>
          <w:sz w:val="21"/>
          <w:szCs w:val="21"/>
        </w:rPr>
        <w:t>4.2.12供应商仅提交备份响应文件，未在电子交易平台传输递交响应文件的，响应文件无效；</w:t>
      </w:r>
    </w:p>
    <w:p w14:paraId="4A52524A">
      <w:pPr>
        <w:spacing w:line="360" w:lineRule="auto"/>
        <w:ind w:firstLine="420" w:firstLineChars="200"/>
        <w:rPr>
          <w:rFonts w:hint="eastAsia" w:ascii="宋体" w:hAnsi="宋体" w:cs="宋体"/>
          <w:kern w:val="0"/>
          <w:sz w:val="21"/>
          <w:szCs w:val="21"/>
        </w:rPr>
      </w:pPr>
      <w:r>
        <w:rPr>
          <w:rFonts w:hint="eastAsia" w:ascii="宋体" w:hAnsi="宋体" w:cs="宋体"/>
          <w:kern w:val="0"/>
          <w:sz w:val="21"/>
          <w:szCs w:val="21"/>
        </w:rPr>
        <w:t>4.2.13 响应文件不满足采购文件的其它实质性要求的；</w:t>
      </w:r>
    </w:p>
    <w:p w14:paraId="156B73B6">
      <w:pPr>
        <w:spacing w:line="360" w:lineRule="auto"/>
        <w:ind w:firstLine="420" w:firstLineChars="200"/>
        <w:rPr>
          <w:rFonts w:hint="eastAsia" w:ascii="宋体" w:hAnsi="宋体" w:cs="宋体"/>
          <w:kern w:val="0"/>
          <w:sz w:val="21"/>
          <w:szCs w:val="21"/>
        </w:rPr>
      </w:pPr>
      <w:r>
        <w:rPr>
          <w:rFonts w:hint="eastAsia" w:ascii="宋体" w:hAnsi="宋体" w:cs="宋体"/>
          <w:kern w:val="0"/>
          <w:sz w:val="21"/>
          <w:szCs w:val="21"/>
        </w:rPr>
        <w:t>4.2.1</w:t>
      </w:r>
      <w:r>
        <w:rPr>
          <w:rFonts w:hint="eastAsia" w:ascii="宋体" w:hAnsi="宋体" w:cs="宋体"/>
          <w:kern w:val="0"/>
          <w:sz w:val="21"/>
          <w:szCs w:val="21"/>
          <w:lang w:val="en-US" w:eastAsia="zh-CN"/>
        </w:rPr>
        <w:t>4</w:t>
      </w:r>
      <w:r>
        <w:rPr>
          <w:rFonts w:hint="eastAsia" w:ascii="宋体" w:hAnsi="宋体" w:cs="宋体"/>
          <w:kern w:val="0"/>
          <w:sz w:val="21"/>
          <w:szCs w:val="21"/>
        </w:rPr>
        <w:t xml:space="preserve"> </w:t>
      </w:r>
      <w:r>
        <w:rPr>
          <w:rFonts w:hint="eastAsia" w:ascii="宋体" w:hAnsi="宋体" w:cs="宋体"/>
          <w:kern w:val="0"/>
          <w:sz w:val="21"/>
          <w:szCs w:val="21"/>
          <w:lang w:val="en-US" w:eastAsia="zh-CN"/>
        </w:rPr>
        <w:t>不同</w:t>
      </w:r>
      <w:r>
        <w:rPr>
          <w:rFonts w:hint="eastAsia" w:ascii="宋体" w:hAnsi="宋体" w:cs="宋体"/>
          <w:kern w:val="0"/>
          <w:sz w:val="21"/>
          <w:szCs w:val="21"/>
          <w:lang w:val="zh-CN"/>
        </w:rPr>
        <w:t>供应商</w:t>
      </w:r>
      <w:r>
        <w:rPr>
          <w:rFonts w:hint="eastAsia" w:ascii="宋体" w:hAnsi="宋体" w:cs="宋体"/>
          <w:kern w:val="0"/>
          <w:sz w:val="21"/>
          <w:szCs w:val="21"/>
          <w:lang w:val="en-US" w:eastAsia="zh-CN"/>
        </w:rPr>
        <w:t>的投标文件出自同一终端设备或在相同Internet主机分配地址（相同IP地址）进行网上报名、投标的；</w:t>
      </w:r>
    </w:p>
    <w:p w14:paraId="2F80D526">
      <w:pPr>
        <w:spacing w:line="360" w:lineRule="auto"/>
        <w:ind w:firstLine="420" w:firstLineChars="200"/>
        <w:rPr>
          <w:rFonts w:ascii="宋体" w:hAnsi="宋体" w:cs="宋体"/>
          <w:kern w:val="0"/>
          <w:sz w:val="21"/>
          <w:szCs w:val="21"/>
        </w:rPr>
      </w:pPr>
      <w:r>
        <w:rPr>
          <w:rFonts w:hint="eastAsia" w:ascii="宋体" w:hAnsi="宋体" w:cs="宋体"/>
          <w:kern w:val="0"/>
          <w:sz w:val="21"/>
          <w:szCs w:val="21"/>
        </w:rPr>
        <w:t>4.2.1</w:t>
      </w:r>
      <w:r>
        <w:rPr>
          <w:rFonts w:hint="eastAsia" w:ascii="宋体" w:hAnsi="宋体" w:cs="宋体"/>
          <w:kern w:val="0"/>
          <w:sz w:val="21"/>
          <w:szCs w:val="21"/>
          <w:lang w:val="en-US" w:eastAsia="zh-CN"/>
        </w:rPr>
        <w:t>5</w:t>
      </w:r>
      <w:r>
        <w:rPr>
          <w:rFonts w:hint="eastAsia" w:ascii="宋体" w:hAnsi="宋体" w:cs="宋体"/>
          <w:kern w:val="0"/>
          <w:sz w:val="21"/>
          <w:szCs w:val="21"/>
        </w:rPr>
        <w:t>法律、法规、规章（适用本市的）及省级以上规范性文件（适用本市的）规定的其他无效情形。</w:t>
      </w:r>
    </w:p>
    <w:p w14:paraId="25D8A587">
      <w:pPr>
        <w:pStyle w:val="24"/>
        <w:snapToGrid w:val="0"/>
        <w:spacing w:line="360" w:lineRule="auto"/>
        <w:ind w:firstLine="413" w:firstLineChars="196"/>
        <w:rPr>
          <w:rFonts w:cs="宋体"/>
          <w:sz w:val="21"/>
          <w:szCs w:val="21"/>
        </w:rPr>
      </w:pPr>
      <w:r>
        <w:rPr>
          <w:rFonts w:hint="eastAsia" w:cs="宋体"/>
          <w:b/>
          <w:sz w:val="21"/>
          <w:szCs w:val="21"/>
        </w:rPr>
        <w:t>5.终止竞争性磋商采购活动。</w:t>
      </w:r>
      <w:r>
        <w:rPr>
          <w:rFonts w:hint="eastAsia" w:cs="宋体"/>
          <w:sz w:val="21"/>
          <w:szCs w:val="21"/>
        </w:rPr>
        <w:t>出现下列情形之一的，采购人或者采购代理机构应当终止竞争性磋商采购活动，发布项目终止公告并说明原因，重新开展采购活动：</w:t>
      </w:r>
    </w:p>
    <w:p w14:paraId="09B3E0EB">
      <w:pPr>
        <w:pStyle w:val="24"/>
        <w:snapToGrid w:val="0"/>
        <w:spacing w:line="360" w:lineRule="auto"/>
        <w:rPr>
          <w:rFonts w:cs="宋体"/>
          <w:sz w:val="21"/>
          <w:szCs w:val="21"/>
        </w:rPr>
      </w:pPr>
      <w:r>
        <w:rPr>
          <w:rFonts w:hint="eastAsia" w:cs="宋体"/>
          <w:sz w:val="21"/>
          <w:szCs w:val="21"/>
        </w:rPr>
        <w:t>5.1因情况变化，不再符合规定的竞争性磋商采购方式适用情形的；</w:t>
      </w:r>
    </w:p>
    <w:p w14:paraId="297D1C74">
      <w:pPr>
        <w:pStyle w:val="24"/>
        <w:snapToGrid w:val="0"/>
        <w:spacing w:line="360" w:lineRule="auto"/>
        <w:rPr>
          <w:rFonts w:cs="宋体"/>
          <w:sz w:val="21"/>
          <w:szCs w:val="21"/>
        </w:rPr>
      </w:pPr>
      <w:r>
        <w:rPr>
          <w:rFonts w:hint="eastAsia" w:cs="宋体"/>
          <w:sz w:val="21"/>
          <w:szCs w:val="21"/>
        </w:rPr>
        <w:t>5.2出现影响采购公正的违法、违规行为的；</w:t>
      </w:r>
    </w:p>
    <w:p w14:paraId="5A44ED12">
      <w:pPr>
        <w:pStyle w:val="24"/>
        <w:snapToGrid w:val="0"/>
        <w:spacing w:line="360" w:lineRule="auto"/>
        <w:rPr>
          <w:rFonts w:cs="宋体"/>
          <w:sz w:val="21"/>
          <w:szCs w:val="21"/>
        </w:rPr>
      </w:pPr>
      <w:r>
        <w:rPr>
          <w:rFonts w:hint="eastAsia" w:cs="宋体"/>
          <w:sz w:val="21"/>
          <w:szCs w:val="21"/>
        </w:rPr>
        <w:t>5.3除本办法第二十一条第三款规定的情形外，在采购过程中符合要求的供应商或者报价未超过采购预算的供应商不足3家的。</w:t>
      </w:r>
    </w:p>
    <w:p w14:paraId="24EA85BC">
      <w:pPr>
        <w:pStyle w:val="24"/>
        <w:snapToGrid w:val="0"/>
        <w:spacing w:line="360" w:lineRule="auto"/>
        <w:rPr>
          <w:rFonts w:cs="宋体"/>
          <w:sz w:val="21"/>
          <w:szCs w:val="21"/>
        </w:rPr>
      </w:pPr>
      <w:r>
        <w:rPr>
          <w:rFonts w:hint="eastAsia" w:cs="宋体"/>
          <w:sz w:val="21"/>
          <w:szCs w:val="21"/>
        </w:rPr>
        <w:t>5.4在采购活动中因重大变故，采购任务取消的，采购人或者采购代理机构应当终止采购活动，通知所有参加采购活动的供应商，并将项目实施情况和采购任务取消原因报送本级财政部门。</w:t>
      </w:r>
    </w:p>
    <w:p w14:paraId="2039B2DE">
      <w:pPr>
        <w:pStyle w:val="24"/>
        <w:snapToGrid w:val="0"/>
        <w:spacing w:line="360" w:lineRule="auto"/>
        <w:ind w:firstLine="482"/>
        <w:rPr>
          <w:rFonts w:cs="宋体"/>
          <w:sz w:val="21"/>
          <w:szCs w:val="21"/>
        </w:rPr>
      </w:pPr>
      <w:r>
        <w:rPr>
          <w:rFonts w:hint="eastAsia" w:cs="宋体"/>
          <w:b/>
          <w:kern w:val="0"/>
          <w:sz w:val="21"/>
          <w:szCs w:val="21"/>
        </w:rPr>
        <w:t>6.重新开展采购。</w:t>
      </w:r>
      <w:r>
        <w:rPr>
          <w:rFonts w:hint="eastAsia" w:cs="宋体"/>
          <w:sz w:val="21"/>
          <w:szCs w:val="21"/>
        </w:rPr>
        <w:t>有政府采购法第七十一条、第七十二条规定的违法行为之一，影响或者可能影响成交结果的，依照下列规定处理：</w:t>
      </w:r>
    </w:p>
    <w:p w14:paraId="5790C232">
      <w:pPr>
        <w:pStyle w:val="24"/>
        <w:snapToGrid w:val="0"/>
        <w:spacing w:line="360" w:lineRule="auto"/>
        <w:rPr>
          <w:rFonts w:cs="宋体"/>
          <w:sz w:val="21"/>
          <w:szCs w:val="21"/>
        </w:rPr>
      </w:pPr>
      <w:r>
        <w:rPr>
          <w:rFonts w:hint="eastAsia" w:cs="宋体"/>
          <w:sz w:val="21"/>
          <w:szCs w:val="21"/>
        </w:rPr>
        <w:t>6.1未确定成交供应商的，终止本次政府采购活动，重新开展政府采购活动。</w:t>
      </w:r>
    </w:p>
    <w:p w14:paraId="116DAC26">
      <w:pPr>
        <w:pStyle w:val="24"/>
        <w:snapToGrid w:val="0"/>
        <w:spacing w:line="360" w:lineRule="auto"/>
        <w:rPr>
          <w:rFonts w:cs="宋体"/>
          <w:sz w:val="21"/>
          <w:szCs w:val="21"/>
        </w:rPr>
      </w:pPr>
      <w:r>
        <w:rPr>
          <w:rFonts w:hint="eastAsia" w:cs="宋体"/>
          <w:sz w:val="21"/>
          <w:szCs w:val="21"/>
        </w:rPr>
        <w:t>6.2已确定成交供应商但尚未签订政府采购合同的，成交结果无效，从合格的成交候选供应商中另行确定成交供应商；没有合格的成交候选供应商的，重新开展政府采购活动。</w:t>
      </w:r>
    </w:p>
    <w:p w14:paraId="75C59140">
      <w:pPr>
        <w:pStyle w:val="24"/>
        <w:snapToGrid w:val="0"/>
        <w:spacing w:line="360" w:lineRule="auto"/>
        <w:rPr>
          <w:rFonts w:cs="宋体"/>
          <w:sz w:val="21"/>
          <w:szCs w:val="21"/>
        </w:rPr>
      </w:pPr>
      <w:r>
        <w:rPr>
          <w:rFonts w:hint="eastAsia" w:cs="宋体"/>
          <w:sz w:val="21"/>
          <w:szCs w:val="21"/>
        </w:rPr>
        <w:t>6.3政府采购合同已签订但尚未履行的，撤销合同，从合格的成交候选供应商中另行确定成交供应商；没有合格的成交候选供应商的，重新开展政府采购活动。</w:t>
      </w:r>
    </w:p>
    <w:p w14:paraId="1F774BB5">
      <w:pPr>
        <w:pStyle w:val="24"/>
        <w:snapToGrid w:val="0"/>
        <w:spacing w:line="360" w:lineRule="auto"/>
        <w:rPr>
          <w:rFonts w:cs="宋体"/>
          <w:sz w:val="21"/>
          <w:szCs w:val="21"/>
        </w:rPr>
      </w:pPr>
      <w:r>
        <w:rPr>
          <w:rFonts w:hint="eastAsia" w:cs="宋体"/>
          <w:sz w:val="21"/>
          <w:szCs w:val="21"/>
        </w:rPr>
        <w:t>6.4政府采购合同已经履行，给采购人、供应商造成损失的，由责任人承担赔偿责任。</w:t>
      </w:r>
    </w:p>
    <w:p w14:paraId="091E7C53">
      <w:pPr>
        <w:pStyle w:val="396"/>
        <w:spacing w:before="0" w:line="348" w:lineRule="auto"/>
        <w:ind w:firstLine="0" w:firstLineChars="0"/>
        <w:rPr>
          <w:rFonts w:cs="仿宋_GB2312" w:asciiTheme="minorEastAsia" w:hAnsiTheme="minorEastAsia" w:eastAsiaTheme="minorEastAsia"/>
          <w:b/>
          <w:sz w:val="21"/>
          <w:szCs w:val="21"/>
        </w:rPr>
      </w:pPr>
      <w:r>
        <w:rPr>
          <w:rFonts w:hint="eastAsia" w:cs="宋体"/>
          <w:sz w:val="21"/>
          <w:szCs w:val="21"/>
        </w:rPr>
        <w:t>6.5政府采购当事人有其他违反政府采购法或者政府采购法实施条例等法律法规规定的行为，经改正后仍然影响或者可能影响成交结果或者依法被认定为成交无效的，依照6.1-6.4规定处理。</w:t>
      </w:r>
    </w:p>
    <w:p w14:paraId="5F424672">
      <w:pPr>
        <w:pStyle w:val="396"/>
        <w:spacing w:before="0" w:line="348" w:lineRule="auto"/>
        <w:ind w:firstLine="0" w:firstLineChars="0"/>
        <w:rPr>
          <w:rFonts w:hint="eastAsia" w:cs="仿宋_GB2312" w:asciiTheme="minorEastAsia" w:hAnsiTheme="minorEastAsia" w:eastAsiaTheme="minorEastAsia"/>
          <w:b/>
          <w:sz w:val="21"/>
          <w:szCs w:val="21"/>
          <w:lang w:val="en-US" w:eastAsia="zh-CN"/>
        </w:rPr>
      </w:pPr>
    </w:p>
    <w:p w14:paraId="21D856A1">
      <w:pPr>
        <w:pStyle w:val="396"/>
        <w:spacing w:before="0" w:line="348" w:lineRule="auto"/>
        <w:ind w:firstLine="0" w:firstLineChars="0"/>
        <w:rPr>
          <w:rFonts w:hint="eastAsia" w:cs="仿宋_GB2312" w:asciiTheme="minorEastAsia" w:hAnsiTheme="minorEastAsia" w:eastAsiaTheme="minorEastAsia"/>
          <w:b/>
          <w:sz w:val="21"/>
          <w:szCs w:val="21"/>
        </w:rPr>
      </w:pPr>
      <w:r>
        <w:rPr>
          <w:rFonts w:hint="eastAsia" w:cs="仿宋_GB2312" w:asciiTheme="minorEastAsia" w:hAnsiTheme="minorEastAsia" w:eastAsiaTheme="minorEastAsia"/>
          <w:b/>
          <w:sz w:val="21"/>
          <w:szCs w:val="21"/>
          <w:lang w:val="en-US" w:eastAsia="zh-CN"/>
        </w:rPr>
        <w:t>五、</w:t>
      </w:r>
      <w:r>
        <w:rPr>
          <w:rFonts w:hint="eastAsia" w:cs="仿宋_GB2312" w:asciiTheme="minorEastAsia" w:hAnsiTheme="minorEastAsia" w:eastAsiaTheme="minorEastAsia"/>
          <w:b/>
          <w:sz w:val="21"/>
          <w:szCs w:val="21"/>
        </w:rPr>
        <w:t>评审标准</w:t>
      </w:r>
      <w:r>
        <w:rPr>
          <w:rFonts w:hint="eastAsia" w:cs="仿宋_GB2312" w:asciiTheme="minorEastAsia" w:hAnsiTheme="minorEastAsia" w:eastAsiaTheme="minorEastAsia"/>
          <w:b/>
          <w:sz w:val="21"/>
          <w:szCs w:val="21"/>
          <w:lang w:val="en-US" w:eastAsia="zh-CN"/>
        </w:rPr>
        <w:t xml:space="preserve"> ：</w:t>
      </w:r>
      <w:r>
        <w:rPr>
          <w:rFonts w:hint="eastAsia" w:cs="仿宋_GB2312" w:asciiTheme="minorEastAsia" w:hAnsiTheme="minorEastAsia" w:eastAsiaTheme="minorEastAsia"/>
          <w:b w:val="0"/>
          <w:bCs/>
          <w:sz w:val="21"/>
          <w:szCs w:val="21"/>
        </w:rPr>
        <w:t>详见《评分标准（兼评委打分表）》</w:t>
      </w:r>
      <w:r>
        <w:rPr>
          <w:rFonts w:hint="eastAsia" w:cs="仿宋_GB2312" w:asciiTheme="minorEastAsia" w:hAnsiTheme="minorEastAsia" w:eastAsiaTheme="minorEastAsia"/>
          <w:b/>
          <w:sz w:val="21"/>
          <w:szCs w:val="21"/>
        </w:rPr>
        <w:t>。</w:t>
      </w:r>
    </w:p>
    <w:p w14:paraId="45FC4FB1">
      <w:pPr>
        <w:spacing w:line="400" w:lineRule="exact"/>
        <w:jc w:val="center"/>
        <w:rPr>
          <w:rFonts w:eastAsia="黑体"/>
          <w:b/>
          <w:sz w:val="28"/>
          <w:szCs w:val="28"/>
        </w:rPr>
      </w:pPr>
      <w:r>
        <w:rPr>
          <w:b/>
          <w:color w:val="000000"/>
          <w:sz w:val="24"/>
          <w:szCs w:val="24"/>
          <w:highlight w:val="none"/>
        </w:rPr>
        <w:t>评分标准（兼评委打分表）</w:t>
      </w:r>
    </w:p>
    <w:tbl>
      <w:tblPr>
        <w:tblStyle w:val="60"/>
        <w:tblW w:w="10201"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48"/>
        <w:gridCol w:w="1164"/>
        <w:gridCol w:w="8289"/>
      </w:tblGrid>
      <w:tr w14:paraId="4AC5C84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8" w:type="dxa"/>
            <w:noWrap w:val="0"/>
            <w:vAlign w:val="center"/>
          </w:tcPr>
          <w:p w14:paraId="429AEB72">
            <w:pPr>
              <w:spacing w:line="340" w:lineRule="exact"/>
              <w:rPr>
                <w:color w:val="000000"/>
                <w:szCs w:val="21"/>
                <w:highlight w:val="none"/>
              </w:rPr>
            </w:pPr>
          </w:p>
        </w:tc>
        <w:tc>
          <w:tcPr>
            <w:tcW w:w="1164" w:type="dxa"/>
            <w:noWrap w:val="0"/>
            <w:vAlign w:val="center"/>
          </w:tcPr>
          <w:p w14:paraId="4C965941">
            <w:pPr>
              <w:spacing w:line="340" w:lineRule="exact"/>
              <w:jc w:val="center"/>
              <w:rPr>
                <w:color w:val="000000"/>
                <w:szCs w:val="21"/>
                <w:highlight w:val="none"/>
              </w:rPr>
            </w:pPr>
            <w:r>
              <w:rPr>
                <w:rFonts w:hint="eastAsia"/>
                <w:color w:val="000000"/>
                <w:highlight w:val="none"/>
              </w:rPr>
              <w:t>项目</w:t>
            </w:r>
          </w:p>
        </w:tc>
        <w:tc>
          <w:tcPr>
            <w:tcW w:w="8289" w:type="dxa"/>
            <w:noWrap w:val="0"/>
            <w:vAlign w:val="center"/>
          </w:tcPr>
          <w:p w14:paraId="1BDE1165">
            <w:pPr>
              <w:tabs>
                <w:tab w:val="left" w:pos="4915"/>
              </w:tabs>
              <w:spacing w:line="340" w:lineRule="exact"/>
              <w:jc w:val="center"/>
              <w:rPr>
                <w:color w:val="000000"/>
                <w:szCs w:val="21"/>
                <w:highlight w:val="none"/>
              </w:rPr>
            </w:pPr>
            <w:r>
              <w:rPr>
                <w:rFonts w:hint="eastAsia"/>
                <w:color w:val="000000"/>
                <w:highlight w:val="none"/>
              </w:rPr>
              <w:t>评分细则</w:t>
            </w:r>
          </w:p>
        </w:tc>
      </w:tr>
      <w:tr w14:paraId="33D4170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8" w:type="dxa"/>
            <w:vMerge w:val="restart"/>
            <w:noWrap w:val="0"/>
            <w:vAlign w:val="center"/>
          </w:tcPr>
          <w:p w14:paraId="7D60C6B6">
            <w:pPr>
              <w:spacing w:line="340" w:lineRule="exact"/>
              <w:rPr>
                <w:color w:val="000000"/>
                <w:szCs w:val="21"/>
                <w:highlight w:val="none"/>
              </w:rPr>
            </w:pPr>
            <w:r>
              <w:rPr>
                <w:color w:val="000000"/>
                <w:szCs w:val="21"/>
                <w:highlight w:val="none"/>
              </w:rPr>
              <w:t>技术资信</w:t>
            </w:r>
            <w:r>
              <w:rPr>
                <w:rFonts w:hint="eastAsia"/>
                <w:color w:val="000000"/>
                <w:szCs w:val="21"/>
                <w:highlight w:val="none"/>
              </w:rPr>
              <w:t>部分</w:t>
            </w:r>
            <w:r>
              <w:rPr>
                <w:rFonts w:hint="eastAsia"/>
                <w:color w:val="000000"/>
                <w:szCs w:val="21"/>
                <w:highlight w:val="none"/>
                <w:lang w:val="en-US" w:eastAsia="zh-CN"/>
              </w:rPr>
              <w:t>70</w:t>
            </w:r>
            <w:r>
              <w:rPr>
                <w:color w:val="000000"/>
                <w:szCs w:val="21"/>
                <w:highlight w:val="none"/>
              </w:rPr>
              <w:t>分</w:t>
            </w:r>
          </w:p>
          <w:p w14:paraId="385DB0F0">
            <w:pPr>
              <w:widowControl/>
              <w:spacing w:line="340" w:lineRule="exact"/>
              <w:jc w:val="left"/>
              <w:rPr>
                <w:color w:val="000000"/>
                <w:szCs w:val="21"/>
                <w:highlight w:val="none"/>
              </w:rPr>
            </w:pPr>
          </w:p>
        </w:tc>
        <w:tc>
          <w:tcPr>
            <w:tcW w:w="1164" w:type="dxa"/>
            <w:vMerge w:val="restart"/>
            <w:noWrap w:val="0"/>
            <w:vAlign w:val="center"/>
          </w:tcPr>
          <w:p w14:paraId="33F6CEC2">
            <w:pPr>
              <w:spacing w:line="340" w:lineRule="exact"/>
              <w:jc w:val="center"/>
              <w:rPr>
                <w:rFonts w:hint="eastAsia"/>
                <w:color w:val="000000"/>
                <w:szCs w:val="21"/>
                <w:highlight w:val="none"/>
              </w:rPr>
            </w:pPr>
            <w:r>
              <w:rPr>
                <w:rFonts w:hint="eastAsia"/>
                <w:color w:val="000000"/>
                <w:szCs w:val="21"/>
                <w:highlight w:val="none"/>
              </w:rPr>
              <w:t>施工组织方案</w:t>
            </w:r>
          </w:p>
          <w:p w14:paraId="309A4D1D">
            <w:pPr>
              <w:spacing w:line="340" w:lineRule="exact"/>
              <w:jc w:val="center"/>
              <w:rPr>
                <w:rFonts w:hint="eastAsia"/>
                <w:color w:val="000000"/>
                <w:highlight w:val="none"/>
              </w:rPr>
            </w:pPr>
            <w:r>
              <w:rPr>
                <w:color w:val="000000"/>
                <w:szCs w:val="21"/>
                <w:highlight w:val="none"/>
              </w:rPr>
              <w:t>（</w:t>
            </w:r>
            <w:r>
              <w:rPr>
                <w:rFonts w:hint="eastAsia"/>
                <w:color w:val="000000"/>
                <w:szCs w:val="21"/>
                <w:highlight w:val="none"/>
                <w:lang w:val="en-US" w:eastAsia="zh-CN"/>
              </w:rPr>
              <w:t>30</w:t>
            </w:r>
            <w:r>
              <w:rPr>
                <w:color w:val="000000"/>
                <w:szCs w:val="21"/>
                <w:highlight w:val="none"/>
              </w:rPr>
              <w:t>分）</w:t>
            </w:r>
          </w:p>
        </w:tc>
        <w:tc>
          <w:tcPr>
            <w:tcW w:w="8289" w:type="dxa"/>
            <w:noWrap w:val="0"/>
            <w:vAlign w:val="center"/>
          </w:tcPr>
          <w:p w14:paraId="7E83E510">
            <w:pPr>
              <w:tabs>
                <w:tab w:val="left" w:pos="4915"/>
              </w:tabs>
              <w:spacing w:line="340" w:lineRule="exact"/>
              <w:rPr>
                <w:rFonts w:hint="eastAsia" w:cs="宋体"/>
                <w:color w:val="000000" w:themeColor="text1"/>
                <w:szCs w:val="21"/>
                <w:highlight w:val="none"/>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1.施工方案（包括</w:t>
            </w:r>
            <w:r>
              <w:rPr>
                <w:rFonts w:hint="eastAsia" w:cs="宋体"/>
                <w:color w:val="000000" w:themeColor="text1"/>
                <w:szCs w:val="21"/>
                <w:highlight w:val="none"/>
                <w:lang w:val="en-US" w:eastAsia="zh-CN"/>
                <w14:textFill>
                  <w14:solidFill>
                    <w14:schemeClr w14:val="tx1"/>
                  </w14:solidFill>
                </w14:textFill>
              </w:rPr>
              <w:t>各工程关键节点</w:t>
            </w:r>
            <w:r>
              <w:rPr>
                <w:rFonts w:hint="eastAsia"/>
                <w:color w:val="000000" w:themeColor="text1"/>
                <w:sz w:val="21"/>
                <w:szCs w:val="21"/>
                <w:highlight w:val="none"/>
                <w:lang w:val="en-US" w:eastAsia="zh-CN"/>
                <w14:textFill>
                  <w14:solidFill>
                    <w14:schemeClr w14:val="tx1"/>
                  </w14:solidFill>
                </w14:textFill>
              </w:rPr>
              <w:t>）</w:t>
            </w:r>
            <w:r>
              <w:rPr>
                <w:rFonts w:hint="eastAsia" w:cs="宋体"/>
                <w:color w:val="000000" w:themeColor="text1"/>
                <w:szCs w:val="21"/>
                <w:highlight w:val="none"/>
                <w14:textFill>
                  <w14:solidFill>
                    <w14:schemeClr w14:val="tx1"/>
                  </w14:solidFill>
                </w14:textFill>
              </w:rPr>
              <w:t>（</w:t>
            </w:r>
            <w:r>
              <w:rPr>
                <w:rFonts w:hint="eastAsia" w:cs="宋体"/>
                <w:color w:val="000000" w:themeColor="text1"/>
                <w:szCs w:val="21"/>
                <w:highlight w:val="none"/>
                <w:lang w:val="en-US" w:eastAsia="zh-CN"/>
                <w14:textFill>
                  <w14:solidFill>
                    <w14:schemeClr w14:val="tx1"/>
                  </w14:solidFill>
                </w14:textFill>
              </w:rPr>
              <w:t>5</w:t>
            </w:r>
            <w:r>
              <w:rPr>
                <w:rFonts w:hint="eastAsia" w:cs="宋体"/>
                <w:color w:val="000000" w:themeColor="text1"/>
                <w:szCs w:val="21"/>
                <w:highlight w:val="none"/>
                <w14:textFill>
                  <w14:solidFill>
                    <w14:schemeClr w14:val="tx1"/>
                  </w14:solidFill>
                </w14:textFill>
              </w:rPr>
              <w:t>分）：</w:t>
            </w:r>
          </w:p>
          <w:p w14:paraId="54E1725E">
            <w:pPr>
              <w:tabs>
                <w:tab w:val="left" w:pos="4915"/>
              </w:tabs>
              <w:spacing w:line="340" w:lineRule="exact"/>
              <w:rPr>
                <w:rFonts w:hint="eastAsia" w:ascii="宋体" w:hAnsi="宋体" w:eastAsia="宋体" w:cs="宋体"/>
                <w:b w:val="0"/>
                <w:bCs w:val="0"/>
                <w:strike w:val="0"/>
                <w:dstrike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strike w:val="0"/>
                <w:dstrike w:val="0"/>
                <w:color w:val="000000" w:themeColor="text1"/>
                <w:sz w:val="21"/>
                <w:szCs w:val="21"/>
                <w:highlight w:val="none"/>
                <w:lang w:val="en-US" w:eastAsia="zh-CN"/>
                <w14:textFill>
                  <w14:solidFill>
                    <w14:schemeClr w14:val="tx1"/>
                  </w14:solidFill>
                </w14:textFill>
              </w:rPr>
              <w:t>①方案内容详实，逻辑清晰，符合项目实际情况，切实可行</w:t>
            </w:r>
            <w:r>
              <w:rPr>
                <w:rFonts w:hint="eastAsia" w:ascii="宋体" w:hAnsi="宋体" w:cs="宋体"/>
                <w:b w:val="0"/>
                <w:bCs w:val="0"/>
                <w:strike w:val="0"/>
                <w:dstrike w:val="0"/>
                <w:color w:val="000000" w:themeColor="text1"/>
                <w:sz w:val="21"/>
                <w:szCs w:val="21"/>
                <w:highlight w:val="none"/>
                <w:lang w:val="en-US" w:eastAsia="zh-CN"/>
                <w14:textFill>
                  <w14:solidFill>
                    <w14:schemeClr w14:val="tx1"/>
                  </w14:solidFill>
                </w14:textFill>
              </w:rPr>
              <w:t>，</w:t>
            </w:r>
            <w:r>
              <w:rPr>
                <w:rFonts w:hint="eastAsia" w:ascii="宋体" w:hAnsi="宋体" w:cs="宋体"/>
                <w:color w:val="000000" w:themeColor="text1"/>
                <w:szCs w:val="21"/>
                <w:highlight w:val="none"/>
                <w14:textFill>
                  <w14:solidFill>
                    <w14:schemeClr w14:val="tx1"/>
                  </w14:solidFill>
                </w14:textFill>
              </w:rPr>
              <w:t>可执行力度高</w:t>
            </w:r>
            <w:r>
              <w:rPr>
                <w:rFonts w:hint="eastAsia" w:ascii="宋体" w:hAnsi="宋体" w:eastAsia="宋体" w:cs="宋体"/>
                <w:b w:val="0"/>
                <w:bCs w:val="0"/>
                <w:strike w:val="0"/>
                <w:dstrike w:val="0"/>
                <w:color w:val="000000" w:themeColor="text1"/>
                <w:sz w:val="21"/>
                <w:szCs w:val="21"/>
                <w:highlight w:val="none"/>
                <w:lang w:val="en-US" w:eastAsia="zh-CN"/>
                <w14:textFill>
                  <w14:solidFill>
                    <w14:schemeClr w14:val="tx1"/>
                  </w14:solidFill>
                </w14:textFill>
              </w:rPr>
              <w:t>的得5分；</w:t>
            </w:r>
          </w:p>
          <w:p w14:paraId="192F880A">
            <w:pPr>
              <w:tabs>
                <w:tab w:val="left" w:pos="4915"/>
              </w:tabs>
              <w:spacing w:line="340" w:lineRule="exact"/>
              <w:rPr>
                <w:rFonts w:hint="eastAsia" w:ascii="宋体" w:hAnsi="宋体" w:eastAsia="宋体" w:cs="宋体"/>
                <w:b w:val="0"/>
                <w:bCs w:val="0"/>
                <w:strike w:val="0"/>
                <w:dstrike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strike w:val="0"/>
                <w:dstrike w:val="0"/>
                <w:color w:val="000000" w:themeColor="text1"/>
                <w:sz w:val="21"/>
                <w:szCs w:val="21"/>
                <w:highlight w:val="none"/>
                <w:lang w:val="en-US" w:eastAsia="zh-CN"/>
                <w14:textFill>
                  <w14:solidFill>
                    <w14:schemeClr w14:val="tx1"/>
                  </w14:solidFill>
                </w14:textFill>
              </w:rPr>
              <w:t>②方案内容详细，工作思路清楚，基本符合项目实际情况，合理可行</w:t>
            </w:r>
            <w:r>
              <w:rPr>
                <w:rFonts w:hint="eastAsia" w:ascii="宋体" w:hAnsi="宋体" w:cs="宋体"/>
                <w:b w:val="0"/>
                <w:bCs w:val="0"/>
                <w:strike w:val="0"/>
                <w:dstrike w:val="0"/>
                <w:color w:val="000000" w:themeColor="text1"/>
                <w:sz w:val="21"/>
                <w:szCs w:val="21"/>
                <w:highlight w:val="none"/>
                <w:lang w:val="en-US" w:eastAsia="zh-CN"/>
                <w14:textFill>
                  <w14:solidFill>
                    <w14:schemeClr w14:val="tx1"/>
                  </w14:solidFill>
                </w14:textFill>
              </w:rPr>
              <w:t>，</w:t>
            </w:r>
            <w:r>
              <w:rPr>
                <w:rFonts w:hint="eastAsia" w:ascii="宋体" w:hAnsi="宋体" w:cs="宋体"/>
                <w:color w:val="000000" w:themeColor="text1"/>
                <w:szCs w:val="21"/>
                <w:highlight w:val="none"/>
                <w14:textFill>
                  <w14:solidFill>
                    <w14:schemeClr w14:val="tx1"/>
                  </w14:solidFill>
                </w14:textFill>
              </w:rPr>
              <w:t>可执行力度</w:t>
            </w:r>
            <w:r>
              <w:rPr>
                <w:rFonts w:hint="eastAsia" w:ascii="宋体" w:hAnsi="宋体" w:cs="宋体"/>
                <w:color w:val="000000" w:themeColor="text1"/>
                <w:szCs w:val="21"/>
                <w:highlight w:val="none"/>
                <w:lang w:eastAsia="zh-CN"/>
                <w14:textFill>
                  <w14:solidFill>
                    <w14:schemeClr w14:val="tx1"/>
                  </w14:solidFill>
                </w14:textFill>
              </w:rPr>
              <w:t>较</w:t>
            </w:r>
            <w:r>
              <w:rPr>
                <w:rFonts w:hint="eastAsia" w:ascii="宋体" w:hAnsi="宋体" w:cs="宋体"/>
                <w:color w:val="000000" w:themeColor="text1"/>
                <w:szCs w:val="21"/>
                <w:highlight w:val="none"/>
                <w14:textFill>
                  <w14:solidFill>
                    <w14:schemeClr w14:val="tx1"/>
                  </w14:solidFill>
                </w14:textFill>
              </w:rPr>
              <w:t>高</w:t>
            </w:r>
            <w:r>
              <w:rPr>
                <w:rFonts w:hint="eastAsia" w:ascii="宋体" w:hAnsi="宋体" w:eastAsia="宋体" w:cs="宋体"/>
                <w:b w:val="0"/>
                <w:bCs w:val="0"/>
                <w:strike w:val="0"/>
                <w:dstrike w:val="0"/>
                <w:color w:val="000000" w:themeColor="text1"/>
                <w:sz w:val="21"/>
                <w:szCs w:val="21"/>
                <w:highlight w:val="none"/>
                <w:lang w:val="en-US" w:eastAsia="zh-CN"/>
                <w14:textFill>
                  <w14:solidFill>
                    <w14:schemeClr w14:val="tx1"/>
                  </w14:solidFill>
                </w14:textFill>
              </w:rPr>
              <w:t>的得4分；</w:t>
            </w:r>
          </w:p>
          <w:p w14:paraId="74E26FE9">
            <w:pPr>
              <w:tabs>
                <w:tab w:val="left" w:pos="4915"/>
              </w:tabs>
              <w:spacing w:line="340" w:lineRule="exact"/>
              <w:rPr>
                <w:rFonts w:hint="eastAsia" w:ascii="宋体" w:hAnsi="宋体" w:eastAsia="宋体" w:cs="宋体"/>
                <w:b w:val="0"/>
                <w:bCs w:val="0"/>
                <w:strike w:val="0"/>
                <w:dstrike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strike w:val="0"/>
                <w:dstrike w:val="0"/>
                <w:color w:val="000000" w:themeColor="text1"/>
                <w:sz w:val="21"/>
                <w:szCs w:val="21"/>
                <w:highlight w:val="none"/>
                <w:lang w:val="en-US" w:eastAsia="zh-CN"/>
                <w14:textFill>
                  <w14:solidFill>
                    <w14:schemeClr w14:val="tx1"/>
                  </w14:solidFill>
                </w14:textFill>
              </w:rPr>
              <w:t>③方案内容比较简单，虽然存在一些不足但无明显重大缺陷</w:t>
            </w:r>
            <w:r>
              <w:rPr>
                <w:rFonts w:hint="eastAsia" w:ascii="宋体" w:hAnsi="宋体" w:cs="宋体"/>
                <w:b w:val="0"/>
                <w:bCs w:val="0"/>
                <w:strike w:val="0"/>
                <w:dstrike w:val="0"/>
                <w:color w:val="000000" w:themeColor="text1"/>
                <w:sz w:val="21"/>
                <w:szCs w:val="21"/>
                <w:highlight w:val="none"/>
                <w:lang w:val="en-US" w:eastAsia="zh-CN"/>
                <w14:textFill>
                  <w14:solidFill>
                    <w14:schemeClr w14:val="tx1"/>
                  </w14:solidFill>
                </w14:textFill>
              </w:rPr>
              <w:t>，</w:t>
            </w:r>
            <w:r>
              <w:rPr>
                <w:rFonts w:hint="eastAsia" w:ascii="宋体" w:hAnsi="宋体" w:cs="宋体"/>
                <w:color w:val="000000" w:themeColor="text1"/>
                <w:szCs w:val="21"/>
                <w:highlight w:val="none"/>
                <w14:textFill>
                  <w14:solidFill>
                    <w14:schemeClr w14:val="tx1"/>
                  </w14:solidFill>
                </w14:textFill>
              </w:rPr>
              <w:t>可执行力度</w:t>
            </w:r>
            <w:r>
              <w:rPr>
                <w:rFonts w:hint="eastAsia" w:ascii="宋体" w:hAnsi="宋体" w:cs="宋体"/>
                <w:color w:val="000000" w:themeColor="text1"/>
                <w:szCs w:val="21"/>
                <w:highlight w:val="none"/>
                <w:lang w:eastAsia="zh-CN"/>
                <w14:textFill>
                  <w14:solidFill>
                    <w14:schemeClr w14:val="tx1"/>
                  </w14:solidFill>
                </w14:textFill>
              </w:rPr>
              <w:t>一般</w:t>
            </w:r>
            <w:r>
              <w:rPr>
                <w:rFonts w:hint="eastAsia" w:ascii="宋体" w:hAnsi="宋体" w:eastAsia="宋体" w:cs="宋体"/>
                <w:b w:val="0"/>
                <w:bCs w:val="0"/>
                <w:strike w:val="0"/>
                <w:dstrike w:val="0"/>
                <w:color w:val="000000" w:themeColor="text1"/>
                <w:sz w:val="21"/>
                <w:szCs w:val="21"/>
                <w:highlight w:val="none"/>
                <w:lang w:val="en-US" w:eastAsia="zh-CN"/>
                <w14:textFill>
                  <w14:solidFill>
                    <w14:schemeClr w14:val="tx1"/>
                  </w14:solidFill>
                </w14:textFill>
              </w:rPr>
              <w:t>的得3分；</w:t>
            </w:r>
          </w:p>
          <w:p w14:paraId="043CD467">
            <w:pPr>
              <w:tabs>
                <w:tab w:val="left" w:pos="4915"/>
              </w:tabs>
              <w:spacing w:line="340" w:lineRule="exact"/>
              <w:rPr>
                <w:rFonts w:hint="eastAsia" w:ascii="宋体" w:hAnsi="宋体" w:eastAsia="宋体" w:cs="宋体"/>
                <w:strike w:val="0"/>
                <w:dstrike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strike w:val="0"/>
                <w:dstrike w:val="0"/>
                <w:color w:val="000000" w:themeColor="text1"/>
                <w:sz w:val="21"/>
                <w:szCs w:val="21"/>
                <w:highlight w:val="none"/>
                <w:lang w:val="en-US" w:eastAsia="zh-CN"/>
                <w14:textFill>
                  <w14:solidFill>
                    <w14:schemeClr w14:val="tx1"/>
                  </w14:solidFill>
                </w14:textFill>
              </w:rPr>
              <w:t>④方案内容简单、笼统，存在较多的不足，可行性差</w:t>
            </w:r>
            <w:r>
              <w:rPr>
                <w:rFonts w:hint="eastAsia" w:ascii="宋体" w:hAnsi="宋体" w:cs="宋体"/>
                <w:b w:val="0"/>
                <w:bCs w:val="0"/>
                <w:strike w:val="0"/>
                <w:dstrike w:val="0"/>
                <w:color w:val="000000" w:themeColor="text1"/>
                <w:sz w:val="21"/>
                <w:szCs w:val="21"/>
                <w:highlight w:val="none"/>
                <w:lang w:val="en-US" w:eastAsia="zh-CN"/>
                <w14:textFill>
                  <w14:solidFill>
                    <w14:schemeClr w14:val="tx1"/>
                  </w14:solidFill>
                </w14:textFill>
              </w:rPr>
              <w:t>，</w:t>
            </w:r>
            <w:r>
              <w:rPr>
                <w:rFonts w:hint="eastAsia" w:ascii="宋体" w:hAnsi="宋体" w:eastAsia="宋体" w:cs="宋体"/>
                <w:b w:val="0"/>
                <w:bCs w:val="0"/>
                <w:strike w:val="0"/>
                <w:dstrike w:val="0"/>
                <w:color w:val="000000" w:themeColor="text1"/>
                <w:sz w:val="21"/>
                <w:szCs w:val="21"/>
                <w:highlight w:val="none"/>
                <w:lang w:val="en-US" w:eastAsia="zh-CN"/>
                <w14:textFill>
                  <w14:solidFill>
                    <w14:schemeClr w14:val="tx1"/>
                  </w14:solidFill>
                </w14:textFill>
              </w:rPr>
              <w:t>的得</w:t>
            </w:r>
            <w:r>
              <w:rPr>
                <w:rFonts w:hint="eastAsia" w:ascii="宋体" w:hAnsi="宋体" w:eastAsia="宋体" w:cs="宋体"/>
                <w:strike w:val="0"/>
                <w:dstrike w:val="0"/>
                <w:color w:val="000000" w:themeColor="text1"/>
                <w:sz w:val="21"/>
                <w:szCs w:val="21"/>
                <w:highlight w:val="none"/>
                <w:lang w:val="en-US" w:eastAsia="zh-CN"/>
                <w14:textFill>
                  <w14:solidFill>
                    <w14:schemeClr w14:val="tx1"/>
                  </w14:solidFill>
                </w14:textFill>
              </w:rPr>
              <w:t>2分；</w:t>
            </w:r>
          </w:p>
          <w:p w14:paraId="6998DCD5">
            <w:pPr>
              <w:tabs>
                <w:tab w:val="left" w:pos="4915"/>
              </w:tabs>
              <w:spacing w:line="340" w:lineRule="exact"/>
              <w:rPr>
                <w:rFonts w:hint="eastAsia" w:ascii="宋体" w:hAnsi="宋体" w:eastAsia="宋体" w:cs="宋体"/>
                <w:strike w:val="0"/>
                <w:dstrike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strike w:val="0"/>
                <w:dstrike w:val="0"/>
                <w:color w:val="000000" w:themeColor="text1"/>
                <w:sz w:val="21"/>
                <w:szCs w:val="21"/>
                <w:highlight w:val="none"/>
                <w:lang w:val="en-US" w:eastAsia="zh-CN"/>
                <w14:textFill>
                  <w14:solidFill>
                    <w14:schemeClr w14:val="tx1"/>
                  </w14:solidFill>
                </w14:textFill>
              </w:rPr>
              <w:t>⑤提交的方案与实际情况存在一定偏差的得1分；</w:t>
            </w:r>
          </w:p>
          <w:p w14:paraId="56FBF982">
            <w:pPr>
              <w:tabs>
                <w:tab w:val="left" w:pos="4915"/>
              </w:tabs>
              <w:spacing w:line="340" w:lineRule="exact"/>
              <w:rPr>
                <w:rFonts w:hint="eastAsia"/>
                <w:color w:val="000000"/>
                <w:highlight w:val="none"/>
              </w:rPr>
            </w:pPr>
            <w:r>
              <w:rPr>
                <w:rFonts w:hint="eastAsia" w:cs="宋体"/>
                <w:color w:val="000000" w:themeColor="text1"/>
                <w:szCs w:val="21"/>
                <w:highlight w:val="none"/>
                <w:lang w:val="en-US" w:eastAsia="zh-CN"/>
                <w14:textFill>
                  <w14:solidFill>
                    <w14:schemeClr w14:val="tx1"/>
                  </w14:solidFill>
                </w14:textFill>
              </w:rPr>
              <w:t>未提供相关内容不得分。</w:t>
            </w:r>
          </w:p>
        </w:tc>
      </w:tr>
      <w:tr w14:paraId="14E528E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999" w:hRule="atLeast"/>
          <w:jc w:val="center"/>
        </w:trPr>
        <w:tc>
          <w:tcPr>
            <w:tcW w:w="748" w:type="dxa"/>
            <w:vMerge w:val="continue"/>
            <w:noWrap w:val="0"/>
            <w:vAlign w:val="center"/>
          </w:tcPr>
          <w:p w14:paraId="6754E7C7">
            <w:pPr>
              <w:widowControl/>
              <w:spacing w:line="340" w:lineRule="exact"/>
              <w:jc w:val="left"/>
              <w:rPr>
                <w:color w:val="000000"/>
                <w:szCs w:val="21"/>
                <w:highlight w:val="none"/>
              </w:rPr>
            </w:pPr>
          </w:p>
        </w:tc>
        <w:tc>
          <w:tcPr>
            <w:tcW w:w="1164" w:type="dxa"/>
            <w:vMerge w:val="continue"/>
            <w:noWrap w:val="0"/>
            <w:vAlign w:val="center"/>
          </w:tcPr>
          <w:p w14:paraId="01F56D95">
            <w:pPr>
              <w:spacing w:line="340" w:lineRule="exact"/>
              <w:jc w:val="center"/>
              <w:rPr>
                <w:color w:val="000000"/>
                <w:szCs w:val="21"/>
                <w:highlight w:val="none"/>
              </w:rPr>
            </w:pPr>
          </w:p>
        </w:tc>
        <w:tc>
          <w:tcPr>
            <w:tcW w:w="8289" w:type="dxa"/>
            <w:noWrap w:val="0"/>
            <w:vAlign w:val="center"/>
          </w:tcPr>
          <w:p w14:paraId="53C389F3">
            <w:pPr>
              <w:tabs>
                <w:tab w:val="left" w:pos="4915"/>
              </w:tabs>
              <w:spacing w:line="340" w:lineRule="exact"/>
              <w:rPr>
                <w:rFonts w:hint="eastAsia" w:ascii="Times New Roman" w:hAnsi="Times New Roman" w:eastAsia="宋体" w:cs="宋体"/>
                <w:color w:val="000000"/>
                <w:szCs w:val="21"/>
                <w:highlight w:val="none"/>
                <w:lang w:val="en-US" w:eastAsia="zh-CN"/>
              </w:rPr>
            </w:pPr>
            <w:r>
              <w:rPr>
                <w:rFonts w:hint="eastAsia" w:cs="宋体"/>
                <w:color w:val="000000"/>
                <w:szCs w:val="21"/>
                <w:highlight w:val="none"/>
                <w:lang w:val="en-US" w:eastAsia="zh-CN"/>
              </w:rPr>
              <w:t>2.</w:t>
            </w:r>
            <w:r>
              <w:rPr>
                <w:rFonts w:hint="eastAsia" w:ascii="Times New Roman" w:hAnsi="Times New Roman" w:eastAsia="宋体" w:cs="宋体"/>
                <w:color w:val="000000"/>
                <w:szCs w:val="21"/>
                <w:highlight w:val="none"/>
                <w:lang w:val="en-US" w:eastAsia="zh-CN"/>
              </w:rPr>
              <w:t>项目现场平面布置方案（5分）</w:t>
            </w:r>
            <w:r>
              <w:rPr>
                <w:rFonts w:hint="eastAsia" w:ascii="宋体" w:hAnsi="宋体" w:cs="宋体"/>
                <w:color w:val="auto"/>
                <w:highlight w:val="none"/>
                <w:lang w:eastAsia="zh-CN"/>
              </w:rPr>
              <w:t>（包含但不仅限于方案详实情况；施工现场临时设置布置情况；施工设备、原材料堆放情况；安全警示情况；施工现场安全通道、消防设施配备情况等）</w:t>
            </w:r>
            <w:r>
              <w:rPr>
                <w:rFonts w:hint="eastAsia" w:ascii="Times New Roman" w:hAnsi="Times New Roman" w:eastAsia="宋体" w:cs="宋体"/>
                <w:color w:val="000000"/>
                <w:szCs w:val="21"/>
                <w:highlight w:val="none"/>
                <w:lang w:val="en-US" w:eastAsia="zh-CN"/>
              </w:rPr>
              <w:t>：</w:t>
            </w:r>
          </w:p>
          <w:p w14:paraId="2CE0CD60">
            <w:pPr>
              <w:tabs>
                <w:tab w:val="left" w:pos="4915"/>
              </w:tabs>
              <w:spacing w:line="340" w:lineRule="exact"/>
              <w:rPr>
                <w:rFonts w:hint="eastAsia" w:ascii="Times New Roman" w:hAnsi="Times New Roman" w:eastAsia="宋体" w:cs="宋体"/>
                <w:color w:val="000000"/>
                <w:szCs w:val="21"/>
                <w:highlight w:val="none"/>
              </w:rPr>
            </w:pPr>
            <w:r>
              <w:rPr>
                <w:rFonts w:hint="eastAsia" w:ascii="宋体" w:hAnsi="宋体" w:eastAsia="宋体" w:cs="宋体"/>
                <w:b w:val="0"/>
                <w:bCs w:val="0"/>
                <w:strike w:val="0"/>
                <w:dstrike w:val="0"/>
                <w:color w:val="auto"/>
                <w:sz w:val="21"/>
                <w:szCs w:val="21"/>
                <w:highlight w:val="none"/>
                <w:lang w:val="en-US" w:eastAsia="zh-CN"/>
              </w:rPr>
              <w:t>①</w:t>
            </w:r>
            <w:r>
              <w:rPr>
                <w:rFonts w:hint="eastAsia" w:ascii="Times New Roman" w:hAnsi="Times New Roman" w:eastAsia="宋体" w:cs="宋体"/>
                <w:color w:val="000000"/>
                <w:szCs w:val="21"/>
                <w:highlight w:val="none"/>
              </w:rPr>
              <w:t>平面布置方案详实完整，施工现场临时设施布置齐全，施工设备、原材料堆放有序，安全警示醒目</w:t>
            </w:r>
            <w:r>
              <w:rPr>
                <w:rFonts w:hint="eastAsia" w:cs="宋体"/>
                <w:color w:val="000000"/>
                <w:szCs w:val="21"/>
                <w:highlight w:val="none"/>
                <w:lang w:eastAsia="zh-CN"/>
              </w:rPr>
              <w:t>，</w:t>
            </w:r>
            <w:r>
              <w:rPr>
                <w:rFonts w:hint="eastAsia" w:ascii="宋体" w:hAnsi="宋体" w:cs="宋体"/>
                <w:color w:val="auto"/>
                <w:highlight w:val="none"/>
                <w:lang w:eastAsia="zh-CN"/>
              </w:rPr>
              <w:t>施工现场安全通道、消防设施配备充足，</w:t>
            </w:r>
            <w:r>
              <w:rPr>
                <w:rFonts w:hint="eastAsia" w:ascii="宋体" w:hAnsi="宋体" w:cs="宋体"/>
                <w:color w:val="auto"/>
                <w:highlight w:val="none"/>
              </w:rPr>
              <w:t>可执行力度高</w:t>
            </w:r>
            <w:r>
              <w:rPr>
                <w:rFonts w:hint="eastAsia" w:ascii="Times New Roman" w:hAnsi="Times New Roman" w:eastAsia="宋体" w:cs="宋体"/>
                <w:color w:val="000000"/>
                <w:szCs w:val="21"/>
                <w:highlight w:val="none"/>
              </w:rPr>
              <w:t>的得</w:t>
            </w:r>
            <w:r>
              <w:rPr>
                <w:rFonts w:hint="eastAsia" w:ascii="Times New Roman" w:hAnsi="Times New Roman" w:eastAsia="宋体" w:cs="宋体"/>
                <w:color w:val="000000"/>
                <w:szCs w:val="21"/>
                <w:highlight w:val="none"/>
                <w:lang w:val="en-US" w:eastAsia="zh-CN"/>
              </w:rPr>
              <w:t>5</w:t>
            </w:r>
            <w:r>
              <w:rPr>
                <w:rFonts w:hint="eastAsia" w:ascii="Times New Roman" w:hAnsi="Times New Roman" w:eastAsia="宋体" w:cs="宋体"/>
                <w:color w:val="000000"/>
                <w:szCs w:val="21"/>
                <w:highlight w:val="none"/>
              </w:rPr>
              <w:t>分；</w:t>
            </w:r>
          </w:p>
          <w:p w14:paraId="2CA2E211">
            <w:pPr>
              <w:tabs>
                <w:tab w:val="left" w:pos="4915"/>
              </w:tabs>
              <w:spacing w:line="340" w:lineRule="exact"/>
              <w:rPr>
                <w:rFonts w:hint="eastAsia" w:ascii="Times New Roman" w:hAnsi="Times New Roman" w:eastAsia="宋体" w:cs="宋体"/>
                <w:color w:val="000000"/>
                <w:szCs w:val="21"/>
                <w:highlight w:val="none"/>
              </w:rPr>
            </w:pPr>
            <w:r>
              <w:rPr>
                <w:rFonts w:hint="eastAsia" w:ascii="宋体" w:hAnsi="宋体" w:eastAsia="宋体" w:cs="宋体"/>
                <w:b w:val="0"/>
                <w:bCs w:val="0"/>
                <w:strike w:val="0"/>
                <w:dstrike w:val="0"/>
                <w:color w:val="auto"/>
                <w:sz w:val="21"/>
                <w:szCs w:val="21"/>
                <w:highlight w:val="none"/>
                <w:lang w:val="en-US" w:eastAsia="zh-CN"/>
              </w:rPr>
              <w:t>②</w:t>
            </w:r>
            <w:r>
              <w:rPr>
                <w:rFonts w:hint="eastAsia" w:ascii="Times New Roman" w:hAnsi="Times New Roman" w:eastAsia="宋体" w:cs="宋体"/>
                <w:color w:val="000000"/>
                <w:szCs w:val="21"/>
                <w:highlight w:val="none"/>
              </w:rPr>
              <w:t>平面布置方案较详细，施工现场临时设施布置基本齐全，施工设备、原材料堆放较有序，安全警示较醒目</w:t>
            </w:r>
            <w:r>
              <w:rPr>
                <w:rFonts w:hint="eastAsia" w:cs="宋体"/>
                <w:color w:val="000000"/>
                <w:szCs w:val="21"/>
                <w:highlight w:val="none"/>
                <w:lang w:eastAsia="zh-CN"/>
              </w:rPr>
              <w:t>，</w:t>
            </w:r>
            <w:r>
              <w:rPr>
                <w:rFonts w:hint="eastAsia" w:ascii="宋体" w:hAnsi="宋体" w:cs="宋体"/>
                <w:color w:val="auto"/>
                <w:highlight w:val="none"/>
                <w:lang w:eastAsia="zh-CN"/>
              </w:rPr>
              <w:t>施工现场安全通道、消防设施配备较充足，</w:t>
            </w:r>
            <w:r>
              <w:rPr>
                <w:rFonts w:hint="eastAsia" w:ascii="宋体" w:hAnsi="宋体" w:cs="宋体"/>
                <w:color w:val="auto"/>
                <w:highlight w:val="none"/>
              </w:rPr>
              <w:t>可执行力度</w:t>
            </w:r>
            <w:r>
              <w:rPr>
                <w:rFonts w:hint="eastAsia" w:ascii="宋体" w:hAnsi="宋体" w:cs="宋体"/>
                <w:color w:val="auto"/>
                <w:highlight w:val="none"/>
                <w:lang w:eastAsia="zh-CN"/>
              </w:rPr>
              <w:t>较</w:t>
            </w:r>
            <w:r>
              <w:rPr>
                <w:rFonts w:hint="eastAsia" w:ascii="宋体" w:hAnsi="宋体" w:cs="宋体"/>
                <w:color w:val="auto"/>
                <w:highlight w:val="none"/>
              </w:rPr>
              <w:t>高</w:t>
            </w:r>
            <w:r>
              <w:rPr>
                <w:rFonts w:hint="eastAsia" w:ascii="Times New Roman" w:hAnsi="Times New Roman" w:eastAsia="宋体" w:cs="宋体"/>
                <w:color w:val="000000"/>
                <w:szCs w:val="21"/>
                <w:highlight w:val="none"/>
              </w:rPr>
              <w:t>的得</w:t>
            </w:r>
            <w:r>
              <w:rPr>
                <w:rFonts w:hint="eastAsia" w:cs="宋体"/>
                <w:color w:val="000000"/>
                <w:szCs w:val="21"/>
                <w:highlight w:val="none"/>
                <w:lang w:val="en-US" w:eastAsia="zh-CN"/>
              </w:rPr>
              <w:t>4</w:t>
            </w:r>
            <w:r>
              <w:rPr>
                <w:rFonts w:hint="eastAsia" w:ascii="Times New Roman" w:hAnsi="Times New Roman" w:eastAsia="宋体" w:cs="宋体"/>
                <w:color w:val="000000"/>
                <w:szCs w:val="21"/>
                <w:highlight w:val="none"/>
              </w:rPr>
              <w:t>分；</w:t>
            </w:r>
          </w:p>
          <w:p w14:paraId="035072EC">
            <w:pPr>
              <w:pStyle w:val="72"/>
              <w:ind w:left="0" w:leftChars="0" w:firstLine="0" w:firstLineChars="0"/>
              <w:rPr>
                <w:rFonts w:hint="eastAsia" w:ascii="宋体" w:hAnsi="宋体" w:cs="宋体"/>
                <w:b w:val="0"/>
                <w:bCs w:val="0"/>
                <w:strike w:val="0"/>
                <w:dstrike w:val="0"/>
                <w:color w:val="auto"/>
                <w:sz w:val="21"/>
                <w:szCs w:val="21"/>
                <w:highlight w:val="none"/>
                <w:lang w:val="en-US" w:eastAsia="zh-CN"/>
              </w:rPr>
            </w:pPr>
            <w:r>
              <w:rPr>
                <w:rFonts w:hint="eastAsia" w:ascii="宋体" w:hAnsi="宋体" w:eastAsia="宋体" w:cs="宋体"/>
                <w:b w:val="0"/>
                <w:bCs w:val="0"/>
                <w:strike w:val="0"/>
                <w:dstrike w:val="0"/>
                <w:color w:val="auto"/>
                <w:sz w:val="21"/>
                <w:szCs w:val="21"/>
                <w:highlight w:val="none"/>
                <w:lang w:val="en-US" w:eastAsia="zh-CN"/>
              </w:rPr>
              <w:t>③</w:t>
            </w:r>
            <w:r>
              <w:rPr>
                <w:rFonts w:hint="eastAsia" w:ascii="Times New Roman" w:hAnsi="Times New Roman" w:eastAsia="宋体" w:cs="宋体"/>
                <w:color w:val="000000"/>
                <w:szCs w:val="21"/>
                <w:highlight w:val="none"/>
              </w:rPr>
              <w:t>平面布置方案</w:t>
            </w:r>
            <w:r>
              <w:rPr>
                <w:rFonts w:hint="eastAsia" w:ascii="宋体" w:hAnsi="宋体" w:eastAsia="宋体" w:cs="宋体"/>
                <w:b w:val="0"/>
                <w:bCs w:val="0"/>
                <w:strike w:val="0"/>
                <w:dstrike w:val="0"/>
                <w:color w:val="auto"/>
                <w:sz w:val="21"/>
                <w:szCs w:val="21"/>
                <w:highlight w:val="none"/>
                <w:lang w:val="en-US" w:eastAsia="zh-CN"/>
              </w:rPr>
              <w:t>比较简单</w:t>
            </w:r>
            <w:r>
              <w:rPr>
                <w:rFonts w:hint="eastAsia" w:ascii="宋体" w:hAnsi="宋体" w:cs="宋体"/>
                <w:b w:val="0"/>
                <w:bCs w:val="0"/>
                <w:strike w:val="0"/>
                <w:dstrike w:val="0"/>
                <w:color w:val="auto"/>
                <w:sz w:val="21"/>
                <w:szCs w:val="21"/>
                <w:highlight w:val="none"/>
                <w:lang w:val="en-US" w:eastAsia="zh-CN"/>
              </w:rPr>
              <w:t>，</w:t>
            </w:r>
            <w:r>
              <w:rPr>
                <w:rFonts w:hint="eastAsia" w:ascii="Times New Roman" w:hAnsi="Times New Roman" w:eastAsia="宋体" w:cs="宋体"/>
                <w:color w:val="000000"/>
                <w:szCs w:val="21"/>
                <w:highlight w:val="none"/>
              </w:rPr>
              <w:t>施工现场临时设施布置</w:t>
            </w:r>
            <w:r>
              <w:rPr>
                <w:rFonts w:hint="eastAsia" w:cs="宋体"/>
                <w:color w:val="000000"/>
                <w:szCs w:val="21"/>
                <w:highlight w:val="none"/>
                <w:lang w:eastAsia="zh-CN"/>
              </w:rPr>
              <w:t>较</w:t>
            </w:r>
            <w:r>
              <w:rPr>
                <w:rFonts w:hint="eastAsia" w:ascii="Times New Roman" w:hAnsi="Times New Roman" w:eastAsia="宋体" w:cs="宋体"/>
                <w:color w:val="000000"/>
                <w:szCs w:val="21"/>
                <w:highlight w:val="none"/>
              </w:rPr>
              <w:t>妥当</w:t>
            </w:r>
            <w:r>
              <w:rPr>
                <w:rFonts w:hint="eastAsia" w:cs="宋体"/>
                <w:color w:val="000000"/>
                <w:szCs w:val="21"/>
                <w:highlight w:val="none"/>
                <w:lang w:eastAsia="zh-CN"/>
              </w:rPr>
              <w:t>，</w:t>
            </w:r>
            <w:r>
              <w:rPr>
                <w:rFonts w:hint="eastAsia" w:ascii="Times New Roman" w:hAnsi="Times New Roman" w:eastAsia="宋体" w:cs="宋体"/>
                <w:color w:val="000000"/>
                <w:szCs w:val="21"/>
                <w:highlight w:val="none"/>
              </w:rPr>
              <w:t>施工设备、原材料堆放</w:t>
            </w:r>
            <w:r>
              <w:rPr>
                <w:rFonts w:hint="eastAsia" w:cs="宋体"/>
                <w:color w:val="000000"/>
                <w:szCs w:val="21"/>
                <w:highlight w:val="none"/>
                <w:lang w:eastAsia="zh-CN"/>
              </w:rPr>
              <w:t>及</w:t>
            </w:r>
            <w:r>
              <w:rPr>
                <w:rFonts w:hint="eastAsia" w:ascii="Times New Roman" w:hAnsi="Times New Roman" w:eastAsia="宋体" w:cs="宋体"/>
                <w:color w:val="000000"/>
                <w:szCs w:val="21"/>
                <w:highlight w:val="none"/>
              </w:rPr>
              <w:t>安全警示</w:t>
            </w:r>
            <w:r>
              <w:rPr>
                <w:rFonts w:hint="eastAsia" w:cs="宋体"/>
                <w:color w:val="000000"/>
                <w:szCs w:val="21"/>
                <w:highlight w:val="none"/>
                <w:lang w:eastAsia="zh-CN"/>
              </w:rPr>
              <w:t>、</w:t>
            </w:r>
            <w:r>
              <w:rPr>
                <w:rFonts w:hint="eastAsia" w:ascii="宋体" w:hAnsi="宋体" w:cs="宋体"/>
                <w:color w:val="auto"/>
                <w:highlight w:val="none"/>
                <w:lang w:eastAsia="zh-CN"/>
              </w:rPr>
              <w:t>施工现场安全通道、消防设施配备</w:t>
            </w:r>
            <w:r>
              <w:rPr>
                <w:rFonts w:hint="eastAsia" w:cs="宋体"/>
                <w:color w:val="000000"/>
                <w:szCs w:val="21"/>
                <w:highlight w:val="none"/>
                <w:lang w:eastAsia="zh-CN"/>
              </w:rPr>
              <w:t>等</w:t>
            </w:r>
            <w:r>
              <w:rPr>
                <w:rFonts w:hint="eastAsia" w:ascii="宋体" w:hAnsi="宋体" w:eastAsia="宋体" w:cs="宋体"/>
                <w:b w:val="0"/>
                <w:bCs w:val="0"/>
                <w:strike w:val="0"/>
                <w:dstrike w:val="0"/>
                <w:color w:val="auto"/>
                <w:sz w:val="21"/>
                <w:szCs w:val="21"/>
                <w:highlight w:val="none"/>
                <w:lang w:val="en-US" w:eastAsia="zh-CN"/>
              </w:rPr>
              <w:t>虽然存在一些不足但无明显重大缺陷的</w:t>
            </w:r>
            <w:r>
              <w:rPr>
                <w:rFonts w:hint="eastAsia" w:ascii="宋体" w:hAnsi="宋体" w:cs="宋体"/>
                <w:b w:val="0"/>
                <w:bCs w:val="0"/>
                <w:strike w:val="0"/>
                <w:dstrike w:val="0"/>
                <w:color w:val="auto"/>
                <w:sz w:val="21"/>
                <w:szCs w:val="21"/>
                <w:highlight w:val="none"/>
                <w:lang w:val="en-US" w:eastAsia="zh-CN"/>
              </w:rPr>
              <w:t>，</w:t>
            </w:r>
            <w:r>
              <w:rPr>
                <w:rFonts w:hint="eastAsia" w:ascii="宋体" w:hAnsi="宋体" w:cs="宋体"/>
                <w:color w:val="auto"/>
                <w:highlight w:val="none"/>
              </w:rPr>
              <w:t>可执行力度</w:t>
            </w:r>
            <w:r>
              <w:rPr>
                <w:rFonts w:hint="eastAsia" w:ascii="宋体" w:hAnsi="宋体" w:cs="宋体"/>
                <w:color w:val="auto"/>
                <w:highlight w:val="none"/>
                <w:lang w:eastAsia="zh-CN"/>
              </w:rPr>
              <w:t>一般的</w:t>
            </w:r>
            <w:r>
              <w:rPr>
                <w:rFonts w:hint="eastAsia" w:ascii="宋体" w:hAnsi="宋体" w:eastAsia="宋体" w:cs="宋体"/>
                <w:b w:val="0"/>
                <w:bCs w:val="0"/>
                <w:strike w:val="0"/>
                <w:dstrike w:val="0"/>
                <w:color w:val="auto"/>
                <w:sz w:val="21"/>
                <w:szCs w:val="21"/>
                <w:highlight w:val="none"/>
                <w:lang w:val="en-US" w:eastAsia="zh-CN"/>
              </w:rPr>
              <w:t>得3分</w:t>
            </w:r>
            <w:r>
              <w:rPr>
                <w:rFonts w:hint="eastAsia" w:ascii="宋体" w:hAnsi="宋体" w:cs="宋体"/>
                <w:b w:val="0"/>
                <w:bCs w:val="0"/>
                <w:strike w:val="0"/>
                <w:dstrike w:val="0"/>
                <w:color w:val="auto"/>
                <w:sz w:val="21"/>
                <w:szCs w:val="21"/>
                <w:highlight w:val="none"/>
                <w:lang w:val="en-US" w:eastAsia="zh-CN"/>
              </w:rPr>
              <w:t>；</w:t>
            </w:r>
          </w:p>
          <w:p w14:paraId="4B76DD3B">
            <w:pPr>
              <w:pStyle w:val="72"/>
              <w:ind w:left="0" w:leftChars="0" w:firstLine="0" w:firstLineChars="0"/>
              <w:rPr>
                <w:rFonts w:hint="eastAsia" w:ascii="宋体" w:hAnsi="宋体" w:cs="宋体"/>
                <w:b w:val="0"/>
                <w:bCs w:val="0"/>
                <w:strike w:val="0"/>
                <w:dstrike w:val="0"/>
                <w:color w:val="auto"/>
                <w:sz w:val="21"/>
                <w:szCs w:val="21"/>
                <w:highlight w:val="none"/>
                <w:lang w:val="en-US" w:eastAsia="zh-CN"/>
              </w:rPr>
            </w:pPr>
            <w:r>
              <w:rPr>
                <w:rFonts w:hint="eastAsia" w:ascii="宋体" w:hAnsi="宋体" w:eastAsia="宋体" w:cs="宋体"/>
                <w:b w:val="0"/>
                <w:bCs w:val="0"/>
                <w:strike w:val="0"/>
                <w:dstrike w:val="0"/>
                <w:color w:val="auto"/>
                <w:sz w:val="21"/>
                <w:szCs w:val="21"/>
                <w:highlight w:val="none"/>
                <w:lang w:val="en-US" w:eastAsia="zh-CN"/>
              </w:rPr>
              <w:t>④</w:t>
            </w:r>
            <w:r>
              <w:rPr>
                <w:rFonts w:hint="eastAsia" w:ascii="Times New Roman" w:hAnsi="Times New Roman" w:eastAsia="宋体" w:cs="宋体"/>
                <w:color w:val="000000"/>
                <w:szCs w:val="21"/>
                <w:highlight w:val="none"/>
              </w:rPr>
              <w:t>平面布置方案</w:t>
            </w:r>
            <w:r>
              <w:rPr>
                <w:rFonts w:hint="eastAsia" w:ascii="宋体" w:hAnsi="宋体" w:eastAsia="宋体" w:cs="宋体"/>
                <w:b w:val="0"/>
                <w:bCs w:val="0"/>
                <w:strike w:val="0"/>
                <w:dstrike w:val="0"/>
                <w:color w:val="auto"/>
                <w:sz w:val="21"/>
                <w:szCs w:val="21"/>
                <w:highlight w:val="none"/>
                <w:lang w:val="en-US" w:eastAsia="zh-CN"/>
              </w:rPr>
              <w:t>方案内容简单、笼统，</w:t>
            </w:r>
            <w:r>
              <w:rPr>
                <w:rFonts w:hint="eastAsia" w:ascii="Times New Roman" w:hAnsi="Times New Roman" w:eastAsia="宋体" w:cs="宋体"/>
                <w:color w:val="000000"/>
                <w:szCs w:val="21"/>
                <w:highlight w:val="none"/>
              </w:rPr>
              <w:t>施工设备、原材料堆放</w:t>
            </w:r>
            <w:r>
              <w:rPr>
                <w:rFonts w:hint="eastAsia" w:cs="宋体"/>
                <w:color w:val="000000"/>
                <w:szCs w:val="21"/>
                <w:highlight w:val="none"/>
                <w:lang w:eastAsia="zh-CN"/>
              </w:rPr>
              <w:t>及</w:t>
            </w:r>
            <w:r>
              <w:rPr>
                <w:rFonts w:hint="eastAsia" w:ascii="Times New Roman" w:hAnsi="Times New Roman" w:eastAsia="宋体" w:cs="宋体"/>
                <w:color w:val="000000"/>
                <w:szCs w:val="21"/>
                <w:highlight w:val="none"/>
              </w:rPr>
              <w:t>安全警示</w:t>
            </w:r>
            <w:r>
              <w:rPr>
                <w:rFonts w:hint="eastAsia" w:cs="宋体"/>
                <w:color w:val="000000"/>
                <w:szCs w:val="21"/>
                <w:highlight w:val="none"/>
                <w:lang w:eastAsia="zh-CN"/>
              </w:rPr>
              <w:t>、</w:t>
            </w:r>
            <w:r>
              <w:rPr>
                <w:rFonts w:hint="eastAsia" w:ascii="宋体" w:hAnsi="宋体" w:cs="宋体"/>
                <w:color w:val="auto"/>
                <w:highlight w:val="none"/>
                <w:lang w:eastAsia="zh-CN"/>
              </w:rPr>
              <w:t>施工现场安全通道、消防设施配备</w:t>
            </w:r>
            <w:r>
              <w:rPr>
                <w:rFonts w:hint="eastAsia" w:cs="宋体"/>
                <w:color w:val="000000"/>
                <w:szCs w:val="21"/>
                <w:highlight w:val="none"/>
                <w:lang w:eastAsia="zh-CN"/>
              </w:rPr>
              <w:t>等</w:t>
            </w:r>
            <w:r>
              <w:rPr>
                <w:rFonts w:hint="eastAsia" w:ascii="宋体" w:hAnsi="宋体" w:eastAsia="宋体" w:cs="宋体"/>
                <w:b w:val="0"/>
                <w:bCs w:val="0"/>
                <w:strike w:val="0"/>
                <w:dstrike w:val="0"/>
                <w:color w:val="auto"/>
                <w:sz w:val="21"/>
                <w:szCs w:val="21"/>
                <w:highlight w:val="none"/>
                <w:lang w:val="en-US" w:eastAsia="zh-CN"/>
              </w:rPr>
              <w:t>存在较多的不足</w:t>
            </w:r>
            <w:r>
              <w:rPr>
                <w:rFonts w:hint="eastAsia" w:ascii="宋体" w:hAnsi="宋体" w:cs="宋体"/>
                <w:b w:val="0"/>
                <w:bCs w:val="0"/>
                <w:strike w:val="0"/>
                <w:dstrike w:val="0"/>
                <w:color w:val="auto"/>
                <w:sz w:val="21"/>
                <w:szCs w:val="21"/>
                <w:highlight w:val="none"/>
                <w:lang w:val="en-US" w:eastAsia="zh-CN"/>
              </w:rPr>
              <w:t>，</w:t>
            </w:r>
            <w:r>
              <w:rPr>
                <w:rFonts w:hint="eastAsia" w:ascii="宋体" w:hAnsi="宋体" w:cs="宋体"/>
                <w:color w:val="auto"/>
                <w:highlight w:val="none"/>
              </w:rPr>
              <w:t>可执行力</w:t>
            </w:r>
            <w:r>
              <w:rPr>
                <w:rFonts w:hint="eastAsia" w:ascii="宋体" w:hAnsi="宋体" w:cs="宋体"/>
                <w:color w:val="auto"/>
                <w:highlight w:val="none"/>
                <w:lang w:eastAsia="zh-CN"/>
              </w:rPr>
              <w:t>较</w:t>
            </w:r>
            <w:r>
              <w:rPr>
                <w:rFonts w:hint="eastAsia" w:ascii="宋体" w:hAnsi="宋体" w:cs="宋体"/>
                <w:color w:val="auto"/>
                <w:highlight w:val="none"/>
              </w:rPr>
              <w:t>低</w:t>
            </w:r>
            <w:r>
              <w:rPr>
                <w:rFonts w:hint="eastAsia" w:ascii="宋体" w:hAnsi="宋体" w:eastAsia="宋体" w:cs="宋体"/>
                <w:b w:val="0"/>
                <w:bCs w:val="0"/>
                <w:strike w:val="0"/>
                <w:dstrike w:val="0"/>
                <w:color w:val="auto"/>
                <w:sz w:val="21"/>
                <w:szCs w:val="21"/>
                <w:highlight w:val="none"/>
                <w:lang w:val="en-US" w:eastAsia="zh-CN"/>
              </w:rPr>
              <w:t>得</w:t>
            </w:r>
            <w:r>
              <w:rPr>
                <w:rFonts w:hint="eastAsia" w:ascii="宋体" w:hAnsi="宋体" w:eastAsia="宋体" w:cs="宋体"/>
                <w:strike w:val="0"/>
                <w:dstrike w:val="0"/>
                <w:color w:val="auto"/>
                <w:sz w:val="21"/>
                <w:szCs w:val="21"/>
                <w:highlight w:val="none"/>
                <w:lang w:val="en-US" w:eastAsia="zh-CN"/>
              </w:rPr>
              <w:t>2分</w:t>
            </w:r>
          </w:p>
          <w:p w14:paraId="1AB89371">
            <w:pPr>
              <w:tabs>
                <w:tab w:val="left" w:pos="4915"/>
              </w:tabs>
              <w:spacing w:line="340" w:lineRule="exact"/>
              <w:rPr>
                <w:rFonts w:hint="eastAsia" w:eastAsia="宋体" w:cs="宋体"/>
                <w:color w:val="000000"/>
                <w:kern w:val="2"/>
                <w:sz w:val="21"/>
                <w:szCs w:val="21"/>
                <w:highlight w:val="none"/>
                <w:lang w:val="en-US" w:eastAsia="zh-CN" w:bidi="ar-SA"/>
              </w:rPr>
            </w:pPr>
            <w:r>
              <w:rPr>
                <w:rFonts w:hint="eastAsia" w:ascii="宋体" w:hAnsi="宋体" w:eastAsia="宋体" w:cs="宋体"/>
                <w:strike w:val="0"/>
                <w:dstrike w:val="0"/>
                <w:color w:val="auto"/>
                <w:sz w:val="21"/>
                <w:szCs w:val="21"/>
                <w:highlight w:val="none"/>
                <w:lang w:val="en-US" w:eastAsia="zh-CN"/>
              </w:rPr>
              <w:t>⑤</w:t>
            </w:r>
            <w:r>
              <w:rPr>
                <w:rFonts w:hint="eastAsia" w:ascii="Times New Roman" w:hAnsi="Times New Roman" w:eastAsia="宋体" w:cs="宋体"/>
                <w:color w:val="000000"/>
                <w:szCs w:val="21"/>
                <w:highlight w:val="none"/>
              </w:rPr>
              <w:t>平面布置方案内容</w:t>
            </w:r>
            <w:r>
              <w:rPr>
                <w:rFonts w:hint="eastAsia" w:ascii="Times New Roman" w:hAnsi="Times New Roman" w:eastAsia="宋体" w:cs="宋体"/>
                <w:color w:val="000000"/>
                <w:szCs w:val="21"/>
                <w:highlight w:val="none"/>
                <w:lang w:val="en-US" w:eastAsia="zh-CN"/>
              </w:rPr>
              <w:t>有明显欠缺</w:t>
            </w:r>
            <w:r>
              <w:rPr>
                <w:rFonts w:hint="eastAsia" w:ascii="Times New Roman" w:hAnsi="Times New Roman" w:eastAsia="宋体" w:cs="宋体"/>
                <w:color w:val="000000"/>
                <w:szCs w:val="21"/>
                <w:highlight w:val="none"/>
              </w:rPr>
              <w:t>，施工现场临时设施布置不妥当，施工设备、原材料堆放混乱，安全警示不醒目</w:t>
            </w:r>
            <w:r>
              <w:rPr>
                <w:rFonts w:hint="eastAsia" w:cs="宋体"/>
                <w:color w:val="000000"/>
                <w:szCs w:val="21"/>
                <w:highlight w:val="none"/>
                <w:lang w:eastAsia="zh-CN"/>
              </w:rPr>
              <w:t>，</w:t>
            </w:r>
            <w:r>
              <w:rPr>
                <w:rFonts w:hint="eastAsia" w:ascii="宋体" w:hAnsi="宋体" w:cs="宋体"/>
                <w:color w:val="auto"/>
                <w:highlight w:val="none"/>
                <w:lang w:eastAsia="zh-CN"/>
              </w:rPr>
              <w:t>施工现场安全通道、消防设施配备不充足，</w:t>
            </w:r>
            <w:r>
              <w:rPr>
                <w:rFonts w:hint="eastAsia" w:ascii="宋体" w:hAnsi="宋体" w:cs="宋体"/>
                <w:color w:val="auto"/>
                <w:highlight w:val="none"/>
              </w:rPr>
              <w:t>可执行力低的</w:t>
            </w:r>
            <w:r>
              <w:rPr>
                <w:rFonts w:hint="eastAsia" w:ascii="Times New Roman" w:hAnsi="Times New Roman" w:eastAsia="宋体" w:cs="宋体"/>
                <w:color w:val="000000"/>
                <w:szCs w:val="21"/>
                <w:highlight w:val="none"/>
              </w:rPr>
              <w:t>的得</w:t>
            </w:r>
            <w:r>
              <w:rPr>
                <w:rFonts w:hint="eastAsia" w:cs="宋体"/>
                <w:color w:val="000000"/>
                <w:szCs w:val="21"/>
                <w:highlight w:val="none"/>
                <w:lang w:val="en-US" w:eastAsia="zh-CN"/>
              </w:rPr>
              <w:t>1</w:t>
            </w:r>
            <w:r>
              <w:rPr>
                <w:rFonts w:hint="eastAsia" w:ascii="Times New Roman" w:hAnsi="Times New Roman" w:eastAsia="宋体" w:cs="宋体"/>
                <w:color w:val="000000"/>
                <w:szCs w:val="21"/>
                <w:highlight w:val="none"/>
              </w:rPr>
              <w:t>分；</w:t>
            </w:r>
            <w:r>
              <w:rPr>
                <w:rFonts w:hint="eastAsia" w:cs="宋体"/>
                <w:color w:val="000000"/>
                <w:szCs w:val="21"/>
                <w:highlight w:val="none"/>
                <w:lang w:val="en-US" w:eastAsia="zh-CN"/>
              </w:rPr>
              <w:t>未提供相关内容不得分。</w:t>
            </w:r>
          </w:p>
        </w:tc>
      </w:tr>
      <w:tr w14:paraId="650810C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8" w:type="dxa"/>
            <w:vMerge w:val="continue"/>
            <w:noWrap w:val="0"/>
            <w:vAlign w:val="center"/>
          </w:tcPr>
          <w:p w14:paraId="7A0E2B93">
            <w:pPr>
              <w:widowControl/>
              <w:spacing w:line="340" w:lineRule="exact"/>
              <w:jc w:val="left"/>
              <w:rPr>
                <w:color w:val="000000"/>
                <w:szCs w:val="21"/>
                <w:highlight w:val="none"/>
              </w:rPr>
            </w:pPr>
          </w:p>
        </w:tc>
        <w:tc>
          <w:tcPr>
            <w:tcW w:w="1164" w:type="dxa"/>
            <w:vMerge w:val="continue"/>
            <w:noWrap w:val="0"/>
            <w:vAlign w:val="center"/>
          </w:tcPr>
          <w:p w14:paraId="7236DB65">
            <w:pPr>
              <w:widowControl/>
              <w:spacing w:line="340" w:lineRule="exact"/>
              <w:jc w:val="left"/>
              <w:rPr>
                <w:color w:val="000000"/>
                <w:szCs w:val="21"/>
                <w:highlight w:val="none"/>
              </w:rPr>
            </w:pPr>
          </w:p>
        </w:tc>
        <w:tc>
          <w:tcPr>
            <w:tcW w:w="8289" w:type="dxa"/>
            <w:noWrap w:val="0"/>
            <w:vAlign w:val="center"/>
          </w:tcPr>
          <w:p w14:paraId="3F314523">
            <w:pPr>
              <w:tabs>
                <w:tab w:val="left" w:pos="4915"/>
              </w:tabs>
              <w:spacing w:line="340" w:lineRule="exact"/>
              <w:rPr>
                <w:rFonts w:hint="eastAsia" w:cs="宋体"/>
                <w:color w:val="000000"/>
                <w:szCs w:val="21"/>
                <w:highlight w:val="none"/>
              </w:rPr>
            </w:pPr>
            <w:r>
              <w:rPr>
                <w:rFonts w:hint="eastAsia" w:cs="宋体"/>
                <w:color w:val="000000"/>
                <w:szCs w:val="21"/>
                <w:highlight w:val="none"/>
                <w:lang w:val="en-US" w:eastAsia="zh-CN"/>
              </w:rPr>
              <w:t>3.</w:t>
            </w:r>
            <w:r>
              <w:rPr>
                <w:rFonts w:hint="eastAsia" w:cs="宋体"/>
                <w:color w:val="000000"/>
                <w:szCs w:val="21"/>
                <w:highlight w:val="none"/>
              </w:rPr>
              <w:t>工程质量保证措施</w:t>
            </w:r>
            <w:r>
              <w:rPr>
                <w:rFonts w:hint="eastAsia" w:ascii="宋体" w:hAnsi="宋体" w:cs="宋体"/>
                <w:color w:val="auto"/>
                <w:highlight w:val="none"/>
              </w:rPr>
              <w:t>（</w:t>
            </w:r>
            <w:r>
              <w:rPr>
                <w:rFonts w:hint="eastAsia" w:ascii="宋体" w:hAnsi="宋体" w:cs="宋体"/>
                <w:color w:val="auto"/>
                <w:highlight w:val="none"/>
                <w:lang w:eastAsia="zh-CN"/>
              </w:rPr>
              <w:t>包含但不仅限于材料及设备质量保证措施等</w:t>
            </w:r>
            <w:r>
              <w:rPr>
                <w:rFonts w:hint="eastAsia" w:ascii="宋体" w:hAnsi="宋体" w:cs="宋体"/>
                <w:color w:val="auto"/>
                <w:highlight w:val="none"/>
              </w:rPr>
              <w:t>）</w:t>
            </w:r>
            <w:r>
              <w:rPr>
                <w:rFonts w:hint="eastAsia" w:cs="宋体"/>
                <w:color w:val="000000"/>
                <w:szCs w:val="21"/>
                <w:highlight w:val="none"/>
              </w:rPr>
              <w:t>（</w:t>
            </w:r>
            <w:r>
              <w:rPr>
                <w:rFonts w:hint="eastAsia" w:cs="宋体"/>
                <w:color w:val="000000"/>
                <w:szCs w:val="21"/>
                <w:highlight w:val="none"/>
                <w:lang w:val="en-US" w:eastAsia="zh-CN"/>
              </w:rPr>
              <w:t>5</w:t>
            </w:r>
            <w:r>
              <w:rPr>
                <w:rFonts w:hint="eastAsia" w:cs="宋体"/>
                <w:color w:val="000000"/>
                <w:szCs w:val="21"/>
                <w:highlight w:val="none"/>
              </w:rPr>
              <w:t>分）：</w:t>
            </w:r>
          </w:p>
          <w:p w14:paraId="2E0B8999">
            <w:pPr>
              <w:tabs>
                <w:tab w:val="left" w:pos="4915"/>
              </w:tabs>
              <w:spacing w:line="340" w:lineRule="exact"/>
              <w:rPr>
                <w:rFonts w:hint="eastAsia" w:cs="宋体"/>
                <w:color w:val="000000"/>
                <w:szCs w:val="21"/>
                <w:highlight w:val="none"/>
                <w:lang w:eastAsia="zh-CN"/>
              </w:rPr>
            </w:pPr>
            <w:r>
              <w:rPr>
                <w:rFonts w:hint="eastAsia" w:cs="宋体"/>
                <w:color w:val="000000"/>
                <w:szCs w:val="21"/>
                <w:highlight w:val="none"/>
                <w:lang w:val="en-US" w:eastAsia="zh-CN"/>
              </w:rPr>
              <w:t>①</w:t>
            </w:r>
            <w:r>
              <w:rPr>
                <w:rFonts w:hint="eastAsia" w:ascii="宋体" w:hAnsi="宋体" w:cs="宋体"/>
                <w:color w:val="auto"/>
                <w:szCs w:val="21"/>
                <w:highlight w:val="none"/>
              </w:rPr>
              <w:t>施工质量保证措施方案详实，针对性强，可执行力度高的</w:t>
            </w:r>
            <w:r>
              <w:rPr>
                <w:rFonts w:hint="eastAsia" w:cs="宋体"/>
                <w:color w:val="000000"/>
                <w:szCs w:val="21"/>
                <w:highlight w:val="none"/>
              </w:rPr>
              <w:t>得</w:t>
            </w:r>
            <w:r>
              <w:rPr>
                <w:rFonts w:hint="eastAsia" w:cs="宋体"/>
                <w:color w:val="000000"/>
                <w:szCs w:val="21"/>
                <w:highlight w:val="none"/>
                <w:lang w:val="en-US" w:eastAsia="zh-CN"/>
              </w:rPr>
              <w:t>5</w:t>
            </w:r>
            <w:r>
              <w:rPr>
                <w:rFonts w:hint="eastAsia" w:cs="宋体"/>
                <w:color w:val="000000"/>
                <w:szCs w:val="21"/>
                <w:highlight w:val="none"/>
              </w:rPr>
              <w:t>分</w:t>
            </w:r>
            <w:r>
              <w:rPr>
                <w:rFonts w:hint="eastAsia" w:cs="宋体"/>
                <w:color w:val="000000"/>
                <w:szCs w:val="21"/>
                <w:highlight w:val="none"/>
                <w:lang w:eastAsia="zh-CN"/>
              </w:rPr>
              <w:t>；</w:t>
            </w:r>
          </w:p>
          <w:p w14:paraId="487B2299">
            <w:pPr>
              <w:pStyle w:val="72"/>
              <w:ind w:left="0" w:leftChars="0" w:firstLine="0" w:firstLineChars="0"/>
              <w:rPr>
                <w:rFonts w:hint="eastAsia"/>
                <w:lang w:eastAsia="zh-CN"/>
              </w:rPr>
            </w:pPr>
            <w:r>
              <w:rPr>
                <w:rFonts w:hint="eastAsia" w:ascii="宋体" w:hAnsi="宋体" w:eastAsia="宋体" w:cs="宋体"/>
                <w:b w:val="0"/>
                <w:bCs w:val="0"/>
                <w:strike w:val="0"/>
                <w:dstrike w:val="0"/>
                <w:color w:val="auto"/>
                <w:sz w:val="21"/>
                <w:szCs w:val="21"/>
                <w:highlight w:val="none"/>
                <w:lang w:val="en-US" w:eastAsia="zh-CN"/>
              </w:rPr>
              <w:t>②</w:t>
            </w:r>
            <w:r>
              <w:rPr>
                <w:rFonts w:hint="eastAsia" w:ascii="宋体" w:hAnsi="宋体" w:cs="宋体"/>
                <w:color w:val="auto"/>
                <w:szCs w:val="21"/>
                <w:highlight w:val="none"/>
              </w:rPr>
              <w:t>施工质量保证措施方案内容充分，有一定针对性，可执行力度较高的</w:t>
            </w:r>
            <w:r>
              <w:rPr>
                <w:rFonts w:hint="eastAsia" w:cs="宋体"/>
                <w:color w:val="000000"/>
                <w:szCs w:val="21"/>
                <w:highlight w:val="none"/>
              </w:rPr>
              <w:t>得</w:t>
            </w:r>
            <w:r>
              <w:rPr>
                <w:rFonts w:hint="eastAsia" w:cs="宋体"/>
                <w:color w:val="000000"/>
                <w:szCs w:val="21"/>
                <w:highlight w:val="none"/>
                <w:lang w:val="en-US" w:eastAsia="zh-CN"/>
              </w:rPr>
              <w:t>4分；</w:t>
            </w:r>
          </w:p>
          <w:p w14:paraId="67B5A81F">
            <w:pPr>
              <w:tabs>
                <w:tab w:val="left" w:pos="4915"/>
              </w:tabs>
              <w:spacing w:line="340" w:lineRule="exact"/>
              <w:rPr>
                <w:rFonts w:hint="eastAsia" w:ascii="宋体" w:hAnsi="宋体" w:cs="宋体"/>
                <w:strike w:val="0"/>
                <w:dstrike w:val="0"/>
                <w:color w:val="auto"/>
                <w:sz w:val="21"/>
                <w:szCs w:val="21"/>
                <w:highlight w:val="none"/>
                <w:lang w:val="en-US" w:eastAsia="zh-CN"/>
              </w:rPr>
            </w:pPr>
            <w:r>
              <w:rPr>
                <w:rFonts w:hint="eastAsia" w:ascii="宋体" w:hAnsi="宋体" w:eastAsia="宋体" w:cs="宋体"/>
                <w:b w:val="0"/>
                <w:bCs w:val="0"/>
                <w:strike w:val="0"/>
                <w:dstrike w:val="0"/>
                <w:color w:val="auto"/>
                <w:sz w:val="21"/>
                <w:szCs w:val="21"/>
                <w:highlight w:val="none"/>
                <w:lang w:val="en-US" w:eastAsia="zh-CN"/>
              </w:rPr>
              <w:t>③</w:t>
            </w:r>
            <w:r>
              <w:rPr>
                <w:rFonts w:hint="eastAsia" w:ascii="宋体" w:hAnsi="宋体" w:cs="宋体"/>
                <w:color w:val="auto"/>
                <w:szCs w:val="21"/>
                <w:highlight w:val="none"/>
              </w:rPr>
              <w:t>施工质量保证措施方案内容不够详实</w:t>
            </w:r>
            <w:r>
              <w:rPr>
                <w:rFonts w:hint="eastAsia" w:ascii="宋体" w:hAnsi="宋体" w:eastAsia="宋体" w:cs="宋体"/>
                <w:b w:val="0"/>
                <w:bCs w:val="0"/>
                <w:strike w:val="0"/>
                <w:dstrike w:val="0"/>
                <w:color w:val="auto"/>
                <w:sz w:val="21"/>
                <w:szCs w:val="21"/>
                <w:highlight w:val="none"/>
                <w:lang w:val="en-US" w:eastAsia="zh-CN"/>
              </w:rPr>
              <w:t>、笼统，</w:t>
            </w:r>
            <w:r>
              <w:rPr>
                <w:rFonts w:hint="eastAsia" w:cs="宋体"/>
                <w:color w:val="000000"/>
                <w:szCs w:val="21"/>
                <w:highlight w:val="none"/>
                <w:lang w:val="en-US" w:eastAsia="zh-CN"/>
              </w:rPr>
              <w:t>保证项目基本能完成实施</w:t>
            </w:r>
            <w:r>
              <w:rPr>
                <w:rFonts w:hint="eastAsia" w:ascii="宋体" w:hAnsi="宋体" w:eastAsia="宋体" w:cs="宋体"/>
                <w:b w:val="0"/>
                <w:bCs w:val="0"/>
                <w:strike w:val="0"/>
                <w:dstrike w:val="0"/>
                <w:color w:val="auto"/>
                <w:sz w:val="21"/>
                <w:szCs w:val="21"/>
                <w:highlight w:val="none"/>
                <w:lang w:val="en-US" w:eastAsia="zh-CN"/>
              </w:rPr>
              <w:t>的得</w:t>
            </w:r>
            <w:r>
              <w:rPr>
                <w:rFonts w:hint="eastAsia" w:ascii="宋体" w:hAnsi="宋体" w:cs="宋体"/>
                <w:strike w:val="0"/>
                <w:dstrike w:val="0"/>
                <w:color w:val="auto"/>
                <w:sz w:val="21"/>
                <w:szCs w:val="21"/>
                <w:highlight w:val="none"/>
                <w:lang w:val="en-US" w:eastAsia="zh-CN"/>
              </w:rPr>
              <w:t>3</w:t>
            </w:r>
            <w:r>
              <w:rPr>
                <w:rFonts w:hint="eastAsia" w:ascii="宋体" w:hAnsi="宋体" w:eastAsia="宋体" w:cs="宋体"/>
                <w:strike w:val="0"/>
                <w:dstrike w:val="0"/>
                <w:color w:val="auto"/>
                <w:sz w:val="21"/>
                <w:szCs w:val="21"/>
                <w:highlight w:val="none"/>
                <w:lang w:val="en-US" w:eastAsia="zh-CN"/>
              </w:rPr>
              <w:t>分</w:t>
            </w:r>
            <w:r>
              <w:rPr>
                <w:rFonts w:hint="eastAsia" w:ascii="宋体" w:hAnsi="宋体" w:cs="宋体"/>
                <w:strike w:val="0"/>
                <w:dstrike w:val="0"/>
                <w:color w:val="auto"/>
                <w:sz w:val="21"/>
                <w:szCs w:val="21"/>
                <w:highlight w:val="none"/>
                <w:lang w:val="en-US" w:eastAsia="zh-CN"/>
              </w:rPr>
              <w:t>；</w:t>
            </w:r>
          </w:p>
          <w:p w14:paraId="1ECD9729">
            <w:pPr>
              <w:tabs>
                <w:tab w:val="left" w:pos="4915"/>
              </w:tabs>
              <w:spacing w:line="340" w:lineRule="exact"/>
              <w:rPr>
                <w:rFonts w:hint="eastAsia" w:cs="宋体"/>
                <w:color w:val="000000"/>
                <w:szCs w:val="21"/>
                <w:highlight w:val="none"/>
                <w:lang w:eastAsia="zh-CN"/>
              </w:rPr>
            </w:pPr>
            <w:r>
              <w:rPr>
                <w:rFonts w:hint="eastAsia" w:ascii="宋体" w:hAnsi="宋体" w:eastAsia="宋体" w:cs="宋体"/>
                <w:b w:val="0"/>
                <w:bCs w:val="0"/>
                <w:strike w:val="0"/>
                <w:dstrike w:val="0"/>
                <w:color w:val="auto"/>
                <w:sz w:val="21"/>
                <w:szCs w:val="21"/>
                <w:highlight w:val="none"/>
                <w:lang w:val="en-US" w:eastAsia="zh-CN"/>
              </w:rPr>
              <w:t>④</w:t>
            </w:r>
            <w:r>
              <w:rPr>
                <w:rFonts w:hint="eastAsia" w:ascii="宋体" w:hAnsi="宋体" w:cs="宋体"/>
                <w:color w:val="auto"/>
                <w:szCs w:val="21"/>
                <w:highlight w:val="none"/>
              </w:rPr>
              <w:t>施工质量保证措施方案内容</w:t>
            </w:r>
            <w:r>
              <w:rPr>
                <w:rFonts w:hint="eastAsia" w:ascii="宋体" w:hAnsi="宋体" w:eastAsia="宋体" w:cs="宋体"/>
                <w:b w:val="0"/>
                <w:bCs w:val="0"/>
                <w:strike w:val="0"/>
                <w:dstrike w:val="0"/>
                <w:color w:val="auto"/>
                <w:sz w:val="21"/>
                <w:szCs w:val="21"/>
                <w:highlight w:val="none"/>
                <w:lang w:val="en-US" w:eastAsia="zh-CN"/>
              </w:rPr>
              <w:t>简单</w:t>
            </w:r>
            <w:r>
              <w:rPr>
                <w:rFonts w:hint="eastAsia" w:ascii="宋体" w:hAnsi="宋体" w:cs="宋体"/>
                <w:color w:val="auto"/>
                <w:szCs w:val="21"/>
                <w:highlight w:val="none"/>
              </w:rPr>
              <w:t>，缺乏针对性，可执行力较低的得</w:t>
            </w:r>
            <w:r>
              <w:rPr>
                <w:rFonts w:hint="eastAsia" w:cs="宋体"/>
                <w:color w:val="000000"/>
                <w:szCs w:val="21"/>
                <w:highlight w:val="none"/>
              </w:rPr>
              <w:t>得</w:t>
            </w:r>
            <w:r>
              <w:rPr>
                <w:rFonts w:hint="eastAsia" w:cs="宋体"/>
                <w:color w:val="000000"/>
                <w:szCs w:val="21"/>
                <w:highlight w:val="none"/>
                <w:lang w:val="en-US" w:eastAsia="zh-CN"/>
              </w:rPr>
              <w:t>2</w:t>
            </w:r>
            <w:r>
              <w:rPr>
                <w:rFonts w:hint="eastAsia" w:cs="宋体"/>
                <w:color w:val="000000"/>
                <w:szCs w:val="21"/>
                <w:highlight w:val="none"/>
              </w:rPr>
              <w:t>分</w:t>
            </w:r>
            <w:r>
              <w:rPr>
                <w:rFonts w:hint="eastAsia" w:cs="宋体"/>
                <w:color w:val="000000"/>
                <w:szCs w:val="21"/>
                <w:highlight w:val="none"/>
                <w:lang w:eastAsia="zh-CN"/>
              </w:rPr>
              <w:t>；</w:t>
            </w:r>
          </w:p>
          <w:p w14:paraId="014CC719">
            <w:pPr>
              <w:tabs>
                <w:tab w:val="left" w:pos="4915"/>
              </w:tabs>
              <w:spacing w:line="340" w:lineRule="exact"/>
              <w:rPr>
                <w:rFonts w:hint="eastAsia" w:cs="宋体"/>
                <w:color w:val="000000"/>
                <w:szCs w:val="21"/>
                <w:highlight w:val="none"/>
              </w:rPr>
            </w:pPr>
            <w:r>
              <w:rPr>
                <w:rFonts w:hint="eastAsia" w:ascii="宋体" w:hAnsi="宋体" w:eastAsia="宋体" w:cs="宋体"/>
                <w:strike w:val="0"/>
                <w:dstrike w:val="0"/>
                <w:color w:val="auto"/>
                <w:sz w:val="21"/>
                <w:szCs w:val="21"/>
                <w:highlight w:val="none"/>
                <w:lang w:val="en-US" w:eastAsia="zh-CN"/>
              </w:rPr>
              <w:t>⑤</w:t>
            </w:r>
            <w:r>
              <w:rPr>
                <w:rFonts w:hint="eastAsia" w:ascii="宋体" w:hAnsi="宋体" w:cs="宋体"/>
                <w:color w:val="auto"/>
                <w:szCs w:val="21"/>
                <w:highlight w:val="none"/>
              </w:rPr>
              <w:t>施工质量保证</w:t>
            </w:r>
            <w:r>
              <w:rPr>
                <w:rFonts w:hint="eastAsia" w:cs="宋体"/>
                <w:color w:val="000000"/>
                <w:szCs w:val="21"/>
                <w:highlight w:val="none"/>
              </w:rPr>
              <w:t>措施</w:t>
            </w:r>
            <w:r>
              <w:rPr>
                <w:rFonts w:hint="eastAsia" w:cs="宋体"/>
                <w:color w:val="000000"/>
                <w:szCs w:val="21"/>
                <w:highlight w:val="none"/>
                <w:lang w:val="en-US" w:eastAsia="zh-CN"/>
              </w:rPr>
              <w:t>上有主体内容的缺漏</w:t>
            </w:r>
            <w:r>
              <w:rPr>
                <w:rFonts w:hint="eastAsia" w:cs="宋体"/>
                <w:color w:val="000000"/>
                <w:szCs w:val="21"/>
                <w:highlight w:val="none"/>
              </w:rPr>
              <w:t>或缺少具体</w:t>
            </w:r>
            <w:r>
              <w:rPr>
                <w:rFonts w:hint="eastAsia" w:cs="宋体"/>
                <w:color w:val="000000"/>
                <w:szCs w:val="21"/>
                <w:highlight w:val="none"/>
                <w:lang w:val="en-US" w:eastAsia="zh-CN"/>
              </w:rPr>
              <w:t>有效的保证措施</w:t>
            </w:r>
            <w:r>
              <w:rPr>
                <w:rFonts w:hint="eastAsia" w:cs="宋体"/>
                <w:color w:val="000000"/>
                <w:szCs w:val="21"/>
                <w:highlight w:val="none"/>
              </w:rPr>
              <w:t>，</w:t>
            </w:r>
            <w:r>
              <w:rPr>
                <w:rFonts w:hint="eastAsia" w:cs="宋体"/>
                <w:color w:val="000000"/>
                <w:szCs w:val="21"/>
                <w:highlight w:val="none"/>
                <w:lang w:val="en-US" w:eastAsia="zh-CN"/>
              </w:rPr>
              <w:t>难以</w:t>
            </w:r>
            <w:r>
              <w:rPr>
                <w:rFonts w:hint="eastAsia" w:cs="宋体"/>
                <w:color w:val="000000"/>
                <w:szCs w:val="21"/>
                <w:highlight w:val="none"/>
              </w:rPr>
              <w:t>保证项目</w:t>
            </w:r>
            <w:r>
              <w:rPr>
                <w:rFonts w:hint="eastAsia" w:cs="宋体"/>
                <w:color w:val="000000"/>
                <w:szCs w:val="21"/>
                <w:highlight w:val="none"/>
                <w:lang w:val="en-US" w:eastAsia="zh-CN"/>
              </w:rPr>
              <w:t>顺利实施</w:t>
            </w:r>
            <w:r>
              <w:rPr>
                <w:rFonts w:hint="eastAsia" w:cs="宋体"/>
                <w:color w:val="000000"/>
                <w:szCs w:val="21"/>
                <w:highlight w:val="none"/>
              </w:rPr>
              <w:t>的得</w:t>
            </w:r>
            <w:r>
              <w:rPr>
                <w:rFonts w:hint="eastAsia" w:cs="宋体"/>
                <w:color w:val="000000"/>
                <w:szCs w:val="21"/>
                <w:highlight w:val="none"/>
                <w:lang w:val="en-US" w:eastAsia="zh-CN"/>
              </w:rPr>
              <w:t>1</w:t>
            </w:r>
            <w:r>
              <w:rPr>
                <w:rFonts w:hint="eastAsia" w:cs="宋体"/>
                <w:color w:val="000000"/>
                <w:szCs w:val="21"/>
                <w:highlight w:val="none"/>
              </w:rPr>
              <w:t>分。</w:t>
            </w:r>
          </w:p>
          <w:p w14:paraId="53CC9145">
            <w:pPr>
              <w:tabs>
                <w:tab w:val="left" w:pos="4915"/>
              </w:tabs>
              <w:spacing w:line="340" w:lineRule="exact"/>
              <w:rPr>
                <w:rFonts w:hint="eastAsia" w:cs="宋体"/>
                <w:color w:val="000000"/>
                <w:szCs w:val="21"/>
                <w:highlight w:val="none"/>
              </w:rPr>
            </w:pPr>
            <w:r>
              <w:rPr>
                <w:rFonts w:hint="eastAsia" w:cs="宋体"/>
                <w:color w:val="000000"/>
                <w:szCs w:val="21"/>
                <w:highlight w:val="none"/>
                <w:lang w:val="en-US" w:eastAsia="zh-CN"/>
              </w:rPr>
              <w:t>未提供相关内容不得分。</w:t>
            </w:r>
          </w:p>
        </w:tc>
      </w:tr>
      <w:tr w14:paraId="3F77D8C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8" w:type="dxa"/>
            <w:vMerge w:val="continue"/>
            <w:noWrap w:val="0"/>
            <w:vAlign w:val="center"/>
          </w:tcPr>
          <w:p w14:paraId="03B5E622">
            <w:pPr>
              <w:widowControl/>
              <w:spacing w:line="340" w:lineRule="exact"/>
              <w:jc w:val="left"/>
              <w:rPr>
                <w:color w:val="000000"/>
                <w:szCs w:val="21"/>
                <w:highlight w:val="none"/>
              </w:rPr>
            </w:pPr>
          </w:p>
        </w:tc>
        <w:tc>
          <w:tcPr>
            <w:tcW w:w="1164" w:type="dxa"/>
            <w:vMerge w:val="continue"/>
            <w:noWrap w:val="0"/>
            <w:vAlign w:val="center"/>
          </w:tcPr>
          <w:p w14:paraId="1D78F32B">
            <w:pPr>
              <w:widowControl/>
              <w:spacing w:line="340" w:lineRule="exact"/>
              <w:jc w:val="left"/>
              <w:rPr>
                <w:color w:val="000000"/>
                <w:szCs w:val="21"/>
                <w:highlight w:val="none"/>
              </w:rPr>
            </w:pPr>
          </w:p>
        </w:tc>
        <w:tc>
          <w:tcPr>
            <w:tcW w:w="8289" w:type="dxa"/>
            <w:noWrap w:val="0"/>
            <w:vAlign w:val="center"/>
          </w:tcPr>
          <w:p w14:paraId="5FC7314C">
            <w:pPr>
              <w:tabs>
                <w:tab w:val="left" w:pos="4915"/>
              </w:tabs>
              <w:spacing w:line="340" w:lineRule="exact"/>
              <w:rPr>
                <w:rFonts w:hint="eastAsia" w:cs="宋体"/>
                <w:color w:val="000000"/>
                <w:szCs w:val="21"/>
                <w:highlight w:val="none"/>
              </w:rPr>
            </w:pPr>
            <w:r>
              <w:rPr>
                <w:rFonts w:hint="eastAsia" w:cs="宋体"/>
                <w:color w:val="000000"/>
                <w:szCs w:val="21"/>
                <w:highlight w:val="none"/>
                <w:lang w:val="en-US" w:eastAsia="zh-CN"/>
              </w:rPr>
              <w:t>4.</w:t>
            </w:r>
            <w:r>
              <w:rPr>
                <w:rFonts w:hint="eastAsia" w:cs="宋体"/>
                <w:color w:val="000000"/>
                <w:szCs w:val="21"/>
                <w:highlight w:val="none"/>
              </w:rPr>
              <w:t>施工进度管理与控制</w:t>
            </w:r>
            <w:r>
              <w:rPr>
                <w:rFonts w:hint="eastAsia" w:ascii="宋体" w:hAnsi="宋体" w:cs="宋体"/>
                <w:color w:val="auto"/>
                <w:szCs w:val="21"/>
                <w:highlight w:val="none"/>
                <w:lang w:eastAsia="zh-CN"/>
              </w:rPr>
              <w:t>（包含但不仅限于方案详实情况、时间节点安排情况等）</w:t>
            </w:r>
            <w:r>
              <w:rPr>
                <w:rFonts w:hint="eastAsia" w:cs="宋体"/>
                <w:color w:val="000000"/>
                <w:szCs w:val="21"/>
                <w:highlight w:val="none"/>
              </w:rPr>
              <w:t>（</w:t>
            </w:r>
            <w:r>
              <w:rPr>
                <w:rFonts w:hint="eastAsia" w:cs="宋体"/>
                <w:color w:val="000000"/>
                <w:szCs w:val="21"/>
                <w:highlight w:val="none"/>
                <w:lang w:val="en-US" w:eastAsia="zh-CN"/>
              </w:rPr>
              <w:t>5</w:t>
            </w:r>
            <w:r>
              <w:rPr>
                <w:rFonts w:hint="eastAsia" w:cs="宋体"/>
                <w:color w:val="000000"/>
                <w:szCs w:val="21"/>
                <w:highlight w:val="none"/>
              </w:rPr>
              <w:t>分）：</w:t>
            </w:r>
          </w:p>
          <w:p w14:paraId="1E058A18">
            <w:pPr>
              <w:tabs>
                <w:tab w:val="left" w:pos="4915"/>
              </w:tabs>
              <w:spacing w:line="340" w:lineRule="exact"/>
              <w:rPr>
                <w:rFonts w:hint="eastAsia" w:cs="宋体"/>
                <w:color w:val="000000"/>
                <w:szCs w:val="21"/>
                <w:highlight w:val="none"/>
                <w:lang w:val="en-US" w:eastAsia="zh-CN"/>
              </w:rPr>
            </w:pPr>
            <w:r>
              <w:rPr>
                <w:rFonts w:hint="eastAsia" w:cs="宋体"/>
                <w:color w:val="000000"/>
                <w:szCs w:val="21"/>
                <w:highlight w:val="none"/>
                <w:lang w:val="en-US" w:eastAsia="zh-CN"/>
              </w:rPr>
              <w:t>①施工进度计划安排得当、各时间节点明确、</w:t>
            </w:r>
            <w:r>
              <w:rPr>
                <w:rFonts w:hint="eastAsia" w:ascii="宋体" w:hAnsi="宋体" w:cs="宋体"/>
                <w:color w:val="auto"/>
                <w:szCs w:val="21"/>
                <w:highlight w:val="none"/>
              </w:rPr>
              <w:t>具有充分可靠计划</w:t>
            </w:r>
            <w:r>
              <w:rPr>
                <w:rFonts w:hint="eastAsia" w:cs="宋体"/>
                <w:color w:val="000000"/>
                <w:szCs w:val="21"/>
                <w:highlight w:val="none"/>
                <w:lang w:val="en-US" w:eastAsia="zh-CN"/>
              </w:rPr>
              <w:t>的得5分；</w:t>
            </w:r>
          </w:p>
          <w:p w14:paraId="2591453B">
            <w:pPr>
              <w:pStyle w:val="72"/>
              <w:ind w:left="0" w:leftChars="0" w:firstLine="0" w:firstLineChars="0"/>
              <w:rPr>
                <w:rFonts w:hint="eastAsia"/>
                <w:lang w:val="en-US" w:eastAsia="zh-CN"/>
              </w:rPr>
            </w:pPr>
            <w:r>
              <w:rPr>
                <w:rFonts w:hint="eastAsia" w:ascii="宋体" w:hAnsi="宋体" w:eastAsia="宋体" w:cs="宋体"/>
                <w:b w:val="0"/>
                <w:bCs w:val="0"/>
                <w:strike w:val="0"/>
                <w:dstrike w:val="0"/>
                <w:color w:val="auto"/>
                <w:sz w:val="21"/>
                <w:szCs w:val="21"/>
                <w:highlight w:val="none"/>
                <w:lang w:val="en-US" w:eastAsia="zh-CN"/>
              </w:rPr>
              <w:t>②</w:t>
            </w:r>
            <w:r>
              <w:rPr>
                <w:rFonts w:hint="eastAsia" w:cs="宋体"/>
                <w:color w:val="000000"/>
                <w:szCs w:val="21"/>
                <w:highlight w:val="none"/>
                <w:lang w:val="en-US" w:eastAsia="zh-CN"/>
              </w:rPr>
              <w:t>施工进度计划安排较为得当、各时间节点及项目工期能有基本保障的得4分</w:t>
            </w:r>
          </w:p>
          <w:p w14:paraId="439FB4C3">
            <w:pPr>
              <w:tabs>
                <w:tab w:val="left" w:pos="4915"/>
              </w:tabs>
              <w:spacing w:line="340" w:lineRule="exact"/>
              <w:rPr>
                <w:rFonts w:hint="eastAsia" w:cs="宋体"/>
                <w:color w:val="000000"/>
                <w:szCs w:val="21"/>
                <w:highlight w:val="none"/>
                <w:lang w:val="en-US" w:eastAsia="zh-CN"/>
              </w:rPr>
            </w:pPr>
            <w:r>
              <w:rPr>
                <w:rFonts w:hint="eastAsia" w:ascii="宋体" w:hAnsi="宋体" w:eastAsia="宋体" w:cs="宋体"/>
                <w:b w:val="0"/>
                <w:bCs w:val="0"/>
                <w:strike w:val="0"/>
                <w:dstrike w:val="0"/>
                <w:color w:val="auto"/>
                <w:sz w:val="21"/>
                <w:szCs w:val="21"/>
                <w:highlight w:val="none"/>
                <w:lang w:val="en-US" w:eastAsia="zh-CN"/>
              </w:rPr>
              <w:t>③</w:t>
            </w:r>
            <w:r>
              <w:rPr>
                <w:rFonts w:hint="eastAsia" w:cs="宋体"/>
                <w:color w:val="000000"/>
                <w:szCs w:val="21"/>
                <w:highlight w:val="none"/>
                <w:lang w:val="en-US" w:eastAsia="zh-CN"/>
              </w:rPr>
              <w:t>进度安排尚能满足工期需求、部分时间节点不够明确或存在前松后紧的得3分；</w:t>
            </w:r>
          </w:p>
          <w:p w14:paraId="47670E0D">
            <w:pPr>
              <w:pStyle w:val="72"/>
              <w:ind w:left="0" w:leftChars="0" w:firstLine="0" w:firstLineChars="0"/>
              <w:rPr>
                <w:rFonts w:hint="eastAsia"/>
                <w:lang w:val="en-US" w:eastAsia="zh-CN"/>
              </w:rPr>
            </w:pPr>
            <w:r>
              <w:rPr>
                <w:rFonts w:hint="eastAsia" w:ascii="宋体" w:hAnsi="宋体" w:eastAsia="宋体" w:cs="宋体"/>
                <w:b w:val="0"/>
                <w:bCs w:val="0"/>
                <w:strike w:val="0"/>
                <w:dstrike w:val="0"/>
                <w:color w:val="auto"/>
                <w:sz w:val="21"/>
                <w:szCs w:val="21"/>
                <w:highlight w:val="none"/>
                <w:lang w:val="en-US" w:eastAsia="zh-CN"/>
              </w:rPr>
              <w:t>④</w:t>
            </w:r>
            <w:r>
              <w:rPr>
                <w:rFonts w:hint="eastAsia" w:cs="宋体"/>
                <w:color w:val="000000"/>
                <w:szCs w:val="21"/>
                <w:highlight w:val="none"/>
                <w:lang w:val="en-US" w:eastAsia="zh-CN"/>
              </w:rPr>
              <w:t>进度安排基本合理、时间节点及工期内容的欠缺的得2分；</w:t>
            </w:r>
          </w:p>
          <w:p w14:paraId="1E98121B">
            <w:pPr>
              <w:tabs>
                <w:tab w:val="left" w:pos="4915"/>
              </w:tabs>
              <w:spacing w:line="340" w:lineRule="exact"/>
              <w:rPr>
                <w:rFonts w:hint="eastAsia" w:cs="宋体"/>
                <w:color w:val="000000"/>
                <w:szCs w:val="21"/>
                <w:highlight w:val="none"/>
                <w:lang w:val="en-US" w:eastAsia="zh-CN"/>
              </w:rPr>
            </w:pPr>
            <w:r>
              <w:rPr>
                <w:rFonts w:hint="eastAsia" w:ascii="宋体" w:hAnsi="宋体" w:eastAsia="宋体" w:cs="宋体"/>
                <w:strike w:val="0"/>
                <w:dstrike w:val="0"/>
                <w:color w:val="auto"/>
                <w:sz w:val="21"/>
                <w:szCs w:val="21"/>
                <w:highlight w:val="none"/>
                <w:lang w:val="en-US" w:eastAsia="zh-CN"/>
              </w:rPr>
              <w:t>⑤</w:t>
            </w:r>
            <w:r>
              <w:rPr>
                <w:rFonts w:hint="eastAsia" w:cs="宋体"/>
                <w:color w:val="000000"/>
                <w:szCs w:val="21"/>
                <w:highlight w:val="none"/>
                <w:lang w:val="en-US" w:eastAsia="zh-CN"/>
              </w:rPr>
              <w:t>进度安排存在明显不合理之处、或时间节点混乱、难以保障项目工期的得1分。</w:t>
            </w:r>
          </w:p>
          <w:p w14:paraId="29862D91">
            <w:pPr>
              <w:tabs>
                <w:tab w:val="left" w:pos="4915"/>
              </w:tabs>
              <w:spacing w:line="340" w:lineRule="exact"/>
              <w:rPr>
                <w:rFonts w:hint="eastAsia" w:cs="宋体"/>
                <w:color w:val="000000"/>
                <w:szCs w:val="21"/>
                <w:highlight w:val="none"/>
              </w:rPr>
            </w:pPr>
            <w:r>
              <w:rPr>
                <w:rFonts w:hint="eastAsia" w:cs="宋体"/>
                <w:color w:val="000000"/>
                <w:szCs w:val="21"/>
                <w:highlight w:val="none"/>
                <w:lang w:val="en-US" w:eastAsia="zh-CN"/>
              </w:rPr>
              <w:t>未提供相关内容不得分。</w:t>
            </w:r>
          </w:p>
        </w:tc>
      </w:tr>
      <w:tr w14:paraId="7B699EB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76" w:hRule="atLeast"/>
          <w:jc w:val="center"/>
        </w:trPr>
        <w:tc>
          <w:tcPr>
            <w:tcW w:w="748" w:type="dxa"/>
            <w:vMerge w:val="continue"/>
            <w:noWrap w:val="0"/>
            <w:vAlign w:val="center"/>
          </w:tcPr>
          <w:p w14:paraId="6C6BC8EF">
            <w:pPr>
              <w:widowControl/>
              <w:spacing w:line="340" w:lineRule="exact"/>
              <w:jc w:val="left"/>
              <w:rPr>
                <w:color w:val="000000"/>
                <w:szCs w:val="21"/>
                <w:highlight w:val="none"/>
              </w:rPr>
            </w:pPr>
          </w:p>
        </w:tc>
        <w:tc>
          <w:tcPr>
            <w:tcW w:w="1164" w:type="dxa"/>
            <w:vMerge w:val="continue"/>
            <w:noWrap w:val="0"/>
            <w:vAlign w:val="center"/>
          </w:tcPr>
          <w:p w14:paraId="7CD7B4DD">
            <w:pPr>
              <w:widowControl/>
              <w:spacing w:line="340" w:lineRule="exact"/>
              <w:jc w:val="left"/>
              <w:rPr>
                <w:color w:val="000000"/>
                <w:szCs w:val="21"/>
                <w:highlight w:val="none"/>
              </w:rPr>
            </w:pPr>
          </w:p>
        </w:tc>
        <w:tc>
          <w:tcPr>
            <w:tcW w:w="8289" w:type="dxa"/>
            <w:noWrap w:val="0"/>
            <w:vAlign w:val="center"/>
          </w:tcPr>
          <w:p w14:paraId="7D247353">
            <w:pPr>
              <w:tabs>
                <w:tab w:val="left" w:pos="4915"/>
              </w:tabs>
              <w:spacing w:line="340" w:lineRule="exact"/>
              <w:rPr>
                <w:rFonts w:hint="eastAsia" w:cs="宋体"/>
                <w:color w:val="000000"/>
                <w:szCs w:val="21"/>
                <w:highlight w:val="none"/>
              </w:rPr>
            </w:pPr>
            <w:r>
              <w:rPr>
                <w:rFonts w:hint="eastAsia" w:cs="宋体"/>
                <w:color w:val="000000"/>
                <w:szCs w:val="21"/>
                <w:highlight w:val="none"/>
                <w:lang w:val="en-US" w:eastAsia="zh-CN"/>
              </w:rPr>
              <w:t>5.</w:t>
            </w:r>
            <w:r>
              <w:rPr>
                <w:rFonts w:hint="eastAsia" w:cs="宋体"/>
                <w:color w:val="000000"/>
                <w:szCs w:val="21"/>
                <w:highlight w:val="none"/>
              </w:rPr>
              <w:t>环保管理体系和措施</w:t>
            </w:r>
            <w:r>
              <w:rPr>
                <w:rFonts w:hint="eastAsia" w:ascii="宋体" w:hAnsi="宋体" w:cs="宋体"/>
                <w:color w:val="auto"/>
                <w:highlight w:val="none"/>
                <w:lang w:eastAsia="zh-CN"/>
              </w:rPr>
              <w:t>（包含但不仅限于防噪音、防扬尘、防刺鼻气味，空气检测、空气治理等施工环境维护保障措施等）</w:t>
            </w:r>
            <w:r>
              <w:rPr>
                <w:rFonts w:hint="eastAsia" w:cs="宋体"/>
                <w:color w:val="000000"/>
                <w:szCs w:val="21"/>
                <w:highlight w:val="none"/>
              </w:rPr>
              <w:t>（</w:t>
            </w:r>
            <w:r>
              <w:rPr>
                <w:rFonts w:hint="eastAsia" w:cs="宋体"/>
                <w:color w:val="000000"/>
                <w:szCs w:val="21"/>
                <w:highlight w:val="none"/>
                <w:lang w:val="en-US" w:eastAsia="zh-CN"/>
              </w:rPr>
              <w:t>5</w:t>
            </w:r>
            <w:r>
              <w:rPr>
                <w:rFonts w:hint="eastAsia" w:cs="宋体"/>
                <w:color w:val="000000"/>
                <w:szCs w:val="21"/>
                <w:highlight w:val="none"/>
              </w:rPr>
              <w:t>分）：</w:t>
            </w:r>
          </w:p>
          <w:p w14:paraId="2EC2B325">
            <w:pPr>
              <w:tabs>
                <w:tab w:val="left" w:pos="4915"/>
              </w:tabs>
              <w:spacing w:line="340" w:lineRule="exact"/>
              <w:rPr>
                <w:rFonts w:hint="eastAsia" w:cs="宋体"/>
                <w:color w:val="000000"/>
                <w:szCs w:val="21"/>
                <w:highlight w:val="none"/>
                <w:lang w:eastAsia="zh-CN"/>
              </w:rPr>
            </w:pPr>
            <w:r>
              <w:rPr>
                <w:rFonts w:hint="eastAsia" w:cs="宋体"/>
                <w:color w:val="000000"/>
                <w:szCs w:val="21"/>
                <w:highlight w:val="none"/>
                <w:lang w:val="en-US" w:eastAsia="zh-CN"/>
              </w:rPr>
              <w:t>①</w:t>
            </w:r>
            <w:r>
              <w:rPr>
                <w:rFonts w:hint="eastAsia" w:ascii="宋体" w:hAnsi="宋体" w:cs="宋体"/>
                <w:color w:val="auto"/>
                <w:highlight w:val="none"/>
              </w:rPr>
              <w:t>施工环保管理完善，防噪音、防扬尘、防刺鼻气味等施工环境维护保障措施可行，空气检测及时到位，空气治理方案完善</w:t>
            </w:r>
            <w:r>
              <w:rPr>
                <w:rFonts w:hint="eastAsia" w:cs="宋体"/>
                <w:color w:val="000000"/>
                <w:szCs w:val="21"/>
                <w:highlight w:val="none"/>
              </w:rPr>
              <w:t>的得</w:t>
            </w:r>
            <w:r>
              <w:rPr>
                <w:rFonts w:hint="eastAsia" w:cs="宋体"/>
                <w:color w:val="000000"/>
                <w:szCs w:val="21"/>
                <w:highlight w:val="none"/>
                <w:lang w:val="en-US" w:eastAsia="zh-CN"/>
              </w:rPr>
              <w:t>5</w:t>
            </w:r>
            <w:r>
              <w:rPr>
                <w:rFonts w:hint="eastAsia" w:cs="宋体"/>
                <w:color w:val="000000"/>
                <w:szCs w:val="21"/>
                <w:highlight w:val="none"/>
              </w:rPr>
              <w:t>分</w:t>
            </w:r>
            <w:r>
              <w:rPr>
                <w:rFonts w:hint="eastAsia" w:cs="宋体"/>
                <w:color w:val="000000"/>
                <w:szCs w:val="21"/>
                <w:highlight w:val="none"/>
                <w:lang w:eastAsia="zh-CN"/>
              </w:rPr>
              <w:t>；</w:t>
            </w:r>
          </w:p>
          <w:p w14:paraId="7CBF755C">
            <w:pPr>
              <w:tabs>
                <w:tab w:val="left" w:pos="4915"/>
              </w:tabs>
              <w:spacing w:line="340" w:lineRule="exact"/>
              <w:rPr>
                <w:rFonts w:hint="eastAsia" w:eastAsia="宋体" w:cs="宋体"/>
                <w:color w:val="000000"/>
                <w:szCs w:val="21"/>
                <w:highlight w:val="none"/>
                <w:lang w:eastAsia="zh-CN"/>
              </w:rPr>
            </w:pPr>
            <w:r>
              <w:rPr>
                <w:rFonts w:hint="eastAsia" w:ascii="宋体" w:hAnsi="宋体" w:eastAsia="宋体" w:cs="宋体"/>
                <w:b w:val="0"/>
                <w:bCs w:val="0"/>
                <w:strike w:val="0"/>
                <w:dstrike w:val="0"/>
                <w:color w:val="auto"/>
                <w:sz w:val="21"/>
                <w:szCs w:val="21"/>
                <w:highlight w:val="none"/>
                <w:lang w:val="en-US" w:eastAsia="zh-CN"/>
              </w:rPr>
              <w:t>②</w:t>
            </w:r>
            <w:r>
              <w:rPr>
                <w:rFonts w:hint="eastAsia" w:ascii="宋体" w:hAnsi="宋体" w:cs="宋体"/>
                <w:color w:val="auto"/>
                <w:highlight w:val="none"/>
              </w:rPr>
              <w:t>施工环保管理完善，防噪音、防扬尘、防刺鼻气味等施工环境维护保障措施基本可行，空气检测较及时到位，空气治理方案较完善</w:t>
            </w:r>
            <w:r>
              <w:rPr>
                <w:rFonts w:hint="eastAsia" w:ascii="宋体" w:hAnsi="宋体" w:cs="宋体"/>
                <w:color w:val="auto"/>
                <w:highlight w:val="none"/>
                <w:lang w:eastAsia="zh-CN"/>
              </w:rPr>
              <w:t>的</w:t>
            </w:r>
            <w:r>
              <w:rPr>
                <w:rFonts w:hint="eastAsia" w:cs="宋体"/>
                <w:color w:val="000000"/>
                <w:szCs w:val="21"/>
                <w:highlight w:val="none"/>
              </w:rPr>
              <w:t>得</w:t>
            </w:r>
            <w:r>
              <w:rPr>
                <w:rFonts w:hint="eastAsia" w:cs="宋体"/>
                <w:color w:val="000000"/>
                <w:szCs w:val="21"/>
                <w:highlight w:val="none"/>
                <w:lang w:val="en-US" w:eastAsia="zh-CN"/>
              </w:rPr>
              <w:t>4</w:t>
            </w:r>
            <w:r>
              <w:rPr>
                <w:rFonts w:hint="eastAsia" w:cs="宋体"/>
                <w:color w:val="000000"/>
                <w:szCs w:val="21"/>
                <w:highlight w:val="none"/>
              </w:rPr>
              <w:t>分</w:t>
            </w:r>
            <w:r>
              <w:rPr>
                <w:rFonts w:hint="eastAsia" w:cs="宋体"/>
                <w:color w:val="000000"/>
                <w:szCs w:val="21"/>
                <w:highlight w:val="none"/>
                <w:lang w:eastAsia="zh-CN"/>
              </w:rPr>
              <w:t>；</w:t>
            </w:r>
          </w:p>
          <w:p w14:paraId="55399A25">
            <w:pPr>
              <w:tabs>
                <w:tab w:val="left" w:pos="4915"/>
              </w:tabs>
              <w:spacing w:line="340" w:lineRule="exact"/>
              <w:rPr>
                <w:rFonts w:hint="eastAsia" w:cs="宋体"/>
                <w:color w:val="000000"/>
                <w:szCs w:val="21"/>
                <w:highlight w:val="none"/>
                <w:lang w:eastAsia="zh-CN"/>
              </w:rPr>
            </w:pPr>
            <w:r>
              <w:rPr>
                <w:rFonts w:hint="eastAsia" w:ascii="宋体" w:hAnsi="宋体" w:eastAsia="宋体" w:cs="宋体"/>
                <w:b w:val="0"/>
                <w:bCs w:val="0"/>
                <w:strike w:val="0"/>
                <w:dstrike w:val="0"/>
                <w:color w:val="auto"/>
                <w:sz w:val="21"/>
                <w:szCs w:val="21"/>
                <w:highlight w:val="none"/>
                <w:lang w:val="en-US" w:eastAsia="zh-CN"/>
              </w:rPr>
              <w:t>③</w:t>
            </w:r>
            <w:r>
              <w:rPr>
                <w:rFonts w:hint="eastAsia" w:ascii="宋体" w:hAnsi="宋体" w:cs="宋体"/>
                <w:color w:val="auto"/>
                <w:highlight w:val="none"/>
              </w:rPr>
              <w:t>施工环保管理完善，防噪音、防扬尘、防刺鼻气味等施工环境维护保障措施基本可行，空气检测较及时到位，空气治理方案</w:t>
            </w:r>
            <w:r>
              <w:rPr>
                <w:rFonts w:hint="eastAsia" w:cs="宋体"/>
                <w:color w:val="000000"/>
                <w:szCs w:val="21"/>
                <w:highlight w:val="none"/>
              </w:rPr>
              <w:t>上有部分欠缺，</w:t>
            </w:r>
            <w:r>
              <w:rPr>
                <w:rFonts w:hint="eastAsia" w:cs="宋体"/>
                <w:color w:val="000000"/>
                <w:szCs w:val="21"/>
                <w:highlight w:val="none"/>
                <w:lang w:val="en-US" w:eastAsia="zh-CN"/>
              </w:rPr>
              <w:t>但尚不影响履约</w:t>
            </w:r>
            <w:r>
              <w:rPr>
                <w:rFonts w:hint="eastAsia" w:cs="宋体"/>
                <w:color w:val="000000"/>
                <w:szCs w:val="21"/>
                <w:highlight w:val="none"/>
              </w:rPr>
              <w:t>的得</w:t>
            </w:r>
            <w:r>
              <w:rPr>
                <w:rFonts w:hint="eastAsia" w:cs="宋体"/>
                <w:color w:val="000000"/>
                <w:szCs w:val="21"/>
                <w:highlight w:val="none"/>
                <w:lang w:val="en-US" w:eastAsia="zh-CN"/>
              </w:rPr>
              <w:t>3</w:t>
            </w:r>
            <w:r>
              <w:rPr>
                <w:rFonts w:hint="eastAsia" w:cs="宋体"/>
                <w:color w:val="000000"/>
                <w:szCs w:val="21"/>
                <w:highlight w:val="none"/>
              </w:rPr>
              <w:t>分</w:t>
            </w:r>
            <w:r>
              <w:rPr>
                <w:rFonts w:hint="eastAsia" w:cs="宋体"/>
                <w:color w:val="000000"/>
                <w:szCs w:val="21"/>
                <w:highlight w:val="none"/>
                <w:lang w:eastAsia="zh-CN"/>
              </w:rPr>
              <w:t>；</w:t>
            </w:r>
          </w:p>
          <w:p w14:paraId="0DDEF509">
            <w:pPr>
              <w:tabs>
                <w:tab w:val="left" w:pos="4915"/>
              </w:tabs>
              <w:spacing w:line="340" w:lineRule="exact"/>
              <w:rPr>
                <w:rFonts w:hint="eastAsia" w:cs="宋体"/>
                <w:color w:val="000000"/>
                <w:szCs w:val="21"/>
                <w:highlight w:val="none"/>
              </w:rPr>
            </w:pPr>
            <w:r>
              <w:rPr>
                <w:rFonts w:hint="eastAsia" w:ascii="宋体" w:hAnsi="宋体" w:eastAsia="宋体" w:cs="宋体"/>
                <w:b w:val="0"/>
                <w:bCs w:val="0"/>
                <w:strike w:val="0"/>
                <w:dstrike w:val="0"/>
                <w:color w:val="auto"/>
                <w:sz w:val="21"/>
                <w:szCs w:val="21"/>
                <w:highlight w:val="none"/>
                <w:lang w:val="en-US" w:eastAsia="zh-CN"/>
              </w:rPr>
              <w:t>④</w:t>
            </w:r>
            <w:r>
              <w:rPr>
                <w:rFonts w:hint="eastAsia" w:ascii="宋体" w:hAnsi="宋体" w:cs="宋体"/>
                <w:color w:val="auto"/>
                <w:highlight w:val="none"/>
              </w:rPr>
              <w:t>施工环保管理完善，防噪音、防扬尘、防刺鼻气味等施工环境维护保障措施基本可行，空气检测较及时到位，空气治理方案</w:t>
            </w:r>
            <w:r>
              <w:rPr>
                <w:rFonts w:hint="eastAsia" w:cs="宋体"/>
                <w:color w:val="000000"/>
                <w:szCs w:val="21"/>
                <w:highlight w:val="none"/>
                <w:lang w:val="en-US" w:eastAsia="zh-CN"/>
              </w:rPr>
              <w:t>有明显缺漏项</w:t>
            </w:r>
            <w:r>
              <w:rPr>
                <w:rFonts w:hint="eastAsia" w:cs="宋体"/>
                <w:color w:val="000000"/>
                <w:szCs w:val="21"/>
                <w:highlight w:val="none"/>
              </w:rPr>
              <w:t>，</w:t>
            </w:r>
            <w:r>
              <w:rPr>
                <w:rFonts w:hint="eastAsia" w:cs="宋体"/>
                <w:color w:val="000000"/>
                <w:szCs w:val="21"/>
                <w:highlight w:val="none"/>
                <w:lang w:val="en-US" w:eastAsia="zh-CN"/>
              </w:rPr>
              <w:t>或过于笼统</w:t>
            </w:r>
            <w:r>
              <w:rPr>
                <w:rFonts w:hint="eastAsia" w:cs="宋体"/>
                <w:color w:val="000000"/>
                <w:szCs w:val="21"/>
                <w:highlight w:val="none"/>
                <w:lang w:eastAsia="zh-CN"/>
              </w:rPr>
              <w:t>但能</w:t>
            </w:r>
            <w:r>
              <w:rPr>
                <w:rFonts w:hint="eastAsia" w:cs="宋体"/>
                <w:color w:val="000000"/>
                <w:szCs w:val="21"/>
                <w:highlight w:val="none"/>
              </w:rPr>
              <w:t>保证项目</w:t>
            </w:r>
            <w:r>
              <w:rPr>
                <w:rFonts w:hint="eastAsia" w:cs="宋体"/>
                <w:color w:val="000000"/>
                <w:szCs w:val="21"/>
                <w:highlight w:val="none"/>
                <w:lang w:val="en-US" w:eastAsia="zh-CN"/>
              </w:rPr>
              <w:t>顺利实施</w:t>
            </w:r>
            <w:r>
              <w:rPr>
                <w:rFonts w:hint="eastAsia" w:cs="宋体"/>
                <w:color w:val="000000"/>
                <w:szCs w:val="21"/>
                <w:highlight w:val="none"/>
              </w:rPr>
              <w:t>的得</w:t>
            </w:r>
            <w:r>
              <w:rPr>
                <w:rFonts w:hint="eastAsia" w:cs="宋体"/>
                <w:color w:val="000000"/>
                <w:szCs w:val="21"/>
                <w:highlight w:val="none"/>
                <w:lang w:val="en-US" w:eastAsia="zh-CN"/>
              </w:rPr>
              <w:t>2</w:t>
            </w:r>
            <w:r>
              <w:rPr>
                <w:rFonts w:hint="eastAsia" w:cs="宋体"/>
                <w:color w:val="000000"/>
                <w:szCs w:val="21"/>
                <w:highlight w:val="none"/>
              </w:rPr>
              <w:t>分。</w:t>
            </w:r>
          </w:p>
          <w:p w14:paraId="6BF2BA11">
            <w:pPr>
              <w:pStyle w:val="72"/>
              <w:ind w:left="0" w:leftChars="0" w:firstLine="0" w:firstLineChars="0"/>
              <w:rPr>
                <w:rFonts w:hint="eastAsia"/>
              </w:rPr>
            </w:pPr>
            <w:r>
              <w:rPr>
                <w:rFonts w:hint="eastAsia" w:ascii="宋体" w:hAnsi="宋体" w:eastAsia="宋体" w:cs="宋体"/>
                <w:strike w:val="0"/>
                <w:dstrike w:val="0"/>
                <w:color w:val="auto"/>
                <w:sz w:val="21"/>
                <w:szCs w:val="21"/>
                <w:highlight w:val="none"/>
                <w:lang w:val="en-US" w:eastAsia="zh-CN"/>
              </w:rPr>
              <w:t>⑤</w:t>
            </w:r>
            <w:r>
              <w:rPr>
                <w:rFonts w:hint="eastAsia" w:ascii="宋体" w:hAnsi="宋体" w:cs="宋体"/>
                <w:color w:val="auto"/>
                <w:highlight w:val="none"/>
              </w:rPr>
              <w:t>施工环保管理完善，防噪音、防扬尘、防刺鼻气味等施工环境维护保障措施基本可行，空气检测较及时到位，空气治理方案</w:t>
            </w:r>
            <w:r>
              <w:rPr>
                <w:rFonts w:hint="eastAsia" w:ascii="宋体" w:hAnsi="宋体" w:eastAsia="宋体" w:cs="宋体"/>
                <w:strike w:val="0"/>
                <w:dstrike w:val="0"/>
                <w:color w:val="auto"/>
                <w:sz w:val="21"/>
                <w:szCs w:val="21"/>
                <w:highlight w:val="none"/>
                <w:lang w:val="en-US" w:eastAsia="zh-CN"/>
              </w:rPr>
              <w:t>存在一定偏差</w:t>
            </w:r>
            <w:r>
              <w:rPr>
                <w:rFonts w:hint="eastAsia" w:ascii="宋体" w:hAnsi="宋体" w:cs="宋体"/>
                <w:strike w:val="0"/>
                <w:dstrike w:val="0"/>
                <w:color w:val="auto"/>
                <w:sz w:val="21"/>
                <w:szCs w:val="21"/>
                <w:highlight w:val="none"/>
                <w:lang w:val="en-US" w:eastAsia="zh-CN"/>
              </w:rPr>
              <w:t>，</w:t>
            </w:r>
            <w:r>
              <w:rPr>
                <w:rFonts w:hint="eastAsia" w:cs="宋体"/>
                <w:color w:val="000000"/>
                <w:szCs w:val="21"/>
                <w:highlight w:val="none"/>
                <w:lang w:val="en-US" w:eastAsia="zh-CN"/>
              </w:rPr>
              <w:t>难以</w:t>
            </w:r>
            <w:r>
              <w:rPr>
                <w:rFonts w:hint="eastAsia" w:cs="宋体"/>
                <w:color w:val="000000"/>
                <w:szCs w:val="21"/>
                <w:highlight w:val="none"/>
              </w:rPr>
              <w:t>保证项目</w:t>
            </w:r>
            <w:r>
              <w:rPr>
                <w:rFonts w:hint="eastAsia" w:cs="宋体"/>
                <w:color w:val="000000"/>
                <w:szCs w:val="21"/>
                <w:highlight w:val="none"/>
                <w:lang w:val="en-US" w:eastAsia="zh-CN"/>
              </w:rPr>
              <w:t>顺利实施</w:t>
            </w:r>
            <w:r>
              <w:rPr>
                <w:rFonts w:hint="eastAsia" w:ascii="宋体" w:hAnsi="宋体" w:eastAsia="宋体" w:cs="宋体"/>
                <w:strike w:val="0"/>
                <w:dstrike w:val="0"/>
                <w:color w:val="auto"/>
                <w:sz w:val="21"/>
                <w:szCs w:val="21"/>
                <w:highlight w:val="none"/>
                <w:lang w:val="en-US" w:eastAsia="zh-CN"/>
              </w:rPr>
              <w:t>的得1分；</w:t>
            </w:r>
          </w:p>
          <w:p w14:paraId="00E39133">
            <w:pPr>
              <w:tabs>
                <w:tab w:val="left" w:pos="4915"/>
              </w:tabs>
              <w:spacing w:line="340" w:lineRule="exact"/>
              <w:rPr>
                <w:rFonts w:hint="eastAsia" w:cs="宋体"/>
                <w:color w:val="000000"/>
                <w:szCs w:val="21"/>
                <w:highlight w:val="none"/>
              </w:rPr>
            </w:pPr>
            <w:r>
              <w:rPr>
                <w:rFonts w:hint="eastAsia" w:cs="宋体"/>
                <w:color w:val="000000"/>
                <w:szCs w:val="21"/>
                <w:highlight w:val="none"/>
                <w:lang w:val="en-US" w:eastAsia="zh-CN"/>
              </w:rPr>
              <w:t>未提供相关内容不得分。</w:t>
            </w:r>
          </w:p>
        </w:tc>
      </w:tr>
      <w:tr w14:paraId="4DCC96F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151" w:hRule="atLeast"/>
          <w:jc w:val="center"/>
        </w:trPr>
        <w:tc>
          <w:tcPr>
            <w:tcW w:w="748" w:type="dxa"/>
            <w:vMerge w:val="continue"/>
            <w:noWrap w:val="0"/>
            <w:vAlign w:val="center"/>
          </w:tcPr>
          <w:p w14:paraId="5F623C64">
            <w:pPr>
              <w:widowControl/>
              <w:spacing w:line="340" w:lineRule="exact"/>
              <w:jc w:val="left"/>
              <w:rPr>
                <w:color w:val="000000"/>
                <w:szCs w:val="21"/>
                <w:highlight w:val="none"/>
              </w:rPr>
            </w:pPr>
          </w:p>
        </w:tc>
        <w:tc>
          <w:tcPr>
            <w:tcW w:w="1164" w:type="dxa"/>
            <w:vMerge w:val="continue"/>
            <w:noWrap w:val="0"/>
            <w:vAlign w:val="center"/>
          </w:tcPr>
          <w:p w14:paraId="56DEEB8B">
            <w:pPr>
              <w:widowControl/>
              <w:spacing w:line="340" w:lineRule="exact"/>
              <w:jc w:val="left"/>
              <w:rPr>
                <w:color w:val="000000"/>
                <w:szCs w:val="21"/>
                <w:highlight w:val="none"/>
              </w:rPr>
            </w:pPr>
          </w:p>
        </w:tc>
        <w:tc>
          <w:tcPr>
            <w:tcW w:w="8289" w:type="dxa"/>
            <w:noWrap w:val="0"/>
            <w:vAlign w:val="center"/>
          </w:tcPr>
          <w:p w14:paraId="705F91C6">
            <w:pPr>
              <w:tabs>
                <w:tab w:val="left" w:pos="4915"/>
              </w:tabs>
              <w:spacing w:line="340" w:lineRule="exact"/>
              <w:rPr>
                <w:rFonts w:hint="eastAsia" w:cs="宋体"/>
                <w:color w:val="000000"/>
                <w:szCs w:val="21"/>
                <w:highlight w:val="none"/>
              </w:rPr>
            </w:pPr>
            <w:r>
              <w:rPr>
                <w:rFonts w:hint="eastAsia" w:cs="宋体"/>
                <w:color w:val="000000"/>
                <w:szCs w:val="21"/>
                <w:highlight w:val="none"/>
                <w:lang w:val="en-US" w:eastAsia="zh-CN"/>
              </w:rPr>
              <w:t>6.</w:t>
            </w:r>
            <w:r>
              <w:rPr>
                <w:rFonts w:hint="eastAsia" w:cs="宋体"/>
                <w:color w:val="000000"/>
                <w:szCs w:val="21"/>
                <w:highlight w:val="none"/>
              </w:rPr>
              <w:t>施工机械设备的选用和布置（</w:t>
            </w:r>
            <w:r>
              <w:rPr>
                <w:rFonts w:hint="eastAsia" w:cs="宋体"/>
                <w:color w:val="000000"/>
                <w:szCs w:val="21"/>
                <w:highlight w:val="none"/>
                <w:lang w:val="en-US" w:eastAsia="zh-CN"/>
              </w:rPr>
              <w:t>5</w:t>
            </w:r>
            <w:r>
              <w:rPr>
                <w:rFonts w:hint="eastAsia" w:cs="宋体"/>
                <w:color w:val="000000"/>
                <w:szCs w:val="21"/>
                <w:highlight w:val="none"/>
              </w:rPr>
              <w:t>分）：</w:t>
            </w:r>
          </w:p>
          <w:p w14:paraId="0E033150">
            <w:pPr>
              <w:tabs>
                <w:tab w:val="left" w:pos="4915"/>
              </w:tabs>
              <w:spacing w:line="340" w:lineRule="exact"/>
              <w:rPr>
                <w:rFonts w:hint="eastAsia" w:cs="宋体"/>
                <w:color w:val="000000"/>
                <w:szCs w:val="21"/>
                <w:highlight w:val="none"/>
                <w:lang w:eastAsia="zh-CN"/>
              </w:rPr>
            </w:pPr>
            <w:r>
              <w:rPr>
                <w:rFonts w:hint="eastAsia" w:cs="宋体"/>
                <w:color w:val="000000"/>
                <w:szCs w:val="21"/>
                <w:highlight w:val="none"/>
                <w:lang w:val="en-US" w:eastAsia="zh-CN"/>
              </w:rPr>
              <w:t>①</w:t>
            </w:r>
            <w:r>
              <w:rPr>
                <w:rFonts w:hint="eastAsia" w:cs="宋体"/>
                <w:color w:val="000000"/>
                <w:szCs w:val="21"/>
                <w:highlight w:val="none"/>
              </w:rPr>
              <w:t>施工机械设备</w:t>
            </w:r>
            <w:r>
              <w:rPr>
                <w:rFonts w:hint="eastAsia" w:cs="宋体"/>
                <w:color w:val="000000"/>
                <w:szCs w:val="21"/>
                <w:highlight w:val="none"/>
                <w:lang w:val="en-US" w:eastAsia="zh-CN"/>
              </w:rPr>
              <w:t>种类齐全、规格型号较新、能保证项目顺利实施</w:t>
            </w:r>
            <w:r>
              <w:rPr>
                <w:rFonts w:hint="eastAsia" w:cs="宋体"/>
                <w:color w:val="000000"/>
                <w:szCs w:val="21"/>
                <w:highlight w:val="none"/>
              </w:rPr>
              <w:t>的得</w:t>
            </w:r>
            <w:r>
              <w:rPr>
                <w:rFonts w:hint="eastAsia" w:cs="宋体"/>
                <w:color w:val="000000"/>
                <w:szCs w:val="21"/>
                <w:highlight w:val="none"/>
                <w:lang w:val="en-US" w:eastAsia="zh-CN"/>
              </w:rPr>
              <w:t>5</w:t>
            </w:r>
            <w:r>
              <w:rPr>
                <w:rFonts w:hint="eastAsia" w:cs="宋体"/>
                <w:color w:val="000000"/>
                <w:szCs w:val="21"/>
                <w:highlight w:val="none"/>
              </w:rPr>
              <w:t>分</w:t>
            </w:r>
            <w:r>
              <w:rPr>
                <w:rFonts w:hint="eastAsia" w:cs="宋体"/>
                <w:color w:val="000000"/>
                <w:szCs w:val="21"/>
                <w:highlight w:val="none"/>
                <w:lang w:eastAsia="zh-CN"/>
              </w:rPr>
              <w:t>；</w:t>
            </w:r>
          </w:p>
          <w:p w14:paraId="3E877436">
            <w:pPr>
              <w:tabs>
                <w:tab w:val="left" w:pos="4915"/>
              </w:tabs>
              <w:spacing w:line="340" w:lineRule="exact"/>
              <w:rPr>
                <w:rFonts w:hint="eastAsia" w:cs="宋体"/>
                <w:color w:val="000000"/>
                <w:szCs w:val="21"/>
                <w:highlight w:val="none"/>
                <w:lang w:eastAsia="zh-CN"/>
              </w:rPr>
            </w:pPr>
            <w:r>
              <w:rPr>
                <w:rFonts w:hint="eastAsia" w:ascii="宋体" w:hAnsi="宋体" w:eastAsia="宋体" w:cs="宋体"/>
                <w:b w:val="0"/>
                <w:bCs w:val="0"/>
                <w:strike w:val="0"/>
                <w:dstrike w:val="0"/>
                <w:color w:val="auto"/>
                <w:sz w:val="21"/>
                <w:szCs w:val="21"/>
                <w:highlight w:val="none"/>
                <w:lang w:val="en-US" w:eastAsia="zh-CN"/>
              </w:rPr>
              <w:t>②</w:t>
            </w:r>
            <w:r>
              <w:rPr>
                <w:rFonts w:hint="eastAsia" w:cs="宋体"/>
                <w:color w:val="000000"/>
                <w:szCs w:val="21"/>
                <w:highlight w:val="none"/>
              </w:rPr>
              <w:t>施工机械设备</w:t>
            </w:r>
            <w:r>
              <w:rPr>
                <w:rFonts w:hint="eastAsia" w:cs="宋体"/>
                <w:color w:val="000000"/>
                <w:szCs w:val="21"/>
                <w:highlight w:val="none"/>
                <w:lang w:val="en-US" w:eastAsia="zh-CN"/>
              </w:rPr>
              <w:t>种类齐全、但部分非主体设备略为陈旧</w:t>
            </w:r>
            <w:r>
              <w:rPr>
                <w:rFonts w:hint="eastAsia" w:cs="宋体"/>
                <w:color w:val="000000"/>
                <w:szCs w:val="21"/>
                <w:highlight w:val="none"/>
              </w:rPr>
              <w:t>的得</w:t>
            </w:r>
            <w:r>
              <w:rPr>
                <w:rFonts w:hint="eastAsia" w:cs="宋体"/>
                <w:color w:val="000000"/>
                <w:szCs w:val="21"/>
                <w:highlight w:val="none"/>
                <w:lang w:val="en-US" w:eastAsia="zh-CN"/>
              </w:rPr>
              <w:t>4</w:t>
            </w:r>
            <w:r>
              <w:rPr>
                <w:rFonts w:hint="eastAsia" w:cs="宋体"/>
                <w:color w:val="000000"/>
                <w:szCs w:val="21"/>
                <w:highlight w:val="none"/>
              </w:rPr>
              <w:t>分</w:t>
            </w:r>
            <w:r>
              <w:rPr>
                <w:rFonts w:hint="eastAsia" w:cs="宋体"/>
                <w:color w:val="000000"/>
                <w:szCs w:val="21"/>
                <w:highlight w:val="none"/>
                <w:lang w:eastAsia="zh-CN"/>
              </w:rPr>
              <w:t>；</w:t>
            </w:r>
          </w:p>
          <w:p w14:paraId="12D13044">
            <w:pPr>
              <w:pStyle w:val="72"/>
              <w:ind w:left="0" w:leftChars="0" w:firstLine="0" w:firstLineChars="0"/>
              <w:rPr>
                <w:rFonts w:hint="eastAsia"/>
                <w:lang w:eastAsia="zh-CN"/>
              </w:rPr>
            </w:pPr>
            <w:r>
              <w:rPr>
                <w:rFonts w:hint="eastAsia" w:ascii="宋体" w:hAnsi="宋体" w:eastAsia="宋体" w:cs="宋体"/>
                <w:b w:val="0"/>
                <w:bCs w:val="0"/>
                <w:strike w:val="0"/>
                <w:dstrike w:val="0"/>
                <w:color w:val="auto"/>
                <w:sz w:val="21"/>
                <w:szCs w:val="21"/>
                <w:highlight w:val="none"/>
                <w:lang w:val="en-US" w:eastAsia="zh-CN"/>
              </w:rPr>
              <w:t>③</w:t>
            </w:r>
            <w:r>
              <w:rPr>
                <w:rFonts w:hint="eastAsia" w:cs="宋体"/>
                <w:color w:val="000000"/>
                <w:szCs w:val="21"/>
                <w:highlight w:val="none"/>
              </w:rPr>
              <w:t>施工机械设备</w:t>
            </w:r>
            <w:r>
              <w:rPr>
                <w:rFonts w:hint="eastAsia" w:cs="宋体"/>
                <w:color w:val="000000"/>
                <w:szCs w:val="21"/>
                <w:highlight w:val="none"/>
                <w:lang w:val="en-US" w:eastAsia="zh-CN"/>
              </w:rPr>
              <w:t>种类较齐全、设备略为陈旧，但能保证项目顺利实施</w:t>
            </w:r>
            <w:r>
              <w:rPr>
                <w:rFonts w:hint="eastAsia" w:cs="宋体"/>
                <w:color w:val="000000"/>
                <w:szCs w:val="21"/>
                <w:highlight w:val="none"/>
              </w:rPr>
              <w:t>的得</w:t>
            </w:r>
            <w:r>
              <w:rPr>
                <w:rFonts w:hint="eastAsia" w:cs="宋体"/>
                <w:color w:val="000000"/>
                <w:szCs w:val="21"/>
                <w:highlight w:val="none"/>
                <w:lang w:val="en-US" w:eastAsia="zh-CN"/>
              </w:rPr>
              <w:t>3</w:t>
            </w:r>
            <w:r>
              <w:rPr>
                <w:rFonts w:hint="eastAsia" w:cs="宋体"/>
                <w:color w:val="000000"/>
                <w:szCs w:val="21"/>
                <w:highlight w:val="none"/>
              </w:rPr>
              <w:t>分</w:t>
            </w:r>
          </w:p>
          <w:p w14:paraId="6B256BA1">
            <w:pPr>
              <w:tabs>
                <w:tab w:val="left" w:pos="4915"/>
              </w:tabs>
              <w:spacing w:line="340" w:lineRule="exact"/>
              <w:rPr>
                <w:rFonts w:hint="eastAsia" w:cs="宋体"/>
                <w:color w:val="000000"/>
                <w:szCs w:val="21"/>
                <w:highlight w:val="none"/>
              </w:rPr>
            </w:pPr>
            <w:r>
              <w:rPr>
                <w:rFonts w:hint="eastAsia" w:ascii="宋体" w:hAnsi="宋体" w:eastAsia="宋体" w:cs="宋体"/>
                <w:b w:val="0"/>
                <w:bCs w:val="0"/>
                <w:strike w:val="0"/>
                <w:dstrike w:val="0"/>
                <w:color w:val="auto"/>
                <w:sz w:val="21"/>
                <w:szCs w:val="21"/>
                <w:highlight w:val="none"/>
                <w:lang w:val="en-US" w:eastAsia="zh-CN"/>
              </w:rPr>
              <w:t>④</w:t>
            </w:r>
            <w:r>
              <w:rPr>
                <w:rFonts w:hint="eastAsia" w:cs="宋体"/>
                <w:color w:val="000000"/>
                <w:szCs w:val="21"/>
                <w:highlight w:val="none"/>
              </w:rPr>
              <w:t>施工机械设备</w:t>
            </w:r>
            <w:r>
              <w:rPr>
                <w:rFonts w:hint="eastAsia" w:cs="宋体"/>
                <w:color w:val="000000"/>
                <w:szCs w:val="21"/>
                <w:highlight w:val="none"/>
                <w:lang w:val="en-US" w:eastAsia="zh-CN"/>
              </w:rPr>
              <w:t>不全，但能保证项目顺利实施</w:t>
            </w:r>
            <w:r>
              <w:rPr>
                <w:rFonts w:hint="eastAsia" w:cs="宋体"/>
                <w:color w:val="000000"/>
                <w:szCs w:val="21"/>
                <w:highlight w:val="none"/>
              </w:rPr>
              <w:t>的的得</w:t>
            </w:r>
            <w:r>
              <w:rPr>
                <w:rFonts w:hint="eastAsia" w:cs="宋体"/>
                <w:color w:val="000000"/>
                <w:szCs w:val="21"/>
                <w:highlight w:val="none"/>
                <w:lang w:val="en-US" w:eastAsia="zh-CN"/>
              </w:rPr>
              <w:t>2</w:t>
            </w:r>
            <w:r>
              <w:rPr>
                <w:rFonts w:hint="eastAsia" w:cs="宋体"/>
                <w:color w:val="000000"/>
                <w:szCs w:val="21"/>
                <w:highlight w:val="none"/>
              </w:rPr>
              <w:t>分</w:t>
            </w:r>
          </w:p>
          <w:p w14:paraId="2A46C4DB">
            <w:pPr>
              <w:tabs>
                <w:tab w:val="left" w:pos="4915"/>
              </w:tabs>
              <w:spacing w:line="340" w:lineRule="exact"/>
              <w:rPr>
                <w:rFonts w:hint="eastAsia" w:cs="宋体"/>
                <w:color w:val="000000"/>
                <w:szCs w:val="21"/>
                <w:highlight w:val="none"/>
              </w:rPr>
            </w:pPr>
            <w:r>
              <w:rPr>
                <w:rFonts w:hint="eastAsia" w:ascii="宋体" w:hAnsi="宋体" w:eastAsia="宋体" w:cs="宋体"/>
                <w:strike w:val="0"/>
                <w:dstrike w:val="0"/>
                <w:color w:val="auto"/>
                <w:sz w:val="21"/>
                <w:szCs w:val="21"/>
                <w:highlight w:val="none"/>
                <w:lang w:val="en-US" w:eastAsia="zh-CN"/>
              </w:rPr>
              <w:t>⑤</w:t>
            </w:r>
            <w:r>
              <w:rPr>
                <w:rFonts w:hint="eastAsia" w:cs="宋体"/>
                <w:color w:val="000000"/>
                <w:szCs w:val="21"/>
                <w:highlight w:val="none"/>
              </w:rPr>
              <w:t>施工机械设备</w:t>
            </w:r>
            <w:r>
              <w:rPr>
                <w:rFonts w:hint="eastAsia" w:cs="宋体"/>
                <w:color w:val="000000"/>
                <w:szCs w:val="21"/>
                <w:highlight w:val="none"/>
                <w:lang w:val="en-US" w:eastAsia="zh-CN"/>
              </w:rPr>
              <w:t>不全、或陈旧落后难以保证项目顺利实施</w:t>
            </w:r>
            <w:r>
              <w:rPr>
                <w:rFonts w:hint="eastAsia" w:cs="宋体"/>
                <w:color w:val="000000"/>
                <w:szCs w:val="21"/>
                <w:highlight w:val="none"/>
              </w:rPr>
              <w:t>的得</w:t>
            </w:r>
            <w:r>
              <w:rPr>
                <w:rFonts w:hint="eastAsia" w:cs="宋体"/>
                <w:color w:val="000000"/>
                <w:szCs w:val="21"/>
                <w:highlight w:val="none"/>
                <w:lang w:val="en-US" w:eastAsia="zh-CN"/>
              </w:rPr>
              <w:t>1</w:t>
            </w:r>
            <w:r>
              <w:rPr>
                <w:rFonts w:hint="eastAsia" w:cs="宋体"/>
                <w:color w:val="000000"/>
                <w:szCs w:val="21"/>
                <w:highlight w:val="none"/>
              </w:rPr>
              <w:t>分。</w:t>
            </w:r>
          </w:p>
          <w:p w14:paraId="6069F33C">
            <w:pPr>
              <w:tabs>
                <w:tab w:val="left" w:pos="4915"/>
              </w:tabs>
              <w:spacing w:line="340" w:lineRule="exact"/>
              <w:rPr>
                <w:rFonts w:hint="eastAsia" w:cs="宋体"/>
                <w:color w:val="000000"/>
                <w:szCs w:val="21"/>
                <w:highlight w:val="none"/>
              </w:rPr>
            </w:pPr>
            <w:r>
              <w:rPr>
                <w:rFonts w:hint="eastAsia" w:cs="宋体"/>
                <w:color w:val="000000"/>
                <w:szCs w:val="21"/>
                <w:highlight w:val="none"/>
              </w:rPr>
              <w:t>提供施工机械设备清单。</w:t>
            </w:r>
            <w:r>
              <w:rPr>
                <w:rFonts w:hint="eastAsia" w:cs="宋体"/>
                <w:color w:val="000000"/>
                <w:szCs w:val="21"/>
                <w:highlight w:val="none"/>
                <w:lang w:val="en-US" w:eastAsia="zh-CN"/>
              </w:rPr>
              <w:t>未提供清单的不得分。</w:t>
            </w:r>
          </w:p>
        </w:tc>
      </w:tr>
      <w:tr w14:paraId="34125D7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4" w:hRule="atLeast"/>
          <w:jc w:val="center"/>
        </w:trPr>
        <w:tc>
          <w:tcPr>
            <w:tcW w:w="748" w:type="dxa"/>
            <w:vMerge w:val="continue"/>
            <w:noWrap w:val="0"/>
            <w:vAlign w:val="center"/>
          </w:tcPr>
          <w:p w14:paraId="37F09A49">
            <w:pPr>
              <w:widowControl/>
              <w:spacing w:line="340" w:lineRule="exact"/>
              <w:jc w:val="left"/>
              <w:rPr>
                <w:color w:val="000000"/>
                <w:szCs w:val="21"/>
                <w:highlight w:val="none"/>
              </w:rPr>
            </w:pPr>
          </w:p>
        </w:tc>
        <w:tc>
          <w:tcPr>
            <w:tcW w:w="1164" w:type="dxa"/>
            <w:vMerge w:val="restart"/>
            <w:noWrap w:val="0"/>
            <w:vAlign w:val="center"/>
          </w:tcPr>
          <w:p w14:paraId="1EC9D8A3">
            <w:pPr>
              <w:spacing w:line="320" w:lineRule="exact"/>
              <w:rPr>
                <w:rFonts w:ascii="Calibri" w:hAnsi="Calibri" w:cs="Calibri"/>
                <w:color w:val="000000"/>
                <w:szCs w:val="21"/>
                <w:highlight w:val="none"/>
              </w:rPr>
            </w:pPr>
            <w:r>
              <w:rPr>
                <w:rFonts w:hint="eastAsia" w:ascii="Calibri" w:hAnsi="Calibri" w:cs="Calibri"/>
                <w:color w:val="000000"/>
                <w:szCs w:val="21"/>
                <w:highlight w:val="none"/>
              </w:rPr>
              <w:t>售后服务方案（</w:t>
            </w:r>
            <w:r>
              <w:rPr>
                <w:rFonts w:hint="eastAsia" w:ascii="Calibri" w:hAnsi="Calibri" w:cs="Calibri"/>
                <w:color w:val="000000"/>
                <w:szCs w:val="21"/>
                <w:highlight w:val="none"/>
                <w:lang w:val="en-US" w:eastAsia="zh-CN"/>
              </w:rPr>
              <w:t>5</w:t>
            </w:r>
            <w:r>
              <w:rPr>
                <w:rFonts w:hint="eastAsia" w:ascii="Calibri" w:hAnsi="Calibri" w:cs="Calibri"/>
                <w:color w:val="000000"/>
                <w:szCs w:val="21"/>
                <w:highlight w:val="none"/>
              </w:rPr>
              <w:t>分）</w:t>
            </w:r>
          </w:p>
        </w:tc>
        <w:tc>
          <w:tcPr>
            <w:tcW w:w="8289" w:type="dxa"/>
            <w:noWrap w:val="0"/>
            <w:vAlign w:val="center"/>
          </w:tcPr>
          <w:p w14:paraId="6A7423DA">
            <w:pPr>
              <w:numPr>
                <w:ilvl w:val="0"/>
                <w:numId w:val="0"/>
              </w:numPr>
              <w:tabs>
                <w:tab w:val="left" w:pos="4915"/>
              </w:tabs>
              <w:spacing w:line="340" w:lineRule="exact"/>
              <w:rPr>
                <w:rFonts w:hint="eastAsia" w:cs="宋体"/>
                <w:color w:val="000000"/>
                <w:szCs w:val="21"/>
                <w:highlight w:val="none"/>
                <w:lang w:eastAsia="zh-CN"/>
              </w:rPr>
            </w:pPr>
            <w:r>
              <w:rPr>
                <w:rFonts w:hint="eastAsia" w:cs="宋体"/>
                <w:color w:val="000000"/>
                <w:szCs w:val="21"/>
                <w:highlight w:val="none"/>
                <w:lang w:val="en-US" w:eastAsia="zh-CN"/>
              </w:rPr>
              <w:t>7.</w:t>
            </w:r>
            <w:r>
              <w:rPr>
                <w:rFonts w:hint="eastAsia" w:cs="宋体"/>
                <w:color w:val="000000"/>
                <w:szCs w:val="21"/>
                <w:highlight w:val="none"/>
              </w:rPr>
              <w:t>售后服务</w:t>
            </w:r>
            <w:r>
              <w:rPr>
                <w:rFonts w:hint="eastAsia" w:cs="宋体"/>
                <w:color w:val="000000"/>
                <w:szCs w:val="21"/>
                <w:highlight w:val="none"/>
                <w:lang w:eastAsia="zh-CN"/>
              </w:rPr>
              <w:t>及</w:t>
            </w:r>
            <w:r>
              <w:rPr>
                <w:rFonts w:hint="eastAsia" w:cs="宋体"/>
                <w:color w:val="000000"/>
                <w:szCs w:val="21"/>
                <w:highlight w:val="none"/>
              </w:rPr>
              <w:t>保修期响应时间，到达现场时间（</w:t>
            </w:r>
            <w:r>
              <w:rPr>
                <w:rFonts w:hint="eastAsia" w:cs="宋体"/>
                <w:color w:val="000000"/>
                <w:szCs w:val="21"/>
                <w:highlight w:val="none"/>
                <w:lang w:val="en-US" w:eastAsia="zh-CN"/>
              </w:rPr>
              <w:t>3</w:t>
            </w:r>
            <w:r>
              <w:rPr>
                <w:rFonts w:hint="eastAsia" w:cs="宋体"/>
                <w:color w:val="000000"/>
                <w:szCs w:val="21"/>
                <w:highlight w:val="none"/>
              </w:rPr>
              <w:t>分）</w:t>
            </w:r>
            <w:r>
              <w:rPr>
                <w:rFonts w:hint="eastAsia" w:cs="宋体"/>
                <w:color w:val="000000"/>
                <w:szCs w:val="21"/>
                <w:highlight w:val="none"/>
                <w:lang w:eastAsia="zh-CN"/>
              </w:rPr>
              <w:t>：</w:t>
            </w:r>
          </w:p>
          <w:p w14:paraId="45EC904D">
            <w:pPr>
              <w:numPr>
                <w:ilvl w:val="0"/>
                <w:numId w:val="0"/>
              </w:numPr>
              <w:tabs>
                <w:tab w:val="left" w:pos="4915"/>
              </w:tabs>
              <w:spacing w:line="340" w:lineRule="exact"/>
              <w:rPr>
                <w:rFonts w:hint="eastAsia" w:cs="宋体"/>
                <w:color w:val="000000"/>
                <w:szCs w:val="21"/>
                <w:highlight w:val="none"/>
                <w:lang w:eastAsia="zh-CN"/>
              </w:rPr>
            </w:pPr>
            <w:r>
              <w:rPr>
                <w:rFonts w:hint="eastAsia" w:cs="宋体"/>
                <w:color w:val="000000"/>
                <w:szCs w:val="21"/>
                <w:highlight w:val="none"/>
                <w:lang w:val="en-US" w:eastAsia="zh-CN"/>
              </w:rPr>
              <w:t>①承诺在30分钟内响应并在2小时内到达项目现场的</w:t>
            </w:r>
            <w:r>
              <w:rPr>
                <w:rFonts w:hint="eastAsia" w:cs="宋体"/>
                <w:color w:val="000000"/>
                <w:szCs w:val="21"/>
                <w:highlight w:val="none"/>
              </w:rPr>
              <w:t>得</w:t>
            </w:r>
            <w:r>
              <w:rPr>
                <w:rFonts w:hint="eastAsia" w:cs="宋体"/>
                <w:color w:val="000000"/>
                <w:szCs w:val="21"/>
                <w:highlight w:val="none"/>
                <w:lang w:val="en-US" w:eastAsia="zh-CN"/>
              </w:rPr>
              <w:t>3</w:t>
            </w:r>
            <w:r>
              <w:rPr>
                <w:rFonts w:hint="eastAsia" w:cs="宋体"/>
                <w:color w:val="000000"/>
                <w:szCs w:val="21"/>
                <w:highlight w:val="none"/>
              </w:rPr>
              <w:t>分</w:t>
            </w:r>
            <w:r>
              <w:rPr>
                <w:rFonts w:hint="eastAsia" w:cs="宋体"/>
                <w:color w:val="000000"/>
                <w:szCs w:val="21"/>
                <w:highlight w:val="none"/>
                <w:lang w:eastAsia="zh-CN"/>
              </w:rPr>
              <w:t>；</w:t>
            </w:r>
          </w:p>
          <w:p w14:paraId="086D0551">
            <w:pPr>
              <w:numPr>
                <w:ilvl w:val="0"/>
                <w:numId w:val="0"/>
              </w:numPr>
              <w:tabs>
                <w:tab w:val="left" w:pos="4915"/>
              </w:tabs>
              <w:spacing w:line="340" w:lineRule="exact"/>
              <w:rPr>
                <w:rFonts w:hint="eastAsia" w:cs="宋体"/>
                <w:color w:val="000000"/>
                <w:szCs w:val="21"/>
                <w:highlight w:val="none"/>
              </w:rPr>
            </w:pPr>
            <w:r>
              <w:rPr>
                <w:rFonts w:hint="eastAsia" w:ascii="宋体" w:hAnsi="宋体" w:eastAsia="宋体" w:cs="宋体"/>
                <w:b w:val="0"/>
                <w:bCs w:val="0"/>
                <w:strike w:val="0"/>
                <w:dstrike w:val="0"/>
                <w:color w:val="auto"/>
                <w:sz w:val="21"/>
                <w:szCs w:val="21"/>
                <w:highlight w:val="none"/>
                <w:lang w:val="en-US" w:eastAsia="zh-CN"/>
              </w:rPr>
              <w:t>②</w:t>
            </w:r>
            <w:r>
              <w:rPr>
                <w:rFonts w:hint="eastAsia" w:cs="宋体"/>
                <w:color w:val="000000"/>
                <w:szCs w:val="21"/>
                <w:highlight w:val="none"/>
                <w:lang w:val="en-US" w:eastAsia="zh-CN"/>
              </w:rPr>
              <w:t>在1小时内响应并在4小时内到达现场的</w:t>
            </w:r>
            <w:r>
              <w:rPr>
                <w:rFonts w:hint="eastAsia" w:cs="宋体"/>
                <w:color w:val="000000"/>
                <w:szCs w:val="21"/>
                <w:highlight w:val="none"/>
              </w:rPr>
              <w:t>得</w:t>
            </w:r>
            <w:r>
              <w:rPr>
                <w:rFonts w:hint="eastAsia" w:cs="宋体"/>
                <w:color w:val="000000"/>
                <w:szCs w:val="21"/>
                <w:highlight w:val="none"/>
                <w:lang w:val="en-US" w:eastAsia="zh-CN"/>
              </w:rPr>
              <w:t>2</w:t>
            </w:r>
            <w:r>
              <w:rPr>
                <w:rFonts w:hint="eastAsia" w:cs="宋体"/>
                <w:color w:val="000000"/>
                <w:szCs w:val="21"/>
                <w:highlight w:val="none"/>
              </w:rPr>
              <w:t>分；</w:t>
            </w:r>
          </w:p>
          <w:p w14:paraId="71A4A618">
            <w:pPr>
              <w:numPr>
                <w:ilvl w:val="0"/>
                <w:numId w:val="0"/>
              </w:numPr>
              <w:tabs>
                <w:tab w:val="left" w:pos="4915"/>
              </w:tabs>
              <w:spacing w:line="340" w:lineRule="exact"/>
              <w:ind w:left="0" w:leftChars="0" w:firstLine="0" w:firstLineChars="0"/>
              <w:rPr>
                <w:rFonts w:hint="default" w:eastAsia="宋体" w:cs="宋体"/>
                <w:color w:val="000000"/>
                <w:szCs w:val="21"/>
                <w:highlight w:val="none"/>
                <w:lang w:val="en-US" w:eastAsia="zh-CN"/>
              </w:rPr>
            </w:pPr>
            <w:r>
              <w:rPr>
                <w:rFonts w:hint="eastAsia" w:ascii="宋体" w:hAnsi="宋体" w:eastAsia="宋体" w:cs="宋体"/>
                <w:b w:val="0"/>
                <w:bCs w:val="0"/>
                <w:strike w:val="0"/>
                <w:dstrike w:val="0"/>
                <w:color w:val="auto"/>
                <w:sz w:val="21"/>
                <w:szCs w:val="21"/>
                <w:highlight w:val="none"/>
                <w:lang w:val="en-US" w:eastAsia="zh-CN"/>
              </w:rPr>
              <w:t>③</w:t>
            </w:r>
            <w:r>
              <w:rPr>
                <w:rFonts w:hint="eastAsia" w:cs="宋体"/>
                <w:color w:val="000000"/>
                <w:szCs w:val="21"/>
                <w:highlight w:val="none"/>
              </w:rPr>
              <w:t>响应时间</w:t>
            </w:r>
            <w:r>
              <w:rPr>
                <w:rFonts w:hint="eastAsia" w:cs="宋体"/>
                <w:color w:val="000000"/>
                <w:szCs w:val="21"/>
                <w:highlight w:val="none"/>
                <w:lang w:val="en-US" w:eastAsia="zh-CN"/>
              </w:rPr>
              <w:t>超过1小时或到达时间超过4小时的得1分</w:t>
            </w:r>
            <w:r>
              <w:rPr>
                <w:rFonts w:hint="eastAsia" w:cs="宋体"/>
                <w:color w:val="000000"/>
                <w:szCs w:val="21"/>
                <w:highlight w:val="none"/>
              </w:rPr>
              <w:t>。</w:t>
            </w:r>
          </w:p>
        </w:tc>
      </w:tr>
      <w:tr w14:paraId="33543EE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4" w:hRule="atLeast"/>
          <w:jc w:val="center"/>
        </w:trPr>
        <w:tc>
          <w:tcPr>
            <w:tcW w:w="748" w:type="dxa"/>
            <w:vMerge w:val="continue"/>
            <w:noWrap w:val="0"/>
            <w:vAlign w:val="center"/>
          </w:tcPr>
          <w:p w14:paraId="6DF94797">
            <w:pPr>
              <w:widowControl/>
              <w:spacing w:line="340" w:lineRule="exact"/>
              <w:jc w:val="left"/>
              <w:rPr>
                <w:color w:val="000000"/>
                <w:szCs w:val="21"/>
                <w:highlight w:val="none"/>
              </w:rPr>
            </w:pPr>
          </w:p>
        </w:tc>
        <w:tc>
          <w:tcPr>
            <w:tcW w:w="1164" w:type="dxa"/>
            <w:vMerge w:val="continue"/>
            <w:noWrap w:val="0"/>
            <w:vAlign w:val="center"/>
          </w:tcPr>
          <w:p w14:paraId="4CB3D864">
            <w:pPr>
              <w:spacing w:line="320" w:lineRule="exact"/>
              <w:rPr>
                <w:rFonts w:hint="eastAsia" w:ascii="Calibri" w:hAnsi="Calibri" w:cs="Calibri"/>
                <w:color w:val="000000"/>
                <w:szCs w:val="21"/>
                <w:highlight w:val="none"/>
              </w:rPr>
            </w:pPr>
          </w:p>
        </w:tc>
        <w:tc>
          <w:tcPr>
            <w:tcW w:w="8289" w:type="dxa"/>
            <w:noWrap w:val="0"/>
            <w:vAlign w:val="center"/>
          </w:tcPr>
          <w:p w14:paraId="72026240">
            <w:pPr>
              <w:numPr>
                <w:ilvl w:val="0"/>
                <w:numId w:val="0"/>
              </w:numPr>
              <w:tabs>
                <w:tab w:val="left" w:pos="4915"/>
              </w:tabs>
              <w:spacing w:line="340" w:lineRule="exact"/>
              <w:rPr>
                <w:rFonts w:hint="eastAsia" w:cs="宋体"/>
                <w:color w:val="000000"/>
                <w:szCs w:val="21"/>
                <w:highlight w:val="none"/>
              </w:rPr>
            </w:pPr>
            <w:r>
              <w:rPr>
                <w:rFonts w:hint="eastAsia" w:cs="宋体"/>
                <w:color w:val="000000"/>
                <w:szCs w:val="21"/>
                <w:highlight w:val="none"/>
                <w:lang w:val="en-US" w:eastAsia="zh-CN"/>
              </w:rPr>
              <w:t>8.</w:t>
            </w:r>
            <w:r>
              <w:rPr>
                <w:rFonts w:hint="eastAsia" w:cs="宋体"/>
                <w:color w:val="000000"/>
                <w:szCs w:val="21"/>
                <w:highlight w:val="none"/>
              </w:rPr>
              <w:t>售后服务内容承诺（</w:t>
            </w:r>
            <w:r>
              <w:rPr>
                <w:rFonts w:hint="eastAsia" w:cs="宋体"/>
                <w:color w:val="000000"/>
                <w:szCs w:val="21"/>
                <w:highlight w:val="none"/>
                <w:lang w:val="en-US" w:eastAsia="zh-CN"/>
              </w:rPr>
              <w:t>2</w:t>
            </w:r>
            <w:r>
              <w:rPr>
                <w:rFonts w:hint="eastAsia" w:cs="宋体"/>
                <w:color w:val="000000"/>
                <w:szCs w:val="21"/>
                <w:highlight w:val="none"/>
              </w:rPr>
              <w:t>分）：</w:t>
            </w:r>
          </w:p>
          <w:p w14:paraId="7B2EA93E">
            <w:pPr>
              <w:numPr>
                <w:ilvl w:val="0"/>
                <w:numId w:val="0"/>
              </w:numPr>
              <w:tabs>
                <w:tab w:val="left" w:pos="4915"/>
              </w:tabs>
              <w:spacing w:line="340" w:lineRule="exact"/>
              <w:rPr>
                <w:rFonts w:hint="eastAsia" w:cs="宋体"/>
                <w:color w:val="000000"/>
                <w:szCs w:val="21"/>
                <w:highlight w:val="none"/>
                <w:lang w:eastAsia="zh-CN"/>
              </w:rPr>
            </w:pPr>
            <w:r>
              <w:rPr>
                <w:rFonts w:hint="eastAsia" w:cs="宋体"/>
                <w:color w:val="000000"/>
                <w:szCs w:val="21"/>
                <w:highlight w:val="none"/>
                <w:lang w:val="en-US" w:eastAsia="zh-CN"/>
              </w:rPr>
              <w:t>①售后</w:t>
            </w:r>
            <w:r>
              <w:rPr>
                <w:rFonts w:hint="eastAsia" w:cs="宋体"/>
                <w:color w:val="000000"/>
                <w:szCs w:val="21"/>
                <w:highlight w:val="none"/>
              </w:rPr>
              <w:t>服务保障</w:t>
            </w:r>
            <w:r>
              <w:rPr>
                <w:rFonts w:hint="eastAsia" w:cs="宋体"/>
                <w:color w:val="000000"/>
                <w:szCs w:val="21"/>
                <w:highlight w:val="none"/>
                <w:lang w:val="en-US" w:eastAsia="zh-CN"/>
              </w:rPr>
              <w:t>体系完备</w:t>
            </w:r>
            <w:r>
              <w:rPr>
                <w:rFonts w:hint="eastAsia" w:cs="宋体"/>
                <w:color w:val="000000"/>
                <w:szCs w:val="21"/>
                <w:highlight w:val="none"/>
              </w:rPr>
              <w:t>、服务内容具体、详细、</w:t>
            </w:r>
            <w:r>
              <w:rPr>
                <w:rFonts w:hint="eastAsia" w:cs="宋体"/>
                <w:color w:val="000000"/>
                <w:szCs w:val="21"/>
                <w:highlight w:val="none"/>
                <w:lang w:val="en-US" w:eastAsia="zh-CN"/>
              </w:rPr>
              <w:t>服务质量有保障的</w:t>
            </w:r>
            <w:r>
              <w:rPr>
                <w:rFonts w:hint="eastAsia" w:cs="宋体"/>
                <w:color w:val="000000"/>
                <w:szCs w:val="21"/>
                <w:highlight w:val="none"/>
              </w:rPr>
              <w:t>得</w:t>
            </w:r>
            <w:r>
              <w:rPr>
                <w:rFonts w:hint="eastAsia" w:cs="宋体"/>
                <w:color w:val="000000"/>
                <w:szCs w:val="21"/>
                <w:highlight w:val="none"/>
                <w:lang w:val="en-US" w:eastAsia="zh-CN"/>
              </w:rPr>
              <w:t>2</w:t>
            </w:r>
            <w:r>
              <w:rPr>
                <w:rFonts w:hint="eastAsia" w:cs="宋体"/>
                <w:color w:val="000000"/>
                <w:szCs w:val="21"/>
                <w:highlight w:val="none"/>
              </w:rPr>
              <w:t>分</w:t>
            </w:r>
            <w:r>
              <w:rPr>
                <w:rFonts w:hint="eastAsia" w:cs="宋体"/>
                <w:color w:val="000000"/>
                <w:szCs w:val="21"/>
                <w:highlight w:val="none"/>
                <w:lang w:eastAsia="zh-CN"/>
              </w:rPr>
              <w:t>；</w:t>
            </w:r>
          </w:p>
          <w:p w14:paraId="69AE4DFE">
            <w:pPr>
              <w:numPr>
                <w:ilvl w:val="0"/>
                <w:numId w:val="0"/>
              </w:numPr>
              <w:tabs>
                <w:tab w:val="left" w:pos="4915"/>
              </w:tabs>
              <w:spacing w:line="340" w:lineRule="exact"/>
              <w:rPr>
                <w:rFonts w:hint="eastAsia" w:cs="宋体"/>
                <w:color w:val="000000"/>
                <w:szCs w:val="21"/>
                <w:highlight w:val="none"/>
              </w:rPr>
            </w:pPr>
            <w:r>
              <w:rPr>
                <w:rFonts w:hint="eastAsia" w:ascii="宋体" w:hAnsi="宋体" w:eastAsia="宋体" w:cs="宋体"/>
                <w:b w:val="0"/>
                <w:bCs w:val="0"/>
                <w:strike w:val="0"/>
                <w:dstrike w:val="0"/>
                <w:color w:val="auto"/>
                <w:sz w:val="21"/>
                <w:szCs w:val="21"/>
                <w:highlight w:val="none"/>
                <w:lang w:val="en-US" w:eastAsia="zh-CN"/>
              </w:rPr>
              <w:t>②</w:t>
            </w:r>
            <w:r>
              <w:rPr>
                <w:rFonts w:hint="eastAsia" w:cs="宋体"/>
                <w:color w:val="000000"/>
                <w:szCs w:val="21"/>
                <w:highlight w:val="none"/>
                <w:lang w:val="en-US" w:eastAsia="zh-CN"/>
              </w:rPr>
              <w:t>有服务保障体系但部分</w:t>
            </w:r>
            <w:r>
              <w:rPr>
                <w:rFonts w:hint="eastAsia" w:cs="宋体"/>
                <w:color w:val="000000"/>
                <w:szCs w:val="21"/>
                <w:highlight w:val="none"/>
              </w:rPr>
              <w:t>内容有欠缺、尚不影响履约得</w:t>
            </w:r>
            <w:r>
              <w:rPr>
                <w:rFonts w:hint="eastAsia" w:cs="宋体"/>
                <w:color w:val="000000"/>
                <w:szCs w:val="21"/>
                <w:highlight w:val="none"/>
                <w:lang w:val="en-US" w:eastAsia="zh-CN"/>
              </w:rPr>
              <w:t>1</w:t>
            </w:r>
            <w:r>
              <w:rPr>
                <w:rFonts w:hint="eastAsia" w:cs="宋体"/>
                <w:color w:val="000000"/>
                <w:szCs w:val="21"/>
                <w:highlight w:val="none"/>
              </w:rPr>
              <w:t>分；</w:t>
            </w:r>
          </w:p>
          <w:p w14:paraId="1064CE64">
            <w:pPr>
              <w:numPr>
                <w:ilvl w:val="0"/>
                <w:numId w:val="0"/>
              </w:numPr>
              <w:tabs>
                <w:tab w:val="left" w:pos="4915"/>
              </w:tabs>
              <w:spacing w:line="340" w:lineRule="exact"/>
              <w:ind w:left="0" w:leftChars="0" w:firstLine="0" w:firstLineChars="0"/>
              <w:rPr>
                <w:rFonts w:hint="eastAsia" w:cs="宋体"/>
                <w:color w:val="000000"/>
                <w:szCs w:val="21"/>
                <w:highlight w:val="none"/>
                <w:lang w:val="en-US" w:eastAsia="zh-CN"/>
              </w:rPr>
            </w:pPr>
            <w:r>
              <w:rPr>
                <w:rFonts w:hint="eastAsia" w:cs="宋体"/>
                <w:color w:val="000000"/>
                <w:szCs w:val="21"/>
                <w:highlight w:val="none"/>
                <w:lang w:val="en-US" w:eastAsia="zh-CN"/>
              </w:rPr>
              <w:t>未提供相关内容不得分。</w:t>
            </w:r>
          </w:p>
        </w:tc>
      </w:tr>
      <w:tr w14:paraId="76B0F03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4" w:hRule="atLeast"/>
          <w:jc w:val="center"/>
        </w:trPr>
        <w:tc>
          <w:tcPr>
            <w:tcW w:w="748" w:type="dxa"/>
            <w:vMerge w:val="continue"/>
            <w:noWrap w:val="0"/>
            <w:vAlign w:val="center"/>
          </w:tcPr>
          <w:p w14:paraId="721CD189">
            <w:pPr>
              <w:widowControl/>
              <w:spacing w:line="340" w:lineRule="exact"/>
              <w:jc w:val="left"/>
              <w:rPr>
                <w:color w:val="000000"/>
                <w:szCs w:val="21"/>
                <w:highlight w:val="none"/>
              </w:rPr>
            </w:pPr>
          </w:p>
        </w:tc>
        <w:tc>
          <w:tcPr>
            <w:tcW w:w="1164" w:type="dxa"/>
            <w:noWrap w:val="0"/>
            <w:vAlign w:val="center"/>
          </w:tcPr>
          <w:p w14:paraId="32742C4B">
            <w:pPr>
              <w:spacing w:line="320" w:lineRule="exact"/>
              <w:rPr>
                <w:rFonts w:hint="eastAsia" w:ascii="Calibri" w:hAnsi="Calibri" w:eastAsia="宋体" w:cs="Calibri"/>
                <w:color w:val="000000"/>
                <w:szCs w:val="21"/>
                <w:highlight w:val="none"/>
                <w:lang w:val="en-US" w:eastAsia="zh-CN"/>
              </w:rPr>
            </w:pPr>
            <w:r>
              <w:rPr>
                <w:rFonts w:hint="eastAsia" w:ascii="Calibri" w:hAnsi="Calibri" w:eastAsia="宋体" w:cs="Calibri"/>
                <w:color w:val="000000"/>
                <w:szCs w:val="21"/>
                <w:highlight w:val="none"/>
                <w:lang w:val="en-US" w:eastAsia="zh-CN"/>
              </w:rPr>
              <w:t xml:space="preserve">突发事件 应急预案 </w:t>
            </w:r>
          </w:p>
          <w:p w14:paraId="0F33DDF8">
            <w:pPr>
              <w:spacing w:line="320" w:lineRule="exact"/>
              <w:rPr>
                <w:rFonts w:hint="eastAsia" w:ascii="Calibri" w:hAnsi="Calibri" w:cs="Calibri"/>
                <w:color w:val="000000"/>
                <w:szCs w:val="21"/>
                <w:highlight w:val="none"/>
              </w:rPr>
            </w:pPr>
            <w:r>
              <w:rPr>
                <w:rFonts w:hint="eastAsia" w:ascii="Calibri" w:hAnsi="Calibri" w:eastAsia="宋体" w:cs="Calibri"/>
                <w:color w:val="000000"/>
                <w:szCs w:val="21"/>
                <w:highlight w:val="none"/>
                <w:lang w:val="en-US" w:eastAsia="zh-CN"/>
              </w:rPr>
              <w:t>（</w:t>
            </w:r>
            <w:r>
              <w:rPr>
                <w:rFonts w:hint="eastAsia" w:ascii="Calibri" w:hAnsi="Calibri" w:cs="Calibri"/>
                <w:color w:val="000000"/>
                <w:szCs w:val="21"/>
                <w:highlight w:val="none"/>
                <w:lang w:val="en-US" w:eastAsia="zh-CN"/>
              </w:rPr>
              <w:t>4</w:t>
            </w:r>
            <w:r>
              <w:rPr>
                <w:rFonts w:hint="default" w:ascii="Calibri" w:hAnsi="Calibri" w:eastAsia="宋体" w:cs="Calibri"/>
                <w:color w:val="000000"/>
                <w:szCs w:val="21"/>
                <w:highlight w:val="none"/>
                <w:lang w:val="en-US" w:eastAsia="zh-CN"/>
              </w:rPr>
              <w:t xml:space="preserve"> </w:t>
            </w:r>
            <w:r>
              <w:rPr>
                <w:rFonts w:hint="eastAsia" w:ascii="Calibri" w:hAnsi="Calibri" w:eastAsia="宋体" w:cs="Calibri"/>
                <w:color w:val="000000"/>
                <w:szCs w:val="21"/>
                <w:highlight w:val="none"/>
                <w:lang w:val="en-US" w:eastAsia="zh-CN"/>
              </w:rPr>
              <w:t>分）</w:t>
            </w:r>
          </w:p>
        </w:tc>
        <w:tc>
          <w:tcPr>
            <w:tcW w:w="8289" w:type="dxa"/>
            <w:noWrap w:val="0"/>
            <w:vAlign w:val="center"/>
          </w:tcPr>
          <w:p w14:paraId="278772F6">
            <w:pPr>
              <w:spacing w:line="320" w:lineRule="exact"/>
              <w:rPr>
                <w:rFonts w:hint="eastAsia" w:ascii="Calibri" w:hAnsi="Calibri" w:eastAsia="宋体" w:cs="Calibri"/>
                <w:color w:val="000000"/>
                <w:szCs w:val="21"/>
                <w:highlight w:val="none"/>
              </w:rPr>
            </w:pPr>
            <w:r>
              <w:rPr>
                <w:rFonts w:hint="eastAsia" w:ascii="Calibri" w:hAnsi="Calibri" w:cs="Calibri"/>
                <w:color w:val="000000"/>
                <w:szCs w:val="21"/>
                <w:highlight w:val="none"/>
                <w:lang w:val="en-US" w:eastAsia="zh-CN"/>
              </w:rPr>
              <w:t>9.</w:t>
            </w:r>
            <w:r>
              <w:rPr>
                <w:rFonts w:hint="eastAsia" w:ascii="Calibri" w:hAnsi="Calibri" w:eastAsia="宋体" w:cs="Calibri"/>
                <w:color w:val="000000"/>
                <w:szCs w:val="21"/>
                <w:highlight w:val="none"/>
                <w:lang w:val="en-US" w:eastAsia="zh-CN"/>
              </w:rPr>
              <w:t>对本项目实施期间的突发事件应急预案进行评议（</w:t>
            </w:r>
            <w:r>
              <w:rPr>
                <w:rFonts w:hint="eastAsia" w:ascii="Calibri" w:hAnsi="Calibri" w:cs="Calibri"/>
                <w:color w:val="000000"/>
                <w:szCs w:val="21"/>
                <w:highlight w:val="none"/>
                <w:lang w:val="en-US" w:eastAsia="zh-CN"/>
              </w:rPr>
              <w:t>4</w:t>
            </w:r>
            <w:r>
              <w:rPr>
                <w:rFonts w:hint="eastAsia" w:ascii="Calibri" w:hAnsi="Calibri" w:eastAsia="宋体" w:cs="Calibri"/>
                <w:color w:val="000000"/>
                <w:szCs w:val="21"/>
                <w:highlight w:val="none"/>
                <w:lang w:val="en-US" w:eastAsia="zh-CN"/>
              </w:rPr>
              <w:t xml:space="preserve">分） </w:t>
            </w:r>
          </w:p>
          <w:p w14:paraId="09566941">
            <w:pPr>
              <w:spacing w:line="320" w:lineRule="exact"/>
              <w:rPr>
                <w:rFonts w:hint="eastAsia" w:ascii="Calibri" w:hAnsi="Calibri" w:eastAsia="宋体" w:cs="Calibri"/>
                <w:color w:val="000000"/>
                <w:szCs w:val="21"/>
                <w:highlight w:val="none"/>
                <w:lang w:val="en-US" w:eastAsia="zh-CN"/>
              </w:rPr>
            </w:pPr>
            <w:r>
              <w:rPr>
                <w:rFonts w:hint="eastAsia" w:cs="宋体"/>
                <w:color w:val="000000"/>
                <w:szCs w:val="21"/>
                <w:highlight w:val="none"/>
                <w:lang w:val="en-US" w:eastAsia="zh-CN"/>
              </w:rPr>
              <w:t>①</w:t>
            </w:r>
            <w:r>
              <w:rPr>
                <w:rFonts w:hint="eastAsia" w:ascii="Calibri" w:hAnsi="Calibri" w:eastAsia="宋体" w:cs="Calibri"/>
                <w:color w:val="000000"/>
                <w:szCs w:val="21"/>
                <w:highlight w:val="none"/>
                <w:lang w:val="en-US" w:eastAsia="zh-CN"/>
              </w:rPr>
              <w:t>应急预案条款完整、措施得力、能有效降低突发事件的不利影响的得</w:t>
            </w:r>
            <w:r>
              <w:rPr>
                <w:rFonts w:hint="eastAsia" w:ascii="Calibri" w:hAnsi="Calibri" w:cs="Calibri"/>
                <w:color w:val="000000"/>
                <w:szCs w:val="21"/>
                <w:highlight w:val="none"/>
                <w:lang w:val="en-US" w:eastAsia="zh-CN"/>
              </w:rPr>
              <w:t>4</w:t>
            </w:r>
            <w:r>
              <w:rPr>
                <w:rFonts w:hint="eastAsia" w:ascii="Calibri" w:hAnsi="Calibri" w:eastAsia="宋体" w:cs="Calibri"/>
                <w:color w:val="000000"/>
                <w:szCs w:val="21"/>
                <w:highlight w:val="none"/>
                <w:lang w:val="en-US" w:eastAsia="zh-CN"/>
              </w:rPr>
              <w:t>分；</w:t>
            </w:r>
          </w:p>
          <w:p w14:paraId="08F24707">
            <w:pPr>
              <w:pStyle w:val="72"/>
              <w:ind w:left="0" w:leftChars="0" w:firstLine="0" w:firstLineChars="0"/>
              <w:rPr>
                <w:rFonts w:hint="eastAsia"/>
                <w:lang w:val="en-US" w:eastAsia="zh-CN"/>
              </w:rPr>
            </w:pPr>
            <w:r>
              <w:rPr>
                <w:rFonts w:hint="eastAsia" w:ascii="宋体" w:hAnsi="宋体" w:eastAsia="宋体" w:cs="宋体"/>
                <w:b w:val="0"/>
                <w:bCs w:val="0"/>
                <w:strike w:val="0"/>
                <w:dstrike w:val="0"/>
                <w:color w:val="auto"/>
                <w:sz w:val="21"/>
                <w:szCs w:val="21"/>
                <w:highlight w:val="none"/>
                <w:lang w:val="en-US" w:eastAsia="zh-CN"/>
              </w:rPr>
              <w:t>②</w:t>
            </w:r>
            <w:r>
              <w:rPr>
                <w:rFonts w:hint="eastAsia" w:ascii="Calibri" w:hAnsi="Calibri" w:eastAsia="宋体" w:cs="Calibri"/>
                <w:color w:val="000000"/>
                <w:szCs w:val="21"/>
                <w:highlight w:val="none"/>
                <w:lang w:val="en-US" w:eastAsia="zh-CN"/>
              </w:rPr>
              <w:t>应急预案条款内容完整</w:t>
            </w:r>
            <w:r>
              <w:rPr>
                <w:rFonts w:hint="eastAsia" w:ascii="Calibri" w:hAnsi="Calibri" w:cs="Calibri"/>
                <w:color w:val="000000"/>
                <w:szCs w:val="21"/>
                <w:highlight w:val="none"/>
                <w:lang w:val="en-US" w:eastAsia="zh-CN"/>
              </w:rPr>
              <w:t>，</w:t>
            </w:r>
            <w:r>
              <w:rPr>
                <w:rFonts w:hint="eastAsia" w:ascii="Calibri" w:hAnsi="Calibri" w:eastAsia="宋体" w:cs="Calibri"/>
                <w:color w:val="000000"/>
                <w:szCs w:val="21"/>
                <w:highlight w:val="none"/>
                <w:lang w:val="en-US" w:eastAsia="zh-CN"/>
              </w:rPr>
              <w:t>措施</w:t>
            </w:r>
            <w:r>
              <w:rPr>
                <w:rFonts w:hint="eastAsia" w:ascii="Calibri" w:hAnsi="Calibri" w:cs="Calibri"/>
                <w:color w:val="000000"/>
                <w:szCs w:val="21"/>
                <w:highlight w:val="none"/>
                <w:lang w:val="en-US" w:eastAsia="zh-CN"/>
              </w:rPr>
              <w:t>基本得力，</w:t>
            </w:r>
            <w:r>
              <w:rPr>
                <w:rFonts w:hint="eastAsia" w:ascii="Calibri" w:hAnsi="Calibri" w:eastAsia="宋体" w:cs="Calibri"/>
                <w:color w:val="000000"/>
                <w:szCs w:val="21"/>
                <w:highlight w:val="none"/>
                <w:lang w:val="en-US" w:eastAsia="zh-CN"/>
              </w:rPr>
              <w:t>能降低突发事件的不利影响的得</w:t>
            </w:r>
            <w:r>
              <w:rPr>
                <w:rFonts w:hint="eastAsia" w:ascii="Calibri" w:hAnsi="Calibri" w:cs="Calibri"/>
                <w:color w:val="000000"/>
                <w:szCs w:val="21"/>
                <w:highlight w:val="none"/>
                <w:lang w:val="en-US" w:eastAsia="zh-CN"/>
              </w:rPr>
              <w:t>3</w:t>
            </w:r>
            <w:r>
              <w:rPr>
                <w:rFonts w:hint="eastAsia" w:ascii="Calibri" w:hAnsi="Calibri" w:eastAsia="宋体" w:cs="Calibri"/>
                <w:color w:val="000000"/>
                <w:szCs w:val="21"/>
                <w:highlight w:val="none"/>
                <w:lang w:val="en-US" w:eastAsia="zh-CN"/>
              </w:rPr>
              <w:t>分</w:t>
            </w:r>
          </w:p>
          <w:p w14:paraId="3D4F6E29">
            <w:pPr>
              <w:spacing w:line="320" w:lineRule="exact"/>
              <w:rPr>
                <w:rFonts w:hint="eastAsia" w:ascii="Calibri" w:hAnsi="Calibri" w:eastAsia="宋体" w:cs="Calibri"/>
                <w:color w:val="000000"/>
                <w:szCs w:val="21"/>
                <w:highlight w:val="none"/>
                <w:lang w:val="en-US" w:eastAsia="zh-CN"/>
              </w:rPr>
            </w:pPr>
            <w:r>
              <w:rPr>
                <w:rFonts w:hint="eastAsia" w:ascii="宋体" w:hAnsi="宋体" w:eastAsia="宋体" w:cs="宋体"/>
                <w:b w:val="0"/>
                <w:bCs w:val="0"/>
                <w:strike w:val="0"/>
                <w:dstrike w:val="0"/>
                <w:color w:val="auto"/>
                <w:sz w:val="21"/>
                <w:szCs w:val="21"/>
                <w:highlight w:val="none"/>
                <w:lang w:val="en-US" w:eastAsia="zh-CN"/>
              </w:rPr>
              <w:t>③</w:t>
            </w:r>
            <w:r>
              <w:rPr>
                <w:rFonts w:hint="eastAsia" w:ascii="Calibri" w:hAnsi="Calibri" w:eastAsia="宋体" w:cs="Calibri"/>
                <w:color w:val="000000"/>
                <w:szCs w:val="21"/>
                <w:highlight w:val="none"/>
                <w:lang w:val="en-US" w:eastAsia="zh-CN"/>
              </w:rPr>
              <w:t>条款内容完整、但具体措施与工程实际情况略有偏差、预计尚不影响履约得</w:t>
            </w:r>
            <w:r>
              <w:rPr>
                <w:rFonts w:hint="eastAsia" w:ascii="Calibri" w:hAnsi="Calibri" w:cs="Calibri"/>
                <w:color w:val="000000"/>
                <w:szCs w:val="21"/>
                <w:highlight w:val="none"/>
                <w:lang w:val="en-US" w:eastAsia="zh-CN"/>
              </w:rPr>
              <w:t>2</w:t>
            </w:r>
            <w:r>
              <w:rPr>
                <w:rFonts w:hint="eastAsia" w:ascii="Calibri" w:hAnsi="Calibri" w:eastAsia="宋体" w:cs="Calibri"/>
                <w:color w:val="000000"/>
                <w:szCs w:val="21"/>
                <w:highlight w:val="none"/>
                <w:lang w:val="en-US" w:eastAsia="zh-CN"/>
              </w:rPr>
              <w:t>分；</w:t>
            </w:r>
          </w:p>
          <w:p w14:paraId="56E3A5F7">
            <w:pPr>
              <w:pStyle w:val="72"/>
              <w:ind w:left="0" w:leftChars="0" w:firstLine="0" w:firstLineChars="0"/>
              <w:rPr>
                <w:rFonts w:hint="eastAsia"/>
                <w:lang w:val="en-US" w:eastAsia="zh-CN"/>
              </w:rPr>
            </w:pPr>
            <w:r>
              <w:rPr>
                <w:rFonts w:hint="eastAsia" w:ascii="宋体" w:hAnsi="宋体" w:eastAsia="宋体" w:cs="宋体"/>
                <w:b w:val="0"/>
                <w:bCs w:val="0"/>
                <w:strike w:val="0"/>
                <w:dstrike w:val="0"/>
                <w:color w:val="auto"/>
                <w:sz w:val="21"/>
                <w:szCs w:val="21"/>
                <w:highlight w:val="none"/>
                <w:lang w:val="en-US" w:eastAsia="zh-CN"/>
              </w:rPr>
              <w:t>④</w:t>
            </w:r>
            <w:r>
              <w:rPr>
                <w:rFonts w:hint="eastAsia" w:ascii="Calibri" w:hAnsi="Calibri" w:eastAsia="宋体" w:cs="Calibri"/>
                <w:color w:val="000000"/>
                <w:szCs w:val="21"/>
                <w:highlight w:val="none"/>
                <w:lang w:val="en-US" w:eastAsia="zh-CN"/>
              </w:rPr>
              <w:t>条款内容具体措施</w:t>
            </w:r>
            <w:r>
              <w:rPr>
                <w:rFonts w:hint="eastAsia" w:cs="宋体"/>
                <w:color w:val="000000"/>
                <w:szCs w:val="21"/>
                <w:highlight w:val="none"/>
                <w:lang w:val="en-US" w:eastAsia="zh-CN"/>
              </w:rPr>
              <w:t>有明显缺漏项</w:t>
            </w:r>
            <w:r>
              <w:rPr>
                <w:rFonts w:hint="eastAsia" w:cs="宋体"/>
                <w:color w:val="000000"/>
                <w:szCs w:val="21"/>
                <w:highlight w:val="none"/>
              </w:rPr>
              <w:t>，</w:t>
            </w:r>
            <w:r>
              <w:rPr>
                <w:rFonts w:hint="eastAsia" w:cs="宋体"/>
                <w:color w:val="000000"/>
                <w:szCs w:val="21"/>
                <w:highlight w:val="none"/>
                <w:lang w:val="en-US" w:eastAsia="zh-CN"/>
              </w:rPr>
              <w:t>或过于笼统</w:t>
            </w:r>
            <w:r>
              <w:rPr>
                <w:rFonts w:hint="eastAsia" w:cs="宋体"/>
                <w:color w:val="000000"/>
                <w:szCs w:val="21"/>
                <w:highlight w:val="none"/>
                <w:lang w:eastAsia="zh-CN"/>
              </w:rPr>
              <w:t>但能</w:t>
            </w:r>
            <w:r>
              <w:rPr>
                <w:rFonts w:hint="eastAsia" w:cs="宋体"/>
                <w:color w:val="000000"/>
                <w:szCs w:val="21"/>
                <w:highlight w:val="none"/>
              </w:rPr>
              <w:t>保证项目</w:t>
            </w:r>
            <w:r>
              <w:rPr>
                <w:rFonts w:hint="eastAsia" w:cs="宋体"/>
                <w:color w:val="000000"/>
                <w:szCs w:val="21"/>
                <w:highlight w:val="none"/>
                <w:lang w:val="en-US" w:eastAsia="zh-CN"/>
              </w:rPr>
              <w:t>顺利实施</w:t>
            </w:r>
            <w:r>
              <w:rPr>
                <w:rFonts w:hint="eastAsia" w:cs="宋体"/>
                <w:color w:val="000000"/>
                <w:szCs w:val="21"/>
                <w:highlight w:val="none"/>
              </w:rPr>
              <w:t>的得</w:t>
            </w:r>
            <w:r>
              <w:rPr>
                <w:rFonts w:hint="eastAsia" w:cs="宋体"/>
                <w:color w:val="000000"/>
                <w:szCs w:val="21"/>
                <w:highlight w:val="none"/>
                <w:lang w:val="en-US" w:eastAsia="zh-CN"/>
              </w:rPr>
              <w:t>1</w:t>
            </w:r>
            <w:r>
              <w:rPr>
                <w:rFonts w:hint="eastAsia" w:cs="宋体"/>
                <w:color w:val="000000"/>
                <w:szCs w:val="21"/>
                <w:highlight w:val="none"/>
              </w:rPr>
              <w:t>分</w:t>
            </w:r>
          </w:p>
          <w:p w14:paraId="6383E7CE">
            <w:pPr>
              <w:spacing w:line="320" w:lineRule="exact"/>
              <w:rPr>
                <w:rFonts w:hint="eastAsia" w:cs="宋体"/>
                <w:color w:val="000000"/>
                <w:szCs w:val="21"/>
                <w:highlight w:val="none"/>
                <w:lang w:val="en-US" w:eastAsia="zh-CN"/>
              </w:rPr>
            </w:pPr>
            <w:r>
              <w:rPr>
                <w:rFonts w:hint="eastAsia" w:ascii="Times New Roman" w:hAnsi="Times New Roman" w:eastAsia="宋体" w:cs="Times New Roman"/>
                <w:color w:val="auto"/>
                <w:sz w:val="21"/>
                <w:szCs w:val="21"/>
                <w:highlight w:val="none"/>
                <w:lang w:val="en-US" w:eastAsia="zh-CN"/>
              </w:rPr>
              <w:t>注：</w:t>
            </w:r>
            <w:r>
              <w:rPr>
                <w:rFonts w:hint="eastAsia" w:ascii="Calibri" w:hAnsi="Calibri" w:eastAsia="宋体" w:cs="Calibri"/>
                <w:color w:val="000000"/>
                <w:szCs w:val="21"/>
                <w:highlight w:val="none"/>
                <w:lang w:val="en-US" w:eastAsia="zh-CN"/>
              </w:rPr>
              <w:t>未提供相关内容的不得分。</w:t>
            </w:r>
          </w:p>
        </w:tc>
      </w:tr>
      <w:tr w14:paraId="1B1218A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8" w:type="dxa"/>
            <w:vMerge w:val="continue"/>
            <w:noWrap w:val="0"/>
            <w:vAlign w:val="center"/>
          </w:tcPr>
          <w:p w14:paraId="26437D66">
            <w:pPr>
              <w:widowControl/>
              <w:spacing w:line="340" w:lineRule="exact"/>
              <w:jc w:val="left"/>
              <w:rPr>
                <w:color w:val="000000"/>
                <w:szCs w:val="21"/>
                <w:highlight w:val="none"/>
              </w:rPr>
            </w:pPr>
          </w:p>
        </w:tc>
        <w:tc>
          <w:tcPr>
            <w:tcW w:w="1164" w:type="dxa"/>
            <w:noWrap w:val="0"/>
            <w:vAlign w:val="center"/>
          </w:tcPr>
          <w:p w14:paraId="28666DD0">
            <w:pPr>
              <w:spacing w:line="320" w:lineRule="exact"/>
              <w:rPr>
                <w:rFonts w:hint="eastAsia" w:ascii="Calibri" w:hAnsi="Calibri" w:eastAsia="宋体" w:cs="Calibri"/>
                <w:color w:val="000000"/>
                <w:szCs w:val="21"/>
                <w:highlight w:val="none"/>
              </w:rPr>
            </w:pPr>
            <w:r>
              <w:rPr>
                <w:rFonts w:hint="eastAsia" w:ascii="Times New Roman" w:hAnsi="Times New Roman" w:eastAsia="宋体" w:cs="Times New Roman"/>
                <w:color w:val="auto"/>
                <w:sz w:val="21"/>
                <w:szCs w:val="21"/>
                <w:highlight w:val="none"/>
                <w:lang w:val="en-US" w:eastAsia="zh-CN"/>
              </w:rPr>
              <w:t>重难点分析及解决方案（</w:t>
            </w:r>
            <w:r>
              <w:rPr>
                <w:rFonts w:hint="eastAsia" w:cs="Times New Roman"/>
                <w:color w:val="auto"/>
                <w:sz w:val="21"/>
                <w:szCs w:val="21"/>
                <w:highlight w:val="none"/>
                <w:lang w:val="en-US" w:eastAsia="zh-CN"/>
              </w:rPr>
              <w:t>4</w:t>
            </w:r>
            <w:r>
              <w:rPr>
                <w:rFonts w:hint="eastAsia" w:ascii="Times New Roman" w:hAnsi="Times New Roman" w:eastAsia="宋体" w:cs="Times New Roman"/>
                <w:color w:val="auto"/>
                <w:sz w:val="21"/>
                <w:szCs w:val="21"/>
                <w:highlight w:val="none"/>
                <w:lang w:val="en-US" w:eastAsia="zh-CN"/>
              </w:rPr>
              <w:t>分）</w:t>
            </w:r>
          </w:p>
        </w:tc>
        <w:tc>
          <w:tcPr>
            <w:tcW w:w="8289" w:type="dxa"/>
            <w:noWrap w:val="0"/>
            <w:vAlign w:val="center"/>
          </w:tcPr>
          <w:p w14:paraId="1756E407">
            <w:pPr>
              <w:spacing w:line="320" w:lineRule="exact"/>
              <w:rPr>
                <w:rFonts w:hint="eastAsia"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10.</w:t>
            </w:r>
            <w:r>
              <w:rPr>
                <w:rFonts w:hint="eastAsia" w:ascii="Times New Roman" w:hAnsi="Times New Roman" w:eastAsia="宋体" w:cs="Times New Roman"/>
                <w:color w:val="auto"/>
                <w:sz w:val="21"/>
                <w:szCs w:val="21"/>
                <w:highlight w:val="none"/>
                <w:lang w:val="en-US" w:eastAsia="zh-CN"/>
              </w:rPr>
              <w:t>根据供应商提供的项目关键点、重难点分析及合理化建议进行综合评议（</w:t>
            </w:r>
            <w:r>
              <w:rPr>
                <w:rFonts w:hint="eastAsia" w:cs="Times New Roman"/>
                <w:color w:val="auto"/>
                <w:sz w:val="21"/>
                <w:szCs w:val="21"/>
                <w:highlight w:val="none"/>
                <w:lang w:val="en-US" w:eastAsia="zh-CN"/>
              </w:rPr>
              <w:t>4</w:t>
            </w:r>
            <w:r>
              <w:rPr>
                <w:rFonts w:hint="eastAsia" w:ascii="Times New Roman" w:hAnsi="Times New Roman" w:eastAsia="宋体" w:cs="Times New Roman"/>
                <w:color w:val="auto"/>
                <w:sz w:val="21"/>
                <w:szCs w:val="21"/>
                <w:highlight w:val="none"/>
                <w:lang w:val="en-US" w:eastAsia="zh-CN"/>
              </w:rPr>
              <w:t>分）：</w:t>
            </w:r>
          </w:p>
          <w:p w14:paraId="57A7E79D">
            <w:pPr>
              <w:spacing w:line="320" w:lineRule="exact"/>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①项目关键点、重难点分析到位，针对性强，具有可行的解决方案的，得</w:t>
            </w:r>
            <w:r>
              <w:rPr>
                <w:rFonts w:hint="eastAsia" w:cs="Times New Roman"/>
                <w:color w:val="auto"/>
                <w:sz w:val="21"/>
                <w:szCs w:val="21"/>
                <w:highlight w:val="none"/>
                <w:lang w:val="en-US" w:eastAsia="zh-CN"/>
              </w:rPr>
              <w:t>4</w:t>
            </w:r>
            <w:r>
              <w:rPr>
                <w:rFonts w:hint="eastAsia" w:ascii="Times New Roman" w:hAnsi="Times New Roman" w:eastAsia="宋体" w:cs="Times New Roman"/>
                <w:color w:val="auto"/>
                <w:sz w:val="21"/>
                <w:szCs w:val="21"/>
                <w:highlight w:val="none"/>
                <w:lang w:val="en-US" w:eastAsia="zh-CN"/>
              </w:rPr>
              <w:t>分；</w:t>
            </w:r>
          </w:p>
          <w:p w14:paraId="66E202D3">
            <w:pPr>
              <w:spacing w:line="320" w:lineRule="exact"/>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②项目关键点、重难点分析及针对性较好，有效可行的解决方案的，得</w:t>
            </w:r>
            <w:r>
              <w:rPr>
                <w:rFonts w:hint="eastAsia" w:cs="Times New Roman"/>
                <w:color w:val="auto"/>
                <w:sz w:val="21"/>
                <w:szCs w:val="21"/>
                <w:highlight w:val="none"/>
                <w:lang w:val="en-US" w:eastAsia="zh-CN"/>
              </w:rPr>
              <w:t>3</w:t>
            </w:r>
            <w:r>
              <w:rPr>
                <w:rFonts w:hint="eastAsia" w:ascii="Times New Roman" w:hAnsi="Times New Roman" w:eastAsia="宋体" w:cs="Times New Roman"/>
                <w:color w:val="auto"/>
                <w:sz w:val="21"/>
                <w:szCs w:val="21"/>
                <w:highlight w:val="none"/>
                <w:lang w:val="en-US" w:eastAsia="zh-CN"/>
              </w:rPr>
              <w:t>分；</w:t>
            </w:r>
          </w:p>
          <w:p w14:paraId="1EFD2261">
            <w:pPr>
              <w:spacing w:line="320" w:lineRule="exact"/>
              <w:rPr>
                <w:rFonts w:hint="eastAsia" w:ascii="Times New Roman" w:hAnsi="Times New Roman" w:eastAsia="宋体" w:cs="Times New Roman"/>
                <w:color w:val="auto"/>
                <w:sz w:val="21"/>
                <w:szCs w:val="21"/>
                <w:highlight w:val="none"/>
                <w:lang w:val="en-US" w:eastAsia="zh-CN"/>
              </w:rPr>
            </w:pPr>
            <w:r>
              <w:rPr>
                <w:rFonts w:hint="eastAsia" w:ascii="宋体" w:hAnsi="宋体" w:eastAsia="宋体" w:cs="宋体"/>
                <w:b w:val="0"/>
                <w:bCs w:val="0"/>
                <w:strike w:val="0"/>
                <w:dstrike w:val="0"/>
                <w:color w:val="auto"/>
                <w:sz w:val="21"/>
                <w:szCs w:val="21"/>
                <w:highlight w:val="none"/>
                <w:lang w:val="en-US" w:eastAsia="zh-CN"/>
              </w:rPr>
              <w:t>③</w:t>
            </w:r>
            <w:r>
              <w:rPr>
                <w:rFonts w:hint="eastAsia" w:ascii="Times New Roman" w:hAnsi="Times New Roman" w:eastAsia="宋体" w:cs="Times New Roman"/>
                <w:color w:val="auto"/>
                <w:sz w:val="21"/>
                <w:szCs w:val="21"/>
                <w:highlight w:val="none"/>
                <w:lang w:val="en-US" w:eastAsia="zh-CN"/>
              </w:rPr>
              <w:t>项目关键点、重难点分析普通，针对性一般，有效可行的解决方案，得</w:t>
            </w:r>
            <w:r>
              <w:rPr>
                <w:rFonts w:hint="eastAsia" w:cs="Times New Roman"/>
                <w:color w:val="auto"/>
                <w:sz w:val="21"/>
                <w:szCs w:val="21"/>
                <w:highlight w:val="none"/>
                <w:lang w:val="en-US" w:eastAsia="zh-CN"/>
              </w:rPr>
              <w:t>2</w:t>
            </w:r>
            <w:r>
              <w:rPr>
                <w:rFonts w:hint="eastAsia" w:ascii="Times New Roman" w:hAnsi="Times New Roman" w:eastAsia="宋体" w:cs="Times New Roman"/>
                <w:color w:val="auto"/>
                <w:sz w:val="21"/>
                <w:szCs w:val="21"/>
                <w:highlight w:val="none"/>
                <w:lang w:val="en-US" w:eastAsia="zh-CN"/>
              </w:rPr>
              <w:t>分；</w:t>
            </w:r>
          </w:p>
          <w:p w14:paraId="14C6FFB3">
            <w:pPr>
              <w:pStyle w:val="72"/>
              <w:ind w:left="0" w:leftChars="0" w:firstLine="0" w:firstLineChars="0"/>
              <w:rPr>
                <w:rFonts w:hint="eastAsia" w:ascii="Times New Roman" w:hAnsi="Times New Roman" w:eastAsia="宋体" w:cs="Times New Roman"/>
                <w:color w:val="auto"/>
                <w:sz w:val="21"/>
                <w:szCs w:val="21"/>
                <w:highlight w:val="none"/>
                <w:lang w:val="en-US" w:eastAsia="zh-CN"/>
              </w:rPr>
            </w:pPr>
            <w:r>
              <w:rPr>
                <w:rFonts w:hint="eastAsia" w:ascii="宋体" w:hAnsi="宋体"/>
                <w:color w:val="auto"/>
                <w:szCs w:val="21"/>
                <w:highlight w:val="none"/>
                <w:lang w:val="en-US" w:eastAsia="zh-CN"/>
              </w:rPr>
              <w:t>④</w:t>
            </w:r>
            <w:r>
              <w:rPr>
                <w:rFonts w:hint="eastAsia" w:ascii="Times New Roman" w:hAnsi="Times New Roman" w:eastAsia="宋体" w:cs="Times New Roman"/>
                <w:color w:val="auto"/>
                <w:sz w:val="21"/>
                <w:szCs w:val="21"/>
                <w:highlight w:val="none"/>
                <w:lang w:val="en-US" w:eastAsia="zh-CN"/>
              </w:rPr>
              <w:t>项目关键点、重难点分析及针对性</w:t>
            </w:r>
            <w:r>
              <w:rPr>
                <w:rFonts w:hint="eastAsia" w:cs="宋体"/>
                <w:color w:val="000000"/>
                <w:szCs w:val="21"/>
                <w:highlight w:val="none"/>
                <w:lang w:val="en-US" w:eastAsia="zh-CN"/>
              </w:rPr>
              <w:t>过于笼统，</w:t>
            </w:r>
            <w:r>
              <w:rPr>
                <w:rFonts w:hint="eastAsia" w:ascii="Times New Roman" w:hAnsi="Times New Roman" w:eastAsia="宋体" w:cs="Times New Roman"/>
                <w:color w:val="auto"/>
                <w:sz w:val="21"/>
                <w:szCs w:val="21"/>
                <w:highlight w:val="none"/>
                <w:lang w:val="en-US" w:eastAsia="zh-CN"/>
              </w:rPr>
              <w:t>解决方案</w:t>
            </w:r>
            <w:r>
              <w:rPr>
                <w:rFonts w:hint="eastAsia" w:cs="宋体"/>
                <w:color w:val="000000"/>
                <w:szCs w:val="21"/>
                <w:highlight w:val="none"/>
              </w:rPr>
              <w:t>内容有欠缺</w:t>
            </w:r>
            <w:r>
              <w:rPr>
                <w:rFonts w:hint="eastAsia" w:cs="宋体"/>
                <w:color w:val="000000"/>
                <w:szCs w:val="21"/>
                <w:highlight w:val="none"/>
                <w:lang w:eastAsia="zh-CN"/>
              </w:rPr>
              <w:t>的，</w:t>
            </w:r>
            <w:r>
              <w:rPr>
                <w:rFonts w:hint="eastAsia" w:cs="宋体"/>
                <w:color w:val="000000"/>
                <w:szCs w:val="21"/>
                <w:highlight w:val="none"/>
              </w:rPr>
              <w:t>得</w:t>
            </w:r>
            <w:r>
              <w:rPr>
                <w:rFonts w:hint="eastAsia" w:cs="宋体"/>
                <w:color w:val="000000"/>
                <w:szCs w:val="21"/>
                <w:highlight w:val="none"/>
                <w:lang w:val="en-US" w:eastAsia="zh-CN"/>
              </w:rPr>
              <w:t>1</w:t>
            </w:r>
            <w:r>
              <w:rPr>
                <w:rFonts w:hint="eastAsia" w:cs="宋体"/>
                <w:color w:val="000000"/>
                <w:szCs w:val="21"/>
                <w:highlight w:val="none"/>
              </w:rPr>
              <w:t>分</w:t>
            </w:r>
          </w:p>
          <w:p w14:paraId="6263A2A8">
            <w:pPr>
              <w:spacing w:line="320" w:lineRule="exact"/>
              <w:rPr>
                <w:rFonts w:hint="eastAsia" w:ascii="Calibri" w:hAnsi="Calibri" w:eastAsia="宋体" w:cs="Calibri"/>
                <w:color w:val="000000"/>
                <w:szCs w:val="21"/>
                <w:highlight w:val="none"/>
              </w:rPr>
            </w:pPr>
            <w:r>
              <w:rPr>
                <w:rFonts w:hint="eastAsia" w:ascii="Times New Roman" w:hAnsi="Times New Roman" w:eastAsia="宋体" w:cs="Times New Roman"/>
                <w:color w:val="auto"/>
                <w:sz w:val="21"/>
                <w:szCs w:val="21"/>
                <w:highlight w:val="none"/>
                <w:lang w:val="en-US" w:eastAsia="zh-CN"/>
              </w:rPr>
              <w:t>注：无相关内容的不得分。</w:t>
            </w:r>
          </w:p>
        </w:tc>
      </w:tr>
      <w:tr w14:paraId="7C5310E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8" w:type="dxa"/>
            <w:vMerge w:val="continue"/>
            <w:noWrap w:val="0"/>
            <w:vAlign w:val="center"/>
          </w:tcPr>
          <w:p w14:paraId="258E8D8B">
            <w:pPr>
              <w:widowControl/>
              <w:spacing w:line="340" w:lineRule="exact"/>
              <w:jc w:val="left"/>
              <w:rPr>
                <w:color w:val="000000"/>
                <w:szCs w:val="21"/>
                <w:highlight w:val="none"/>
              </w:rPr>
            </w:pPr>
          </w:p>
        </w:tc>
        <w:tc>
          <w:tcPr>
            <w:tcW w:w="1164" w:type="dxa"/>
            <w:noWrap w:val="0"/>
            <w:vAlign w:val="center"/>
          </w:tcPr>
          <w:p w14:paraId="34570A22">
            <w:pPr>
              <w:spacing w:line="320" w:lineRule="exact"/>
              <w:rPr>
                <w:rFonts w:hint="eastAsia"/>
                <w:color w:val="auto"/>
                <w:sz w:val="21"/>
                <w:szCs w:val="21"/>
                <w:highlight w:val="none"/>
                <w:lang w:val="en-US" w:eastAsia="zh-CN"/>
              </w:rPr>
            </w:pPr>
            <w:r>
              <w:rPr>
                <w:rFonts w:hint="eastAsia" w:ascii="Times New Roman" w:hAnsi="宋体" w:eastAsia="宋体" w:cs="宋体"/>
                <w:color w:val="auto"/>
                <w:sz w:val="21"/>
                <w:highlight w:val="none"/>
              </w:rPr>
              <w:t>现场工程技术管理人员的专业配置</w:t>
            </w:r>
            <w:r>
              <w:rPr>
                <w:rFonts w:hint="eastAsia" w:hAnsi="宋体" w:cs="宋体"/>
                <w:color w:val="auto"/>
                <w:sz w:val="21"/>
                <w:highlight w:val="none"/>
                <w:lang w:eastAsia="zh-CN"/>
              </w:rPr>
              <w:t>（</w:t>
            </w:r>
            <w:r>
              <w:rPr>
                <w:rFonts w:hint="eastAsia" w:hAnsi="宋体" w:cs="宋体"/>
                <w:color w:val="auto"/>
                <w:sz w:val="21"/>
                <w:highlight w:val="none"/>
                <w:lang w:val="en-US" w:eastAsia="zh-CN"/>
              </w:rPr>
              <w:t>4</w:t>
            </w:r>
            <w:r>
              <w:rPr>
                <w:rFonts w:hint="eastAsia" w:hAnsi="宋体" w:cs="宋体"/>
                <w:color w:val="auto"/>
                <w:sz w:val="21"/>
                <w:highlight w:val="none"/>
                <w:lang w:eastAsia="zh-CN"/>
              </w:rPr>
              <w:t>）</w:t>
            </w:r>
          </w:p>
        </w:tc>
        <w:tc>
          <w:tcPr>
            <w:tcW w:w="8289" w:type="dxa"/>
            <w:noWrap w:val="0"/>
            <w:vAlign w:val="center"/>
          </w:tcPr>
          <w:p w14:paraId="2747ADA7">
            <w:pPr>
              <w:autoSpaceDE w:val="0"/>
              <w:autoSpaceDN w:val="0"/>
              <w:spacing w:line="380" w:lineRule="atLeast"/>
              <w:jc w:val="left"/>
              <w:rPr>
                <w:rFonts w:hint="eastAsia" w:ascii="Times New Roman" w:hAnsi="宋体" w:eastAsia="宋体" w:cs="宋体"/>
                <w:color w:val="auto"/>
                <w:sz w:val="21"/>
                <w:highlight w:val="none"/>
                <w:lang w:val="en-US" w:eastAsia="zh-CN"/>
              </w:rPr>
            </w:pPr>
            <w:r>
              <w:rPr>
                <w:rFonts w:hint="eastAsia" w:hAnsi="宋体" w:cs="宋体"/>
                <w:color w:val="auto"/>
                <w:sz w:val="21"/>
                <w:highlight w:val="none"/>
                <w:lang w:val="en-US" w:eastAsia="zh-CN"/>
              </w:rPr>
              <w:t>11.</w:t>
            </w:r>
            <w:r>
              <w:rPr>
                <w:rFonts w:hint="eastAsia" w:ascii="Times New Roman" w:hAnsi="宋体" w:eastAsia="宋体" w:cs="宋体"/>
                <w:color w:val="auto"/>
                <w:sz w:val="21"/>
                <w:highlight w:val="none"/>
              </w:rPr>
              <w:t>对</w:t>
            </w:r>
            <w:r>
              <w:rPr>
                <w:rFonts w:hint="eastAsia" w:ascii="Times New Roman" w:hAnsi="宋体" w:eastAsia="宋体" w:cs="宋体"/>
                <w:color w:val="auto"/>
                <w:sz w:val="21"/>
                <w:highlight w:val="none"/>
                <w:lang w:val="en-US" w:eastAsia="zh-CN"/>
              </w:rPr>
              <w:t>供应商关于</w:t>
            </w:r>
            <w:r>
              <w:rPr>
                <w:rFonts w:hint="eastAsia" w:ascii="Times New Roman" w:hAnsi="宋体" w:eastAsia="宋体" w:cs="宋体"/>
                <w:color w:val="auto"/>
                <w:sz w:val="21"/>
                <w:highlight w:val="none"/>
              </w:rPr>
              <w:t>拟派现场工程技术管理人员的专业配置合理性</w:t>
            </w:r>
            <w:r>
              <w:rPr>
                <w:rFonts w:hint="eastAsia" w:ascii="Times New Roman" w:hAnsi="宋体" w:eastAsia="宋体" w:cs="宋体"/>
                <w:color w:val="auto"/>
                <w:sz w:val="21"/>
                <w:highlight w:val="none"/>
                <w:lang w:val="en-US" w:eastAsia="zh-CN"/>
              </w:rPr>
              <w:t>进行综合评议</w:t>
            </w:r>
            <w:r>
              <w:rPr>
                <w:rFonts w:hint="eastAsia" w:hAnsi="宋体" w:cs="宋体"/>
                <w:color w:val="auto"/>
                <w:sz w:val="21"/>
                <w:highlight w:val="none"/>
                <w:lang w:eastAsia="zh-CN"/>
              </w:rPr>
              <w:t>（</w:t>
            </w:r>
            <w:r>
              <w:rPr>
                <w:rFonts w:hint="eastAsia" w:hAnsi="宋体" w:cs="宋体"/>
                <w:color w:val="auto"/>
                <w:sz w:val="21"/>
                <w:highlight w:val="none"/>
                <w:lang w:val="en-US" w:eastAsia="zh-CN"/>
              </w:rPr>
              <w:t>4分</w:t>
            </w:r>
            <w:r>
              <w:rPr>
                <w:rFonts w:hint="eastAsia" w:hAnsi="宋体" w:cs="宋体"/>
                <w:color w:val="auto"/>
                <w:sz w:val="21"/>
                <w:highlight w:val="none"/>
                <w:lang w:eastAsia="zh-CN"/>
              </w:rPr>
              <w:t>）</w:t>
            </w:r>
            <w:r>
              <w:rPr>
                <w:rFonts w:hint="eastAsia" w:ascii="Times New Roman" w:hAnsi="宋体" w:eastAsia="宋体" w:cs="宋体"/>
                <w:color w:val="auto"/>
                <w:sz w:val="21"/>
                <w:highlight w:val="none"/>
                <w:lang w:val="en-US" w:eastAsia="zh-CN"/>
              </w:rPr>
              <w:t>：</w:t>
            </w:r>
          </w:p>
          <w:p w14:paraId="37B9B63D">
            <w:pPr>
              <w:autoSpaceDE w:val="0"/>
              <w:autoSpaceDN w:val="0"/>
              <w:spacing w:line="380" w:lineRule="atLeast"/>
              <w:jc w:val="left"/>
              <w:rPr>
                <w:rFonts w:hint="eastAsia" w:ascii="Times New Roman" w:hAnsi="宋体" w:eastAsia="宋体" w:cs="宋体"/>
                <w:color w:val="auto"/>
                <w:sz w:val="21"/>
                <w:highlight w:val="none"/>
              </w:rPr>
            </w:pPr>
            <w:r>
              <w:rPr>
                <w:rFonts w:hint="eastAsia" w:ascii="宋体" w:hAnsi="宋体"/>
                <w:color w:val="auto"/>
                <w:szCs w:val="21"/>
                <w:highlight w:val="none"/>
                <w:lang w:val="en-US" w:eastAsia="zh-CN"/>
              </w:rPr>
              <w:t>①</w:t>
            </w:r>
            <w:r>
              <w:rPr>
                <w:rFonts w:hint="eastAsia" w:ascii="Times New Roman" w:hAnsi="宋体" w:eastAsia="宋体" w:cs="宋体"/>
                <w:color w:val="auto"/>
                <w:sz w:val="21"/>
                <w:highlight w:val="none"/>
              </w:rPr>
              <w:t>拟派现场工程技术管理人员</w:t>
            </w:r>
            <w:r>
              <w:rPr>
                <w:rFonts w:hint="eastAsia" w:ascii="Times New Roman" w:hAnsi="宋体" w:eastAsia="宋体" w:cs="宋体"/>
                <w:color w:val="auto"/>
                <w:sz w:val="21"/>
                <w:highlight w:val="none"/>
                <w:lang w:val="en-US" w:eastAsia="zh-CN"/>
              </w:rPr>
              <w:t>配置充足、</w:t>
            </w:r>
            <w:r>
              <w:rPr>
                <w:rFonts w:hint="eastAsia" w:ascii="Times New Roman" w:hAnsi="宋体" w:eastAsia="宋体" w:cs="宋体"/>
                <w:color w:val="auto"/>
                <w:sz w:val="21"/>
                <w:highlight w:val="none"/>
              </w:rPr>
              <w:t>专业配置合理</w:t>
            </w:r>
            <w:r>
              <w:rPr>
                <w:rFonts w:hint="eastAsia" w:ascii="Times New Roman" w:hAnsi="宋体" w:eastAsia="宋体" w:cs="宋体"/>
                <w:color w:val="auto"/>
                <w:sz w:val="21"/>
                <w:highlight w:val="none"/>
                <w:lang w:val="en-US" w:eastAsia="zh-CN"/>
              </w:rPr>
              <w:t>的</w:t>
            </w:r>
            <w:r>
              <w:rPr>
                <w:rFonts w:hint="eastAsia" w:ascii="Times New Roman" w:hAnsi="宋体" w:eastAsia="宋体" w:cs="宋体"/>
                <w:color w:val="auto"/>
                <w:sz w:val="21"/>
                <w:highlight w:val="none"/>
                <w:lang w:eastAsia="zh-CN"/>
              </w:rPr>
              <w:t>，</w:t>
            </w:r>
            <w:r>
              <w:rPr>
                <w:rFonts w:hint="eastAsia" w:ascii="Times New Roman" w:hAnsi="宋体" w:eastAsia="宋体" w:cs="宋体"/>
                <w:color w:val="auto"/>
                <w:sz w:val="21"/>
                <w:highlight w:val="none"/>
              </w:rPr>
              <w:t>得</w:t>
            </w:r>
            <w:r>
              <w:rPr>
                <w:rFonts w:hint="eastAsia" w:hAnsi="宋体" w:cs="宋体"/>
                <w:color w:val="auto"/>
                <w:sz w:val="21"/>
                <w:highlight w:val="none"/>
                <w:lang w:val="en-US" w:eastAsia="zh-CN"/>
              </w:rPr>
              <w:t>4</w:t>
            </w:r>
            <w:r>
              <w:rPr>
                <w:rFonts w:hint="eastAsia" w:ascii="Times New Roman" w:hAnsi="宋体" w:eastAsia="宋体" w:cs="宋体"/>
                <w:color w:val="auto"/>
                <w:sz w:val="21"/>
                <w:highlight w:val="none"/>
              </w:rPr>
              <w:t>分；</w:t>
            </w:r>
          </w:p>
          <w:p w14:paraId="352ABADD">
            <w:pPr>
              <w:autoSpaceDE w:val="0"/>
              <w:autoSpaceDN w:val="0"/>
              <w:spacing w:line="380" w:lineRule="atLeast"/>
              <w:jc w:val="left"/>
              <w:rPr>
                <w:rFonts w:hint="eastAsia" w:ascii="Times New Roman" w:hAnsi="宋体" w:eastAsia="宋体" w:cs="宋体"/>
                <w:color w:val="auto"/>
                <w:sz w:val="21"/>
                <w:highlight w:val="none"/>
              </w:rPr>
            </w:pPr>
            <w:r>
              <w:rPr>
                <w:rFonts w:hint="eastAsia" w:ascii="宋体" w:hAnsi="宋体"/>
                <w:color w:val="auto"/>
                <w:szCs w:val="21"/>
                <w:highlight w:val="none"/>
                <w:lang w:val="en-US" w:eastAsia="zh-CN"/>
              </w:rPr>
              <w:t>②</w:t>
            </w:r>
            <w:r>
              <w:rPr>
                <w:rFonts w:hint="eastAsia" w:ascii="Times New Roman" w:hAnsi="宋体" w:eastAsia="宋体" w:cs="宋体"/>
                <w:color w:val="auto"/>
                <w:sz w:val="21"/>
                <w:highlight w:val="none"/>
              </w:rPr>
              <w:t>拟派现场工程技术管理人员</w:t>
            </w:r>
            <w:r>
              <w:rPr>
                <w:rFonts w:hint="eastAsia" w:ascii="Times New Roman" w:hAnsi="宋体" w:eastAsia="宋体" w:cs="宋体"/>
                <w:color w:val="auto"/>
                <w:sz w:val="21"/>
                <w:highlight w:val="none"/>
                <w:lang w:val="en-US" w:eastAsia="zh-CN"/>
              </w:rPr>
              <w:t>配置较充足、</w:t>
            </w:r>
            <w:r>
              <w:rPr>
                <w:rFonts w:hint="eastAsia" w:ascii="Times New Roman" w:hAnsi="宋体" w:eastAsia="宋体" w:cs="宋体"/>
                <w:color w:val="auto"/>
                <w:sz w:val="21"/>
                <w:highlight w:val="none"/>
              </w:rPr>
              <w:t>专业配置</w:t>
            </w:r>
            <w:r>
              <w:rPr>
                <w:rFonts w:hint="eastAsia" w:ascii="Times New Roman" w:hAnsi="宋体" w:eastAsia="宋体" w:cs="宋体"/>
                <w:color w:val="auto"/>
                <w:sz w:val="21"/>
                <w:highlight w:val="none"/>
                <w:lang w:val="en-US" w:eastAsia="zh-CN"/>
              </w:rPr>
              <w:t>较</w:t>
            </w:r>
            <w:r>
              <w:rPr>
                <w:rFonts w:hint="eastAsia" w:ascii="Times New Roman" w:hAnsi="宋体" w:eastAsia="宋体" w:cs="宋体"/>
                <w:color w:val="auto"/>
                <w:sz w:val="21"/>
                <w:highlight w:val="none"/>
              </w:rPr>
              <w:t>合理</w:t>
            </w:r>
            <w:r>
              <w:rPr>
                <w:rFonts w:hint="eastAsia" w:ascii="Times New Roman" w:hAnsi="宋体" w:eastAsia="宋体" w:cs="宋体"/>
                <w:color w:val="auto"/>
                <w:sz w:val="21"/>
                <w:highlight w:val="none"/>
                <w:lang w:val="en-US" w:eastAsia="zh-CN"/>
              </w:rPr>
              <w:t>的</w:t>
            </w:r>
            <w:r>
              <w:rPr>
                <w:rFonts w:hint="eastAsia" w:ascii="Times New Roman" w:hAnsi="宋体" w:eastAsia="宋体" w:cs="宋体"/>
                <w:color w:val="auto"/>
                <w:sz w:val="21"/>
                <w:highlight w:val="none"/>
                <w:lang w:eastAsia="zh-CN"/>
              </w:rPr>
              <w:t>，</w:t>
            </w:r>
            <w:r>
              <w:rPr>
                <w:rFonts w:hint="eastAsia" w:ascii="Times New Roman" w:hAnsi="宋体" w:eastAsia="宋体" w:cs="宋体"/>
                <w:color w:val="auto"/>
                <w:sz w:val="21"/>
                <w:highlight w:val="none"/>
              </w:rPr>
              <w:t>得</w:t>
            </w:r>
            <w:r>
              <w:rPr>
                <w:rFonts w:hint="eastAsia" w:hAnsi="宋体" w:cs="宋体"/>
                <w:color w:val="auto"/>
                <w:sz w:val="21"/>
                <w:highlight w:val="none"/>
                <w:lang w:val="en-US" w:eastAsia="zh-CN"/>
              </w:rPr>
              <w:t>3</w:t>
            </w:r>
            <w:r>
              <w:rPr>
                <w:rFonts w:hint="eastAsia" w:ascii="Times New Roman" w:hAnsi="宋体" w:eastAsia="宋体" w:cs="宋体"/>
                <w:color w:val="auto"/>
                <w:sz w:val="21"/>
                <w:highlight w:val="none"/>
              </w:rPr>
              <w:t>分；</w:t>
            </w:r>
          </w:p>
          <w:p w14:paraId="5118FA2D">
            <w:pPr>
              <w:autoSpaceDE w:val="0"/>
              <w:autoSpaceDN w:val="0"/>
              <w:spacing w:line="380" w:lineRule="atLeast"/>
              <w:jc w:val="left"/>
              <w:rPr>
                <w:rFonts w:hint="eastAsia" w:ascii="Times New Roman" w:hAnsi="宋体" w:eastAsia="宋体" w:cs="宋体"/>
                <w:color w:val="auto"/>
                <w:sz w:val="21"/>
                <w:highlight w:val="none"/>
              </w:rPr>
            </w:pPr>
            <w:r>
              <w:rPr>
                <w:rFonts w:hint="eastAsia" w:ascii="宋体" w:hAnsi="宋体"/>
                <w:color w:val="auto"/>
                <w:szCs w:val="21"/>
                <w:highlight w:val="none"/>
                <w:lang w:val="en-US" w:eastAsia="zh-CN"/>
              </w:rPr>
              <w:t>③</w:t>
            </w:r>
            <w:r>
              <w:rPr>
                <w:rFonts w:hint="eastAsia" w:ascii="Times New Roman" w:hAnsi="宋体" w:eastAsia="宋体" w:cs="宋体"/>
                <w:color w:val="auto"/>
                <w:sz w:val="21"/>
                <w:highlight w:val="none"/>
              </w:rPr>
              <w:t>拟派现场工程技术管理人员</w:t>
            </w:r>
            <w:r>
              <w:rPr>
                <w:rFonts w:hint="eastAsia" w:ascii="Times New Roman" w:hAnsi="宋体" w:eastAsia="宋体" w:cs="宋体"/>
                <w:color w:val="auto"/>
                <w:sz w:val="21"/>
                <w:highlight w:val="none"/>
                <w:lang w:val="en-US" w:eastAsia="zh-CN"/>
              </w:rPr>
              <w:t>配置可基本满足施工需要、</w:t>
            </w:r>
            <w:r>
              <w:rPr>
                <w:rFonts w:hint="eastAsia" w:ascii="Times New Roman" w:hAnsi="宋体" w:eastAsia="宋体" w:cs="宋体"/>
                <w:color w:val="auto"/>
                <w:sz w:val="21"/>
                <w:highlight w:val="none"/>
              </w:rPr>
              <w:t>专业配置</w:t>
            </w:r>
            <w:r>
              <w:rPr>
                <w:rFonts w:hint="eastAsia" w:ascii="Times New Roman" w:hAnsi="宋体" w:eastAsia="宋体" w:cs="宋体"/>
                <w:color w:val="auto"/>
                <w:sz w:val="21"/>
                <w:highlight w:val="none"/>
                <w:lang w:val="en-US" w:eastAsia="zh-CN"/>
              </w:rPr>
              <w:t>基本</w:t>
            </w:r>
            <w:r>
              <w:rPr>
                <w:rFonts w:hint="eastAsia" w:ascii="Times New Roman" w:hAnsi="宋体" w:eastAsia="宋体" w:cs="宋体"/>
                <w:color w:val="auto"/>
                <w:sz w:val="21"/>
                <w:highlight w:val="none"/>
              </w:rPr>
              <w:t>合理</w:t>
            </w:r>
            <w:r>
              <w:rPr>
                <w:rFonts w:hint="eastAsia" w:ascii="Times New Roman" w:hAnsi="宋体" w:eastAsia="宋体" w:cs="宋体"/>
                <w:color w:val="auto"/>
                <w:sz w:val="21"/>
                <w:highlight w:val="none"/>
                <w:lang w:val="en-US" w:eastAsia="zh-CN"/>
              </w:rPr>
              <w:t>的</w:t>
            </w:r>
            <w:r>
              <w:rPr>
                <w:rFonts w:hint="eastAsia" w:ascii="Times New Roman" w:hAnsi="宋体" w:eastAsia="宋体" w:cs="宋体"/>
                <w:color w:val="auto"/>
                <w:sz w:val="21"/>
                <w:highlight w:val="none"/>
                <w:lang w:eastAsia="zh-CN"/>
              </w:rPr>
              <w:t>，</w:t>
            </w:r>
            <w:r>
              <w:rPr>
                <w:rFonts w:hint="eastAsia" w:ascii="Times New Roman" w:hAnsi="宋体" w:eastAsia="宋体" w:cs="宋体"/>
                <w:color w:val="auto"/>
                <w:sz w:val="21"/>
                <w:highlight w:val="none"/>
              </w:rPr>
              <w:t>得</w:t>
            </w:r>
            <w:r>
              <w:rPr>
                <w:rFonts w:hint="eastAsia" w:hAnsi="宋体" w:cs="宋体"/>
                <w:color w:val="auto"/>
                <w:sz w:val="21"/>
                <w:highlight w:val="none"/>
                <w:lang w:val="en-US" w:eastAsia="zh-CN"/>
              </w:rPr>
              <w:t>2</w:t>
            </w:r>
            <w:r>
              <w:rPr>
                <w:rFonts w:hint="eastAsia" w:ascii="Times New Roman" w:hAnsi="宋体" w:eastAsia="宋体" w:cs="宋体"/>
                <w:color w:val="auto"/>
                <w:sz w:val="21"/>
                <w:highlight w:val="none"/>
              </w:rPr>
              <w:t>分；</w:t>
            </w:r>
          </w:p>
          <w:p w14:paraId="71643C81">
            <w:pPr>
              <w:autoSpaceDE w:val="0"/>
              <w:autoSpaceDN w:val="0"/>
              <w:spacing w:line="380" w:lineRule="atLeast"/>
              <w:jc w:val="left"/>
              <w:rPr>
                <w:rFonts w:hint="eastAsia" w:ascii="Times New Roman" w:hAnsi="宋体" w:eastAsia="宋体" w:cs="宋体"/>
                <w:color w:val="auto"/>
                <w:sz w:val="21"/>
                <w:highlight w:val="none"/>
              </w:rPr>
            </w:pPr>
            <w:r>
              <w:rPr>
                <w:rFonts w:hint="eastAsia" w:ascii="宋体" w:hAnsi="宋体"/>
                <w:color w:val="auto"/>
                <w:szCs w:val="21"/>
                <w:highlight w:val="none"/>
                <w:lang w:val="en-US" w:eastAsia="zh-CN"/>
              </w:rPr>
              <w:t>④</w:t>
            </w:r>
            <w:r>
              <w:rPr>
                <w:rFonts w:hint="eastAsia" w:ascii="Times New Roman" w:hAnsi="宋体" w:eastAsia="宋体" w:cs="宋体"/>
                <w:color w:val="auto"/>
                <w:sz w:val="21"/>
                <w:highlight w:val="none"/>
              </w:rPr>
              <w:t>拟派现场工程技术管理人员</w:t>
            </w:r>
            <w:r>
              <w:rPr>
                <w:rFonts w:hint="eastAsia" w:ascii="Times New Roman" w:hAnsi="宋体" w:eastAsia="宋体" w:cs="宋体"/>
                <w:color w:val="auto"/>
                <w:sz w:val="21"/>
                <w:highlight w:val="none"/>
                <w:lang w:val="en-US" w:eastAsia="zh-CN"/>
              </w:rPr>
              <w:t>配置和</w:t>
            </w:r>
            <w:r>
              <w:rPr>
                <w:rFonts w:hint="eastAsia" w:ascii="Times New Roman" w:hAnsi="宋体" w:eastAsia="宋体" w:cs="宋体"/>
                <w:color w:val="auto"/>
                <w:sz w:val="21"/>
                <w:highlight w:val="none"/>
              </w:rPr>
              <w:t>专业配置</w:t>
            </w:r>
            <w:r>
              <w:rPr>
                <w:rFonts w:hint="eastAsia" w:ascii="Times New Roman" w:hAnsi="宋体" w:eastAsia="宋体" w:cs="宋体"/>
                <w:color w:val="auto"/>
                <w:sz w:val="21"/>
                <w:highlight w:val="none"/>
                <w:lang w:val="en-US" w:eastAsia="zh-CN"/>
              </w:rPr>
              <w:t>存在缺陷或瑕疵的</w:t>
            </w:r>
            <w:r>
              <w:rPr>
                <w:rFonts w:hint="eastAsia" w:ascii="Times New Roman" w:hAnsi="宋体" w:eastAsia="宋体" w:cs="宋体"/>
                <w:color w:val="auto"/>
                <w:sz w:val="21"/>
                <w:highlight w:val="none"/>
                <w:lang w:eastAsia="zh-CN"/>
              </w:rPr>
              <w:t>，</w:t>
            </w:r>
            <w:r>
              <w:rPr>
                <w:rFonts w:hint="eastAsia" w:ascii="Times New Roman" w:hAnsi="宋体" w:eastAsia="宋体" w:cs="宋体"/>
                <w:color w:val="auto"/>
                <w:sz w:val="21"/>
                <w:highlight w:val="none"/>
              </w:rPr>
              <w:t>得</w:t>
            </w:r>
            <w:r>
              <w:rPr>
                <w:rFonts w:hint="eastAsia" w:hAnsi="宋体" w:cs="宋体"/>
                <w:color w:val="auto"/>
                <w:sz w:val="21"/>
                <w:highlight w:val="none"/>
                <w:lang w:val="en-US" w:eastAsia="zh-CN"/>
              </w:rPr>
              <w:t>1</w:t>
            </w:r>
            <w:r>
              <w:rPr>
                <w:rFonts w:hint="eastAsia" w:ascii="Times New Roman" w:hAnsi="宋体" w:eastAsia="宋体" w:cs="宋体"/>
                <w:color w:val="auto"/>
                <w:sz w:val="21"/>
                <w:highlight w:val="none"/>
              </w:rPr>
              <w:t>分；</w:t>
            </w:r>
          </w:p>
          <w:p w14:paraId="5F38F4EB">
            <w:pPr>
              <w:autoSpaceDE w:val="0"/>
              <w:autoSpaceDN w:val="0"/>
              <w:spacing w:line="380" w:lineRule="atLeast"/>
              <w:jc w:val="left"/>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注：</w:t>
            </w:r>
            <w:r>
              <w:rPr>
                <w:rFonts w:hint="eastAsia" w:ascii="Times New Roman" w:hAnsi="宋体" w:eastAsia="宋体" w:cs="宋体"/>
                <w:color w:val="auto"/>
                <w:sz w:val="21"/>
                <w:highlight w:val="none"/>
              </w:rPr>
              <w:t>未提供内容本项不得分。</w:t>
            </w:r>
          </w:p>
        </w:tc>
      </w:tr>
      <w:tr w14:paraId="13FE72B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8" w:type="dxa"/>
            <w:vMerge w:val="continue"/>
            <w:noWrap w:val="0"/>
            <w:vAlign w:val="center"/>
          </w:tcPr>
          <w:p w14:paraId="290201DC">
            <w:pPr>
              <w:widowControl/>
              <w:spacing w:line="340" w:lineRule="exact"/>
              <w:jc w:val="left"/>
              <w:rPr>
                <w:color w:val="000000"/>
                <w:szCs w:val="21"/>
                <w:highlight w:val="none"/>
              </w:rPr>
            </w:pPr>
          </w:p>
        </w:tc>
        <w:tc>
          <w:tcPr>
            <w:tcW w:w="1164" w:type="dxa"/>
            <w:noWrap w:val="0"/>
            <w:vAlign w:val="center"/>
          </w:tcPr>
          <w:p w14:paraId="522E7B3F">
            <w:pPr>
              <w:spacing w:line="320" w:lineRule="exact"/>
              <w:rPr>
                <w:rFonts w:hint="eastAsia"/>
                <w:color w:val="auto"/>
                <w:sz w:val="21"/>
                <w:szCs w:val="21"/>
                <w:highlight w:val="none"/>
                <w:lang w:val="en-US" w:eastAsia="zh-CN"/>
              </w:rPr>
            </w:pPr>
            <w:r>
              <w:rPr>
                <w:rFonts w:hint="eastAsia"/>
                <w:color w:val="auto"/>
                <w:sz w:val="21"/>
                <w:szCs w:val="21"/>
                <w:highlight w:val="none"/>
                <w:lang w:val="en-US" w:eastAsia="zh-CN"/>
              </w:rPr>
              <w:t>竣工资料整理方案（4分）</w:t>
            </w:r>
          </w:p>
        </w:tc>
        <w:tc>
          <w:tcPr>
            <w:tcW w:w="8289" w:type="dxa"/>
            <w:noWrap w:val="0"/>
            <w:vAlign w:val="center"/>
          </w:tcPr>
          <w:p w14:paraId="111FC8E4">
            <w:pPr>
              <w:spacing w:line="320" w:lineRule="exact"/>
              <w:rPr>
                <w:rFonts w:hint="eastAsia" w:ascii="宋体" w:hAnsi="宋体"/>
                <w:color w:val="auto"/>
                <w:szCs w:val="21"/>
                <w:highlight w:val="none"/>
              </w:rPr>
            </w:pPr>
            <w:r>
              <w:rPr>
                <w:rFonts w:hint="eastAsia" w:ascii="宋体" w:hAnsi="宋体" w:cs="宋体"/>
                <w:color w:val="auto"/>
                <w:szCs w:val="21"/>
                <w:highlight w:val="none"/>
                <w:lang w:val="en-US" w:eastAsia="zh-CN"/>
              </w:rPr>
              <w:t>12.</w:t>
            </w:r>
            <w:r>
              <w:rPr>
                <w:rFonts w:hint="eastAsia" w:ascii="宋体" w:hAnsi="宋体" w:cs="宋体"/>
                <w:color w:val="auto"/>
                <w:szCs w:val="21"/>
                <w:highlight w:val="none"/>
              </w:rPr>
              <w:t>根据</w:t>
            </w:r>
            <w:r>
              <w:rPr>
                <w:rFonts w:hint="eastAsia" w:ascii="宋体" w:hAnsi="宋体"/>
                <w:color w:val="auto"/>
                <w:szCs w:val="21"/>
                <w:highlight w:val="none"/>
              </w:rPr>
              <w:t>投标人针对本项目拟定的竣工资料整理方案</w:t>
            </w:r>
            <w:r>
              <w:rPr>
                <w:rFonts w:hint="eastAsia" w:ascii="宋体" w:hAnsi="宋体"/>
                <w:color w:val="auto"/>
                <w:szCs w:val="21"/>
                <w:highlight w:val="none"/>
                <w:lang w:val="en-US" w:eastAsia="zh-CN"/>
              </w:rPr>
              <w:t>完善性、合理性等情况</w:t>
            </w:r>
            <w:r>
              <w:rPr>
                <w:rFonts w:hint="eastAsia" w:ascii="宋体" w:hAnsi="宋体"/>
                <w:color w:val="auto"/>
                <w:szCs w:val="21"/>
                <w:highlight w:val="none"/>
              </w:rPr>
              <w:t>进行综合评议</w:t>
            </w:r>
            <w:r>
              <w:rPr>
                <w:rFonts w:hint="eastAsia"/>
                <w:color w:val="auto"/>
                <w:sz w:val="21"/>
                <w:szCs w:val="21"/>
                <w:highlight w:val="none"/>
                <w:lang w:val="en-US" w:eastAsia="zh-CN"/>
              </w:rPr>
              <w:t>4分</w:t>
            </w:r>
            <w:r>
              <w:rPr>
                <w:rFonts w:hint="eastAsia" w:ascii="Times New Roman" w:hAnsi="宋体" w:eastAsia="宋体" w:cs="宋体"/>
                <w:color w:val="auto"/>
                <w:sz w:val="21"/>
                <w:highlight w:val="none"/>
                <w:lang w:val="en-US" w:eastAsia="zh-CN"/>
              </w:rPr>
              <w:t>：</w:t>
            </w:r>
          </w:p>
          <w:p w14:paraId="7AE56F64">
            <w:pPr>
              <w:spacing w:line="320" w:lineRule="exact"/>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①竣工资料整理方案详实、内容完整，便于留档和结算，可执行力度高，得4分；</w:t>
            </w:r>
          </w:p>
          <w:p w14:paraId="3DF8E68D">
            <w:pPr>
              <w:spacing w:line="320" w:lineRule="exact"/>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②竣工资料整理方案较详细、内容充分，能较好的完成留档和结算，可执行力度较高，得3分；</w:t>
            </w:r>
          </w:p>
          <w:p w14:paraId="42406055">
            <w:pPr>
              <w:spacing w:line="320" w:lineRule="exact"/>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③竣工资料整理方案较详细、内容较多，在留档和结算过程中不会造成返工，可执行力较低，得2分；</w:t>
            </w:r>
          </w:p>
          <w:p w14:paraId="453DF732">
            <w:pPr>
              <w:spacing w:line="320" w:lineRule="exact"/>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④竣工资料整理方案较简单、内容较少，会在留档和结算过程中造成返工，可执行力低，得1分；</w:t>
            </w:r>
          </w:p>
          <w:p w14:paraId="2FEA98E4">
            <w:pPr>
              <w:spacing w:line="320" w:lineRule="exact"/>
              <w:rPr>
                <w:rFonts w:hint="eastAsia" w:ascii="宋体" w:hAnsi="宋体" w:cs="宋体"/>
                <w:color w:val="auto"/>
                <w:szCs w:val="21"/>
                <w:highlight w:val="none"/>
              </w:rPr>
            </w:pPr>
            <w:r>
              <w:rPr>
                <w:rFonts w:hint="eastAsia" w:ascii="宋体" w:hAnsi="宋体"/>
                <w:color w:val="auto"/>
                <w:szCs w:val="21"/>
                <w:highlight w:val="none"/>
                <w:lang w:val="en-US" w:eastAsia="zh-CN"/>
              </w:rPr>
              <w:t>注：无相关内容的不得分。</w:t>
            </w:r>
          </w:p>
        </w:tc>
      </w:tr>
      <w:tr w14:paraId="5ADB863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8" w:type="dxa"/>
            <w:vMerge w:val="continue"/>
            <w:noWrap w:val="0"/>
            <w:vAlign w:val="center"/>
          </w:tcPr>
          <w:p w14:paraId="3D4342A8">
            <w:pPr>
              <w:widowControl/>
              <w:spacing w:line="340" w:lineRule="exact"/>
              <w:jc w:val="left"/>
              <w:rPr>
                <w:color w:val="000000"/>
                <w:szCs w:val="21"/>
                <w:highlight w:val="none"/>
              </w:rPr>
            </w:pPr>
          </w:p>
        </w:tc>
        <w:tc>
          <w:tcPr>
            <w:tcW w:w="1164" w:type="dxa"/>
            <w:noWrap w:val="0"/>
            <w:vAlign w:val="center"/>
          </w:tcPr>
          <w:p w14:paraId="5690E9E2">
            <w:pPr>
              <w:spacing w:line="320" w:lineRule="exact"/>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合理化建议（2.5分）</w:t>
            </w:r>
          </w:p>
        </w:tc>
        <w:tc>
          <w:tcPr>
            <w:tcW w:w="8289" w:type="dxa"/>
            <w:noWrap w:val="0"/>
            <w:vAlign w:val="center"/>
          </w:tcPr>
          <w:p w14:paraId="3432B528">
            <w:pPr>
              <w:spacing w:line="320" w:lineRule="exact"/>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13.根据供应商提出的针对本项目的合理化建议与承诺进行评议</w:t>
            </w:r>
          </w:p>
          <w:p w14:paraId="619B1CAB">
            <w:pPr>
              <w:spacing w:line="320" w:lineRule="exact"/>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提出的建议与承诺具有实际意义并得到采纳，每项得0.5分，最高得2.5分。与本项目履约无关的建议与承诺不予认可。</w:t>
            </w:r>
          </w:p>
        </w:tc>
      </w:tr>
      <w:tr w14:paraId="46EE2B3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551" w:hRule="atLeast"/>
          <w:jc w:val="center"/>
        </w:trPr>
        <w:tc>
          <w:tcPr>
            <w:tcW w:w="748" w:type="dxa"/>
            <w:vMerge w:val="continue"/>
            <w:noWrap w:val="0"/>
            <w:vAlign w:val="center"/>
          </w:tcPr>
          <w:p w14:paraId="6DC6EC42">
            <w:pPr>
              <w:widowControl/>
              <w:spacing w:line="340" w:lineRule="exact"/>
              <w:jc w:val="left"/>
              <w:rPr>
                <w:color w:val="000000"/>
                <w:szCs w:val="21"/>
                <w:highlight w:val="none"/>
              </w:rPr>
            </w:pPr>
          </w:p>
        </w:tc>
        <w:tc>
          <w:tcPr>
            <w:tcW w:w="1164" w:type="dxa"/>
            <w:noWrap w:val="0"/>
            <w:vAlign w:val="center"/>
          </w:tcPr>
          <w:p w14:paraId="4F94F0D4">
            <w:pPr>
              <w:spacing w:line="320" w:lineRule="exact"/>
              <w:rPr>
                <w:rFonts w:hint="eastAsia" w:ascii="宋体" w:hAnsi="宋体" w:cs="宋体"/>
                <w:bCs/>
                <w:sz w:val="22"/>
                <w:szCs w:val="22"/>
                <w:lang w:val="en-US" w:eastAsia="zh-CN"/>
              </w:rPr>
            </w:pPr>
            <w:r>
              <w:rPr>
                <w:rFonts w:hint="eastAsia"/>
                <w:color w:val="000000"/>
                <w:szCs w:val="21"/>
                <w:highlight w:val="none"/>
              </w:rPr>
              <w:t>项目团队（</w:t>
            </w:r>
            <w:r>
              <w:rPr>
                <w:rFonts w:hint="eastAsia"/>
                <w:color w:val="000000"/>
                <w:szCs w:val="21"/>
                <w:highlight w:val="none"/>
                <w:lang w:val="en-US" w:eastAsia="zh-CN"/>
              </w:rPr>
              <w:t>5</w:t>
            </w:r>
            <w:r>
              <w:rPr>
                <w:rFonts w:hint="eastAsia"/>
                <w:color w:val="000000"/>
                <w:szCs w:val="21"/>
                <w:highlight w:val="none"/>
              </w:rPr>
              <w:t>分）</w:t>
            </w:r>
          </w:p>
        </w:tc>
        <w:tc>
          <w:tcPr>
            <w:tcW w:w="8289" w:type="dxa"/>
            <w:noWrap w:val="0"/>
            <w:vAlign w:val="center"/>
          </w:tcPr>
          <w:p w14:paraId="2BEB20EC">
            <w:pPr>
              <w:spacing w:line="320" w:lineRule="exact"/>
              <w:rPr>
                <w:rFonts w:hint="eastAsia" w:ascii="宋体" w:hAnsi="宋体" w:cs="Times New Roman"/>
                <w:color w:val="auto"/>
                <w:szCs w:val="21"/>
                <w:highlight w:val="none"/>
                <w:lang w:val="en-US" w:eastAsia="zh-CN"/>
              </w:rPr>
            </w:pPr>
            <w:r>
              <w:rPr>
                <w:rFonts w:hint="eastAsia" w:ascii="宋体" w:hAnsi="宋体" w:cs="Times New Roman"/>
                <w:color w:val="auto"/>
                <w:szCs w:val="21"/>
                <w:highlight w:val="none"/>
                <w:lang w:val="en-US" w:eastAsia="zh-CN"/>
              </w:rPr>
              <w:t>14.</w:t>
            </w:r>
            <w:r>
              <w:rPr>
                <w:rFonts w:hint="eastAsia" w:ascii="宋体" w:hAnsi="宋体" w:cs="Times New Roman"/>
                <w:color w:val="auto"/>
                <w:szCs w:val="21"/>
                <w:highlight w:val="none"/>
                <w:lang w:val="zh-CN" w:eastAsia="zh-CN"/>
              </w:rPr>
              <w:t>其他施工人员配备</w:t>
            </w:r>
            <w:r>
              <w:rPr>
                <w:rFonts w:hint="eastAsia" w:ascii="宋体" w:hAnsi="宋体" w:cs="Times New Roman"/>
                <w:color w:val="auto"/>
                <w:szCs w:val="21"/>
                <w:highlight w:val="none"/>
                <w:lang w:val="en-US" w:eastAsia="zh-CN"/>
              </w:rPr>
              <w:t>情况</w:t>
            </w:r>
            <w:r>
              <w:rPr>
                <w:rFonts w:hint="eastAsia" w:ascii="宋体" w:hAnsi="宋体" w:cs="Times New Roman"/>
                <w:color w:val="auto"/>
                <w:szCs w:val="21"/>
                <w:highlight w:val="none"/>
                <w:lang w:val="zh-CN" w:eastAsia="zh-CN"/>
              </w:rPr>
              <w:t>：</w:t>
            </w:r>
            <w:r>
              <w:rPr>
                <w:rFonts w:hint="eastAsia" w:ascii="宋体" w:hAnsi="宋体" w:cs="Times New Roman"/>
                <w:color w:val="auto"/>
                <w:szCs w:val="21"/>
                <w:highlight w:val="none"/>
                <w:lang w:val="en-US" w:eastAsia="zh-CN"/>
              </w:rPr>
              <w:t>根据投标人提供的拟派本项目除项目经理外的其他管理人员</w:t>
            </w:r>
            <w:r>
              <w:rPr>
                <w:rFonts w:hint="eastAsia" w:ascii="宋体" w:hAnsi="宋体" w:cs="Times New Roman"/>
                <w:color w:val="auto"/>
                <w:szCs w:val="21"/>
                <w:highlight w:val="none"/>
                <w:lang w:val="zh-CN" w:eastAsia="zh-CN"/>
              </w:rPr>
              <w:t>（</w:t>
            </w:r>
            <w:r>
              <w:rPr>
                <w:rFonts w:hint="eastAsia" w:ascii="宋体" w:hAnsi="宋体" w:cs="Times New Roman"/>
                <w:color w:val="auto"/>
                <w:szCs w:val="21"/>
                <w:highlight w:val="none"/>
                <w:lang w:val="en-US" w:eastAsia="zh-CN"/>
              </w:rPr>
              <w:t>包括但不限于施工员、质量员等</w:t>
            </w:r>
            <w:r>
              <w:rPr>
                <w:rFonts w:hint="eastAsia" w:ascii="宋体" w:hAnsi="宋体" w:cs="Times New Roman"/>
                <w:color w:val="auto"/>
                <w:szCs w:val="21"/>
                <w:highlight w:val="none"/>
                <w:lang w:val="zh-CN" w:eastAsia="zh-CN"/>
              </w:rPr>
              <w:t>）</w:t>
            </w:r>
            <w:r>
              <w:rPr>
                <w:rFonts w:hint="eastAsia" w:ascii="宋体" w:hAnsi="宋体" w:cs="Times New Roman"/>
                <w:color w:val="auto"/>
                <w:szCs w:val="21"/>
                <w:highlight w:val="none"/>
                <w:lang w:val="en-US" w:eastAsia="zh-CN"/>
              </w:rPr>
              <w:t>的技术能力、工作履历、类似项目从业经验等情况进行评议</w:t>
            </w:r>
            <w:r>
              <w:rPr>
                <w:rFonts w:hint="eastAsia"/>
                <w:color w:val="000000"/>
                <w:szCs w:val="21"/>
                <w:highlight w:val="none"/>
              </w:rPr>
              <w:t>（</w:t>
            </w:r>
            <w:r>
              <w:rPr>
                <w:rFonts w:hint="eastAsia"/>
                <w:color w:val="000000"/>
                <w:szCs w:val="21"/>
                <w:highlight w:val="none"/>
                <w:lang w:val="en-US" w:eastAsia="zh-CN"/>
              </w:rPr>
              <w:t>5</w:t>
            </w:r>
            <w:r>
              <w:rPr>
                <w:rFonts w:hint="eastAsia"/>
                <w:color w:val="000000"/>
                <w:szCs w:val="21"/>
                <w:highlight w:val="none"/>
              </w:rPr>
              <w:t>分）</w:t>
            </w:r>
            <w:r>
              <w:rPr>
                <w:rFonts w:hint="eastAsia" w:ascii="宋体" w:hAnsi="宋体" w:cs="Times New Roman"/>
                <w:color w:val="auto"/>
                <w:szCs w:val="21"/>
                <w:highlight w:val="none"/>
                <w:lang w:val="en-US" w:eastAsia="zh-CN"/>
              </w:rPr>
              <w:t>：</w:t>
            </w:r>
          </w:p>
          <w:p w14:paraId="61DD77E3">
            <w:pPr>
              <w:spacing w:line="320" w:lineRule="exact"/>
              <w:rPr>
                <w:rFonts w:hint="eastAsia" w:ascii="宋体" w:hAnsi="宋体" w:cs="Times New Roman"/>
                <w:color w:val="auto"/>
                <w:szCs w:val="21"/>
                <w:highlight w:val="none"/>
                <w:lang w:val="en-US" w:eastAsia="zh-CN"/>
              </w:rPr>
            </w:pPr>
            <w:r>
              <w:rPr>
                <w:rFonts w:hint="eastAsia" w:ascii="宋体" w:hAnsi="宋体" w:cs="Times New Roman"/>
                <w:color w:val="auto"/>
                <w:szCs w:val="21"/>
                <w:highlight w:val="none"/>
                <w:lang w:val="en-US" w:eastAsia="zh-CN"/>
              </w:rPr>
              <w:t>①拟派人员配置充足、专业配置合理的，得5分；</w:t>
            </w:r>
          </w:p>
          <w:p w14:paraId="1AA5E8AB">
            <w:pPr>
              <w:spacing w:line="320" w:lineRule="exact"/>
              <w:rPr>
                <w:rFonts w:hint="eastAsia" w:ascii="宋体" w:hAnsi="宋体" w:cs="Times New Roman"/>
                <w:color w:val="auto"/>
                <w:szCs w:val="21"/>
                <w:highlight w:val="none"/>
                <w:lang w:val="en-US" w:eastAsia="zh-CN"/>
              </w:rPr>
            </w:pPr>
            <w:r>
              <w:rPr>
                <w:rFonts w:hint="eastAsia" w:ascii="宋体" w:hAnsi="宋体" w:cs="Times New Roman"/>
                <w:color w:val="auto"/>
                <w:szCs w:val="21"/>
                <w:highlight w:val="none"/>
                <w:lang w:val="en-US" w:eastAsia="zh-CN"/>
              </w:rPr>
              <w:t>②拟派人员配置较充足、专业配置较合理的，得4分；</w:t>
            </w:r>
          </w:p>
          <w:p w14:paraId="1E91FA59">
            <w:pPr>
              <w:spacing w:line="320" w:lineRule="exact"/>
              <w:rPr>
                <w:rFonts w:hint="eastAsia" w:ascii="宋体" w:hAnsi="宋体" w:cs="Times New Roman"/>
                <w:color w:val="auto"/>
                <w:szCs w:val="21"/>
                <w:highlight w:val="none"/>
                <w:lang w:val="en-US" w:eastAsia="zh-CN"/>
              </w:rPr>
            </w:pPr>
            <w:r>
              <w:rPr>
                <w:rFonts w:hint="eastAsia" w:ascii="宋体" w:hAnsi="宋体" w:cs="Times New Roman"/>
                <w:color w:val="auto"/>
                <w:szCs w:val="21"/>
                <w:highlight w:val="none"/>
                <w:lang w:val="en-US" w:eastAsia="zh-CN"/>
              </w:rPr>
              <w:t>③拟派人员配置可基本满足施工需要、专业配置基本合理的，得3分；</w:t>
            </w:r>
          </w:p>
          <w:p w14:paraId="042718F9">
            <w:pPr>
              <w:spacing w:line="320" w:lineRule="exact"/>
              <w:rPr>
                <w:rFonts w:hint="eastAsia" w:ascii="宋体" w:hAnsi="宋体" w:cs="Times New Roman"/>
                <w:color w:val="auto"/>
                <w:szCs w:val="21"/>
                <w:highlight w:val="none"/>
                <w:lang w:val="en-US" w:eastAsia="zh-CN"/>
              </w:rPr>
            </w:pPr>
            <w:r>
              <w:rPr>
                <w:rFonts w:hint="eastAsia" w:ascii="宋体" w:hAnsi="宋体" w:cs="Times New Roman"/>
                <w:color w:val="auto"/>
                <w:szCs w:val="21"/>
                <w:highlight w:val="none"/>
                <w:lang w:val="en-US" w:eastAsia="zh-CN"/>
              </w:rPr>
              <w:t>④拟派人员配置和专业配置存在缺陷或瑕疵的，得2分；</w:t>
            </w:r>
          </w:p>
          <w:p w14:paraId="7F113DBC">
            <w:pPr>
              <w:spacing w:line="320" w:lineRule="exact"/>
              <w:rPr>
                <w:rFonts w:hint="eastAsia" w:ascii="宋体" w:hAnsi="宋体" w:cs="Times New Roman"/>
                <w:color w:val="auto"/>
                <w:szCs w:val="21"/>
                <w:highlight w:val="none"/>
                <w:lang w:val="en-US" w:eastAsia="zh-CN"/>
              </w:rPr>
            </w:pPr>
            <w:r>
              <w:rPr>
                <w:rFonts w:hint="eastAsia" w:ascii="宋体" w:hAnsi="宋体" w:cs="Times New Roman"/>
                <w:color w:val="auto"/>
                <w:szCs w:val="21"/>
                <w:highlight w:val="none"/>
                <w:lang w:val="en-US" w:eastAsia="zh-CN"/>
              </w:rPr>
              <w:t>⑤拟派管理人员配置可能无法满足施工需要、专业配置不合理的，得1分；</w:t>
            </w:r>
          </w:p>
          <w:p w14:paraId="756F762B">
            <w:pPr>
              <w:spacing w:line="320" w:lineRule="exact"/>
              <w:rPr>
                <w:rFonts w:hint="eastAsia" w:ascii="宋体" w:hAnsi="宋体" w:cs="宋体"/>
                <w:bCs/>
                <w:sz w:val="22"/>
                <w:szCs w:val="22"/>
              </w:rPr>
            </w:pPr>
            <w:r>
              <w:rPr>
                <w:rFonts w:hint="eastAsia" w:ascii="宋体" w:hAnsi="宋体" w:cs="Times New Roman"/>
                <w:color w:val="auto"/>
                <w:szCs w:val="21"/>
                <w:highlight w:val="none"/>
                <w:lang w:val="en-US" w:eastAsia="zh-CN"/>
              </w:rPr>
              <w:t>未提供相关内容不得分</w:t>
            </w:r>
          </w:p>
        </w:tc>
      </w:tr>
      <w:tr w14:paraId="11C08C0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8" w:type="dxa"/>
            <w:vMerge w:val="continue"/>
            <w:noWrap w:val="0"/>
            <w:vAlign w:val="center"/>
          </w:tcPr>
          <w:p w14:paraId="153357AE">
            <w:pPr>
              <w:widowControl/>
              <w:spacing w:line="340" w:lineRule="exact"/>
              <w:jc w:val="left"/>
              <w:rPr>
                <w:color w:val="000000"/>
                <w:szCs w:val="21"/>
                <w:highlight w:val="none"/>
              </w:rPr>
            </w:pPr>
          </w:p>
        </w:tc>
        <w:tc>
          <w:tcPr>
            <w:tcW w:w="1164" w:type="dxa"/>
            <w:noWrap w:val="0"/>
            <w:vAlign w:val="center"/>
          </w:tcPr>
          <w:p w14:paraId="528E86FB">
            <w:pPr>
              <w:spacing w:line="320" w:lineRule="exact"/>
              <w:jc w:val="center"/>
              <w:rPr>
                <w:rFonts w:hint="eastAsia" w:ascii="宋体" w:hAnsi="宋体" w:eastAsia="宋体" w:cs="宋体"/>
                <w:bCs/>
                <w:sz w:val="22"/>
                <w:szCs w:val="22"/>
                <w:lang w:val="en-US" w:eastAsia="zh-CN"/>
              </w:rPr>
            </w:pPr>
            <w:r>
              <w:rPr>
                <w:rFonts w:hint="eastAsia" w:ascii="宋体" w:hAnsi="宋体" w:eastAsia="宋体" w:cs="宋体"/>
                <w:color w:val="auto"/>
                <w:sz w:val="21"/>
                <w:szCs w:val="21"/>
                <w:highlight w:val="none"/>
                <w:shd w:val="clear" w:color="auto" w:fill="auto"/>
                <w:lang w:val="en-US" w:eastAsia="zh-CN"/>
              </w:rPr>
              <w:t>材料检验报告</w:t>
            </w:r>
            <w:r>
              <w:rPr>
                <w:rFonts w:hint="eastAsia" w:ascii="宋体" w:hAnsi="宋体" w:cs="宋体"/>
                <w:color w:val="auto"/>
                <w:kern w:val="0"/>
                <w:szCs w:val="21"/>
                <w:lang w:val="en-US" w:eastAsia="zh-CN"/>
              </w:rPr>
              <w:t>（6分）</w:t>
            </w:r>
          </w:p>
        </w:tc>
        <w:tc>
          <w:tcPr>
            <w:tcW w:w="8289" w:type="dxa"/>
            <w:noWrap w:val="0"/>
            <w:vAlign w:val="center"/>
          </w:tcPr>
          <w:p w14:paraId="47348FC0">
            <w:pPr>
              <w:pStyle w:val="22"/>
              <w:keepNext w:val="0"/>
              <w:keepLines w:val="0"/>
              <w:pageBreakBefore w:val="0"/>
              <w:widowControl w:val="0"/>
              <w:kinsoku/>
              <w:wordWrap/>
              <w:overflowPunct/>
              <w:topLinePunct w:val="0"/>
              <w:autoSpaceDE/>
              <w:autoSpaceDN/>
              <w:bidi w:val="0"/>
              <w:adjustRightInd/>
              <w:snapToGrid/>
              <w:spacing w:after="0" w:afterLines="0" w:line="360" w:lineRule="exact"/>
              <w:ind w:firstLine="0" w:firstLineChars="0"/>
              <w:textAlignment w:val="auto"/>
              <w:rPr>
                <w:rFonts w:hint="eastAsia" w:ascii="宋体" w:hAnsi="宋体" w:eastAsia="宋体" w:cs="宋体"/>
                <w:color w:val="auto"/>
                <w:sz w:val="21"/>
                <w:szCs w:val="21"/>
                <w:highlight w:val="none"/>
                <w:shd w:val="clear" w:color="auto" w:fill="auto"/>
                <w:lang w:val="en-US" w:eastAsia="zh-CN"/>
              </w:rPr>
            </w:pPr>
            <w:r>
              <w:rPr>
                <w:rFonts w:hint="eastAsia" w:hAnsi="宋体" w:cs="宋体"/>
                <w:color w:val="auto"/>
                <w:sz w:val="21"/>
                <w:szCs w:val="21"/>
                <w:highlight w:val="none"/>
                <w:shd w:val="clear" w:color="auto" w:fill="auto"/>
                <w:lang w:val="en-US" w:eastAsia="zh-CN"/>
              </w:rPr>
              <w:t>15.</w:t>
            </w:r>
            <w:r>
              <w:rPr>
                <w:rFonts w:hint="eastAsia" w:ascii="宋体" w:hAnsi="宋体" w:eastAsia="宋体" w:cs="宋体"/>
                <w:color w:val="auto"/>
                <w:sz w:val="21"/>
                <w:szCs w:val="21"/>
                <w:highlight w:val="none"/>
                <w:shd w:val="clear" w:color="auto" w:fill="auto"/>
                <w:lang w:val="en-US" w:eastAsia="zh-CN"/>
              </w:rPr>
              <w:t>材料检验报告（6分）</w:t>
            </w:r>
            <w:r>
              <w:rPr>
                <w:rFonts w:hint="eastAsia" w:hAnsi="宋体" w:cs="宋体"/>
                <w:color w:val="auto"/>
                <w:sz w:val="21"/>
                <w:szCs w:val="21"/>
                <w:highlight w:val="none"/>
                <w:shd w:val="clear" w:color="auto" w:fill="auto"/>
                <w:lang w:val="en-US" w:eastAsia="zh-CN"/>
              </w:rPr>
              <w:t>：</w:t>
            </w:r>
          </w:p>
          <w:p w14:paraId="755C4FF8">
            <w:pPr>
              <w:pStyle w:val="22"/>
              <w:keepNext w:val="0"/>
              <w:keepLines w:val="0"/>
              <w:pageBreakBefore w:val="0"/>
              <w:widowControl w:val="0"/>
              <w:kinsoku/>
              <w:wordWrap/>
              <w:overflowPunct/>
              <w:topLinePunct w:val="0"/>
              <w:autoSpaceDE/>
              <w:autoSpaceDN/>
              <w:bidi w:val="0"/>
              <w:adjustRightInd/>
              <w:snapToGrid/>
              <w:spacing w:after="0" w:afterLines="0" w:line="360" w:lineRule="exact"/>
              <w:ind w:firstLine="0" w:firstLineChars="0"/>
              <w:textAlignment w:val="auto"/>
              <w:rPr>
                <w:rFonts w:hint="eastAsia" w:ascii="宋体" w:hAnsi="宋体" w:eastAsia="宋体" w:cs="宋体"/>
                <w:color w:val="auto"/>
                <w:sz w:val="21"/>
                <w:szCs w:val="21"/>
                <w:highlight w:val="none"/>
                <w:shd w:val="clear" w:color="auto" w:fill="auto"/>
                <w:lang w:val="en-US" w:eastAsia="zh-CN"/>
              </w:rPr>
            </w:pPr>
            <w:r>
              <w:rPr>
                <w:rFonts w:hint="eastAsia" w:ascii="宋体" w:hAnsi="宋体" w:eastAsia="宋体" w:cs="宋体"/>
                <w:color w:val="auto"/>
                <w:sz w:val="21"/>
                <w:szCs w:val="21"/>
                <w:highlight w:val="none"/>
                <w:shd w:val="clear" w:color="auto" w:fill="auto"/>
                <w:lang w:val="en-US" w:eastAsia="zh-CN"/>
              </w:rPr>
              <w:t>①</w:t>
            </w:r>
            <w:r>
              <w:rPr>
                <w:rFonts w:hint="eastAsia" w:hAnsi="宋体" w:cs="宋体"/>
                <w:color w:val="auto"/>
                <w:sz w:val="21"/>
                <w:szCs w:val="21"/>
                <w:highlight w:val="none"/>
                <w:shd w:val="clear" w:color="auto" w:fill="auto"/>
                <w:lang w:val="en-US" w:eastAsia="zh-CN"/>
              </w:rPr>
              <w:t>透气型塑胶跑道样块</w:t>
            </w:r>
            <w:r>
              <w:rPr>
                <w:rFonts w:hint="eastAsia" w:ascii="宋体" w:hAnsi="宋体" w:eastAsia="宋体" w:cs="宋体"/>
                <w:color w:val="auto"/>
                <w:sz w:val="21"/>
                <w:szCs w:val="21"/>
                <w:highlight w:val="none"/>
                <w:shd w:val="clear" w:color="auto" w:fill="auto"/>
                <w:lang w:val="en-US" w:eastAsia="zh-CN"/>
              </w:rPr>
              <w:t>要求必须符合《中小学合成材料面层运动场地》（GB 36246-2018）标准，提供具有“CMA”或“CNAS”资质的检测机构出具的检测报告，得2分。</w:t>
            </w:r>
          </w:p>
          <w:p w14:paraId="51F8234D">
            <w:pPr>
              <w:pStyle w:val="22"/>
              <w:keepNext w:val="0"/>
              <w:keepLines w:val="0"/>
              <w:pageBreakBefore w:val="0"/>
              <w:widowControl w:val="0"/>
              <w:kinsoku/>
              <w:wordWrap/>
              <w:overflowPunct/>
              <w:topLinePunct w:val="0"/>
              <w:autoSpaceDE/>
              <w:autoSpaceDN/>
              <w:bidi w:val="0"/>
              <w:adjustRightInd/>
              <w:snapToGrid/>
              <w:spacing w:after="0" w:afterLines="0" w:line="360" w:lineRule="exact"/>
              <w:ind w:firstLine="0" w:firstLineChars="0"/>
              <w:textAlignment w:val="auto"/>
              <w:rPr>
                <w:rFonts w:hint="eastAsia" w:ascii="宋体" w:hAnsi="宋体" w:eastAsia="宋体" w:cs="宋体"/>
                <w:color w:val="auto"/>
                <w:sz w:val="21"/>
                <w:szCs w:val="21"/>
                <w:highlight w:val="none"/>
                <w:shd w:val="clear" w:color="auto" w:fill="auto"/>
                <w:lang w:val="en-US" w:eastAsia="zh-CN"/>
              </w:rPr>
            </w:pPr>
            <w:r>
              <w:rPr>
                <w:rFonts w:hint="eastAsia" w:ascii="宋体" w:hAnsi="宋体" w:eastAsia="宋体" w:cs="宋体"/>
                <w:color w:val="auto"/>
                <w:sz w:val="21"/>
                <w:szCs w:val="21"/>
                <w:highlight w:val="none"/>
                <w:shd w:val="clear" w:color="auto" w:fill="auto"/>
                <w:lang w:val="en-US" w:eastAsia="zh-CN"/>
              </w:rPr>
              <w:t>②提供具有“CMA”或“CNAS”资质的测机构出具的</w:t>
            </w:r>
            <w:bookmarkStart w:id="432" w:name="_Hlk135557779"/>
            <w:r>
              <w:rPr>
                <w:rFonts w:hint="eastAsia" w:ascii="宋体" w:hAnsi="宋体" w:eastAsia="宋体" w:cs="宋体"/>
                <w:color w:val="auto"/>
                <w:sz w:val="21"/>
                <w:szCs w:val="21"/>
                <w:highlight w:val="none"/>
                <w:shd w:val="clear" w:color="auto" w:fill="auto"/>
                <w:lang w:val="en-US" w:eastAsia="zh-CN"/>
              </w:rPr>
              <w:t>EPDM颗粒固体原料满足《中小学合成材料面层运动场地》（GB 36246-2018）标准合格的检测报告</w:t>
            </w:r>
            <w:bookmarkEnd w:id="432"/>
            <w:r>
              <w:rPr>
                <w:rFonts w:hint="eastAsia" w:ascii="宋体" w:hAnsi="宋体" w:eastAsia="宋体" w:cs="宋体"/>
                <w:color w:val="auto"/>
                <w:sz w:val="21"/>
                <w:szCs w:val="21"/>
                <w:highlight w:val="none"/>
                <w:shd w:val="clear" w:color="auto" w:fill="auto"/>
                <w:lang w:val="en-US" w:eastAsia="zh-CN"/>
              </w:rPr>
              <w:t>，得2分。</w:t>
            </w:r>
          </w:p>
          <w:p w14:paraId="6D005A7F">
            <w:pPr>
              <w:pStyle w:val="22"/>
              <w:keepNext w:val="0"/>
              <w:keepLines w:val="0"/>
              <w:pageBreakBefore w:val="0"/>
              <w:widowControl w:val="0"/>
              <w:kinsoku/>
              <w:wordWrap/>
              <w:overflowPunct/>
              <w:topLinePunct w:val="0"/>
              <w:autoSpaceDE/>
              <w:autoSpaceDN/>
              <w:bidi w:val="0"/>
              <w:adjustRightInd/>
              <w:snapToGrid/>
              <w:spacing w:after="0" w:afterLines="0" w:line="360" w:lineRule="exact"/>
              <w:ind w:firstLine="0" w:firstLineChars="0"/>
              <w:textAlignment w:val="auto"/>
              <w:rPr>
                <w:rFonts w:hint="eastAsia" w:ascii="宋体" w:hAnsi="宋体" w:eastAsia="宋体" w:cs="宋体"/>
                <w:color w:val="000000" w:themeColor="text1"/>
                <w:sz w:val="21"/>
                <w:szCs w:val="21"/>
                <w:highlight w:val="none"/>
                <w:shd w:val="clear" w:color="auto" w:fill="auto"/>
                <w:lang w:val="en-US" w:eastAsia="zh-CN"/>
                <w14:textFill>
                  <w14:solidFill>
                    <w14:schemeClr w14:val="tx1"/>
                  </w14:solidFill>
                </w14:textFill>
              </w:rPr>
            </w:pPr>
            <w:r>
              <w:rPr>
                <w:rFonts w:hint="eastAsia" w:ascii="宋体" w:hAnsi="宋体" w:eastAsia="宋体" w:cs="宋体"/>
                <w:color w:val="auto"/>
                <w:sz w:val="21"/>
                <w:szCs w:val="21"/>
                <w:highlight w:val="none"/>
                <w:shd w:val="clear" w:color="auto" w:fill="auto"/>
                <w:lang w:val="en-US" w:eastAsia="zh-CN"/>
              </w:rPr>
              <w:t>③提供具有“CMA”或“CNAS”资质的检测机构出具的</w:t>
            </w:r>
            <w:bookmarkStart w:id="433" w:name="_Hlk135557810"/>
            <w:r>
              <w:rPr>
                <w:rFonts w:hint="eastAsia" w:ascii="宋体" w:hAnsi="宋体" w:eastAsia="宋体" w:cs="宋体"/>
                <w:color w:val="auto"/>
                <w:sz w:val="21"/>
                <w:szCs w:val="21"/>
                <w:highlight w:val="none"/>
                <w:shd w:val="clear" w:color="auto" w:fill="auto"/>
                <w:lang w:val="en-US" w:eastAsia="zh-CN"/>
              </w:rPr>
              <w:t>塑胶面层非固体原料（粘</w:t>
            </w:r>
            <w:r>
              <w:rPr>
                <w:rFonts w:hint="eastAsia" w:hAnsi="宋体" w:cs="宋体"/>
                <w:color w:val="auto"/>
                <w:sz w:val="21"/>
                <w:szCs w:val="21"/>
                <w:highlight w:val="none"/>
                <w:shd w:val="clear" w:color="auto" w:fill="auto"/>
                <w:lang w:val="en-US" w:eastAsia="zh-CN"/>
              </w:rPr>
              <w:t>接</w:t>
            </w:r>
            <w:r>
              <w:rPr>
                <w:rFonts w:hint="eastAsia" w:ascii="宋体" w:hAnsi="宋体" w:eastAsia="宋体" w:cs="宋体"/>
                <w:color w:val="auto"/>
                <w:sz w:val="21"/>
                <w:szCs w:val="21"/>
                <w:highlight w:val="none"/>
                <w:shd w:val="clear" w:color="auto" w:fill="auto"/>
                <w:lang w:val="en-US" w:eastAsia="zh-CN"/>
              </w:rPr>
              <w:t>剂）有害物质限量满足</w:t>
            </w:r>
            <w:r>
              <w:rPr>
                <w:rFonts w:hint="eastAsia" w:ascii="宋体" w:hAnsi="宋体" w:eastAsia="宋体" w:cs="宋体"/>
                <w:color w:val="000000" w:themeColor="text1"/>
                <w:sz w:val="21"/>
                <w:szCs w:val="21"/>
                <w:highlight w:val="none"/>
                <w:shd w:val="clear" w:color="auto" w:fill="auto"/>
                <w:lang w:val="en-US" w:eastAsia="zh-CN"/>
                <w14:textFill>
                  <w14:solidFill>
                    <w14:schemeClr w14:val="tx1"/>
                  </w14:solidFill>
                </w14:textFill>
              </w:rPr>
              <w:t>《中小学合成材料面层运动场地》（GB 36246-2018）标准合格的检测报告</w:t>
            </w:r>
            <w:bookmarkEnd w:id="433"/>
            <w:r>
              <w:rPr>
                <w:rFonts w:hint="eastAsia" w:ascii="宋体" w:hAnsi="宋体" w:eastAsia="宋体" w:cs="宋体"/>
                <w:color w:val="000000" w:themeColor="text1"/>
                <w:sz w:val="21"/>
                <w:szCs w:val="21"/>
                <w:highlight w:val="none"/>
                <w:shd w:val="clear" w:color="auto" w:fill="auto"/>
                <w:lang w:val="en-US" w:eastAsia="zh-CN"/>
                <w14:textFill>
                  <w14:solidFill>
                    <w14:schemeClr w14:val="tx1"/>
                  </w14:solidFill>
                </w14:textFill>
              </w:rPr>
              <w:t>，得2分。</w:t>
            </w:r>
          </w:p>
          <w:p w14:paraId="53B4CD02">
            <w:pPr>
              <w:keepNext w:val="0"/>
              <w:keepLines w:val="0"/>
              <w:pageBreakBefore w:val="0"/>
              <w:tabs>
                <w:tab w:val="left" w:pos="0"/>
                <w:tab w:val="left" w:pos="723"/>
              </w:tabs>
              <w:kinsoku/>
              <w:wordWrap/>
              <w:overflowPunct/>
              <w:topLinePunct w:val="0"/>
              <w:autoSpaceDE/>
              <w:autoSpaceDN/>
              <w:bidi w:val="0"/>
              <w:adjustRightInd/>
              <w:snapToGrid/>
              <w:spacing w:line="280" w:lineRule="exact"/>
              <w:textAlignment w:val="auto"/>
              <w:rPr>
                <w:rFonts w:hint="eastAsia" w:ascii="_5b8b_4f53" w:hAnsi="_5b8b_4f53" w:cs="宋体"/>
                <w:szCs w:val="21"/>
                <w:lang w:eastAsia="zh-CN"/>
              </w:rPr>
            </w:pPr>
            <w:r>
              <w:rPr>
                <w:rFonts w:hint="eastAsia" w:ascii="宋体" w:hAnsi="宋体" w:eastAsia="宋体" w:cs="宋体"/>
                <w:color w:val="auto"/>
                <w:sz w:val="21"/>
                <w:szCs w:val="21"/>
                <w:highlight w:val="none"/>
                <w:shd w:val="clear" w:color="auto" w:fill="auto"/>
                <w:lang w:val="en-US" w:eastAsia="zh-CN"/>
              </w:rPr>
              <w:t>注：上述3点内容，每满足一点得2分，最高得6分。</w:t>
            </w:r>
          </w:p>
        </w:tc>
      </w:tr>
      <w:tr w14:paraId="4F80C47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8" w:type="dxa"/>
            <w:vMerge w:val="continue"/>
            <w:noWrap w:val="0"/>
            <w:vAlign w:val="center"/>
          </w:tcPr>
          <w:p w14:paraId="00139CF3">
            <w:pPr>
              <w:widowControl/>
              <w:spacing w:line="340" w:lineRule="exact"/>
              <w:jc w:val="left"/>
              <w:rPr>
                <w:color w:val="000000"/>
                <w:szCs w:val="21"/>
                <w:highlight w:val="none"/>
              </w:rPr>
            </w:pPr>
          </w:p>
        </w:tc>
        <w:tc>
          <w:tcPr>
            <w:tcW w:w="1164" w:type="dxa"/>
            <w:noWrap w:val="0"/>
            <w:vAlign w:val="center"/>
          </w:tcPr>
          <w:p w14:paraId="7D5DEC0D">
            <w:pPr>
              <w:spacing w:line="320" w:lineRule="exact"/>
              <w:jc w:val="center"/>
              <w:rPr>
                <w:rFonts w:hint="eastAsia" w:ascii="宋体" w:hAnsi="宋体" w:eastAsia="宋体" w:cs="宋体"/>
                <w:bCs/>
                <w:sz w:val="22"/>
                <w:szCs w:val="22"/>
                <w:lang w:val="en-US" w:eastAsia="zh-CN"/>
              </w:rPr>
            </w:pPr>
            <w:r>
              <w:rPr>
                <w:rFonts w:hint="eastAsia" w:ascii="宋体" w:hAnsi="宋体" w:cs="宋体"/>
                <w:b w:val="0"/>
                <w:bCs/>
                <w:kern w:val="0"/>
                <w:szCs w:val="21"/>
              </w:rPr>
              <w:t>样品</w:t>
            </w:r>
            <w:r>
              <w:rPr>
                <w:rFonts w:hint="eastAsia" w:ascii="宋体" w:hAnsi="宋体" w:cs="宋体"/>
                <w:b w:val="0"/>
                <w:bCs/>
                <w:kern w:val="0"/>
                <w:szCs w:val="21"/>
                <w:lang w:eastAsia="zh-CN"/>
              </w:rPr>
              <w:t>（</w:t>
            </w:r>
            <w:r>
              <w:rPr>
                <w:rFonts w:hint="eastAsia" w:ascii="宋体" w:hAnsi="宋体" w:cs="宋体"/>
                <w:b w:val="0"/>
                <w:bCs/>
                <w:kern w:val="0"/>
                <w:szCs w:val="21"/>
                <w:lang w:val="en-US" w:eastAsia="zh-CN"/>
              </w:rPr>
              <w:t>4分</w:t>
            </w:r>
            <w:r>
              <w:rPr>
                <w:rFonts w:hint="eastAsia" w:ascii="宋体" w:hAnsi="宋体" w:cs="宋体"/>
                <w:b w:val="0"/>
                <w:bCs/>
                <w:kern w:val="0"/>
                <w:szCs w:val="21"/>
                <w:lang w:eastAsia="zh-CN"/>
              </w:rPr>
              <w:t>）</w:t>
            </w:r>
          </w:p>
        </w:tc>
        <w:tc>
          <w:tcPr>
            <w:tcW w:w="8289" w:type="dxa"/>
            <w:noWrap w:val="0"/>
            <w:vAlign w:val="center"/>
          </w:tcPr>
          <w:p w14:paraId="5719513B">
            <w:pPr>
              <w:pStyle w:val="22"/>
              <w:keepNext w:val="0"/>
              <w:keepLines w:val="0"/>
              <w:pageBreakBefore w:val="0"/>
              <w:widowControl w:val="0"/>
              <w:numPr>
                <w:ilvl w:val="0"/>
                <w:numId w:val="0"/>
              </w:numPr>
              <w:kinsoku/>
              <w:wordWrap/>
              <w:overflowPunct/>
              <w:topLinePunct w:val="0"/>
              <w:autoSpaceDE/>
              <w:autoSpaceDN/>
              <w:bidi w:val="0"/>
              <w:adjustRightInd/>
              <w:snapToGrid/>
              <w:spacing w:after="0" w:afterLines="0" w:line="360" w:lineRule="exact"/>
              <w:ind w:leftChars="0"/>
              <w:textAlignment w:val="auto"/>
              <w:rPr>
                <w:rFonts w:hint="eastAsia" w:ascii="宋体" w:hAnsi="宋体" w:eastAsia="宋体" w:cs="宋体"/>
                <w:color w:val="auto"/>
                <w:sz w:val="21"/>
                <w:szCs w:val="21"/>
                <w:highlight w:val="none"/>
                <w:shd w:val="clear" w:color="auto" w:fill="auto"/>
                <w:lang w:val="en-US" w:eastAsia="zh-CN"/>
              </w:rPr>
            </w:pPr>
            <w:r>
              <w:rPr>
                <w:rFonts w:hint="eastAsia" w:hAnsi="宋体" w:cs="宋体"/>
                <w:color w:val="auto"/>
                <w:sz w:val="21"/>
                <w:szCs w:val="21"/>
                <w:highlight w:val="none"/>
                <w:shd w:val="clear" w:color="auto" w:fill="auto"/>
                <w:lang w:val="en-US" w:eastAsia="zh-CN"/>
              </w:rPr>
              <w:t>16.透气型塑胶跑道样块</w:t>
            </w:r>
            <w:r>
              <w:rPr>
                <w:rFonts w:hint="eastAsia" w:ascii="宋体" w:hAnsi="宋体" w:eastAsia="宋体" w:cs="宋体"/>
                <w:color w:val="auto"/>
                <w:sz w:val="21"/>
                <w:szCs w:val="21"/>
                <w:highlight w:val="none"/>
                <w:shd w:val="clear" w:color="auto" w:fill="auto"/>
                <w:lang w:val="en-US" w:eastAsia="zh-CN"/>
              </w:rPr>
              <w:t>根据供应商提供的</w:t>
            </w:r>
            <w:bookmarkStart w:id="434" w:name="_Hlk135557382"/>
            <w:r>
              <w:rPr>
                <w:rFonts w:hint="eastAsia" w:ascii="宋体" w:hAnsi="宋体" w:eastAsia="宋体" w:cs="宋体"/>
                <w:color w:val="auto"/>
                <w:sz w:val="21"/>
                <w:szCs w:val="21"/>
                <w:highlight w:val="none"/>
                <w:shd w:val="clear" w:color="auto" w:fill="auto"/>
                <w:lang w:val="en-US" w:eastAsia="zh-CN"/>
              </w:rPr>
              <w:t>样品</w:t>
            </w:r>
            <w:bookmarkEnd w:id="434"/>
            <w:r>
              <w:rPr>
                <w:rFonts w:hint="eastAsia" w:ascii="宋体" w:hAnsi="宋体" w:eastAsia="宋体" w:cs="宋体"/>
                <w:color w:val="auto"/>
                <w:sz w:val="21"/>
                <w:szCs w:val="21"/>
                <w:highlight w:val="none"/>
                <w:shd w:val="clear" w:color="auto" w:fill="auto"/>
                <w:lang w:val="en-US" w:eastAsia="zh-CN"/>
              </w:rPr>
              <w:t>（外观工艺、结构、材质、弹性、气味、硬物划痕试验、气味，烫伤等方面），由专家综合打分</w:t>
            </w:r>
            <w:r>
              <w:rPr>
                <w:rFonts w:hint="eastAsia" w:hAnsi="宋体" w:cs="宋体"/>
                <w:color w:val="auto"/>
                <w:sz w:val="21"/>
                <w:szCs w:val="21"/>
                <w:highlight w:val="none"/>
                <w:shd w:val="clear" w:color="auto" w:fill="auto"/>
                <w:lang w:val="en-US" w:eastAsia="zh-CN"/>
              </w:rPr>
              <w:t>（</w:t>
            </w:r>
            <w:r>
              <w:rPr>
                <w:rFonts w:hint="eastAsia" w:ascii="宋体" w:hAnsi="宋体" w:eastAsia="宋体" w:cs="宋体"/>
                <w:color w:val="auto"/>
                <w:sz w:val="21"/>
                <w:szCs w:val="21"/>
                <w:highlight w:val="none"/>
                <w:shd w:val="clear" w:color="auto" w:fill="auto"/>
                <w:lang w:val="en-US" w:eastAsia="zh-CN"/>
              </w:rPr>
              <w:t>4分）</w:t>
            </w:r>
          </w:p>
          <w:p w14:paraId="0E01745F">
            <w:pPr>
              <w:pStyle w:val="22"/>
              <w:keepNext w:val="0"/>
              <w:keepLines w:val="0"/>
              <w:pageBreakBefore w:val="0"/>
              <w:widowControl w:val="0"/>
              <w:numPr>
                <w:ilvl w:val="0"/>
                <w:numId w:val="0"/>
              </w:numPr>
              <w:kinsoku/>
              <w:wordWrap/>
              <w:overflowPunct/>
              <w:topLinePunct w:val="0"/>
              <w:autoSpaceDE/>
              <w:autoSpaceDN/>
              <w:bidi w:val="0"/>
              <w:adjustRightInd/>
              <w:snapToGrid/>
              <w:spacing w:after="0" w:afterLines="0" w:line="360" w:lineRule="exact"/>
              <w:ind w:leftChars="0"/>
              <w:textAlignment w:val="auto"/>
              <w:rPr>
                <w:rFonts w:hint="eastAsia" w:ascii="宋体" w:hAnsi="宋体" w:eastAsia="宋体" w:cs="宋体"/>
                <w:color w:val="auto"/>
                <w:sz w:val="21"/>
                <w:szCs w:val="21"/>
                <w:highlight w:val="none"/>
                <w:shd w:val="clear" w:color="auto" w:fill="auto"/>
                <w:lang w:val="en-US" w:eastAsia="zh-CN"/>
              </w:rPr>
            </w:pPr>
            <w:r>
              <w:rPr>
                <w:rFonts w:hint="eastAsia" w:ascii="宋体" w:hAnsi="宋体" w:eastAsia="宋体" w:cs="宋体"/>
                <w:color w:val="auto"/>
                <w:sz w:val="21"/>
                <w:szCs w:val="21"/>
                <w:highlight w:val="none"/>
                <w:shd w:val="clear" w:color="auto" w:fill="auto"/>
                <w:lang w:val="en-US" w:eastAsia="zh-CN"/>
              </w:rPr>
              <w:t>①外观工艺、结构、材质、弹性、气味、硬物划痕试验、气味，烫伤等方面好的，得4分；</w:t>
            </w:r>
          </w:p>
          <w:p w14:paraId="34DA5FB9">
            <w:pPr>
              <w:pStyle w:val="22"/>
              <w:keepNext w:val="0"/>
              <w:keepLines w:val="0"/>
              <w:pageBreakBefore w:val="0"/>
              <w:widowControl w:val="0"/>
              <w:numPr>
                <w:ilvl w:val="0"/>
                <w:numId w:val="0"/>
              </w:numPr>
              <w:kinsoku/>
              <w:wordWrap/>
              <w:overflowPunct/>
              <w:topLinePunct w:val="0"/>
              <w:autoSpaceDE/>
              <w:autoSpaceDN/>
              <w:bidi w:val="0"/>
              <w:adjustRightInd/>
              <w:snapToGrid/>
              <w:spacing w:after="0" w:afterLines="0" w:line="360" w:lineRule="exact"/>
              <w:ind w:leftChars="0"/>
              <w:textAlignment w:val="auto"/>
              <w:rPr>
                <w:rFonts w:hint="eastAsia" w:ascii="宋体" w:hAnsi="宋体" w:eastAsia="宋体" w:cs="宋体"/>
                <w:color w:val="auto"/>
                <w:sz w:val="21"/>
                <w:szCs w:val="21"/>
                <w:highlight w:val="none"/>
                <w:shd w:val="clear" w:color="auto" w:fill="auto"/>
                <w:lang w:val="en-US" w:eastAsia="zh-CN"/>
              </w:rPr>
            </w:pPr>
            <w:r>
              <w:rPr>
                <w:rFonts w:hint="eastAsia" w:ascii="宋体" w:hAnsi="宋体" w:eastAsia="宋体" w:cs="宋体"/>
                <w:color w:val="auto"/>
                <w:sz w:val="21"/>
                <w:szCs w:val="21"/>
                <w:highlight w:val="none"/>
                <w:shd w:val="clear" w:color="auto" w:fill="auto"/>
                <w:lang w:val="en-US" w:eastAsia="zh-CN"/>
              </w:rPr>
              <w:t>②外观工艺、结构、材质、弹性、气味、硬物划痕试验、气味，烫伤等方面较好的，得3分；</w:t>
            </w:r>
          </w:p>
          <w:p w14:paraId="1B841E01">
            <w:pPr>
              <w:keepNext w:val="0"/>
              <w:keepLines w:val="0"/>
              <w:pageBreakBefore w:val="0"/>
              <w:tabs>
                <w:tab w:val="left" w:pos="0"/>
                <w:tab w:val="left" w:pos="723"/>
              </w:tabs>
              <w:kinsoku/>
              <w:wordWrap/>
              <w:overflowPunct/>
              <w:topLinePunct w:val="0"/>
              <w:autoSpaceDE/>
              <w:autoSpaceDN/>
              <w:bidi w:val="0"/>
              <w:adjustRightInd/>
              <w:snapToGrid/>
              <w:spacing w:line="280" w:lineRule="exact"/>
              <w:textAlignment w:val="auto"/>
              <w:rPr>
                <w:rFonts w:hint="eastAsia" w:ascii="宋体" w:hAnsi="宋体" w:eastAsia="宋体" w:cs="宋体"/>
                <w:color w:val="auto"/>
                <w:sz w:val="21"/>
                <w:szCs w:val="21"/>
                <w:highlight w:val="none"/>
                <w:shd w:val="clear" w:color="auto" w:fill="auto"/>
                <w:lang w:val="en-US" w:eastAsia="zh-CN"/>
              </w:rPr>
            </w:pPr>
            <w:r>
              <w:rPr>
                <w:rFonts w:hint="eastAsia" w:ascii="宋体" w:hAnsi="宋体" w:eastAsia="宋体" w:cs="宋体"/>
                <w:color w:val="auto"/>
                <w:sz w:val="21"/>
                <w:szCs w:val="21"/>
                <w:highlight w:val="none"/>
                <w:shd w:val="clear" w:color="auto" w:fill="auto"/>
                <w:lang w:val="en-US" w:eastAsia="zh-CN"/>
              </w:rPr>
              <w:t>③外观工艺、结构、材质、弹性、气味、硬物划痕试验、气味，烫伤等方面一般的，得2分；</w:t>
            </w:r>
          </w:p>
          <w:p w14:paraId="17FD0837">
            <w:pPr>
              <w:keepNext w:val="0"/>
              <w:keepLines w:val="0"/>
              <w:pageBreakBefore w:val="0"/>
              <w:tabs>
                <w:tab w:val="left" w:pos="0"/>
                <w:tab w:val="left" w:pos="723"/>
              </w:tabs>
              <w:kinsoku/>
              <w:wordWrap/>
              <w:overflowPunct/>
              <w:topLinePunct w:val="0"/>
              <w:autoSpaceDE/>
              <w:autoSpaceDN/>
              <w:bidi w:val="0"/>
              <w:adjustRightInd/>
              <w:snapToGrid/>
              <w:spacing w:line="280" w:lineRule="exact"/>
              <w:textAlignment w:val="auto"/>
              <w:rPr>
                <w:rFonts w:hint="eastAsia" w:ascii="宋体" w:hAnsi="宋体" w:eastAsia="宋体" w:cs="宋体"/>
                <w:color w:val="auto"/>
                <w:sz w:val="21"/>
                <w:szCs w:val="21"/>
                <w:highlight w:val="none"/>
                <w:shd w:val="clear" w:color="auto" w:fill="auto"/>
                <w:lang w:val="en-US" w:eastAsia="zh-CN"/>
              </w:rPr>
            </w:pPr>
            <w:r>
              <w:rPr>
                <w:rFonts w:hint="eastAsia" w:ascii="宋体" w:hAnsi="宋体" w:eastAsia="宋体" w:cs="宋体"/>
                <w:color w:val="auto"/>
                <w:sz w:val="21"/>
                <w:szCs w:val="21"/>
                <w:highlight w:val="none"/>
                <w:shd w:val="clear" w:color="auto" w:fill="auto"/>
                <w:lang w:val="en-US" w:eastAsia="zh-CN"/>
              </w:rPr>
              <w:t>③外观工艺、结构、材质、弹性、气味、硬物划痕试验、气味，烫伤等方面</w:t>
            </w:r>
            <w:r>
              <w:rPr>
                <w:rFonts w:hint="eastAsia" w:ascii="宋体" w:hAnsi="宋体" w:cs="宋体"/>
                <w:color w:val="auto"/>
                <w:sz w:val="21"/>
                <w:szCs w:val="21"/>
                <w:highlight w:val="none"/>
                <w:shd w:val="clear" w:color="auto" w:fill="auto"/>
                <w:lang w:val="en-US" w:eastAsia="zh-CN"/>
              </w:rPr>
              <w:t>不好</w:t>
            </w:r>
            <w:r>
              <w:rPr>
                <w:rFonts w:hint="eastAsia" w:ascii="宋体" w:hAnsi="宋体" w:eastAsia="宋体" w:cs="宋体"/>
                <w:color w:val="auto"/>
                <w:sz w:val="21"/>
                <w:szCs w:val="21"/>
                <w:highlight w:val="none"/>
                <w:shd w:val="clear" w:color="auto" w:fill="auto"/>
                <w:lang w:val="en-US" w:eastAsia="zh-CN"/>
              </w:rPr>
              <w:t>的，得</w:t>
            </w:r>
            <w:r>
              <w:rPr>
                <w:rFonts w:hint="eastAsia" w:ascii="宋体" w:hAnsi="宋体" w:cs="宋体"/>
                <w:color w:val="auto"/>
                <w:sz w:val="21"/>
                <w:szCs w:val="21"/>
                <w:highlight w:val="none"/>
                <w:shd w:val="clear" w:color="auto" w:fill="auto"/>
                <w:lang w:val="en-US" w:eastAsia="zh-CN"/>
              </w:rPr>
              <w:t>1</w:t>
            </w:r>
            <w:r>
              <w:rPr>
                <w:rFonts w:hint="eastAsia" w:ascii="宋体" w:hAnsi="宋体" w:eastAsia="宋体" w:cs="宋体"/>
                <w:color w:val="auto"/>
                <w:sz w:val="21"/>
                <w:szCs w:val="21"/>
                <w:highlight w:val="none"/>
                <w:shd w:val="clear" w:color="auto" w:fill="auto"/>
                <w:lang w:val="en-US" w:eastAsia="zh-CN"/>
              </w:rPr>
              <w:t>分；</w:t>
            </w:r>
          </w:p>
          <w:p w14:paraId="114752D3">
            <w:pPr>
              <w:pStyle w:val="58"/>
              <w:ind w:left="0" w:leftChars="0" w:firstLine="0" w:firstLineChars="0"/>
              <w:rPr>
                <w:rFonts w:hint="default"/>
                <w:lang w:val="en-US" w:eastAsia="zh-CN"/>
              </w:rPr>
            </w:pPr>
            <w:r>
              <w:rPr>
                <w:rFonts w:hint="eastAsia" w:hAnsi="宋体" w:cs="宋体"/>
                <w:color w:val="auto"/>
                <w:sz w:val="21"/>
                <w:szCs w:val="21"/>
                <w:highlight w:val="none"/>
                <w:shd w:val="clear" w:color="auto" w:fill="auto"/>
                <w:lang w:val="en-US" w:eastAsia="zh-CN"/>
              </w:rPr>
              <w:t>注：</w:t>
            </w:r>
            <w:r>
              <w:rPr>
                <w:rFonts w:hint="eastAsia" w:ascii="宋体" w:hAnsi="宋体" w:eastAsia="宋体" w:cs="宋体"/>
                <w:color w:val="auto"/>
                <w:sz w:val="21"/>
                <w:szCs w:val="21"/>
                <w:highlight w:val="none"/>
                <w:shd w:val="clear" w:color="auto" w:fill="auto"/>
                <w:lang w:val="en-US" w:eastAsia="zh-CN"/>
              </w:rPr>
              <w:t>未提供的不得分。</w:t>
            </w:r>
          </w:p>
          <w:p w14:paraId="378475E0">
            <w:pPr>
              <w:keepNext w:val="0"/>
              <w:keepLines w:val="0"/>
              <w:pageBreakBefore w:val="0"/>
              <w:tabs>
                <w:tab w:val="left" w:pos="0"/>
                <w:tab w:val="left" w:pos="723"/>
              </w:tabs>
              <w:kinsoku/>
              <w:wordWrap/>
              <w:overflowPunct/>
              <w:topLinePunct w:val="0"/>
              <w:autoSpaceDE/>
              <w:autoSpaceDN/>
              <w:bidi w:val="0"/>
              <w:adjustRightInd/>
              <w:snapToGrid/>
              <w:spacing w:line="280" w:lineRule="exact"/>
              <w:textAlignment w:val="auto"/>
              <w:rPr>
                <w:rFonts w:hint="eastAsia" w:ascii="_5b8b_4f53" w:hAnsi="_5b8b_4f53" w:cs="宋体"/>
                <w:szCs w:val="21"/>
                <w:lang w:eastAsia="zh-CN"/>
              </w:rPr>
            </w:pPr>
            <w:r>
              <w:rPr>
                <w:rFonts w:hint="eastAsia" w:ascii="宋体" w:hAnsi="宋体"/>
                <w:b/>
                <w:bCs w:val="0"/>
                <w:lang w:eastAsia="zh-CN"/>
              </w:rPr>
              <w:t>注：</w:t>
            </w:r>
            <w:r>
              <w:rPr>
                <w:rFonts w:hint="eastAsia" w:ascii="宋体" w:hAnsi="宋体"/>
                <w:b/>
                <w:bCs/>
                <w:color w:val="auto"/>
                <w:szCs w:val="21"/>
                <w:u w:val="dotted"/>
                <w:lang w:val="en-US" w:eastAsia="zh-CN"/>
              </w:rPr>
              <w:t>需提供13</w:t>
            </w:r>
            <w:r>
              <w:rPr>
                <w:rFonts w:hint="eastAsia" w:ascii="宋体" w:hAnsi="宋体"/>
                <w:b/>
                <w:bCs/>
                <w:color w:val="auto"/>
                <w:szCs w:val="21"/>
                <w:u w:val="dotted"/>
              </w:rPr>
              <w:t>mm</w:t>
            </w:r>
            <w:r>
              <w:rPr>
                <w:rFonts w:hint="eastAsia" w:ascii="宋体" w:hAnsi="宋体"/>
                <w:b/>
                <w:bCs/>
                <w:color w:val="auto"/>
                <w:szCs w:val="21"/>
                <w:u w:val="dotted"/>
                <w:lang w:val="en-US" w:eastAsia="zh-CN"/>
              </w:rPr>
              <w:t>透气型塑胶面一块样块（</w:t>
            </w:r>
            <w:r>
              <w:rPr>
                <w:rFonts w:ascii="宋体" w:hAnsi="宋体"/>
                <w:b/>
                <w:bCs/>
                <w:szCs w:val="21"/>
              </w:rPr>
              <w:t>规格</w:t>
            </w:r>
            <w:r>
              <w:rPr>
                <w:rFonts w:hint="eastAsia" w:ascii="宋体" w:hAnsi="宋体"/>
                <w:b/>
                <w:bCs/>
                <w:szCs w:val="21"/>
              </w:rPr>
              <w:t>3</w:t>
            </w:r>
            <w:r>
              <w:rPr>
                <w:rFonts w:ascii="宋体" w:hAnsi="宋体"/>
                <w:b/>
                <w:bCs/>
                <w:szCs w:val="21"/>
              </w:rPr>
              <w:t>00×</w:t>
            </w:r>
            <w:r>
              <w:rPr>
                <w:rFonts w:hint="eastAsia" w:ascii="宋体" w:hAnsi="宋体"/>
                <w:b/>
                <w:bCs/>
                <w:szCs w:val="21"/>
                <w:lang w:val="en-US" w:eastAsia="zh-CN"/>
              </w:rPr>
              <w:t>3</w:t>
            </w:r>
            <w:r>
              <w:rPr>
                <w:rFonts w:ascii="宋体" w:hAnsi="宋体"/>
                <w:b/>
                <w:bCs/>
                <w:szCs w:val="21"/>
              </w:rPr>
              <w:t>00mm</w:t>
            </w:r>
            <w:r>
              <w:rPr>
                <w:rFonts w:hint="eastAsia" w:ascii="宋体" w:hAnsi="宋体"/>
                <w:b/>
                <w:bCs/>
                <w:color w:val="auto"/>
                <w:szCs w:val="21"/>
                <w:u w:val="dotted"/>
                <w:lang w:val="en-US" w:eastAsia="zh-CN"/>
              </w:rPr>
              <w:t>）</w:t>
            </w:r>
          </w:p>
        </w:tc>
      </w:tr>
      <w:tr w14:paraId="2C3A74D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8" w:type="dxa"/>
            <w:vMerge w:val="continue"/>
            <w:noWrap w:val="0"/>
            <w:vAlign w:val="center"/>
          </w:tcPr>
          <w:p w14:paraId="7BC96D7A">
            <w:pPr>
              <w:widowControl/>
              <w:spacing w:line="340" w:lineRule="exact"/>
              <w:jc w:val="left"/>
              <w:rPr>
                <w:color w:val="000000"/>
                <w:szCs w:val="21"/>
                <w:highlight w:val="none"/>
              </w:rPr>
            </w:pPr>
          </w:p>
        </w:tc>
        <w:tc>
          <w:tcPr>
            <w:tcW w:w="1164" w:type="dxa"/>
            <w:noWrap w:val="0"/>
            <w:vAlign w:val="center"/>
          </w:tcPr>
          <w:p w14:paraId="2183437D">
            <w:pPr>
              <w:spacing w:line="320" w:lineRule="exact"/>
              <w:jc w:val="center"/>
              <w:rPr>
                <w:rFonts w:hint="eastAsia" w:ascii="宋体" w:hAnsi="宋体" w:cs="宋体"/>
                <w:bCs/>
                <w:kern w:val="0"/>
                <w:szCs w:val="21"/>
              </w:rPr>
            </w:pPr>
            <w:r>
              <w:rPr>
                <w:rFonts w:hint="eastAsia" w:ascii="宋体" w:hAnsi="宋体" w:cs="宋体"/>
                <w:bCs/>
                <w:kern w:val="0"/>
                <w:szCs w:val="21"/>
              </w:rPr>
              <w:t>业绩</w:t>
            </w:r>
          </w:p>
          <w:p w14:paraId="49E51EB4">
            <w:pPr>
              <w:spacing w:line="320" w:lineRule="exact"/>
              <w:jc w:val="center"/>
              <w:rPr>
                <w:rFonts w:hint="eastAsia" w:ascii="宋体" w:hAnsi="宋体" w:eastAsia="宋体" w:cs="宋体"/>
                <w:b w:val="0"/>
                <w:bCs/>
                <w:kern w:val="0"/>
                <w:szCs w:val="21"/>
                <w:lang w:eastAsia="zh-CN"/>
              </w:rPr>
            </w:pPr>
            <w:r>
              <w:rPr>
                <w:rFonts w:hint="eastAsia" w:ascii="宋体" w:hAnsi="宋体" w:cs="宋体"/>
                <w:bCs/>
                <w:kern w:val="0"/>
                <w:szCs w:val="21"/>
                <w:lang w:eastAsia="zh-CN"/>
              </w:rPr>
              <w:t>（</w:t>
            </w:r>
            <w:r>
              <w:rPr>
                <w:rFonts w:hint="eastAsia" w:ascii="宋体" w:hAnsi="宋体" w:cs="宋体"/>
                <w:bCs/>
                <w:kern w:val="0"/>
                <w:szCs w:val="21"/>
                <w:lang w:val="en-US" w:eastAsia="zh-CN"/>
              </w:rPr>
              <w:t>1.5分</w:t>
            </w:r>
            <w:r>
              <w:rPr>
                <w:rFonts w:hint="eastAsia" w:ascii="宋体" w:hAnsi="宋体" w:cs="宋体"/>
                <w:bCs/>
                <w:kern w:val="0"/>
                <w:szCs w:val="21"/>
                <w:lang w:eastAsia="zh-CN"/>
              </w:rPr>
              <w:t>）</w:t>
            </w:r>
          </w:p>
        </w:tc>
        <w:tc>
          <w:tcPr>
            <w:tcW w:w="8289" w:type="dxa"/>
            <w:noWrap w:val="0"/>
            <w:vAlign w:val="center"/>
          </w:tcPr>
          <w:p w14:paraId="567BA899">
            <w:pPr>
              <w:tabs>
                <w:tab w:val="left" w:pos="4915"/>
              </w:tabs>
              <w:spacing w:line="340" w:lineRule="exact"/>
              <w:rPr>
                <w:rFonts w:hint="eastAsia" w:ascii="宋体" w:hAnsi="宋体"/>
                <w:b w:val="0"/>
                <w:bCs/>
                <w:lang w:val="en-US" w:eastAsia="zh-CN"/>
              </w:rPr>
            </w:pPr>
            <w:r>
              <w:rPr>
                <w:rFonts w:hint="eastAsia" w:ascii="宋体" w:hAnsi="宋体"/>
                <w:b w:val="0"/>
                <w:bCs/>
                <w:lang w:val="en-US" w:eastAsia="zh-CN"/>
              </w:rPr>
              <w:t>17.企业业绩</w:t>
            </w:r>
            <w:r>
              <w:rPr>
                <w:rFonts w:hint="eastAsia" w:ascii="宋体" w:hAnsi="宋体" w:cs="宋体"/>
                <w:bCs/>
                <w:kern w:val="0"/>
                <w:szCs w:val="21"/>
                <w:lang w:eastAsia="zh-CN"/>
              </w:rPr>
              <w:t>（</w:t>
            </w:r>
            <w:r>
              <w:rPr>
                <w:rFonts w:hint="eastAsia" w:ascii="宋体" w:hAnsi="宋体" w:cs="宋体"/>
                <w:bCs/>
                <w:kern w:val="0"/>
                <w:szCs w:val="21"/>
                <w:lang w:val="en-US" w:eastAsia="zh-CN"/>
              </w:rPr>
              <w:t>1分</w:t>
            </w:r>
            <w:r>
              <w:rPr>
                <w:rFonts w:hint="eastAsia" w:ascii="宋体" w:hAnsi="宋体" w:cs="宋体"/>
                <w:bCs/>
                <w:kern w:val="0"/>
                <w:szCs w:val="21"/>
                <w:lang w:eastAsia="zh-CN"/>
              </w:rPr>
              <w:t>）</w:t>
            </w:r>
            <w:r>
              <w:rPr>
                <w:rFonts w:hint="eastAsia" w:ascii="宋体" w:hAnsi="宋体"/>
                <w:b w:val="0"/>
                <w:bCs/>
                <w:lang w:val="en-US" w:eastAsia="zh-CN"/>
              </w:rPr>
              <w:t>：</w:t>
            </w:r>
          </w:p>
          <w:p w14:paraId="502779F5">
            <w:pPr>
              <w:tabs>
                <w:tab w:val="left" w:pos="4915"/>
              </w:tabs>
              <w:spacing w:line="340" w:lineRule="exact"/>
              <w:ind w:firstLine="420" w:firstLineChars="200"/>
              <w:rPr>
                <w:rFonts w:hint="eastAsia" w:ascii="宋体" w:hAnsi="宋体"/>
                <w:b w:val="0"/>
                <w:bCs/>
                <w:lang w:val="en-US" w:eastAsia="zh-CN"/>
              </w:rPr>
            </w:pPr>
            <w:r>
              <w:rPr>
                <w:rFonts w:hint="eastAsia" w:ascii="宋体" w:hAnsi="宋体"/>
                <w:b w:val="0"/>
                <w:bCs/>
                <w:lang w:eastAsia="zh-CN"/>
              </w:rPr>
              <w:t>从20</w:t>
            </w:r>
            <w:r>
              <w:rPr>
                <w:rFonts w:hint="eastAsia" w:ascii="宋体" w:hAnsi="宋体"/>
                <w:b w:val="0"/>
                <w:bCs/>
                <w:lang w:val="en-US" w:eastAsia="zh-CN"/>
              </w:rPr>
              <w:t>22</w:t>
            </w:r>
            <w:r>
              <w:rPr>
                <w:rFonts w:hint="eastAsia" w:ascii="宋体" w:hAnsi="宋体"/>
                <w:b w:val="0"/>
                <w:bCs/>
                <w:lang w:eastAsia="zh-CN"/>
              </w:rPr>
              <w:t>年</w:t>
            </w:r>
            <w:r>
              <w:rPr>
                <w:rFonts w:hint="eastAsia" w:ascii="宋体" w:hAnsi="宋体"/>
                <w:b w:val="0"/>
                <w:bCs/>
                <w:lang w:val="en-US" w:eastAsia="zh-CN"/>
              </w:rPr>
              <w:t>4</w:t>
            </w:r>
            <w:r>
              <w:rPr>
                <w:rFonts w:hint="eastAsia" w:ascii="宋体" w:hAnsi="宋体"/>
                <w:b w:val="0"/>
                <w:bCs/>
                <w:lang w:eastAsia="zh-CN"/>
              </w:rPr>
              <w:t>月1日（以合同签订时间为准）以来承接过同类产品（</w:t>
            </w:r>
            <w:r>
              <w:rPr>
                <w:rFonts w:hint="eastAsia" w:ascii="宋体" w:hAnsi="宋体"/>
                <w:b w:val="0"/>
                <w:bCs/>
                <w:lang w:val="en-US" w:eastAsia="zh-CN"/>
              </w:rPr>
              <w:t>塑胶跑道</w:t>
            </w:r>
            <w:r>
              <w:rPr>
                <w:rFonts w:hint="eastAsia" w:ascii="宋体" w:hAnsi="宋体"/>
                <w:b w:val="0"/>
                <w:bCs/>
                <w:lang w:eastAsia="zh-CN"/>
              </w:rPr>
              <w:t>）业绩的</w:t>
            </w:r>
            <w:r>
              <w:rPr>
                <w:rFonts w:hint="eastAsia" w:ascii="宋体" w:hAnsi="宋体"/>
                <w:b w:val="0"/>
                <w:bCs/>
                <w:lang w:val="en-US" w:eastAsia="zh-CN"/>
              </w:rPr>
              <w:t>，0.5分</w:t>
            </w:r>
            <w:r>
              <w:rPr>
                <w:rFonts w:hint="eastAsia" w:ascii="宋体" w:hAnsi="宋体"/>
                <w:b w:val="0"/>
                <w:bCs/>
                <w:lang w:eastAsia="zh-CN"/>
              </w:rPr>
              <w:t>，</w:t>
            </w:r>
            <w:r>
              <w:rPr>
                <w:rFonts w:hint="eastAsia" w:ascii="宋体" w:hAnsi="宋体"/>
                <w:b w:val="0"/>
                <w:bCs/>
                <w:lang w:val="en-US" w:eastAsia="zh-CN"/>
              </w:rPr>
              <w:t>获县级及以上质量奖的再得0.5分，最高得1分。</w:t>
            </w:r>
          </w:p>
          <w:p w14:paraId="00D9DD20">
            <w:pPr>
              <w:tabs>
                <w:tab w:val="left" w:pos="4915"/>
              </w:tabs>
              <w:spacing w:line="340" w:lineRule="exact"/>
              <w:ind w:firstLine="422" w:firstLineChars="200"/>
              <w:rPr>
                <w:rFonts w:hint="eastAsia" w:ascii="宋体" w:hAnsi="宋体"/>
                <w:b w:val="0"/>
                <w:bCs/>
                <w:lang w:eastAsia="zh-CN"/>
              </w:rPr>
            </w:pPr>
            <w:r>
              <w:rPr>
                <w:rFonts w:hint="eastAsia" w:ascii="宋体" w:hAnsi="宋体"/>
                <w:b/>
                <w:bCs w:val="0"/>
                <w:lang w:eastAsia="zh-CN"/>
              </w:rPr>
              <w:t>注：投标文件中须提供中标通知书、合同、</w:t>
            </w:r>
            <w:r>
              <w:rPr>
                <w:rFonts w:hint="eastAsia" w:ascii="宋体" w:hAnsi="宋体"/>
                <w:b/>
                <w:bCs w:val="0"/>
                <w:lang w:val="en-US" w:eastAsia="zh-CN"/>
              </w:rPr>
              <w:t>开工报告、竣工报告、获奖文件</w:t>
            </w:r>
            <w:r>
              <w:rPr>
                <w:rFonts w:hint="eastAsia" w:ascii="宋体" w:hAnsi="宋体"/>
                <w:b/>
                <w:bCs w:val="0"/>
                <w:lang w:eastAsia="zh-CN"/>
              </w:rPr>
              <w:t>为准。</w:t>
            </w:r>
          </w:p>
          <w:p w14:paraId="1590CEFE">
            <w:pPr>
              <w:tabs>
                <w:tab w:val="left" w:pos="4915"/>
              </w:tabs>
              <w:spacing w:line="340" w:lineRule="exact"/>
              <w:rPr>
                <w:rFonts w:hint="eastAsia" w:ascii="宋体" w:hAnsi="宋体"/>
                <w:b w:val="0"/>
                <w:bCs/>
                <w:lang w:val="en-US" w:eastAsia="zh-CN"/>
              </w:rPr>
            </w:pPr>
            <w:bookmarkStart w:id="982" w:name="_GoBack"/>
            <w:r>
              <w:rPr>
                <w:rFonts w:hint="eastAsia" w:ascii="宋体" w:hAnsi="宋体"/>
                <w:b w:val="0"/>
                <w:bCs/>
                <w:lang w:val="en-US" w:eastAsia="zh-CN"/>
              </w:rPr>
              <w:t>18.项目经理业绩</w:t>
            </w:r>
            <w:r>
              <w:rPr>
                <w:rFonts w:hint="eastAsia" w:ascii="宋体" w:hAnsi="宋体" w:cs="宋体"/>
                <w:bCs/>
                <w:kern w:val="0"/>
                <w:szCs w:val="21"/>
                <w:lang w:eastAsia="zh-CN"/>
              </w:rPr>
              <w:t>（</w:t>
            </w:r>
            <w:r>
              <w:rPr>
                <w:rFonts w:hint="eastAsia" w:ascii="宋体" w:hAnsi="宋体" w:cs="宋体"/>
                <w:bCs/>
                <w:kern w:val="0"/>
                <w:szCs w:val="21"/>
                <w:lang w:val="en-US" w:eastAsia="zh-CN"/>
              </w:rPr>
              <w:t>0.5分</w:t>
            </w:r>
            <w:r>
              <w:rPr>
                <w:rFonts w:hint="eastAsia" w:ascii="宋体" w:hAnsi="宋体" w:cs="宋体"/>
                <w:bCs/>
                <w:kern w:val="0"/>
                <w:szCs w:val="21"/>
                <w:lang w:eastAsia="zh-CN"/>
              </w:rPr>
              <w:t>）</w:t>
            </w:r>
            <w:r>
              <w:rPr>
                <w:rFonts w:hint="eastAsia" w:ascii="宋体" w:hAnsi="宋体"/>
                <w:b w:val="0"/>
                <w:bCs/>
                <w:lang w:val="en-US" w:eastAsia="zh-CN"/>
              </w:rPr>
              <w:t>：</w:t>
            </w:r>
          </w:p>
          <w:p w14:paraId="6E131580">
            <w:pPr>
              <w:tabs>
                <w:tab w:val="left" w:pos="4915"/>
              </w:tabs>
              <w:spacing w:line="340" w:lineRule="exact"/>
              <w:ind w:firstLine="420" w:firstLineChars="200"/>
              <w:rPr>
                <w:rFonts w:hint="eastAsia" w:ascii="宋体" w:hAnsi="宋体"/>
                <w:b w:val="0"/>
                <w:bCs/>
                <w:lang w:val="en-US" w:eastAsia="zh-CN"/>
              </w:rPr>
            </w:pPr>
            <w:r>
              <w:rPr>
                <w:rFonts w:hint="eastAsia" w:ascii="宋体" w:hAnsi="宋体"/>
                <w:b w:val="0"/>
                <w:bCs/>
                <w:lang w:val="en-US" w:eastAsia="zh-CN"/>
              </w:rPr>
              <w:t>从2022年4月1日（以合同签订时间为准）以来承接过同类产品（塑胶跑道）</w:t>
            </w:r>
            <w:r>
              <w:rPr>
                <w:rFonts w:hint="eastAsia" w:ascii="宋体" w:hAnsi="宋体"/>
                <w:b w:val="0"/>
                <w:bCs/>
                <w:lang w:eastAsia="zh-CN"/>
              </w:rPr>
              <w:t>业绩的，</w:t>
            </w:r>
            <w:r>
              <w:rPr>
                <w:rFonts w:hint="eastAsia" w:ascii="宋体" w:hAnsi="宋体"/>
                <w:b w:val="0"/>
                <w:bCs/>
                <w:lang w:val="en-US" w:eastAsia="zh-CN"/>
              </w:rPr>
              <w:t>得0.5分</w:t>
            </w:r>
          </w:p>
          <w:p w14:paraId="2B049365">
            <w:pPr>
              <w:tabs>
                <w:tab w:val="left" w:pos="4915"/>
              </w:tabs>
              <w:spacing w:line="340" w:lineRule="exact"/>
              <w:ind w:firstLine="422" w:firstLineChars="200"/>
              <w:rPr>
                <w:rFonts w:hint="eastAsia" w:ascii="宋体" w:hAnsi="宋体"/>
                <w:b/>
                <w:bCs/>
                <w:color w:val="auto"/>
                <w:szCs w:val="21"/>
                <w:u w:val="dotted"/>
                <w:lang w:val="en-US" w:eastAsia="zh-CN"/>
              </w:rPr>
            </w:pPr>
            <w:r>
              <w:rPr>
                <w:rFonts w:hint="eastAsia" w:ascii="宋体" w:hAnsi="宋体"/>
                <w:b/>
                <w:bCs w:val="0"/>
                <w:lang w:eastAsia="zh-CN"/>
              </w:rPr>
              <w:t>注：投标文件中须提供中标通知书、合同、</w:t>
            </w:r>
            <w:r>
              <w:rPr>
                <w:rFonts w:hint="eastAsia" w:ascii="宋体" w:hAnsi="宋体"/>
                <w:b/>
                <w:bCs w:val="0"/>
                <w:lang w:val="en-US" w:eastAsia="zh-CN"/>
              </w:rPr>
              <w:t>开工报告、竣工报告</w:t>
            </w:r>
            <w:r>
              <w:rPr>
                <w:rFonts w:hint="eastAsia" w:ascii="宋体" w:hAnsi="宋体"/>
                <w:b/>
                <w:bCs w:val="0"/>
                <w:lang w:eastAsia="zh-CN"/>
              </w:rPr>
              <w:t>为准</w:t>
            </w:r>
            <w:r>
              <w:rPr>
                <w:rFonts w:hint="eastAsia" w:ascii="宋体" w:hAnsi="宋体"/>
                <w:b w:val="0"/>
                <w:bCs/>
                <w:lang w:eastAsia="zh-CN"/>
              </w:rPr>
              <w:t>。</w:t>
            </w:r>
            <w:bookmarkEnd w:id="982"/>
          </w:p>
        </w:tc>
      </w:tr>
      <w:tr w14:paraId="79BFCA9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8" w:type="dxa"/>
            <w:noWrap w:val="0"/>
            <w:vAlign w:val="center"/>
          </w:tcPr>
          <w:p w14:paraId="45894F31">
            <w:pPr>
              <w:widowControl/>
              <w:spacing w:line="340" w:lineRule="exact"/>
              <w:jc w:val="left"/>
              <w:rPr>
                <w:color w:val="000000"/>
                <w:szCs w:val="21"/>
                <w:highlight w:val="none"/>
              </w:rPr>
            </w:pPr>
            <w:r>
              <w:rPr>
                <w:color w:val="000000"/>
                <w:szCs w:val="21"/>
                <w:highlight w:val="none"/>
              </w:rPr>
              <w:t>价格</w:t>
            </w:r>
            <w:r>
              <w:rPr>
                <w:rFonts w:hint="eastAsia"/>
                <w:color w:val="000000"/>
                <w:szCs w:val="21"/>
                <w:highlight w:val="none"/>
              </w:rPr>
              <w:t>部分</w:t>
            </w:r>
            <w:r>
              <w:rPr>
                <w:rFonts w:hint="eastAsia"/>
                <w:color w:val="000000"/>
                <w:szCs w:val="21"/>
                <w:highlight w:val="none"/>
                <w:lang w:val="en-US" w:eastAsia="zh-CN"/>
              </w:rPr>
              <w:t>30</w:t>
            </w:r>
            <w:r>
              <w:rPr>
                <w:color w:val="000000"/>
                <w:szCs w:val="21"/>
                <w:highlight w:val="none"/>
              </w:rPr>
              <w:t>分</w:t>
            </w:r>
          </w:p>
        </w:tc>
        <w:tc>
          <w:tcPr>
            <w:tcW w:w="1164" w:type="dxa"/>
            <w:noWrap w:val="0"/>
            <w:vAlign w:val="center"/>
          </w:tcPr>
          <w:p w14:paraId="555DA18B">
            <w:pPr>
              <w:spacing w:line="340" w:lineRule="exact"/>
              <w:jc w:val="center"/>
              <w:rPr>
                <w:color w:val="000000"/>
                <w:szCs w:val="21"/>
                <w:highlight w:val="none"/>
              </w:rPr>
            </w:pPr>
            <w:r>
              <w:rPr>
                <w:color w:val="000000"/>
                <w:szCs w:val="21"/>
                <w:highlight w:val="none"/>
              </w:rPr>
              <w:t>投标报价（</w:t>
            </w:r>
            <w:r>
              <w:rPr>
                <w:rFonts w:hint="eastAsia"/>
                <w:color w:val="000000"/>
                <w:szCs w:val="21"/>
                <w:highlight w:val="none"/>
                <w:lang w:val="en-US" w:eastAsia="zh-CN"/>
              </w:rPr>
              <w:t>30</w:t>
            </w:r>
            <w:r>
              <w:rPr>
                <w:color w:val="000000"/>
                <w:szCs w:val="21"/>
                <w:highlight w:val="none"/>
              </w:rPr>
              <w:t>分）</w:t>
            </w:r>
          </w:p>
        </w:tc>
        <w:tc>
          <w:tcPr>
            <w:tcW w:w="8289" w:type="dxa"/>
            <w:noWrap w:val="0"/>
            <w:vAlign w:val="center"/>
          </w:tcPr>
          <w:p w14:paraId="4D5DAE9F">
            <w:pPr>
              <w:spacing w:line="300" w:lineRule="exact"/>
              <w:rPr>
                <w:rFonts w:hint="eastAsia" w:ascii="Calibri" w:hAnsi="Calibri" w:cs="Calibri"/>
                <w:color w:val="000000"/>
                <w:szCs w:val="21"/>
                <w:highlight w:val="none"/>
              </w:rPr>
            </w:pPr>
            <w:r>
              <w:rPr>
                <w:rFonts w:ascii="Calibri" w:hAnsi="Calibri" w:cs="Calibri"/>
                <w:color w:val="000000"/>
                <w:szCs w:val="21"/>
                <w:highlight w:val="none"/>
              </w:rPr>
              <w:t>满足</w:t>
            </w:r>
            <w:r>
              <w:rPr>
                <w:rFonts w:hint="eastAsia" w:ascii="Calibri" w:hAnsi="Calibri" w:cs="Calibri"/>
                <w:color w:val="000000"/>
                <w:szCs w:val="21"/>
                <w:highlight w:val="none"/>
              </w:rPr>
              <w:t>采购文件</w:t>
            </w:r>
            <w:r>
              <w:rPr>
                <w:rFonts w:ascii="Calibri" w:hAnsi="Calibri" w:cs="Calibri"/>
                <w:color w:val="000000"/>
                <w:szCs w:val="21"/>
                <w:highlight w:val="none"/>
              </w:rPr>
              <w:t>要求且最低的参与评审价格为评标基准价，其价格分为满分</w:t>
            </w:r>
            <w:r>
              <w:rPr>
                <w:rFonts w:hint="eastAsia" w:ascii="Calibri" w:hAnsi="Calibri" w:cs="Calibri"/>
                <w:color w:val="000000"/>
                <w:szCs w:val="21"/>
                <w:highlight w:val="none"/>
                <w:lang w:val="en-US" w:eastAsia="zh-CN"/>
              </w:rPr>
              <w:t>30</w:t>
            </w:r>
            <w:r>
              <w:rPr>
                <w:rFonts w:ascii="Calibri" w:hAnsi="Calibri" w:cs="Calibri"/>
                <w:color w:val="000000"/>
                <w:szCs w:val="21"/>
                <w:highlight w:val="none"/>
              </w:rPr>
              <w:t>分</w:t>
            </w:r>
            <w:r>
              <w:rPr>
                <w:rFonts w:hint="eastAsia" w:ascii="Calibri" w:hAnsi="Calibri" w:cs="Calibri"/>
                <w:color w:val="000000"/>
                <w:szCs w:val="21"/>
                <w:highlight w:val="none"/>
              </w:rPr>
              <w:t>。</w:t>
            </w:r>
          </w:p>
          <w:p w14:paraId="7D55B09F">
            <w:pPr>
              <w:spacing w:line="300" w:lineRule="exact"/>
              <w:rPr>
                <w:rFonts w:ascii="Calibri" w:hAnsi="Calibri" w:cs="Calibri"/>
                <w:color w:val="000000"/>
                <w:szCs w:val="21"/>
                <w:highlight w:val="none"/>
              </w:rPr>
            </w:pPr>
            <w:r>
              <w:rPr>
                <w:rFonts w:ascii="Calibri" w:hAnsi="Calibri" w:cs="Calibri"/>
                <w:color w:val="000000"/>
                <w:szCs w:val="21"/>
                <w:highlight w:val="none"/>
              </w:rPr>
              <w:t>其余供应商的价格分以下列公式计算：</w:t>
            </w:r>
          </w:p>
          <w:p w14:paraId="5477DEC7">
            <w:pPr>
              <w:spacing w:line="300" w:lineRule="exact"/>
              <w:rPr>
                <w:rFonts w:hint="default" w:ascii="Calibri" w:hAnsi="Calibri" w:cs="Calibri"/>
                <w:color w:val="000000"/>
                <w:szCs w:val="21"/>
                <w:highlight w:val="none"/>
                <w:lang w:val="en-US"/>
              </w:rPr>
            </w:pPr>
            <w:r>
              <w:rPr>
                <w:rFonts w:ascii="Calibri" w:hAnsi="Calibri" w:cs="Calibri"/>
                <w:color w:val="000000"/>
                <w:szCs w:val="21"/>
                <w:highlight w:val="none"/>
              </w:rPr>
              <w:t>价格分得分＝</w:t>
            </w:r>
            <w:r>
              <w:rPr>
                <w:rFonts w:hint="eastAsia" w:ascii="Calibri" w:hAnsi="Calibri" w:cs="Calibri"/>
                <w:color w:val="000000"/>
                <w:szCs w:val="21"/>
                <w:highlight w:val="none"/>
              </w:rPr>
              <w:t>[</w:t>
            </w:r>
            <w:r>
              <w:rPr>
                <w:rFonts w:ascii="Calibri" w:hAnsi="Calibri" w:cs="Calibri"/>
                <w:color w:val="000000"/>
                <w:szCs w:val="21"/>
                <w:highlight w:val="none"/>
              </w:rPr>
              <w:t>评标基准价/</w:t>
            </w:r>
            <w:r>
              <w:rPr>
                <w:rFonts w:hint="eastAsia" w:ascii="Calibri" w:hAnsi="Calibri" w:cs="Calibri"/>
                <w:color w:val="000000"/>
                <w:szCs w:val="21"/>
                <w:highlight w:val="none"/>
                <w:lang w:eastAsia="zh-CN"/>
              </w:rPr>
              <w:t>参与评审的价格</w:t>
            </w:r>
            <w:r>
              <w:rPr>
                <w:rFonts w:hint="eastAsia" w:ascii="Calibri" w:hAnsi="Calibri" w:cs="Calibri"/>
                <w:color w:val="000000"/>
                <w:szCs w:val="21"/>
                <w:highlight w:val="none"/>
              </w:rPr>
              <w:t xml:space="preserve">] </w:t>
            </w:r>
            <w:r>
              <w:rPr>
                <w:rFonts w:ascii="Calibri" w:hAnsi="Calibri" w:cs="Calibri"/>
                <w:color w:val="000000"/>
                <w:szCs w:val="21"/>
                <w:highlight w:val="none"/>
              </w:rPr>
              <w:t>×</w:t>
            </w:r>
            <w:r>
              <w:rPr>
                <w:rFonts w:hint="eastAsia" w:ascii="Calibri" w:hAnsi="Calibri" w:cs="Calibri"/>
                <w:color w:val="000000"/>
                <w:szCs w:val="21"/>
                <w:highlight w:val="none"/>
                <w:lang w:val="en-US" w:eastAsia="zh-CN"/>
              </w:rPr>
              <w:t>30</w:t>
            </w:r>
          </w:p>
          <w:p w14:paraId="28495A6A">
            <w:pPr>
              <w:pStyle w:val="5"/>
              <w:spacing w:line="340" w:lineRule="exact"/>
              <w:ind w:firstLine="0" w:firstLineChars="0"/>
              <w:rPr>
                <w:color w:val="000000"/>
                <w:szCs w:val="21"/>
                <w:highlight w:val="none"/>
              </w:rPr>
            </w:pPr>
            <w:r>
              <w:rPr>
                <w:rFonts w:hint="eastAsia" w:ascii="Calibri" w:hAnsi="Calibri" w:eastAsia="宋体" w:cs="Calibri"/>
                <w:snapToGrid/>
                <w:color w:val="000000"/>
                <w:kern w:val="2"/>
                <w:sz w:val="21"/>
                <w:szCs w:val="21"/>
                <w:highlight w:val="none"/>
                <w:lang w:val="zh-CN" w:eastAsia="zh-CN" w:bidi="ar-SA"/>
              </w:rPr>
              <w:t>以最终报价为评审依据。</w:t>
            </w:r>
          </w:p>
        </w:tc>
      </w:tr>
    </w:tbl>
    <w:p w14:paraId="34E95300">
      <w:pPr>
        <w:keepLines/>
        <w:autoSpaceDE w:val="0"/>
        <w:autoSpaceDN w:val="0"/>
        <w:snapToGrid w:val="0"/>
        <w:spacing w:line="360" w:lineRule="auto"/>
        <w:jc w:val="center"/>
        <w:textAlignment w:val="baseline"/>
        <w:outlineLvl w:val="2"/>
        <w:rPr>
          <w:rFonts w:eastAsia="黑体"/>
          <w:b/>
          <w:sz w:val="28"/>
          <w:szCs w:val="28"/>
        </w:rPr>
      </w:pPr>
    </w:p>
    <w:p w14:paraId="102552D4">
      <w:pPr>
        <w:adjustRightInd/>
        <w:spacing w:line="360" w:lineRule="auto"/>
        <w:ind w:firstLine="440" w:firstLineChars="200"/>
        <w:rPr>
          <w:rFonts w:hint="eastAsia" w:ascii="宋体" w:hAnsi="宋体" w:cs="宋体"/>
          <w:bCs/>
          <w:sz w:val="22"/>
          <w:szCs w:val="22"/>
        </w:rPr>
      </w:pPr>
      <w:r>
        <w:rPr>
          <w:rFonts w:hint="eastAsia" w:ascii="宋体" w:hAnsi="宋体" w:cs="宋体"/>
          <w:bCs/>
          <w:sz w:val="22"/>
          <w:szCs w:val="22"/>
        </w:rPr>
        <w:t>备注：1、供应商编制投标文件（商务技术文件部分）时，建议按此目录（序号和内容）提供评标标准相应的商务技术资料。</w:t>
      </w:r>
    </w:p>
    <w:p w14:paraId="50338568">
      <w:pPr>
        <w:adjustRightInd/>
        <w:spacing w:line="360" w:lineRule="auto"/>
        <w:ind w:firstLine="440" w:firstLineChars="200"/>
        <w:rPr>
          <w:rFonts w:hint="eastAsia" w:ascii="宋体" w:hAnsi="宋体" w:cs="宋体"/>
          <w:bCs/>
          <w:sz w:val="22"/>
          <w:szCs w:val="22"/>
        </w:rPr>
      </w:pPr>
      <w:r>
        <w:rPr>
          <w:rFonts w:hint="eastAsia" w:ascii="宋体" w:hAnsi="宋体" w:cs="宋体"/>
          <w:bCs/>
          <w:sz w:val="22"/>
          <w:szCs w:val="22"/>
        </w:rPr>
        <w:t>2、小数点后保留一位数。</w:t>
      </w:r>
    </w:p>
    <w:p w14:paraId="0A2B128E">
      <w:pPr>
        <w:adjustRightInd/>
        <w:spacing w:line="360" w:lineRule="auto"/>
        <w:ind w:firstLine="440" w:firstLineChars="200"/>
        <w:rPr>
          <w:rFonts w:hint="eastAsia" w:ascii="宋体" w:hAnsi="宋体" w:cs="宋体"/>
          <w:bCs/>
          <w:sz w:val="22"/>
          <w:szCs w:val="22"/>
        </w:rPr>
      </w:pPr>
      <w:r>
        <w:rPr>
          <w:rFonts w:hint="eastAsia" w:ascii="宋体" w:hAnsi="宋体" w:cs="宋体"/>
          <w:bCs/>
          <w:sz w:val="22"/>
          <w:szCs w:val="22"/>
        </w:rPr>
        <w:t>3、各评标委员会成员自行按以上参考分值评分。</w:t>
      </w:r>
    </w:p>
    <w:p w14:paraId="031B9049">
      <w:pPr>
        <w:adjustRightInd/>
        <w:spacing w:line="360" w:lineRule="auto"/>
        <w:ind w:firstLine="440" w:firstLineChars="200"/>
        <w:rPr>
          <w:rFonts w:ascii="宋体" w:hAnsi="宋体" w:cs="宋体"/>
          <w:b/>
          <w:kern w:val="0"/>
          <w:sz w:val="22"/>
          <w:szCs w:val="22"/>
        </w:rPr>
      </w:pPr>
      <w:r>
        <w:rPr>
          <w:rFonts w:hint="eastAsia" w:ascii="宋体" w:hAnsi="宋体" w:cs="宋体"/>
          <w:bCs/>
          <w:sz w:val="22"/>
          <w:szCs w:val="22"/>
        </w:rPr>
        <w:t>4、重大事件由评标委员会集体讨论，应当按照少数服从多数的原则作出结论。</w:t>
      </w:r>
    </w:p>
    <w:p w14:paraId="66D51303">
      <w:pPr>
        <w:keepLines/>
        <w:autoSpaceDE w:val="0"/>
        <w:autoSpaceDN w:val="0"/>
        <w:snapToGrid w:val="0"/>
        <w:spacing w:line="360" w:lineRule="auto"/>
        <w:jc w:val="center"/>
        <w:textAlignment w:val="baseline"/>
        <w:outlineLvl w:val="2"/>
        <w:rPr>
          <w:rFonts w:eastAsia="黑体"/>
          <w:b/>
          <w:sz w:val="28"/>
          <w:szCs w:val="28"/>
        </w:rPr>
      </w:pPr>
    </w:p>
    <w:p w14:paraId="3DDAF2D3">
      <w:pPr>
        <w:keepLines/>
        <w:autoSpaceDE w:val="0"/>
        <w:autoSpaceDN w:val="0"/>
        <w:snapToGrid w:val="0"/>
        <w:spacing w:line="360" w:lineRule="auto"/>
        <w:jc w:val="center"/>
        <w:textAlignment w:val="baseline"/>
        <w:outlineLvl w:val="2"/>
        <w:rPr>
          <w:rFonts w:eastAsia="黑体"/>
          <w:b/>
          <w:sz w:val="28"/>
          <w:szCs w:val="28"/>
        </w:rPr>
      </w:pPr>
    </w:p>
    <w:p w14:paraId="2E138F0C">
      <w:pPr>
        <w:spacing w:line="360" w:lineRule="auto"/>
        <w:jc w:val="both"/>
        <w:outlineLvl w:val="0"/>
        <w:rPr>
          <w:rFonts w:hint="eastAsia" w:ascii="宋体" w:hAnsi="宋体" w:cs="仿宋_GB2312"/>
          <w:b/>
          <w:sz w:val="36"/>
          <w:szCs w:val="36"/>
        </w:rPr>
      </w:pPr>
    </w:p>
    <w:p w14:paraId="7CC402B0">
      <w:pPr>
        <w:pStyle w:val="71"/>
        <w:rPr>
          <w:rFonts w:hint="eastAsia" w:ascii="宋体" w:hAnsi="宋体" w:cs="仿宋_GB2312"/>
          <w:b/>
          <w:sz w:val="36"/>
          <w:szCs w:val="36"/>
        </w:rPr>
      </w:pPr>
    </w:p>
    <w:p w14:paraId="7D6CE56A">
      <w:pPr>
        <w:spacing w:line="360" w:lineRule="auto"/>
        <w:jc w:val="center"/>
        <w:outlineLvl w:val="0"/>
        <w:rPr>
          <w:rFonts w:ascii="宋体" w:hAnsi="宋体" w:cs="仿宋_GB2312"/>
          <w:b/>
          <w:sz w:val="36"/>
          <w:szCs w:val="36"/>
        </w:rPr>
      </w:pPr>
      <w:r>
        <w:rPr>
          <w:rFonts w:hint="eastAsia" w:ascii="宋体" w:hAnsi="宋体" w:cs="仿宋_GB2312"/>
          <w:b/>
          <w:sz w:val="36"/>
          <w:szCs w:val="36"/>
        </w:rPr>
        <w:t>第</w:t>
      </w:r>
      <w:r>
        <w:rPr>
          <w:rFonts w:hint="eastAsia" w:ascii="宋体" w:hAnsi="宋体" w:cs="仿宋_GB2312"/>
          <w:b/>
          <w:sz w:val="36"/>
          <w:szCs w:val="36"/>
          <w:lang w:eastAsia="zh-CN"/>
        </w:rPr>
        <w:t>五</w:t>
      </w:r>
      <w:r>
        <w:rPr>
          <w:rFonts w:hint="eastAsia" w:ascii="宋体" w:hAnsi="宋体" w:cs="仿宋_GB2312"/>
          <w:b/>
          <w:sz w:val="36"/>
          <w:szCs w:val="36"/>
        </w:rPr>
        <w:t>部分  拟签订的合同文本</w:t>
      </w:r>
    </w:p>
    <w:p w14:paraId="1AE52199">
      <w:pPr>
        <w:keepLines/>
        <w:autoSpaceDE w:val="0"/>
        <w:autoSpaceDN w:val="0"/>
        <w:snapToGrid w:val="0"/>
        <w:spacing w:line="360" w:lineRule="auto"/>
        <w:jc w:val="center"/>
        <w:textAlignment w:val="baseline"/>
        <w:outlineLvl w:val="2"/>
        <w:rPr>
          <w:rFonts w:eastAsia="黑体"/>
          <w:b/>
          <w:sz w:val="28"/>
          <w:szCs w:val="28"/>
        </w:rPr>
      </w:pPr>
    </w:p>
    <w:p w14:paraId="43F384E1">
      <w:pPr>
        <w:keepLines/>
        <w:autoSpaceDE w:val="0"/>
        <w:autoSpaceDN w:val="0"/>
        <w:snapToGrid w:val="0"/>
        <w:spacing w:line="360" w:lineRule="auto"/>
        <w:jc w:val="center"/>
        <w:textAlignment w:val="baseline"/>
        <w:outlineLvl w:val="2"/>
        <w:rPr>
          <w:rFonts w:eastAsia="黑体"/>
          <w:b/>
          <w:sz w:val="28"/>
          <w:szCs w:val="28"/>
        </w:rPr>
      </w:pPr>
    </w:p>
    <w:p w14:paraId="549FABB8">
      <w:pPr>
        <w:numPr>
          <w:ilvl w:val="0"/>
          <w:numId w:val="0"/>
        </w:numPr>
        <w:spacing w:line="360" w:lineRule="auto"/>
        <w:ind w:leftChars="0"/>
        <w:rPr>
          <w:rFonts w:hint="eastAsia"/>
          <w:b/>
          <w:sz w:val="32"/>
          <w:szCs w:val="32"/>
        </w:rPr>
      </w:pPr>
      <w:r>
        <w:rPr>
          <w:rFonts w:hint="eastAsia"/>
          <w:b/>
          <w:sz w:val="32"/>
          <w:szCs w:val="32"/>
        </w:rPr>
        <w:t>(GF-201</w:t>
      </w:r>
      <w:r>
        <w:rPr>
          <w:b/>
          <w:sz w:val="32"/>
          <w:szCs w:val="32"/>
        </w:rPr>
        <w:t>7</w:t>
      </w:r>
      <w:r>
        <w:rPr>
          <w:rFonts w:hint="eastAsia"/>
          <w:b/>
          <w:sz w:val="32"/>
          <w:szCs w:val="32"/>
        </w:rPr>
        <w:t>-0201)</w:t>
      </w:r>
    </w:p>
    <w:p w14:paraId="402D3205">
      <w:pPr>
        <w:numPr>
          <w:ilvl w:val="0"/>
          <w:numId w:val="0"/>
        </w:numPr>
        <w:spacing w:line="360" w:lineRule="auto"/>
        <w:ind w:leftChars="0"/>
        <w:jc w:val="both"/>
        <w:rPr>
          <w:rFonts w:hint="eastAsia"/>
          <w:b/>
          <w:sz w:val="48"/>
        </w:rPr>
      </w:pPr>
    </w:p>
    <w:p w14:paraId="0F1A7CF0">
      <w:pPr>
        <w:numPr>
          <w:ilvl w:val="0"/>
          <w:numId w:val="0"/>
        </w:numPr>
        <w:spacing w:line="360" w:lineRule="auto"/>
        <w:ind w:leftChars="0"/>
        <w:jc w:val="center"/>
        <w:rPr>
          <w:rFonts w:hint="eastAsia" w:ascii="宋体" w:hAnsi="宋体"/>
          <w:b/>
          <w:sz w:val="32"/>
          <w:szCs w:val="32"/>
        </w:rPr>
      </w:pPr>
      <w:r>
        <w:rPr>
          <w:rFonts w:hint="eastAsia" w:ascii="宋体" w:hAnsi="宋体"/>
          <w:b/>
          <w:spacing w:val="-100"/>
          <w:sz w:val="84"/>
          <w:szCs w:val="84"/>
        </w:rPr>
        <w:t>建 设 工 程 施 工 合 同</w:t>
      </w:r>
    </w:p>
    <w:p w14:paraId="2070D0E8">
      <w:pPr>
        <w:spacing w:line="360" w:lineRule="auto"/>
        <w:jc w:val="center"/>
        <w:rPr>
          <w:rFonts w:hint="eastAsia" w:ascii="宋体" w:hAnsi="宋体"/>
          <w:b/>
          <w:sz w:val="32"/>
          <w:szCs w:val="32"/>
        </w:rPr>
      </w:pPr>
    </w:p>
    <w:p w14:paraId="683F70F4">
      <w:pPr>
        <w:pStyle w:val="72"/>
        <w:rPr>
          <w:rFonts w:hint="eastAsia"/>
        </w:rPr>
      </w:pPr>
    </w:p>
    <w:p w14:paraId="1022DA75">
      <w:pPr>
        <w:pStyle w:val="72"/>
        <w:rPr>
          <w:rFonts w:hint="eastAsia"/>
        </w:rPr>
      </w:pPr>
    </w:p>
    <w:p w14:paraId="4CF8A7A3">
      <w:pPr>
        <w:pStyle w:val="72"/>
        <w:rPr>
          <w:rFonts w:hint="eastAsia"/>
        </w:rPr>
      </w:pPr>
    </w:p>
    <w:p w14:paraId="13CA9A9C">
      <w:pPr>
        <w:pStyle w:val="72"/>
        <w:rPr>
          <w:rFonts w:hint="eastAsia"/>
        </w:rPr>
      </w:pPr>
    </w:p>
    <w:p w14:paraId="536B762F">
      <w:pPr>
        <w:pStyle w:val="72"/>
        <w:rPr>
          <w:rFonts w:hint="eastAsia"/>
        </w:rPr>
      </w:pPr>
    </w:p>
    <w:p w14:paraId="7276E03C">
      <w:pPr>
        <w:pStyle w:val="72"/>
        <w:rPr>
          <w:rFonts w:hint="eastAsia"/>
        </w:rPr>
      </w:pPr>
    </w:p>
    <w:p w14:paraId="7A48B8AF">
      <w:pPr>
        <w:pStyle w:val="72"/>
        <w:rPr>
          <w:rFonts w:hint="eastAsia"/>
        </w:rPr>
      </w:pPr>
    </w:p>
    <w:p w14:paraId="525DD759">
      <w:pPr>
        <w:pStyle w:val="72"/>
        <w:rPr>
          <w:rFonts w:hint="eastAsia"/>
        </w:rPr>
      </w:pPr>
    </w:p>
    <w:p w14:paraId="6E742662">
      <w:pPr>
        <w:pStyle w:val="72"/>
        <w:rPr>
          <w:rFonts w:hint="eastAsia"/>
        </w:rPr>
      </w:pPr>
    </w:p>
    <w:p w14:paraId="66238474">
      <w:pPr>
        <w:pStyle w:val="72"/>
        <w:rPr>
          <w:rFonts w:hint="eastAsia"/>
        </w:rPr>
      </w:pPr>
    </w:p>
    <w:p w14:paraId="6C6EB834">
      <w:pPr>
        <w:pStyle w:val="72"/>
        <w:rPr>
          <w:rFonts w:hint="eastAsia"/>
        </w:rPr>
      </w:pPr>
    </w:p>
    <w:p w14:paraId="6EE01595">
      <w:pPr>
        <w:pStyle w:val="72"/>
        <w:rPr>
          <w:rFonts w:hint="eastAsia"/>
        </w:rPr>
      </w:pPr>
    </w:p>
    <w:p w14:paraId="4A001CAC">
      <w:pPr>
        <w:pStyle w:val="72"/>
        <w:rPr>
          <w:rFonts w:hint="eastAsia"/>
        </w:rPr>
      </w:pPr>
    </w:p>
    <w:p w14:paraId="493B380B">
      <w:pPr>
        <w:pStyle w:val="72"/>
        <w:rPr>
          <w:rFonts w:hint="eastAsia"/>
        </w:rPr>
      </w:pPr>
    </w:p>
    <w:p w14:paraId="02D0E81D">
      <w:pPr>
        <w:numPr>
          <w:ilvl w:val="0"/>
          <w:numId w:val="0"/>
        </w:numPr>
        <w:spacing w:line="360" w:lineRule="auto"/>
        <w:ind w:leftChars="0"/>
        <w:jc w:val="both"/>
        <w:rPr>
          <w:rFonts w:hint="eastAsia" w:ascii="宋体" w:hAnsi="宋体"/>
          <w:b/>
          <w:sz w:val="32"/>
          <w:szCs w:val="32"/>
        </w:rPr>
      </w:pPr>
    </w:p>
    <w:p w14:paraId="2533BA59">
      <w:pPr>
        <w:numPr>
          <w:ilvl w:val="0"/>
          <w:numId w:val="0"/>
        </w:numPr>
        <w:spacing w:line="360" w:lineRule="auto"/>
        <w:ind w:leftChars="0"/>
        <w:jc w:val="both"/>
        <w:rPr>
          <w:rFonts w:hint="eastAsia" w:ascii="宋体" w:hAnsi="宋体"/>
          <w:b/>
          <w:sz w:val="32"/>
          <w:szCs w:val="32"/>
        </w:rPr>
      </w:pPr>
    </w:p>
    <w:p w14:paraId="5A5A6331">
      <w:pPr>
        <w:numPr>
          <w:ilvl w:val="0"/>
          <w:numId w:val="0"/>
        </w:numPr>
        <w:spacing w:line="360" w:lineRule="auto"/>
        <w:ind w:leftChars="0"/>
        <w:jc w:val="both"/>
        <w:rPr>
          <w:rFonts w:hint="eastAsia" w:ascii="宋体" w:hAnsi="宋体"/>
          <w:b/>
          <w:sz w:val="32"/>
          <w:szCs w:val="32"/>
        </w:rPr>
      </w:pPr>
    </w:p>
    <w:p w14:paraId="0C911AB9">
      <w:pPr>
        <w:numPr>
          <w:ilvl w:val="0"/>
          <w:numId w:val="0"/>
        </w:numPr>
        <w:spacing w:line="360" w:lineRule="auto"/>
        <w:ind w:leftChars="0"/>
        <w:rPr>
          <w:rFonts w:hint="eastAsia" w:ascii="黑体" w:hAnsi="宋体" w:eastAsia="宋体"/>
          <w:b/>
          <w:sz w:val="32"/>
          <w:szCs w:val="32"/>
          <w:u w:val="single"/>
          <w:lang w:eastAsia="zh-CN"/>
        </w:rPr>
      </w:pPr>
      <w:r>
        <w:rPr>
          <w:rFonts w:hint="eastAsia" w:ascii="宋体" w:hAnsi="宋体"/>
          <w:b/>
          <w:sz w:val="32"/>
          <w:szCs w:val="32"/>
        </w:rPr>
        <w:t xml:space="preserve"> </w:t>
      </w:r>
      <w:r>
        <w:rPr>
          <w:rFonts w:hint="eastAsia" w:ascii="宋体" w:hAnsi="宋体"/>
          <w:b/>
          <w:sz w:val="32"/>
          <w:szCs w:val="32"/>
          <w:lang w:val="en-US" w:eastAsia="zh-CN"/>
        </w:rPr>
        <w:t xml:space="preserve"> </w:t>
      </w:r>
      <w:r>
        <w:rPr>
          <w:rFonts w:hint="eastAsia" w:ascii="宋体" w:hAnsi="宋体"/>
          <w:b/>
          <w:sz w:val="32"/>
          <w:szCs w:val="32"/>
        </w:rPr>
        <w:t>工程名称</w:t>
      </w:r>
      <w:r>
        <w:rPr>
          <w:rFonts w:hint="eastAsia" w:ascii="宋体" w:hAnsi="宋体"/>
          <w:b/>
          <w:sz w:val="28"/>
          <w:szCs w:val="28"/>
        </w:rPr>
        <w:t>：</w:t>
      </w:r>
      <w:r>
        <w:rPr>
          <w:rFonts w:hint="eastAsia" w:ascii="宋体" w:hAnsi="宋体"/>
          <w:b/>
          <w:sz w:val="28"/>
          <w:szCs w:val="28"/>
          <w:u w:val="single"/>
        </w:rPr>
        <w:t xml:space="preserve"> </w:t>
      </w:r>
      <w:r>
        <w:rPr>
          <w:rFonts w:hint="eastAsia" w:ascii="黑体" w:hAnsi="宋体" w:eastAsia="黑体"/>
          <w:b/>
          <w:sz w:val="32"/>
          <w:szCs w:val="32"/>
          <w:u w:val="single"/>
          <w:lang w:eastAsia="zh-CN"/>
        </w:rPr>
        <w:t>宁海县一市镇中心学校塑胶跑道等维修工程</w:t>
      </w:r>
    </w:p>
    <w:p w14:paraId="11FBDF59">
      <w:pPr>
        <w:spacing w:line="360" w:lineRule="auto"/>
        <w:ind w:left="321" w:hanging="321" w:hangingChars="100"/>
        <w:rPr>
          <w:rFonts w:hint="eastAsia" w:ascii="宋体" w:hAnsi="宋体"/>
          <w:b/>
          <w:sz w:val="32"/>
          <w:szCs w:val="32"/>
        </w:rPr>
      </w:pPr>
      <w:r>
        <w:rPr>
          <w:rFonts w:hint="eastAsia" w:ascii="宋体" w:hAnsi="宋体"/>
          <w:b/>
          <w:sz w:val="32"/>
          <w:szCs w:val="32"/>
        </w:rPr>
        <w:t xml:space="preserve"> </w:t>
      </w:r>
      <w:r>
        <w:rPr>
          <w:rFonts w:hint="eastAsia" w:ascii="宋体" w:hAnsi="宋体"/>
          <w:b/>
          <w:sz w:val="32"/>
          <w:szCs w:val="32"/>
          <w:lang w:val="en-US" w:eastAsia="zh-CN"/>
        </w:rPr>
        <w:t xml:space="preserve"> </w:t>
      </w:r>
      <w:r>
        <w:rPr>
          <w:rFonts w:ascii="宋体" w:hAnsi="宋体"/>
          <w:b/>
          <w:sz w:val="32"/>
          <w:szCs w:val="32"/>
        </w:rPr>
        <w:t>发</w:t>
      </w:r>
      <w:r>
        <w:rPr>
          <w:rFonts w:hint="eastAsia" w:ascii="宋体" w:hAnsi="宋体"/>
          <w:b/>
          <w:sz w:val="32"/>
          <w:szCs w:val="32"/>
        </w:rPr>
        <w:t xml:space="preserve"> </w:t>
      </w:r>
      <w:r>
        <w:rPr>
          <w:rFonts w:ascii="宋体" w:hAnsi="宋体"/>
          <w:b/>
          <w:sz w:val="32"/>
          <w:szCs w:val="32"/>
        </w:rPr>
        <w:t>包</w:t>
      </w:r>
      <w:r>
        <w:rPr>
          <w:rFonts w:hint="eastAsia" w:ascii="宋体" w:hAnsi="宋体"/>
          <w:b/>
          <w:sz w:val="32"/>
          <w:szCs w:val="32"/>
        </w:rPr>
        <w:t xml:space="preserve"> </w:t>
      </w:r>
      <w:r>
        <w:rPr>
          <w:rFonts w:ascii="宋体" w:hAnsi="宋体"/>
          <w:b/>
          <w:sz w:val="32"/>
          <w:szCs w:val="32"/>
        </w:rPr>
        <w:t>人：</w:t>
      </w:r>
      <w:r>
        <w:rPr>
          <w:rFonts w:hint="eastAsia" w:ascii="黑体" w:hAnsi="宋体" w:eastAsia="黑体"/>
          <w:b/>
          <w:sz w:val="32"/>
          <w:szCs w:val="32"/>
          <w:u w:val="single"/>
          <w:lang w:eastAsia="zh-CN"/>
        </w:rPr>
        <w:t>宁海县一市镇中心学校</w:t>
      </w:r>
      <w:r>
        <w:rPr>
          <w:rFonts w:hint="eastAsia" w:ascii="黑体" w:hAnsi="宋体" w:eastAsia="黑体"/>
          <w:b/>
          <w:sz w:val="32"/>
          <w:szCs w:val="32"/>
          <w:u w:val="single"/>
        </w:rPr>
        <w:t xml:space="preserve">                      </w:t>
      </w:r>
      <w:r>
        <w:rPr>
          <w:rFonts w:hint="eastAsia" w:ascii="宋体" w:hAnsi="宋体"/>
          <w:b/>
          <w:sz w:val="32"/>
          <w:szCs w:val="32"/>
        </w:rPr>
        <w:t xml:space="preserve"> </w:t>
      </w:r>
    </w:p>
    <w:p w14:paraId="56D014CC">
      <w:pPr>
        <w:spacing w:line="360" w:lineRule="auto"/>
        <w:ind w:left="319" w:leftChars="152" w:firstLine="0" w:firstLineChars="0"/>
        <w:rPr>
          <w:rFonts w:ascii="宋体" w:hAnsi="宋体"/>
          <w:b/>
          <w:sz w:val="32"/>
          <w:szCs w:val="32"/>
        </w:rPr>
      </w:pPr>
      <w:r>
        <w:rPr>
          <w:rFonts w:ascii="宋体" w:hAnsi="宋体"/>
          <w:b/>
          <w:sz w:val="32"/>
          <w:szCs w:val="32"/>
        </w:rPr>
        <w:t>承</w:t>
      </w:r>
      <w:r>
        <w:rPr>
          <w:rFonts w:hint="eastAsia" w:ascii="宋体" w:hAnsi="宋体"/>
          <w:b/>
          <w:sz w:val="32"/>
          <w:szCs w:val="32"/>
        </w:rPr>
        <w:t xml:space="preserve"> </w:t>
      </w:r>
      <w:r>
        <w:rPr>
          <w:rFonts w:ascii="宋体" w:hAnsi="宋体"/>
          <w:b/>
          <w:sz w:val="32"/>
          <w:szCs w:val="32"/>
        </w:rPr>
        <w:t>包</w:t>
      </w:r>
      <w:r>
        <w:rPr>
          <w:rFonts w:hint="eastAsia" w:ascii="宋体" w:hAnsi="宋体"/>
          <w:b/>
          <w:sz w:val="32"/>
          <w:szCs w:val="32"/>
        </w:rPr>
        <w:t xml:space="preserve"> </w:t>
      </w:r>
      <w:r>
        <w:rPr>
          <w:rFonts w:ascii="宋体" w:hAnsi="宋体"/>
          <w:b/>
          <w:sz w:val="32"/>
          <w:szCs w:val="32"/>
        </w:rPr>
        <w:t>人：</w:t>
      </w:r>
      <w:r>
        <w:rPr>
          <w:rFonts w:hint="eastAsia" w:ascii="黑体" w:hAnsi="宋体" w:eastAsia="黑体"/>
          <w:b/>
          <w:sz w:val="32"/>
          <w:szCs w:val="32"/>
          <w:u w:val="single"/>
        </w:rPr>
        <w:t xml:space="preserve">                                          </w:t>
      </w:r>
    </w:p>
    <w:p w14:paraId="53FC899D">
      <w:pPr>
        <w:pStyle w:val="3"/>
        <w:numPr>
          <w:ilvl w:val="0"/>
          <w:numId w:val="2"/>
        </w:numPr>
        <w:jc w:val="center"/>
        <w:rPr>
          <w:rFonts w:ascii="黑体" w:hAnsi="华文中宋"/>
        </w:rPr>
        <w:sectPr>
          <w:headerReference r:id="rId3" w:type="default"/>
          <w:footerReference r:id="rId4" w:type="default"/>
          <w:pgSz w:w="11906" w:h="16838"/>
          <w:pgMar w:top="1440" w:right="1440" w:bottom="1440" w:left="1440" w:header="851" w:footer="992" w:gutter="0"/>
          <w:cols w:space="720" w:num="1"/>
          <w:titlePg/>
          <w:docGrid w:linePitch="312" w:charSpace="0"/>
        </w:sectPr>
      </w:pPr>
    </w:p>
    <w:p w14:paraId="3DC5C700">
      <w:pPr>
        <w:pStyle w:val="4"/>
        <w:keepNext w:val="0"/>
        <w:keepLines w:val="0"/>
        <w:numPr>
          <w:ilvl w:val="2"/>
          <w:numId w:val="0"/>
        </w:numPr>
        <w:ind w:left="180" w:leftChars="0"/>
        <w:jc w:val="center"/>
        <w:rPr>
          <w:rFonts w:ascii="黑体" w:eastAsia="黑体"/>
          <w:b w:val="0"/>
          <w:color w:val="000000"/>
        </w:rPr>
      </w:pPr>
      <w:r>
        <w:rPr>
          <w:rFonts w:ascii="黑体" w:hAnsi="华文中宋" w:eastAsia="黑体"/>
          <w:color w:val="000000"/>
        </w:rPr>
        <w:t>第一部分 合同协议书</w:t>
      </w:r>
    </w:p>
    <w:p w14:paraId="6E6D4BA8">
      <w:pPr>
        <w:keepNext w:val="0"/>
        <w:keepLines w:val="0"/>
        <w:pageBreakBefore w:val="0"/>
        <w:widowControl w:val="0"/>
        <w:kinsoku/>
        <w:wordWrap/>
        <w:overflowPunct/>
        <w:topLinePunct w:val="0"/>
        <w:bidi w:val="0"/>
        <w:adjustRightInd w:val="0"/>
        <w:snapToGrid/>
        <w:spacing w:line="440" w:lineRule="exact"/>
        <w:ind w:left="420" w:leftChars="200" w:right="420" w:rightChars="200"/>
        <w:textAlignment w:val="auto"/>
        <w:rPr>
          <w:rFonts w:hint="eastAsia" w:asciiTheme="majorEastAsia" w:hAnsiTheme="majorEastAsia" w:eastAsiaTheme="majorEastAsia" w:cstheme="majorEastAsia"/>
          <w:color w:val="000000"/>
          <w:sz w:val="21"/>
          <w:szCs w:val="21"/>
          <w:u w:val="single"/>
          <w:lang w:eastAsia="zh-CN"/>
        </w:rPr>
      </w:pPr>
      <w:r>
        <w:rPr>
          <w:rFonts w:hint="eastAsia" w:asciiTheme="majorEastAsia" w:hAnsiTheme="majorEastAsia" w:eastAsiaTheme="majorEastAsia" w:cstheme="majorEastAsia"/>
          <w:color w:val="000000"/>
          <w:sz w:val="21"/>
          <w:szCs w:val="21"/>
        </w:rPr>
        <w:t>发包人（全称）：</w:t>
      </w:r>
      <w:r>
        <w:rPr>
          <w:rFonts w:hint="eastAsia" w:asciiTheme="majorEastAsia" w:hAnsiTheme="majorEastAsia" w:eastAsiaTheme="majorEastAsia" w:cstheme="majorEastAsia"/>
          <w:color w:val="000000"/>
          <w:sz w:val="21"/>
          <w:szCs w:val="21"/>
          <w:u w:val="single"/>
          <w:lang w:eastAsia="zh-CN"/>
        </w:rPr>
        <w:t>宁海县一市镇中心学校</w:t>
      </w:r>
    </w:p>
    <w:p w14:paraId="2C8170BE">
      <w:pPr>
        <w:keepNext w:val="0"/>
        <w:keepLines w:val="0"/>
        <w:pageBreakBefore w:val="0"/>
        <w:widowControl w:val="0"/>
        <w:kinsoku/>
        <w:wordWrap/>
        <w:overflowPunct/>
        <w:topLinePunct w:val="0"/>
        <w:bidi w:val="0"/>
        <w:adjustRightInd w:val="0"/>
        <w:snapToGrid/>
        <w:spacing w:line="440" w:lineRule="exact"/>
        <w:ind w:left="420" w:leftChars="200" w:right="420" w:rightChars="200"/>
        <w:textAlignment w:val="auto"/>
        <w:rPr>
          <w:rFonts w:hint="eastAsia" w:asciiTheme="majorEastAsia" w:hAnsiTheme="majorEastAsia" w:eastAsiaTheme="majorEastAsia" w:cstheme="majorEastAsia"/>
          <w:color w:val="000000"/>
          <w:sz w:val="21"/>
          <w:szCs w:val="21"/>
          <w:u w:val="single"/>
        </w:rPr>
      </w:pPr>
      <w:r>
        <w:rPr>
          <w:rFonts w:hint="eastAsia" w:asciiTheme="majorEastAsia" w:hAnsiTheme="majorEastAsia" w:eastAsiaTheme="majorEastAsia" w:cstheme="majorEastAsia"/>
          <w:color w:val="000000"/>
          <w:sz w:val="21"/>
          <w:szCs w:val="21"/>
        </w:rPr>
        <w:t>承包人（全称）：</w:t>
      </w:r>
      <w:r>
        <w:rPr>
          <w:rFonts w:hint="eastAsia" w:asciiTheme="majorEastAsia" w:hAnsiTheme="majorEastAsia" w:eastAsiaTheme="majorEastAsia" w:cstheme="majorEastAsia"/>
          <w:color w:val="000000"/>
          <w:sz w:val="21"/>
          <w:szCs w:val="21"/>
          <w:u w:val="single"/>
        </w:rPr>
        <w:t xml:space="preserve">                       </w:t>
      </w:r>
    </w:p>
    <w:p w14:paraId="1A1D8B57">
      <w:pPr>
        <w:keepNext w:val="0"/>
        <w:keepLines w:val="0"/>
        <w:pageBreakBefore w:val="0"/>
        <w:widowControl w:val="0"/>
        <w:kinsoku/>
        <w:wordWrap/>
        <w:overflowPunct/>
        <w:topLinePunct w:val="0"/>
        <w:bidi w:val="0"/>
        <w:adjustRightInd w:val="0"/>
        <w:snapToGrid/>
        <w:spacing w:line="440" w:lineRule="exact"/>
        <w:ind w:left="420" w:leftChars="200" w:right="420" w:rightChars="200" w:firstLine="420" w:firstLineChars="200"/>
        <w:textAlignment w:val="auto"/>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根据《中华人民共和国民法典》、《中华人民共和国建筑法》及有关法律规定，遵循平等、自愿、公平和诚实信用的原则，双方就</w:t>
      </w:r>
      <w:r>
        <w:rPr>
          <w:rFonts w:hint="eastAsia" w:asciiTheme="majorEastAsia" w:hAnsiTheme="majorEastAsia" w:eastAsiaTheme="majorEastAsia" w:cstheme="majorEastAsia"/>
          <w:color w:val="000000"/>
          <w:sz w:val="21"/>
          <w:szCs w:val="21"/>
          <w:u w:val="single"/>
          <w:lang w:eastAsia="zh-CN"/>
        </w:rPr>
        <w:t>宁海县一市镇中心学校塑胶跑道等维修工程</w:t>
      </w:r>
      <w:r>
        <w:rPr>
          <w:rFonts w:hint="eastAsia" w:asciiTheme="majorEastAsia" w:hAnsiTheme="majorEastAsia" w:eastAsiaTheme="majorEastAsia" w:cstheme="majorEastAsia"/>
          <w:color w:val="000000"/>
          <w:sz w:val="21"/>
          <w:szCs w:val="21"/>
        </w:rPr>
        <w:t>施工及有关事项协商一致，共同达成如下协议：</w:t>
      </w:r>
    </w:p>
    <w:p w14:paraId="6A2BD1D0">
      <w:pPr>
        <w:keepNext w:val="0"/>
        <w:keepLines w:val="0"/>
        <w:pageBreakBefore w:val="0"/>
        <w:widowControl w:val="0"/>
        <w:kinsoku/>
        <w:wordWrap/>
        <w:overflowPunct/>
        <w:topLinePunct w:val="0"/>
        <w:bidi w:val="0"/>
        <w:adjustRightInd w:val="0"/>
        <w:snapToGrid/>
        <w:spacing w:line="440" w:lineRule="exact"/>
        <w:ind w:left="420" w:leftChars="200" w:right="420" w:rightChars="200" w:firstLine="420" w:firstLineChars="200"/>
        <w:textAlignment w:val="auto"/>
        <w:rPr>
          <w:rFonts w:hint="eastAsia" w:asciiTheme="majorEastAsia" w:hAnsiTheme="majorEastAsia" w:eastAsiaTheme="majorEastAsia" w:cstheme="majorEastAsia"/>
          <w:bCs w:val="0"/>
          <w:color w:val="000000"/>
          <w:sz w:val="21"/>
          <w:szCs w:val="21"/>
        </w:rPr>
      </w:pPr>
      <w:r>
        <w:rPr>
          <w:rFonts w:hint="eastAsia" w:asciiTheme="majorEastAsia" w:hAnsiTheme="majorEastAsia" w:eastAsiaTheme="majorEastAsia" w:cstheme="majorEastAsia"/>
          <w:bCs w:val="0"/>
          <w:color w:val="000000"/>
          <w:sz w:val="21"/>
          <w:szCs w:val="21"/>
        </w:rPr>
        <w:t xml:space="preserve">  </w:t>
      </w:r>
      <w:bookmarkStart w:id="435" w:name="_Toc386638593"/>
      <w:r>
        <w:rPr>
          <w:rFonts w:hint="eastAsia" w:asciiTheme="majorEastAsia" w:hAnsiTheme="majorEastAsia" w:eastAsiaTheme="majorEastAsia" w:cstheme="majorEastAsia"/>
          <w:b w:val="0"/>
          <w:color w:val="000000"/>
          <w:sz w:val="21"/>
          <w:szCs w:val="21"/>
        </w:rPr>
        <w:t>一、工程概况</w:t>
      </w:r>
      <w:bookmarkEnd w:id="435"/>
    </w:p>
    <w:p w14:paraId="1DE809B8">
      <w:pPr>
        <w:keepNext w:val="0"/>
        <w:keepLines w:val="0"/>
        <w:pageBreakBefore w:val="0"/>
        <w:widowControl w:val="0"/>
        <w:kinsoku/>
        <w:wordWrap/>
        <w:overflowPunct/>
        <w:topLinePunct w:val="0"/>
        <w:bidi w:val="0"/>
        <w:adjustRightInd w:val="0"/>
        <w:snapToGrid/>
        <w:spacing w:line="440" w:lineRule="exact"/>
        <w:ind w:left="420" w:leftChars="200" w:right="420" w:rightChars="200" w:firstLine="420" w:firstLineChars="200"/>
        <w:textAlignment w:val="auto"/>
        <w:rPr>
          <w:rFonts w:hint="eastAsia" w:asciiTheme="majorEastAsia" w:hAnsiTheme="majorEastAsia" w:eastAsiaTheme="majorEastAsia" w:cstheme="majorEastAsia"/>
          <w:color w:val="000000"/>
          <w:sz w:val="21"/>
          <w:szCs w:val="21"/>
          <w:u w:val="single"/>
        </w:rPr>
      </w:pPr>
      <w:r>
        <w:rPr>
          <w:rFonts w:hint="eastAsia" w:asciiTheme="majorEastAsia" w:hAnsiTheme="majorEastAsia" w:eastAsiaTheme="majorEastAsia" w:cstheme="majorEastAsia"/>
          <w:bCs/>
          <w:color w:val="000000"/>
          <w:sz w:val="21"/>
          <w:szCs w:val="21"/>
        </w:rPr>
        <w:t>1.工程名称</w:t>
      </w:r>
      <w:r>
        <w:rPr>
          <w:rFonts w:hint="eastAsia" w:asciiTheme="majorEastAsia" w:hAnsiTheme="majorEastAsia" w:eastAsiaTheme="majorEastAsia" w:cstheme="majorEastAsia"/>
          <w:color w:val="000000"/>
          <w:sz w:val="21"/>
          <w:szCs w:val="21"/>
        </w:rPr>
        <w:t>：</w:t>
      </w:r>
      <w:r>
        <w:rPr>
          <w:rFonts w:hint="eastAsia" w:asciiTheme="majorEastAsia" w:hAnsiTheme="majorEastAsia" w:eastAsiaTheme="majorEastAsia" w:cstheme="majorEastAsia"/>
          <w:color w:val="000000"/>
          <w:sz w:val="21"/>
          <w:szCs w:val="21"/>
          <w:u w:val="single"/>
        </w:rPr>
        <w:t xml:space="preserve"> </w:t>
      </w:r>
      <w:r>
        <w:rPr>
          <w:rFonts w:hint="eastAsia" w:asciiTheme="majorEastAsia" w:hAnsiTheme="majorEastAsia" w:eastAsiaTheme="majorEastAsia" w:cstheme="majorEastAsia"/>
          <w:color w:val="000000"/>
          <w:sz w:val="21"/>
          <w:szCs w:val="21"/>
          <w:u w:val="single"/>
          <w:lang w:eastAsia="zh-CN"/>
        </w:rPr>
        <w:t>宁海县一市镇中心学校塑胶跑道等维修工程</w:t>
      </w:r>
      <w:r>
        <w:rPr>
          <w:rFonts w:hint="eastAsia" w:asciiTheme="majorEastAsia" w:hAnsiTheme="majorEastAsia" w:eastAsiaTheme="majorEastAsia" w:cstheme="majorEastAsia"/>
          <w:color w:val="000000"/>
          <w:sz w:val="21"/>
          <w:szCs w:val="21"/>
          <w:u w:val="single"/>
        </w:rPr>
        <w:t xml:space="preserve">  </w:t>
      </w:r>
    </w:p>
    <w:p w14:paraId="4B1BF3D5">
      <w:pPr>
        <w:keepNext w:val="0"/>
        <w:keepLines w:val="0"/>
        <w:pageBreakBefore w:val="0"/>
        <w:widowControl w:val="0"/>
        <w:kinsoku/>
        <w:wordWrap/>
        <w:overflowPunct/>
        <w:topLinePunct w:val="0"/>
        <w:bidi w:val="0"/>
        <w:adjustRightInd w:val="0"/>
        <w:snapToGrid/>
        <w:spacing w:line="440" w:lineRule="exact"/>
        <w:ind w:left="420" w:leftChars="200" w:right="420" w:rightChars="200" w:firstLine="411" w:firstLineChars="196"/>
        <w:textAlignment w:val="auto"/>
        <w:rPr>
          <w:rFonts w:hint="eastAsia" w:asciiTheme="majorEastAsia" w:hAnsiTheme="majorEastAsia" w:eastAsiaTheme="majorEastAsia" w:cstheme="majorEastAsia"/>
          <w:bCs/>
          <w:color w:val="000000"/>
          <w:sz w:val="21"/>
          <w:szCs w:val="21"/>
        </w:rPr>
      </w:pPr>
      <w:r>
        <w:rPr>
          <w:rFonts w:hint="eastAsia" w:asciiTheme="majorEastAsia" w:hAnsiTheme="majorEastAsia" w:eastAsiaTheme="majorEastAsia" w:cstheme="majorEastAsia"/>
          <w:bCs/>
          <w:color w:val="000000"/>
          <w:sz w:val="21"/>
          <w:szCs w:val="21"/>
        </w:rPr>
        <w:t>2.工程地点：</w:t>
      </w:r>
      <w:r>
        <w:rPr>
          <w:rFonts w:hint="eastAsia" w:asciiTheme="majorEastAsia" w:hAnsiTheme="majorEastAsia" w:eastAsiaTheme="majorEastAsia" w:cstheme="majorEastAsia"/>
          <w:color w:val="000000"/>
          <w:sz w:val="21"/>
          <w:szCs w:val="21"/>
          <w:u w:val="single"/>
        </w:rPr>
        <w:t>本项目位</w:t>
      </w:r>
      <w:r>
        <w:rPr>
          <w:rFonts w:hint="eastAsia" w:asciiTheme="majorEastAsia" w:hAnsiTheme="majorEastAsia" w:eastAsiaTheme="majorEastAsia" w:cstheme="majorEastAsia"/>
          <w:color w:val="000000"/>
          <w:sz w:val="21"/>
          <w:szCs w:val="21"/>
          <w:u w:val="single"/>
          <w:lang w:eastAsia="zh-CN"/>
        </w:rPr>
        <w:t>宁海县一市镇中心学校</w:t>
      </w:r>
      <w:r>
        <w:rPr>
          <w:rFonts w:hint="eastAsia" w:asciiTheme="majorEastAsia" w:hAnsiTheme="majorEastAsia" w:eastAsiaTheme="majorEastAsia" w:cstheme="majorEastAsia"/>
          <w:color w:val="000000"/>
          <w:sz w:val="21"/>
          <w:szCs w:val="21"/>
          <w:u w:val="single"/>
        </w:rPr>
        <w:t xml:space="preserve">  </w:t>
      </w:r>
    </w:p>
    <w:p w14:paraId="4CEABC80">
      <w:pPr>
        <w:keepNext w:val="0"/>
        <w:keepLines w:val="0"/>
        <w:pageBreakBefore w:val="0"/>
        <w:widowControl w:val="0"/>
        <w:kinsoku/>
        <w:wordWrap/>
        <w:overflowPunct/>
        <w:topLinePunct w:val="0"/>
        <w:bidi w:val="0"/>
        <w:adjustRightInd w:val="0"/>
        <w:snapToGrid/>
        <w:spacing w:line="440" w:lineRule="exact"/>
        <w:ind w:left="420" w:leftChars="200" w:right="420" w:rightChars="200" w:firstLine="411" w:firstLineChars="196"/>
        <w:textAlignment w:val="auto"/>
        <w:rPr>
          <w:rFonts w:hint="eastAsia" w:asciiTheme="majorEastAsia" w:hAnsiTheme="majorEastAsia" w:eastAsiaTheme="majorEastAsia" w:cstheme="majorEastAsia"/>
          <w:bCs/>
          <w:color w:val="000000"/>
          <w:sz w:val="21"/>
          <w:szCs w:val="21"/>
        </w:rPr>
      </w:pPr>
      <w:r>
        <w:rPr>
          <w:rFonts w:hint="eastAsia" w:asciiTheme="majorEastAsia" w:hAnsiTheme="majorEastAsia" w:eastAsiaTheme="majorEastAsia" w:cstheme="majorEastAsia"/>
          <w:bCs/>
          <w:color w:val="000000"/>
          <w:sz w:val="21"/>
          <w:szCs w:val="21"/>
        </w:rPr>
        <w:t>3.工程立项批准文号：</w:t>
      </w:r>
      <w:r>
        <w:rPr>
          <w:rFonts w:hint="eastAsia" w:asciiTheme="majorEastAsia" w:hAnsiTheme="majorEastAsia" w:eastAsiaTheme="majorEastAsia" w:cstheme="majorEastAsia"/>
          <w:color w:val="000000"/>
          <w:sz w:val="21"/>
          <w:szCs w:val="21"/>
          <w:u w:val="single"/>
        </w:rPr>
        <w:t xml:space="preserve">   </w:t>
      </w:r>
      <w:r>
        <w:rPr>
          <w:rFonts w:hint="eastAsia" w:asciiTheme="majorEastAsia" w:hAnsiTheme="majorEastAsia" w:eastAsiaTheme="majorEastAsia" w:cstheme="majorEastAsia"/>
          <w:color w:val="000000"/>
          <w:sz w:val="21"/>
          <w:szCs w:val="21"/>
          <w:u w:val="single"/>
          <w:lang w:val="en-US" w:eastAsia="zh-CN"/>
        </w:rPr>
        <w:t>/</w:t>
      </w:r>
      <w:r>
        <w:rPr>
          <w:rFonts w:hint="eastAsia" w:asciiTheme="majorEastAsia" w:hAnsiTheme="majorEastAsia" w:eastAsiaTheme="majorEastAsia" w:cstheme="majorEastAsia"/>
          <w:color w:val="000000"/>
          <w:sz w:val="21"/>
          <w:szCs w:val="21"/>
          <w:u w:val="single"/>
        </w:rPr>
        <w:t xml:space="preserve">   </w:t>
      </w:r>
    </w:p>
    <w:p w14:paraId="7DA68BCD">
      <w:pPr>
        <w:keepNext w:val="0"/>
        <w:keepLines w:val="0"/>
        <w:pageBreakBefore w:val="0"/>
        <w:widowControl w:val="0"/>
        <w:kinsoku/>
        <w:wordWrap/>
        <w:overflowPunct/>
        <w:topLinePunct w:val="0"/>
        <w:bidi w:val="0"/>
        <w:adjustRightInd w:val="0"/>
        <w:snapToGrid/>
        <w:spacing w:line="440" w:lineRule="exact"/>
        <w:ind w:left="420" w:leftChars="200" w:right="420" w:rightChars="200" w:firstLine="411" w:firstLineChars="196"/>
        <w:textAlignment w:val="auto"/>
        <w:rPr>
          <w:rFonts w:hint="eastAsia" w:asciiTheme="majorEastAsia" w:hAnsiTheme="majorEastAsia" w:eastAsiaTheme="majorEastAsia" w:cstheme="majorEastAsia"/>
          <w:bCs/>
          <w:color w:val="000000"/>
          <w:sz w:val="21"/>
          <w:szCs w:val="21"/>
        </w:rPr>
      </w:pPr>
      <w:r>
        <w:rPr>
          <w:rFonts w:hint="eastAsia" w:asciiTheme="majorEastAsia" w:hAnsiTheme="majorEastAsia" w:eastAsiaTheme="majorEastAsia" w:cstheme="majorEastAsia"/>
          <w:bCs/>
          <w:color w:val="000000"/>
          <w:sz w:val="21"/>
          <w:szCs w:val="21"/>
        </w:rPr>
        <w:t>4.资金来源：</w:t>
      </w:r>
      <w:r>
        <w:rPr>
          <w:rFonts w:hint="eastAsia" w:asciiTheme="majorEastAsia" w:hAnsiTheme="majorEastAsia" w:eastAsiaTheme="majorEastAsia" w:cstheme="majorEastAsia"/>
          <w:color w:val="000000"/>
          <w:sz w:val="21"/>
          <w:szCs w:val="21"/>
          <w:u w:val="single"/>
        </w:rPr>
        <w:t></w:t>
      </w:r>
      <w:r>
        <w:rPr>
          <w:rFonts w:hint="eastAsia" w:asciiTheme="majorEastAsia" w:hAnsiTheme="majorEastAsia" w:eastAsiaTheme="majorEastAsia" w:cstheme="majorEastAsia"/>
          <w:color w:val="000000"/>
          <w:sz w:val="21"/>
          <w:szCs w:val="21"/>
          <w:u w:val="single"/>
          <w:lang w:val="en-US" w:eastAsia="zh-CN"/>
        </w:rPr>
        <w:t>财政拨款</w:t>
      </w:r>
      <w:r>
        <w:rPr>
          <w:rFonts w:hint="eastAsia" w:asciiTheme="majorEastAsia" w:hAnsiTheme="majorEastAsia" w:eastAsiaTheme="majorEastAsia" w:cstheme="majorEastAsia"/>
          <w:color w:val="000000"/>
          <w:sz w:val="21"/>
          <w:szCs w:val="21"/>
          <w:u w:val="single"/>
        </w:rPr>
        <w:t xml:space="preserve"> </w:t>
      </w:r>
    </w:p>
    <w:p w14:paraId="57DAD06E">
      <w:pPr>
        <w:pageBreakBefore w:val="0"/>
        <w:kinsoku/>
        <w:wordWrap/>
        <w:overflowPunct/>
        <w:topLinePunct w:val="0"/>
        <w:bidi w:val="0"/>
        <w:adjustRightInd w:val="0"/>
        <w:snapToGrid/>
        <w:spacing w:line="440" w:lineRule="exact"/>
        <w:ind w:left="420" w:leftChars="200" w:right="420" w:rightChars="200" w:firstLine="315" w:firstLineChars="150"/>
        <w:textAlignment w:val="auto"/>
        <w:rPr>
          <w:rFonts w:hint="eastAsia" w:asciiTheme="majorEastAsia" w:hAnsiTheme="majorEastAsia" w:eastAsiaTheme="majorEastAsia" w:cstheme="majorEastAsia"/>
          <w:color w:val="000000"/>
          <w:sz w:val="21"/>
          <w:szCs w:val="21"/>
          <w:u w:val="single"/>
          <w:lang w:val="en-US"/>
        </w:rPr>
      </w:pPr>
      <w:r>
        <w:rPr>
          <w:rFonts w:hint="eastAsia" w:asciiTheme="majorEastAsia" w:hAnsiTheme="majorEastAsia" w:eastAsiaTheme="majorEastAsia" w:cstheme="majorEastAsia"/>
          <w:bCs/>
          <w:color w:val="000000"/>
          <w:sz w:val="21"/>
          <w:szCs w:val="21"/>
        </w:rPr>
        <w:t>5.工程内容：</w:t>
      </w:r>
      <w:r>
        <w:rPr>
          <w:rFonts w:hint="eastAsia" w:asciiTheme="majorEastAsia" w:hAnsiTheme="majorEastAsia" w:eastAsiaTheme="majorEastAsia" w:cstheme="majorEastAsia"/>
          <w:color w:val="000000"/>
          <w:sz w:val="21"/>
          <w:szCs w:val="21"/>
          <w:u w:val="single"/>
          <w:lang w:val="en-US" w:eastAsia="zh-CN"/>
        </w:rPr>
        <w:t>拆除原有塑胶地面、重新铺设13mm厚透气型塑胶面层2706.76平方米、8-10mm厚EPDM塑胶面层1198.39平方米、更换排水沟盖板、清理排水沟等。</w:t>
      </w:r>
    </w:p>
    <w:p w14:paraId="05935E40">
      <w:pPr>
        <w:keepNext w:val="0"/>
        <w:keepLines w:val="0"/>
        <w:pageBreakBefore w:val="0"/>
        <w:widowControl w:val="0"/>
        <w:kinsoku/>
        <w:wordWrap/>
        <w:overflowPunct/>
        <w:topLinePunct w:val="0"/>
        <w:bidi w:val="0"/>
        <w:adjustRightInd w:val="0"/>
        <w:snapToGrid/>
        <w:spacing w:line="440" w:lineRule="exact"/>
        <w:ind w:left="420" w:leftChars="200" w:right="420" w:rightChars="200" w:firstLine="411" w:firstLineChars="196"/>
        <w:textAlignment w:val="auto"/>
        <w:rPr>
          <w:rFonts w:hint="eastAsia" w:asciiTheme="majorEastAsia" w:hAnsiTheme="majorEastAsia" w:eastAsiaTheme="majorEastAsia" w:cstheme="majorEastAsia"/>
          <w:bCs/>
          <w:color w:val="000000"/>
          <w:sz w:val="21"/>
          <w:szCs w:val="21"/>
        </w:rPr>
      </w:pPr>
      <w:r>
        <w:rPr>
          <w:rFonts w:hint="eastAsia" w:asciiTheme="majorEastAsia" w:hAnsiTheme="majorEastAsia" w:eastAsiaTheme="majorEastAsia" w:cstheme="majorEastAsia"/>
          <w:color w:val="000000"/>
          <w:sz w:val="21"/>
          <w:szCs w:val="21"/>
        </w:rPr>
        <w:t>群体工程应附《承包人承揽工程项目一览表》（附件1）。</w:t>
      </w:r>
    </w:p>
    <w:p w14:paraId="17AF5B50">
      <w:pPr>
        <w:pageBreakBefore w:val="0"/>
        <w:widowControl w:val="0"/>
        <w:tabs>
          <w:tab w:val="left" w:pos="900"/>
          <w:tab w:val="left" w:pos="9180"/>
          <w:tab w:val="left" w:pos="9360"/>
        </w:tabs>
        <w:kinsoku/>
        <w:wordWrap/>
        <w:overflowPunct/>
        <w:topLinePunct w:val="0"/>
        <w:autoSpaceDE/>
        <w:autoSpaceDN/>
        <w:bidi w:val="0"/>
        <w:adjustRightInd w:val="0"/>
        <w:snapToGrid/>
        <w:spacing w:line="440" w:lineRule="exact"/>
        <w:ind w:left="420" w:leftChars="200" w:right="420" w:rightChars="200" w:firstLine="420" w:firstLineChars="200"/>
        <w:textAlignment w:val="auto"/>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bCs/>
          <w:color w:val="000000"/>
          <w:sz w:val="21"/>
          <w:szCs w:val="21"/>
        </w:rPr>
        <w:t>工程承包范围</w:t>
      </w:r>
      <w:r>
        <w:rPr>
          <w:rFonts w:hint="eastAsia" w:asciiTheme="majorEastAsia" w:hAnsiTheme="majorEastAsia" w:eastAsiaTheme="majorEastAsia" w:cstheme="majorEastAsia"/>
          <w:color w:val="000000"/>
          <w:sz w:val="21"/>
          <w:szCs w:val="21"/>
        </w:rPr>
        <w:t>：</w:t>
      </w:r>
      <w:r>
        <w:rPr>
          <w:rFonts w:hint="eastAsia" w:asciiTheme="majorEastAsia" w:hAnsiTheme="majorEastAsia" w:eastAsiaTheme="majorEastAsia" w:cstheme="majorEastAsia"/>
          <w:color w:val="000000"/>
          <w:sz w:val="21"/>
          <w:szCs w:val="21"/>
          <w:lang w:val="en-US" w:eastAsia="zh-CN"/>
        </w:rPr>
        <w:t>包含施工图范围内塑胶地面、更换排水沟盖板、清理排水沟等。(具体详见工程量清单)</w:t>
      </w:r>
      <w:r>
        <w:rPr>
          <w:rFonts w:hint="eastAsia" w:asciiTheme="majorEastAsia" w:hAnsiTheme="majorEastAsia" w:eastAsiaTheme="majorEastAsia" w:cstheme="majorEastAsia"/>
          <w:color w:val="000000"/>
          <w:sz w:val="21"/>
          <w:szCs w:val="21"/>
        </w:rPr>
        <w:t>。</w:t>
      </w:r>
    </w:p>
    <w:p w14:paraId="7A267FBB">
      <w:pPr>
        <w:keepNext w:val="0"/>
        <w:keepLines w:val="0"/>
        <w:pageBreakBefore w:val="0"/>
        <w:widowControl w:val="0"/>
        <w:numPr>
          <w:ilvl w:val="0"/>
          <w:numId w:val="0"/>
        </w:numPr>
        <w:kinsoku/>
        <w:wordWrap/>
        <w:overflowPunct/>
        <w:topLinePunct w:val="0"/>
        <w:bidi w:val="0"/>
        <w:adjustRightInd w:val="0"/>
        <w:snapToGrid/>
        <w:spacing w:line="440" w:lineRule="exact"/>
        <w:ind w:left="420" w:leftChars="200" w:right="420" w:rightChars="200"/>
        <w:textAlignment w:val="auto"/>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 xml:space="preserve"> </w:t>
      </w:r>
      <w:bookmarkStart w:id="436" w:name="_Toc386638594"/>
      <w:r>
        <w:rPr>
          <w:rFonts w:hint="eastAsia" w:asciiTheme="majorEastAsia" w:hAnsiTheme="majorEastAsia" w:eastAsiaTheme="majorEastAsia" w:cstheme="majorEastAsia"/>
          <w:color w:val="000000"/>
          <w:sz w:val="21"/>
          <w:szCs w:val="21"/>
        </w:rPr>
        <w:t>二、合同工期</w:t>
      </w:r>
      <w:bookmarkEnd w:id="436"/>
    </w:p>
    <w:p w14:paraId="6B51AB95">
      <w:pPr>
        <w:keepNext w:val="0"/>
        <w:keepLines w:val="0"/>
        <w:pageBreakBefore w:val="0"/>
        <w:widowControl w:val="0"/>
        <w:kinsoku/>
        <w:wordWrap/>
        <w:overflowPunct/>
        <w:topLinePunct w:val="0"/>
        <w:bidi w:val="0"/>
        <w:adjustRightInd w:val="0"/>
        <w:snapToGrid/>
        <w:spacing w:line="440" w:lineRule="exact"/>
        <w:ind w:left="420" w:leftChars="200" w:right="420" w:rightChars="200" w:firstLine="459"/>
        <w:textAlignment w:val="auto"/>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计划开工日期：</w:t>
      </w:r>
      <w:r>
        <w:rPr>
          <w:rFonts w:hint="eastAsia" w:asciiTheme="majorEastAsia" w:hAnsiTheme="majorEastAsia" w:eastAsiaTheme="majorEastAsia" w:cstheme="majorEastAsia"/>
          <w:color w:val="000000"/>
          <w:sz w:val="21"/>
          <w:szCs w:val="21"/>
          <w:u w:val="single"/>
        </w:rPr>
        <w:t>202</w:t>
      </w:r>
      <w:r>
        <w:rPr>
          <w:rFonts w:hint="eastAsia" w:asciiTheme="majorEastAsia" w:hAnsiTheme="majorEastAsia" w:eastAsiaTheme="majorEastAsia" w:cstheme="majorEastAsia"/>
          <w:color w:val="000000"/>
          <w:sz w:val="21"/>
          <w:szCs w:val="21"/>
          <w:u w:val="single"/>
          <w:lang w:val="en-US" w:eastAsia="zh-CN"/>
        </w:rPr>
        <w:t>5</w:t>
      </w:r>
      <w:r>
        <w:rPr>
          <w:rFonts w:hint="eastAsia" w:asciiTheme="majorEastAsia" w:hAnsiTheme="majorEastAsia" w:eastAsiaTheme="majorEastAsia" w:cstheme="majorEastAsia"/>
          <w:color w:val="000000"/>
          <w:sz w:val="21"/>
          <w:szCs w:val="21"/>
        </w:rPr>
        <w:t>年</w:t>
      </w:r>
      <w:r>
        <w:rPr>
          <w:rFonts w:hint="eastAsia" w:asciiTheme="majorEastAsia" w:hAnsiTheme="majorEastAsia" w:eastAsiaTheme="majorEastAsia" w:cstheme="majorEastAsia"/>
          <w:color w:val="000000"/>
          <w:sz w:val="21"/>
          <w:szCs w:val="21"/>
          <w:u w:val="single"/>
        </w:rPr>
        <w:t xml:space="preserve">     </w:t>
      </w:r>
      <w:r>
        <w:rPr>
          <w:rFonts w:hint="eastAsia" w:asciiTheme="majorEastAsia" w:hAnsiTheme="majorEastAsia" w:eastAsiaTheme="majorEastAsia" w:cstheme="majorEastAsia"/>
          <w:color w:val="000000"/>
          <w:sz w:val="21"/>
          <w:szCs w:val="21"/>
        </w:rPr>
        <w:t>月</w:t>
      </w:r>
      <w:r>
        <w:rPr>
          <w:rFonts w:hint="eastAsia" w:asciiTheme="majorEastAsia" w:hAnsiTheme="majorEastAsia" w:eastAsiaTheme="majorEastAsia" w:cstheme="majorEastAsia"/>
          <w:color w:val="000000"/>
          <w:sz w:val="21"/>
          <w:szCs w:val="21"/>
          <w:u w:val="single"/>
        </w:rPr>
        <w:t></w:t>
      </w:r>
      <w:r>
        <w:rPr>
          <w:rFonts w:hint="eastAsia" w:asciiTheme="majorEastAsia" w:hAnsiTheme="majorEastAsia" w:eastAsiaTheme="majorEastAsia" w:cstheme="majorEastAsia"/>
          <w:color w:val="000000"/>
          <w:sz w:val="21"/>
          <w:szCs w:val="21"/>
        </w:rPr>
        <w:t>日（具体开工时间以发包人签署的开工报告为准）。</w:t>
      </w:r>
    </w:p>
    <w:p w14:paraId="05B6456C">
      <w:pPr>
        <w:keepNext w:val="0"/>
        <w:keepLines w:val="0"/>
        <w:pageBreakBefore w:val="0"/>
        <w:widowControl w:val="0"/>
        <w:kinsoku/>
        <w:wordWrap/>
        <w:overflowPunct/>
        <w:topLinePunct w:val="0"/>
        <w:bidi w:val="0"/>
        <w:adjustRightInd w:val="0"/>
        <w:snapToGrid/>
        <w:spacing w:line="440" w:lineRule="exact"/>
        <w:ind w:left="420" w:leftChars="200" w:right="420" w:rightChars="200" w:firstLine="459"/>
        <w:textAlignment w:val="auto"/>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计划竣工日期：</w:t>
      </w:r>
      <w:r>
        <w:rPr>
          <w:rFonts w:hint="eastAsia" w:asciiTheme="majorEastAsia" w:hAnsiTheme="majorEastAsia" w:eastAsiaTheme="majorEastAsia" w:cstheme="majorEastAsia"/>
          <w:color w:val="000000"/>
          <w:sz w:val="21"/>
          <w:szCs w:val="21"/>
          <w:u w:val="single"/>
        </w:rPr>
        <w:t xml:space="preserve">     </w:t>
      </w:r>
      <w:r>
        <w:rPr>
          <w:rFonts w:hint="eastAsia" w:asciiTheme="majorEastAsia" w:hAnsiTheme="majorEastAsia" w:eastAsiaTheme="majorEastAsia" w:cstheme="majorEastAsia"/>
          <w:color w:val="000000"/>
          <w:sz w:val="21"/>
          <w:szCs w:val="21"/>
        </w:rPr>
        <w:t>年</w:t>
      </w:r>
      <w:r>
        <w:rPr>
          <w:rFonts w:hint="eastAsia" w:asciiTheme="majorEastAsia" w:hAnsiTheme="majorEastAsia" w:eastAsiaTheme="majorEastAsia" w:cstheme="majorEastAsia"/>
          <w:color w:val="000000"/>
          <w:sz w:val="21"/>
          <w:szCs w:val="21"/>
          <w:u w:val="single"/>
        </w:rPr>
        <w:t></w:t>
      </w:r>
      <w:r>
        <w:rPr>
          <w:rFonts w:hint="eastAsia" w:asciiTheme="majorEastAsia" w:hAnsiTheme="majorEastAsia" w:eastAsiaTheme="majorEastAsia" w:cstheme="majorEastAsia"/>
          <w:color w:val="000000"/>
          <w:sz w:val="21"/>
          <w:szCs w:val="21"/>
        </w:rPr>
        <w:t>月</w:t>
      </w:r>
      <w:r>
        <w:rPr>
          <w:rFonts w:hint="eastAsia" w:asciiTheme="majorEastAsia" w:hAnsiTheme="majorEastAsia" w:eastAsiaTheme="majorEastAsia" w:cstheme="majorEastAsia"/>
          <w:color w:val="000000"/>
          <w:sz w:val="21"/>
          <w:szCs w:val="21"/>
          <w:u w:val="single"/>
        </w:rPr>
        <w:t></w:t>
      </w:r>
      <w:r>
        <w:rPr>
          <w:rFonts w:hint="eastAsia" w:asciiTheme="majorEastAsia" w:hAnsiTheme="majorEastAsia" w:eastAsiaTheme="majorEastAsia" w:cstheme="majorEastAsia"/>
          <w:color w:val="000000"/>
          <w:sz w:val="21"/>
          <w:szCs w:val="21"/>
        </w:rPr>
        <w:t>日。</w:t>
      </w:r>
    </w:p>
    <w:p w14:paraId="20C577F4">
      <w:pPr>
        <w:keepNext w:val="0"/>
        <w:keepLines w:val="0"/>
        <w:pageBreakBefore w:val="0"/>
        <w:widowControl w:val="0"/>
        <w:kinsoku/>
        <w:wordWrap/>
        <w:overflowPunct/>
        <w:topLinePunct w:val="0"/>
        <w:bidi w:val="0"/>
        <w:adjustRightInd w:val="0"/>
        <w:snapToGrid/>
        <w:spacing w:line="440" w:lineRule="exact"/>
        <w:ind w:left="420" w:leftChars="200" w:right="420" w:rightChars="200" w:firstLine="459"/>
        <w:textAlignment w:val="auto"/>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工期总日历天数：</w:t>
      </w:r>
      <w:r>
        <w:rPr>
          <w:rFonts w:hint="eastAsia" w:asciiTheme="majorEastAsia" w:hAnsiTheme="majorEastAsia" w:eastAsiaTheme="majorEastAsia" w:cstheme="majorEastAsia"/>
          <w:color w:val="000000"/>
          <w:sz w:val="21"/>
          <w:szCs w:val="21"/>
          <w:u w:val="single"/>
          <w:lang w:val="en-US" w:eastAsia="zh-CN"/>
        </w:rPr>
        <w:t xml:space="preserve"> 40</w:t>
      </w:r>
      <w:r>
        <w:rPr>
          <w:rFonts w:hint="eastAsia" w:asciiTheme="majorEastAsia" w:hAnsiTheme="majorEastAsia" w:eastAsiaTheme="majorEastAsia" w:cstheme="majorEastAsia"/>
          <w:color w:val="000000"/>
          <w:sz w:val="21"/>
          <w:szCs w:val="21"/>
          <w:u w:val="single"/>
        </w:rPr>
        <w:t>日历天</w:t>
      </w:r>
      <w:r>
        <w:rPr>
          <w:rFonts w:hint="eastAsia" w:asciiTheme="majorEastAsia" w:hAnsiTheme="majorEastAsia" w:eastAsiaTheme="majorEastAsia" w:cstheme="majorEastAsia"/>
          <w:color w:val="000000"/>
          <w:sz w:val="21"/>
          <w:szCs w:val="21"/>
        </w:rPr>
        <w:t>。工期总日历天数与根据前述计划开竣工日期计算的工期天数不一致的，以工期总日历天数为准。</w:t>
      </w:r>
    </w:p>
    <w:p w14:paraId="018A9BD1">
      <w:pPr>
        <w:keepNext w:val="0"/>
        <w:keepLines w:val="0"/>
        <w:pageBreakBefore w:val="0"/>
        <w:widowControl w:val="0"/>
        <w:kinsoku/>
        <w:wordWrap/>
        <w:overflowPunct/>
        <w:topLinePunct w:val="0"/>
        <w:bidi w:val="0"/>
        <w:adjustRightInd w:val="0"/>
        <w:snapToGrid/>
        <w:spacing w:line="440" w:lineRule="exact"/>
        <w:ind w:left="420" w:leftChars="200" w:right="420" w:rightChars="200"/>
        <w:textAlignment w:val="auto"/>
        <w:rPr>
          <w:rFonts w:hint="eastAsia" w:asciiTheme="majorEastAsia" w:hAnsiTheme="majorEastAsia" w:eastAsiaTheme="majorEastAsia" w:cstheme="majorEastAsia"/>
          <w:bCs w:val="0"/>
          <w:color w:val="000000"/>
          <w:sz w:val="21"/>
          <w:szCs w:val="21"/>
        </w:rPr>
      </w:pPr>
      <w:r>
        <w:rPr>
          <w:rFonts w:hint="eastAsia" w:asciiTheme="majorEastAsia" w:hAnsiTheme="majorEastAsia" w:eastAsiaTheme="majorEastAsia" w:cstheme="majorEastAsia"/>
          <w:bCs w:val="0"/>
          <w:color w:val="000000"/>
          <w:sz w:val="21"/>
          <w:szCs w:val="21"/>
        </w:rPr>
        <w:t xml:space="preserve"> </w:t>
      </w:r>
      <w:bookmarkStart w:id="437" w:name="_Toc386638595"/>
      <w:r>
        <w:rPr>
          <w:rFonts w:hint="eastAsia" w:asciiTheme="majorEastAsia" w:hAnsiTheme="majorEastAsia" w:eastAsiaTheme="majorEastAsia" w:cstheme="majorEastAsia"/>
          <w:b w:val="0"/>
          <w:color w:val="000000"/>
          <w:sz w:val="21"/>
          <w:szCs w:val="21"/>
        </w:rPr>
        <w:t>三、质量标准</w:t>
      </w:r>
      <w:bookmarkEnd w:id="437"/>
    </w:p>
    <w:p w14:paraId="7B24AA1D">
      <w:pPr>
        <w:keepNext w:val="0"/>
        <w:keepLines w:val="0"/>
        <w:pageBreakBefore w:val="0"/>
        <w:widowControl w:val="0"/>
        <w:kinsoku/>
        <w:wordWrap/>
        <w:overflowPunct/>
        <w:topLinePunct w:val="0"/>
        <w:bidi w:val="0"/>
        <w:adjustRightInd w:val="0"/>
        <w:snapToGrid/>
        <w:spacing w:line="440" w:lineRule="exact"/>
        <w:ind w:left="420" w:leftChars="200" w:right="420" w:rightChars="200" w:firstLine="459"/>
        <w:textAlignment w:val="auto"/>
        <w:rPr>
          <w:rFonts w:hint="eastAsia" w:asciiTheme="majorEastAsia" w:hAnsiTheme="majorEastAsia" w:eastAsiaTheme="majorEastAsia" w:cstheme="majorEastAsia"/>
          <w:bCs w:val="0"/>
          <w:color w:val="000000"/>
          <w:sz w:val="21"/>
          <w:szCs w:val="21"/>
        </w:rPr>
      </w:pPr>
      <w:r>
        <w:rPr>
          <w:rFonts w:hint="eastAsia" w:asciiTheme="majorEastAsia" w:hAnsiTheme="majorEastAsia" w:eastAsiaTheme="majorEastAsia" w:cstheme="majorEastAsia"/>
          <w:color w:val="000000"/>
          <w:sz w:val="21"/>
          <w:szCs w:val="21"/>
        </w:rPr>
        <w:t>工程质量</w:t>
      </w:r>
      <w:r>
        <w:rPr>
          <w:rFonts w:hint="eastAsia" w:asciiTheme="majorEastAsia" w:hAnsiTheme="majorEastAsia" w:eastAsiaTheme="majorEastAsia" w:cstheme="majorEastAsia"/>
          <w:color w:val="000000"/>
          <w:sz w:val="21"/>
          <w:szCs w:val="21"/>
          <w:u w:val="single"/>
        </w:rPr>
        <w:t>符合</w:t>
      </w:r>
      <w:r>
        <w:rPr>
          <w:rFonts w:hint="eastAsia" w:asciiTheme="majorEastAsia" w:hAnsiTheme="majorEastAsia" w:eastAsiaTheme="majorEastAsia" w:cstheme="majorEastAsia"/>
          <w:bCs/>
          <w:color w:val="000000"/>
          <w:sz w:val="21"/>
          <w:szCs w:val="21"/>
          <w:u w:val="single"/>
        </w:rPr>
        <w:t>现行国家有关工程施工质量验收规范和标准要求，验收合格</w:t>
      </w:r>
      <w:r>
        <w:rPr>
          <w:rFonts w:hint="eastAsia" w:asciiTheme="majorEastAsia" w:hAnsiTheme="majorEastAsia" w:eastAsiaTheme="majorEastAsia" w:cstheme="majorEastAsia"/>
          <w:color w:val="000000"/>
          <w:sz w:val="21"/>
          <w:szCs w:val="21"/>
          <w:u w:val="single"/>
        </w:rPr>
        <w:t></w:t>
      </w:r>
      <w:r>
        <w:rPr>
          <w:rFonts w:hint="eastAsia" w:asciiTheme="majorEastAsia" w:hAnsiTheme="majorEastAsia" w:eastAsiaTheme="majorEastAsia" w:cstheme="majorEastAsia"/>
          <w:color w:val="000000"/>
          <w:sz w:val="21"/>
          <w:szCs w:val="21"/>
        </w:rPr>
        <w:t>标准。</w:t>
      </w:r>
      <w:r>
        <w:rPr>
          <w:rFonts w:hint="eastAsia" w:asciiTheme="majorEastAsia" w:hAnsiTheme="majorEastAsia" w:eastAsiaTheme="majorEastAsia" w:cstheme="majorEastAsia"/>
          <w:bCs w:val="0"/>
          <w:color w:val="000000"/>
          <w:sz w:val="21"/>
          <w:szCs w:val="21"/>
        </w:rPr>
        <w:t xml:space="preserve">  </w:t>
      </w:r>
    </w:p>
    <w:p w14:paraId="08E21E76">
      <w:pPr>
        <w:keepNext w:val="0"/>
        <w:keepLines w:val="0"/>
        <w:pageBreakBefore w:val="0"/>
        <w:widowControl w:val="0"/>
        <w:kinsoku/>
        <w:wordWrap/>
        <w:overflowPunct/>
        <w:topLinePunct w:val="0"/>
        <w:bidi w:val="0"/>
        <w:adjustRightInd w:val="0"/>
        <w:snapToGrid/>
        <w:spacing w:line="440" w:lineRule="exact"/>
        <w:ind w:left="420" w:leftChars="200" w:right="420" w:rightChars="200"/>
        <w:textAlignment w:val="auto"/>
        <w:rPr>
          <w:rFonts w:hint="eastAsia" w:asciiTheme="majorEastAsia" w:hAnsiTheme="majorEastAsia" w:eastAsiaTheme="majorEastAsia" w:cstheme="majorEastAsia"/>
          <w:bCs w:val="0"/>
          <w:color w:val="000000"/>
          <w:sz w:val="21"/>
          <w:szCs w:val="21"/>
        </w:rPr>
      </w:pPr>
      <w:r>
        <w:rPr>
          <w:rFonts w:hint="eastAsia" w:asciiTheme="majorEastAsia" w:hAnsiTheme="majorEastAsia" w:eastAsiaTheme="majorEastAsia" w:cstheme="majorEastAsia"/>
          <w:b w:val="0"/>
          <w:color w:val="000000"/>
          <w:sz w:val="21"/>
          <w:szCs w:val="21"/>
        </w:rPr>
        <w:t xml:space="preserve"> </w:t>
      </w:r>
      <w:bookmarkStart w:id="438" w:name="_Toc386638596"/>
      <w:r>
        <w:rPr>
          <w:rFonts w:hint="eastAsia" w:asciiTheme="majorEastAsia" w:hAnsiTheme="majorEastAsia" w:eastAsiaTheme="majorEastAsia" w:cstheme="majorEastAsia"/>
          <w:b w:val="0"/>
          <w:color w:val="000000"/>
          <w:sz w:val="21"/>
          <w:szCs w:val="21"/>
        </w:rPr>
        <w:t>四、签约合同价与合同价格形式</w:t>
      </w:r>
      <w:bookmarkEnd w:id="438"/>
      <w:r>
        <w:rPr>
          <w:rFonts w:hint="eastAsia" w:asciiTheme="majorEastAsia" w:hAnsiTheme="majorEastAsia" w:eastAsiaTheme="majorEastAsia" w:cstheme="majorEastAsia"/>
          <w:b w:val="0"/>
          <w:color w:val="000000"/>
          <w:sz w:val="21"/>
          <w:szCs w:val="21"/>
        </w:rPr>
        <w:tab/>
      </w:r>
    </w:p>
    <w:p w14:paraId="68B20524">
      <w:pPr>
        <w:keepNext w:val="0"/>
        <w:keepLines w:val="0"/>
        <w:pageBreakBefore w:val="0"/>
        <w:widowControl w:val="0"/>
        <w:kinsoku/>
        <w:wordWrap/>
        <w:overflowPunct/>
        <w:topLinePunct w:val="0"/>
        <w:bidi w:val="0"/>
        <w:adjustRightInd w:val="0"/>
        <w:snapToGrid/>
        <w:spacing w:line="440" w:lineRule="exact"/>
        <w:ind w:left="420" w:leftChars="200" w:right="420" w:rightChars="200" w:firstLine="420" w:firstLineChars="200"/>
        <w:textAlignment w:val="auto"/>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1.签约合同价为：</w:t>
      </w:r>
    </w:p>
    <w:p w14:paraId="76A697DB">
      <w:pPr>
        <w:keepNext w:val="0"/>
        <w:keepLines w:val="0"/>
        <w:pageBreakBefore w:val="0"/>
        <w:widowControl w:val="0"/>
        <w:kinsoku/>
        <w:wordWrap/>
        <w:overflowPunct/>
        <w:topLinePunct w:val="0"/>
        <w:bidi w:val="0"/>
        <w:adjustRightInd w:val="0"/>
        <w:snapToGrid/>
        <w:spacing w:line="440" w:lineRule="exact"/>
        <w:ind w:left="420" w:leftChars="200" w:right="420" w:rightChars="200" w:firstLine="525" w:firstLineChars="250"/>
        <w:textAlignment w:val="auto"/>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人民币（大写）</w:t>
      </w:r>
      <w:r>
        <w:rPr>
          <w:rFonts w:hint="eastAsia" w:asciiTheme="majorEastAsia" w:hAnsiTheme="majorEastAsia" w:eastAsiaTheme="majorEastAsia" w:cstheme="majorEastAsia"/>
          <w:color w:val="000000"/>
          <w:sz w:val="21"/>
          <w:szCs w:val="21"/>
          <w:u w:val="single"/>
        </w:rPr>
        <w:t xml:space="preserve">                    </w:t>
      </w:r>
      <w:r>
        <w:rPr>
          <w:rFonts w:hint="eastAsia" w:asciiTheme="majorEastAsia" w:hAnsiTheme="majorEastAsia" w:eastAsiaTheme="majorEastAsia" w:cstheme="majorEastAsia"/>
          <w:color w:val="000000"/>
          <w:sz w:val="21"/>
          <w:szCs w:val="21"/>
        </w:rPr>
        <w:t>(¥</w:t>
      </w:r>
      <w:r>
        <w:rPr>
          <w:rFonts w:hint="eastAsia" w:asciiTheme="majorEastAsia" w:hAnsiTheme="majorEastAsia" w:eastAsiaTheme="majorEastAsia" w:cstheme="majorEastAsia"/>
          <w:color w:val="000000"/>
          <w:sz w:val="21"/>
          <w:szCs w:val="21"/>
          <w:u w:val="single"/>
        </w:rPr>
        <w:t xml:space="preserve">       </w:t>
      </w:r>
      <w:r>
        <w:rPr>
          <w:rFonts w:hint="eastAsia" w:asciiTheme="majorEastAsia" w:hAnsiTheme="majorEastAsia" w:eastAsiaTheme="majorEastAsia" w:cstheme="majorEastAsia"/>
          <w:bCs/>
          <w:color w:val="000000"/>
          <w:sz w:val="21"/>
          <w:szCs w:val="21"/>
          <w:u w:val="single"/>
        </w:rPr>
        <w:t xml:space="preserve"> </w:t>
      </w:r>
      <w:r>
        <w:rPr>
          <w:rFonts w:hint="eastAsia" w:asciiTheme="majorEastAsia" w:hAnsiTheme="majorEastAsia" w:eastAsiaTheme="majorEastAsia" w:cstheme="majorEastAsia"/>
          <w:color w:val="000000"/>
          <w:sz w:val="21"/>
          <w:szCs w:val="21"/>
          <w:u w:val="single"/>
        </w:rPr>
        <w:t xml:space="preserve">  </w:t>
      </w:r>
      <w:r>
        <w:rPr>
          <w:rFonts w:hint="eastAsia" w:asciiTheme="majorEastAsia" w:hAnsiTheme="majorEastAsia" w:eastAsiaTheme="majorEastAsia" w:cstheme="majorEastAsia"/>
          <w:color w:val="000000"/>
          <w:sz w:val="21"/>
          <w:szCs w:val="21"/>
        </w:rPr>
        <w:t>元)；</w:t>
      </w:r>
    </w:p>
    <w:p w14:paraId="014A7581">
      <w:pPr>
        <w:keepNext w:val="0"/>
        <w:keepLines w:val="0"/>
        <w:pageBreakBefore w:val="0"/>
        <w:widowControl w:val="0"/>
        <w:kinsoku/>
        <w:wordWrap/>
        <w:overflowPunct/>
        <w:topLinePunct w:val="0"/>
        <w:bidi w:val="0"/>
        <w:adjustRightInd w:val="0"/>
        <w:snapToGrid/>
        <w:spacing w:line="440" w:lineRule="exact"/>
        <w:ind w:left="420" w:leftChars="200" w:right="420" w:rightChars="200" w:firstLine="420" w:firstLineChars="200"/>
        <w:textAlignment w:val="auto"/>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其中：</w:t>
      </w:r>
    </w:p>
    <w:p w14:paraId="1538684B">
      <w:pPr>
        <w:keepNext w:val="0"/>
        <w:keepLines w:val="0"/>
        <w:pageBreakBefore w:val="0"/>
        <w:widowControl w:val="0"/>
        <w:kinsoku/>
        <w:wordWrap/>
        <w:overflowPunct/>
        <w:topLinePunct w:val="0"/>
        <w:bidi w:val="0"/>
        <w:adjustRightInd w:val="0"/>
        <w:snapToGrid/>
        <w:spacing w:line="440" w:lineRule="exact"/>
        <w:ind w:left="420" w:leftChars="200" w:right="420" w:rightChars="200" w:firstLine="420" w:firstLineChars="200"/>
        <w:textAlignment w:val="auto"/>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（1）安全文明施工费：</w:t>
      </w:r>
    </w:p>
    <w:p w14:paraId="1F6FB6DE">
      <w:pPr>
        <w:keepNext w:val="0"/>
        <w:keepLines w:val="0"/>
        <w:pageBreakBefore w:val="0"/>
        <w:widowControl w:val="0"/>
        <w:kinsoku/>
        <w:wordWrap/>
        <w:overflowPunct/>
        <w:topLinePunct w:val="0"/>
        <w:bidi w:val="0"/>
        <w:adjustRightInd w:val="0"/>
        <w:snapToGrid/>
        <w:spacing w:line="440" w:lineRule="exact"/>
        <w:ind w:left="420" w:leftChars="200" w:right="420" w:rightChars="200" w:firstLine="945" w:firstLineChars="450"/>
        <w:textAlignment w:val="auto"/>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人民币（大写）</w:t>
      </w:r>
      <w:r>
        <w:rPr>
          <w:rFonts w:hint="eastAsia" w:asciiTheme="majorEastAsia" w:hAnsiTheme="majorEastAsia" w:eastAsiaTheme="majorEastAsia" w:cstheme="majorEastAsia"/>
          <w:color w:val="000000"/>
          <w:sz w:val="21"/>
          <w:szCs w:val="21"/>
          <w:u w:val="single"/>
        </w:rPr>
        <w:t xml:space="preserve">             </w:t>
      </w:r>
      <w:r>
        <w:rPr>
          <w:rFonts w:hint="eastAsia" w:asciiTheme="majorEastAsia" w:hAnsiTheme="majorEastAsia" w:eastAsiaTheme="majorEastAsia" w:cstheme="majorEastAsia"/>
          <w:color w:val="000000"/>
          <w:sz w:val="21"/>
          <w:szCs w:val="21"/>
        </w:rPr>
        <w:t xml:space="preserve"> (¥</w:t>
      </w:r>
      <w:r>
        <w:rPr>
          <w:rFonts w:hint="eastAsia" w:asciiTheme="majorEastAsia" w:hAnsiTheme="majorEastAsia" w:eastAsiaTheme="majorEastAsia" w:cstheme="majorEastAsia"/>
          <w:color w:val="000000"/>
          <w:sz w:val="21"/>
          <w:szCs w:val="21"/>
          <w:u w:val="single"/>
        </w:rPr>
        <w:t xml:space="preserve">        </w:t>
      </w:r>
      <w:r>
        <w:rPr>
          <w:rFonts w:hint="eastAsia" w:asciiTheme="majorEastAsia" w:hAnsiTheme="majorEastAsia" w:eastAsiaTheme="majorEastAsia" w:cstheme="majorEastAsia"/>
          <w:color w:val="000000"/>
          <w:sz w:val="21"/>
          <w:szCs w:val="21"/>
        </w:rPr>
        <w:t>元)；</w:t>
      </w:r>
    </w:p>
    <w:p w14:paraId="327012C7">
      <w:pPr>
        <w:keepNext w:val="0"/>
        <w:keepLines w:val="0"/>
        <w:pageBreakBefore w:val="0"/>
        <w:widowControl w:val="0"/>
        <w:kinsoku/>
        <w:wordWrap/>
        <w:overflowPunct/>
        <w:topLinePunct w:val="0"/>
        <w:bidi w:val="0"/>
        <w:adjustRightInd w:val="0"/>
        <w:snapToGrid/>
        <w:spacing w:line="440" w:lineRule="exact"/>
        <w:ind w:left="420" w:leftChars="200" w:right="420" w:rightChars="200" w:firstLine="420" w:firstLineChars="200"/>
        <w:textAlignment w:val="auto"/>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（2）材料和工程设备暂估价金额：</w:t>
      </w:r>
    </w:p>
    <w:p w14:paraId="470943E5">
      <w:pPr>
        <w:keepNext w:val="0"/>
        <w:keepLines w:val="0"/>
        <w:pageBreakBefore w:val="0"/>
        <w:widowControl w:val="0"/>
        <w:kinsoku/>
        <w:wordWrap/>
        <w:overflowPunct/>
        <w:topLinePunct w:val="0"/>
        <w:bidi w:val="0"/>
        <w:adjustRightInd w:val="0"/>
        <w:snapToGrid/>
        <w:spacing w:line="440" w:lineRule="exact"/>
        <w:ind w:left="420" w:leftChars="200" w:right="420" w:rightChars="200" w:firstLine="945" w:firstLineChars="450"/>
        <w:textAlignment w:val="auto"/>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人民币（大写）</w:t>
      </w:r>
      <w:r>
        <w:rPr>
          <w:rFonts w:hint="eastAsia" w:asciiTheme="majorEastAsia" w:hAnsiTheme="majorEastAsia" w:eastAsiaTheme="majorEastAsia" w:cstheme="majorEastAsia"/>
          <w:color w:val="000000"/>
          <w:sz w:val="21"/>
          <w:szCs w:val="21"/>
          <w:u w:val="single"/>
        </w:rPr>
        <w:t xml:space="preserve">              </w:t>
      </w:r>
      <w:r>
        <w:rPr>
          <w:rFonts w:hint="eastAsia" w:asciiTheme="majorEastAsia" w:hAnsiTheme="majorEastAsia" w:eastAsiaTheme="majorEastAsia" w:cstheme="majorEastAsia"/>
          <w:color w:val="000000"/>
          <w:sz w:val="21"/>
          <w:szCs w:val="21"/>
        </w:rPr>
        <w:t xml:space="preserve"> (¥</w:t>
      </w:r>
      <w:r>
        <w:rPr>
          <w:rFonts w:hint="eastAsia" w:asciiTheme="majorEastAsia" w:hAnsiTheme="majorEastAsia" w:eastAsiaTheme="majorEastAsia" w:cstheme="majorEastAsia"/>
          <w:color w:val="000000"/>
          <w:sz w:val="21"/>
          <w:szCs w:val="21"/>
          <w:u w:val="single"/>
        </w:rPr>
        <w:t xml:space="preserve">          </w:t>
      </w:r>
      <w:r>
        <w:rPr>
          <w:rFonts w:hint="eastAsia" w:asciiTheme="majorEastAsia" w:hAnsiTheme="majorEastAsia" w:eastAsiaTheme="majorEastAsia" w:cstheme="majorEastAsia"/>
          <w:color w:val="000000"/>
          <w:sz w:val="21"/>
          <w:szCs w:val="21"/>
        </w:rPr>
        <w:t>元)；</w:t>
      </w:r>
    </w:p>
    <w:p w14:paraId="564F4572">
      <w:pPr>
        <w:keepNext w:val="0"/>
        <w:keepLines w:val="0"/>
        <w:pageBreakBefore w:val="0"/>
        <w:widowControl w:val="0"/>
        <w:kinsoku/>
        <w:wordWrap/>
        <w:overflowPunct/>
        <w:topLinePunct w:val="0"/>
        <w:bidi w:val="0"/>
        <w:adjustRightInd w:val="0"/>
        <w:snapToGrid/>
        <w:spacing w:line="440" w:lineRule="exact"/>
        <w:ind w:left="420" w:leftChars="200" w:right="420" w:rightChars="200" w:firstLine="420" w:firstLineChars="200"/>
        <w:textAlignment w:val="auto"/>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（3）专业工程暂估价金额：</w:t>
      </w:r>
    </w:p>
    <w:p w14:paraId="4CEB368E">
      <w:pPr>
        <w:keepNext w:val="0"/>
        <w:keepLines w:val="0"/>
        <w:pageBreakBefore w:val="0"/>
        <w:widowControl w:val="0"/>
        <w:kinsoku/>
        <w:wordWrap/>
        <w:overflowPunct/>
        <w:topLinePunct w:val="0"/>
        <w:bidi w:val="0"/>
        <w:adjustRightInd w:val="0"/>
        <w:snapToGrid/>
        <w:spacing w:line="440" w:lineRule="exact"/>
        <w:ind w:left="420" w:leftChars="200" w:right="420" w:rightChars="200" w:firstLine="945" w:firstLineChars="450"/>
        <w:textAlignment w:val="auto"/>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人民币（大写）</w:t>
      </w:r>
      <w:r>
        <w:rPr>
          <w:rFonts w:hint="eastAsia" w:asciiTheme="majorEastAsia" w:hAnsiTheme="majorEastAsia" w:eastAsiaTheme="majorEastAsia" w:cstheme="majorEastAsia"/>
          <w:color w:val="000000"/>
          <w:sz w:val="21"/>
          <w:szCs w:val="21"/>
          <w:u w:val="single"/>
        </w:rPr>
        <w:t xml:space="preserve">              </w:t>
      </w:r>
      <w:r>
        <w:rPr>
          <w:rFonts w:hint="eastAsia" w:asciiTheme="majorEastAsia" w:hAnsiTheme="majorEastAsia" w:eastAsiaTheme="majorEastAsia" w:cstheme="majorEastAsia"/>
          <w:color w:val="000000"/>
          <w:sz w:val="21"/>
          <w:szCs w:val="21"/>
        </w:rPr>
        <w:t xml:space="preserve"> (¥</w:t>
      </w:r>
      <w:r>
        <w:rPr>
          <w:rFonts w:hint="eastAsia" w:asciiTheme="majorEastAsia" w:hAnsiTheme="majorEastAsia" w:eastAsiaTheme="majorEastAsia" w:cstheme="majorEastAsia"/>
          <w:color w:val="000000"/>
          <w:sz w:val="21"/>
          <w:szCs w:val="21"/>
          <w:u w:val="single"/>
        </w:rPr>
        <w:t xml:space="preserve">          </w:t>
      </w:r>
      <w:r>
        <w:rPr>
          <w:rFonts w:hint="eastAsia" w:asciiTheme="majorEastAsia" w:hAnsiTheme="majorEastAsia" w:eastAsiaTheme="majorEastAsia" w:cstheme="majorEastAsia"/>
          <w:color w:val="000000"/>
          <w:sz w:val="21"/>
          <w:szCs w:val="21"/>
        </w:rPr>
        <w:t>元)；</w:t>
      </w:r>
    </w:p>
    <w:p w14:paraId="1DBD63CD">
      <w:pPr>
        <w:keepNext w:val="0"/>
        <w:keepLines w:val="0"/>
        <w:pageBreakBefore w:val="0"/>
        <w:widowControl w:val="0"/>
        <w:kinsoku/>
        <w:wordWrap/>
        <w:overflowPunct/>
        <w:topLinePunct w:val="0"/>
        <w:bidi w:val="0"/>
        <w:adjustRightInd w:val="0"/>
        <w:snapToGrid/>
        <w:spacing w:line="440" w:lineRule="exact"/>
        <w:ind w:left="420" w:leftChars="200" w:right="420" w:rightChars="200" w:firstLine="420" w:firstLineChars="200"/>
        <w:textAlignment w:val="auto"/>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（4）暂列金额：</w:t>
      </w:r>
    </w:p>
    <w:p w14:paraId="173781BF">
      <w:pPr>
        <w:keepNext w:val="0"/>
        <w:keepLines w:val="0"/>
        <w:pageBreakBefore w:val="0"/>
        <w:widowControl w:val="0"/>
        <w:kinsoku/>
        <w:wordWrap/>
        <w:overflowPunct/>
        <w:topLinePunct w:val="0"/>
        <w:bidi w:val="0"/>
        <w:adjustRightInd w:val="0"/>
        <w:snapToGrid/>
        <w:spacing w:line="440" w:lineRule="exact"/>
        <w:ind w:left="420" w:leftChars="200" w:right="420" w:rightChars="200" w:firstLine="945" w:firstLineChars="450"/>
        <w:textAlignment w:val="auto"/>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人民币（大写）</w:t>
      </w:r>
      <w:r>
        <w:rPr>
          <w:rFonts w:hint="eastAsia" w:asciiTheme="majorEastAsia" w:hAnsiTheme="majorEastAsia" w:eastAsiaTheme="majorEastAsia" w:cstheme="majorEastAsia"/>
          <w:color w:val="000000"/>
          <w:sz w:val="21"/>
          <w:szCs w:val="21"/>
          <w:u w:val="single"/>
        </w:rPr>
        <w:t xml:space="preserve">              </w:t>
      </w:r>
      <w:r>
        <w:rPr>
          <w:rFonts w:hint="eastAsia" w:asciiTheme="majorEastAsia" w:hAnsiTheme="majorEastAsia" w:eastAsiaTheme="majorEastAsia" w:cstheme="majorEastAsia"/>
          <w:color w:val="000000"/>
          <w:sz w:val="21"/>
          <w:szCs w:val="21"/>
        </w:rPr>
        <w:t xml:space="preserve"> (¥</w:t>
      </w:r>
      <w:r>
        <w:rPr>
          <w:rFonts w:hint="eastAsia" w:asciiTheme="majorEastAsia" w:hAnsiTheme="majorEastAsia" w:eastAsiaTheme="majorEastAsia" w:cstheme="majorEastAsia"/>
          <w:color w:val="000000"/>
          <w:sz w:val="21"/>
          <w:szCs w:val="21"/>
          <w:u w:val="single"/>
        </w:rPr>
        <w:t xml:space="preserve">          </w:t>
      </w:r>
      <w:r>
        <w:rPr>
          <w:rFonts w:hint="eastAsia" w:asciiTheme="majorEastAsia" w:hAnsiTheme="majorEastAsia" w:eastAsiaTheme="majorEastAsia" w:cstheme="majorEastAsia"/>
          <w:color w:val="000000"/>
          <w:sz w:val="21"/>
          <w:szCs w:val="21"/>
        </w:rPr>
        <w:t>元)。</w:t>
      </w:r>
    </w:p>
    <w:p w14:paraId="4E74DC46">
      <w:pPr>
        <w:keepNext w:val="0"/>
        <w:keepLines w:val="0"/>
        <w:pageBreakBefore w:val="0"/>
        <w:widowControl w:val="0"/>
        <w:numPr>
          <w:ilvl w:val="0"/>
          <w:numId w:val="10"/>
        </w:numPr>
        <w:kinsoku/>
        <w:wordWrap/>
        <w:overflowPunct/>
        <w:topLinePunct w:val="0"/>
        <w:bidi w:val="0"/>
        <w:adjustRightInd w:val="0"/>
        <w:snapToGrid/>
        <w:spacing w:line="440" w:lineRule="exact"/>
        <w:ind w:left="420" w:leftChars="200" w:right="420" w:rightChars="200" w:firstLine="420" w:firstLineChars="200"/>
        <w:textAlignment w:val="auto"/>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合同价格形式：</w:t>
      </w:r>
      <w:r>
        <w:rPr>
          <w:rFonts w:hint="eastAsia" w:asciiTheme="majorEastAsia" w:hAnsiTheme="majorEastAsia" w:eastAsiaTheme="majorEastAsia" w:cstheme="majorEastAsia"/>
          <w:color w:val="000000"/>
          <w:sz w:val="21"/>
          <w:szCs w:val="21"/>
          <w:u w:val="single"/>
        </w:rPr>
        <w:t>单价合同           </w:t>
      </w:r>
      <w:r>
        <w:rPr>
          <w:rFonts w:hint="eastAsia" w:asciiTheme="majorEastAsia" w:hAnsiTheme="majorEastAsia" w:eastAsiaTheme="majorEastAsia" w:cstheme="majorEastAsia"/>
          <w:color w:val="000000"/>
          <w:sz w:val="21"/>
          <w:szCs w:val="21"/>
        </w:rPr>
        <w:t>。</w:t>
      </w:r>
      <w:bookmarkStart w:id="439" w:name="_Toc386638597"/>
    </w:p>
    <w:p w14:paraId="682D4B30">
      <w:pPr>
        <w:keepNext w:val="0"/>
        <w:keepLines w:val="0"/>
        <w:pageBreakBefore w:val="0"/>
        <w:widowControl w:val="0"/>
        <w:numPr>
          <w:ilvl w:val="0"/>
          <w:numId w:val="0"/>
        </w:numPr>
        <w:kinsoku/>
        <w:wordWrap/>
        <w:overflowPunct/>
        <w:topLinePunct w:val="0"/>
        <w:bidi w:val="0"/>
        <w:adjustRightInd w:val="0"/>
        <w:snapToGrid/>
        <w:spacing w:line="440" w:lineRule="exact"/>
        <w:ind w:left="420" w:leftChars="200" w:right="420" w:rightChars="200"/>
        <w:textAlignment w:val="auto"/>
        <w:rPr>
          <w:rFonts w:hint="eastAsia" w:asciiTheme="majorEastAsia" w:hAnsiTheme="majorEastAsia" w:eastAsiaTheme="majorEastAsia" w:cstheme="majorEastAsia"/>
          <w:b w:val="0"/>
          <w:color w:val="000000"/>
          <w:sz w:val="21"/>
          <w:szCs w:val="21"/>
        </w:rPr>
      </w:pPr>
      <w:r>
        <w:rPr>
          <w:rFonts w:hint="eastAsia" w:asciiTheme="majorEastAsia" w:hAnsiTheme="majorEastAsia" w:eastAsiaTheme="majorEastAsia" w:cstheme="majorEastAsia"/>
          <w:b w:val="0"/>
          <w:color w:val="000000"/>
          <w:sz w:val="21"/>
          <w:szCs w:val="21"/>
        </w:rPr>
        <w:t>五、项目经理</w:t>
      </w:r>
      <w:bookmarkEnd w:id="439"/>
    </w:p>
    <w:p w14:paraId="45CF7B69">
      <w:pPr>
        <w:keepNext w:val="0"/>
        <w:keepLines w:val="0"/>
        <w:pageBreakBefore w:val="0"/>
        <w:widowControl w:val="0"/>
        <w:kinsoku/>
        <w:wordWrap/>
        <w:overflowPunct/>
        <w:topLinePunct w:val="0"/>
        <w:bidi w:val="0"/>
        <w:adjustRightInd w:val="0"/>
        <w:snapToGrid/>
        <w:spacing w:line="440" w:lineRule="exact"/>
        <w:ind w:left="420" w:leftChars="200" w:right="420" w:rightChars="200" w:firstLine="420" w:firstLineChars="200"/>
        <w:textAlignment w:val="auto"/>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承包人项目经理：</w:t>
      </w:r>
      <w:r>
        <w:rPr>
          <w:rFonts w:hint="eastAsia" w:asciiTheme="majorEastAsia" w:hAnsiTheme="majorEastAsia" w:eastAsiaTheme="majorEastAsia" w:cstheme="majorEastAsia"/>
          <w:color w:val="000000"/>
          <w:sz w:val="21"/>
          <w:szCs w:val="21"/>
          <w:u w:val="single"/>
        </w:rPr>
        <w:t>                     </w:t>
      </w:r>
      <w:r>
        <w:rPr>
          <w:rFonts w:hint="eastAsia" w:asciiTheme="majorEastAsia" w:hAnsiTheme="majorEastAsia" w:eastAsiaTheme="majorEastAsia" w:cstheme="majorEastAsia"/>
          <w:color w:val="000000"/>
          <w:sz w:val="21"/>
          <w:szCs w:val="21"/>
        </w:rPr>
        <w:t>。</w:t>
      </w:r>
      <w:bookmarkStart w:id="440" w:name="_Toc386638598"/>
    </w:p>
    <w:p w14:paraId="3E896B43">
      <w:pPr>
        <w:keepNext w:val="0"/>
        <w:keepLines w:val="0"/>
        <w:pageBreakBefore w:val="0"/>
        <w:widowControl w:val="0"/>
        <w:kinsoku/>
        <w:wordWrap/>
        <w:overflowPunct/>
        <w:topLinePunct w:val="0"/>
        <w:bidi w:val="0"/>
        <w:adjustRightInd w:val="0"/>
        <w:snapToGrid/>
        <w:spacing w:line="440" w:lineRule="exact"/>
        <w:ind w:left="420" w:leftChars="200" w:right="420" w:rightChars="200"/>
        <w:textAlignment w:val="auto"/>
        <w:rPr>
          <w:rFonts w:hint="eastAsia" w:asciiTheme="majorEastAsia" w:hAnsiTheme="majorEastAsia" w:eastAsiaTheme="majorEastAsia" w:cstheme="majorEastAsia"/>
          <w:bCs w:val="0"/>
          <w:color w:val="000000"/>
          <w:sz w:val="21"/>
          <w:szCs w:val="21"/>
        </w:rPr>
      </w:pPr>
      <w:r>
        <w:rPr>
          <w:rFonts w:hint="eastAsia" w:asciiTheme="majorEastAsia" w:hAnsiTheme="majorEastAsia" w:eastAsiaTheme="majorEastAsia" w:cstheme="majorEastAsia"/>
          <w:b w:val="0"/>
          <w:color w:val="000000"/>
          <w:sz w:val="21"/>
          <w:szCs w:val="21"/>
        </w:rPr>
        <w:t>六、合同文件构成</w:t>
      </w:r>
      <w:bookmarkEnd w:id="440"/>
    </w:p>
    <w:p w14:paraId="4DF15A9A">
      <w:pPr>
        <w:keepNext w:val="0"/>
        <w:keepLines w:val="0"/>
        <w:pageBreakBefore w:val="0"/>
        <w:widowControl w:val="0"/>
        <w:kinsoku/>
        <w:wordWrap/>
        <w:overflowPunct/>
        <w:topLinePunct w:val="0"/>
        <w:bidi w:val="0"/>
        <w:adjustRightInd w:val="0"/>
        <w:snapToGrid/>
        <w:spacing w:line="440" w:lineRule="exact"/>
        <w:ind w:left="420" w:leftChars="200" w:right="420" w:rightChars="200" w:firstLine="420" w:firstLineChars="200"/>
        <w:textAlignment w:val="auto"/>
        <w:rPr>
          <w:rFonts w:hint="eastAsia" w:asciiTheme="majorEastAsia" w:hAnsiTheme="majorEastAsia" w:eastAsiaTheme="majorEastAsia" w:cstheme="majorEastAsia"/>
          <w:bCs/>
          <w:color w:val="000000"/>
          <w:sz w:val="21"/>
          <w:szCs w:val="21"/>
        </w:rPr>
      </w:pPr>
      <w:r>
        <w:rPr>
          <w:rFonts w:hint="eastAsia" w:asciiTheme="majorEastAsia" w:hAnsiTheme="majorEastAsia" w:eastAsiaTheme="majorEastAsia" w:cstheme="majorEastAsia"/>
          <w:bCs/>
          <w:color w:val="000000"/>
          <w:sz w:val="21"/>
          <w:szCs w:val="21"/>
        </w:rPr>
        <w:t>本协议书与下列文件一起构成合同文件：</w:t>
      </w:r>
    </w:p>
    <w:p w14:paraId="4B567C03">
      <w:pPr>
        <w:keepNext w:val="0"/>
        <w:keepLines w:val="0"/>
        <w:pageBreakBefore w:val="0"/>
        <w:widowControl w:val="0"/>
        <w:kinsoku/>
        <w:wordWrap/>
        <w:overflowPunct/>
        <w:topLinePunct w:val="0"/>
        <w:autoSpaceDE w:val="0"/>
        <w:autoSpaceDN w:val="0"/>
        <w:bidi w:val="0"/>
        <w:adjustRightInd w:val="0"/>
        <w:snapToGrid/>
        <w:spacing w:line="440" w:lineRule="exact"/>
        <w:ind w:left="420" w:leftChars="200" w:right="420" w:rightChars="200" w:firstLine="420" w:firstLineChars="200"/>
        <w:jc w:val="left"/>
        <w:textAlignment w:val="auto"/>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（1）中标通知书（如果有）；</w:t>
      </w:r>
    </w:p>
    <w:p w14:paraId="546400C4">
      <w:pPr>
        <w:keepNext w:val="0"/>
        <w:keepLines w:val="0"/>
        <w:pageBreakBefore w:val="0"/>
        <w:widowControl w:val="0"/>
        <w:kinsoku/>
        <w:wordWrap/>
        <w:overflowPunct/>
        <w:topLinePunct w:val="0"/>
        <w:autoSpaceDE w:val="0"/>
        <w:autoSpaceDN w:val="0"/>
        <w:bidi w:val="0"/>
        <w:adjustRightInd w:val="0"/>
        <w:snapToGrid/>
        <w:spacing w:line="440" w:lineRule="exact"/>
        <w:ind w:left="420" w:leftChars="200" w:right="420" w:rightChars="200" w:firstLine="420" w:firstLineChars="200"/>
        <w:jc w:val="left"/>
        <w:textAlignment w:val="auto"/>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 xml:space="preserve">（2）投标函及其附录（如果有）； </w:t>
      </w:r>
    </w:p>
    <w:p w14:paraId="6D2BAEAA">
      <w:pPr>
        <w:keepNext w:val="0"/>
        <w:keepLines w:val="0"/>
        <w:pageBreakBefore w:val="0"/>
        <w:widowControl w:val="0"/>
        <w:kinsoku/>
        <w:wordWrap/>
        <w:overflowPunct/>
        <w:topLinePunct w:val="0"/>
        <w:autoSpaceDE w:val="0"/>
        <w:autoSpaceDN w:val="0"/>
        <w:bidi w:val="0"/>
        <w:adjustRightInd w:val="0"/>
        <w:snapToGrid/>
        <w:spacing w:line="440" w:lineRule="exact"/>
        <w:ind w:left="420" w:leftChars="200" w:right="420" w:rightChars="200" w:firstLine="420" w:firstLineChars="200"/>
        <w:jc w:val="left"/>
        <w:textAlignment w:val="auto"/>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（3）专用合同条款及其附件；</w:t>
      </w:r>
    </w:p>
    <w:p w14:paraId="055E8E62">
      <w:pPr>
        <w:keepNext w:val="0"/>
        <w:keepLines w:val="0"/>
        <w:pageBreakBefore w:val="0"/>
        <w:widowControl w:val="0"/>
        <w:kinsoku/>
        <w:wordWrap/>
        <w:overflowPunct/>
        <w:topLinePunct w:val="0"/>
        <w:autoSpaceDE w:val="0"/>
        <w:autoSpaceDN w:val="0"/>
        <w:bidi w:val="0"/>
        <w:adjustRightInd w:val="0"/>
        <w:snapToGrid/>
        <w:spacing w:line="440" w:lineRule="exact"/>
        <w:ind w:left="420" w:leftChars="200" w:right="420" w:rightChars="200" w:firstLine="420" w:firstLineChars="200"/>
        <w:jc w:val="left"/>
        <w:textAlignment w:val="auto"/>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（4）通用合同条款；</w:t>
      </w:r>
    </w:p>
    <w:p w14:paraId="5B305582">
      <w:pPr>
        <w:keepNext w:val="0"/>
        <w:keepLines w:val="0"/>
        <w:pageBreakBefore w:val="0"/>
        <w:widowControl w:val="0"/>
        <w:kinsoku/>
        <w:wordWrap/>
        <w:overflowPunct/>
        <w:topLinePunct w:val="0"/>
        <w:autoSpaceDE w:val="0"/>
        <w:autoSpaceDN w:val="0"/>
        <w:bidi w:val="0"/>
        <w:adjustRightInd w:val="0"/>
        <w:snapToGrid/>
        <w:spacing w:line="440" w:lineRule="exact"/>
        <w:ind w:left="420" w:leftChars="200" w:right="420" w:rightChars="200" w:firstLine="420" w:firstLineChars="200"/>
        <w:jc w:val="left"/>
        <w:textAlignment w:val="auto"/>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（5）技术标准和要求；</w:t>
      </w:r>
    </w:p>
    <w:p w14:paraId="7E25CC07">
      <w:pPr>
        <w:keepNext w:val="0"/>
        <w:keepLines w:val="0"/>
        <w:pageBreakBefore w:val="0"/>
        <w:widowControl w:val="0"/>
        <w:kinsoku/>
        <w:wordWrap/>
        <w:overflowPunct/>
        <w:topLinePunct w:val="0"/>
        <w:autoSpaceDE w:val="0"/>
        <w:autoSpaceDN w:val="0"/>
        <w:bidi w:val="0"/>
        <w:adjustRightInd w:val="0"/>
        <w:snapToGrid/>
        <w:spacing w:line="440" w:lineRule="exact"/>
        <w:ind w:left="420" w:leftChars="200" w:right="420" w:rightChars="200" w:firstLine="420" w:firstLineChars="200"/>
        <w:jc w:val="left"/>
        <w:textAlignment w:val="auto"/>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（6）图纸；</w:t>
      </w:r>
    </w:p>
    <w:p w14:paraId="2F6F57D0">
      <w:pPr>
        <w:keepNext w:val="0"/>
        <w:keepLines w:val="0"/>
        <w:pageBreakBefore w:val="0"/>
        <w:widowControl w:val="0"/>
        <w:kinsoku/>
        <w:wordWrap/>
        <w:overflowPunct/>
        <w:topLinePunct w:val="0"/>
        <w:autoSpaceDE w:val="0"/>
        <w:autoSpaceDN w:val="0"/>
        <w:bidi w:val="0"/>
        <w:adjustRightInd w:val="0"/>
        <w:snapToGrid/>
        <w:spacing w:line="440" w:lineRule="exact"/>
        <w:ind w:left="420" w:leftChars="200" w:right="420" w:rightChars="200" w:firstLine="420" w:firstLineChars="200"/>
        <w:jc w:val="left"/>
        <w:textAlignment w:val="auto"/>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（7）预算书；</w:t>
      </w:r>
    </w:p>
    <w:p w14:paraId="54957000">
      <w:pPr>
        <w:keepNext w:val="0"/>
        <w:keepLines w:val="0"/>
        <w:pageBreakBefore w:val="0"/>
        <w:widowControl w:val="0"/>
        <w:kinsoku/>
        <w:wordWrap/>
        <w:overflowPunct/>
        <w:topLinePunct w:val="0"/>
        <w:autoSpaceDE w:val="0"/>
        <w:autoSpaceDN w:val="0"/>
        <w:bidi w:val="0"/>
        <w:adjustRightInd w:val="0"/>
        <w:snapToGrid/>
        <w:spacing w:line="440" w:lineRule="exact"/>
        <w:ind w:left="420" w:leftChars="200" w:right="420" w:rightChars="200" w:firstLine="420" w:firstLineChars="200"/>
        <w:jc w:val="left"/>
        <w:textAlignment w:val="auto"/>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（8）其他合同文件。</w:t>
      </w:r>
    </w:p>
    <w:p w14:paraId="01421208">
      <w:pPr>
        <w:keepNext w:val="0"/>
        <w:keepLines w:val="0"/>
        <w:pageBreakBefore w:val="0"/>
        <w:widowControl w:val="0"/>
        <w:kinsoku/>
        <w:wordWrap/>
        <w:overflowPunct/>
        <w:topLinePunct w:val="0"/>
        <w:autoSpaceDE w:val="0"/>
        <w:autoSpaceDN w:val="0"/>
        <w:bidi w:val="0"/>
        <w:adjustRightInd w:val="0"/>
        <w:snapToGrid/>
        <w:spacing w:line="440" w:lineRule="exact"/>
        <w:ind w:left="420" w:leftChars="200" w:right="420" w:rightChars="200" w:firstLine="420" w:firstLineChars="200"/>
        <w:jc w:val="left"/>
        <w:textAlignment w:val="auto"/>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在合同订立及履行过程中形成的与合同有关的文件均构成合同文件组成部分。</w:t>
      </w:r>
    </w:p>
    <w:p w14:paraId="690CA5FC">
      <w:pPr>
        <w:keepNext w:val="0"/>
        <w:keepLines w:val="0"/>
        <w:pageBreakBefore w:val="0"/>
        <w:widowControl w:val="0"/>
        <w:kinsoku/>
        <w:wordWrap/>
        <w:overflowPunct/>
        <w:topLinePunct w:val="0"/>
        <w:autoSpaceDE w:val="0"/>
        <w:autoSpaceDN w:val="0"/>
        <w:bidi w:val="0"/>
        <w:adjustRightInd w:val="0"/>
        <w:snapToGrid/>
        <w:spacing w:line="440" w:lineRule="exact"/>
        <w:ind w:left="420" w:leftChars="200" w:right="420" w:rightChars="200" w:firstLine="420" w:firstLineChars="200"/>
        <w:jc w:val="left"/>
        <w:textAlignment w:val="auto"/>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上述各项合同文件包括合同当事人就该项合同文件所作出的补充和修改，属于同一类内容的文件，应以最新签署的为准。专用合同条款及其附件须经合同当事人签字或盖章。</w:t>
      </w:r>
    </w:p>
    <w:p w14:paraId="5BDC4A34">
      <w:pPr>
        <w:keepNext w:val="0"/>
        <w:keepLines w:val="0"/>
        <w:pageBreakBefore w:val="0"/>
        <w:widowControl w:val="0"/>
        <w:kinsoku/>
        <w:wordWrap/>
        <w:overflowPunct/>
        <w:topLinePunct w:val="0"/>
        <w:autoSpaceDE w:val="0"/>
        <w:autoSpaceDN w:val="0"/>
        <w:bidi w:val="0"/>
        <w:adjustRightInd w:val="0"/>
        <w:snapToGrid/>
        <w:spacing w:line="440" w:lineRule="exact"/>
        <w:ind w:left="420" w:leftChars="200" w:right="420" w:rightChars="200"/>
        <w:jc w:val="left"/>
        <w:textAlignment w:val="auto"/>
        <w:rPr>
          <w:rFonts w:hint="eastAsia" w:asciiTheme="majorEastAsia" w:hAnsiTheme="majorEastAsia" w:eastAsiaTheme="majorEastAsia" w:cstheme="majorEastAsia"/>
          <w:b w:val="0"/>
          <w:bCs w:val="0"/>
          <w:color w:val="000000"/>
          <w:sz w:val="21"/>
          <w:szCs w:val="21"/>
        </w:rPr>
      </w:pPr>
      <w:r>
        <w:rPr>
          <w:rFonts w:hint="eastAsia" w:asciiTheme="majorEastAsia" w:hAnsiTheme="majorEastAsia" w:eastAsiaTheme="majorEastAsia" w:cstheme="majorEastAsia"/>
          <w:b w:val="0"/>
          <w:color w:val="000000"/>
          <w:sz w:val="21"/>
          <w:szCs w:val="21"/>
        </w:rPr>
        <w:t xml:space="preserve"> </w:t>
      </w:r>
      <w:bookmarkStart w:id="441" w:name="_Toc386638599"/>
      <w:r>
        <w:rPr>
          <w:rFonts w:hint="eastAsia" w:asciiTheme="majorEastAsia" w:hAnsiTheme="majorEastAsia" w:eastAsiaTheme="majorEastAsia" w:cstheme="majorEastAsia"/>
          <w:b w:val="0"/>
          <w:color w:val="000000"/>
          <w:sz w:val="21"/>
          <w:szCs w:val="21"/>
        </w:rPr>
        <w:t>七、承诺</w:t>
      </w:r>
      <w:bookmarkEnd w:id="441"/>
    </w:p>
    <w:p w14:paraId="503F51CB">
      <w:pPr>
        <w:keepNext w:val="0"/>
        <w:keepLines w:val="0"/>
        <w:pageBreakBefore w:val="0"/>
        <w:widowControl w:val="0"/>
        <w:kinsoku/>
        <w:wordWrap/>
        <w:overflowPunct/>
        <w:topLinePunct w:val="0"/>
        <w:bidi w:val="0"/>
        <w:adjustRightInd w:val="0"/>
        <w:snapToGrid/>
        <w:spacing w:line="440" w:lineRule="exact"/>
        <w:ind w:left="420" w:leftChars="200" w:right="420" w:rightChars="200" w:firstLine="420" w:firstLineChars="200"/>
        <w:textAlignment w:val="auto"/>
        <w:rPr>
          <w:rFonts w:hint="eastAsia" w:asciiTheme="majorEastAsia" w:hAnsiTheme="majorEastAsia" w:eastAsiaTheme="majorEastAsia" w:cstheme="majorEastAsia"/>
          <w:bCs/>
          <w:color w:val="000000"/>
          <w:sz w:val="21"/>
          <w:szCs w:val="21"/>
        </w:rPr>
      </w:pPr>
      <w:r>
        <w:rPr>
          <w:rFonts w:hint="eastAsia" w:asciiTheme="majorEastAsia" w:hAnsiTheme="majorEastAsia" w:eastAsiaTheme="majorEastAsia" w:cstheme="majorEastAsia"/>
          <w:bCs/>
          <w:color w:val="000000"/>
          <w:sz w:val="21"/>
          <w:szCs w:val="21"/>
        </w:rPr>
        <w:t>1.发包人承诺按照法律规定履行项目审批手续、筹集工程建设资金并按照合同约定的期限和方式支付合同价款。</w:t>
      </w:r>
    </w:p>
    <w:p w14:paraId="6FB434BB">
      <w:pPr>
        <w:keepNext w:val="0"/>
        <w:keepLines w:val="0"/>
        <w:pageBreakBefore w:val="0"/>
        <w:widowControl w:val="0"/>
        <w:kinsoku/>
        <w:wordWrap/>
        <w:overflowPunct/>
        <w:topLinePunct w:val="0"/>
        <w:bidi w:val="0"/>
        <w:adjustRightInd w:val="0"/>
        <w:snapToGrid/>
        <w:spacing w:line="440" w:lineRule="exact"/>
        <w:ind w:left="420" w:leftChars="200" w:right="420" w:rightChars="200" w:firstLine="420" w:firstLineChars="200"/>
        <w:textAlignment w:val="auto"/>
        <w:rPr>
          <w:rFonts w:hint="eastAsia" w:asciiTheme="majorEastAsia" w:hAnsiTheme="majorEastAsia" w:eastAsiaTheme="majorEastAsia" w:cstheme="majorEastAsia"/>
          <w:bCs/>
          <w:color w:val="000000"/>
          <w:sz w:val="21"/>
          <w:szCs w:val="21"/>
        </w:rPr>
      </w:pPr>
      <w:r>
        <w:rPr>
          <w:rFonts w:hint="eastAsia" w:asciiTheme="majorEastAsia" w:hAnsiTheme="majorEastAsia" w:eastAsiaTheme="majorEastAsia" w:cstheme="majorEastAsia"/>
          <w:bCs/>
          <w:color w:val="000000"/>
          <w:sz w:val="21"/>
          <w:szCs w:val="21"/>
        </w:rPr>
        <w:t>2.承包人承诺按照法律规定及合同约定组织完成工程施工，确保工程质量和安全，不进行转包及违法分包，并在缺陷责任期及保修期内承担相应的工程维修责任。</w:t>
      </w:r>
    </w:p>
    <w:p w14:paraId="112B4421">
      <w:pPr>
        <w:keepNext w:val="0"/>
        <w:keepLines w:val="0"/>
        <w:pageBreakBefore w:val="0"/>
        <w:widowControl w:val="0"/>
        <w:kinsoku/>
        <w:wordWrap/>
        <w:overflowPunct/>
        <w:topLinePunct w:val="0"/>
        <w:bidi w:val="0"/>
        <w:adjustRightInd w:val="0"/>
        <w:snapToGrid/>
        <w:spacing w:line="440" w:lineRule="exact"/>
        <w:ind w:left="420" w:leftChars="200" w:right="420" w:rightChars="200" w:firstLine="420" w:firstLineChars="200"/>
        <w:textAlignment w:val="auto"/>
        <w:rPr>
          <w:rFonts w:hint="eastAsia" w:asciiTheme="majorEastAsia" w:hAnsiTheme="majorEastAsia" w:eastAsiaTheme="majorEastAsia" w:cstheme="majorEastAsia"/>
          <w:bCs/>
          <w:color w:val="000000"/>
          <w:sz w:val="21"/>
          <w:szCs w:val="21"/>
        </w:rPr>
      </w:pPr>
      <w:r>
        <w:rPr>
          <w:rFonts w:hint="eastAsia" w:asciiTheme="majorEastAsia" w:hAnsiTheme="majorEastAsia" w:eastAsiaTheme="majorEastAsia" w:cstheme="majorEastAsia"/>
          <w:bCs/>
          <w:color w:val="000000"/>
          <w:sz w:val="21"/>
          <w:szCs w:val="21"/>
        </w:rPr>
        <w:t>3.发包人和承包人通过招投标形式签订合同的，双方理解并承诺不再就同一工程另行签订与合同实质性内容相背离的协议。</w:t>
      </w:r>
    </w:p>
    <w:p w14:paraId="3C9C5808">
      <w:pPr>
        <w:keepNext w:val="0"/>
        <w:keepLines w:val="0"/>
        <w:pageBreakBefore w:val="0"/>
        <w:widowControl w:val="0"/>
        <w:kinsoku/>
        <w:wordWrap/>
        <w:overflowPunct/>
        <w:topLinePunct w:val="0"/>
        <w:bidi w:val="0"/>
        <w:adjustRightInd w:val="0"/>
        <w:snapToGrid/>
        <w:spacing w:line="440" w:lineRule="exact"/>
        <w:ind w:left="420" w:leftChars="200" w:right="420" w:rightChars="200"/>
        <w:textAlignment w:val="auto"/>
        <w:rPr>
          <w:rFonts w:hint="eastAsia" w:asciiTheme="majorEastAsia" w:hAnsiTheme="majorEastAsia" w:eastAsiaTheme="majorEastAsia" w:cstheme="majorEastAsia"/>
          <w:bCs/>
          <w:color w:val="000000"/>
          <w:sz w:val="21"/>
          <w:szCs w:val="21"/>
        </w:rPr>
      </w:pPr>
      <w:r>
        <w:rPr>
          <w:rFonts w:hint="eastAsia" w:asciiTheme="majorEastAsia" w:hAnsiTheme="majorEastAsia" w:eastAsiaTheme="majorEastAsia" w:cstheme="majorEastAsia"/>
          <w:b/>
          <w:color w:val="000000"/>
          <w:sz w:val="21"/>
          <w:szCs w:val="21"/>
          <w:lang w:eastAsia="zh-CN"/>
        </w:rPr>
        <w:t>八、</w:t>
      </w:r>
      <w:r>
        <w:rPr>
          <w:rFonts w:hint="eastAsia" w:asciiTheme="majorEastAsia" w:hAnsiTheme="majorEastAsia" w:eastAsiaTheme="majorEastAsia" w:cstheme="majorEastAsia"/>
          <w:b/>
          <w:color w:val="000000"/>
          <w:sz w:val="21"/>
          <w:szCs w:val="21"/>
        </w:rPr>
        <w:t>词语含义</w:t>
      </w:r>
    </w:p>
    <w:p w14:paraId="2C89BD59">
      <w:pPr>
        <w:keepNext w:val="0"/>
        <w:keepLines w:val="0"/>
        <w:pageBreakBefore w:val="0"/>
        <w:widowControl w:val="0"/>
        <w:kinsoku/>
        <w:wordWrap/>
        <w:overflowPunct/>
        <w:topLinePunct w:val="0"/>
        <w:bidi w:val="0"/>
        <w:adjustRightInd w:val="0"/>
        <w:snapToGrid/>
        <w:spacing w:line="440" w:lineRule="exact"/>
        <w:ind w:left="420" w:leftChars="200" w:right="420" w:rightChars="200" w:firstLine="420" w:firstLineChars="200"/>
        <w:textAlignment w:val="auto"/>
        <w:rPr>
          <w:rFonts w:hint="eastAsia" w:asciiTheme="majorEastAsia" w:hAnsiTheme="majorEastAsia" w:eastAsiaTheme="majorEastAsia" w:cstheme="majorEastAsia"/>
          <w:bCs/>
          <w:color w:val="000000"/>
          <w:sz w:val="21"/>
          <w:szCs w:val="21"/>
        </w:rPr>
      </w:pPr>
      <w:r>
        <w:rPr>
          <w:rFonts w:hint="eastAsia" w:asciiTheme="majorEastAsia" w:hAnsiTheme="majorEastAsia" w:eastAsiaTheme="majorEastAsia" w:cstheme="majorEastAsia"/>
          <w:bCs/>
          <w:color w:val="000000"/>
          <w:sz w:val="21"/>
          <w:szCs w:val="21"/>
        </w:rPr>
        <w:t>本协议书中词语含义与第</w:t>
      </w:r>
      <w:r>
        <w:rPr>
          <w:rFonts w:hint="eastAsia" w:asciiTheme="majorEastAsia" w:hAnsiTheme="majorEastAsia" w:eastAsiaTheme="majorEastAsia" w:cstheme="majorEastAsia"/>
          <w:bCs/>
          <w:color w:val="000000"/>
          <w:sz w:val="21"/>
          <w:szCs w:val="21"/>
          <w:lang w:eastAsia="zh-CN"/>
        </w:rPr>
        <w:t>二</w:t>
      </w:r>
      <w:r>
        <w:rPr>
          <w:rFonts w:hint="eastAsia" w:asciiTheme="majorEastAsia" w:hAnsiTheme="majorEastAsia" w:eastAsiaTheme="majorEastAsia" w:cstheme="majorEastAsia"/>
          <w:bCs/>
          <w:color w:val="000000"/>
          <w:sz w:val="21"/>
          <w:szCs w:val="21"/>
        </w:rPr>
        <w:t>部分通用合同条款中赋予的含义相同。</w:t>
      </w:r>
      <w:bookmarkStart w:id="442" w:name="_Toc386638600"/>
    </w:p>
    <w:p w14:paraId="7A6F0623">
      <w:pPr>
        <w:keepNext w:val="0"/>
        <w:keepLines w:val="0"/>
        <w:pageBreakBefore w:val="0"/>
        <w:widowControl w:val="0"/>
        <w:kinsoku/>
        <w:wordWrap/>
        <w:overflowPunct/>
        <w:topLinePunct w:val="0"/>
        <w:bidi w:val="0"/>
        <w:adjustRightInd w:val="0"/>
        <w:snapToGrid/>
        <w:spacing w:line="440" w:lineRule="exact"/>
        <w:ind w:left="420" w:leftChars="200" w:right="420" w:rightChars="200"/>
        <w:textAlignment w:val="auto"/>
        <w:rPr>
          <w:rFonts w:hint="eastAsia" w:asciiTheme="majorEastAsia" w:hAnsiTheme="majorEastAsia" w:eastAsiaTheme="majorEastAsia" w:cstheme="majorEastAsia"/>
          <w:bCs w:val="0"/>
          <w:color w:val="000000"/>
          <w:sz w:val="21"/>
          <w:szCs w:val="21"/>
        </w:rPr>
      </w:pPr>
      <w:r>
        <w:rPr>
          <w:rFonts w:hint="eastAsia" w:asciiTheme="majorEastAsia" w:hAnsiTheme="majorEastAsia" w:eastAsiaTheme="majorEastAsia" w:cstheme="majorEastAsia"/>
          <w:b w:val="0"/>
          <w:color w:val="000000"/>
          <w:sz w:val="21"/>
          <w:szCs w:val="21"/>
        </w:rPr>
        <w:t>九、签订时间</w:t>
      </w:r>
      <w:bookmarkEnd w:id="442"/>
    </w:p>
    <w:p w14:paraId="17555B20">
      <w:pPr>
        <w:keepNext w:val="0"/>
        <w:keepLines w:val="0"/>
        <w:pageBreakBefore w:val="0"/>
        <w:widowControl w:val="0"/>
        <w:kinsoku/>
        <w:wordWrap/>
        <w:overflowPunct/>
        <w:topLinePunct w:val="0"/>
        <w:bidi w:val="0"/>
        <w:adjustRightInd w:val="0"/>
        <w:snapToGrid/>
        <w:spacing w:line="440" w:lineRule="exact"/>
        <w:ind w:left="420" w:leftChars="200" w:right="420" w:rightChars="200" w:firstLine="420" w:firstLineChars="200"/>
        <w:textAlignment w:val="auto"/>
        <w:rPr>
          <w:rFonts w:hint="eastAsia" w:asciiTheme="majorEastAsia" w:hAnsiTheme="majorEastAsia" w:eastAsiaTheme="majorEastAsia" w:cstheme="majorEastAsia"/>
          <w:bCs/>
          <w:color w:val="000000"/>
          <w:sz w:val="21"/>
          <w:szCs w:val="21"/>
        </w:rPr>
      </w:pPr>
      <w:r>
        <w:rPr>
          <w:rFonts w:hint="eastAsia" w:asciiTheme="majorEastAsia" w:hAnsiTheme="majorEastAsia" w:eastAsiaTheme="majorEastAsia" w:cstheme="majorEastAsia"/>
          <w:bCs/>
          <w:color w:val="000000"/>
          <w:sz w:val="21"/>
          <w:szCs w:val="21"/>
        </w:rPr>
        <w:t>本合同于</w:t>
      </w:r>
      <w:r>
        <w:rPr>
          <w:rFonts w:hint="eastAsia" w:asciiTheme="majorEastAsia" w:hAnsiTheme="majorEastAsia" w:eastAsiaTheme="majorEastAsia" w:cstheme="majorEastAsia"/>
          <w:bCs/>
          <w:color w:val="000000"/>
          <w:sz w:val="21"/>
          <w:szCs w:val="21"/>
          <w:u w:val="single"/>
        </w:rPr>
        <w:t xml:space="preserve">         </w:t>
      </w:r>
      <w:r>
        <w:rPr>
          <w:rFonts w:hint="eastAsia" w:asciiTheme="majorEastAsia" w:hAnsiTheme="majorEastAsia" w:eastAsiaTheme="majorEastAsia" w:cstheme="majorEastAsia"/>
          <w:bCs/>
          <w:color w:val="000000"/>
          <w:sz w:val="21"/>
          <w:szCs w:val="21"/>
        </w:rPr>
        <w:t>年</w:t>
      </w:r>
      <w:r>
        <w:rPr>
          <w:rFonts w:hint="eastAsia" w:asciiTheme="majorEastAsia" w:hAnsiTheme="majorEastAsia" w:eastAsiaTheme="majorEastAsia" w:cstheme="majorEastAsia"/>
          <w:bCs/>
          <w:color w:val="000000"/>
          <w:sz w:val="21"/>
          <w:szCs w:val="21"/>
          <w:u w:val="single"/>
        </w:rPr>
        <w:t xml:space="preserve">     </w:t>
      </w:r>
      <w:r>
        <w:rPr>
          <w:rFonts w:hint="eastAsia" w:asciiTheme="majorEastAsia" w:hAnsiTheme="majorEastAsia" w:eastAsiaTheme="majorEastAsia" w:cstheme="majorEastAsia"/>
          <w:bCs/>
          <w:color w:val="000000"/>
          <w:sz w:val="21"/>
          <w:szCs w:val="21"/>
        </w:rPr>
        <w:t>月</w:t>
      </w:r>
      <w:r>
        <w:rPr>
          <w:rFonts w:hint="eastAsia" w:asciiTheme="majorEastAsia" w:hAnsiTheme="majorEastAsia" w:eastAsiaTheme="majorEastAsia" w:cstheme="majorEastAsia"/>
          <w:bCs/>
          <w:color w:val="000000"/>
          <w:sz w:val="21"/>
          <w:szCs w:val="21"/>
          <w:u w:val="single"/>
        </w:rPr>
        <w:t xml:space="preserve">     </w:t>
      </w:r>
      <w:r>
        <w:rPr>
          <w:rFonts w:hint="eastAsia" w:asciiTheme="majorEastAsia" w:hAnsiTheme="majorEastAsia" w:eastAsiaTheme="majorEastAsia" w:cstheme="majorEastAsia"/>
          <w:bCs/>
          <w:color w:val="000000"/>
          <w:sz w:val="21"/>
          <w:szCs w:val="21"/>
        </w:rPr>
        <w:t>日签订。</w:t>
      </w:r>
      <w:bookmarkStart w:id="443" w:name="_Toc386638601"/>
    </w:p>
    <w:p w14:paraId="65F1C1D6">
      <w:pPr>
        <w:keepNext w:val="0"/>
        <w:keepLines w:val="0"/>
        <w:pageBreakBefore w:val="0"/>
        <w:widowControl w:val="0"/>
        <w:kinsoku/>
        <w:wordWrap/>
        <w:overflowPunct/>
        <w:topLinePunct w:val="0"/>
        <w:bidi w:val="0"/>
        <w:adjustRightInd w:val="0"/>
        <w:snapToGrid/>
        <w:spacing w:line="440" w:lineRule="exact"/>
        <w:ind w:left="420" w:leftChars="200" w:right="420" w:rightChars="200"/>
        <w:textAlignment w:val="auto"/>
        <w:rPr>
          <w:rFonts w:hint="eastAsia" w:asciiTheme="majorEastAsia" w:hAnsiTheme="majorEastAsia" w:eastAsiaTheme="majorEastAsia" w:cstheme="majorEastAsia"/>
          <w:bCs w:val="0"/>
          <w:color w:val="000000"/>
          <w:sz w:val="21"/>
          <w:szCs w:val="21"/>
        </w:rPr>
      </w:pPr>
      <w:r>
        <w:rPr>
          <w:rFonts w:hint="eastAsia" w:asciiTheme="majorEastAsia" w:hAnsiTheme="majorEastAsia" w:eastAsiaTheme="majorEastAsia" w:cstheme="majorEastAsia"/>
          <w:b w:val="0"/>
          <w:color w:val="000000"/>
          <w:sz w:val="21"/>
          <w:szCs w:val="21"/>
        </w:rPr>
        <w:t>十、签订地点</w:t>
      </w:r>
      <w:bookmarkEnd w:id="443"/>
    </w:p>
    <w:p w14:paraId="3BD4EF3B">
      <w:pPr>
        <w:keepNext w:val="0"/>
        <w:keepLines w:val="0"/>
        <w:pageBreakBefore w:val="0"/>
        <w:widowControl w:val="0"/>
        <w:kinsoku/>
        <w:wordWrap/>
        <w:overflowPunct/>
        <w:topLinePunct w:val="0"/>
        <w:bidi w:val="0"/>
        <w:adjustRightInd w:val="0"/>
        <w:snapToGrid/>
        <w:spacing w:line="440" w:lineRule="exact"/>
        <w:ind w:left="420" w:leftChars="200" w:right="420" w:rightChars="200" w:firstLine="420" w:firstLineChars="200"/>
        <w:textAlignment w:val="auto"/>
        <w:rPr>
          <w:rFonts w:hint="eastAsia" w:asciiTheme="majorEastAsia" w:hAnsiTheme="majorEastAsia" w:eastAsiaTheme="majorEastAsia" w:cstheme="majorEastAsia"/>
          <w:bCs/>
          <w:color w:val="000000"/>
          <w:sz w:val="21"/>
          <w:szCs w:val="21"/>
        </w:rPr>
      </w:pPr>
      <w:r>
        <w:rPr>
          <w:rFonts w:hint="eastAsia" w:asciiTheme="majorEastAsia" w:hAnsiTheme="majorEastAsia" w:eastAsiaTheme="majorEastAsia" w:cstheme="majorEastAsia"/>
          <w:bCs/>
          <w:color w:val="000000"/>
          <w:sz w:val="21"/>
          <w:szCs w:val="21"/>
        </w:rPr>
        <w:t>本合同在</w:t>
      </w:r>
      <w:r>
        <w:rPr>
          <w:rFonts w:hint="eastAsia" w:asciiTheme="majorEastAsia" w:hAnsiTheme="majorEastAsia" w:eastAsiaTheme="majorEastAsia" w:cstheme="majorEastAsia"/>
          <w:bCs/>
          <w:color w:val="000000"/>
          <w:sz w:val="21"/>
          <w:szCs w:val="21"/>
          <w:u w:val="single"/>
        </w:rPr>
        <w:t xml:space="preserve">                      </w:t>
      </w:r>
      <w:r>
        <w:rPr>
          <w:rFonts w:hint="eastAsia" w:asciiTheme="majorEastAsia" w:hAnsiTheme="majorEastAsia" w:eastAsiaTheme="majorEastAsia" w:cstheme="majorEastAsia"/>
          <w:bCs/>
          <w:color w:val="000000"/>
          <w:sz w:val="21"/>
          <w:szCs w:val="21"/>
        </w:rPr>
        <w:t>签订。</w:t>
      </w:r>
      <w:bookmarkStart w:id="444" w:name="_Toc386638602"/>
    </w:p>
    <w:p w14:paraId="5A167124">
      <w:pPr>
        <w:keepNext w:val="0"/>
        <w:keepLines w:val="0"/>
        <w:pageBreakBefore w:val="0"/>
        <w:widowControl w:val="0"/>
        <w:kinsoku/>
        <w:wordWrap/>
        <w:overflowPunct/>
        <w:topLinePunct w:val="0"/>
        <w:bidi w:val="0"/>
        <w:adjustRightInd w:val="0"/>
        <w:snapToGrid/>
        <w:spacing w:line="440" w:lineRule="exact"/>
        <w:ind w:left="420" w:leftChars="200" w:right="420" w:rightChars="200"/>
        <w:textAlignment w:val="auto"/>
        <w:rPr>
          <w:rFonts w:hint="eastAsia" w:asciiTheme="majorEastAsia" w:hAnsiTheme="majorEastAsia" w:eastAsiaTheme="majorEastAsia" w:cstheme="majorEastAsia"/>
          <w:bCs w:val="0"/>
          <w:color w:val="000000"/>
          <w:sz w:val="21"/>
          <w:szCs w:val="21"/>
        </w:rPr>
      </w:pPr>
      <w:r>
        <w:rPr>
          <w:rFonts w:hint="eastAsia" w:asciiTheme="majorEastAsia" w:hAnsiTheme="majorEastAsia" w:eastAsiaTheme="majorEastAsia" w:cstheme="majorEastAsia"/>
          <w:b w:val="0"/>
          <w:color w:val="000000"/>
          <w:sz w:val="21"/>
          <w:szCs w:val="21"/>
        </w:rPr>
        <w:t>十一、补充协议</w:t>
      </w:r>
      <w:bookmarkEnd w:id="444"/>
    </w:p>
    <w:p w14:paraId="1C2DB360">
      <w:pPr>
        <w:keepNext w:val="0"/>
        <w:keepLines w:val="0"/>
        <w:pageBreakBefore w:val="0"/>
        <w:widowControl w:val="0"/>
        <w:kinsoku/>
        <w:wordWrap/>
        <w:overflowPunct/>
        <w:topLinePunct w:val="0"/>
        <w:bidi w:val="0"/>
        <w:adjustRightInd w:val="0"/>
        <w:snapToGrid/>
        <w:spacing w:line="440" w:lineRule="exact"/>
        <w:ind w:left="420" w:leftChars="200" w:right="420" w:rightChars="200" w:firstLine="420" w:firstLineChars="200"/>
        <w:textAlignment w:val="auto"/>
        <w:rPr>
          <w:rFonts w:hint="eastAsia" w:asciiTheme="majorEastAsia" w:hAnsiTheme="majorEastAsia" w:eastAsiaTheme="majorEastAsia" w:cstheme="majorEastAsia"/>
          <w:bCs/>
          <w:color w:val="000000"/>
          <w:sz w:val="21"/>
          <w:szCs w:val="21"/>
        </w:rPr>
      </w:pPr>
      <w:r>
        <w:rPr>
          <w:rFonts w:hint="eastAsia" w:asciiTheme="majorEastAsia" w:hAnsiTheme="majorEastAsia" w:eastAsiaTheme="majorEastAsia" w:cstheme="majorEastAsia"/>
          <w:bCs/>
          <w:color w:val="000000"/>
          <w:sz w:val="21"/>
          <w:szCs w:val="21"/>
        </w:rPr>
        <w:t>合同未尽事宜，合同当事人另行签订补充协议，补充协议是合同的组成部分。</w:t>
      </w:r>
      <w:bookmarkStart w:id="445" w:name="_Toc386638603"/>
    </w:p>
    <w:p w14:paraId="0C138767">
      <w:pPr>
        <w:keepNext w:val="0"/>
        <w:keepLines w:val="0"/>
        <w:pageBreakBefore w:val="0"/>
        <w:widowControl w:val="0"/>
        <w:kinsoku/>
        <w:wordWrap/>
        <w:overflowPunct/>
        <w:topLinePunct w:val="0"/>
        <w:bidi w:val="0"/>
        <w:adjustRightInd w:val="0"/>
        <w:snapToGrid/>
        <w:spacing w:line="440" w:lineRule="exact"/>
        <w:ind w:left="420" w:leftChars="200" w:right="420" w:rightChars="200"/>
        <w:textAlignment w:val="auto"/>
        <w:rPr>
          <w:rFonts w:hint="eastAsia" w:asciiTheme="majorEastAsia" w:hAnsiTheme="majorEastAsia" w:eastAsiaTheme="majorEastAsia" w:cstheme="majorEastAsia"/>
          <w:bCs w:val="0"/>
          <w:color w:val="000000"/>
          <w:sz w:val="21"/>
          <w:szCs w:val="21"/>
        </w:rPr>
      </w:pPr>
      <w:r>
        <w:rPr>
          <w:rFonts w:hint="eastAsia" w:asciiTheme="majorEastAsia" w:hAnsiTheme="majorEastAsia" w:eastAsiaTheme="majorEastAsia" w:cstheme="majorEastAsia"/>
          <w:b w:val="0"/>
          <w:color w:val="000000"/>
          <w:sz w:val="21"/>
          <w:szCs w:val="21"/>
        </w:rPr>
        <w:t>十二、合同生效</w:t>
      </w:r>
      <w:bookmarkEnd w:id="445"/>
    </w:p>
    <w:p w14:paraId="14086933">
      <w:pPr>
        <w:keepNext w:val="0"/>
        <w:keepLines w:val="0"/>
        <w:pageBreakBefore w:val="0"/>
        <w:widowControl w:val="0"/>
        <w:kinsoku/>
        <w:wordWrap/>
        <w:overflowPunct/>
        <w:topLinePunct w:val="0"/>
        <w:bidi w:val="0"/>
        <w:adjustRightInd w:val="0"/>
        <w:snapToGrid/>
        <w:spacing w:line="440" w:lineRule="exact"/>
        <w:ind w:left="420" w:leftChars="200" w:right="420" w:rightChars="200" w:firstLine="420" w:firstLineChars="200"/>
        <w:textAlignment w:val="auto"/>
        <w:rPr>
          <w:rFonts w:hint="eastAsia" w:asciiTheme="majorEastAsia" w:hAnsiTheme="majorEastAsia" w:eastAsiaTheme="majorEastAsia" w:cstheme="majorEastAsia"/>
          <w:bCs/>
          <w:color w:val="000000"/>
          <w:sz w:val="21"/>
          <w:szCs w:val="21"/>
        </w:rPr>
      </w:pPr>
      <w:r>
        <w:rPr>
          <w:rFonts w:hint="eastAsia" w:asciiTheme="majorEastAsia" w:hAnsiTheme="majorEastAsia" w:eastAsiaTheme="majorEastAsia" w:cstheme="majorEastAsia"/>
          <w:bCs/>
          <w:color w:val="000000"/>
          <w:sz w:val="21"/>
          <w:szCs w:val="21"/>
        </w:rPr>
        <w:t>本合同自</w:t>
      </w:r>
      <w:r>
        <w:rPr>
          <w:rFonts w:hint="eastAsia" w:asciiTheme="majorEastAsia" w:hAnsiTheme="majorEastAsia" w:eastAsiaTheme="majorEastAsia" w:cstheme="majorEastAsia"/>
          <w:bCs/>
          <w:color w:val="000000"/>
          <w:sz w:val="21"/>
          <w:szCs w:val="21"/>
          <w:u w:val="single"/>
        </w:rPr>
        <w:t xml:space="preserve"> 双方加盖单位印章并经法定代表人或其委托代理人签字，并按约定提供履约担保后 </w:t>
      </w:r>
      <w:r>
        <w:rPr>
          <w:rFonts w:hint="eastAsia" w:asciiTheme="majorEastAsia" w:hAnsiTheme="majorEastAsia" w:eastAsiaTheme="majorEastAsia" w:cstheme="majorEastAsia"/>
          <w:bCs/>
          <w:color w:val="000000"/>
          <w:sz w:val="21"/>
          <w:szCs w:val="21"/>
        </w:rPr>
        <w:t>生效。</w:t>
      </w:r>
    </w:p>
    <w:p w14:paraId="19075919">
      <w:pPr>
        <w:keepNext w:val="0"/>
        <w:keepLines w:val="0"/>
        <w:pageBreakBefore w:val="0"/>
        <w:widowControl w:val="0"/>
        <w:kinsoku/>
        <w:wordWrap/>
        <w:overflowPunct/>
        <w:topLinePunct w:val="0"/>
        <w:bidi w:val="0"/>
        <w:adjustRightInd w:val="0"/>
        <w:snapToGrid/>
        <w:spacing w:line="440" w:lineRule="exact"/>
        <w:ind w:left="420" w:leftChars="200" w:right="420" w:rightChars="200"/>
        <w:textAlignment w:val="auto"/>
        <w:rPr>
          <w:rFonts w:hint="eastAsia" w:asciiTheme="majorEastAsia" w:hAnsiTheme="majorEastAsia" w:eastAsiaTheme="majorEastAsia" w:cstheme="majorEastAsia"/>
          <w:bCs w:val="0"/>
          <w:color w:val="000000"/>
          <w:sz w:val="21"/>
          <w:szCs w:val="21"/>
        </w:rPr>
      </w:pPr>
      <w:r>
        <w:rPr>
          <w:rFonts w:hint="eastAsia" w:asciiTheme="majorEastAsia" w:hAnsiTheme="majorEastAsia" w:eastAsiaTheme="majorEastAsia" w:cstheme="majorEastAsia"/>
          <w:bCs w:val="0"/>
          <w:color w:val="000000"/>
          <w:sz w:val="21"/>
          <w:szCs w:val="21"/>
        </w:rPr>
        <w:t xml:space="preserve"> </w:t>
      </w:r>
      <w:bookmarkStart w:id="446" w:name="_Toc386638604"/>
      <w:r>
        <w:rPr>
          <w:rFonts w:hint="eastAsia" w:asciiTheme="majorEastAsia" w:hAnsiTheme="majorEastAsia" w:eastAsiaTheme="majorEastAsia" w:cstheme="majorEastAsia"/>
          <w:b w:val="0"/>
          <w:color w:val="000000"/>
          <w:sz w:val="21"/>
          <w:szCs w:val="21"/>
        </w:rPr>
        <w:t>十三、合同份数</w:t>
      </w:r>
      <w:bookmarkEnd w:id="446"/>
    </w:p>
    <w:p w14:paraId="70A2A6FB">
      <w:pPr>
        <w:keepNext w:val="0"/>
        <w:keepLines w:val="0"/>
        <w:pageBreakBefore w:val="0"/>
        <w:widowControl w:val="0"/>
        <w:kinsoku/>
        <w:wordWrap/>
        <w:overflowPunct/>
        <w:topLinePunct w:val="0"/>
        <w:bidi w:val="0"/>
        <w:adjustRightInd w:val="0"/>
        <w:snapToGrid/>
        <w:spacing w:line="440" w:lineRule="exact"/>
        <w:ind w:left="420" w:leftChars="200" w:right="420" w:rightChars="200" w:firstLine="420" w:firstLineChars="200"/>
        <w:textAlignment w:val="auto"/>
        <w:rPr>
          <w:rFonts w:hint="eastAsia" w:asciiTheme="majorEastAsia" w:hAnsiTheme="majorEastAsia" w:eastAsiaTheme="majorEastAsia" w:cstheme="majorEastAsia"/>
          <w:bCs/>
          <w:color w:val="000000"/>
          <w:sz w:val="21"/>
          <w:szCs w:val="21"/>
        </w:rPr>
      </w:pPr>
      <w:r>
        <w:rPr>
          <w:rFonts w:hint="eastAsia" w:asciiTheme="majorEastAsia" w:hAnsiTheme="majorEastAsia" w:eastAsiaTheme="majorEastAsia" w:cstheme="majorEastAsia"/>
          <w:bCs/>
          <w:color w:val="000000"/>
          <w:sz w:val="21"/>
          <w:szCs w:val="21"/>
        </w:rPr>
        <w:t>本合同一式</w:t>
      </w:r>
      <w:r>
        <w:rPr>
          <w:rFonts w:hint="eastAsia" w:asciiTheme="majorEastAsia" w:hAnsiTheme="majorEastAsia" w:eastAsiaTheme="majorEastAsia" w:cstheme="majorEastAsia"/>
          <w:bCs/>
          <w:color w:val="000000"/>
          <w:sz w:val="21"/>
          <w:szCs w:val="21"/>
          <w:u w:val="single"/>
        </w:rPr>
        <w:t xml:space="preserve">伍 </w:t>
      </w:r>
      <w:r>
        <w:rPr>
          <w:rFonts w:hint="eastAsia" w:asciiTheme="majorEastAsia" w:hAnsiTheme="majorEastAsia" w:eastAsiaTheme="majorEastAsia" w:cstheme="majorEastAsia"/>
          <w:bCs/>
          <w:color w:val="000000"/>
          <w:sz w:val="21"/>
          <w:szCs w:val="21"/>
        </w:rPr>
        <w:t>份，均具有同等法律效力，发包人执</w:t>
      </w:r>
      <w:r>
        <w:rPr>
          <w:rFonts w:hint="eastAsia" w:asciiTheme="majorEastAsia" w:hAnsiTheme="majorEastAsia" w:eastAsiaTheme="majorEastAsia" w:cstheme="majorEastAsia"/>
          <w:bCs/>
          <w:color w:val="000000"/>
          <w:sz w:val="21"/>
          <w:szCs w:val="21"/>
          <w:u w:val="single"/>
        </w:rPr>
        <w:t xml:space="preserve"> 贰 </w:t>
      </w:r>
      <w:r>
        <w:rPr>
          <w:rFonts w:hint="eastAsia" w:asciiTheme="majorEastAsia" w:hAnsiTheme="majorEastAsia" w:eastAsiaTheme="majorEastAsia" w:cstheme="majorEastAsia"/>
          <w:bCs/>
          <w:color w:val="000000"/>
          <w:sz w:val="21"/>
          <w:szCs w:val="21"/>
        </w:rPr>
        <w:t>份，承包人执</w:t>
      </w:r>
      <w:r>
        <w:rPr>
          <w:rFonts w:hint="eastAsia" w:asciiTheme="majorEastAsia" w:hAnsiTheme="majorEastAsia" w:eastAsiaTheme="majorEastAsia" w:cstheme="majorEastAsia"/>
          <w:bCs/>
          <w:color w:val="000000"/>
          <w:sz w:val="21"/>
          <w:szCs w:val="21"/>
          <w:u w:val="single"/>
        </w:rPr>
        <w:t xml:space="preserve"> 贰 </w:t>
      </w:r>
      <w:r>
        <w:rPr>
          <w:rFonts w:hint="eastAsia" w:asciiTheme="majorEastAsia" w:hAnsiTheme="majorEastAsia" w:eastAsiaTheme="majorEastAsia" w:cstheme="majorEastAsia"/>
          <w:bCs/>
          <w:color w:val="000000"/>
          <w:sz w:val="21"/>
          <w:szCs w:val="21"/>
        </w:rPr>
        <w:t>份，送宁海县公共资源交管办一份备案。</w:t>
      </w:r>
    </w:p>
    <w:p w14:paraId="05970F64">
      <w:pPr>
        <w:keepNext w:val="0"/>
        <w:keepLines w:val="0"/>
        <w:pageBreakBefore w:val="0"/>
        <w:widowControl w:val="0"/>
        <w:kinsoku/>
        <w:wordWrap/>
        <w:overflowPunct/>
        <w:topLinePunct w:val="0"/>
        <w:bidi w:val="0"/>
        <w:adjustRightInd w:val="0"/>
        <w:snapToGrid/>
        <w:spacing w:line="440" w:lineRule="exact"/>
        <w:ind w:left="420" w:leftChars="200" w:right="420" w:rightChars="200"/>
        <w:textAlignment w:val="auto"/>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发包人：  (公章)             承包人：  (公章)</w:t>
      </w:r>
    </w:p>
    <w:p w14:paraId="08539536">
      <w:pPr>
        <w:keepNext w:val="0"/>
        <w:keepLines w:val="0"/>
        <w:pageBreakBefore w:val="0"/>
        <w:widowControl w:val="0"/>
        <w:kinsoku/>
        <w:wordWrap/>
        <w:overflowPunct/>
        <w:topLinePunct w:val="0"/>
        <w:bidi w:val="0"/>
        <w:adjustRightInd w:val="0"/>
        <w:snapToGrid/>
        <w:spacing w:line="440" w:lineRule="exact"/>
        <w:ind w:left="420" w:leftChars="200" w:right="420" w:rightChars="200"/>
        <w:textAlignment w:val="auto"/>
        <w:rPr>
          <w:rFonts w:hint="eastAsia" w:asciiTheme="majorEastAsia" w:hAnsiTheme="majorEastAsia" w:eastAsiaTheme="majorEastAsia" w:cstheme="majorEastAsia"/>
          <w:color w:val="000000"/>
          <w:sz w:val="21"/>
          <w:szCs w:val="21"/>
          <w:u w:val="single"/>
        </w:rPr>
      </w:pPr>
      <w:r>
        <w:rPr>
          <w:rFonts w:hint="eastAsia" w:asciiTheme="majorEastAsia" w:hAnsiTheme="majorEastAsia" w:eastAsiaTheme="majorEastAsia" w:cstheme="majorEastAsia"/>
          <w:color w:val="000000"/>
          <w:sz w:val="21"/>
          <w:szCs w:val="21"/>
        </w:rPr>
        <w:t xml:space="preserve">                                 </w:t>
      </w:r>
    </w:p>
    <w:p w14:paraId="3D327C74">
      <w:pPr>
        <w:keepNext w:val="0"/>
        <w:keepLines w:val="0"/>
        <w:pageBreakBefore w:val="0"/>
        <w:widowControl w:val="0"/>
        <w:kinsoku/>
        <w:wordWrap/>
        <w:overflowPunct/>
        <w:topLinePunct w:val="0"/>
        <w:bidi w:val="0"/>
        <w:adjustRightInd w:val="0"/>
        <w:snapToGrid/>
        <w:spacing w:line="440" w:lineRule="exact"/>
        <w:ind w:left="420" w:leftChars="200" w:right="420" w:rightChars="200"/>
        <w:textAlignment w:val="auto"/>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法定代表人或其委托代理人：  法定代表人或其委托代理人：</w:t>
      </w:r>
    </w:p>
    <w:p w14:paraId="7DD63C70">
      <w:pPr>
        <w:keepNext w:val="0"/>
        <w:keepLines w:val="0"/>
        <w:pageBreakBefore w:val="0"/>
        <w:widowControl w:val="0"/>
        <w:kinsoku/>
        <w:wordWrap/>
        <w:overflowPunct/>
        <w:topLinePunct w:val="0"/>
        <w:bidi w:val="0"/>
        <w:adjustRightInd w:val="0"/>
        <w:snapToGrid/>
        <w:spacing w:line="440" w:lineRule="exact"/>
        <w:ind w:left="420" w:leftChars="200" w:right="420" w:rightChars="200"/>
        <w:textAlignment w:val="auto"/>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（签字）                    （签字）</w:t>
      </w:r>
    </w:p>
    <w:p w14:paraId="2E5DC7A6">
      <w:pPr>
        <w:keepNext w:val="0"/>
        <w:keepLines w:val="0"/>
        <w:pageBreakBefore w:val="0"/>
        <w:widowControl w:val="0"/>
        <w:kinsoku/>
        <w:wordWrap/>
        <w:overflowPunct/>
        <w:topLinePunct w:val="0"/>
        <w:bidi w:val="0"/>
        <w:adjustRightInd w:val="0"/>
        <w:snapToGrid/>
        <w:spacing w:line="440" w:lineRule="exact"/>
        <w:ind w:left="420" w:leftChars="200" w:right="420" w:rightChars="200"/>
        <w:textAlignment w:val="auto"/>
        <w:rPr>
          <w:rFonts w:hint="eastAsia" w:asciiTheme="majorEastAsia" w:hAnsiTheme="majorEastAsia" w:eastAsiaTheme="majorEastAsia" w:cstheme="majorEastAsia"/>
          <w:color w:val="000000"/>
          <w:sz w:val="21"/>
          <w:szCs w:val="21"/>
          <w:u w:val="single"/>
        </w:rPr>
      </w:pPr>
    </w:p>
    <w:p w14:paraId="3B60B11D">
      <w:pPr>
        <w:keepNext w:val="0"/>
        <w:keepLines w:val="0"/>
        <w:pageBreakBefore w:val="0"/>
        <w:widowControl w:val="0"/>
        <w:tabs>
          <w:tab w:val="left" w:pos="4410"/>
        </w:tabs>
        <w:kinsoku/>
        <w:wordWrap/>
        <w:overflowPunct/>
        <w:topLinePunct w:val="0"/>
        <w:bidi w:val="0"/>
        <w:adjustRightInd w:val="0"/>
        <w:snapToGrid/>
        <w:spacing w:line="440" w:lineRule="exact"/>
        <w:ind w:left="420" w:leftChars="200" w:right="420" w:rightChars="200"/>
        <w:textAlignment w:val="auto"/>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组织机构代码：</w:t>
      </w:r>
      <w:r>
        <w:rPr>
          <w:rFonts w:hint="eastAsia" w:asciiTheme="majorEastAsia" w:hAnsiTheme="majorEastAsia" w:eastAsiaTheme="majorEastAsia" w:cstheme="majorEastAsia"/>
          <w:color w:val="000000"/>
          <w:sz w:val="21"/>
          <w:szCs w:val="21"/>
          <w:u w:val="single"/>
        </w:rPr>
        <w:t xml:space="preserve">       </w:t>
      </w:r>
      <w:r>
        <w:rPr>
          <w:rFonts w:hint="eastAsia" w:asciiTheme="majorEastAsia" w:hAnsiTheme="majorEastAsia" w:eastAsiaTheme="majorEastAsia" w:cstheme="majorEastAsia"/>
          <w:color w:val="000000"/>
          <w:sz w:val="21"/>
          <w:szCs w:val="21"/>
        </w:rPr>
        <w:t xml:space="preserve">  组织机构代码：</w:t>
      </w:r>
      <w:r>
        <w:rPr>
          <w:rFonts w:hint="eastAsia" w:asciiTheme="majorEastAsia" w:hAnsiTheme="majorEastAsia" w:eastAsiaTheme="majorEastAsia" w:cstheme="majorEastAsia"/>
          <w:color w:val="000000"/>
          <w:sz w:val="21"/>
          <w:szCs w:val="21"/>
          <w:u w:val="single"/>
        </w:rPr>
        <w:t xml:space="preserve">          </w:t>
      </w:r>
      <w:r>
        <w:rPr>
          <w:rFonts w:hint="eastAsia" w:asciiTheme="majorEastAsia" w:hAnsiTheme="majorEastAsia" w:eastAsiaTheme="majorEastAsia" w:cstheme="majorEastAsia"/>
          <w:color w:val="000000"/>
          <w:sz w:val="21"/>
          <w:szCs w:val="21"/>
        </w:rPr>
        <w:t xml:space="preserve"> </w:t>
      </w:r>
    </w:p>
    <w:p w14:paraId="2D1F7406">
      <w:pPr>
        <w:keepNext w:val="0"/>
        <w:keepLines w:val="0"/>
        <w:pageBreakBefore w:val="0"/>
        <w:widowControl w:val="0"/>
        <w:kinsoku/>
        <w:wordWrap/>
        <w:overflowPunct/>
        <w:topLinePunct w:val="0"/>
        <w:bidi w:val="0"/>
        <w:adjustRightInd w:val="0"/>
        <w:snapToGrid/>
        <w:spacing w:line="440" w:lineRule="exact"/>
        <w:ind w:left="420" w:leftChars="200" w:right="420" w:rightChars="200"/>
        <w:textAlignment w:val="auto"/>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地  址：</w:t>
      </w:r>
      <w:r>
        <w:rPr>
          <w:rFonts w:hint="eastAsia" w:asciiTheme="majorEastAsia" w:hAnsiTheme="majorEastAsia" w:eastAsiaTheme="majorEastAsia" w:cstheme="majorEastAsia"/>
          <w:color w:val="000000"/>
          <w:sz w:val="21"/>
          <w:szCs w:val="21"/>
          <w:u w:val="single"/>
        </w:rPr>
        <w:t xml:space="preserve">     </w:t>
      </w:r>
      <w:r>
        <w:rPr>
          <w:rFonts w:hint="eastAsia" w:asciiTheme="majorEastAsia" w:hAnsiTheme="majorEastAsia" w:eastAsiaTheme="majorEastAsia" w:cstheme="majorEastAsia"/>
          <w:color w:val="000000"/>
          <w:sz w:val="21"/>
          <w:szCs w:val="21"/>
        </w:rPr>
        <w:t xml:space="preserve">  地  址：</w:t>
      </w:r>
      <w:r>
        <w:rPr>
          <w:rFonts w:hint="eastAsia" w:asciiTheme="majorEastAsia" w:hAnsiTheme="majorEastAsia" w:eastAsiaTheme="majorEastAsia" w:cstheme="majorEastAsia"/>
          <w:color w:val="000000"/>
          <w:sz w:val="21"/>
          <w:szCs w:val="21"/>
          <w:u w:val="single"/>
        </w:rPr>
        <w:t xml:space="preserve">        </w:t>
      </w:r>
    </w:p>
    <w:p w14:paraId="4A0E0FAF">
      <w:pPr>
        <w:keepNext w:val="0"/>
        <w:keepLines w:val="0"/>
        <w:pageBreakBefore w:val="0"/>
        <w:widowControl w:val="0"/>
        <w:kinsoku/>
        <w:wordWrap/>
        <w:overflowPunct/>
        <w:topLinePunct w:val="0"/>
        <w:bidi w:val="0"/>
        <w:adjustRightInd w:val="0"/>
        <w:snapToGrid/>
        <w:spacing w:line="440" w:lineRule="exact"/>
        <w:ind w:left="420" w:leftChars="200" w:right="420" w:rightChars="200"/>
        <w:textAlignment w:val="auto"/>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邮政编码：</w:t>
      </w:r>
      <w:r>
        <w:rPr>
          <w:rFonts w:hint="eastAsia" w:asciiTheme="majorEastAsia" w:hAnsiTheme="majorEastAsia" w:eastAsiaTheme="majorEastAsia" w:cstheme="majorEastAsia"/>
          <w:color w:val="000000"/>
          <w:sz w:val="21"/>
          <w:szCs w:val="21"/>
          <w:u w:val="single"/>
        </w:rPr>
        <w:t xml:space="preserve">      </w:t>
      </w:r>
      <w:r>
        <w:rPr>
          <w:rFonts w:hint="eastAsia" w:asciiTheme="majorEastAsia" w:hAnsiTheme="majorEastAsia" w:eastAsiaTheme="majorEastAsia" w:cstheme="majorEastAsia"/>
          <w:color w:val="000000"/>
          <w:sz w:val="21"/>
          <w:szCs w:val="21"/>
        </w:rPr>
        <w:t xml:space="preserve">  邮政编码：</w:t>
      </w:r>
      <w:r>
        <w:rPr>
          <w:rFonts w:hint="eastAsia" w:asciiTheme="majorEastAsia" w:hAnsiTheme="majorEastAsia" w:eastAsiaTheme="majorEastAsia" w:cstheme="majorEastAsia"/>
          <w:color w:val="000000"/>
          <w:sz w:val="21"/>
          <w:szCs w:val="21"/>
          <w:u w:val="single"/>
        </w:rPr>
        <w:t xml:space="preserve">   </w:t>
      </w:r>
    </w:p>
    <w:p w14:paraId="4F9120D1">
      <w:pPr>
        <w:keepNext w:val="0"/>
        <w:keepLines w:val="0"/>
        <w:pageBreakBefore w:val="0"/>
        <w:widowControl w:val="0"/>
        <w:kinsoku/>
        <w:wordWrap/>
        <w:overflowPunct/>
        <w:topLinePunct w:val="0"/>
        <w:bidi w:val="0"/>
        <w:adjustRightInd w:val="0"/>
        <w:snapToGrid/>
        <w:spacing w:line="440" w:lineRule="exact"/>
        <w:ind w:left="420" w:leftChars="200" w:right="420" w:rightChars="200"/>
        <w:textAlignment w:val="auto"/>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法定代表人：</w:t>
      </w:r>
      <w:r>
        <w:rPr>
          <w:rFonts w:hint="eastAsia" w:asciiTheme="majorEastAsia" w:hAnsiTheme="majorEastAsia" w:eastAsiaTheme="majorEastAsia" w:cstheme="majorEastAsia"/>
          <w:color w:val="000000"/>
          <w:sz w:val="21"/>
          <w:szCs w:val="21"/>
          <w:u w:val="single"/>
        </w:rPr>
        <w:t xml:space="preserve">           </w:t>
      </w:r>
      <w:r>
        <w:rPr>
          <w:rFonts w:hint="eastAsia" w:asciiTheme="majorEastAsia" w:hAnsiTheme="majorEastAsia" w:eastAsiaTheme="majorEastAsia" w:cstheme="majorEastAsia"/>
          <w:color w:val="000000"/>
          <w:sz w:val="21"/>
          <w:szCs w:val="21"/>
        </w:rPr>
        <w:t xml:space="preserve">  法定代表人：</w:t>
      </w:r>
      <w:r>
        <w:rPr>
          <w:rFonts w:hint="eastAsia" w:asciiTheme="majorEastAsia" w:hAnsiTheme="majorEastAsia" w:eastAsiaTheme="majorEastAsia" w:cstheme="majorEastAsia"/>
          <w:color w:val="000000"/>
          <w:sz w:val="21"/>
          <w:szCs w:val="21"/>
          <w:u w:val="single"/>
        </w:rPr>
        <w:t xml:space="preserve">             </w:t>
      </w:r>
    </w:p>
    <w:p w14:paraId="27383C95">
      <w:pPr>
        <w:keepNext w:val="0"/>
        <w:keepLines w:val="0"/>
        <w:pageBreakBefore w:val="0"/>
        <w:widowControl w:val="0"/>
        <w:kinsoku/>
        <w:wordWrap/>
        <w:overflowPunct/>
        <w:topLinePunct w:val="0"/>
        <w:bidi w:val="0"/>
        <w:adjustRightInd w:val="0"/>
        <w:snapToGrid/>
        <w:spacing w:line="440" w:lineRule="exact"/>
        <w:ind w:left="420" w:leftChars="200" w:right="420" w:rightChars="200"/>
        <w:textAlignment w:val="auto"/>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委托代理人：</w:t>
      </w:r>
      <w:r>
        <w:rPr>
          <w:rFonts w:hint="eastAsia" w:asciiTheme="majorEastAsia" w:hAnsiTheme="majorEastAsia" w:eastAsiaTheme="majorEastAsia" w:cstheme="majorEastAsia"/>
          <w:color w:val="000000"/>
          <w:sz w:val="21"/>
          <w:szCs w:val="21"/>
          <w:u w:val="single"/>
        </w:rPr>
        <w:t xml:space="preserve">           </w:t>
      </w:r>
      <w:r>
        <w:rPr>
          <w:rFonts w:hint="eastAsia" w:asciiTheme="majorEastAsia" w:hAnsiTheme="majorEastAsia" w:eastAsiaTheme="majorEastAsia" w:cstheme="majorEastAsia"/>
          <w:color w:val="000000"/>
          <w:sz w:val="21"/>
          <w:szCs w:val="21"/>
        </w:rPr>
        <w:t xml:space="preserve">  委托代理人：</w:t>
      </w:r>
      <w:r>
        <w:rPr>
          <w:rFonts w:hint="eastAsia" w:asciiTheme="majorEastAsia" w:hAnsiTheme="majorEastAsia" w:eastAsiaTheme="majorEastAsia" w:cstheme="majorEastAsia"/>
          <w:color w:val="000000"/>
          <w:sz w:val="21"/>
          <w:szCs w:val="21"/>
          <w:u w:val="single"/>
        </w:rPr>
        <w:t xml:space="preserve">             </w:t>
      </w:r>
    </w:p>
    <w:p w14:paraId="3D03E89B">
      <w:pPr>
        <w:keepNext w:val="0"/>
        <w:keepLines w:val="0"/>
        <w:pageBreakBefore w:val="0"/>
        <w:widowControl w:val="0"/>
        <w:kinsoku/>
        <w:wordWrap/>
        <w:overflowPunct/>
        <w:topLinePunct w:val="0"/>
        <w:bidi w:val="0"/>
        <w:adjustRightInd w:val="0"/>
        <w:snapToGrid/>
        <w:spacing w:line="440" w:lineRule="exact"/>
        <w:ind w:left="420" w:leftChars="200" w:right="420" w:rightChars="200"/>
        <w:textAlignment w:val="auto"/>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电  话：</w:t>
      </w:r>
      <w:r>
        <w:rPr>
          <w:rFonts w:hint="eastAsia" w:asciiTheme="majorEastAsia" w:hAnsiTheme="majorEastAsia" w:eastAsiaTheme="majorEastAsia" w:cstheme="majorEastAsia"/>
          <w:color w:val="000000"/>
          <w:sz w:val="21"/>
          <w:szCs w:val="21"/>
          <w:u w:val="single"/>
        </w:rPr>
        <w:t xml:space="preserve">   </w:t>
      </w:r>
      <w:r>
        <w:rPr>
          <w:rFonts w:hint="eastAsia" w:asciiTheme="majorEastAsia" w:hAnsiTheme="majorEastAsia" w:eastAsiaTheme="majorEastAsia" w:cstheme="majorEastAsia"/>
          <w:color w:val="000000"/>
          <w:sz w:val="21"/>
          <w:szCs w:val="21"/>
        </w:rPr>
        <w:t xml:space="preserve">  电  话：</w:t>
      </w:r>
      <w:r>
        <w:rPr>
          <w:rFonts w:hint="eastAsia" w:asciiTheme="majorEastAsia" w:hAnsiTheme="majorEastAsia" w:eastAsiaTheme="majorEastAsia" w:cstheme="majorEastAsia"/>
          <w:color w:val="000000"/>
          <w:sz w:val="21"/>
          <w:szCs w:val="21"/>
          <w:u w:val="single"/>
        </w:rPr>
        <w:t xml:space="preserve">     </w:t>
      </w:r>
    </w:p>
    <w:p w14:paraId="64C2D614">
      <w:pPr>
        <w:keepNext w:val="0"/>
        <w:keepLines w:val="0"/>
        <w:pageBreakBefore w:val="0"/>
        <w:widowControl w:val="0"/>
        <w:kinsoku/>
        <w:wordWrap/>
        <w:overflowPunct/>
        <w:topLinePunct w:val="0"/>
        <w:bidi w:val="0"/>
        <w:adjustRightInd w:val="0"/>
        <w:snapToGrid/>
        <w:spacing w:line="440" w:lineRule="exact"/>
        <w:ind w:left="420" w:leftChars="200" w:right="420" w:rightChars="200"/>
        <w:textAlignment w:val="auto"/>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传  真：</w:t>
      </w:r>
      <w:r>
        <w:rPr>
          <w:rFonts w:hint="eastAsia" w:asciiTheme="majorEastAsia" w:hAnsiTheme="majorEastAsia" w:eastAsiaTheme="majorEastAsia" w:cstheme="majorEastAsia"/>
          <w:color w:val="000000"/>
          <w:sz w:val="21"/>
          <w:szCs w:val="21"/>
          <w:u w:val="single"/>
        </w:rPr>
        <w:t xml:space="preserve">   </w:t>
      </w:r>
      <w:r>
        <w:rPr>
          <w:rFonts w:hint="eastAsia" w:asciiTheme="majorEastAsia" w:hAnsiTheme="majorEastAsia" w:eastAsiaTheme="majorEastAsia" w:cstheme="majorEastAsia"/>
          <w:color w:val="000000"/>
          <w:sz w:val="21"/>
          <w:szCs w:val="21"/>
        </w:rPr>
        <w:t xml:space="preserve">  传  真：</w:t>
      </w:r>
      <w:r>
        <w:rPr>
          <w:rFonts w:hint="eastAsia" w:asciiTheme="majorEastAsia" w:hAnsiTheme="majorEastAsia" w:eastAsiaTheme="majorEastAsia" w:cstheme="majorEastAsia"/>
          <w:color w:val="000000"/>
          <w:sz w:val="21"/>
          <w:szCs w:val="21"/>
          <w:u w:val="single"/>
        </w:rPr>
        <w:t xml:space="preserve">     </w:t>
      </w:r>
    </w:p>
    <w:p w14:paraId="1845BB48">
      <w:pPr>
        <w:keepNext w:val="0"/>
        <w:keepLines w:val="0"/>
        <w:pageBreakBefore w:val="0"/>
        <w:widowControl w:val="0"/>
        <w:kinsoku/>
        <w:wordWrap/>
        <w:overflowPunct/>
        <w:topLinePunct w:val="0"/>
        <w:bidi w:val="0"/>
        <w:adjustRightInd w:val="0"/>
        <w:snapToGrid/>
        <w:spacing w:line="440" w:lineRule="exact"/>
        <w:ind w:left="420" w:leftChars="200" w:right="420" w:rightChars="200"/>
        <w:textAlignment w:val="auto"/>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电子信箱：</w:t>
      </w:r>
      <w:r>
        <w:rPr>
          <w:rFonts w:hint="eastAsia" w:asciiTheme="majorEastAsia" w:hAnsiTheme="majorEastAsia" w:eastAsiaTheme="majorEastAsia" w:cstheme="majorEastAsia"/>
          <w:color w:val="000000"/>
          <w:sz w:val="21"/>
          <w:szCs w:val="21"/>
          <w:u w:val="single"/>
        </w:rPr>
        <w:t xml:space="preserve">                 </w:t>
      </w:r>
      <w:r>
        <w:rPr>
          <w:rFonts w:hint="eastAsia" w:asciiTheme="majorEastAsia" w:hAnsiTheme="majorEastAsia" w:eastAsiaTheme="majorEastAsia" w:cstheme="majorEastAsia"/>
          <w:color w:val="000000"/>
          <w:sz w:val="21"/>
          <w:szCs w:val="21"/>
        </w:rPr>
        <w:t xml:space="preserve">  电子信箱：</w:t>
      </w:r>
      <w:r>
        <w:rPr>
          <w:rFonts w:hint="eastAsia" w:asciiTheme="majorEastAsia" w:hAnsiTheme="majorEastAsia" w:eastAsiaTheme="majorEastAsia" w:cstheme="majorEastAsia"/>
          <w:color w:val="000000"/>
          <w:sz w:val="21"/>
          <w:szCs w:val="21"/>
          <w:u w:val="single"/>
        </w:rPr>
        <w:t xml:space="preserve">   </w:t>
      </w:r>
    </w:p>
    <w:p w14:paraId="0104D021">
      <w:pPr>
        <w:keepNext w:val="0"/>
        <w:keepLines w:val="0"/>
        <w:pageBreakBefore w:val="0"/>
        <w:widowControl w:val="0"/>
        <w:kinsoku/>
        <w:wordWrap/>
        <w:overflowPunct/>
        <w:topLinePunct w:val="0"/>
        <w:bidi w:val="0"/>
        <w:adjustRightInd w:val="0"/>
        <w:snapToGrid/>
        <w:spacing w:line="440" w:lineRule="exact"/>
        <w:ind w:left="420" w:leftChars="200" w:right="420" w:rightChars="200"/>
        <w:textAlignment w:val="auto"/>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开户银行：</w:t>
      </w:r>
      <w:r>
        <w:rPr>
          <w:rFonts w:hint="eastAsia" w:asciiTheme="majorEastAsia" w:hAnsiTheme="majorEastAsia" w:eastAsiaTheme="majorEastAsia" w:cstheme="majorEastAsia"/>
          <w:color w:val="000000"/>
          <w:sz w:val="21"/>
          <w:szCs w:val="21"/>
          <w:u w:val="single"/>
        </w:rPr>
        <w:t xml:space="preserve">   </w:t>
      </w:r>
      <w:r>
        <w:rPr>
          <w:rFonts w:hint="eastAsia" w:asciiTheme="majorEastAsia" w:hAnsiTheme="majorEastAsia" w:eastAsiaTheme="majorEastAsia" w:cstheme="majorEastAsia"/>
          <w:color w:val="000000"/>
          <w:sz w:val="21"/>
          <w:szCs w:val="21"/>
        </w:rPr>
        <w:t xml:space="preserve">  开户银行：</w:t>
      </w:r>
      <w:r>
        <w:rPr>
          <w:rFonts w:hint="eastAsia" w:asciiTheme="majorEastAsia" w:hAnsiTheme="majorEastAsia" w:eastAsiaTheme="majorEastAsia" w:cstheme="majorEastAsia"/>
          <w:color w:val="000000"/>
          <w:sz w:val="21"/>
          <w:szCs w:val="21"/>
          <w:u w:val="single"/>
        </w:rPr>
        <w:t xml:space="preserve">   </w:t>
      </w:r>
    </w:p>
    <w:p w14:paraId="6F836A18">
      <w:pPr>
        <w:keepNext w:val="0"/>
        <w:keepLines w:val="0"/>
        <w:pageBreakBefore w:val="0"/>
        <w:widowControl w:val="0"/>
        <w:kinsoku/>
        <w:wordWrap/>
        <w:overflowPunct/>
        <w:topLinePunct w:val="0"/>
        <w:bidi w:val="0"/>
        <w:adjustRightInd w:val="0"/>
        <w:snapToGrid/>
        <w:spacing w:line="440" w:lineRule="exact"/>
        <w:ind w:left="420" w:leftChars="200" w:right="420" w:rightChars="200"/>
        <w:textAlignment w:val="auto"/>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账  号：</w:t>
      </w:r>
      <w:r>
        <w:rPr>
          <w:rFonts w:hint="eastAsia" w:asciiTheme="majorEastAsia" w:hAnsiTheme="majorEastAsia" w:eastAsiaTheme="majorEastAsia" w:cstheme="majorEastAsia"/>
          <w:color w:val="000000"/>
          <w:sz w:val="21"/>
          <w:szCs w:val="21"/>
          <w:u w:val="single"/>
        </w:rPr>
        <w:t xml:space="preserve">       </w:t>
      </w:r>
      <w:r>
        <w:rPr>
          <w:rFonts w:hint="eastAsia" w:asciiTheme="majorEastAsia" w:hAnsiTheme="majorEastAsia" w:eastAsiaTheme="majorEastAsia" w:cstheme="majorEastAsia"/>
          <w:color w:val="000000"/>
          <w:sz w:val="21"/>
          <w:szCs w:val="21"/>
        </w:rPr>
        <w:t xml:space="preserve">   账  号：</w:t>
      </w:r>
      <w:r>
        <w:rPr>
          <w:rFonts w:hint="eastAsia" w:asciiTheme="majorEastAsia" w:hAnsiTheme="majorEastAsia" w:eastAsiaTheme="majorEastAsia" w:cstheme="majorEastAsia"/>
          <w:color w:val="000000"/>
          <w:sz w:val="21"/>
          <w:szCs w:val="21"/>
          <w:u w:val="single"/>
        </w:rPr>
        <w:t xml:space="preserve">     </w:t>
      </w:r>
    </w:p>
    <w:p w14:paraId="2E11DEE0">
      <w:pPr>
        <w:pStyle w:val="4"/>
        <w:keepNext w:val="0"/>
        <w:keepLines w:val="0"/>
        <w:pageBreakBefore w:val="0"/>
        <w:numPr>
          <w:ilvl w:val="2"/>
          <w:numId w:val="0"/>
        </w:numPr>
        <w:kinsoku/>
        <w:wordWrap/>
        <w:overflowPunct/>
        <w:topLinePunct w:val="0"/>
        <w:bidi w:val="0"/>
        <w:adjustRightInd w:val="0"/>
        <w:snapToGrid/>
        <w:spacing w:line="440" w:lineRule="exact"/>
        <w:ind w:left="420" w:leftChars="200" w:right="420" w:rightChars="200"/>
        <w:jc w:val="center"/>
        <w:textAlignment w:val="auto"/>
        <w:rPr>
          <w:rFonts w:hint="eastAsia" w:ascii="黑体" w:hAnsi="宋体" w:eastAsia="黑体"/>
          <w:color w:val="000000"/>
        </w:rPr>
      </w:pPr>
      <w:r>
        <w:rPr>
          <w:rFonts w:ascii="宋体" w:hAnsi="宋体"/>
          <w:color w:val="000000"/>
          <w:sz w:val="24"/>
          <w:szCs w:val="24"/>
        </w:rPr>
        <w:br w:type="page"/>
      </w:r>
      <w:bookmarkStart w:id="447" w:name="_Toc386638605"/>
      <w:r>
        <w:rPr>
          <w:rFonts w:ascii="黑体" w:hAnsi="宋体" w:eastAsia="黑体"/>
          <w:color w:val="000000"/>
        </w:rPr>
        <w:t>第二部分 通用合同条款</w:t>
      </w:r>
      <w:bookmarkEnd w:id="447"/>
      <w:bookmarkStart w:id="448" w:name="_Toc337558727"/>
    </w:p>
    <w:p w14:paraId="194D8A46">
      <w:pPr>
        <w:pageBreakBefore w:val="0"/>
        <w:kinsoku/>
        <w:wordWrap/>
        <w:overflowPunct/>
        <w:topLinePunct w:val="0"/>
        <w:bidi w:val="0"/>
        <w:adjustRightInd w:val="0"/>
        <w:snapToGrid/>
        <w:spacing w:line="440" w:lineRule="exact"/>
        <w:ind w:left="3301" w:leftChars="200" w:right="420" w:rightChars="200" w:hanging="2881" w:hangingChars="1372"/>
        <w:textAlignment w:val="auto"/>
        <w:rPr>
          <w:rFonts w:hint="eastAsia" w:ascii="宋体" w:hAnsi="宋体" w:cs="宋体"/>
          <w:color w:val="000000"/>
          <w:sz w:val="21"/>
          <w:szCs w:val="21"/>
        </w:rPr>
      </w:pPr>
      <w:r>
        <w:rPr>
          <w:rFonts w:hint="eastAsia" w:ascii="宋体" w:hAnsi="宋体" w:cs="宋体"/>
          <w:color w:val="000000"/>
          <w:sz w:val="21"/>
          <w:szCs w:val="21"/>
        </w:rPr>
        <w:t>通用合同条款直接引用中国建筑工业出版社出版的《建设工程施工合同（示范文本）（GF-2013-0201）第二部分“通用合同条款”内容。</w:t>
      </w:r>
    </w:p>
    <w:bookmarkEnd w:id="448"/>
    <w:p w14:paraId="0F0362F4">
      <w:pPr>
        <w:pageBreakBefore w:val="0"/>
        <w:kinsoku/>
        <w:wordWrap/>
        <w:overflowPunct/>
        <w:topLinePunct w:val="0"/>
        <w:bidi w:val="0"/>
        <w:adjustRightInd w:val="0"/>
        <w:snapToGrid/>
        <w:spacing w:line="440" w:lineRule="exact"/>
        <w:ind w:left="420" w:leftChars="200" w:right="420" w:rightChars="200"/>
        <w:jc w:val="center"/>
        <w:textAlignment w:val="auto"/>
        <w:outlineLvl w:val="1"/>
        <w:rPr>
          <w:rFonts w:hint="eastAsia" w:eastAsia="黑体"/>
          <w:color w:val="000000"/>
          <w:sz w:val="21"/>
          <w:szCs w:val="21"/>
        </w:rPr>
      </w:pPr>
      <w:bookmarkStart w:id="449" w:name="_Toc411083384"/>
      <w:bookmarkStart w:id="450" w:name="_Toc296944502"/>
      <w:bookmarkStart w:id="451" w:name="_Toc292559872"/>
      <w:bookmarkStart w:id="452" w:name="_Toc296503163"/>
      <w:bookmarkStart w:id="453" w:name="_Toc296347162"/>
      <w:bookmarkStart w:id="454" w:name="_Toc297048349"/>
      <w:bookmarkStart w:id="455" w:name="_Toc296891203"/>
      <w:bookmarkStart w:id="456" w:name="_Toc296346664"/>
      <w:bookmarkStart w:id="457" w:name="_Toc292559367"/>
      <w:bookmarkStart w:id="458" w:name="_Toc296890991"/>
      <w:bookmarkStart w:id="459" w:name="_Toc297120463"/>
    </w:p>
    <w:p w14:paraId="01C50A4E">
      <w:pPr>
        <w:pageBreakBefore w:val="0"/>
        <w:numPr>
          <w:ilvl w:val="0"/>
          <w:numId w:val="11"/>
        </w:numPr>
        <w:kinsoku/>
        <w:wordWrap/>
        <w:overflowPunct/>
        <w:topLinePunct w:val="0"/>
        <w:bidi w:val="0"/>
        <w:adjustRightInd w:val="0"/>
        <w:snapToGrid/>
        <w:spacing w:line="440" w:lineRule="exact"/>
        <w:ind w:left="420" w:leftChars="200" w:right="420" w:rightChars="200"/>
        <w:jc w:val="center"/>
        <w:textAlignment w:val="auto"/>
        <w:outlineLvl w:val="1"/>
        <w:rPr>
          <w:rFonts w:hint="eastAsia" w:eastAsia="黑体"/>
          <w:color w:val="000000"/>
          <w:sz w:val="21"/>
          <w:szCs w:val="21"/>
        </w:rPr>
      </w:pPr>
      <w:r>
        <w:rPr>
          <w:rFonts w:hint="eastAsia" w:eastAsia="黑体"/>
          <w:color w:val="000000"/>
          <w:sz w:val="21"/>
          <w:szCs w:val="21"/>
        </w:rPr>
        <w:t>专用条款</w:t>
      </w:r>
      <w:bookmarkEnd w:id="449"/>
      <w:bookmarkStart w:id="460" w:name="_Toc386638607"/>
      <w:bookmarkStart w:id="461" w:name="_Toc351203633"/>
      <w:bookmarkStart w:id="462" w:name="_Toc296503156"/>
      <w:bookmarkStart w:id="463" w:name="_Toc296347155"/>
      <w:bookmarkStart w:id="464" w:name="_Toc296890984"/>
      <w:bookmarkStart w:id="465" w:name="_Toc296891196"/>
      <w:bookmarkStart w:id="466" w:name="_Toc297048342"/>
      <w:bookmarkStart w:id="467" w:name="_Toc296944495"/>
      <w:bookmarkStart w:id="468" w:name="_Toc292559361"/>
      <w:bookmarkStart w:id="469" w:name="_Toc297120456"/>
      <w:bookmarkStart w:id="470" w:name="_Toc296346657"/>
      <w:bookmarkStart w:id="471" w:name="_Toc292559866"/>
    </w:p>
    <w:p w14:paraId="711F8263">
      <w:pPr>
        <w:pageBreakBefore w:val="0"/>
        <w:numPr>
          <w:ilvl w:val="0"/>
          <w:numId w:val="0"/>
        </w:numPr>
        <w:kinsoku/>
        <w:wordWrap/>
        <w:overflowPunct/>
        <w:topLinePunct w:val="0"/>
        <w:bidi w:val="0"/>
        <w:adjustRightInd w:val="0"/>
        <w:snapToGrid/>
        <w:spacing w:line="440" w:lineRule="exact"/>
        <w:ind w:left="420" w:leftChars="200" w:right="420" w:rightChars="200"/>
        <w:jc w:val="both"/>
        <w:textAlignment w:val="auto"/>
        <w:outlineLvl w:val="1"/>
        <w:rPr>
          <w:rFonts w:hint="eastAsia" w:ascii="宋体" w:hAnsi="宋体" w:eastAsia="宋体" w:cs="宋体"/>
          <w:b w:val="0"/>
          <w:color w:val="000000"/>
          <w:sz w:val="21"/>
          <w:szCs w:val="21"/>
        </w:rPr>
      </w:pPr>
      <w:r>
        <w:rPr>
          <w:rFonts w:hint="eastAsia" w:ascii="宋体" w:hAnsi="宋体" w:eastAsia="宋体" w:cs="宋体"/>
          <w:b w:val="0"/>
          <w:color w:val="000000"/>
          <w:sz w:val="21"/>
          <w:szCs w:val="21"/>
        </w:rPr>
        <w:t xml:space="preserve"> 一般约定</w:t>
      </w:r>
      <w:bookmarkEnd w:id="460"/>
      <w:bookmarkEnd w:id="461"/>
    </w:p>
    <w:bookmarkEnd w:id="462"/>
    <w:bookmarkEnd w:id="463"/>
    <w:bookmarkEnd w:id="464"/>
    <w:bookmarkEnd w:id="465"/>
    <w:bookmarkEnd w:id="466"/>
    <w:bookmarkEnd w:id="467"/>
    <w:bookmarkEnd w:id="468"/>
    <w:bookmarkEnd w:id="469"/>
    <w:bookmarkEnd w:id="470"/>
    <w:bookmarkEnd w:id="471"/>
    <w:p w14:paraId="6C2F3776">
      <w:pPr>
        <w:pageBreakBefore w:val="0"/>
        <w:kinsoku/>
        <w:wordWrap/>
        <w:overflowPunct/>
        <w:topLinePunct w:val="0"/>
        <w:bidi w:val="0"/>
        <w:adjustRightInd w:val="0"/>
        <w:snapToGrid/>
        <w:spacing w:line="440" w:lineRule="exact"/>
        <w:ind w:left="420" w:leftChars="200" w:right="420" w:rightChars="200"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1.1 词语定义</w:t>
      </w:r>
    </w:p>
    <w:p w14:paraId="45186942">
      <w:pPr>
        <w:pageBreakBefore w:val="0"/>
        <w:kinsoku/>
        <w:wordWrap/>
        <w:overflowPunct/>
        <w:topLinePunct w:val="0"/>
        <w:bidi w:val="0"/>
        <w:adjustRightInd w:val="0"/>
        <w:snapToGrid/>
        <w:spacing w:line="440" w:lineRule="exact"/>
        <w:ind w:left="420" w:leftChars="200" w:right="420" w:rightChars="200"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1.1.1合同</w:t>
      </w:r>
    </w:p>
    <w:p w14:paraId="5AB538C6">
      <w:pPr>
        <w:pageBreakBefore w:val="0"/>
        <w:kinsoku/>
        <w:wordWrap/>
        <w:overflowPunct/>
        <w:topLinePunct w:val="0"/>
        <w:bidi w:val="0"/>
        <w:adjustRightInd w:val="0"/>
        <w:snapToGrid/>
        <w:spacing w:line="440" w:lineRule="exact"/>
        <w:ind w:left="420" w:leftChars="200" w:right="420" w:rightChars="200"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1.1.1.10其他合同文件包括：</w:t>
      </w:r>
      <w:r>
        <w:rPr>
          <w:rFonts w:hint="eastAsia" w:ascii="宋体" w:hAnsi="宋体" w:cs="宋体"/>
          <w:color w:val="000000"/>
          <w:sz w:val="21"/>
          <w:szCs w:val="21"/>
          <w:u w:val="single"/>
        </w:rPr>
        <w:t xml:space="preserve">双方与合同有关的工程设计变更联系单、洽商、签证等书面协议或文件 </w:t>
      </w:r>
      <w:r>
        <w:rPr>
          <w:rFonts w:hint="eastAsia" w:ascii="宋体" w:hAnsi="宋体" w:cs="宋体"/>
          <w:color w:val="000000"/>
          <w:sz w:val="21"/>
          <w:szCs w:val="21"/>
        </w:rPr>
        <w:t>。</w:t>
      </w:r>
    </w:p>
    <w:p w14:paraId="3892631D">
      <w:pPr>
        <w:pageBreakBefore w:val="0"/>
        <w:kinsoku/>
        <w:wordWrap/>
        <w:overflowPunct/>
        <w:topLinePunct w:val="0"/>
        <w:bidi w:val="0"/>
        <w:adjustRightInd w:val="0"/>
        <w:snapToGrid/>
        <w:spacing w:line="440" w:lineRule="exact"/>
        <w:ind w:left="420" w:leftChars="200" w:right="420" w:rightChars="200"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1.1.2 合同当事人及其他相关方</w:t>
      </w:r>
    </w:p>
    <w:p w14:paraId="368D99C8">
      <w:pPr>
        <w:pageBreakBefore w:val="0"/>
        <w:kinsoku/>
        <w:wordWrap/>
        <w:overflowPunct/>
        <w:topLinePunct w:val="0"/>
        <w:bidi w:val="0"/>
        <w:adjustRightInd w:val="0"/>
        <w:snapToGrid/>
        <w:spacing w:line="440" w:lineRule="exact"/>
        <w:ind w:left="420" w:leftChars="200" w:right="420" w:rightChars="200"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1.1.2.4监理人：</w:t>
      </w:r>
    </w:p>
    <w:p w14:paraId="226463A5">
      <w:pPr>
        <w:pageBreakBefore w:val="0"/>
        <w:kinsoku/>
        <w:wordWrap/>
        <w:overflowPunct/>
        <w:topLinePunct w:val="0"/>
        <w:bidi w:val="0"/>
        <w:adjustRightInd w:val="0"/>
        <w:snapToGrid/>
        <w:spacing w:line="440" w:lineRule="exact"/>
        <w:ind w:left="420" w:leftChars="200" w:right="420" w:rightChars="200"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名    称：</w:t>
      </w:r>
      <w:r>
        <w:rPr>
          <w:rFonts w:hint="eastAsia" w:ascii="宋体" w:hAnsi="宋体" w:cs="宋体"/>
          <w:color w:val="000000"/>
          <w:sz w:val="21"/>
          <w:szCs w:val="21"/>
          <w:u w:val="single"/>
        </w:rPr>
        <w:t xml:space="preserve">                </w:t>
      </w:r>
      <w:r>
        <w:rPr>
          <w:rFonts w:hint="eastAsia" w:ascii="宋体" w:hAnsi="宋体" w:cs="宋体"/>
          <w:color w:val="000000"/>
          <w:sz w:val="21"/>
          <w:szCs w:val="21"/>
        </w:rPr>
        <w:t>；</w:t>
      </w:r>
    </w:p>
    <w:p w14:paraId="04221ED3">
      <w:pPr>
        <w:pageBreakBefore w:val="0"/>
        <w:kinsoku/>
        <w:wordWrap/>
        <w:overflowPunct/>
        <w:topLinePunct w:val="0"/>
        <w:bidi w:val="0"/>
        <w:adjustRightInd w:val="0"/>
        <w:snapToGrid/>
        <w:spacing w:line="440" w:lineRule="exact"/>
        <w:ind w:left="420" w:leftChars="200" w:right="420" w:rightChars="200"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资质类别和等级：</w:t>
      </w:r>
      <w:r>
        <w:rPr>
          <w:rFonts w:hint="eastAsia" w:ascii="宋体" w:hAnsi="宋体" w:cs="宋体"/>
          <w:color w:val="000000"/>
          <w:sz w:val="21"/>
          <w:szCs w:val="21"/>
          <w:u w:val="single"/>
        </w:rPr>
        <w:t>               </w:t>
      </w:r>
      <w:r>
        <w:rPr>
          <w:rFonts w:hint="eastAsia" w:ascii="宋体" w:hAnsi="宋体" w:cs="宋体"/>
          <w:color w:val="000000"/>
          <w:sz w:val="21"/>
          <w:szCs w:val="21"/>
        </w:rPr>
        <w:t>；</w:t>
      </w:r>
    </w:p>
    <w:p w14:paraId="46ED3FA7">
      <w:pPr>
        <w:pageBreakBefore w:val="0"/>
        <w:kinsoku/>
        <w:wordWrap/>
        <w:overflowPunct/>
        <w:topLinePunct w:val="0"/>
        <w:bidi w:val="0"/>
        <w:adjustRightInd w:val="0"/>
        <w:snapToGrid/>
        <w:spacing w:line="440" w:lineRule="exact"/>
        <w:ind w:left="420" w:leftChars="200" w:right="420" w:rightChars="200"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联系电话：</w:t>
      </w:r>
      <w:r>
        <w:rPr>
          <w:rFonts w:hint="eastAsia" w:ascii="宋体" w:hAnsi="宋体" w:cs="宋体"/>
          <w:color w:val="000000"/>
          <w:sz w:val="21"/>
          <w:szCs w:val="21"/>
          <w:u w:val="single"/>
        </w:rPr>
        <w:t>                </w:t>
      </w:r>
      <w:r>
        <w:rPr>
          <w:rFonts w:hint="eastAsia" w:ascii="宋体" w:hAnsi="宋体" w:cs="宋体"/>
          <w:color w:val="000000"/>
          <w:sz w:val="21"/>
          <w:szCs w:val="21"/>
        </w:rPr>
        <w:t>；</w:t>
      </w:r>
    </w:p>
    <w:p w14:paraId="600DF8D1">
      <w:pPr>
        <w:pageBreakBefore w:val="0"/>
        <w:kinsoku/>
        <w:wordWrap/>
        <w:overflowPunct/>
        <w:topLinePunct w:val="0"/>
        <w:bidi w:val="0"/>
        <w:adjustRightInd w:val="0"/>
        <w:snapToGrid/>
        <w:spacing w:line="440" w:lineRule="exact"/>
        <w:ind w:left="420" w:leftChars="200" w:right="420" w:rightChars="200"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电子信箱：</w:t>
      </w:r>
      <w:r>
        <w:rPr>
          <w:rFonts w:hint="eastAsia" w:ascii="宋体" w:hAnsi="宋体" w:cs="宋体"/>
          <w:color w:val="000000"/>
          <w:sz w:val="21"/>
          <w:szCs w:val="21"/>
          <w:u w:val="single"/>
        </w:rPr>
        <w:t>                </w:t>
      </w:r>
      <w:r>
        <w:rPr>
          <w:rFonts w:hint="eastAsia" w:ascii="宋体" w:hAnsi="宋体" w:cs="宋体"/>
          <w:color w:val="000000"/>
          <w:sz w:val="21"/>
          <w:szCs w:val="21"/>
        </w:rPr>
        <w:t>；</w:t>
      </w:r>
    </w:p>
    <w:p w14:paraId="61E537B8">
      <w:pPr>
        <w:pageBreakBefore w:val="0"/>
        <w:kinsoku/>
        <w:wordWrap/>
        <w:overflowPunct/>
        <w:topLinePunct w:val="0"/>
        <w:bidi w:val="0"/>
        <w:adjustRightInd w:val="0"/>
        <w:snapToGrid/>
        <w:spacing w:line="440" w:lineRule="exact"/>
        <w:ind w:left="420" w:leftChars="200" w:right="420" w:rightChars="200"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通信地址：</w:t>
      </w:r>
      <w:r>
        <w:rPr>
          <w:rFonts w:hint="eastAsia" w:ascii="宋体" w:hAnsi="宋体" w:cs="宋体"/>
          <w:color w:val="000000"/>
          <w:sz w:val="21"/>
          <w:szCs w:val="21"/>
          <w:u w:val="single"/>
        </w:rPr>
        <w:t>                </w:t>
      </w:r>
      <w:r>
        <w:rPr>
          <w:rFonts w:hint="eastAsia" w:ascii="宋体" w:hAnsi="宋体" w:cs="宋体"/>
          <w:color w:val="000000"/>
          <w:sz w:val="21"/>
          <w:szCs w:val="21"/>
        </w:rPr>
        <w:t>。</w:t>
      </w:r>
    </w:p>
    <w:p w14:paraId="53868FC2">
      <w:pPr>
        <w:pageBreakBefore w:val="0"/>
        <w:kinsoku/>
        <w:wordWrap/>
        <w:overflowPunct/>
        <w:topLinePunct w:val="0"/>
        <w:bidi w:val="0"/>
        <w:adjustRightInd w:val="0"/>
        <w:snapToGrid/>
        <w:spacing w:line="440" w:lineRule="exact"/>
        <w:ind w:left="420" w:leftChars="200" w:right="420" w:rightChars="200"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1.1.2.5 设计人：</w:t>
      </w:r>
    </w:p>
    <w:p w14:paraId="18015572">
      <w:pPr>
        <w:pageBreakBefore w:val="0"/>
        <w:kinsoku/>
        <w:wordWrap/>
        <w:overflowPunct/>
        <w:topLinePunct w:val="0"/>
        <w:bidi w:val="0"/>
        <w:adjustRightInd w:val="0"/>
        <w:snapToGrid/>
        <w:spacing w:line="440" w:lineRule="exact"/>
        <w:ind w:left="420" w:leftChars="200" w:right="420" w:rightChars="200"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名    称：</w:t>
      </w:r>
      <w:r>
        <w:rPr>
          <w:rFonts w:hint="eastAsia" w:ascii="宋体" w:hAnsi="宋体" w:cs="宋体"/>
          <w:color w:val="000000"/>
          <w:sz w:val="21"/>
          <w:szCs w:val="21"/>
          <w:u w:val="single"/>
        </w:rPr>
        <w:t xml:space="preserve">                 </w:t>
      </w:r>
      <w:r>
        <w:rPr>
          <w:rFonts w:hint="eastAsia" w:ascii="宋体" w:hAnsi="宋体" w:cs="宋体"/>
          <w:color w:val="000000"/>
          <w:sz w:val="21"/>
          <w:szCs w:val="21"/>
        </w:rPr>
        <w:t>；</w:t>
      </w:r>
    </w:p>
    <w:p w14:paraId="637F893F">
      <w:pPr>
        <w:pageBreakBefore w:val="0"/>
        <w:kinsoku/>
        <w:wordWrap/>
        <w:overflowPunct/>
        <w:topLinePunct w:val="0"/>
        <w:bidi w:val="0"/>
        <w:adjustRightInd w:val="0"/>
        <w:snapToGrid/>
        <w:spacing w:line="440" w:lineRule="exact"/>
        <w:ind w:left="420" w:leftChars="200" w:right="420" w:rightChars="200"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资质类别和等级：</w:t>
      </w:r>
      <w:r>
        <w:rPr>
          <w:rFonts w:hint="eastAsia" w:ascii="宋体" w:hAnsi="宋体" w:cs="宋体"/>
          <w:color w:val="000000"/>
          <w:sz w:val="21"/>
          <w:szCs w:val="21"/>
          <w:u w:val="single"/>
        </w:rPr>
        <w:t>               </w:t>
      </w:r>
      <w:r>
        <w:rPr>
          <w:rFonts w:hint="eastAsia" w:ascii="宋体" w:hAnsi="宋体" w:cs="宋体"/>
          <w:color w:val="000000"/>
          <w:sz w:val="21"/>
          <w:szCs w:val="21"/>
        </w:rPr>
        <w:t>；</w:t>
      </w:r>
    </w:p>
    <w:p w14:paraId="31EF7B60">
      <w:pPr>
        <w:pageBreakBefore w:val="0"/>
        <w:kinsoku/>
        <w:wordWrap/>
        <w:overflowPunct/>
        <w:topLinePunct w:val="0"/>
        <w:bidi w:val="0"/>
        <w:adjustRightInd w:val="0"/>
        <w:snapToGrid/>
        <w:spacing w:line="440" w:lineRule="exact"/>
        <w:ind w:left="420" w:leftChars="200" w:right="420" w:rightChars="200"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联系电话：</w:t>
      </w:r>
      <w:r>
        <w:rPr>
          <w:rFonts w:hint="eastAsia" w:ascii="宋体" w:hAnsi="宋体" w:cs="宋体"/>
          <w:color w:val="000000"/>
          <w:sz w:val="21"/>
          <w:szCs w:val="21"/>
          <w:u w:val="single"/>
        </w:rPr>
        <w:t>                 </w:t>
      </w:r>
      <w:r>
        <w:rPr>
          <w:rFonts w:hint="eastAsia" w:ascii="宋体" w:hAnsi="宋体" w:cs="宋体"/>
          <w:color w:val="000000"/>
          <w:sz w:val="21"/>
          <w:szCs w:val="21"/>
        </w:rPr>
        <w:t>；</w:t>
      </w:r>
    </w:p>
    <w:p w14:paraId="0892624E">
      <w:pPr>
        <w:pageBreakBefore w:val="0"/>
        <w:kinsoku/>
        <w:wordWrap/>
        <w:overflowPunct/>
        <w:topLinePunct w:val="0"/>
        <w:bidi w:val="0"/>
        <w:adjustRightInd w:val="0"/>
        <w:snapToGrid/>
        <w:spacing w:line="440" w:lineRule="exact"/>
        <w:ind w:left="420" w:leftChars="200" w:right="420" w:rightChars="200"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电子信箱：</w:t>
      </w:r>
      <w:r>
        <w:rPr>
          <w:rFonts w:hint="eastAsia" w:ascii="宋体" w:hAnsi="宋体" w:cs="宋体"/>
          <w:color w:val="000000"/>
          <w:sz w:val="21"/>
          <w:szCs w:val="21"/>
          <w:u w:val="single"/>
        </w:rPr>
        <w:t xml:space="preserve">                    </w:t>
      </w:r>
      <w:r>
        <w:rPr>
          <w:rFonts w:hint="eastAsia" w:ascii="宋体" w:hAnsi="宋体" w:cs="宋体"/>
          <w:color w:val="000000"/>
          <w:sz w:val="21"/>
          <w:szCs w:val="21"/>
        </w:rPr>
        <w:t>；</w:t>
      </w:r>
    </w:p>
    <w:p w14:paraId="7F73D4AF">
      <w:pPr>
        <w:pageBreakBefore w:val="0"/>
        <w:kinsoku/>
        <w:wordWrap/>
        <w:overflowPunct/>
        <w:topLinePunct w:val="0"/>
        <w:bidi w:val="0"/>
        <w:adjustRightInd w:val="0"/>
        <w:snapToGrid/>
        <w:spacing w:line="440" w:lineRule="exact"/>
        <w:ind w:left="420" w:leftChars="200" w:right="420" w:rightChars="200"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通信地址：</w:t>
      </w:r>
      <w:r>
        <w:rPr>
          <w:rFonts w:hint="eastAsia" w:ascii="宋体" w:hAnsi="宋体" w:cs="宋体"/>
          <w:color w:val="000000"/>
          <w:sz w:val="21"/>
          <w:szCs w:val="21"/>
          <w:u w:val="single"/>
        </w:rPr>
        <w:t>                </w:t>
      </w:r>
      <w:r>
        <w:rPr>
          <w:rFonts w:hint="eastAsia" w:ascii="宋体" w:hAnsi="宋体" w:cs="宋体"/>
          <w:color w:val="000000"/>
          <w:sz w:val="21"/>
          <w:szCs w:val="21"/>
        </w:rPr>
        <w:t>。</w:t>
      </w:r>
    </w:p>
    <w:p w14:paraId="26A92F27">
      <w:pPr>
        <w:pageBreakBefore w:val="0"/>
        <w:kinsoku/>
        <w:wordWrap/>
        <w:overflowPunct/>
        <w:topLinePunct w:val="0"/>
        <w:bidi w:val="0"/>
        <w:adjustRightInd w:val="0"/>
        <w:snapToGrid/>
        <w:spacing w:line="440" w:lineRule="exact"/>
        <w:ind w:left="420" w:leftChars="200" w:right="420" w:rightChars="200"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1.1.3 工程和设备</w:t>
      </w:r>
    </w:p>
    <w:p w14:paraId="1E201E1D">
      <w:pPr>
        <w:pageBreakBefore w:val="0"/>
        <w:kinsoku/>
        <w:wordWrap/>
        <w:overflowPunct/>
        <w:topLinePunct w:val="0"/>
        <w:bidi w:val="0"/>
        <w:adjustRightInd w:val="0"/>
        <w:snapToGrid/>
        <w:spacing w:line="440" w:lineRule="exact"/>
        <w:ind w:left="420" w:leftChars="200" w:right="420" w:rightChars="200" w:firstLine="420" w:firstLineChars="200"/>
        <w:textAlignment w:val="auto"/>
        <w:rPr>
          <w:rFonts w:hint="eastAsia" w:ascii="宋体" w:hAnsi="宋体" w:cs="宋体"/>
          <w:color w:val="000000"/>
          <w:sz w:val="21"/>
          <w:szCs w:val="21"/>
          <w:u w:val="single"/>
        </w:rPr>
      </w:pPr>
      <w:r>
        <w:rPr>
          <w:rFonts w:hint="eastAsia" w:ascii="宋体" w:hAnsi="宋体" w:cs="宋体"/>
          <w:color w:val="000000"/>
          <w:sz w:val="21"/>
          <w:szCs w:val="21"/>
        </w:rPr>
        <w:t>1.1.3.7 作为施工现场组成部分的其他场所包括：</w:t>
      </w:r>
      <w:r>
        <w:rPr>
          <w:rFonts w:hint="eastAsia" w:ascii="宋体" w:hAnsi="宋体" w:cs="宋体"/>
          <w:color w:val="000000"/>
          <w:sz w:val="21"/>
          <w:szCs w:val="21"/>
          <w:u w:val="single"/>
        </w:rPr>
        <w:t xml:space="preserve">       /   </w:t>
      </w:r>
      <w:r>
        <w:rPr>
          <w:rFonts w:hint="eastAsia" w:ascii="宋体" w:hAnsi="宋体" w:cs="宋体"/>
          <w:color w:val="000000"/>
          <w:sz w:val="21"/>
          <w:szCs w:val="21"/>
        </w:rPr>
        <w:t>。</w:t>
      </w:r>
    </w:p>
    <w:p w14:paraId="64B024E3">
      <w:pPr>
        <w:pageBreakBefore w:val="0"/>
        <w:kinsoku/>
        <w:wordWrap/>
        <w:overflowPunct/>
        <w:topLinePunct w:val="0"/>
        <w:bidi w:val="0"/>
        <w:adjustRightInd w:val="0"/>
        <w:snapToGrid/>
        <w:spacing w:line="440" w:lineRule="exact"/>
        <w:ind w:left="420" w:leftChars="200" w:right="420" w:rightChars="200"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1.1.3.9 永久占地包括：</w:t>
      </w:r>
      <w:r>
        <w:rPr>
          <w:rFonts w:hint="eastAsia" w:ascii="宋体" w:hAnsi="宋体" w:cs="宋体"/>
          <w:color w:val="000000"/>
          <w:sz w:val="21"/>
          <w:szCs w:val="21"/>
          <w:u w:val="single"/>
        </w:rPr>
        <w:t xml:space="preserve">            /            </w:t>
      </w:r>
      <w:r>
        <w:rPr>
          <w:rFonts w:hint="eastAsia" w:ascii="宋体" w:hAnsi="宋体" w:cs="宋体"/>
          <w:color w:val="000000"/>
          <w:sz w:val="21"/>
          <w:szCs w:val="21"/>
        </w:rPr>
        <w:t>。</w:t>
      </w:r>
    </w:p>
    <w:p w14:paraId="38A21090">
      <w:pPr>
        <w:pageBreakBefore w:val="0"/>
        <w:kinsoku/>
        <w:wordWrap/>
        <w:overflowPunct/>
        <w:topLinePunct w:val="0"/>
        <w:bidi w:val="0"/>
        <w:adjustRightInd w:val="0"/>
        <w:snapToGrid/>
        <w:spacing w:line="440" w:lineRule="exact"/>
        <w:ind w:left="420" w:leftChars="200" w:right="420" w:rightChars="200"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1.1.3.10 临时占地包括：</w:t>
      </w:r>
      <w:r>
        <w:rPr>
          <w:rFonts w:hint="eastAsia" w:ascii="宋体" w:hAnsi="宋体" w:cs="宋体"/>
          <w:color w:val="000000"/>
          <w:sz w:val="21"/>
          <w:szCs w:val="21"/>
          <w:u w:val="single"/>
        </w:rPr>
        <w:t xml:space="preserve">           /            </w:t>
      </w:r>
      <w:r>
        <w:rPr>
          <w:rFonts w:hint="eastAsia" w:ascii="宋体" w:hAnsi="宋体" w:cs="宋体"/>
          <w:color w:val="000000"/>
          <w:sz w:val="21"/>
          <w:szCs w:val="21"/>
        </w:rPr>
        <w:t>。</w:t>
      </w:r>
    </w:p>
    <w:p w14:paraId="3B072BA9">
      <w:pPr>
        <w:pageBreakBefore w:val="0"/>
        <w:kinsoku/>
        <w:wordWrap/>
        <w:overflowPunct/>
        <w:topLinePunct w:val="0"/>
        <w:bidi w:val="0"/>
        <w:adjustRightInd w:val="0"/>
        <w:snapToGrid/>
        <w:spacing w:line="440" w:lineRule="exact"/>
        <w:ind w:left="420" w:leftChars="200" w:right="420" w:rightChars="200"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 xml:space="preserve">1.3法律 </w:t>
      </w:r>
    </w:p>
    <w:p w14:paraId="1E223BA1">
      <w:pPr>
        <w:pageBreakBefore w:val="0"/>
        <w:kinsoku/>
        <w:wordWrap/>
        <w:overflowPunct/>
        <w:topLinePunct w:val="0"/>
        <w:autoSpaceDE w:val="0"/>
        <w:autoSpaceDN w:val="0"/>
        <w:bidi w:val="0"/>
        <w:adjustRightInd w:val="0"/>
        <w:snapToGrid/>
        <w:spacing w:line="440" w:lineRule="exact"/>
        <w:ind w:left="420" w:leftChars="200" w:right="420" w:rightChars="200" w:firstLine="315" w:firstLineChars="150"/>
        <w:jc w:val="left"/>
        <w:textAlignment w:val="auto"/>
        <w:rPr>
          <w:rFonts w:hint="eastAsia" w:ascii="宋体" w:hAnsi="宋体" w:cs="宋体"/>
          <w:color w:val="000000"/>
          <w:sz w:val="21"/>
          <w:szCs w:val="21"/>
        </w:rPr>
      </w:pPr>
      <w:r>
        <w:rPr>
          <w:rFonts w:hint="eastAsia" w:ascii="宋体" w:hAnsi="宋体" w:cs="宋体"/>
          <w:color w:val="000000"/>
          <w:sz w:val="21"/>
          <w:szCs w:val="21"/>
        </w:rPr>
        <w:t>适用于合同的其他规范性文件：</w:t>
      </w:r>
      <w:r>
        <w:rPr>
          <w:rFonts w:hint="eastAsia" w:ascii="宋体" w:hAnsi="宋体" w:cs="宋体"/>
          <w:color w:val="000000"/>
          <w:sz w:val="21"/>
          <w:szCs w:val="21"/>
          <w:u w:val="single"/>
        </w:rPr>
        <w:t>浙江省、宁波市、宁海县有关工程建设的法规、规章及规范性文件</w:t>
      </w:r>
      <w:r>
        <w:rPr>
          <w:rFonts w:hint="eastAsia" w:ascii="宋体" w:hAnsi="宋体" w:cs="宋体"/>
          <w:color w:val="000000"/>
          <w:sz w:val="21"/>
          <w:szCs w:val="21"/>
        </w:rPr>
        <w:t>。</w:t>
      </w:r>
    </w:p>
    <w:p w14:paraId="1CFCB4DB">
      <w:pPr>
        <w:pageBreakBefore w:val="0"/>
        <w:kinsoku/>
        <w:wordWrap/>
        <w:overflowPunct/>
        <w:topLinePunct w:val="0"/>
        <w:bidi w:val="0"/>
        <w:adjustRightInd w:val="0"/>
        <w:snapToGrid/>
        <w:spacing w:line="440" w:lineRule="exact"/>
        <w:ind w:left="420" w:leftChars="200" w:right="420" w:rightChars="200"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1.4 标准和规范</w:t>
      </w:r>
    </w:p>
    <w:p w14:paraId="18DAB5A1">
      <w:pPr>
        <w:pageBreakBefore w:val="0"/>
        <w:kinsoku/>
        <w:wordWrap/>
        <w:overflowPunct/>
        <w:topLinePunct w:val="0"/>
        <w:bidi w:val="0"/>
        <w:adjustRightInd w:val="0"/>
        <w:snapToGrid/>
        <w:spacing w:line="440" w:lineRule="exact"/>
        <w:ind w:left="420" w:leftChars="200" w:right="420" w:rightChars="200"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1.4.1适用于工程的标准规范包括：</w:t>
      </w:r>
      <w:r>
        <w:rPr>
          <w:rFonts w:hint="eastAsia" w:ascii="宋体" w:hAnsi="宋体" w:cs="宋体"/>
          <w:color w:val="000000"/>
          <w:sz w:val="21"/>
          <w:szCs w:val="21"/>
          <w:u w:val="single"/>
        </w:rPr>
        <w:t>国家、浙江省、宁波市有关工程建设相关的施工及验收规范和标准</w:t>
      </w:r>
      <w:r>
        <w:rPr>
          <w:rFonts w:hint="eastAsia" w:ascii="宋体" w:hAnsi="宋体" w:cs="宋体"/>
          <w:color w:val="000000"/>
          <w:sz w:val="21"/>
          <w:szCs w:val="21"/>
        </w:rPr>
        <w:t>。</w:t>
      </w:r>
    </w:p>
    <w:p w14:paraId="302CDBAF">
      <w:pPr>
        <w:pageBreakBefore w:val="0"/>
        <w:kinsoku/>
        <w:wordWrap/>
        <w:overflowPunct/>
        <w:topLinePunct w:val="0"/>
        <w:bidi w:val="0"/>
        <w:adjustRightInd w:val="0"/>
        <w:snapToGrid/>
        <w:spacing w:line="440" w:lineRule="exact"/>
        <w:ind w:left="420" w:leftChars="200" w:right="420" w:rightChars="200"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1.4.2 发包人提供国外标准、规范的名称：</w:t>
      </w:r>
    </w:p>
    <w:p w14:paraId="04872B83">
      <w:pPr>
        <w:pageBreakBefore w:val="0"/>
        <w:kinsoku/>
        <w:wordWrap/>
        <w:overflowPunct/>
        <w:topLinePunct w:val="0"/>
        <w:bidi w:val="0"/>
        <w:adjustRightInd w:val="0"/>
        <w:snapToGrid/>
        <w:spacing w:line="440" w:lineRule="exact"/>
        <w:ind w:left="420" w:leftChars="200" w:right="420" w:rightChars="200" w:firstLine="315" w:firstLineChars="150"/>
        <w:textAlignment w:val="auto"/>
        <w:rPr>
          <w:rFonts w:hint="eastAsia" w:ascii="宋体" w:hAnsi="宋体" w:cs="宋体"/>
          <w:color w:val="000000"/>
          <w:sz w:val="21"/>
          <w:szCs w:val="21"/>
        </w:rPr>
      </w:pPr>
      <w:r>
        <w:rPr>
          <w:rFonts w:hint="eastAsia" w:ascii="宋体" w:hAnsi="宋体" w:cs="宋体"/>
          <w:color w:val="000000"/>
          <w:sz w:val="21"/>
          <w:szCs w:val="21"/>
          <w:u w:val="single"/>
        </w:rPr>
        <w:t xml:space="preserve">                         /                             </w:t>
      </w:r>
      <w:r>
        <w:rPr>
          <w:rFonts w:hint="eastAsia" w:ascii="宋体" w:hAnsi="宋体" w:cs="宋体"/>
          <w:color w:val="000000"/>
          <w:sz w:val="21"/>
          <w:szCs w:val="21"/>
        </w:rPr>
        <w:t>；</w:t>
      </w:r>
    </w:p>
    <w:p w14:paraId="014DC4FD">
      <w:pPr>
        <w:pageBreakBefore w:val="0"/>
        <w:kinsoku/>
        <w:wordWrap/>
        <w:overflowPunct/>
        <w:topLinePunct w:val="0"/>
        <w:bidi w:val="0"/>
        <w:adjustRightInd w:val="0"/>
        <w:snapToGrid/>
        <w:spacing w:line="440" w:lineRule="exact"/>
        <w:ind w:left="420" w:leftChars="200" w:right="420" w:rightChars="200"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发包人提供国外标准、规范的份数：</w:t>
      </w:r>
      <w:r>
        <w:rPr>
          <w:rFonts w:hint="eastAsia" w:ascii="宋体" w:hAnsi="宋体" w:cs="宋体"/>
          <w:color w:val="000000"/>
          <w:sz w:val="21"/>
          <w:szCs w:val="21"/>
          <w:u w:val="single"/>
        </w:rPr>
        <w:t xml:space="preserve">           /           </w:t>
      </w:r>
      <w:r>
        <w:rPr>
          <w:rFonts w:hint="eastAsia" w:ascii="宋体" w:hAnsi="宋体" w:cs="宋体"/>
          <w:color w:val="000000"/>
          <w:sz w:val="21"/>
          <w:szCs w:val="21"/>
        </w:rPr>
        <w:t>；</w:t>
      </w:r>
    </w:p>
    <w:p w14:paraId="396883C8">
      <w:pPr>
        <w:pageBreakBefore w:val="0"/>
        <w:kinsoku/>
        <w:wordWrap/>
        <w:overflowPunct/>
        <w:topLinePunct w:val="0"/>
        <w:bidi w:val="0"/>
        <w:adjustRightInd w:val="0"/>
        <w:snapToGrid/>
        <w:spacing w:line="440" w:lineRule="exact"/>
        <w:ind w:left="420" w:leftChars="200" w:right="420" w:rightChars="200"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发包人提供国外标准、规范的名称：</w:t>
      </w:r>
      <w:r>
        <w:rPr>
          <w:rFonts w:hint="eastAsia" w:ascii="宋体" w:hAnsi="宋体" w:cs="宋体"/>
          <w:color w:val="000000"/>
          <w:sz w:val="21"/>
          <w:szCs w:val="21"/>
          <w:u w:val="single"/>
        </w:rPr>
        <w:t xml:space="preserve">           /           </w:t>
      </w:r>
      <w:r>
        <w:rPr>
          <w:rFonts w:hint="eastAsia" w:ascii="宋体" w:hAnsi="宋体" w:cs="宋体"/>
          <w:color w:val="000000"/>
          <w:sz w:val="21"/>
          <w:szCs w:val="21"/>
        </w:rPr>
        <w:t>。</w:t>
      </w:r>
    </w:p>
    <w:p w14:paraId="1B2A867F">
      <w:pPr>
        <w:pageBreakBefore w:val="0"/>
        <w:kinsoku/>
        <w:wordWrap/>
        <w:overflowPunct/>
        <w:topLinePunct w:val="0"/>
        <w:bidi w:val="0"/>
        <w:adjustRightInd w:val="0"/>
        <w:snapToGrid/>
        <w:spacing w:line="440" w:lineRule="exact"/>
        <w:ind w:left="420" w:leftChars="200" w:right="420" w:rightChars="200"/>
        <w:textAlignment w:val="auto"/>
        <w:rPr>
          <w:rFonts w:hint="eastAsia" w:ascii="宋体" w:hAnsi="宋体" w:cs="宋体"/>
          <w:color w:val="000000"/>
          <w:sz w:val="21"/>
          <w:szCs w:val="21"/>
        </w:rPr>
      </w:pPr>
      <w:r>
        <w:rPr>
          <w:rFonts w:hint="eastAsia" w:ascii="宋体" w:hAnsi="宋体" w:cs="宋体"/>
          <w:color w:val="000000"/>
          <w:sz w:val="21"/>
          <w:szCs w:val="21"/>
        </w:rPr>
        <w:t>1.4.3发包人对工程的技术标准和功能要求的特殊要求：</w:t>
      </w:r>
    </w:p>
    <w:p w14:paraId="134CD76B">
      <w:pPr>
        <w:pageBreakBefore w:val="0"/>
        <w:kinsoku/>
        <w:wordWrap/>
        <w:overflowPunct/>
        <w:topLinePunct w:val="0"/>
        <w:bidi w:val="0"/>
        <w:adjustRightInd w:val="0"/>
        <w:snapToGrid/>
        <w:spacing w:line="440" w:lineRule="exact"/>
        <w:ind w:left="420" w:leftChars="200" w:right="420" w:rightChars="200" w:firstLine="525" w:firstLineChars="250"/>
        <w:textAlignment w:val="auto"/>
        <w:rPr>
          <w:rFonts w:hint="eastAsia" w:ascii="宋体" w:hAnsi="宋体" w:cs="宋体"/>
          <w:color w:val="000000"/>
          <w:sz w:val="21"/>
          <w:szCs w:val="21"/>
        </w:rPr>
      </w:pPr>
      <w:r>
        <w:rPr>
          <w:rFonts w:hint="eastAsia" w:ascii="宋体" w:hAnsi="宋体" w:cs="宋体"/>
          <w:color w:val="000000"/>
          <w:sz w:val="21"/>
          <w:szCs w:val="21"/>
          <w:u w:val="single"/>
        </w:rPr>
        <w:t xml:space="preserve">              /                                    </w:t>
      </w:r>
      <w:r>
        <w:rPr>
          <w:rFonts w:hint="eastAsia" w:ascii="宋体" w:hAnsi="宋体" w:cs="宋体"/>
          <w:color w:val="000000"/>
          <w:sz w:val="21"/>
          <w:szCs w:val="21"/>
        </w:rPr>
        <w:t>。</w:t>
      </w:r>
    </w:p>
    <w:p w14:paraId="2659139C">
      <w:pPr>
        <w:pageBreakBefore w:val="0"/>
        <w:kinsoku/>
        <w:wordWrap/>
        <w:overflowPunct/>
        <w:topLinePunct w:val="0"/>
        <w:bidi w:val="0"/>
        <w:adjustRightInd w:val="0"/>
        <w:snapToGrid/>
        <w:spacing w:line="440" w:lineRule="exact"/>
        <w:ind w:left="420" w:leftChars="200" w:right="420" w:rightChars="200"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1.5 合同文件的优先顺序</w:t>
      </w:r>
    </w:p>
    <w:p w14:paraId="740670C6">
      <w:pPr>
        <w:pageBreakBefore w:val="0"/>
        <w:kinsoku/>
        <w:wordWrap/>
        <w:overflowPunct/>
        <w:topLinePunct w:val="0"/>
        <w:bidi w:val="0"/>
        <w:adjustRightInd w:val="0"/>
        <w:snapToGrid/>
        <w:spacing w:line="440" w:lineRule="exact"/>
        <w:ind w:left="420" w:leftChars="200" w:right="420" w:rightChars="200"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合同文件组成及优先顺序为：</w:t>
      </w:r>
      <w:r>
        <w:rPr>
          <w:rFonts w:hint="eastAsia" w:ascii="宋体" w:hAnsi="宋体" w:cs="宋体"/>
          <w:color w:val="000000"/>
          <w:sz w:val="21"/>
          <w:szCs w:val="21"/>
          <w:u w:val="single"/>
        </w:rPr>
        <w:t>（1）合同协议书；（2）中标通知书；（3）投标函及其附录；（4）专用合同条款及其附件；（5）通用合同条款；（6）技术标准和要求；（7）图纸；（8）预算书；（9）其他合同文件。</w:t>
      </w:r>
    </w:p>
    <w:p w14:paraId="6B2CD6DB">
      <w:pPr>
        <w:pageBreakBefore w:val="0"/>
        <w:kinsoku/>
        <w:wordWrap/>
        <w:overflowPunct/>
        <w:topLinePunct w:val="0"/>
        <w:bidi w:val="0"/>
        <w:adjustRightInd w:val="0"/>
        <w:snapToGrid/>
        <w:spacing w:line="440" w:lineRule="exact"/>
        <w:ind w:left="420" w:leftChars="200" w:right="420" w:rightChars="200"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1.6 图纸和承包人文件</w:t>
      </w:r>
      <w:r>
        <w:rPr>
          <w:rFonts w:hint="eastAsia" w:ascii="宋体" w:hAnsi="宋体" w:cs="宋体"/>
          <w:color w:val="000000"/>
          <w:sz w:val="21"/>
          <w:szCs w:val="21"/>
        </w:rPr>
        <w:tab/>
      </w:r>
    </w:p>
    <w:p w14:paraId="6E261BE1">
      <w:pPr>
        <w:pageBreakBefore w:val="0"/>
        <w:kinsoku/>
        <w:wordWrap/>
        <w:overflowPunct/>
        <w:topLinePunct w:val="0"/>
        <w:bidi w:val="0"/>
        <w:adjustRightInd w:val="0"/>
        <w:snapToGrid/>
        <w:spacing w:line="440" w:lineRule="exact"/>
        <w:ind w:left="420" w:leftChars="200" w:right="420" w:rightChars="200"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1.6.1 图纸的提供</w:t>
      </w:r>
    </w:p>
    <w:p w14:paraId="2FAC3C28">
      <w:pPr>
        <w:pageBreakBefore w:val="0"/>
        <w:kinsoku/>
        <w:wordWrap/>
        <w:overflowPunct/>
        <w:topLinePunct w:val="0"/>
        <w:bidi w:val="0"/>
        <w:adjustRightInd w:val="0"/>
        <w:snapToGrid/>
        <w:spacing w:line="440" w:lineRule="exact"/>
        <w:ind w:left="420" w:leftChars="200" w:right="420" w:rightChars="200"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发包人向承包人提供图纸的期限：</w:t>
      </w:r>
      <w:r>
        <w:rPr>
          <w:rFonts w:hint="eastAsia" w:ascii="宋体" w:hAnsi="宋体" w:cs="宋体"/>
          <w:color w:val="000000"/>
          <w:sz w:val="21"/>
          <w:szCs w:val="21"/>
          <w:u w:val="single"/>
        </w:rPr>
        <w:t>向承包人发出中标通知书后3天内</w:t>
      </w:r>
      <w:r>
        <w:rPr>
          <w:rFonts w:hint="eastAsia" w:ascii="宋体" w:hAnsi="宋体" w:cs="宋体"/>
          <w:color w:val="000000"/>
          <w:sz w:val="21"/>
          <w:szCs w:val="21"/>
        </w:rPr>
        <w:t>；</w:t>
      </w:r>
    </w:p>
    <w:p w14:paraId="74664126">
      <w:pPr>
        <w:pageBreakBefore w:val="0"/>
        <w:kinsoku/>
        <w:wordWrap/>
        <w:overflowPunct/>
        <w:topLinePunct w:val="0"/>
        <w:bidi w:val="0"/>
        <w:adjustRightInd w:val="0"/>
        <w:snapToGrid/>
        <w:spacing w:line="440" w:lineRule="exact"/>
        <w:ind w:left="420" w:leftChars="200" w:right="420" w:rightChars="200"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发包人向承包人提供图纸的数量：</w:t>
      </w:r>
      <w:r>
        <w:rPr>
          <w:rFonts w:hint="eastAsia" w:ascii="宋体" w:hAnsi="宋体" w:cs="宋体"/>
          <w:color w:val="000000"/>
          <w:sz w:val="21"/>
          <w:szCs w:val="21"/>
          <w:u w:val="single"/>
        </w:rPr>
        <w:t>2套</w:t>
      </w:r>
      <w:r>
        <w:rPr>
          <w:rFonts w:hint="eastAsia" w:ascii="宋体" w:hAnsi="宋体" w:cs="宋体"/>
          <w:color w:val="000000"/>
          <w:sz w:val="21"/>
          <w:szCs w:val="21"/>
        </w:rPr>
        <w:t>；</w:t>
      </w:r>
    </w:p>
    <w:p w14:paraId="774F523B">
      <w:pPr>
        <w:pageBreakBefore w:val="0"/>
        <w:kinsoku/>
        <w:wordWrap/>
        <w:overflowPunct/>
        <w:topLinePunct w:val="0"/>
        <w:bidi w:val="0"/>
        <w:adjustRightInd w:val="0"/>
        <w:snapToGrid/>
        <w:spacing w:line="440" w:lineRule="exact"/>
        <w:ind w:left="420" w:leftChars="200" w:right="420" w:rightChars="200"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发包人向承包人提供图纸的内容：</w:t>
      </w:r>
      <w:r>
        <w:rPr>
          <w:rFonts w:hint="eastAsia" w:ascii="宋体" w:hAnsi="宋体" w:cs="宋体"/>
          <w:color w:val="000000"/>
          <w:sz w:val="21"/>
          <w:szCs w:val="21"/>
          <w:u w:val="single"/>
        </w:rPr>
        <w:t>工程承包范围内的各专业工程</w:t>
      </w:r>
      <w:r>
        <w:rPr>
          <w:rFonts w:hint="eastAsia" w:ascii="宋体" w:hAnsi="宋体" w:cs="宋体"/>
          <w:color w:val="000000"/>
          <w:sz w:val="21"/>
          <w:szCs w:val="21"/>
        </w:rPr>
        <w:t>。</w:t>
      </w:r>
    </w:p>
    <w:p w14:paraId="4AC0311A">
      <w:pPr>
        <w:pageBreakBefore w:val="0"/>
        <w:kinsoku/>
        <w:wordWrap/>
        <w:overflowPunct/>
        <w:topLinePunct w:val="0"/>
        <w:bidi w:val="0"/>
        <w:adjustRightInd w:val="0"/>
        <w:snapToGrid/>
        <w:spacing w:line="440" w:lineRule="exact"/>
        <w:ind w:left="420" w:leftChars="200" w:right="420" w:rightChars="200"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1.6.4 承包人文件</w:t>
      </w:r>
    </w:p>
    <w:p w14:paraId="3485F9C9">
      <w:pPr>
        <w:pageBreakBefore w:val="0"/>
        <w:kinsoku/>
        <w:wordWrap/>
        <w:overflowPunct/>
        <w:topLinePunct w:val="0"/>
        <w:bidi w:val="0"/>
        <w:adjustRightInd w:val="0"/>
        <w:snapToGrid/>
        <w:spacing w:line="440" w:lineRule="exact"/>
        <w:ind w:left="420" w:leftChars="200" w:right="420" w:rightChars="200" w:firstLine="441" w:firstLineChars="210"/>
        <w:jc w:val="left"/>
        <w:textAlignment w:val="auto"/>
        <w:rPr>
          <w:rFonts w:hint="eastAsia" w:ascii="宋体" w:hAnsi="宋体" w:cs="宋体"/>
          <w:color w:val="000000"/>
          <w:sz w:val="21"/>
          <w:szCs w:val="21"/>
        </w:rPr>
      </w:pPr>
      <w:r>
        <w:rPr>
          <w:rFonts w:hint="eastAsia" w:ascii="宋体" w:hAnsi="宋体" w:cs="宋体"/>
          <w:color w:val="000000"/>
          <w:sz w:val="21"/>
          <w:szCs w:val="21"/>
        </w:rPr>
        <w:t>需要由承包人提供的文件，包括：</w:t>
      </w:r>
      <w:r>
        <w:rPr>
          <w:rFonts w:hint="eastAsia" w:ascii="宋体" w:hAnsi="宋体" w:cs="宋体"/>
          <w:color w:val="000000"/>
          <w:sz w:val="21"/>
          <w:szCs w:val="21"/>
          <w:u w:val="single"/>
        </w:rPr>
        <w:t>施工组织设计、工程进度计划、专项施工方案、加工图、大样图、协调配合图等</w:t>
      </w:r>
      <w:r>
        <w:rPr>
          <w:rFonts w:hint="eastAsia" w:ascii="宋体" w:hAnsi="宋体" w:cs="宋体"/>
          <w:color w:val="000000"/>
          <w:sz w:val="21"/>
          <w:szCs w:val="21"/>
        </w:rPr>
        <w:t>；</w:t>
      </w:r>
    </w:p>
    <w:p w14:paraId="4147D40E">
      <w:pPr>
        <w:pageBreakBefore w:val="0"/>
        <w:kinsoku/>
        <w:wordWrap/>
        <w:overflowPunct/>
        <w:topLinePunct w:val="0"/>
        <w:bidi w:val="0"/>
        <w:adjustRightInd w:val="0"/>
        <w:snapToGrid/>
        <w:spacing w:line="440" w:lineRule="exact"/>
        <w:ind w:left="420" w:leftChars="200" w:right="420" w:rightChars="200"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承包人提供的文件的期限为：</w:t>
      </w:r>
      <w:r>
        <w:rPr>
          <w:rFonts w:hint="eastAsia" w:ascii="宋体" w:hAnsi="宋体" w:cs="宋体"/>
          <w:color w:val="000000"/>
          <w:sz w:val="21"/>
          <w:szCs w:val="21"/>
          <w:u w:val="single"/>
        </w:rPr>
        <w:t>施工组织设计、工程进度计划在工程开工前15天，其他文件在相应专项工程或部位施工前5天</w:t>
      </w:r>
      <w:r>
        <w:rPr>
          <w:rFonts w:hint="eastAsia" w:ascii="宋体" w:hAnsi="宋体" w:cs="宋体"/>
          <w:color w:val="000000"/>
          <w:sz w:val="21"/>
          <w:szCs w:val="21"/>
        </w:rPr>
        <w:t>；</w:t>
      </w:r>
    </w:p>
    <w:p w14:paraId="79565CF9">
      <w:pPr>
        <w:pageBreakBefore w:val="0"/>
        <w:kinsoku/>
        <w:wordWrap/>
        <w:overflowPunct/>
        <w:topLinePunct w:val="0"/>
        <w:bidi w:val="0"/>
        <w:adjustRightInd w:val="0"/>
        <w:snapToGrid/>
        <w:spacing w:line="440" w:lineRule="exact"/>
        <w:ind w:left="420" w:leftChars="200" w:right="420" w:rightChars="200"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承包人提供的文件的数量为：</w:t>
      </w:r>
      <w:r>
        <w:rPr>
          <w:rFonts w:hint="eastAsia" w:ascii="宋体" w:hAnsi="宋体" w:cs="宋体"/>
          <w:color w:val="000000"/>
          <w:sz w:val="21"/>
          <w:szCs w:val="21"/>
          <w:u w:val="single"/>
        </w:rPr>
        <w:t>   一式五套、电子版一套        </w:t>
      </w:r>
      <w:r>
        <w:rPr>
          <w:rFonts w:hint="eastAsia" w:ascii="宋体" w:hAnsi="宋体" w:cs="宋体"/>
          <w:color w:val="000000"/>
          <w:sz w:val="21"/>
          <w:szCs w:val="21"/>
        </w:rPr>
        <w:t>；</w:t>
      </w:r>
    </w:p>
    <w:p w14:paraId="468E03C3">
      <w:pPr>
        <w:pageBreakBefore w:val="0"/>
        <w:kinsoku/>
        <w:wordWrap/>
        <w:overflowPunct/>
        <w:topLinePunct w:val="0"/>
        <w:bidi w:val="0"/>
        <w:adjustRightInd w:val="0"/>
        <w:snapToGrid/>
        <w:spacing w:line="440" w:lineRule="exact"/>
        <w:ind w:left="420" w:leftChars="200" w:right="420" w:rightChars="200"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承包人提供的文件的形式为：</w:t>
      </w:r>
      <w:r>
        <w:rPr>
          <w:rFonts w:hint="eastAsia" w:ascii="宋体" w:hAnsi="宋体" w:cs="宋体"/>
          <w:color w:val="000000"/>
          <w:sz w:val="21"/>
          <w:szCs w:val="21"/>
          <w:u w:val="single"/>
        </w:rPr>
        <w:t>纸质版本及电子版本       </w:t>
      </w:r>
      <w:r>
        <w:rPr>
          <w:rFonts w:hint="eastAsia" w:ascii="宋体" w:hAnsi="宋体" w:cs="宋体"/>
          <w:color w:val="000000"/>
          <w:sz w:val="21"/>
          <w:szCs w:val="21"/>
        </w:rPr>
        <w:t>；</w:t>
      </w:r>
    </w:p>
    <w:p w14:paraId="7277D131">
      <w:pPr>
        <w:pageBreakBefore w:val="0"/>
        <w:kinsoku/>
        <w:wordWrap/>
        <w:overflowPunct/>
        <w:topLinePunct w:val="0"/>
        <w:bidi w:val="0"/>
        <w:adjustRightInd w:val="0"/>
        <w:snapToGrid/>
        <w:spacing w:line="440" w:lineRule="exact"/>
        <w:ind w:left="420" w:leftChars="200" w:right="420" w:rightChars="200"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发包人审批承包人文件的期限：</w:t>
      </w:r>
      <w:r>
        <w:rPr>
          <w:rFonts w:hint="eastAsia" w:ascii="宋体" w:hAnsi="宋体" w:cs="宋体"/>
          <w:color w:val="000000"/>
          <w:sz w:val="21"/>
          <w:szCs w:val="21"/>
          <w:u w:val="single"/>
        </w:rPr>
        <w:t xml:space="preserve">                 </w:t>
      </w:r>
      <w:r>
        <w:rPr>
          <w:rFonts w:hint="eastAsia" w:ascii="宋体" w:hAnsi="宋体" w:cs="宋体"/>
          <w:color w:val="000000"/>
          <w:sz w:val="21"/>
          <w:szCs w:val="21"/>
        </w:rPr>
        <w:t>。</w:t>
      </w:r>
    </w:p>
    <w:p w14:paraId="1DD01CD0">
      <w:pPr>
        <w:pageBreakBefore w:val="0"/>
        <w:kinsoku/>
        <w:wordWrap/>
        <w:overflowPunct/>
        <w:topLinePunct w:val="0"/>
        <w:bidi w:val="0"/>
        <w:adjustRightInd w:val="0"/>
        <w:snapToGrid/>
        <w:spacing w:line="440" w:lineRule="exact"/>
        <w:ind w:left="420" w:leftChars="200" w:right="420" w:rightChars="200"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1.6.5 现场图纸准备</w:t>
      </w:r>
    </w:p>
    <w:p w14:paraId="5118B909">
      <w:pPr>
        <w:pageBreakBefore w:val="0"/>
        <w:kinsoku/>
        <w:wordWrap/>
        <w:overflowPunct/>
        <w:topLinePunct w:val="0"/>
        <w:bidi w:val="0"/>
        <w:adjustRightInd w:val="0"/>
        <w:snapToGrid/>
        <w:spacing w:line="440" w:lineRule="exact"/>
        <w:ind w:left="420" w:leftChars="200" w:right="420" w:rightChars="200"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关于现场图纸准备的约定：</w:t>
      </w:r>
      <w:r>
        <w:rPr>
          <w:rFonts w:hint="eastAsia" w:ascii="宋体" w:hAnsi="宋体" w:cs="宋体"/>
          <w:color w:val="000000"/>
          <w:sz w:val="21"/>
          <w:szCs w:val="21"/>
          <w:u w:val="single"/>
        </w:rPr>
        <w:t>承包人在施工现场保存至少一套完整的图纸和承包人文件</w:t>
      </w:r>
      <w:r>
        <w:rPr>
          <w:rFonts w:hint="eastAsia" w:ascii="宋体" w:hAnsi="宋体" w:cs="宋体"/>
          <w:color w:val="000000"/>
          <w:sz w:val="21"/>
          <w:szCs w:val="21"/>
        </w:rPr>
        <w:t>。</w:t>
      </w:r>
    </w:p>
    <w:p w14:paraId="1957BD10">
      <w:pPr>
        <w:pageBreakBefore w:val="0"/>
        <w:kinsoku/>
        <w:wordWrap/>
        <w:overflowPunct/>
        <w:topLinePunct w:val="0"/>
        <w:bidi w:val="0"/>
        <w:adjustRightInd w:val="0"/>
        <w:snapToGrid/>
        <w:spacing w:line="440" w:lineRule="exact"/>
        <w:ind w:left="420" w:leftChars="200" w:right="420" w:rightChars="200"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1.7 联络</w:t>
      </w:r>
    </w:p>
    <w:p w14:paraId="43F3F6D9">
      <w:pPr>
        <w:pageBreakBefore w:val="0"/>
        <w:kinsoku/>
        <w:wordWrap/>
        <w:overflowPunct/>
        <w:topLinePunct w:val="0"/>
        <w:bidi w:val="0"/>
        <w:adjustRightInd w:val="0"/>
        <w:snapToGrid/>
        <w:spacing w:line="440" w:lineRule="exact"/>
        <w:ind w:left="420" w:leftChars="200" w:right="420" w:rightChars="200"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1.7.1发包人和承包人应当在</w:t>
      </w:r>
      <w:r>
        <w:rPr>
          <w:rFonts w:hint="eastAsia" w:ascii="宋体" w:hAnsi="宋体" w:cs="宋体"/>
          <w:color w:val="000000"/>
          <w:sz w:val="21"/>
          <w:szCs w:val="21"/>
          <w:u w:val="single"/>
        </w:rPr>
        <w:t xml:space="preserve">  通用条款规定的时间  </w:t>
      </w:r>
      <w:r>
        <w:rPr>
          <w:rFonts w:hint="eastAsia" w:ascii="宋体" w:hAnsi="宋体" w:cs="宋体"/>
          <w:color w:val="000000"/>
          <w:sz w:val="21"/>
          <w:szCs w:val="21"/>
        </w:rPr>
        <w:t>内将与合同有关的通知、批准、证明、证书、指示、指令、要求、请求、同意、意见、确定和决定等书面函件送达对方当事人。</w:t>
      </w:r>
    </w:p>
    <w:p w14:paraId="3EEDE7C3">
      <w:pPr>
        <w:pageBreakBefore w:val="0"/>
        <w:kinsoku/>
        <w:wordWrap/>
        <w:overflowPunct/>
        <w:topLinePunct w:val="0"/>
        <w:bidi w:val="0"/>
        <w:adjustRightInd w:val="0"/>
        <w:snapToGrid/>
        <w:spacing w:line="440" w:lineRule="exact"/>
        <w:ind w:left="420" w:leftChars="200" w:right="420" w:rightChars="200"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1.7.2 发包人接收文件的地点：</w:t>
      </w:r>
      <w:r>
        <w:rPr>
          <w:rFonts w:hint="eastAsia" w:ascii="宋体" w:hAnsi="宋体" w:cs="宋体"/>
          <w:color w:val="000000"/>
          <w:sz w:val="21"/>
          <w:szCs w:val="21"/>
          <w:u w:val="single"/>
        </w:rPr>
        <w:t>发包人驻办公所在地</w:t>
      </w:r>
      <w:r>
        <w:rPr>
          <w:rFonts w:hint="eastAsia" w:ascii="宋体" w:hAnsi="宋体" w:cs="宋体"/>
          <w:color w:val="000000"/>
          <w:sz w:val="21"/>
          <w:szCs w:val="21"/>
        </w:rPr>
        <w:t>；</w:t>
      </w:r>
    </w:p>
    <w:p w14:paraId="7F5038EA">
      <w:pPr>
        <w:pageBreakBefore w:val="0"/>
        <w:kinsoku/>
        <w:wordWrap/>
        <w:overflowPunct/>
        <w:topLinePunct w:val="0"/>
        <w:bidi w:val="0"/>
        <w:adjustRightInd w:val="0"/>
        <w:snapToGrid/>
        <w:spacing w:line="440" w:lineRule="exact"/>
        <w:ind w:left="420" w:leftChars="200" w:right="420" w:rightChars="200"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发包人指定的接收人为：</w:t>
      </w:r>
      <w:r>
        <w:rPr>
          <w:rFonts w:hint="eastAsia" w:ascii="宋体" w:hAnsi="宋体" w:cs="宋体"/>
          <w:color w:val="000000"/>
          <w:sz w:val="21"/>
          <w:szCs w:val="21"/>
          <w:u w:val="single"/>
        </w:rPr>
        <w:t>                </w:t>
      </w:r>
      <w:r>
        <w:rPr>
          <w:rFonts w:hint="eastAsia" w:ascii="宋体" w:hAnsi="宋体" w:cs="宋体"/>
          <w:color w:val="000000"/>
          <w:sz w:val="21"/>
          <w:szCs w:val="21"/>
        </w:rPr>
        <w:t>。</w:t>
      </w:r>
    </w:p>
    <w:p w14:paraId="4D2745DC">
      <w:pPr>
        <w:pageBreakBefore w:val="0"/>
        <w:kinsoku/>
        <w:wordWrap/>
        <w:overflowPunct/>
        <w:topLinePunct w:val="0"/>
        <w:bidi w:val="0"/>
        <w:adjustRightInd w:val="0"/>
        <w:snapToGrid/>
        <w:spacing w:line="440" w:lineRule="exact"/>
        <w:ind w:left="420" w:leftChars="200" w:right="420" w:rightChars="200"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承包人接收文件的地点：</w:t>
      </w:r>
      <w:r>
        <w:rPr>
          <w:rFonts w:hint="eastAsia" w:ascii="宋体" w:hAnsi="宋体" w:cs="宋体"/>
          <w:color w:val="000000"/>
          <w:sz w:val="21"/>
          <w:szCs w:val="21"/>
          <w:u w:val="single"/>
        </w:rPr>
        <w:t>承包人驻办公所在地    </w:t>
      </w:r>
      <w:r>
        <w:rPr>
          <w:rFonts w:hint="eastAsia" w:ascii="宋体" w:hAnsi="宋体" w:cs="宋体"/>
          <w:color w:val="000000"/>
          <w:sz w:val="21"/>
          <w:szCs w:val="21"/>
        </w:rPr>
        <w:t>；</w:t>
      </w:r>
    </w:p>
    <w:p w14:paraId="30474A24">
      <w:pPr>
        <w:pageBreakBefore w:val="0"/>
        <w:kinsoku/>
        <w:wordWrap/>
        <w:overflowPunct/>
        <w:topLinePunct w:val="0"/>
        <w:bidi w:val="0"/>
        <w:adjustRightInd w:val="0"/>
        <w:snapToGrid/>
        <w:spacing w:line="440" w:lineRule="exact"/>
        <w:ind w:left="420" w:leftChars="200" w:right="420" w:rightChars="200"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承包人指定的接收人为：</w:t>
      </w:r>
      <w:r>
        <w:rPr>
          <w:rFonts w:hint="eastAsia" w:ascii="宋体" w:hAnsi="宋体" w:cs="宋体"/>
          <w:color w:val="000000"/>
          <w:sz w:val="21"/>
          <w:szCs w:val="21"/>
          <w:u w:val="single"/>
        </w:rPr>
        <w:t>              </w:t>
      </w:r>
      <w:r>
        <w:rPr>
          <w:rFonts w:hint="eastAsia" w:ascii="宋体" w:hAnsi="宋体" w:cs="宋体"/>
          <w:color w:val="000000"/>
          <w:sz w:val="21"/>
          <w:szCs w:val="21"/>
        </w:rPr>
        <w:t>。</w:t>
      </w:r>
    </w:p>
    <w:p w14:paraId="03E08606">
      <w:pPr>
        <w:pageBreakBefore w:val="0"/>
        <w:kinsoku/>
        <w:wordWrap/>
        <w:overflowPunct/>
        <w:topLinePunct w:val="0"/>
        <w:bidi w:val="0"/>
        <w:adjustRightInd w:val="0"/>
        <w:snapToGrid/>
        <w:spacing w:line="440" w:lineRule="exact"/>
        <w:ind w:left="420" w:leftChars="200" w:right="420" w:rightChars="200"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监理人接收文件的地点：</w:t>
      </w:r>
      <w:r>
        <w:rPr>
          <w:rFonts w:hint="eastAsia" w:ascii="宋体" w:hAnsi="宋体" w:cs="宋体"/>
          <w:color w:val="000000"/>
          <w:sz w:val="21"/>
          <w:szCs w:val="21"/>
          <w:u w:val="single"/>
        </w:rPr>
        <w:t>监理人驻办公所在地      </w:t>
      </w:r>
      <w:r>
        <w:rPr>
          <w:rFonts w:hint="eastAsia" w:ascii="宋体" w:hAnsi="宋体" w:cs="宋体"/>
          <w:color w:val="000000"/>
          <w:sz w:val="21"/>
          <w:szCs w:val="21"/>
        </w:rPr>
        <w:t>；</w:t>
      </w:r>
    </w:p>
    <w:p w14:paraId="62FB29BE">
      <w:pPr>
        <w:pageBreakBefore w:val="0"/>
        <w:kinsoku/>
        <w:wordWrap/>
        <w:overflowPunct/>
        <w:topLinePunct w:val="0"/>
        <w:bidi w:val="0"/>
        <w:adjustRightInd w:val="0"/>
        <w:snapToGrid/>
        <w:spacing w:line="440" w:lineRule="exact"/>
        <w:ind w:left="420" w:leftChars="200" w:right="420" w:rightChars="200"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监理人指定的接收人为：</w:t>
      </w:r>
      <w:r>
        <w:rPr>
          <w:rFonts w:hint="eastAsia" w:ascii="宋体" w:hAnsi="宋体" w:cs="宋体"/>
          <w:color w:val="000000"/>
          <w:sz w:val="21"/>
          <w:szCs w:val="21"/>
          <w:u w:val="single"/>
        </w:rPr>
        <w:t>              </w:t>
      </w:r>
      <w:r>
        <w:rPr>
          <w:rFonts w:hint="eastAsia" w:ascii="宋体" w:hAnsi="宋体" w:cs="宋体"/>
          <w:color w:val="000000"/>
          <w:sz w:val="21"/>
          <w:szCs w:val="21"/>
        </w:rPr>
        <w:t>。</w:t>
      </w:r>
    </w:p>
    <w:p w14:paraId="59A33D39">
      <w:pPr>
        <w:pageBreakBefore w:val="0"/>
        <w:kinsoku/>
        <w:wordWrap/>
        <w:overflowPunct/>
        <w:topLinePunct w:val="0"/>
        <w:bidi w:val="0"/>
        <w:adjustRightInd w:val="0"/>
        <w:snapToGrid/>
        <w:spacing w:line="440" w:lineRule="exact"/>
        <w:ind w:left="420" w:leftChars="200" w:right="420" w:rightChars="200"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1.10 交通运输</w:t>
      </w:r>
    </w:p>
    <w:p w14:paraId="4F1101E0">
      <w:pPr>
        <w:pageBreakBefore w:val="0"/>
        <w:kinsoku/>
        <w:wordWrap/>
        <w:overflowPunct/>
        <w:topLinePunct w:val="0"/>
        <w:bidi w:val="0"/>
        <w:adjustRightInd w:val="0"/>
        <w:snapToGrid/>
        <w:spacing w:line="440" w:lineRule="exact"/>
        <w:ind w:left="420" w:leftChars="200" w:right="420" w:rightChars="200"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1</w:t>
      </w:r>
      <w:bookmarkStart w:id="472" w:name="_Toc303539100"/>
      <w:bookmarkStart w:id="473" w:name="_Toc300934943"/>
      <w:bookmarkStart w:id="474" w:name="_Toc318581155"/>
      <w:bookmarkStart w:id="475" w:name="_Toc304295521"/>
      <w:bookmarkStart w:id="476" w:name="_Toc312677986"/>
      <w:r>
        <w:rPr>
          <w:rFonts w:hint="eastAsia" w:ascii="宋体" w:hAnsi="宋体" w:cs="宋体"/>
          <w:color w:val="000000"/>
          <w:sz w:val="21"/>
          <w:szCs w:val="21"/>
        </w:rPr>
        <w:t>.10.1 出入现场的权利</w:t>
      </w:r>
    </w:p>
    <w:p w14:paraId="60DEFF44">
      <w:pPr>
        <w:pageBreakBefore w:val="0"/>
        <w:kinsoku/>
        <w:wordWrap/>
        <w:overflowPunct/>
        <w:topLinePunct w:val="0"/>
        <w:bidi w:val="0"/>
        <w:adjustRightInd w:val="0"/>
        <w:snapToGrid/>
        <w:spacing w:line="440" w:lineRule="exact"/>
        <w:ind w:left="420" w:leftChars="200" w:right="420" w:rightChars="200"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关于出入现场的权利的约定：</w:t>
      </w:r>
      <w:r>
        <w:rPr>
          <w:rFonts w:hint="eastAsia" w:ascii="宋体" w:hAnsi="宋体" w:cs="宋体"/>
          <w:color w:val="000000"/>
          <w:sz w:val="21"/>
          <w:szCs w:val="21"/>
          <w:u w:val="single"/>
        </w:rPr>
        <w:t>   /   </w:t>
      </w:r>
      <w:r>
        <w:rPr>
          <w:rFonts w:hint="eastAsia" w:ascii="宋体" w:hAnsi="宋体" w:cs="宋体"/>
          <w:color w:val="000000"/>
          <w:sz w:val="21"/>
          <w:szCs w:val="21"/>
        </w:rPr>
        <w:t>。</w:t>
      </w:r>
    </w:p>
    <w:bookmarkEnd w:id="472"/>
    <w:bookmarkEnd w:id="473"/>
    <w:bookmarkEnd w:id="474"/>
    <w:bookmarkEnd w:id="475"/>
    <w:bookmarkEnd w:id="476"/>
    <w:p w14:paraId="551BB1A8">
      <w:pPr>
        <w:pageBreakBefore w:val="0"/>
        <w:kinsoku/>
        <w:wordWrap/>
        <w:overflowPunct/>
        <w:topLinePunct w:val="0"/>
        <w:bidi w:val="0"/>
        <w:adjustRightInd w:val="0"/>
        <w:snapToGrid/>
        <w:spacing w:line="440" w:lineRule="exact"/>
        <w:ind w:left="420" w:leftChars="200" w:right="420" w:rightChars="200"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1</w:t>
      </w:r>
      <w:bookmarkStart w:id="477" w:name="_Toc312677987"/>
      <w:bookmarkStart w:id="478" w:name="_Toc300934944"/>
      <w:bookmarkStart w:id="479" w:name="_Toc318581156"/>
      <w:bookmarkStart w:id="480" w:name="_Toc304295522"/>
      <w:bookmarkStart w:id="481" w:name="_Toc303539101"/>
      <w:r>
        <w:rPr>
          <w:rFonts w:hint="eastAsia" w:ascii="宋体" w:hAnsi="宋体" w:cs="宋体"/>
          <w:color w:val="000000"/>
          <w:sz w:val="21"/>
          <w:szCs w:val="21"/>
        </w:rPr>
        <w:t>.10.3 场内交通</w:t>
      </w:r>
    </w:p>
    <w:p w14:paraId="6F366910">
      <w:pPr>
        <w:pageBreakBefore w:val="0"/>
        <w:kinsoku/>
        <w:wordWrap/>
        <w:overflowPunct/>
        <w:topLinePunct w:val="0"/>
        <w:bidi w:val="0"/>
        <w:adjustRightInd w:val="0"/>
        <w:snapToGrid/>
        <w:spacing w:line="440" w:lineRule="exact"/>
        <w:ind w:left="420" w:leftChars="200" w:right="420" w:rightChars="200"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关于场外交通和场内交通的边界的约定：</w:t>
      </w:r>
      <w:r>
        <w:rPr>
          <w:rFonts w:hint="eastAsia" w:ascii="宋体" w:hAnsi="宋体" w:cs="宋体"/>
          <w:color w:val="000000"/>
          <w:sz w:val="21"/>
          <w:szCs w:val="21"/>
          <w:u w:val="single"/>
        </w:rPr>
        <w:t>按本工程规划红线范围及桩号界定</w:t>
      </w:r>
      <w:r>
        <w:rPr>
          <w:rFonts w:hint="eastAsia" w:ascii="宋体" w:hAnsi="宋体" w:cs="宋体"/>
          <w:color w:val="000000"/>
          <w:sz w:val="21"/>
          <w:szCs w:val="21"/>
        </w:rPr>
        <w:t>。</w:t>
      </w:r>
    </w:p>
    <w:p w14:paraId="01038431">
      <w:pPr>
        <w:pageBreakBefore w:val="0"/>
        <w:kinsoku/>
        <w:wordWrap/>
        <w:overflowPunct/>
        <w:topLinePunct w:val="0"/>
        <w:bidi w:val="0"/>
        <w:adjustRightInd w:val="0"/>
        <w:snapToGrid/>
        <w:spacing w:line="440" w:lineRule="exact"/>
        <w:ind w:left="420" w:leftChars="200" w:right="420" w:rightChars="200"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关于发包人向承包人免费提供满足工程施工需要的场内道路和交通设施的约定：</w:t>
      </w:r>
      <w:r>
        <w:rPr>
          <w:rFonts w:hint="eastAsia" w:ascii="宋体" w:hAnsi="宋体" w:cs="宋体"/>
          <w:color w:val="000000"/>
          <w:sz w:val="21"/>
          <w:szCs w:val="21"/>
          <w:u w:val="single"/>
        </w:rPr>
        <w:t>承包人负责修建、维修、养护和管理施工所需的场内临时道路和交通设施，费用由承包人自行负责</w:t>
      </w:r>
      <w:r>
        <w:rPr>
          <w:rFonts w:hint="eastAsia" w:ascii="宋体" w:hAnsi="宋体" w:cs="宋体"/>
          <w:color w:val="000000"/>
          <w:sz w:val="21"/>
          <w:szCs w:val="21"/>
        </w:rPr>
        <w:t>。</w:t>
      </w:r>
      <w:bookmarkEnd w:id="477"/>
      <w:bookmarkEnd w:id="478"/>
      <w:bookmarkEnd w:id="479"/>
      <w:bookmarkEnd w:id="480"/>
      <w:bookmarkEnd w:id="481"/>
      <w:r>
        <w:rPr>
          <w:rFonts w:hint="eastAsia" w:ascii="宋体" w:hAnsi="宋体" w:cs="宋体"/>
          <w:color w:val="000000"/>
          <w:sz w:val="21"/>
          <w:szCs w:val="21"/>
        </w:rPr>
        <w:t xml:space="preserve">  </w:t>
      </w:r>
      <w:bookmarkStart w:id="482" w:name="_Toc318581157"/>
    </w:p>
    <w:p w14:paraId="02721EB2">
      <w:pPr>
        <w:pageBreakBefore w:val="0"/>
        <w:kinsoku/>
        <w:wordWrap/>
        <w:overflowPunct/>
        <w:topLinePunct w:val="0"/>
        <w:bidi w:val="0"/>
        <w:adjustRightInd w:val="0"/>
        <w:snapToGrid/>
        <w:spacing w:line="440" w:lineRule="exact"/>
        <w:ind w:left="420" w:leftChars="200" w:right="420" w:rightChars="200"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1.10.4超大件和超重件的运输</w:t>
      </w:r>
    </w:p>
    <w:p w14:paraId="14B598CC">
      <w:pPr>
        <w:pageBreakBefore w:val="0"/>
        <w:kinsoku/>
        <w:wordWrap/>
        <w:overflowPunct/>
        <w:topLinePunct w:val="0"/>
        <w:bidi w:val="0"/>
        <w:adjustRightInd w:val="0"/>
        <w:snapToGrid/>
        <w:spacing w:line="440" w:lineRule="exact"/>
        <w:ind w:left="420" w:leftChars="200" w:right="420" w:rightChars="200"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运输超大件或超重件所需的道路和桥梁临时加固改造费用和其他有关费用由</w:t>
      </w:r>
      <w:r>
        <w:rPr>
          <w:rFonts w:hint="eastAsia" w:ascii="宋体" w:hAnsi="宋体" w:cs="宋体"/>
          <w:color w:val="000000"/>
          <w:sz w:val="21"/>
          <w:szCs w:val="21"/>
          <w:u w:val="single"/>
        </w:rPr>
        <w:t xml:space="preserve"> 承包人</w:t>
      </w:r>
      <w:r>
        <w:rPr>
          <w:rFonts w:hint="eastAsia" w:ascii="宋体" w:hAnsi="宋体" w:cs="宋体"/>
          <w:color w:val="000000"/>
          <w:sz w:val="21"/>
          <w:szCs w:val="21"/>
        </w:rPr>
        <w:t>承担。</w:t>
      </w:r>
    </w:p>
    <w:bookmarkEnd w:id="482"/>
    <w:p w14:paraId="693F9762">
      <w:pPr>
        <w:pageBreakBefore w:val="0"/>
        <w:kinsoku/>
        <w:wordWrap/>
        <w:overflowPunct/>
        <w:topLinePunct w:val="0"/>
        <w:bidi w:val="0"/>
        <w:adjustRightInd w:val="0"/>
        <w:snapToGrid/>
        <w:spacing w:line="440" w:lineRule="exact"/>
        <w:ind w:left="420" w:leftChars="200" w:right="420" w:rightChars="200"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1.11 知识产权</w:t>
      </w:r>
    </w:p>
    <w:p w14:paraId="5C35B1C7">
      <w:pPr>
        <w:pageBreakBefore w:val="0"/>
        <w:kinsoku/>
        <w:wordWrap/>
        <w:overflowPunct/>
        <w:topLinePunct w:val="0"/>
        <w:bidi w:val="0"/>
        <w:adjustRightInd w:val="0"/>
        <w:snapToGrid/>
        <w:spacing w:line="440" w:lineRule="exact"/>
        <w:ind w:left="420" w:leftChars="200" w:right="420" w:rightChars="200"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1.11.1关于发包人提供给承包人的图纸、发包人为实施工程自行编制或委托编制的技术规范以及反映发包人关于合同要求或其他类似性质的文件的著作权的归属：</w:t>
      </w:r>
      <w:r>
        <w:rPr>
          <w:rFonts w:hint="eastAsia" w:ascii="宋体" w:hAnsi="宋体" w:cs="宋体"/>
          <w:color w:val="000000"/>
          <w:sz w:val="21"/>
          <w:szCs w:val="21"/>
          <w:u w:val="single"/>
        </w:rPr>
        <w:t xml:space="preserve"> /                     </w:t>
      </w:r>
      <w:r>
        <w:rPr>
          <w:rFonts w:hint="eastAsia" w:ascii="宋体" w:hAnsi="宋体" w:cs="宋体"/>
          <w:color w:val="000000"/>
          <w:sz w:val="21"/>
          <w:szCs w:val="21"/>
        </w:rPr>
        <w:t>。</w:t>
      </w:r>
    </w:p>
    <w:p w14:paraId="657A98AE">
      <w:pPr>
        <w:pageBreakBefore w:val="0"/>
        <w:kinsoku/>
        <w:wordWrap/>
        <w:overflowPunct/>
        <w:topLinePunct w:val="0"/>
        <w:bidi w:val="0"/>
        <w:adjustRightInd w:val="0"/>
        <w:snapToGrid/>
        <w:spacing w:line="440" w:lineRule="exact"/>
        <w:ind w:left="420" w:leftChars="200" w:right="420" w:rightChars="200"/>
        <w:textAlignment w:val="auto"/>
        <w:rPr>
          <w:rFonts w:hint="eastAsia" w:ascii="宋体" w:hAnsi="宋体" w:cs="宋体"/>
          <w:color w:val="000000"/>
          <w:sz w:val="21"/>
          <w:szCs w:val="21"/>
        </w:rPr>
      </w:pPr>
      <w:r>
        <w:rPr>
          <w:rFonts w:hint="eastAsia" w:ascii="宋体" w:hAnsi="宋体" w:cs="宋体"/>
          <w:color w:val="000000"/>
          <w:sz w:val="21"/>
          <w:szCs w:val="21"/>
        </w:rPr>
        <w:t>关于发包人提供的上述文件的使用限制的要求：</w:t>
      </w:r>
      <w:r>
        <w:rPr>
          <w:rFonts w:hint="eastAsia" w:ascii="宋体" w:hAnsi="宋体" w:cs="宋体"/>
          <w:color w:val="000000"/>
          <w:sz w:val="21"/>
          <w:szCs w:val="21"/>
          <w:u w:val="single"/>
        </w:rPr>
        <w:t xml:space="preserve">          /          </w:t>
      </w:r>
      <w:r>
        <w:rPr>
          <w:rFonts w:hint="eastAsia" w:ascii="宋体" w:hAnsi="宋体" w:cs="宋体"/>
          <w:color w:val="000000"/>
          <w:sz w:val="21"/>
          <w:szCs w:val="21"/>
        </w:rPr>
        <w:t>。</w:t>
      </w:r>
    </w:p>
    <w:p w14:paraId="5E76E91A">
      <w:pPr>
        <w:pageBreakBefore w:val="0"/>
        <w:kinsoku/>
        <w:wordWrap/>
        <w:overflowPunct/>
        <w:topLinePunct w:val="0"/>
        <w:bidi w:val="0"/>
        <w:adjustRightInd w:val="0"/>
        <w:snapToGrid/>
        <w:spacing w:line="440" w:lineRule="exact"/>
        <w:ind w:left="420" w:leftChars="200" w:right="420" w:rightChars="200"/>
        <w:textAlignment w:val="auto"/>
        <w:rPr>
          <w:rFonts w:hint="eastAsia" w:ascii="宋体" w:hAnsi="宋体" w:cs="宋体"/>
          <w:color w:val="000000"/>
          <w:sz w:val="21"/>
          <w:szCs w:val="21"/>
        </w:rPr>
      </w:pPr>
      <w:r>
        <w:rPr>
          <w:rFonts w:hint="eastAsia" w:ascii="宋体" w:hAnsi="宋体" w:cs="宋体"/>
          <w:color w:val="000000"/>
          <w:sz w:val="21"/>
          <w:szCs w:val="21"/>
        </w:rPr>
        <w:t>1.11.2 关于承包人为实施工程所编制文件的著作权的归属：</w:t>
      </w:r>
      <w:r>
        <w:rPr>
          <w:rFonts w:hint="eastAsia" w:ascii="宋体" w:hAnsi="宋体" w:cs="宋体"/>
          <w:color w:val="000000"/>
          <w:sz w:val="21"/>
          <w:szCs w:val="21"/>
          <w:u w:val="single"/>
        </w:rPr>
        <w:t xml:space="preserve">      /        </w:t>
      </w:r>
      <w:r>
        <w:rPr>
          <w:rFonts w:hint="eastAsia" w:ascii="宋体" w:hAnsi="宋体" w:cs="宋体"/>
          <w:color w:val="000000"/>
          <w:sz w:val="21"/>
          <w:szCs w:val="21"/>
        </w:rPr>
        <w:t>。</w:t>
      </w:r>
    </w:p>
    <w:p w14:paraId="5CCCF591">
      <w:pPr>
        <w:pageBreakBefore w:val="0"/>
        <w:kinsoku/>
        <w:wordWrap/>
        <w:overflowPunct/>
        <w:topLinePunct w:val="0"/>
        <w:bidi w:val="0"/>
        <w:adjustRightInd w:val="0"/>
        <w:snapToGrid/>
        <w:spacing w:line="440" w:lineRule="exact"/>
        <w:ind w:left="420" w:leftChars="200" w:right="420" w:rightChars="200" w:firstLine="525" w:firstLineChars="250"/>
        <w:textAlignment w:val="auto"/>
        <w:rPr>
          <w:rFonts w:hint="eastAsia" w:ascii="宋体" w:hAnsi="宋体" w:cs="宋体"/>
          <w:color w:val="000000"/>
          <w:sz w:val="21"/>
          <w:szCs w:val="21"/>
        </w:rPr>
      </w:pPr>
      <w:r>
        <w:rPr>
          <w:rFonts w:hint="eastAsia" w:ascii="宋体" w:hAnsi="宋体" w:cs="宋体"/>
          <w:color w:val="000000"/>
          <w:sz w:val="21"/>
          <w:szCs w:val="21"/>
        </w:rPr>
        <w:t>关于承包人提供的上述文件的使用限制的要求：</w:t>
      </w:r>
      <w:r>
        <w:rPr>
          <w:rFonts w:hint="eastAsia" w:ascii="宋体" w:hAnsi="宋体" w:cs="宋体"/>
          <w:color w:val="000000"/>
          <w:sz w:val="21"/>
          <w:szCs w:val="21"/>
          <w:u w:val="single"/>
        </w:rPr>
        <w:t xml:space="preserve">     /   </w:t>
      </w:r>
      <w:r>
        <w:rPr>
          <w:rFonts w:hint="eastAsia" w:ascii="宋体" w:hAnsi="宋体" w:cs="宋体"/>
          <w:color w:val="000000"/>
          <w:sz w:val="21"/>
          <w:szCs w:val="21"/>
        </w:rPr>
        <w:t>。</w:t>
      </w:r>
    </w:p>
    <w:p w14:paraId="1C6D582E">
      <w:pPr>
        <w:pageBreakBefore w:val="0"/>
        <w:kinsoku/>
        <w:wordWrap/>
        <w:overflowPunct/>
        <w:topLinePunct w:val="0"/>
        <w:bidi w:val="0"/>
        <w:adjustRightInd w:val="0"/>
        <w:snapToGrid/>
        <w:spacing w:line="440" w:lineRule="exact"/>
        <w:ind w:left="420" w:leftChars="200" w:right="420" w:rightChars="200"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1.11.4 承包人在施工过程中所采用的专利、专有技术、技术秘密的使用费的承担方式：</w:t>
      </w:r>
      <w:r>
        <w:rPr>
          <w:rFonts w:hint="eastAsia" w:ascii="宋体" w:hAnsi="宋体" w:cs="宋体"/>
          <w:color w:val="000000"/>
          <w:sz w:val="21"/>
          <w:szCs w:val="21"/>
          <w:u w:val="single"/>
        </w:rPr>
        <w:t xml:space="preserve">           /                 </w:t>
      </w:r>
      <w:r>
        <w:rPr>
          <w:rFonts w:hint="eastAsia" w:ascii="宋体" w:hAnsi="宋体" w:cs="宋体"/>
          <w:color w:val="000000"/>
          <w:sz w:val="21"/>
          <w:szCs w:val="21"/>
        </w:rPr>
        <w:t>。</w:t>
      </w:r>
    </w:p>
    <w:p w14:paraId="444C6B3C">
      <w:pPr>
        <w:pageBreakBefore w:val="0"/>
        <w:kinsoku/>
        <w:wordWrap/>
        <w:overflowPunct/>
        <w:topLinePunct w:val="0"/>
        <w:bidi w:val="0"/>
        <w:adjustRightInd w:val="0"/>
        <w:snapToGrid/>
        <w:spacing w:line="440" w:lineRule="exact"/>
        <w:ind w:left="420" w:leftChars="200" w:right="420" w:rightChars="200" w:firstLine="420" w:firstLineChars="200"/>
        <w:textAlignment w:val="auto"/>
        <w:rPr>
          <w:rFonts w:ascii="宋体" w:hAnsi="宋体"/>
          <w:color w:val="000000"/>
          <w:sz w:val="21"/>
          <w:szCs w:val="21"/>
        </w:rPr>
      </w:pPr>
      <w:bookmarkStart w:id="483" w:name="_Toc386638608"/>
      <w:bookmarkStart w:id="484" w:name="_Toc351203634"/>
      <w:r>
        <w:rPr>
          <w:rFonts w:ascii="宋体" w:hAnsi="宋体"/>
          <w:color w:val="000000"/>
          <w:sz w:val="21"/>
          <w:szCs w:val="21"/>
        </w:rPr>
        <w:t>1.13工程量清单错误的修正</w:t>
      </w:r>
    </w:p>
    <w:p w14:paraId="6BC67482">
      <w:pPr>
        <w:pageBreakBefore w:val="0"/>
        <w:kinsoku/>
        <w:wordWrap/>
        <w:overflowPunct/>
        <w:topLinePunct w:val="0"/>
        <w:bidi w:val="0"/>
        <w:adjustRightInd w:val="0"/>
        <w:snapToGrid/>
        <w:spacing w:line="440" w:lineRule="exact"/>
        <w:ind w:left="420" w:leftChars="200" w:right="420" w:rightChars="200" w:firstLine="420" w:firstLineChars="200"/>
        <w:textAlignment w:val="auto"/>
        <w:rPr>
          <w:rFonts w:hAnsi="宋体"/>
          <w:color w:val="000000"/>
          <w:sz w:val="21"/>
          <w:szCs w:val="21"/>
        </w:rPr>
      </w:pPr>
      <w:r>
        <w:rPr>
          <w:rFonts w:hint="eastAsia" w:ascii="宋体" w:hAnsi="宋体"/>
          <w:color w:val="000000"/>
          <w:sz w:val="21"/>
          <w:szCs w:val="21"/>
        </w:rPr>
        <w:t>允出现工程量清单错误时，是否调整合同价格：</w:t>
      </w:r>
      <w:r>
        <w:rPr>
          <w:rFonts w:hAnsi="宋体"/>
          <w:color w:val="000000"/>
          <w:sz w:val="21"/>
          <w:szCs w:val="21"/>
          <w:u w:val="single"/>
        </w:rPr>
        <w:t xml:space="preserve"> </w:t>
      </w:r>
      <w:r>
        <w:rPr>
          <w:rFonts w:hint="eastAsia" w:hAnsi="宋体"/>
          <w:color w:val="000000"/>
          <w:sz w:val="21"/>
          <w:szCs w:val="21"/>
          <w:u w:val="single"/>
        </w:rPr>
        <w:t xml:space="preserve">  </w:t>
      </w:r>
      <w:r>
        <w:rPr>
          <w:rFonts w:hAnsi="宋体"/>
          <w:color w:val="000000"/>
          <w:sz w:val="21"/>
          <w:szCs w:val="21"/>
          <w:u w:val="single"/>
        </w:rPr>
        <w:t xml:space="preserve">  </w:t>
      </w:r>
      <w:r>
        <w:rPr>
          <w:rFonts w:hint="eastAsia" w:hAnsi="宋体"/>
          <w:color w:val="000000"/>
          <w:sz w:val="21"/>
          <w:szCs w:val="21"/>
          <w:u w:val="single"/>
        </w:rPr>
        <w:t>是</w:t>
      </w:r>
      <w:r>
        <w:rPr>
          <w:rFonts w:hint="eastAsia" w:ascii="MingLiU_HKSCS" w:hAnsi="MingLiU_HKSCS" w:eastAsia="MingLiU_HKSCS" w:cs="MingLiU_HKSCS"/>
          <w:color w:val="000000"/>
          <w:sz w:val="21"/>
          <w:szCs w:val="21"/>
          <w:u w:val="single"/>
        </w:rPr>
        <w:t xml:space="preserve"> </w:t>
      </w:r>
      <w:r>
        <w:rPr>
          <w:rFonts w:hint="eastAsia" w:hAnsi="宋体" w:cs="宋体"/>
          <w:color w:val="000000"/>
          <w:sz w:val="21"/>
          <w:szCs w:val="21"/>
          <w:u w:val="single"/>
        </w:rPr>
        <w:t xml:space="preserve">  </w:t>
      </w:r>
      <w:r>
        <w:rPr>
          <w:rFonts w:hAnsi="宋体"/>
          <w:color w:val="000000"/>
          <w:sz w:val="21"/>
          <w:szCs w:val="21"/>
        </w:rPr>
        <w:t>。</w:t>
      </w:r>
    </w:p>
    <w:p w14:paraId="6253AFC0">
      <w:pPr>
        <w:pageBreakBefore w:val="0"/>
        <w:kinsoku/>
        <w:wordWrap/>
        <w:overflowPunct/>
        <w:topLinePunct w:val="0"/>
        <w:bidi w:val="0"/>
        <w:adjustRightInd w:val="0"/>
        <w:snapToGrid/>
        <w:spacing w:line="440" w:lineRule="exact"/>
        <w:ind w:left="420" w:leftChars="200" w:right="420" w:rightChars="200" w:firstLine="420" w:firstLineChars="200"/>
        <w:textAlignment w:val="auto"/>
        <w:rPr>
          <w:rFonts w:hint="eastAsia" w:ascii="宋体" w:hAnsi="宋体" w:cs="宋体"/>
          <w:color w:val="000000"/>
          <w:sz w:val="21"/>
          <w:szCs w:val="21"/>
          <w:u w:val="single"/>
        </w:rPr>
      </w:pPr>
      <w:r>
        <w:rPr>
          <w:rFonts w:hint="eastAsia" w:ascii="宋体" w:hAnsi="宋体" w:cs="宋体"/>
          <w:color w:val="000000"/>
          <w:sz w:val="21"/>
          <w:szCs w:val="21"/>
        </w:rPr>
        <w:t>允许调整合同价格的工程量偏差范围：</w:t>
      </w:r>
      <w:r>
        <w:rPr>
          <w:rFonts w:hint="eastAsia" w:ascii="宋体" w:hAnsi="宋体" w:cs="宋体"/>
          <w:color w:val="000000"/>
          <w:sz w:val="21"/>
          <w:szCs w:val="21"/>
          <w:u w:val="single"/>
        </w:rPr>
        <w:t>(1)工程量清单项目缺项、项目多列或重复列项；(2)工程量清单项目数量有误；(3)未按照国家现行计量规范中强制性规定计量的。</w:t>
      </w:r>
    </w:p>
    <w:p w14:paraId="21598DF5">
      <w:pPr>
        <w:pStyle w:val="6"/>
        <w:pageBreakBefore w:val="0"/>
        <w:numPr>
          <w:ilvl w:val="3"/>
          <w:numId w:val="0"/>
        </w:numPr>
        <w:kinsoku/>
        <w:wordWrap/>
        <w:overflowPunct/>
        <w:topLinePunct w:val="0"/>
        <w:bidi w:val="0"/>
        <w:adjustRightInd w:val="0"/>
        <w:snapToGrid/>
        <w:spacing w:before="0" w:after="0" w:line="440" w:lineRule="exact"/>
        <w:ind w:left="420" w:leftChars="200" w:right="420" w:rightChars="200"/>
        <w:textAlignment w:val="auto"/>
        <w:rPr>
          <w:rFonts w:hint="eastAsia" w:ascii="宋体" w:hAnsi="宋体" w:eastAsia="宋体" w:cs="宋体"/>
          <w:b w:val="0"/>
          <w:color w:val="000000"/>
          <w:sz w:val="21"/>
          <w:szCs w:val="21"/>
        </w:rPr>
      </w:pPr>
      <w:r>
        <w:rPr>
          <w:rFonts w:hint="eastAsia" w:ascii="宋体" w:hAnsi="宋体" w:eastAsia="宋体" w:cs="宋体"/>
          <w:b w:val="0"/>
          <w:color w:val="000000"/>
          <w:sz w:val="21"/>
          <w:szCs w:val="21"/>
        </w:rPr>
        <w:t>2</w:t>
      </w:r>
      <w:bookmarkStart w:id="485" w:name="_Toc292559867"/>
      <w:bookmarkStart w:id="486" w:name="_Toc296346658"/>
      <w:bookmarkStart w:id="487" w:name="_Toc296944496"/>
      <w:bookmarkStart w:id="488" w:name="_Toc296503157"/>
      <w:bookmarkStart w:id="489" w:name="_Toc296890985"/>
      <w:bookmarkStart w:id="490" w:name="_Toc297120457"/>
      <w:bookmarkStart w:id="491" w:name="_Toc297048343"/>
      <w:bookmarkStart w:id="492" w:name="_Toc292559362"/>
      <w:bookmarkStart w:id="493" w:name="_Toc296347156"/>
      <w:bookmarkStart w:id="494" w:name="_Toc296891197"/>
      <w:r>
        <w:rPr>
          <w:rFonts w:hint="eastAsia" w:ascii="宋体" w:hAnsi="宋体" w:eastAsia="宋体" w:cs="宋体"/>
          <w:b w:val="0"/>
          <w:color w:val="000000"/>
          <w:sz w:val="21"/>
          <w:szCs w:val="21"/>
        </w:rPr>
        <w:t>. 发包人</w:t>
      </w:r>
      <w:bookmarkEnd w:id="483"/>
      <w:bookmarkEnd w:id="484"/>
    </w:p>
    <w:bookmarkEnd w:id="485"/>
    <w:bookmarkEnd w:id="486"/>
    <w:bookmarkEnd w:id="487"/>
    <w:bookmarkEnd w:id="488"/>
    <w:bookmarkEnd w:id="489"/>
    <w:bookmarkEnd w:id="490"/>
    <w:bookmarkEnd w:id="491"/>
    <w:bookmarkEnd w:id="492"/>
    <w:bookmarkEnd w:id="493"/>
    <w:bookmarkEnd w:id="494"/>
    <w:p w14:paraId="58D8D43F">
      <w:pPr>
        <w:pageBreakBefore w:val="0"/>
        <w:kinsoku/>
        <w:wordWrap/>
        <w:overflowPunct/>
        <w:topLinePunct w:val="0"/>
        <w:bidi w:val="0"/>
        <w:adjustRightInd w:val="0"/>
        <w:snapToGrid/>
        <w:spacing w:line="440" w:lineRule="exact"/>
        <w:ind w:left="420" w:leftChars="200" w:right="420" w:rightChars="200"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2.2 发包人代表</w:t>
      </w:r>
    </w:p>
    <w:p w14:paraId="3247DFF4">
      <w:pPr>
        <w:pageBreakBefore w:val="0"/>
        <w:kinsoku/>
        <w:wordWrap/>
        <w:overflowPunct/>
        <w:topLinePunct w:val="0"/>
        <w:bidi w:val="0"/>
        <w:adjustRightInd w:val="0"/>
        <w:snapToGrid/>
        <w:spacing w:line="440" w:lineRule="exact"/>
        <w:ind w:left="420" w:leftChars="200" w:right="420" w:rightChars="200"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发包人派驻施工现场代表：</w:t>
      </w:r>
    </w:p>
    <w:p w14:paraId="15E03C16">
      <w:pPr>
        <w:pageBreakBefore w:val="0"/>
        <w:kinsoku/>
        <w:wordWrap/>
        <w:overflowPunct/>
        <w:topLinePunct w:val="0"/>
        <w:bidi w:val="0"/>
        <w:adjustRightInd w:val="0"/>
        <w:snapToGrid/>
        <w:spacing w:line="440" w:lineRule="exact"/>
        <w:ind w:left="420" w:leftChars="200" w:right="420" w:rightChars="200"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姓    名：</w:t>
      </w:r>
      <w:r>
        <w:rPr>
          <w:rFonts w:hint="eastAsia" w:ascii="宋体" w:hAnsi="宋体" w:cs="宋体"/>
          <w:color w:val="000000"/>
          <w:sz w:val="21"/>
          <w:szCs w:val="21"/>
          <w:u w:val="single"/>
        </w:rPr>
        <w:t>     </w:t>
      </w:r>
      <w:r>
        <w:rPr>
          <w:rFonts w:hint="eastAsia" w:ascii="宋体" w:hAnsi="宋体" w:cs="宋体"/>
          <w:color w:val="000000"/>
          <w:sz w:val="21"/>
          <w:szCs w:val="21"/>
        </w:rPr>
        <w:t>；</w:t>
      </w:r>
    </w:p>
    <w:p w14:paraId="78B47463">
      <w:pPr>
        <w:pageBreakBefore w:val="0"/>
        <w:kinsoku/>
        <w:wordWrap/>
        <w:overflowPunct/>
        <w:topLinePunct w:val="0"/>
        <w:bidi w:val="0"/>
        <w:adjustRightInd w:val="0"/>
        <w:snapToGrid/>
        <w:spacing w:line="440" w:lineRule="exact"/>
        <w:ind w:left="420" w:leftChars="200" w:right="420" w:rightChars="200"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身份证号：</w:t>
      </w:r>
      <w:r>
        <w:rPr>
          <w:rFonts w:hint="eastAsia" w:ascii="宋体" w:hAnsi="宋体" w:cs="宋体"/>
          <w:color w:val="000000"/>
          <w:sz w:val="21"/>
          <w:szCs w:val="21"/>
          <w:u w:val="single"/>
        </w:rPr>
        <w:t>       </w:t>
      </w:r>
      <w:r>
        <w:rPr>
          <w:rFonts w:hint="eastAsia" w:ascii="宋体" w:hAnsi="宋体" w:cs="宋体"/>
          <w:color w:val="000000"/>
          <w:sz w:val="21"/>
          <w:szCs w:val="21"/>
        </w:rPr>
        <w:t>；</w:t>
      </w:r>
    </w:p>
    <w:p w14:paraId="5DDF3036">
      <w:pPr>
        <w:pageBreakBefore w:val="0"/>
        <w:kinsoku/>
        <w:wordWrap/>
        <w:overflowPunct/>
        <w:topLinePunct w:val="0"/>
        <w:bidi w:val="0"/>
        <w:adjustRightInd w:val="0"/>
        <w:snapToGrid/>
        <w:spacing w:line="440" w:lineRule="exact"/>
        <w:ind w:left="420" w:leftChars="200" w:right="420" w:rightChars="200"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职    务：</w:t>
      </w:r>
      <w:r>
        <w:rPr>
          <w:rFonts w:hint="eastAsia" w:ascii="宋体" w:hAnsi="宋体" w:cs="宋体"/>
          <w:color w:val="000000"/>
          <w:sz w:val="21"/>
          <w:szCs w:val="21"/>
          <w:u w:val="single"/>
        </w:rPr>
        <w:t>     </w:t>
      </w:r>
      <w:r>
        <w:rPr>
          <w:rFonts w:hint="eastAsia" w:ascii="宋体" w:hAnsi="宋体" w:cs="宋体"/>
          <w:color w:val="000000"/>
          <w:sz w:val="21"/>
          <w:szCs w:val="21"/>
        </w:rPr>
        <w:t>；</w:t>
      </w:r>
    </w:p>
    <w:p w14:paraId="1A8407EC">
      <w:pPr>
        <w:pageBreakBefore w:val="0"/>
        <w:kinsoku/>
        <w:wordWrap/>
        <w:overflowPunct/>
        <w:topLinePunct w:val="0"/>
        <w:bidi w:val="0"/>
        <w:adjustRightInd w:val="0"/>
        <w:snapToGrid/>
        <w:spacing w:line="440" w:lineRule="exact"/>
        <w:ind w:left="420" w:leftChars="200" w:right="420" w:rightChars="200"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联系电话：</w:t>
      </w:r>
      <w:r>
        <w:rPr>
          <w:rFonts w:hint="eastAsia" w:ascii="宋体" w:hAnsi="宋体" w:cs="宋体"/>
          <w:color w:val="000000"/>
          <w:sz w:val="21"/>
          <w:szCs w:val="21"/>
          <w:u w:val="single"/>
        </w:rPr>
        <w:t>     </w:t>
      </w:r>
      <w:r>
        <w:rPr>
          <w:rFonts w:hint="eastAsia" w:ascii="宋体" w:hAnsi="宋体" w:cs="宋体"/>
          <w:color w:val="000000"/>
          <w:sz w:val="21"/>
          <w:szCs w:val="21"/>
        </w:rPr>
        <w:t>；</w:t>
      </w:r>
    </w:p>
    <w:p w14:paraId="04D2B00F">
      <w:pPr>
        <w:pageBreakBefore w:val="0"/>
        <w:kinsoku/>
        <w:wordWrap/>
        <w:overflowPunct/>
        <w:topLinePunct w:val="0"/>
        <w:bidi w:val="0"/>
        <w:adjustRightInd w:val="0"/>
        <w:snapToGrid/>
        <w:spacing w:line="440" w:lineRule="exact"/>
        <w:ind w:left="420" w:leftChars="200" w:right="420" w:rightChars="200"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电子信箱：</w:t>
      </w:r>
      <w:r>
        <w:rPr>
          <w:rFonts w:hint="eastAsia" w:ascii="宋体" w:hAnsi="宋体" w:cs="宋体"/>
          <w:color w:val="000000"/>
          <w:sz w:val="21"/>
          <w:szCs w:val="21"/>
          <w:u w:val="single"/>
        </w:rPr>
        <w:t>     </w:t>
      </w:r>
      <w:r>
        <w:rPr>
          <w:rFonts w:hint="eastAsia" w:ascii="宋体" w:hAnsi="宋体" w:cs="宋体"/>
          <w:color w:val="000000"/>
          <w:sz w:val="21"/>
          <w:szCs w:val="21"/>
        </w:rPr>
        <w:t>；</w:t>
      </w:r>
    </w:p>
    <w:p w14:paraId="76084ED3">
      <w:pPr>
        <w:pageBreakBefore w:val="0"/>
        <w:kinsoku/>
        <w:wordWrap/>
        <w:overflowPunct/>
        <w:topLinePunct w:val="0"/>
        <w:bidi w:val="0"/>
        <w:adjustRightInd w:val="0"/>
        <w:snapToGrid/>
        <w:spacing w:line="440" w:lineRule="exact"/>
        <w:ind w:left="420" w:leftChars="200" w:right="420" w:rightChars="200"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通信地址：</w:t>
      </w:r>
      <w:r>
        <w:rPr>
          <w:rFonts w:hint="eastAsia" w:ascii="宋体" w:hAnsi="宋体" w:cs="宋体"/>
          <w:color w:val="000000"/>
          <w:sz w:val="21"/>
          <w:szCs w:val="21"/>
          <w:u w:val="single"/>
        </w:rPr>
        <w:t>     </w:t>
      </w:r>
      <w:r>
        <w:rPr>
          <w:rFonts w:hint="eastAsia" w:ascii="宋体" w:hAnsi="宋体" w:cs="宋体"/>
          <w:color w:val="000000"/>
          <w:sz w:val="21"/>
          <w:szCs w:val="21"/>
        </w:rPr>
        <w:t>。</w:t>
      </w:r>
    </w:p>
    <w:p w14:paraId="5BACD250">
      <w:pPr>
        <w:pageBreakBefore w:val="0"/>
        <w:kinsoku/>
        <w:wordWrap/>
        <w:overflowPunct/>
        <w:topLinePunct w:val="0"/>
        <w:bidi w:val="0"/>
        <w:adjustRightInd w:val="0"/>
        <w:snapToGrid/>
        <w:spacing w:line="440" w:lineRule="exact"/>
        <w:ind w:left="420" w:leftChars="200" w:right="420" w:rightChars="200" w:firstLine="420" w:firstLineChars="200"/>
        <w:textAlignment w:val="auto"/>
        <w:rPr>
          <w:rFonts w:hint="eastAsia" w:ascii="宋体" w:hAnsi="宋体" w:cs="宋体"/>
          <w:b/>
          <w:color w:val="000000"/>
          <w:sz w:val="21"/>
          <w:szCs w:val="21"/>
        </w:rPr>
      </w:pPr>
      <w:r>
        <w:rPr>
          <w:rFonts w:hint="eastAsia" w:ascii="宋体" w:hAnsi="宋体" w:cs="宋体"/>
          <w:color w:val="000000"/>
          <w:sz w:val="21"/>
          <w:szCs w:val="21"/>
        </w:rPr>
        <w:t>发包人对发包人代表的授权范围如下：</w:t>
      </w:r>
      <w:r>
        <w:rPr>
          <w:rFonts w:hint="eastAsia" w:ascii="宋体" w:hAnsi="宋体" w:cs="宋体"/>
          <w:color w:val="000000"/>
          <w:sz w:val="21"/>
          <w:szCs w:val="21"/>
          <w:u w:val="single"/>
        </w:rPr>
        <w:t>代表发包人履行发包人对工程建设管理的权利和义务，签发（或会签）各项工程联系单，对承包人、监理人有监督、协调的权利。工程价款洽商、索赔事项的处理、合同的变更等事项，由发包人代表在监理人的配合下完成，但最终需经发包人同意</w:t>
      </w:r>
      <w:r>
        <w:rPr>
          <w:rFonts w:hint="eastAsia" w:ascii="宋体" w:hAnsi="宋体" w:cs="宋体"/>
          <w:color w:val="000000"/>
          <w:sz w:val="21"/>
          <w:szCs w:val="21"/>
        </w:rPr>
        <w:t>。</w:t>
      </w:r>
    </w:p>
    <w:p w14:paraId="59A1FEFA">
      <w:pPr>
        <w:pageBreakBefore w:val="0"/>
        <w:kinsoku/>
        <w:wordWrap/>
        <w:overflowPunct/>
        <w:topLinePunct w:val="0"/>
        <w:bidi w:val="0"/>
        <w:adjustRightInd w:val="0"/>
        <w:snapToGrid/>
        <w:spacing w:line="440" w:lineRule="exact"/>
        <w:ind w:left="420" w:leftChars="200" w:right="420" w:rightChars="200"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2.4 施工现场、施工条件和基础资料的提供</w:t>
      </w:r>
    </w:p>
    <w:p w14:paraId="764B5363">
      <w:pPr>
        <w:pageBreakBefore w:val="0"/>
        <w:kinsoku/>
        <w:wordWrap/>
        <w:overflowPunct/>
        <w:topLinePunct w:val="0"/>
        <w:bidi w:val="0"/>
        <w:adjustRightInd w:val="0"/>
        <w:snapToGrid/>
        <w:spacing w:line="440" w:lineRule="exact"/>
        <w:ind w:left="420" w:leftChars="200" w:right="420" w:rightChars="200"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2.4.1 提供施工现场</w:t>
      </w:r>
    </w:p>
    <w:p w14:paraId="1DF46716">
      <w:pPr>
        <w:pageBreakBefore w:val="0"/>
        <w:kinsoku/>
        <w:wordWrap/>
        <w:overflowPunct/>
        <w:topLinePunct w:val="0"/>
        <w:bidi w:val="0"/>
        <w:adjustRightInd w:val="0"/>
        <w:snapToGrid/>
        <w:spacing w:line="440" w:lineRule="exact"/>
        <w:ind w:left="420" w:leftChars="200" w:right="420" w:rightChars="200"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关于发包人移交施工现场的期限要求：</w:t>
      </w:r>
      <w:r>
        <w:rPr>
          <w:rFonts w:hint="eastAsia" w:ascii="宋体" w:hAnsi="宋体" w:cs="宋体"/>
          <w:color w:val="000000"/>
          <w:sz w:val="21"/>
          <w:szCs w:val="21"/>
          <w:u w:val="single"/>
        </w:rPr>
        <w:t xml:space="preserve">      /           </w:t>
      </w:r>
      <w:r>
        <w:rPr>
          <w:rFonts w:hint="eastAsia" w:ascii="宋体" w:hAnsi="宋体" w:cs="宋体"/>
          <w:color w:val="000000"/>
          <w:sz w:val="21"/>
          <w:szCs w:val="21"/>
        </w:rPr>
        <w:t>。</w:t>
      </w:r>
    </w:p>
    <w:p w14:paraId="06EA4C1A">
      <w:pPr>
        <w:pageBreakBefore w:val="0"/>
        <w:kinsoku/>
        <w:wordWrap/>
        <w:overflowPunct/>
        <w:topLinePunct w:val="0"/>
        <w:bidi w:val="0"/>
        <w:adjustRightInd w:val="0"/>
        <w:snapToGrid/>
        <w:spacing w:line="440" w:lineRule="exact"/>
        <w:ind w:left="420" w:leftChars="200" w:right="420" w:rightChars="200" w:firstLine="420" w:firstLineChars="200"/>
        <w:jc w:val="left"/>
        <w:textAlignment w:val="auto"/>
        <w:rPr>
          <w:rFonts w:hint="eastAsia" w:ascii="宋体" w:hAnsi="宋体" w:cs="宋体"/>
          <w:color w:val="000000"/>
          <w:sz w:val="21"/>
          <w:szCs w:val="21"/>
          <w:u w:val="single"/>
        </w:rPr>
      </w:pPr>
      <w:r>
        <w:rPr>
          <w:rFonts w:hint="eastAsia" w:ascii="宋体" w:hAnsi="宋体" w:cs="宋体"/>
          <w:color w:val="000000"/>
          <w:sz w:val="21"/>
          <w:szCs w:val="21"/>
        </w:rPr>
        <w:t>2.4.2 提供施工条件关于发包人应负责提供施工所需要的条件，包括：</w:t>
      </w:r>
      <w:r>
        <w:rPr>
          <w:rFonts w:hint="eastAsia" w:ascii="宋体" w:hAnsi="宋体" w:cs="宋体"/>
          <w:color w:val="000000"/>
          <w:sz w:val="21"/>
          <w:szCs w:val="21"/>
          <w:u w:val="single"/>
        </w:rPr>
        <w:t>施工所需水、电接至施工现场；施工场地与公共道路的通道开通；工程地质和地下管线资料；发包人办理的施工所需证件等。</w:t>
      </w:r>
    </w:p>
    <w:p w14:paraId="61EDD038">
      <w:pPr>
        <w:pageBreakBefore w:val="0"/>
        <w:kinsoku/>
        <w:wordWrap/>
        <w:overflowPunct/>
        <w:topLinePunct w:val="0"/>
        <w:bidi w:val="0"/>
        <w:adjustRightInd w:val="0"/>
        <w:snapToGrid/>
        <w:spacing w:line="440" w:lineRule="exact"/>
        <w:ind w:left="420" w:leftChars="200" w:right="420" w:rightChars="200" w:firstLine="420" w:firstLineChars="200"/>
        <w:textAlignment w:val="auto"/>
        <w:rPr>
          <w:rFonts w:hint="eastAsia" w:ascii="宋体" w:hAnsi="宋体" w:cs="宋体"/>
          <w:color w:val="000000"/>
          <w:sz w:val="21"/>
          <w:szCs w:val="21"/>
          <w:u w:val="single"/>
        </w:rPr>
      </w:pPr>
      <w:r>
        <w:rPr>
          <w:rFonts w:hint="eastAsia" w:ascii="宋体" w:hAnsi="宋体" w:cs="宋体"/>
          <w:color w:val="000000"/>
          <w:sz w:val="21"/>
          <w:szCs w:val="21"/>
        </w:rPr>
        <w:t>2.5 资金来源证明及支付担保：</w:t>
      </w:r>
    </w:p>
    <w:p w14:paraId="6213E874">
      <w:pPr>
        <w:pageBreakBefore w:val="0"/>
        <w:kinsoku/>
        <w:wordWrap/>
        <w:overflowPunct/>
        <w:topLinePunct w:val="0"/>
        <w:bidi w:val="0"/>
        <w:adjustRightInd w:val="0"/>
        <w:snapToGrid/>
        <w:spacing w:line="440" w:lineRule="exact"/>
        <w:ind w:left="420" w:leftChars="200" w:right="420" w:rightChars="200"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发包人提供资金来源证明的期限要求：</w:t>
      </w:r>
      <w:r>
        <w:rPr>
          <w:rFonts w:hint="eastAsia" w:ascii="宋体" w:hAnsi="宋体" w:cs="宋体"/>
          <w:color w:val="000000"/>
          <w:sz w:val="21"/>
          <w:szCs w:val="21"/>
          <w:u w:val="single"/>
        </w:rPr>
        <w:t xml:space="preserve">                 /                </w:t>
      </w:r>
      <w:r>
        <w:rPr>
          <w:rFonts w:hint="eastAsia" w:ascii="宋体" w:hAnsi="宋体" w:cs="宋体"/>
          <w:color w:val="000000"/>
          <w:sz w:val="21"/>
          <w:szCs w:val="21"/>
        </w:rPr>
        <w:t>。</w:t>
      </w:r>
    </w:p>
    <w:p w14:paraId="6EC89787">
      <w:pPr>
        <w:pageBreakBefore w:val="0"/>
        <w:kinsoku/>
        <w:wordWrap/>
        <w:overflowPunct/>
        <w:topLinePunct w:val="0"/>
        <w:bidi w:val="0"/>
        <w:adjustRightInd w:val="0"/>
        <w:snapToGrid/>
        <w:spacing w:line="440" w:lineRule="exact"/>
        <w:ind w:left="420" w:leftChars="200" w:right="420" w:rightChars="200"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发包人是否提供支付担保：</w:t>
      </w:r>
      <w:r>
        <w:rPr>
          <w:rFonts w:hint="eastAsia" w:ascii="宋体" w:hAnsi="宋体" w:cs="宋体"/>
          <w:color w:val="000000"/>
          <w:sz w:val="21"/>
          <w:szCs w:val="21"/>
          <w:u w:val="single"/>
        </w:rPr>
        <w:t xml:space="preserve">不需提供 </w:t>
      </w:r>
      <w:r>
        <w:rPr>
          <w:rFonts w:hint="eastAsia" w:ascii="宋体" w:hAnsi="宋体" w:cs="宋体"/>
          <w:color w:val="000000"/>
          <w:sz w:val="21"/>
          <w:szCs w:val="21"/>
        </w:rPr>
        <w:t>。</w:t>
      </w:r>
    </w:p>
    <w:p w14:paraId="758F164C">
      <w:pPr>
        <w:pageBreakBefore w:val="0"/>
        <w:kinsoku/>
        <w:wordWrap/>
        <w:overflowPunct/>
        <w:topLinePunct w:val="0"/>
        <w:bidi w:val="0"/>
        <w:adjustRightInd w:val="0"/>
        <w:snapToGrid/>
        <w:spacing w:line="440" w:lineRule="exact"/>
        <w:ind w:left="420" w:leftChars="200" w:right="420" w:rightChars="200"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发包人提供支付担保的形式：</w:t>
      </w:r>
      <w:r>
        <w:rPr>
          <w:rFonts w:hint="eastAsia" w:ascii="宋体" w:hAnsi="宋体" w:cs="宋体"/>
          <w:color w:val="000000"/>
          <w:sz w:val="21"/>
          <w:szCs w:val="21"/>
          <w:u w:val="single"/>
        </w:rPr>
        <w:t xml:space="preserve">          /                           </w:t>
      </w:r>
      <w:r>
        <w:rPr>
          <w:rFonts w:hint="eastAsia" w:ascii="宋体" w:hAnsi="宋体" w:cs="宋体"/>
          <w:color w:val="000000"/>
          <w:sz w:val="21"/>
          <w:szCs w:val="21"/>
        </w:rPr>
        <w:t xml:space="preserve">。               </w:t>
      </w:r>
    </w:p>
    <w:p w14:paraId="0B9C32C1">
      <w:pPr>
        <w:pStyle w:val="6"/>
        <w:pageBreakBefore w:val="0"/>
        <w:numPr>
          <w:ilvl w:val="3"/>
          <w:numId w:val="0"/>
        </w:numPr>
        <w:kinsoku/>
        <w:wordWrap/>
        <w:overflowPunct/>
        <w:topLinePunct w:val="0"/>
        <w:bidi w:val="0"/>
        <w:adjustRightInd w:val="0"/>
        <w:snapToGrid/>
        <w:spacing w:before="0" w:after="0" w:line="440" w:lineRule="exact"/>
        <w:ind w:left="420" w:leftChars="200" w:right="420" w:rightChars="200"/>
        <w:textAlignment w:val="auto"/>
        <w:rPr>
          <w:rFonts w:hint="eastAsia" w:ascii="宋体" w:hAnsi="宋体" w:eastAsia="宋体" w:cs="宋体"/>
          <w:b w:val="0"/>
          <w:color w:val="000000"/>
          <w:sz w:val="21"/>
          <w:szCs w:val="21"/>
        </w:rPr>
      </w:pPr>
      <w:bookmarkStart w:id="495" w:name="_Toc351203635"/>
      <w:bookmarkStart w:id="496" w:name="_Toc386638609"/>
      <w:r>
        <w:rPr>
          <w:rFonts w:hint="eastAsia" w:ascii="宋体" w:hAnsi="宋体" w:eastAsia="宋体" w:cs="宋体"/>
          <w:b w:val="0"/>
          <w:color w:val="000000"/>
          <w:sz w:val="21"/>
          <w:szCs w:val="21"/>
        </w:rPr>
        <w:t>3</w:t>
      </w:r>
      <w:bookmarkStart w:id="497" w:name="_Toc297120458"/>
      <w:bookmarkStart w:id="498" w:name="_Toc297048344"/>
      <w:bookmarkStart w:id="499" w:name="_Toc296891198"/>
      <w:bookmarkStart w:id="500" w:name="_Toc296503158"/>
      <w:bookmarkStart w:id="501" w:name="_Toc292559868"/>
      <w:bookmarkStart w:id="502" w:name="_Toc296347157"/>
      <w:bookmarkStart w:id="503" w:name="_Toc296346659"/>
      <w:bookmarkStart w:id="504" w:name="_Toc296944497"/>
      <w:bookmarkStart w:id="505" w:name="_Toc292559363"/>
      <w:bookmarkStart w:id="506" w:name="_Toc296890986"/>
      <w:r>
        <w:rPr>
          <w:rFonts w:hint="eastAsia" w:ascii="宋体" w:hAnsi="宋体" w:eastAsia="宋体" w:cs="宋体"/>
          <w:b w:val="0"/>
          <w:color w:val="000000"/>
          <w:sz w:val="21"/>
          <w:szCs w:val="21"/>
        </w:rPr>
        <w:t>. 承包人</w:t>
      </w:r>
      <w:bookmarkEnd w:id="495"/>
      <w:bookmarkEnd w:id="496"/>
    </w:p>
    <w:bookmarkEnd w:id="497"/>
    <w:bookmarkEnd w:id="498"/>
    <w:bookmarkEnd w:id="499"/>
    <w:bookmarkEnd w:id="500"/>
    <w:bookmarkEnd w:id="501"/>
    <w:bookmarkEnd w:id="502"/>
    <w:bookmarkEnd w:id="503"/>
    <w:bookmarkEnd w:id="504"/>
    <w:bookmarkEnd w:id="505"/>
    <w:bookmarkEnd w:id="506"/>
    <w:p w14:paraId="54B0E54B">
      <w:pPr>
        <w:pageBreakBefore w:val="0"/>
        <w:kinsoku/>
        <w:wordWrap/>
        <w:overflowPunct/>
        <w:topLinePunct w:val="0"/>
        <w:bidi w:val="0"/>
        <w:adjustRightInd w:val="0"/>
        <w:snapToGrid/>
        <w:spacing w:line="440" w:lineRule="exact"/>
        <w:ind w:left="420" w:leftChars="200" w:right="420" w:rightChars="200"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3.1 承包人的一般义务</w:t>
      </w:r>
    </w:p>
    <w:p w14:paraId="3C7EE774">
      <w:pPr>
        <w:pageBreakBefore w:val="0"/>
        <w:kinsoku/>
        <w:wordWrap/>
        <w:overflowPunct/>
        <w:topLinePunct w:val="0"/>
        <w:bidi w:val="0"/>
        <w:adjustRightInd w:val="0"/>
        <w:snapToGrid/>
        <w:spacing w:line="440" w:lineRule="exact"/>
        <w:ind w:left="420" w:leftChars="200" w:right="420" w:rightChars="200" w:firstLine="441" w:firstLineChars="210"/>
        <w:jc w:val="left"/>
        <w:textAlignment w:val="auto"/>
        <w:rPr>
          <w:rFonts w:hint="eastAsia" w:ascii="宋体" w:hAnsi="宋体" w:cs="宋体"/>
          <w:color w:val="000000"/>
          <w:sz w:val="21"/>
          <w:szCs w:val="21"/>
        </w:rPr>
      </w:pPr>
      <w:r>
        <w:rPr>
          <w:rFonts w:hint="eastAsia" w:ascii="宋体" w:hAnsi="宋体" w:cs="宋体"/>
          <w:color w:val="000000"/>
          <w:sz w:val="21"/>
          <w:szCs w:val="21"/>
        </w:rPr>
        <w:t>（5）承包人提交的竣工资料的内容：</w:t>
      </w:r>
      <w:r>
        <w:rPr>
          <w:rFonts w:hint="eastAsia" w:ascii="宋体" w:hAnsi="宋体" w:cs="宋体"/>
          <w:color w:val="000000"/>
          <w:sz w:val="21"/>
          <w:szCs w:val="21"/>
          <w:u w:val="single"/>
        </w:rPr>
        <w:t xml:space="preserve"> 按宁海县城建档案归档要求提交竣工资料</w:t>
      </w:r>
      <w:r>
        <w:rPr>
          <w:rFonts w:hint="eastAsia" w:ascii="宋体" w:hAnsi="宋体" w:cs="宋体"/>
          <w:color w:val="000000"/>
          <w:sz w:val="21"/>
          <w:szCs w:val="21"/>
        </w:rPr>
        <w:t>。</w:t>
      </w:r>
    </w:p>
    <w:p w14:paraId="16640D10">
      <w:pPr>
        <w:pageBreakBefore w:val="0"/>
        <w:kinsoku/>
        <w:wordWrap/>
        <w:overflowPunct/>
        <w:topLinePunct w:val="0"/>
        <w:bidi w:val="0"/>
        <w:adjustRightInd w:val="0"/>
        <w:snapToGrid/>
        <w:spacing w:line="440" w:lineRule="exact"/>
        <w:ind w:left="420" w:leftChars="200" w:right="420" w:rightChars="200"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承包人需要提交的竣工资料套数：</w:t>
      </w:r>
      <w:r>
        <w:rPr>
          <w:rFonts w:hint="eastAsia" w:ascii="宋体" w:hAnsi="宋体" w:cs="宋体"/>
          <w:color w:val="000000"/>
          <w:sz w:val="21"/>
          <w:szCs w:val="21"/>
          <w:u w:val="single"/>
        </w:rPr>
        <w:t xml:space="preserve">   肆套   </w:t>
      </w:r>
      <w:r>
        <w:rPr>
          <w:rFonts w:hint="eastAsia" w:ascii="宋体" w:hAnsi="宋体" w:cs="宋体"/>
          <w:color w:val="000000"/>
          <w:sz w:val="21"/>
          <w:szCs w:val="21"/>
        </w:rPr>
        <w:t>。</w:t>
      </w:r>
    </w:p>
    <w:p w14:paraId="343F97D2">
      <w:pPr>
        <w:pageBreakBefore w:val="0"/>
        <w:kinsoku/>
        <w:wordWrap/>
        <w:overflowPunct/>
        <w:topLinePunct w:val="0"/>
        <w:bidi w:val="0"/>
        <w:adjustRightInd w:val="0"/>
        <w:snapToGrid/>
        <w:spacing w:line="440" w:lineRule="exact"/>
        <w:ind w:left="420" w:leftChars="200" w:right="420" w:rightChars="200"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承包人提交的竣工资料的费用承担：</w:t>
      </w:r>
      <w:r>
        <w:rPr>
          <w:rFonts w:hint="eastAsia" w:ascii="宋体" w:hAnsi="宋体" w:cs="宋体"/>
          <w:color w:val="000000"/>
          <w:sz w:val="21"/>
          <w:szCs w:val="21"/>
          <w:u w:val="single"/>
        </w:rPr>
        <w:t xml:space="preserve">  由承包人自行承担   </w:t>
      </w:r>
      <w:r>
        <w:rPr>
          <w:rFonts w:hint="eastAsia" w:ascii="宋体" w:hAnsi="宋体" w:cs="宋体"/>
          <w:color w:val="000000"/>
          <w:sz w:val="21"/>
          <w:szCs w:val="21"/>
        </w:rPr>
        <w:t>。</w:t>
      </w:r>
    </w:p>
    <w:p w14:paraId="7F5F5FBB">
      <w:pPr>
        <w:pageBreakBefore w:val="0"/>
        <w:kinsoku/>
        <w:wordWrap/>
        <w:overflowPunct/>
        <w:topLinePunct w:val="0"/>
        <w:bidi w:val="0"/>
        <w:adjustRightInd w:val="0"/>
        <w:snapToGrid/>
        <w:spacing w:line="440" w:lineRule="exact"/>
        <w:ind w:left="420" w:leftChars="200" w:right="420" w:rightChars="200" w:firstLine="441" w:firstLineChars="210"/>
        <w:jc w:val="left"/>
        <w:textAlignment w:val="auto"/>
        <w:rPr>
          <w:rFonts w:hint="eastAsia" w:ascii="宋体" w:hAnsi="宋体" w:cs="宋体"/>
          <w:color w:val="000000"/>
          <w:sz w:val="21"/>
          <w:szCs w:val="21"/>
        </w:rPr>
      </w:pPr>
      <w:r>
        <w:rPr>
          <w:rFonts w:hint="eastAsia" w:ascii="宋体" w:hAnsi="宋体" w:cs="宋体"/>
          <w:color w:val="000000"/>
          <w:sz w:val="21"/>
          <w:szCs w:val="21"/>
        </w:rPr>
        <w:t>承包人提交的竣工资料移交时间：</w:t>
      </w:r>
      <w:r>
        <w:rPr>
          <w:rFonts w:hint="eastAsia" w:ascii="宋体" w:hAnsi="宋体" w:cs="宋体"/>
          <w:color w:val="000000"/>
          <w:sz w:val="21"/>
          <w:szCs w:val="21"/>
          <w:u w:val="single"/>
        </w:rPr>
        <w:t xml:space="preserve"> 在具备竣工验收合格条件后2个月内     </w:t>
      </w:r>
      <w:r>
        <w:rPr>
          <w:rFonts w:hint="eastAsia" w:ascii="宋体" w:hAnsi="宋体" w:cs="宋体"/>
          <w:color w:val="000000"/>
          <w:sz w:val="21"/>
          <w:szCs w:val="21"/>
        </w:rPr>
        <w:t>。</w:t>
      </w:r>
    </w:p>
    <w:p w14:paraId="72187A0A">
      <w:pPr>
        <w:pageBreakBefore w:val="0"/>
        <w:kinsoku/>
        <w:wordWrap/>
        <w:overflowPunct/>
        <w:topLinePunct w:val="0"/>
        <w:bidi w:val="0"/>
        <w:adjustRightInd w:val="0"/>
        <w:snapToGrid/>
        <w:spacing w:line="440" w:lineRule="exact"/>
        <w:ind w:left="420" w:leftChars="200" w:right="420" w:rightChars="200"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承包人提交的竣工资料形式要求：</w:t>
      </w:r>
      <w:r>
        <w:rPr>
          <w:rFonts w:hint="eastAsia" w:ascii="宋体" w:hAnsi="宋体" w:cs="宋体"/>
          <w:color w:val="000000"/>
          <w:sz w:val="21"/>
          <w:szCs w:val="21"/>
          <w:u w:val="single"/>
        </w:rPr>
        <w:t xml:space="preserve">  纸质和电子资料       </w:t>
      </w:r>
      <w:r>
        <w:rPr>
          <w:rFonts w:hint="eastAsia" w:ascii="宋体" w:hAnsi="宋体" w:cs="宋体"/>
          <w:color w:val="000000"/>
          <w:sz w:val="21"/>
          <w:szCs w:val="21"/>
        </w:rPr>
        <w:t>。</w:t>
      </w:r>
    </w:p>
    <w:p w14:paraId="5FA0E56B">
      <w:pPr>
        <w:pageBreakBefore w:val="0"/>
        <w:kinsoku/>
        <w:wordWrap/>
        <w:overflowPunct/>
        <w:topLinePunct w:val="0"/>
        <w:bidi w:val="0"/>
        <w:adjustRightInd w:val="0"/>
        <w:snapToGrid/>
        <w:spacing w:line="440" w:lineRule="exact"/>
        <w:ind w:left="420" w:leftChars="200" w:right="420" w:rightChars="200" w:firstLine="430" w:firstLineChars="205"/>
        <w:textAlignment w:val="auto"/>
        <w:rPr>
          <w:rFonts w:hint="eastAsia" w:ascii="宋体" w:hAnsi="宋体" w:cs="宋体"/>
          <w:color w:val="000000"/>
          <w:sz w:val="21"/>
          <w:szCs w:val="21"/>
        </w:rPr>
      </w:pPr>
      <w:r>
        <w:rPr>
          <w:rFonts w:hint="eastAsia" w:ascii="宋体" w:hAnsi="宋体" w:cs="宋体"/>
          <w:color w:val="000000"/>
          <w:sz w:val="21"/>
          <w:szCs w:val="21"/>
        </w:rPr>
        <w:t>（6）承包人应履行的其他义务：</w:t>
      </w:r>
    </w:p>
    <w:p w14:paraId="07B14E99">
      <w:pPr>
        <w:pageBreakBefore w:val="0"/>
        <w:kinsoku/>
        <w:wordWrap/>
        <w:overflowPunct/>
        <w:topLinePunct w:val="0"/>
        <w:bidi w:val="0"/>
        <w:adjustRightInd w:val="0"/>
        <w:snapToGrid/>
        <w:spacing w:line="440" w:lineRule="exact"/>
        <w:ind w:left="420" w:leftChars="200" w:right="420" w:rightChars="200" w:firstLine="430" w:firstLineChars="205"/>
        <w:textAlignment w:val="auto"/>
        <w:rPr>
          <w:rFonts w:hint="eastAsia" w:ascii="宋体" w:hAnsi="宋体" w:cs="宋体"/>
          <w:color w:val="000000"/>
          <w:sz w:val="21"/>
          <w:szCs w:val="21"/>
          <w:u w:val="single"/>
        </w:rPr>
      </w:pPr>
      <w:r>
        <w:rPr>
          <w:rFonts w:hint="eastAsia" w:ascii="宋体" w:hAnsi="宋体" w:cs="宋体"/>
          <w:color w:val="000000"/>
          <w:sz w:val="21"/>
          <w:szCs w:val="21"/>
          <w:u w:val="single"/>
        </w:rPr>
        <w:t>承包人不得擅自更换和撤离项目负责人及项目部关键岗位人员，发生下列情形之一需更换或撤离的，应至少提前7天以书面形式通知发包人，并征得发包人同意。后任继续行使合同文件约定的前任的职权，履行前任的义务。</w:t>
      </w:r>
    </w:p>
    <w:p w14:paraId="167A9FD4">
      <w:pPr>
        <w:pageBreakBefore w:val="0"/>
        <w:kinsoku/>
        <w:wordWrap/>
        <w:overflowPunct/>
        <w:topLinePunct w:val="0"/>
        <w:bidi w:val="0"/>
        <w:adjustRightInd w:val="0"/>
        <w:snapToGrid/>
        <w:spacing w:line="440" w:lineRule="exact"/>
        <w:ind w:left="420" w:leftChars="200" w:right="420" w:rightChars="200" w:firstLine="570"/>
        <w:textAlignment w:val="auto"/>
        <w:rPr>
          <w:rFonts w:hint="eastAsia" w:ascii="宋体" w:hAnsi="宋体" w:cs="宋体"/>
          <w:color w:val="000000"/>
          <w:sz w:val="21"/>
          <w:szCs w:val="21"/>
          <w:u w:val="single"/>
        </w:rPr>
      </w:pPr>
      <w:r>
        <w:rPr>
          <w:rFonts w:hint="eastAsia" w:ascii="宋体" w:hAnsi="宋体" w:cs="宋体"/>
          <w:color w:val="000000"/>
          <w:sz w:val="21"/>
          <w:szCs w:val="21"/>
          <w:u w:val="single"/>
        </w:rPr>
        <w:t>(1)因患病等身体原因无法坚持施工现场管理工作的；</w:t>
      </w:r>
    </w:p>
    <w:p w14:paraId="5BF9E2D6">
      <w:pPr>
        <w:pageBreakBefore w:val="0"/>
        <w:kinsoku/>
        <w:wordWrap/>
        <w:overflowPunct/>
        <w:topLinePunct w:val="0"/>
        <w:bidi w:val="0"/>
        <w:adjustRightInd w:val="0"/>
        <w:snapToGrid/>
        <w:spacing w:line="440" w:lineRule="exact"/>
        <w:ind w:left="420" w:leftChars="200" w:right="420" w:rightChars="200" w:firstLine="570"/>
        <w:textAlignment w:val="auto"/>
        <w:rPr>
          <w:rFonts w:hint="eastAsia" w:ascii="宋体" w:hAnsi="宋体" w:cs="宋体"/>
          <w:color w:val="000000"/>
          <w:sz w:val="21"/>
          <w:szCs w:val="21"/>
          <w:u w:val="single"/>
        </w:rPr>
      </w:pPr>
      <w:r>
        <w:rPr>
          <w:rFonts w:hint="eastAsia" w:ascii="宋体" w:hAnsi="宋体" w:cs="宋体"/>
          <w:color w:val="000000"/>
          <w:sz w:val="21"/>
          <w:szCs w:val="21"/>
          <w:u w:val="single"/>
        </w:rPr>
        <w:t>(2)退休或离开本单位的；</w:t>
      </w:r>
    </w:p>
    <w:p w14:paraId="1D8E217A">
      <w:pPr>
        <w:pageBreakBefore w:val="0"/>
        <w:kinsoku/>
        <w:wordWrap/>
        <w:overflowPunct/>
        <w:topLinePunct w:val="0"/>
        <w:bidi w:val="0"/>
        <w:adjustRightInd w:val="0"/>
        <w:snapToGrid/>
        <w:spacing w:line="440" w:lineRule="exact"/>
        <w:ind w:left="420" w:leftChars="200" w:right="420" w:rightChars="200" w:firstLine="570"/>
        <w:textAlignment w:val="auto"/>
        <w:rPr>
          <w:rFonts w:hint="eastAsia" w:ascii="宋体" w:hAnsi="宋体" w:cs="宋体"/>
          <w:color w:val="000000"/>
          <w:sz w:val="21"/>
          <w:szCs w:val="21"/>
          <w:u w:val="single"/>
        </w:rPr>
      </w:pPr>
      <w:r>
        <w:rPr>
          <w:rFonts w:hint="eastAsia" w:ascii="宋体" w:hAnsi="宋体" w:cs="宋体"/>
          <w:color w:val="000000"/>
          <w:sz w:val="21"/>
          <w:szCs w:val="21"/>
          <w:u w:val="single"/>
        </w:rPr>
        <w:t>(3)工程因故停止(或暂停3个月以上)建设或领取中标通知书后未开工达3个月以上的；</w:t>
      </w:r>
    </w:p>
    <w:p w14:paraId="7677753E">
      <w:pPr>
        <w:pageBreakBefore w:val="0"/>
        <w:kinsoku/>
        <w:wordWrap/>
        <w:overflowPunct/>
        <w:topLinePunct w:val="0"/>
        <w:bidi w:val="0"/>
        <w:adjustRightInd w:val="0"/>
        <w:snapToGrid/>
        <w:spacing w:line="440" w:lineRule="exact"/>
        <w:ind w:left="420" w:leftChars="200" w:right="420" w:rightChars="200" w:firstLine="420" w:firstLineChars="200"/>
        <w:textAlignment w:val="auto"/>
        <w:rPr>
          <w:rFonts w:hint="eastAsia" w:ascii="宋体" w:hAnsi="宋体" w:cs="宋体"/>
          <w:color w:val="000000"/>
          <w:sz w:val="21"/>
          <w:szCs w:val="21"/>
          <w:u w:val="single"/>
        </w:rPr>
      </w:pPr>
      <w:r>
        <w:rPr>
          <w:rFonts w:hint="eastAsia" w:ascii="宋体" w:hAnsi="宋体" w:cs="宋体"/>
          <w:color w:val="000000"/>
          <w:sz w:val="21"/>
          <w:szCs w:val="21"/>
          <w:u w:val="single"/>
        </w:rPr>
        <w:t>(4)被建设主管部门责令停止(暂停)上岗资格、建议吊销或吊销相关证书，或被有关部门依法追究刑事责任的。</w:t>
      </w:r>
    </w:p>
    <w:p w14:paraId="5A0D4880">
      <w:pPr>
        <w:pageBreakBefore w:val="0"/>
        <w:kinsoku/>
        <w:wordWrap/>
        <w:overflowPunct/>
        <w:topLinePunct w:val="0"/>
        <w:bidi w:val="0"/>
        <w:adjustRightInd w:val="0"/>
        <w:snapToGrid/>
        <w:spacing w:line="440" w:lineRule="exact"/>
        <w:ind w:left="420" w:leftChars="200" w:right="420" w:rightChars="200"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3.2 项目负责人</w:t>
      </w:r>
    </w:p>
    <w:p w14:paraId="374B7585">
      <w:pPr>
        <w:pageBreakBefore w:val="0"/>
        <w:kinsoku/>
        <w:wordWrap/>
        <w:overflowPunct/>
        <w:topLinePunct w:val="0"/>
        <w:bidi w:val="0"/>
        <w:adjustRightInd w:val="0"/>
        <w:snapToGrid/>
        <w:spacing w:line="440" w:lineRule="exact"/>
        <w:ind w:left="420" w:leftChars="200" w:right="420" w:rightChars="200"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3.2.1 项目负责人：</w:t>
      </w:r>
    </w:p>
    <w:p w14:paraId="699F890C">
      <w:pPr>
        <w:pageBreakBefore w:val="0"/>
        <w:kinsoku/>
        <w:wordWrap/>
        <w:overflowPunct/>
        <w:topLinePunct w:val="0"/>
        <w:bidi w:val="0"/>
        <w:adjustRightInd w:val="0"/>
        <w:snapToGrid/>
        <w:spacing w:line="440" w:lineRule="exact"/>
        <w:ind w:left="420" w:leftChars="200" w:right="420" w:rightChars="200"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姓    名：</w:t>
      </w:r>
      <w:r>
        <w:rPr>
          <w:rFonts w:hint="eastAsia" w:ascii="宋体" w:hAnsi="宋体" w:cs="宋体"/>
          <w:color w:val="000000"/>
          <w:sz w:val="21"/>
          <w:szCs w:val="21"/>
          <w:u w:val="single"/>
        </w:rPr>
        <w:t>         </w:t>
      </w:r>
      <w:r>
        <w:rPr>
          <w:rFonts w:hint="eastAsia" w:ascii="宋体" w:hAnsi="宋体" w:cs="宋体"/>
          <w:color w:val="000000"/>
          <w:sz w:val="21"/>
          <w:szCs w:val="21"/>
        </w:rPr>
        <w:t>；</w:t>
      </w:r>
    </w:p>
    <w:p w14:paraId="7D71AC0F">
      <w:pPr>
        <w:pageBreakBefore w:val="0"/>
        <w:kinsoku/>
        <w:wordWrap/>
        <w:overflowPunct/>
        <w:topLinePunct w:val="0"/>
        <w:bidi w:val="0"/>
        <w:adjustRightInd w:val="0"/>
        <w:snapToGrid/>
        <w:spacing w:line="440" w:lineRule="exact"/>
        <w:ind w:left="420" w:leftChars="200" w:right="420" w:rightChars="200"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身份证号：</w:t>
      </w:r>
      <w:r>
        <w:rPr>
          <w:rFonts w:hint="eastAsia" w:ascii="宋体" w:hAnsi="宋体" w:cs="宋体"/>
          <w:color w:val="000000"/>
          <w:sz w:val="21"/>
          <w:szCs w:val="21"/>
          <w:u w:val="single"/>
        </w:rPr>
        <w:t>         </w:t>
      </w:r>
      <w:r>
        <w:rPr>
          <w:rFonts w:hint="eastAsia" w:ascii="宋体" w:hAnsi="宋体" w:cs="宋体"/>
          <w:color w:val="000000"/>
          <w:sz w:val="21"/>
          <w:szCs w:val="21"/>
        </w:rPr>
        <w:t>；</w:t>
      </w:r>
    </w:p>
    <w:p w14:paraId="10B597A9">
      <w:pPr>
        <w:pageBreakBefore w:val="0"/>
        <w:kinsoku/>
        <w:wordWrap/>
        <w:overflowPunct/>
        <w:topLinePunct w:val="0"/>
        <w:bidi w:val="0"/>
        <w:adjustRightInd w:val="0"/>
        <w:snapToGrid/>
        <w:spacing w:line="440" w:lineRule="exact"/>
        <w:ind w:left="420" w:leftChars="200" w:right="420" w:rightChars="200"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建造师执业资格等级：</w:t>
      </w:r>
      <w:r>
        <w:rPr>
          <w:rFonts w:hint="eastAsia" w:ascii="宋体" w:hAnsi="宋体" w:cs="宋体"/>
          <w:color w:val="000000"/>
          <w:sz w:val="21"/>
          <w:szCs w:val="21"/>
          <w:u w:val="single"/>
        </w:rPr>
        <w:t>   </w:t>
      </w:r>
      <w:r>
        <w:rPr>
          <w:rFonts w:hint="eastAsia" w:ascii="宋体" w:hAnsi="宋体" w:cs="宋体"/>
          <w:color w:val="000000"/>
          <w:sz w:val="21"/>
          <w:szCs w:val="21"/>
        </w:rPr>
        <w:t>；</w:t>
      </w:r>
    </w:p>
    <w:p w14:paraId="49CFE778">
      <w:pPr>
        <w:pageBreakBefore w:val="0"/>
        <w:kinsoku/>
        <w:wordWrap/>
        <w:overflowPunct/>
        <w:topLinePunct w:val="0"/>
        <w:bidi w:val="0"/>
        <w:adjustRightInd w:val="0"/>
        <w:snapToGrid/>
        <w:spacing w:line="440" w:lineRule="exact"/>
        <w:ind w:left="420" w:leftChars="200" w:right="420" w:rightChars="200"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建造师注册证书号：</w:t>
      </w:r>
      <w:r>
        <w:rPr>
          <w:rFonts w:hint="eastAsia" w:ascii="宋体" w:hAnsi="宋体" w:cs="宋体"/>
          <w:color w:val="000000"/>
          <w:sz w:val="21"/>
          <w:szCs w:val="21"/>
          <w:u w:val="single"/>
        </w:rPr>
        <w:t> </w:t>
      </w:r>
      <w:r>
        <w:rPr>
          <w:rFonts w:hint="eastAsia" w:ascii="宋体" w:hAnsi="宋体" w:cs="宋体"/>
          <w:color w:val="000000"/>
          <w:sz w:val="21"/>
          <w:szCs w:val="21"/>
        </w:rPr>
        <w:t>；</w:t>
      </w:r>
    </w:p>
    <w:p w14:paraId="2EC65FBC">
      <w:pPr>
        <w:pageBreakBefore w:val="0"/>
        <w:kinsoku/>
        <w:wordWrap/>
        <w:overflowPunct/>
        <w:topLinePunct w:val="0"/>
        <w:bidi w:val="0"/>
        <w:adjustRightInd w:val="0"/>
        <w:snapToGrid/>
        <w:spacing w:line="440" w:lineRule="exact"/>
        <w:ind w:left="420" w:leftChars="200" w:right="420" w:rightChars="200"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建造师执业印章号：</w:t>
      </w:r>
      <w:r>
        <w:rPr>
          <w:rFonts w:hint="eastAsia" w:ascii="宋体" w:hAnsi="宋体" w:cs="宋体"/>
          <w:color w:val="000000"/>
          <w:sz w:val="21"/>
          <w:szCs w:val="21"/>
          <w:u w:val="single"/>
        </w:rPr>
        <w:t> </w:t>
      </w:r>
      <w:r>
        <w:rPr>
          <w:rFonts w:hint="eastAsia" w:ascii="宋体" w:hAnsi="宋体" w:cs="宋体"/>
          <w:color w:val="000000"/>
          <w:sz w:val="21"/>
          <w:szCs w:val="21"/>
        </w:rPr>
        <w:t>；</w:t>
      </w:r>
    </w:p>
    <w:p w14:paraId="6B711555">
      <w:pPr>
        <w:pageBreakBefore w:val="0"/>
        <w:kinsoku/>
        <w:wordWrap/>
        <w:overflowPunct/>
        <w:topLinePunct w:val="0"/>
        <w:bidi w:val="0"/>
        <w:adjustRightInd w:val="0"/>
        <w:snapToGrid/>
        <w:spacing w:line="440" w:lineRule="exact"/>
        <w:ind w:left="420" w:leftChars="200" w:right="420" w:rightChars="200"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安全生产考核合格证书号：</w:t>
      </w:r>
      <w:r>
        <w:rPr>
          <w:rFonts w:hint="eastAsia" w:ascii="宋体" w:hAnsi="宋体" w:cs="宋体"/>
          <w:color w:val="000000"/>
          <w:sz w:val="21"/>
          <w:szCs w:val="21"/>
          <w:u w:val="single"/>
        </w:rPr>
        <w:t> </w:t>
      </w:r>
      <w:r>
        <w:rPr>
          <w:rFonts w:hint="eastAsia" w:ascii="宋体" w:hAnsi="宋体" w:cs="宋体"/>
          <w:color w:val="000000"/>
          <w:sz w:val="21"/>
          <w:szCs w:val="21"/>
        </w:rPr>
        <w:t>；</w:t>
      </w:r>
    </w:p>
    <w:p w14:paraId="5C5B8DE5">
      <w:pPr>
        <w:pageBreakBefore w:val="0"/>
        <w:kinsoku/>
        <w:wordWrap/>
        <w:overflowPunct/>
        <w:topLinePunct w:val="0"/>
        <w:bidi w:val="0"/>
        <w:adjustRightInd w:val="0"/>
        <w:snapToGrid/>
        <w:spacing w:line="440" w:lineRule="exact"/>
        <w:ind w:left="420" w:leftChars="200" w:right="420" w:rightChars="200"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联系电话：</w:t>
      </w:r>
      <w:r>
        <w:rPr>
          <w:rFonts w:hint="eastAsia" w:ascii="宋体" w:hAnsi="宋体" w:cs="宋体"/>
          <w:color w:val="000000"/>
          <w:sz w:val="21"/>
          <w:szCs w:val="21"/>
          <w:u w:val="single"/>
        </w:rPr>
        <w:t>         </w:t>
      </w:r>
      <w:r>
        <w:rPr>
          <w:rFonts w:hint="eastAsia" w:ascii="宋体" w:hAnsi="宋体" w:cs="宋体"/>
          <w:color w:val="000000"/>
          <w:sz w:val="21"/>
          <w:szCs w:val="21"/>
        </w:rPr>
        <w:t>；</w:t>
      </w:r>
    </w:p>
    <w:p w14:paraId="4AB961AC">
      <w:pPr>
        <w:pageBreakBefore w:val="0"/>
        <w:kinsoku/>
        <w:wordWrap/>
        <w:overflowPunct/>
        <w:topLinePunct w:val="0"/>
        <w:bidi w:val="0"/>
        <w:adjustRightInd w:val="0"/>
        <w:snapToGrid/>
        <w:spacing w:line="440" w:lineRule="exact"/>
        <w:ind w:left="420" w:leftChars="200" w:right="420" w:rightChars="200"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电子信箱：</w:t>
      </w:r>
      <w:r>
        <w:rPr>
          <w:rFonts w:hint="eastAsia" w:ascii="宋体" w:hAnsi="宋体" w:cs="宋体"/>
          <w:color w:val="000000"/>
          <w:sz w:val="21"/>
          <w:szCs w:val="21"/>
          <w:u w:val="single"/>
        </w:rPr>
        <w:t>         </w:t>
      </w:r>
      <w:r>
        <w:rPr>
          <w:rFonts w:hint="eastAsia" w:ascii="宋体" w:hAnsi="宋体" w:cs="宋体"/>
          <w:color w:val="000000"/>
          <w:sz w:val="21"/>
          <w:szCs w:val="21"/>
        </w:rPr>
        <w:t>；</w:t>
      </w:r>
    </w:p>
    <w:p w14:paraId="5880A122">
      <w:pPr>
        <w:pageBreakBefore w:val="0"/>
        <w:kinsoku/>
        <w:wordWrap/>
        <w:overflowPunct/>
        <w:topLinePunct w:val="0"/>
        <w:bidi w:val="0"/>
        <w:adjustRightInd w:val="0"/>
        <w:snapToGrid/>
        <w:spacing w:line="440" w:lineRule="exact"/>
        <w:ind w:left="420" w:leftChars="200" w:right="420" w:rightChars="200"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通信地址：</w:t>
      </w:r>
      <w:r>
        <w:rPr>
          <w:rFonts w:hint="eastAsia" w:ascii="宋体" w:hAnsi="宋体" w:cs="宋体"/>
          <w:color w:val="000000"/>
          <w:sz w:val="21"/>
          <w:szCs w:val="21"/>
          <w:u w:val="single"/>
        </w:rPr>
        <w:t>         </w:t>
      </w:r>
      <w:r>
        <w:rPr>
          <w:rFonts w:hint="eastAsia" w:ascii="宋体" w:hAnsi="宋体" w:cs="宋体"/>
          <w:color w:val="000000"/>
          <w:sz w:val="21"/>
          <w:szCs w:val="21"/>
        </w:rPr>
        <w:t>；</w:t>
      </w:r>
    </w:p>
    <w:p w14:paraId="7E5241A0">
      <w:pPr>
        <w:pageBreakBefore w:val="0"/>
        <w:kinsoku/>
        <w:wordWrap/>
        <w:overflowPunct/>
        <w:topLinePunct w:val="0"/>
        <w:bidi w:val="0"/>
        <w:adjustRightInd w:val="0"/>
        <w:snapToGrid/>
        <w:spacing w:line="440" w:lineRule="exact"/>
        <w:ind w:left="420" w:leftChars="200" w:right="420" w:rightChars="200"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承包人对项目负责人的授权范围如下：</w:t>
      </w:r>
      <w:r>
        <w:rPr>
          <w:rFonts w:hint="eastAsia" w:ascii="宋体" w:hAnsi="宋体" w:cs="宋体"/>
          <w:color w:val="000000"/>
          <w:sz w:val="21"/>
          <w:szCs w:val="21"/>
          <w:u w:val="single"/>
        </w:rPr>
        <w:t>在承包人授权范围内履行承包人的职权，对工程建设的质量、安全、工期以及工程造价控制负责，所有上报给发包人的文件均需项目负责人签字</w:t>
      </w:r>
      <w:r>
        <w:rPr>
          <w:rFonts w:hint="eastAsia" w:ascii="宋体" w:hAnsi="宋体" w:cs="宋体"/>
          <w:color w:val="000000"/>
          <w:sz w:val="21"/>
          <w:szCs w:val="21"/>
        </w:rPr>
        <w:t>。</w:t>
      </w:r>
    </w:p>
    <w:p w14:paraId="6B75CB0F">
      <w:pPr>
        <w:pageBreakBefore w:val="0"/>
        <w:kinsoku/>
        <w:wordWrap/>
        <w:overflowPunct/>
        <w:topLinePunct w:val="0"/>
        <w:bidi w:val="0"/>
        <w:adjustRightInd w:val="0"/>
        <w:snapToGrid/>
        <w:spacing w:line="440" w:lineRule="exact"/>
        <w:ind w:left="420" w:leftChars="200" w:right="420" w:rightChars="200"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关于项目经理每月在施工现场的时间要求：</w:t>
      </w:r>
      <w:r>
        <w:rPr>
          <w:rFonts w:hint="eastAsia" w:ascii="宋体" w:hAnsi="宋体" w:cs="宋体"/>
          <w:color w:val="000000"/>
          <w:sz w:val="21"/>
          <w:szCs w:val="21"/>
          <w:u w:val="single"/>
        </w:rPr>
        <w:t>月到位率不少于每月20日历天，</w:t>
      </w:r>
      <w:r>
        <w:rPr>
          <w:rFonts w:hint="eastAsia" w:ascii="宋体" w:hAnsi="宋体" w:cs="宋体"/>
          <w:b/>
          <w:color w:val="000000"/>
          <w:sz w:val="21"/>
          <w:szCs w:val="21"/>
          <w:u w:val="single"/>
        </w:rPr>
        <w:t>（除特殊情况外）</w:t>
      </w:r>
      <w:r>
        <w:rPr>
          <w:rFonts w:hint="eastAsia" w:ascii="宋体" w:hAnsi="宋体" w:cs="宋体"/>
          <w:color w:val="000000"/>
          <w:sz w:val="21"/>
          <w:szCs w:val="21"/>
          <w:u w:val="single"/>
        </w:rPr>
        <w:t>且重要工程例会及验收环节等必须由项目经理参加，否则处违约金1000元/人/天</w:t>
      </w:r>
      <w:r>
        <w:rPr>
          <w:rFonts w:hint="eastAsia" w:ascii="宋体" w:hAnsi="宋体" w:cs="宋体"/>
          <w:color w:val="000000"/>
          <w:sz w:val="21"/>
          <w:szCs w:val="21"/>
        </w:rPr>
        <w:t>。</w:t>
      </w:r>
    </w:p>
    <w:p w14:paraId="15864325">
      <w:pPr>
        <w:pageBreakBefore w:val="0"/>
        <w:kinsoku/>
        <w:wordWrap/>
        <w:overflowPunct/>
        <w:topLinePunct w:val="0"/>
        <w:bidi w:val="0"/>
        <w:adjustRightInd w:val="0"/>
        <w:snapToGrid/>
        <w:spacing w:line="440" w:lineRule="exact"/>
        <w:ind w:left="420" w:leftChars="200" w:right="420" w:rightChars="200"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承包人未提交劳动合同，以及没有为项目经理缴纳社会保险证明的违约责任：</w:t>
      </w:r>
      <w:r>
        <w:rPr>
          <w:rFonts w:hint="eastAsia" w:ascii="宋体" w:hAnsi="宋体" w:cs="宋体"/>
          <w:color w:val="000000"/>
          <w:sz w:val="21"/>
          <w:szCs w:val="21"/>
          <w:u w:val="single"/>
        </w:rPr>
        <w:t>发包人有权解除合同，由此造成的费用增加和工期延误损失均由承包人承担</w:t>
      </w:r>
      <w:r>
        <w:rPr>
          <w:rFonts w:hint="eastAsia" w:ascii="宋体" w:hAnsi="宋体" w:cs="宋体"/>
          <w:color w:val="000000"/>
          <w:sz w:val="21"/>
          <w:szCs w:val="21"/>
        </w:rPr>
        <w:t>。</w:t>
      </w:r>
    </w:p>
    <w:p w14:paraId="1EA6B081">
      <w:pPr>
        <w:pageBreakBefore w:val="0"/>
        <w:kinsoku/>
        <w:wordWrap/>
        <w:overflowPunct/>
        <w:topLinePunct w:val="0"/>
        <w:bidi w:val="0"/>
        <w:adjustRightInd w:val="0"/>
        <w:snapToGrid/>
        <w:spacing w:line="440" w:lineRule="exact"/>
        <w:ind w:left="420" w:leftChars="200" w:right="420" w:rightChars="200" w:firstLine="420" w:firstLineChars="200"/>
        <w:textAlignment w:val="auto"/>
        <w:rPr>
          <w:rFonts w:hint="eastAsia" w:hAnsi="宋体"/>
          <w:sz w:val="21"/>
          <w:szCs w:val="21"/>
          <w:u w:val="single"/>
        </w:rPr>
      </w:pPr>
      <w:r>
        <w:rPr>
          <w:rFonts w:hint="eastAsia" w:ascii="宋体" w:hAnsi="宋体" w:cs="宋体"/>
          <w:color w:val="000000"/>
          <w:sz w:val="21"/>
          <w:szCs w:val="21"/>
        </w:rPr>
        <w:t>3.2.3 承包人擅自更换项目经理的违约责任：</w:t>
      </w:r>
      <w:r>
        <w:rPr>
          <w:rFonts w:hint="eastAsia" w:ascii="宋体" w:hAnsi="宋体"/>
          <w:color w:val="000000"/>
          <w:sz w:val="21"/>
          <w:szCs w:val="21"/>
          <w:u w:val="single"/>
        </w:rPr>
        <w:t>处违约金10000 元/次，违约金从监理和发包人发现违约情况的当月工程款中扣除</w:t>
      </w:r>
      <w:r>
        <w:rPr>
          <w:rFonts w:hint="eastAsia" w:hAnsi="宋体"/>
          <w:color w:val="000000"/>
          <w:sz w:val="21"/>
          <w:szCs w:val="21"/>
          <w:u w:val="single"/>
        </w:rPr>
        <w:t>。</w:t>
      </w:r>
    </w:p>
    <w:p w14:paraId="221E68D8">
      <w:pPr>
        <w:pageBreakBefore w:val="0"/>
        <w:kinsoku/>
        <w:wordWrap/>
        <w:overflowPunct/>
        <w:topLinePunct w:val="0"/>
        <w:bidi w:val="0"/>
        <w:adjustRightInd w:val="0"/>
        <w:snapToGrid/>
        <w:spacing w:line="440" w:lineRule="exact"/>
        <w:ind w:left="420" w:leftChars="200" w:right="420" w:rightChars="200"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3.2.4 承包人无正当理由拒绝更换项目经理的违约责任：</w:t>
      </w:r>
      <w:r>
        <w:rPr>
          <w:rFonts w:hint="eastAsia" w:ascii="宋体" w:hAnsi="宋体" w:cs="宋体"/>
          <w:color w:val="000000"/>
          <w:sz w:val="21"/>
          <w:szCs w:val="21"/>
          <w:u w:val="single"/>
        </w:rPr>
        <w:t>发包人认为项目经理无法履行职责的，应提供相关证明材料，并签发《整改通知书》，承包人在收到《整改通知书》后仍无改善的，发包人有权要求承包人更换项目经理。情节严重的，发包人有权解除合同，由此造成的一切损失由承包人承担。</w:t>
      </w:r>
    </w:p>
    <w:p w14:paraId="1F12772B">
      <w:pPr>
        <w:pageBreakBefore w:val="0"/>
        <w:kinsoku/>
        <w:wordWrap/>
        <w:overflowPunct/>
        <w:topLinePunct w:val="0"/>
        <w:bidi w:val="0"/>
        <w:adjustRightInd w:val="0"/>
        <w:snapToGrid/>
        <w:spacing w:line="440" w:lineRule="exact"/>
        <w:ind w:left="420" w:leftChars="200" w:right="420" w:rightChars="200"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3.3 承包人人员</w:t>
      </w:r>
    </w:p>
    <w:p w14:paraId="08787084">
      <w:pPr>
        <w:pageBreakBefore w:val="0"/>
        <w:kinsoku/>
        <w:wordWrap/>
        <w:overflowPunct/>
        <w:topLinePunct w:val="0"/>
        <w:bidi w:val="0"/>
        <w:adjustRightInd w:val="0"/>
        <w:snapToGrid/>
        <w:spacing w:line="440" w:lineRule="exact"/>
        <w:ind w:left="420" w:leftChars="200" w:right="420" w:rightChars="200"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3.3.1 承包人提交项目管理机构及施工现场管理人员安排报告的期限：</w:t>
      </w:r>
      <w:r>
        <w:rPr>
          <w:rFonts w:hint="eastAsia" w:ascii="宋体" w:hAnsi="宋体" w:cs="宋体"/>
          <w:color w:val="000000"/>
          <w:sz w:val="21"/>
          <w:szCs w:val="21"/>
          <w:u w:val="single"/>
        </w:rPr>
        <w:t xml:space="preserve"> 承包人应在合同备案前将项目管理机构及施工现场管理人员报招标代理机构审查，并报发包人备案。(详见附表二：项目部关键岗位人员配备表) 。</w:t>
      </w:r>
    </w:p>
    <w:p w14:paraId="4B823ABB">
      <w:pPr>
        <w:pageBreakBefore w:val="0"/>
        <w:kinsoku/>
        <w:wordWrap/>
        <w:overflowPunct/>
        <w:topLinePunct w:val="0"/>
        <w:bidi w:val="0"/>
        <w:adjustRightInd w:val="0"/>
        <w:snapToGrid/>
        <w:spacing w:line="440" w:lineRule="exact"/>
        <w:ind w:left="420" w:leftChars="200" w:right="420" w:rightChars="200"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3.3.3承包人无正当理由拒绝撤换项目部关键岗位人员的违约责任：</w:t>
      </w:r>
      <w:r>
        <w:rPr>
          <w:rFonts w:hint="eastAsia" w:ascii="宋体" w:hAnsi="宋体" w:cs="宋体"/>
          <w:color w:val="000000"/>
          <w:sz w:val="21"/>
          <w:szCs w:val="21"/>
          <w:u w:val="single"/>
        </w:rPr>
        <w:t>发包人认为项目部关键岗位人员（指技术负责人、安全员、施工员、质量员、材料员）无法履行职责的，应提供相关证明材料，并签发《整改通知书》</w:t>
      </w:r>
      <w:r>
        <w:rPr>
          <w:rFonts w:hint="eastAsia" w:ascii="宋体" w:hAnsi="宋体" w:cs="宋体"/>
          <w:color w:val="000000"/>
          <w:sz w:val="21"/>
          <w:szCs w:val="21"/>
        </w:rPr>
        <w:t>。</w:t>
      </w:r>
    </w:p>
    <w:p w14:paraId="1520E12F">
      <w:pPr>
        <w:pageBreakBefore w:val="0"/>
        <w:kinsoku/>
        <w:wordWrap/>
        <w:overflowPunct/>
        <w:topLinePunct w:val="0"/>
        <w:bidi w:val="0"/>
        <w:adjustRightInd w:val="0"/>
        <w:snapToGrid/>
        <w:spacing w:line="440" w:lineRule="exact"/>
        <w:ind w:left="420" w:leftChars="200" w:right="420" w:rightChars="200" w:firstLine="420" w:firstLineChars="200"/>
        <w:textAlignment w:val="auto"/>
        <w:rPr>
          <w:rFonts w:hint="eastAsia" w:ascii="宋体" w:hAnsi="宋体" w:cs="宋体"/>
          <w:color w:val="000000"/>
          <w:sz w:val="21"/>
          <w:szCs w:val="21"/>
          <w:u w:val="single"/>
        </w:rPr>
      </w:pPr>
      <w:r>
        <w:rPr>
          <w:rFonts w:hint="eastAsia" w:ascii="宋体" w:hAnsi="宋体" w:cs="宋体"/>
          <w:color w:val="000000"/>
          <w:sz w:val="21"/>
          <w:szCs w:val="21"/>
        </w:rPr>
        <w:t>3.3.4承包人项目部关键岗位人员离开施工现场的批准要求：</w:t>
      </w:r>
      <w:r>
        <w:rPr>
          <w:rFonts w:hint="eastAsia" w:ascii="宋体" w:hAnsi="宋体" w:cs="宋体"/>
          <w:color w:val="000000"/>
          <w:sz w:val="21"/>
          <w:szCs w:val="21"/>
          <w:u w:val="single"/>
        </w:rPr>
        <w:t xml:space="preserve"> 书面形式，并由发包人及总监工程师签字确认 </w:t>
      </w:r>
    </w:p>
    <w:p w14:paraId="4E51F9AF">
      <w:pPr>
        <w:pageBreakBefore w:val="0"/>
        <w:kinsoku/>
        <w:wordWrap/>
        <w:overflowPunct/>
        <w:topLinePunct w:val="0"/>
        <w:bidi w:val="0"/>
        <w:adjustRightInd w:val="0"/>
        <w:snapToGrid/>
        <w:spacing w:line="440" w:lineRule="exact"/>
        <w:ind w:left="420" w:leftChars="200" w:right="420" w:rightChars="200"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3.3.5承包人擅自更换项目部关键岗位人员的违约责任：</w:t>
      </w:r>
      <w:r>
        <w:rPr>
          <w:rFonts w:hint="eastAsia" w:ascii="宋体" w:hAnsi="宋体" w:cs="宋体"/>
          <w:color w:val="000000"/>
          <w:sz w:val="21"/>
          <w:szCs w:val="21"/>
          <w:u w:val="single"/>
        </w:rPr>
        <w:t xml:space="preserve">/ </w:t>
      </w:r>
    </w:p>
    <w:p w14:paraId="1605F49C">
      <w:pPr>
        <w:pageBreakBefore w:val="0"/>
        <w:kinsoku/>
        <w:wordWrap/>
        <w:overflowPunct/>
        <w:topLinePunct w:val="0"/>
        <w:bidi w:val="0"/>
        <w:adjustRightInd w:val="0"/>
        <w:snapToGrid/>
        <w:spacing w:line="440" w:lineRule="exact"/>
        <w:ind w:left="420" w:leftChars="200" w:right="420" w:rightChars="200"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3</w:t>
      </w:r>
      <w:bookmarkStart w:id="507" w:name="_Toc297048345"/>
      <w:bookmarkStart w:id="508" w:name="_Toc296890987"/>
      <w:bookmarkStart w:id="509" w:name="_Toc296891199"/>
      <w:bookmarkStart w:id="510" w:name="_Toc312677988"/>
      <w:bookmarkStart w:id="511" w:name="_Toc296944498"/>
      <w:bookmarkStart w:id="512" w:name="_Toc297123492"/>
      <w:bookmarkStart w:id="513" w:name="_Toc292559869"/>
      <w:bookmarkStart w:id="514" w:name="_Toc296503159"/>
      <w:bookmarkStart w:id="515" w:name="_Toc296347158"/>
      <w:bookmarkStart w:id="516" w:name="_Toc300934945"/>
      <w:bookmarkStart w:id="517" w:name="_Toc297216151"/>
      <w:bookmarkStart w:id="518" w:name="_Toc304295523"/>
      <w:bookmarkStart w:id="519" w:name="_Toc297120459"/>
      <w:bookmarkStart w:id="520" w:name="_Toc296346660"/>
      <w:bookmarkStart w:id="521" w:name="_Toc303539102"/>
      <w:bookmarkStart w:id="522" w:name="_Toc292559364"/>
      <w:r>
        <w:rPr>
          <w:rFonts w:hint="eastAsia" w:ascii="宋体" w:hAnsi="宋体" w:cs="宋体"/>
          <w:color w:val="000000"/>
          <w:sz w:val="21"/>
          <w:szCs w:val="21"/>
        </w:rPr>
        <w:t>.5 分包</w:t>
      </w:r>
    </w:p>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p w14:paraId="37CDEDFA">
      <w:pPr>
        <w:pageBreakBefore w:val="0"/>
        <w:kinsoku/>
        <w:wordWrap/>
        <w:overflowPunct/>
        <w:topLinePunct w:val="0"/>
        <w:bidi w:val="0"/>
        <w:adjustRightInd w:val="0"/>
        <w:snapToGrid/>
        <w:spacing w:line="440" w:lineRule="exact"/>
        <w:ind w:left="420" w:leftChars="200" w:right="420" w:rightChars="200"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3</w:t>
      </w:r>
      <w:bookmarkStart w:id="523" w:name="_Toc297120460"/>
      <w:bookmarkStart w:id="524" w:name="_Toc296944499"/>
      <w:bookmarkStart w:id="525" w:name="_Toc292559365"/>
      <w:bookmarkStart w:id="526" w:name="_Toc297216152"/>
      <w:bookmarkStart w:id="527" w:name="_Toc292559870"/>
      <w:bookmarkStart w:id="528" w:name="_Toc312677989"/>
      <w:bookmarkStart w:id="529" w:name="_Toc304295524"/>
      <w:bookmarkStart w:id="530" w:name="_Toc297123493"/>
      <w:bookmarkStart w:id="531" w:name="_Toc296503160"/>
      <w:bookmarkStart w:id="532" w:name="_Toc296346661"/>
      <w:bookmarkStart w:id="533" w:name="_Toc300934946"/>
      <w:bookmarkStart w:id="534" w:name="_Toc296890988"/>
      <w:bookmarkStart w:id="535" w:name="_Toc318581158"/>
      <w:bookmarkStart w:id="536" w:name="_Toc297048346"/>
      <w:bookmarkStart w:id="537" w:name="_Toc296347159"/>
      <w:bookmarkStart w:id="538" w:name="_Toc303539103"/>
      <w:bookmarkStart w:id="539" w:name="_Toc296891200"/>
      <w:r>
        <w:rPr>
          <w:rFonts w:hint="eastAsia" w:ascii="宋体" w:hAnsi="宋体" w:cs="宋体"/>
          <w:color w:val="000000"/>
          <w:sz w:val="21"/>
          <w:szCs w:val="21"/>
        </w:rPr>
        <w:t>.5.1 分包的一般约定</w:t>
      </w:r>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r>
        <w:rPr>
          <w:rFonts w:hint="eastAsia" w:ascii="宋体" w:hAnsi="宋体" w:cs="宋体"/>
          <w:color w:val="000000"/>
          <w:sz w:val="21"/>
          <w:szCs w:val="21"/>
        </w:rPr>
        <w:t>：</w:t>
      </w:r>
    </w:p>
    <w:p w14:paraId="22661E53">
      <w:pPr>
        <w:pageBreakBefore w:val="0"/>
        <w:kinsoku/>
        <w:wordWrap/>
        <w:overflowPunct/>
        <w:topLinePunct w:val="0"/>
        <w:bidi w:val="0"/>
        <w:adjustRightInd w:val="0"/>
        <w:snapToGrid/>
        <w:spacing w:line="440" w:lineRule="exact"/>
        <w:ind w:left="420" w:leftChars="200" w:right="420" w:rightChars="200"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禁止分包的工程包括：</w:t>
      </w:r>
      <w:r>
        <w:rPr>
          <w:rFonts w:hint="eastAsia" w:ascii="宋体" w:hAnsi="宋体" w:cs="宋体"/>
          <w:color w:val="000000"/>
          <w:sz w:val="21"/>
          <w:szCs w:val="21"/>
          <w:u w:val="single"/>
        </w:rPr>
        <w:t xml:space="preserve">          /                    </w:t>
      </w:r>
      <w:r>
        <w:rPr>
          <w:rFonts w:hint="eastAsia" w:ascii="宋体" w:hAnsi="宋体" w:cs="宋体"/>
          <w:color w:val="000000"/>
          <w:sz w:val="21"/>
          <w:szCs w:val="21"/>
        </w:rPr>
        <w:t> 。</w:t>
      </w:r>
    </w:p>
    <w:p w14:paraId="65218008">
      <w:pPr>
        <w:pageBreakBefore w:val="0"/>
        <w:kinsoku/>
        <w:wordWrap/>
        <w:overflowPunct/>
        <w:topLinePunct w:val="0"/>
        <w:bidi w:val="0"/>
        <w:adjustRightInd w:val="0"/>
        <w:snapToGrid/>
        <w:spacing w:line="440" w:lineRule="exact"/>
        <w:ind w:left="420" w:leftChars="200" w:right="420" w:rightChars="200"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主体结构、关键性工作的范围：</w:t>
      </w:r>
      <w:r>
        <w:rPr>
          <w:rFonts w:hint="eastAsia" w:ascii="宋体" w:hAnsi="宋体" w:cs="宋体"/>
          <w:color w:val="000000"/>
          <w:sz w:val="21"/>
          <w:szCs w:val="21"/>
          <w:u w:val="single"/>
        </w:rPr>
        <w:t xml:space="preserve">         /             </w:t>
      </w:r>
      <w:r>
        <w:rPr>
          <w:rFonts w:hint="eastAsia" w:ascii="宋体" w:hAnsi="宋体" w:cs="宋体"/>
          <w:color w:val="000000"/>
          <w:sz w:val="21"/>
          <w:szCs w:val="21"/>
        </w:rPr>
        <w:t>。</w:t>
      </w:r>
    </w:p>
    <w:p w14:paraId="6CAC6717">
      <w:pPr>
        <w:pageBreakBefore w:val="0"/>
        <w:kinsoku/>
        <w:wordWrap/>
        <w:overflowPunct/>
        <w:topLinePunct w:val="0"/>
        <w:bidi w:val="0"/>
        <w:adjustRightInd w:val="0"/>
        <w:snapToGrid/>
        <w:spacing w:line="440" w:lineRule="exact"/>
        <w:ind w:left="420" w:leftChars="200" w:right="420" w:rightChars="200"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3</w:t>
      </w:r>
      <w:bookmarkStart w:id="540" w:name="_Toc312677990"/>
      <w:bookmarkStart w:id="541" w:name="_Toc318581159"/>
      <w:r>
        <w:rPr>
          <w:rFonts w:hint="eastAsia" w:ascii="宋体" w:hAnsi="宋体" w:cs="宋体"/>
          <w:color w:val="000000"/>
          <w:sz w:val="21"/>
          <w:szCs w:val="21"/>
        </w:rPr>
        <w:t>.5.2分包的确定</w:t>
      </w:r>
    </w:p>
    <w:p w14:paraId="52123F68">
      <w:pPr>
        <w:pageBreakBefore w:val="0"/>
        <w:kinsoku/>
        <w:wordWrap/>
        <w:overflowPunct/>
        <w:topLinePunct w:val="0"/>
        <w:bidi w:val="0"/>
        <w:adjustRightInd w:val="0"/>
        <w:snapToGrid/>
        <w:spacing w:line="440" w:lineRule="exact"/>
        <w:ind w:left="420" w:leftChars="200" w:right="420" w:rightChars="200" w:firstLine="420" w:firstLineChars="200"/>
        <w:textAlignment w:val="auto"/>
        <w:rPr>
          <w:rFonts w:hint="eastAsia" w:ascii="宋体" w:hAnsi="宋体" w:cs="宋体"/>
          <w:color w:val="000000"/>
          <w:sz w:val="21"/>
          <w:szCs w:val="21"/>
          <w:u w:val="single"/>
        </w:rPr>
      </w:pPr>
      <w:r>
        <w:rPr>
          <w:rFonts w:hint="eastAsia" w:ascii="宋体" w:hAnsi="宋体" w:cs="宋体"/>
          <w:color w:val="000000"/>
          <w:sz w:val="21"/>
          <w:szCs w:val="21"/>
        </w:rPr>
        <w:t>允许分包的专业工程包括：</w:t>
      </w:r>
      <w:r>
        <w:rPr>
          <w:rFonts w:hint="eastAsia" w:ascii="宋体" w:hAnsi="宋体" w:cs="宋体"/>
          <w:color w:val="000000"/>
          <w:sz w:val="21"/>
          <w:szCs w:val="21"/>
          <w:u w:val="single"/>
        </w:rPr>
        <w:t xml:space="preserve">    /       </w:t>
      </w:r>
      <w:r>
        <w:rPr>
          <w:rFonts w:hint="eastAsia" w:ascii="宋体" w:hAnsi="宋体" w:cs="宋体"/>
          <w:color w:val="000000"/>
          <w:sz w:val="21"/>
          <w:szCs w:val="21"/>
        </w:rPr>
        <w:t>。</w:t>
      </w:r>
    </w:p>
    <w:p w14:paraId="35E5E854">
      <w:pPr>
        <w:pageBreakBefore w:val="0"/>
        <w:kinsoku/>
        <w:wordWrap/>
        <w:overflowPunct/>
        <w:topLinePunct w:val="0"/>
        <w:bidi w:val="0"/>
        <w:adjustRightInd w:val="0"/>
        <w:snapToGrid/>
        <w:spacing w:line="440" w:lineRule="exact"/>
        <w:ind w:left="420" w:leftChars="200" w:right="420" w:rightChars="200" w:firstLine="420" w:firstLineChars="200"/>
        <w:textAlignment w:val="auto"/>
        <w:rPr>
          <w:rFonts w:hint="eastAsia" w:ascii="宋体" w:hAnsi="宋体" w:cs="宋体"/>
          <w:color w:val="000000"/>
          <w:sz w:val="21"/>
          <w:szCs w:val="21"/>
          <w:u w:val="single"/>
        </w:rPr>
      </w:pPr>
      <w:r>
        <w:rPr>
          <w:rFonts w:hint="eastAsia" w:ascii="宋体" w:hAnsi="宋体" w:cs="宋体"/>
          <w:color w:val="000000"/>
          <w:sz w:val="21"/>
          <w:szCs w:val="21"/>
        </w:rPr>
        <w:t>其他关于分包的约定：</w:t>
      </w:r>
      <w:r>
        <w:rPr>
          <w:rFonts w:hint="eastAsia" w:ascii="宋体" w:hAnsi="宋体" w:cs="宋体"/>
          <w:color w:val="000000"/>
          <w:sz w:val="21"/>
          <w:szCs w:val="21"/>
          <w:u w:val="single"/>
        </w:rPr>
        <w:t xml:space="preserve">    /       </w:t>
      </w:r>
      <w:r>
        <w:rPr>
          <w:rFonts w:hint="eastAsia" w:ascii="宋体" w:hAnsi="宋体" w:cs="宋体"/>
          <w:color w:val="000000"/>
          <w:sz w:val="21"/>
          <w:szCs w:val="21"/>
        </w:rPr>
        <w:t>。</w:t>
      </w:r>
    </w:p>
    <w:bookmarkEnd w:id="540"/>
    <w:bookmarkEnd w:id="541"/>
    <w:p w14:paraId="0C1B69E6">
      <w:pPr>
        <w:pageBreakBefore w:val="0"/>
        <w:kinsoku/>
        <w:wordWrap/>
        <w:overflowPunct/>
        <w:topLinePunct w:val="0"/>
        <w:bidi w:val="0"/>
        <w:adjustRightInd w:val="0"/>
        <w:snapToGrid/>
        <w:spacing w:line="440" w:lineRule="exact"/>
        <w:ind w:left="420" w:leftChars="200" w:right="420" w:rightChars="200"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3.6 工程照管与成品、半成品保护</w:t>
      </w:r>
    </w:p>
    <w:p w14:paraId="19B3341E">
      <w:pPr>
        <w:pageBreakBefore w:val="0"/>
        <w:kinsoku/>
        <w:wordWrap/>
        <w:overflowPunct/>
        <w:topLinePunct w:val="0"/>
        <w:bidi w:val="0"/>
        <w:adjustRightInd w:val="0"/>
        <w:snapToGrid/>
        <w:spacing w:line="440" w:lineRule="exact"/>
        <w:ind w:left="420" w:leftChars="200" w:right="420" w:rightChars="200" w:firstLine="420" w:firstLineChars="200"/>
        <w:textAlignment w:val="auto"/>
        <w:rPr>
          <w:rFonts w:hint="eastAsia" w:ascii="宋体" w:hAnsi="宋体" w:cs="宋体"/>
          <w:color w:val="000000"/>
          <w:sz w:val="21"/>
          <w:szCs w:val="21"/>
          <w:u w:val="single"/>
        </w:rPr>
      </w:pPr>
      <w:r>
        <w:rPr>
          <w:rFonts w:hint="eastAsia" w:ascii="宋体" w:hAnsi="宋体" w:cs="宋体"/>
          <w:color w:val="000000"/>
          <w:sz w:val="21"/>
          <w:szCs w:val="21"/>
        </w:rPr>
        <w:t>承包人负责照管工程及工程相关的材料、工程设备的起始时间：</w:t>
      </w:r>
      <w:r>
        <w:rPr>
          <w:rFonts w:hint="eastAsia" w:ascii="宋体" w:hAnsi="宋体" w:cs="宋体"/>
          <w:color w:val="000000"/>
          <w:sz w:val="21"/>
          <w:szCs w:val="21"/>
          <w:u w:val="single"/>
        </w:rPr>
        <w:t>工程开工令发布之日</w:t>
      </w:r>
      <w:r>
        <w:rPr>
          <w:rFonts w:hint="eastAsia" w:ascii="宋体" w:hAnsi="宋体" w:cs="宋体"/>
          <w:color w:val="000000"/>
          <w:sz w:val="21"/>
          <w:szCs w:val="21"/>
        </w:rPr>
        <w:t>。</w:t>
      </w:r>
    </w:p>
    <w:p w14:paraId="494AB0AA">
      <w:pPr>
        <w:pageBreakBefore w:val="0"/>
        <w:kinsoku/>
        <w:wordWrap/>
        <w:overflowPunct/>
        <w:topLinePunct w:val="0"/>
        <w:bidi w:val="0"/>
        <w:adjustRightInd w:val="0"/>
        <w:snapToGrid/>
        <w:spacing w:line="440" w:lineRule="exact"/>
        <w:ind w:left="420" w:leftChars="200" w:right="420" w:rightChars="200" w:firstLine="420" w:firstLineChars="200"/>
        <w:textAlignment w:val="auto"/>
        <w:rPr>
          <w:rFonts w:ascii="宋体" w:hAnsi="宋体"/>
          <w:color w:val="000000"/>
          <w:sz w:val="21"/>
          <w:szCs w:val="21"/>
        </w:rPr>
      </w:pPr>
      <w:bookmarkStart w:id="542" w:name="_Toc351203636"/>
      <w:bookmarkStart w:id="543" w:name="_Toc386638610"/>
      <w:r>
        <w:rPr>
          <w:rFonts w:ascii="宋体" w:hAnsi="宋体"/>
          <w:color w:val="000000"/>
          <w:sz w:val="21"/>
          <w:szCs w:val="21"/>
        </w:rPr>
        <w:t>3.7 履约担保</w:t>
      </w:r>
    </w:p>
    <w:p w14:paraId="3EAC00CC">
      <w:pPr>
        <w:pageBreakBefore w:val="0"/>
        <w:kinsoku/>
        <w:wordWrap/>
        <w:overflowPunct/>
        <w:topLinePunct w:val="0"/>
        <w:bidi w:val="0"/>
        <w:adjustRightInd w:val="0"/>
        <w:snapToGrid/>
        <w:spacing w:line="440" w:lineRule="exact"/>
        <w:ind w:left="420" w:leftChars="200" w:right="420" w:rightChars="200" w:firstLine="420" w:firstLineChars="200"/>
        <w:textAlignment w:val="auto"/>
        <w:rPr>
          <w:rFonts w:hint="eastAsia" w:ascii="宋体" w:hAnsi="宋体"/>
          <w:sz w:val="21"/>
          <w:szCs w:val="21"/>
        </w:rPr>
      </w:pPr>
      <w:r>
        <w:rPr>
          <w:rFonts w:hint="eastAsia" w:ascii="宋体" w:hAnsi="宋体"/>
          <w:sz w:val="21"/>
          <w:szCs w:val="21"/>
        </w:rPr>
        <w:t>承包人是否提供履约担保：</w:t>
      </w:r>
      <w:r>
        <w:rPr>
          <w:rFonts w:hint="eastAsia" w:ascii="宋体" w:hAnsi="宋体"/>
          <w:sz w:val="21"/>
          <w:szCs w:val="21"/>
          <w:u w:val="single"/>
        </w:rPr>
        <w:t xml:space="preserve">       是      </w:t>
      </w:r>
      <w:r>
        <w:rPr>
          <w:rFonts w:hint="eastAsia" w:ascii="宋体" w:hAnsi="宋体"/>
          <w:sz w:val="21"/>
          <w:szCs w:val="21"/>
        </w:rPr>
        <w:t>。</w:t>
      </w:r>
    </w:p>
    <w:p w14:paraId="3B892CC4">
      <w:pPr>
        <w:pageBreakBefore w:val="0"/>
        <w:kinsoku/>
        <w:wordWrap/>
        <w:overflowPunct/>
        <w:topLinePunct w:val="0"/>
        <w:bidi w:val="0"/>
        <w:adjustRightInd w:val="0"/>
        <w:snapToGrid/>
        <w:spacing w:line="440" w:lineRule="exact"/>
        <w:ind w:left="420" w:leftChars="200" w:right="420" w:rightChars="200" w:firstLine="441" w:firstLineChars="210"/>
        <w:textAlignment w:val="auto"/>
        <w:rPr>
          <w:rFonts w:hint="eastAsia" w:ascii="宋体" w:hAnsi="宋体"/>
          <w:sz w:val="21"/>
          <w:szCs w:val="21"/>
        </w:rPr>
      </w:pPr>
      <w:r>
        <w:rPr>
          <w:rFonts w:hint="eastAsia" w:ascii="宋体" w:hAnsi="宋体"/>
          <w:sz w:val="21"/>
          <w:szCs w:val="21"/>
        </w:rPr>
        <w:t>承包人提供履约担保的形式、金额及期限的约定：</w:t>
      </w:r>
    </w:p>
    <w:p w14:paraId="50404A08">
      <w:pPr>
        <w:pageBreakBefore w:val="0"/>
        <w:kinsoku/>
        <w:wordWrap/>
        <w:overflowPunct/>
        <w:topLinePunct w:val="0"/>
        <w:bidi w:val="0"/>
        <w:adjustRightInd w:val="0"/>
        <w:snapToGrid/>
        <w:spacing w:line="440" w:lineRule="exact"/>
        <w:ind w:left="420" w:leftChars="200" w:right="420" w:rightChars="200" w:firstLine="441" w:firstLineChars="210"/>
        <w:textAlignment w:val="auto"/>
        <w:rPr>
          <w:rFonts w:hint="eastAsia" w:ascii="宋体" w:hAnsi="宋体"/>
          <w:kern w:val="0"/>
          <w:sz w:val="21"/>
          <w:szCs w:val="21"/>
          <w:u w:val="single"/>
        </w:rPr>
      </w:pPr>
      <w:r>
        <w:rPr>
          <w:rFonts w:hint="eastAsia" w:ascii="宋体" w:hAnsi="宋体"/>
          <w:kern w:val="0"/>
          <w:sz w:val="21"/>
          <w:szCs w:val="21"/>
          <w:u w:val="single"/>
        </w:rPr>
        <w:t>（1） 按照《关于印发宁海县房屋建筑和市政基础设施工程担保管理办法(试行)的通知》(宁建［2014］67 号)、《转发市住建委关于进一步优化建筑业发展环境减轻建筑企业负担的通知》(宁建发［2017］46 号)、</w:t>
      </w:r>
      <w:r>
        <w:rPr>
          <w:rFonts w:hint="eastAsia" w:ascii="宋体" w:hAnsi="宋体"/>
          <w:b/>
          <w:bCs/>
          <w:kern w:val="0"/>
          <w:sz w:val="21"/>
          <w:szCs w:val="21"/>
          <w:u w:val="single"/>
        </w:rPr>
        <w:t>转发《关于开展建设工程综合保险试点工作的通知》、转发市住建局等五部门《关于进一步推进宁波市建设工程综合保险工作的通知》（甬建发【2018】182 号）和《关于公布宁波市建设工程综合保险首席承保人名称的通知》（甬建发【2019】25 号）及</w:t>
      </w:r>
      <w:r>
        <w:rPr>
          <w:rFonts w:hint="eastAsia" w:ascii="宋体" w:hAnsi="宋体"/>
          <w:b/>
          <w:bCs/>
          <w:sz w:val="21"/>
          <w:szCs w:val="21"/>
          <w:u w:val="single"/>
        </w:rPr>
        <w:t>《关于在全省工程领域改革保证金制度的通知》（浙建【2020】7号）</w:t>
      </w:r>
      <w:r>
        <w:rPr>
          <w:rFonts w:hint="eastAsia" w:ascii="宋体" w:hAnsi="宋体"/>
          <w:b/>
          <w:bCs/>
          <w:kern w:val="0"/>
          <w:sz w:val="21"/>
          <w:szCs w:val="21"/>
          <w:u w:val="single"/>
        </w:rPr>
        <w:t>、宁海县住建局颁发的《关于进一步推动落实建筑业惠企减负政策的通知》的文件规定</w:t>
      </w:r>
      <w:r>
        <w:rPr>
          <w:rFonts w:hint="eastAsia" w:ascii="宋体" w:hAnsi="宋体"/>
          <w:kern w:val="0"/>
          <w:sz w:val="21"/>
          <w:szCs w:val="21"/>
          <w:u w:val="single"/>
        </w:rPr>
        <w:t>，合同签订前 7天内承包人向发包人提供符合本合同附件 8《履约保函》格式的银行保函一份或与保险公司签订的履约保证保险合同一份。</w:t>
      </w:r>
    </w:p>
    <w:p w14:paraId="0FDE7F58">
      <w:pPr>
        <w:pageBreakBefore w:val="0"/>
        <w:kinsoku/>
        <w:wordWrap/>
        <w:overflowPunct/>
        <w:topLinePunct w:val="0"/>
        <w:bidi w:val="0"/>
        <w:adjustRightInd w:val="0"/>
        <w:snapToGrid/>
        <w:spacing w:line="440" w:lineRule="exact"/>
        <w:ind w:left="420" w:leftChars="200" w:right="420" w:rightChars="200" w:firstLine="441" w:firstLineChars="210"/>
        <w:textAlignment w:val="auto"/>
        <w:rPr>
          <w:rFonts w:hint="eastAsia" w:ascii="宋体" w:hAnsi="宋体"/>
          <w:color w:val="000000"/>
          <w:kern w:val="0"/>
          <w:sz w:val="21"/>
          <w:szCs w:val="21"/>
          <w:u w:val="single"/>
        </w:rPr>
      </w:pPr>
      <w:r>
        <w:rPr>
          <w:rFonts w:hint="eastAsia" w:ascii="宋体" w:hAnsi="宋体"/>
          <w:color w:val="000000"/>
          <w:kern w:val="0"/>
          <w:sz w:val="21"/>
          <w:szCs w:val="21"/>
          <w:u w:val="single"/>
        </w:rPr>
        <w:t>（2）履约担保期限自合同生效之日起至发包人签认并由发包人向承包人出具工程接收证书之日止。</w:t>
      </w:r>
    </w:p>
    <w:p w14:paraId="17B0211E">
      <w:pPr>
        <w:pageBreakBefore w:val="0"/>
        <w:kinsoku/>
        <w:wordWrap/>
        <w:overflowPunct/>
        <w:topLinePunct w:val="0"/>
        <w:bidi w:val="0"/>
        <w:adjustRightInd w:val="0"/>
        <w:snapToGrid/>
        <w:spacing w:line="440" w:lineRule="exact"/>
        <w:ind w:left="420" w:leftChars="200" w:right="420" w:rightChars="200" w:firstLine="441" w:firstLineChars="210"/>
        <w:textAlignment w:val="auto"/>
        <w:rPr>
          <w:rFonts w:hint="eastAsia" w:ascii="宋体" w:hAnsi="宋体"/>
          <w:kern w:val="0"/>
          <w:sz w:val="21"/>
          <w:szCs w:val="21"/>
          <w:u w:val="single"/>
        </w:rPr>
      </w:pPr>
      <w:r>
        <w:rPr>
          <w:rFonts w:hint="eastAsia" w:ascii="宋体" w:hAnsi="宋体"/>
          <w:kern w:val="0"/>
          <w:sz w:val="21"/>
          <w:szCs w:val="21"/>
        </w:rPr>
        <w:t>（3） 承包人与履约担保有关的任何利息或其它类似的费用或者收益由承包人承担；因承包人原因或其他承包人应承担责任的事由导致工期延长的，继续提供履约担保所增加的费用由承包人承担；非承包人原因导致工期延长的，继续提供履约担保所增加的费用由发包人承担。</w:t>
      </w:r>
    </w:p>
    <w:p w14:paraId="49DC72C0">
      <w:pPr>
        <w:pageBreakBefore w:val="0"/>
        <w:kinsoku/>
        <w:wordWrap/>
        <w:overflowPunct/>
        <w:topLinePunct w:val="0"/>
        <w:autoSpaceDE w:val="0"/>
        <w:autoSpaceDN w:val="0"/>
        <w:bidi w:val="0"/>
        <w:adjustRightInd w:val="0"/>
        <w:snapToGrid/>
        <w:spacing w:line="440" w:lineRule="exact"/>
        <w:ind w:left="420" w:leftChars="200" w:right="420" w:rightChars="200" w:firstLine="420" w:firstLineChars="200"/>
        <w:textAlignment w:val="auto"/>
        <w:rPr>
          <w:rFonts w:hint="eastAsia" w:ascii="宋体" w:hAnsi="宋体"/>
          <w:kern w:val="0"/>
          <w:sz w:val="21"/>
          <w:szCs w:val="21"/>
        </w:rPr>
      </w:pPr>
      <w:r>
        <w:rPr>
          <w:rFonts w:hint="eastAsia" w:ascii="宋体" w:hAnsi="宋体"/>
          <w:kern w:val="0"/>
          <w:sz w:val="21"/>
          <w:szCs w:val="21"/>
        </w:rPr>
        <w:t>（4）履约担保金额为签约合同价的</w:t>
      </w:r>
      <w:r>
        <w:rPr>
          <w:rFonts w:hint="eastAsia" w:ascii="宋体" w:hAnsi="宋体"/>
          <w:kern w:val="0"/>
          <w:sz w:val="21"/>
          <w:szCs w:val="21"/>
          <w:u w:val="single"/>
        </w:rPr>
        <w:t xml:space="preserve">  </w:t>
      </w:r>
      <w:r>
        <w:rPr>
          <w:rFonts w:hint="eastAsia" w:ascii="宋体" w:hAnsi="宋体"/>
          <w:kern w:val="0"/>
          <w:sz w:val="21"/>
          <w:szCs w:val="21"/>
          <w:u w:val="single"/>
          <w:lang w:val="en-US" w:eastAsia="zh-CN"/>
        </w:rPr>
        <w:t>1</w:t>
      </w:r>
      <w:r>
        <w:rPr>
          <w:rFonts w:hint="eastAsia" w:hAnsi="宋体"/>
          <w:kern w:val="0"/>
          <w:sz w:val="21"/>
          <w:szCs w:val="21"/>
          <w:u w:val="single"/>
        </w:rPr>
        <w:t xml:space="preserve">   </w:t>
      </w:r>
      <w:r>
        <w:rPr>
          <w:rFonts w:hint="eastAsia" w:ascii="宋体" w:hAnsi="宋体"/>
          <w:kern w:val="0"/>
          <w:sz w:val="21"/>
          <w:szCs w:val="21"/>
          <w:u w:val="single"/>
        </w:rPr>
        <w:t xml:space="preserve">% </w:t>
      </w:r>
    </w:p>
    <w:p w14:paraId="01C6AE25">
      <w:pPr>
        <w:pageBreakBefore w:val="0"/>
        <w:kinsoku/>
        <w:wordWrap/>
        <w:overflowPunct/>
        <w:topLinePunct w:val="0"/>
        <w:bidi w:val="0"/>
        <w:adjustRightInd w:val="0"/>
        <w:snapToGrid/>
        <w:spacing w:line="440" w:lineRule="exact"/>
        <w:ind w:left="420" w:leftChars="200" w:right="420" w:rightChars="200" w:firstLine="441" w:firstLineChars="210"/>
        <w:textAlignment w:val="auto"/>
        <w:rPr>
          <w:rFonts w:hint="eastAsia" w:ascii="宋体" w:hAnsi="宋体"/>
          <w:color w:val="000000"/>
          <w:kern w:val="0"/>
          <w:sz w:val="21"/>
          <w:szCs w:val="21"/>
        </w:rPr>
      </w:pPr>
      <w:r>
        <w:rPr>
          <w:rFonts w:hint="eastAsia" w:ascii="宋体" w:hAnsi="宋体"/>
          <w:color w:val="000000"/>
          <w:kern w:val="0"/>
          <w:sz w:val="21"/>
          <w:szCs w:val="21"/>
        </w:rPr>
        <w:t>（5）履约担保返还期限：在工程竣工验收合格后10日内全额返还。</w:t>
      </w:r>
    </w:p>
    <w:p w14:paraId="2234C5D3">
      <w:pPr>
        <w:pStyle w:val="6"/>
        <w:pageBreakBefore w:val="0"/>
        <w:numPr>
          <w:ilvl w:val="3"/>
          <w:numId w:val="0"/>
        </w:numPr>
        <w:kinsoku/>
        <w:wordWrap/>
        <w:overflowPunct/>
        <w:topLinePunct w:val="0"/>
        <w:bidi w:val="0"/>
        <w:adjustRightInd w:val="0"/>
        <w:snapToGrid/>
        <w:spacing w:before="0" w:after="0" w:line="440" w:lineRule="exact"/>
        <w:ind w:left="420" w:leftChars="200" w:right="420" w:rightChars="200"/>
        <w:textAlignment w:val="auto"/>
        <w:rPr>
          <w:rFonts w:hint="eastAsia" w:ascii="宋体" w:hAnsi="宋体" w:eastAsia="宋体" w:cs="宋体"/>
          <w:b w:val="0"/>
          <w:color w:val="000000"/>
          <w:sz w:val="21"/>
          <w:szCs w:val="21"/>
        </w:rPr>
      </w:pPr>
      <w:r>
        <w:rPr>
          <w:rFonts w:hint="eastAsia" w:ascii="宋体" w:hAnsi="宋体" w:eastAsia="宋体" w:cs="宋体"/>
          <w:b w:val="0"/>
          <w:color w:val="000000"/>
          <w:sz w:val="21"/>
          <w:szCs w:val="21"/>
        </w:rPr>
        <w:t>4</w:t>
      </w:r>
      <w:bookmarkStart w:id="544" w:name="_Toc267251413"/>
      <w:bookmarkStart w:id="545" w:name="_Toc297120462"/>
      <w:bookmarkStart w:id="546" w:name="_Toc296944501"/>
      <w:bookmarkStart w:id="547" w:name="_Toc292559366"/>
      <w:bookmarkStart w:id="548" w:name="_Toc296890990"/>
      <w:bookmarkStart w:id="549" w:name="_Toc296347161"/>
      <w:bookmarkStart w:id="550" w:name="_Toc296346663"/>
      <w:bookmarkStart w:id="551" w:name="_Toc296503162"/>
      <w:bookmarkStart w:id="552" w:name="_Toc297048348"/>
      <w:bookmarkStart w:id="553" w:name="_Toc292559871"/>
      <w:bookmarkStart w:id="554" w:name="_Toc296891202"/>
      <w:r>
        <w:rPr>
          <w:rFonts w:hint="eastAsia" w:ascii="宋体" w:hAnsi="宋体" w:eastAsia="宋体" w:cs="宋体"/>
          <w:b w:val="0"/>
          <w:color w:val="000000"/>
          <w:sz w:val="21"/>
          <w:szCs w:val="21"/>
        </w:rPr>
        <w:t>. 监</w:t>
      </w:r>
      <w:bookmarkEnd w:id="544"/>
      <w:bookmarkEnd w:id="545"/>
      <w:bookmarkEnd w:id="546"/>
      <w:bookmarkEnd w:id="547"/>
      <w:bookmarkEnd w:id="548"/>
      <w:bookmarkEnd w:id="549"/>
      <w:bookmarkEnd w:id="550"/>
      <w:bookmarkEnd w:id="551"/>
      <w:bookmarkEnd w:id="552"/>
      <w:bookmarkEnd w:id="553"/>
      <w:bookmarkEnd w:id="554"/>
      <w:r>
        <w:rPr>
          <w:rFonts w:hint="eastAsia" w:ascii="宋体" w:hAnsi="宋体" w:eastAsia="宋体" w:cs="宋体"/>
          <w:b w:val="0"/>
          <w:color w:val="000000"/>
          <w:sz w:val="21"/>
          <w:szCs w:val="21"/>
        </w:rPr>
        <w:t>理人</w:t>
      </w:r>
      <w:bookmarkEnd w:id="542"/>
      <w:bookmarkEnd w:id="543"/>
    </w:p>
    <w:p w14:paraId="21E96C7D">
      <w:pPr>
        <w:pageBreakBefore w:val="0"/>
        <w:kinsoku/>
        <w:wordWrap/>
        <w:overflowPunct/>
        <w:topLinePunct w:val="0"/>
        <w:bidi w:val="0"/>
        <w:adjustRightInd w:val="0"/>
        <w:snapToGrid/>
        <w:spacing w:line="440" w:lineRule="exact"/>
        <w:ind w:left="420" w:leftChars="200" w:right="420" w:rightChars="200"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4.1监理人的一般规定</w:t>
      </w:r>
    </w:p>
    <w:p w14:paraId="30BC87E7">
      <w:pPr>
        <w:pageBreakBefore w:val="0"/>
        <w:kinsoku/>
        <w:wordWrap/>
        <w:overflowPunct/>
        <w:topLinePunct w:val="0"/>
        <w:bidi w:val="0"/>
        <w:adjustRightInd w:val="0"/>
        <w:snapToGrid/>
        <w:spacing w:line="440" w:lineRule="exact"/>
        <w:ind w:left="420" w:leftChars="200" w:right="420" w:rightChars="200"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关于监理人的监理内容：</w:t>
      </w:r>
      <w:r>
        <w:rPr>
          <w:rFonts w:hint="eastAsia" w:ascii="宋体" w:hAnsi="宋体" w:cs="宋体"/>
          <w:color w:val="000000"/>
          <w:sz w:val="21"/>
          <w:szCs w:val="21"/>
          <w:u w:val="single"/>
        </w:rPr>
        <w:t>工程建设监理合同授予监理人的权利</w:t>
      </w:r>
      <w:r>
        <w:rPr>
          <w:rFonts w:hint="eastAsia" w:ascii="宋体" w:hAnsi="宋体" w:cs="宋体"/>
          <w:color w:val="000000"/>
          <w:sz w:val="21"/>
          <w:szCs w:val="21"/>
        </w:rPr>
        <w:t>。</w:t>
      </w:r>
    </w:p>
    <w:p w14:paraId="07425880">
      <w:pPr>
        <w:pageBreakBefore w:val="0"/>
        <w:kinsoku/>
        <w:wordWrap/>
        <w:overflowPunct/>
        <w:topLinePunct w:val="0"/>
        <w:bidi w:val="0"/>
        <w:adjustRightInd w:val="0"/>
        <w:snapToGrid/>
        <w:spacing w:line="440" w:lineRule="exact"/>
        <w:ind w:left="420" w:leftChars="200" w:right="420" w:rightChars="200"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关于监理人的监理权限：</w:t>
      </w:r>
      <w:r>
        <w:rPr>
          <w:rFonts w:hint="eastAsia" w:ascii="宋体" w:hAnsi="宋体" w:cs="宋体"/>
          <w:color w:val="000000"/>
          <w:sz w:val="21"/>
          <w:szCs w:val="21"/>
          <w:u w:val="single"/>
        </w:rPr>
        <w:t>涉及费用、工期、图纸更改等工程变更指令和付款、暂停工程施工指令的下达权需取得发包人书面批准后方可执行</w:t>
      </w:r>
      <w:r>
        <w:rPr>
          <w:rFonts w:hint="eastAsia" w:ascii="宋体" w:hAnsi="宋体" w:cs="宋体"/>
          <w:color w:val="000000"/>
          <w:sz w:val="21"/>
          <w:szCs w:val="21"/>
        </w:rPr>
        <w:t xml:space="preserve">。 </w:t>
      </w:r>
    </w:p>
    <w:p w14:paraId="0FAB1BDA">
      <w:pPr>
        <w:pageBreakBefore w:val="0"/>
        <w:kinsoku/>
        <w:wordWrap/>
        <w:overflowPunct/>
        <w:topLinePunct w:val="0"/>
        <w:bidi w:val="0"/>
        <w:adjustRightInd w:val="0"/>
        <w:snapToGrid/>
        <w:spacing w:line="440" w:lineRule="exact"/>
        <w:ind w:left="420" w:leftChars="200" w:right="420" w:rightChars="200"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关于监理人在施工现场的办公场所、生活场所的提供和费用承担的约定：</w:t>
      </w:r>
      <w:r>
        <w:rPr>
          <w:rFonts w:hint="eastAsia" w:ascii="宋体" w:hAnsi="宋体" w:cs="宋体"/>
          <w:color w:val="000000"/>
          <w:sz w:val="21"/>
          <w:szCs w:val="21"/>
          <w:u w:val="single"/>
        </w:rPr>
        <w:t xml:space="preserve">  /  </w:t>
      </w:r>
      <w:r>
        <w:rPr>
          <w:rFonts w:hint="eastAsia" w:ascii="宋体" w:hAnsi="宋体" w:cs="宋体"/>
          <w:color w:val="000000"/>
          <w:sz w:val="21"/>
          <w:szCs w:val="21"/>
        </w:rPr>
        <w:t>。</w:t>
      </w:r>
    </w:p>
    <w:p w14:paraId="788B4572">
      <w:pPr>
        <w:pageBreakBefore w:val="0"/>
        <w:kinsoku/>
        <w:wordWrap/>
        <w:overflowPunct/>
        <w:topLinePunct w:val="0"/>
        <w:bidi w:val="0"/>
        <w:adjustRightInd w:val="0"/>
        <w:snapToGrid/>
        <w:spacing w:line="440" w:lineRule="exact"/>
        <w:ind w:left="420" w:leftChars="200" w:right="420" w:rightChars="200"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4.2 监理人员</w:t>
      </w:r>
    </w:p>
    <w:p w14:paraId="539492D4">
      <w:pPr>
        <w:pageBreakBefore w:val="0"/>
        <w:kinsoku/>
        <w:wordWrap/>
        <w:overflowPunct/>
        <w:topLinePunct w:val="0"/>
        <w:bidi w:val="0"/>
        <w:adjustRightInd w:val="0"/>
        <w:snapToGrid/>
        <w:spacing w:line="440" w:lineRule="exact"/>
        <w:ind w:left="420" w:leftChars="200" w:right="420" w:rightChars="200"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总监理工程师：</w:t>
      </w:r>
    </w:p>
    <w:p w14:paraId="63B38C90">
      <w:pPr>
        <w:pageBreakBefore w:val="0"/>
        <w:kinsoku/>
        <w:wordWrap/>
        <w:overflowPunct/>
        <w:topLinePunct w:val="0"/>
        <w:bidi w:val="0"/>
        <w:adjustRightInd w:val="0"/>
        <w:snapToGrid/>
        <w:spacing w:line="440" w:lineRule="exact"/>
        <w:ind w:left="420" w:leftChars="200" w:right="420" w:rightChars="200"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姓    名：</w:t>
      </w:r>
      <w:r>
        <w:rPr>
          <w:rFonts w:hint="eastAsia" w:ascii="宋体" w:hAnsi="宋体" w:cs="宋体"/>
          <w:color w:val="000000"/>
          <w:sz w:val="21"/>
          <w:szCs w:val="21"/>
          <w:u w:val="single"/>
        </w:rPr>
        <w:t>   </w:t>
      </w:r>
      <w:r>
        <w:rPr>
          <w:rFonts w:hint="eastAsia" w:ascii="宋体" w:hAnsi="宋体" w:cs="宋体"/>
          <w:color w:val="000000"/>
          <w:sz w:val="21"/>
          <w:szCs w:val="21"/>
        </w:rPr>
        <w:t>；</w:t>
      </w:r>
    </w:p>
    <w:p w14:paraId="28F2B45E">
      <w:pPr>
        <w:pageBreakBefore w:val="0"/>
        <w:kinsoku/>
        <w:wordWrap/>
        <w:overflowPunct/>
        <w:topLinePunct w:val="0"/>
        <w:bidi w:val="0"/>
        <w:adjustRightInd w:val="0"/>
        <w:snapToGrid/>
        <w:spacing w:line="440" w:lineRule="exact"/>
        <w:ind w:left="420" w:leftChars="200" w:right="420" w:rightChars="200"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职    务：</w:t>
      </w:r>
      <w:r>
        <w:rPr>
          <w:rFonts w:hint="eastAsia" w:ascii="宋体" w:hAnsi="宋体" w:cs="宋体"/>
          <w:color w:val="000000"/>
          <w:sz w:val="21"/>
          <w:szCs w:val="21"/>
          <w:u w:val="single"/>
        </w:rPr>
        <w:t>   </w:t>
      </w:r>
      <w:r>
        <w:rPr>
          <w:rFonts w:hint="eastAsia" w:ascii="宋体" w:hAnsi="宋体" w:cs="宋体"/>
          <w:color w:val="000000"/>
          <w:sz w:val="21"/>
          <w:szCs w:val="21"/>
        </w:rPr>
        <w:t>；</w:t>
      </w:r>
    </w:p>
    <w:p w14:paraId="5CD9B4A3">
      <w:pPr>
        <w:pageBreakBefore w:val="0"/>
        <w:kinsoku/>
        <w:wordWrap/>
        <w:overflowPunct/>
        <w:topLinePunct w:val="0"/>
        <w:bidi w:val="0"/>
        <w:adjustRightInd w:val="0"/>
        <w:snapToGrid/>
        <w:spacing w:line="440" w:lineRule="exact"/>
        <w:ind w:left="420" w:leftChars="200" w:right="420" w:rightChars="200"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监理工程师执业资格证书号：</w:t>
      </w:r>
      <w:r>
        <w:rPr>
          <w:rFonts w:hint="eastAsia" w:ascii="宋体" w:hAnsi="宋体" w:cs="宋体"/>
          <w:color w:val="000000"/>
          <w:sz w:val="21"/>
          <w:szCs w:val="21"/>
          <w:u w:val="single"/>
        </w:rPr>
        <w:t> </w:t>
      </w:r>
      <w:r>
        <w:rPr>
          <w:rFonts w:hint="eastAsia" w:ascii="宋体" w:hAnsi="宋体" w:cs="宋体"/>
          <w:color w:val="000000"/>
          <w:sz w:val="21"/>
          <w:szCs w:val="21"/>
        </w:rPr>
        <w:t>；</w:t>
      </w:r>
    </w:p>
    <w:p w14:paraId="2859CBC1">
      <w:pPr>
        <w:pageBreakBefore w:val="0"/>
        <w:kinsoku/>
        <w:wordWrap/>
        <w:overflowPunct/>
        <w:topLinePunct w:val="0"/>
        <w:bidi w:val="0"/>
        <w:adjustRightInd w:val="0"/>
        <w:snapToGrid/>
        <w:spacing w:line="440" w:lineRule="exact"/>
        <w:ind w:left="420" w:leftChars="200" w:right="420" w:rightChars="200"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联系电话：</w:t>
      </w:r>
      <w:r>
        <w:rPr>
          <w:rFonts w:hint="eastAsia" w:ascii="宋体" w:hAnsi="宋体" w:cs="宋体"/>
          <w:color w:val="000000"/>
          <w:sz w:val="21"/>
          <w:szCs w:val="21"/>
          <w:u w:val="single"/>
        </w:rPr>
        <w:t>   </w:t>
      </w:r>
      <w:r>
        <w:rPr>
          <w:rFonts w:hint="eastAsia" w:ascii="宋体" w:hAnsi="宋体" w:cs="宋体"/>
          <w:color w:val="000000"/>
          <w:sz w:val="21"/>
          <w:szCs w:val="21"/>
        </w:rPr>
        <w:t>；</w:t>
      </w:r>
    </w:p>
    <w:p w14:paraId="27CEE05F">
      <w:pPr>
        <w:pageBreakBefore w:val="0"/>
        <w:kinsoku/>
        <w:wordWrap/>
        <w:overflowPunct/>
        <w:topLinePunct w:val="0"/>
        <w:bidi w:val="0"/>
        <w:adjustRightInd w:val="0"/>
        <w:snapToGrid/>
        <w:spacing w:line="440" w:lineRule="exact"/>
        <w:ind w:left="420" w:leftChars="200" w:right="420" w:rightChars="200"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电子信箱：</w:t>
      </w:r>
      <w:r>
        <w:rPr>
          <w:rFonts w:hint="eastAsia" w:ascii="宋体" w:hAnsi="宋体" w:cs="宋体"/>
          <w:color w:val="000000"/>
          <w:sz w:val="21"/>
          <w:szCs w:val="21"/>
          <w:u w:val="single"/>
        </w:rPr>
        <w:t>   </w:t>
      </w:r>
      <w:r>
        <w:rPr>
          <w:rFonts w:hint="eastAsia" w:ascii="宋体" w:hAnsi="宋体" w:cs="宋体"/>
          <w:color w:val="000000"/>
          <w:sz w:val="21"/>
          <w:szCs w:val="21"/>
        </w:rPr>
        <w:t>；</w:t>
      </w:r>
    </w:p>
    <w:p w14:paraId="208C1EEF">
      <w:pPr>
        <w:pageBreakBefore w:val="0"/>
        <w:kinsoku/>
        <w:wordWrap/>
        <w:overflowPunct/>
        <w:topLinePunct w:val="0"/>
        <w:bidi w:val="0"/>
        <w:adjustRightInd w:val="0"/>
        <w:snapToGrid/>
        <w:spacing w:line="440" w:lineRule="exact"/>
        <w:ind w:left="420" w:leftChars="200" w:right="420" w:rightChars="200"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通信地址：</w:t>
      </w:r>
      <w:r>
        <w:rPr>
          <w:rFonts w:hint="eastAsia" w:ascii="宋体" w:hAnsi="宋体" w:cs="宋体"/>
          <w:color w:val="000000"/>
          <w:sz w:val="21"/>
          <w:szCs w:val="21"/>
          <w:u w:val="single"/>
        </w:rPr>
        <w:t>   </w:t>
      </w:r>
      <w:r>
        <w:rPr>
          <w:rFonts w:hint="eastAsia" w:ascii="宋体" w:hAnsi="宋体" w:cs="宋体"/>
          <w:color w:val="000000"/>
          <w:sz w:val="21"/>
          <w:szCs w:val="21"/>
        </w:rPr>
        <w:t>；</w:t>
      </w:r>
    </w:p>
    <w:p w14:paraId="4646CDC3">
      <w:pPr>
        <w:pageBreakBefore w:val="0"/>
        <w:kinsoku/>
        <w:wordWrap/>
        <w:overflowPunct/>
        <w:topLinePunct w:val="0"/>
        <w:bidi w:val="0"/>
        <w:adjustRightInd w:val="0"/>
        <w:snapToGrid/>
        <w:spacing w:line="440" w:lineRule="exact"/>
        <w:ind w:left="420" w:leftChars="200" w:right="420" w:rightChars="200"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关于监理人的其他约定：</w:t>
      </w:r>
      <w:r>
        <w:rPr>
          <w:rFonts w:hint="eastAsia" w:ascii="宋体" w:hAnsi="宋体" w:cs="宋体"/>
          <w:color w:val="000000"/>
          <w:sz w:val="21"/>
          <w:szCs w:val="21"/>
          <w:u w:val="single"/>
        </w:rPr>
        <w:t>/   </w:t>
      </w:r>
      <w:r>
        <w:rPr>
          <w:rFonts w:hint="eastAsia" w:ascii="宋体" w:hAnsi="宋体" w:cs="宋体"/>
          <w:color w:val="000000"/>
          <w:sz w:val="21"/>
          <w:szCs w:val="21"/>
        </w:rPr>
        <w:t>。</w:t>
      </w:r>
    </w:p>
    <w:p w14:paraId="48603FC4">
      <w:pPr>
        <w:pageBreakBefore w:val="0"/>
        <w:kinsoku/>
        <w:wordWrap/>
        <w:overflowPunct/>
        <w:topLinePunct w:val="0"/>
        <w:bidi w:val="0"/>
        <w:adjustRightInd w:val="0"/>
        <w:snapToGrid/>
        <w:spacing w:line="440" w:lineRule="exact"/>
        <w:ind w:left="420" w:leftChars="200" w:right="420" w:rightChars="200" w:firstLine="420" w:firstLineChars="200"/>
        <w:textAlignment w:val="auto"/>
        <w:rPr>
          <w:rFonts w:hint="eastAsia" w:ascii="宋体" w:hAnsi="宋体" w:cs="宋体"/>
          <w:color w:val="000000"/>
          <w:sz w:val="21"/>
          <w:szCs w:val="21"/>
          <w:u w:val="single"/>
        </w:rPr>
      </w:pPr>
      <w:r>
        <w:rPr>
          <w:rFonts w:hint="eastAsia" w:ascii="宋体" w:hAnsi="宋体" w:cs="宋体"/>
          <w:color w:val="000000"/>
          <w:sz w:val="21"/>
          <w:szCs w:val="21"/>
        </w:rPr>
        <w:t>4.4 商定或确定：</w:t>
      </w:r>
    </w:p>
    <w:p w14:paraId="1B21A65E">
      <w:pPr>
        <w:pageBreakBefore w:val="0"/>
        <w:kinsoku/>
        <w:wordWrap/>
        <w:overflowPunct/>
        <w:topLinePunct w:val="0"/>
        <w:bidi w:val="0"/>
        <w:adjustRightInd w:val="0"/>
        <w:snapToGrid/>
        <w:spacing w:line="440" w:lineRule="exact"/>
        <w:ind w:left="420" w:leftChars="200" w:right="420" w:rightChars="200"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u w:val="single"/>
        </w:rPr>
        <w:t>在发包人和承包人不能通过协商达成一致意见时，总监理工程师应按照合同约定作出公正确定，应在合同发包人会商之日起7天内提供书面确定意见。</w:t>
      </w:r>
    </w:p>
    <w:p w14:paraId="04EFAF62">
      <w:pPr>
        <w:pStyle w:val="6"/>
        <w:pageBreakBefore w:val="0"/>
        <w:numPr>
          <w:ilvl w:val="3"/>
          <w:numId w:val="0"/>
        </w:numPr>
        <w:kinsoku/>
        <w:wordWrap/>
        <w:overflowPunct/>
        <w:topLinePunct w:val="0"/>
        <w:bidi w:val="0"/>
        <w:adjustRightInd w:val="0"/>
        <w:snapToGrid/>
        <w:spacing w:before="0" w:after="0" w:line="440" w:lineRule="exact"/>
        <w:ind w:left="420" w:leftChars="200" w:right="420" w:rightChars="200"/>
        <w:textAlignment w:val="auto"/>
        <w:rPr>
          <w:rFonts w:hint="eastAsia" w:ascii="宋体" w:hAnsi="宋体" w:eastAsia="宋体" w:cs="宋体"/>
          <w:b w:val="0"/>
          <w:color w:val="000000"/>
          <w:sz w:val="21"/>
          <w:szCs w:val="21"/>
        </w:rPr>
      </w:pPr>
      <w:bookmarkStart w:id="555" w:name="_Toc267251418"/>
      <w:bookmarkStart w:id="556" w:name="_Toc386638611"/>
      <w:bookmarkStart w:id="557" w:name="_Toc351203637"/>
      <w:r>
        <w:rPr>
          <w:rFonts w:hint="eastAsia" w:ascii="宋体" w:hAnsi="宋体" w:eastAsia="宋体" w:cs="宋体"/>
          <w:b w:val="0"/>
          <w:color w:val="000000"/>
          <w:sz w:val="21"/>
          <w:szCs w:val="21"/>
        </w:rPr>
        <w:t>5</w:t>
      </w:r>
      <w:bookmarkEnd w:id="555"/>
      <w:r>
        <w:rPr>
          <w:rFonts w:hint="eastAsia" w:ascii="宋体" w:hAnsi="宋体" w:eastAsia="宋体" w:cs="宋体"/>
          <w:b w:val="0"/>
          <w:color w:val="000000"/>
          <w:sz w:val="21"/>
          <w:szCs w:val="21"/>
        </w:rPr>
        <w:t>. 工程质量</w:t>
      </w:r>
      <w:bookmarkEnd w:id="556"/>
      <w:bookmarkEnd w:id="557"/>
    </w:p>
    <w:p w14:paraId="08A82669">
      <w:pPr>
        <w:pageBreakBefore w:val="0"/>
        <w:kinsoku/>
        <w:wordWrap/>
        <w:overflowPunct/>
        <w:topLinePunct w:val="0"/>
        <w:bidi w:val="0"/>
        <w:adjustRightInd w:val="0"/>
        <w:snapToGrid/>
        <w:spacing w:line="440" w:lineRule="exact"/>
        <w:ind w:left="420" w:leftChars="200" w:right="420" w:rightChars="200"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5.1 质量要求</w:t>
      </w:r>
    </w:p>
    <w:p w14:paraId="458EF59B">
      <w:pPr>
        <w:pageBreakBefore w:val="0"/>
        <w:kinsoku/>
        <w:wordWrap/>
        <w:overflowPunct/>
        <w:topLinePunct w:val="0"/>
        <w:bidi w:val="0"/>
        <w:adjustRightInd w:val="0"/>
        <w:snapToGrid/>
        <w:spacing w:line="440" w:lineRule="exact"/>
        <w:ind w:left="420" w:leftChars="200" w:right="420" w:rightChars="200" w:firstLine="420" w:firstLineChars="200"/>
        <w:textAlignment w:val="auto"/>
        <w:rPr>
          <w:rFonts w:hint="eastAsia" w:ascii="宋体" w:hAnsi="宋体" w:cs="宋体"/>
          <w:color w:val="000000"/>
          <w:sz w:val="21"/>
          <w:szCs w:val="21"/>
          <w:u w:val="single"/>
        </w:rPr>
      </w:pPr>
      <w:r>
        <w:rPr>
          <w:rFonts w:hint="eastAsia" w:ascii="宋体" w:hAnsi="宋体" w:cs="宋体"/>
          <w:bCs/>
          <w:color w:val="000000"/>
          <w:sz w:val="21"/>
          <w:szCs w:val="21"/>
        </w:rPr>
        <w:t>5.1.1</w:t>
      </w:r>
      <w:r>
        <w:rPr>
          <w:rFonts w:hint="eastAsia" w:ascii="宋体" w:hAnsi="宋体" w:cs="宋体"/>
          <w:color w:val="000000"/>
          <w:sz w:val="21"/>
          <w:szCs w:val="21"/>
          <w:u w:val="single"/>
        </w:rPr>
        <w:t>质量</w:t>
      </w:r>
      <w:r>
        <w:rPr>
          <w:rFonts w:hint="eastAsia" w:ascii="宋体" w:hAnsi="宋体" w:cs="宋体"/>
          <w:bCs/>
          <w:color w:val="000000"/>
          <w:sz w:val="21"/>
          <w:szCs w:val="21"/>
        </w:rPr>
        <w:t>要求：</w:t>
      </w:r>
      <w:r>
        <w:rPr>
          <w:rFonts w:hint="eastAsia" w:ascii="宋体" w:hAnsi="宋体" w:cs="宋体"/>
          <w:color w:val="000000"/>
          <w:sz w:val="21"/>
          <w:szCs w:val="21"/>
          <w:u w:val="single"/>
        </w:rPr>
        <w:t>符合现行国家有关工程施工质量验收规范和标准要求，验收合格。</w:t>
      </w:r>
    </w:p>
    <w:p w14:paraId="7C4E63E2">
      <w:pPr>
        <w:pageBreakBefore w:val="0"/>
        <w:kinsoku/>
        <w:wordWrap/>
        <w:overflowPunct/>
        <w:topLinePunct w:val="0"/>
        <w:bidi w:val="0"/>
        <w:adjustRightInd w:val="0"/>
        <w:snapToGrid/>
        <w:spacing w:line="440" w:lineRule="exact"/>
        <w:ind w:left="420" w:leftChars="200" w:right="420" w:rightChars="200"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5</w:t>
      </w:r>
      <w:bookmarkStart w:id="558" w:name="_Toc297123496"/>
      <w:bookmarkStart w:id="559" w:name="_Toc312677997"/>
      <w:bookmarkStart w:id="560" w:name="_Toc303539106"/>
      <w:bookmarkStart w:id="561" w:name="_Toc297216155"/>
      <w:bookmarkStart w:id="562" w:name="_Toc318581164"/>
      <w:bookmarkStart w:id="563" w:name="_Toc300934949"/>
      <w:bookmarkStart w:id="564" w:name="_Toc304295527"/>
      <w:r>
        <w:rPr>
          <w:rFonts w:hint="eastAsia" w:ascii="宋体" w:hAnsi="宋体" w:cs="宋体"/>
          <w:color w:val="000000"/>
          <w:sz w:val="21"/>
          <w:szCs w:val="21"/>
        </w:rPr>
        <w:t>.1.2 特殊质量标准和要求：</w:t>
      </w:r>
      <w:r>
        <w:rPr>
          <w:rFonts w:hint="eastAsia" w:ascii="宋体" w:hAnsi="宋体" w:cs="宋体"/>
          <w:color w:val="000000"/>
          <w:sz w:val="21"/>
          <w:szCs w:val="21"/>
          <w:u w:val="single"/>
        </w:rPr>
        <w:t xml:space="preserve">    /      </w:t>
      </w:r>
      <w:r>
        <w:rPr>
          <w:rFonts w:hint="eastAsia" w:ascii="宋体" w:hAnsi="宋体" w:cs="宋体"/>
          <w:color w:val="000000"/>
          <w:sz w:val="21"/>
          <w:szCs w:val="21"/>
        </w:rPr>
        <w:t>。</w:t>
      </w:r>
    </w:p>
    <w:p w14:paraId="58551B17">
      <w:pPr>
        <w:pageBreakBefore w:val="0"/>
        <w:kinsoku/>
        <w:wordWrap/>
        <w:overflowPunct/>
        <w:topLinePunct w:val="0"/>
        <w:bidi w:val="0"/>
        <w:adjustRightInd w:val="0"/>
        <w:snapToGrid/>
        <w:spacing w:line="440" w:lineRule="exact"/>
        <w:ind w:left="420" w:leftChars="200" w:right="420" w:rightChars="200" w:firstLine="525" w:firstLineChars="250"/>
        <w:jc w:val="left"/>
        <w:textAlignment w:val="auto"/>
        <w:rPr>
          <w:rFonts w:hint="eastAsia" w:ascii="宋体" w:hAnsi="宋体" w:cs="宋体"/>
          <w:color w:val="000000"/>
          <w:sz w:val="21"/>
          <w:szCs w:val="21"/>
        </w:rPr>
      </w:pPr>
      <w:r>
        <w:rPr>
          <w:rFonts w:hint="eastAsia" w:ascii="宋体" w:hAnsi="宋体" w:cs="宋体"/>
          <w:color w:val="000000"/>
          <w:sz w:val="21"/>
          <w:szCs w:val="21"/>
        </w:rPr>
        <w:t>关于工程奖项的约定：</w:t>
      </w:r>
      <w:r>
        <w:rPr>
          <w:rFonts w:hint="eastAsia" w:ascii="宋体" w:hAnsi="宋体" w:cs="宋体"/>
          <w:color w:val="000000"/>
          <w:sz w:val="21"/>
          <w:szCs w:val="21"/>
          <w:u w:val="single"/>
        </w:rPr>
        <w:t xml:space="preserve">      无     </w:t>
      </w:r>
      <w:r>
        <w:rPr>
          <w:rFonts w:hint="eastAsia" w:ascii="宋体" w:hAnsi="宋体" w:cs="宋体"/>
          <w:color w:val="000000"/>
          <w:sz w:val="21"/>
          <w:szCs w:val="21"/>
        </w:rPr>
        <w:t>。</w:t>
      </w:r>
    </w:p>
    <w:p w14:paraId="45B27221">
      <w:pPr>
        <w:pageBreakBefore w:val="0"/>
        <w:kinsoku/>
        <w:wordWrap/>
        <w:overflowPunct/>
        <w:topLinePunct w:val="0"/>
        <w:bidi w:val="0"/>
        <w:adjustRightInd w:val="0"/>
        <w:snapToGrid/>
        <w:spacing w:line="440" w:lineRule="exact"/>
        <w:ind w:left="420" w:leftChars="200" w:right="420" w:rightChars="200"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5.3 隐蔽工程检查</w:t>
      </w:r>
    </w:p>
    <w:p w14:paraId="37B0261F">
      <w:pPr>
        <w:pageBreakBefore w:val="0"/>
        <w:kinsoku/>
        <w:wordWrap/>
        <w:overflowPunct/>
        <w:topLinePunct w:val="0"/>
        <w:bidi w:val="0"/>
        <w:adjustRightInd w:val="0"/>
        <w:snapToGrid/>
        <w:spacing w:line="440" w:lineRule="exact"/>
        <w:ind w:left="420" w:leftChars="200" w:right="420" w:rightChars="200"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5.3.2承包人提前通知监理人隐蔽工程检查的期限的约定：</w:t>
      </w:r>
      <w:r>
        <w:rPr>
          <w:rFonts w:hint="eastAsia" w:ascii="宋体" w:hAnsi="宋体" w:cs="宋体"/>
          <w:color w:val="000000"/>
          <w:sz w:val="21"/>
          <w:szCs w:val="21"/>
          <w:u w:val="single"/>
        </w:rPr>
        <w:t xml:space="preserve">承包人应在共同检查前48小时书面通知监理人检查 </w:t>
      </w:r>
      <w:r>
        <w:rPr>
          <w:rFonts w:hint="eastAsia" w:ascii="宋体" w:hAnsi="宋体" w:cs="宋体"/>
          <w:color w:val="000000"/>
          <w:sz w:val="21"/>
          <w:szCs w:val="21"/>
        </w:rPr>
        <w:t>。</w:t>
      </w:r>
    </w:p>
    <w:p w14:paraId="44D32476">
      <w:pPr>
        <w:pageBreakBefore w:val="0"/>
        <w:kinsoku/>
        <w:wordWrap/>
        <w:overflowPunct/>
        <w:topLinePunct w:val="0"/>
        <w:bidi w:val="0"/>
        <w:adjustRightInd w:val="0"/>
        <w:snapToGrid/>
        <w:spacing w:line="440" w:lineRule="exact"/>
        <w:ind w:left="420" w:leftChars="200" w:right="420" w:rightChars="200"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监理人不能按时进行检查时，应提前</w:t>
      </w:r>
      <w:r>
        <w:rPr>
          <w:rFonts w:hint="eastAsia" w:ascii="宋体" w:hAnsi="宋体" w:cs="宋体"/>
          <w:color w:val="000000"/>
          <w:sz w:val="21"/>
          <w:szCs w:val="21"/>
          <w:u w:val="single"/>
        </w:rPr>
        <w:t>24</w:t>
      </w:r>
      <w:r>
        <w:rPr>
          <w:rFonts w:hint="eastAsia" w:ascii="宋体" w:hAnsi="宋体" w:cs="宋体"/>
          <w:color w:val="000000"/>
          <w:sz w:val="21"/>
          <w:szCs w:val="21"/>
        </w:rPr>
        <w:t>小时提交书面延期要求。</w:t>
      </w:r>
    </w:p>
    <w:p w14:paraId="7F404A8B">
      <w:pPr>
        <w:pageBreakBefore w:val="0"/>
        <w:kinsoku/>
        <w:wordWrap/>
        <w:overflowPunct/>
        <w:topLinePunct w:val="0"/>
        <w:bidi w:val="0"/>
        <w:adjustRightInd w:val="0"/>
        <w:snapToGrid/>
        <w:spacing w:line="440" w:lineRule="exact"/>
        <w:ind w:left="420" w:leftChars="200" w:right="420" w:rightChars="200"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关于延期最长不得超过：</w:t>
      </w:r>
      <w:r>
        <w:rPr>
          <w:rFonts w:hint="eastAsia" w:ascii="宋体" w:hAnsi="宋体" w:cs="宋体"/>
          <w:color w:val="000000"/>
          <w:sz w:val="21"/>
          <w:szCs w:val="21"/>
          <w:u w:val="single"/>
        </w:rPr>
        <w:t xml:space="preserve"> 48</w:t>
      </w:r>
      <w:r>
        <w:rPr>
          <w:rFonts w:hint="eastAsia" w:ascii="宋体" w:hAnsi="宋体" w:cs="宋体"/>
          <w:color w:val="000000"/>
          <w:sz w:val="21"/>
          <w:szCs w:val="21"/>
        </w:rPr>
        <w:t>小时。</w:t>
      </w:r>
    </w:p>
    <w:p w14:paraId="6F43E542">
      <w:pPr>
        <w:pStyle w:val="6"/>
        <w:pageBreakBefore w:val="0"/>
        <w:kinsoku/>
        <w:wordWrap/>
        <w:overflowPunct/>
        <w:topLinePunct w:val="0"/>
        <w:bidi w:val="0"/>
        <w:adjustRightInd w:val="0"/>
        <w:snapToGrid/>
        <w:spacing w:before="0" w:after="0" w:line="440" w:lineRule="exact"/>
        <w:ind w:left="420" w:leftChars="200" w:right="420" w:rightChars="200"/>
        <w:textAlignment w:val="auto"/>
        <w:rPr>
          <w:rFonts w:hint="eastAsia" w:ascii="宋体" w:hAnsi="宋体" w:eastAsia="宋体" w:cs="宋体"/>
          <w:b w:val="0"/>
          <w:color w:val="000000"/>
          <w:sz w:val="21"/>
          <w:szCs w:val="21"/>
        </w:rPr>
      </w:pPr>
      <w:bookmarkStart w:id="565" w:name="_Toc386638612"/>
      <w:bookmarkStart w:id="566" w:name="_Toc351203638"/>
      <w:r>
        <w:rPr>
          <w:rFonts w:hint="eastAsia" w:ascii="宋体" w:hAnsi="宋体" w:eastAsia="宋体" w:cs="宋体"/>
          <w:b w:val="0"/>
          <w:color w:val="000000"/>
          <w:sz w:val="21"/>
          <w:szCs w:val="21"/>
        </w:rPr>
        <w:t>6. 安全文明施工与环境保护</w:t>
      </w:r>
      <w:bookmarkEnd w:id="565"/>
      <w:bookmarkEnd w:id="566"/>
    </w:p>
    <w:p w14:paraId="32D67C07">
      <w:pPr>
        <w:pageBreakBefore w:val="0"/>
        <w:kinsoku/>
        <w:wordWrap/>
        <w:overflowPunct/>
        <w:topLinePunct w:val="0"/>
        <w:bidi w:val="0"/>
        <w:adjustRightInd w:val="0"/>
        <w:snapToGrid/>
        <w:spacing w:line="440" w:lineRule="exact"/>
        <w:ind w:left="420" w:leftChars="200" w:right="420" w:rightChars="200"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6.1安全文明施工</w:t>
      </w:r>
    </w:p>
    <w:p w14:paraId="3E69F2E5">
      <w:pPr>
        <w:pageBreakBefore w:val="0"/>
        <w:kinsoku/>
        <w:wordWrap/>
        <w:overflowPunct/>
        <w:topLinePunct w:val="0"/>
        <w:bidi w:val="0"/>
        <w:adjustRightInd w:val="0"/>
        <w:snapToGrid/>
        <w:spacing w:line="440" w:lineRule="exact"/>
        <w:ind w:left="420" w:leftChars="200" w:right="420" w:rightChars="200"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6.1.1 项目安全生产的达标目标及相应事项的约定：</w:t>
      </w:r>
      <w:r>
        <w:rPr>
          <w:rFonts w:hint="eastAsia" w:ascii="宋体" w:hAnsi="宋体" w:cs="宋体"/>
          <w:color w:val="000000"/>
          <w:sz w:val="21"/>
          <w:szCs w:val="21"/>
          <w:u w:val="single"/>
        </w:rPr>
        <w:t xml:space="preserve"> 合格，</w:t>
      </w:r>
      <w:r>
        <w:rPr>
          <w:rFonts w:hint="eastAsia" w:ascii="宋体" w:hAnsi="宋体"/>
          <w:color w:val="000000"/>
          <w:sz w:val="21"/>
          <w:szCs w:val="21"/>
          <w:u w:val="single"/>
        </w:rPr>
        <w:t>若有工伤事故、工料损失和其他任何损失，概由乙方负责</w:t>
      </w:r>
      <w:r>
        <w:rPr>
          <w:rFonts w:hint="eastAsia" w:ascii="宋体" w:hAnsi="宋体" w:cs="宋体"/>
          <w:color w:val="000000"/>
          <w:sz w:val="21"/>
          <w:szCs w:val="21"/>
          <w:u w:val="single"/>
        </w:rPr>
        <w:t xml:space="preserve"> </w:t>
      </w:r>
      <w:r>
        <w:rPr>
          <w:rFonts w:hint="eastAsia" w:ascii="宋体" w:hAnsi="宋体" w:cs="宋体"/>
          <w:color w:val="000000"/>
          <w:sz w:val="21"/>
          <w:szCs w:val="21"/>
        </w:rPr>
        <w:t>。</w:t>
      </w:r>
    </w:p>
    <w:p w14:paraId="43135732">
      <w:pPr>
        <w:pageBreakBefore w:val="0"/>
        <w:kinsoku/>
        <w:wordWrap/>
        <w:overflowPunct/>
        <w:topLinePunct w:val="0"/>
        <w:bidi w:val="0"/>
        <w:adjustRightInd w:val="0"/>
        <w:snapToGrid/>
        <w:spacing w:line="440" w:lineRule="exact"/>
        <w:ind w:left="420" w:leftChars="200" w:right="420" w:rightChars="200"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6.1.4 关于治安保卫的特别约定：</w:t>
      </w:r>
      <w:r>
        <w:rPr>
          <w:rFonts w:hint="eastAsia" w:ascii="宋体" w:hAnsi="宋体" w:cs="宋体"/>
          <w:color w:val="000000"/>
          <w:sz w:val="21"/>
          <w:szCs w:val="21"/>
          <w:u w:val="single"/>
        </w:rPr>
        <w:t xml:space="preserve">         /             </w:t>
      </w:r>
      <w:r>
        <w:rPr>
          <w:rFonts w:hint="eastAsia" w:ascii="宋体" w:hAnsi="宋体" w:cs="宋体"/>
          <w:color w:val="000000"/>
          <w:sz w:val="21"/>
          <w:szCs w:val="21"/>
        </w:rPr>
        <w:t>。</w:t>
      </w:r>
    </w:p>
    <w:p w14:paraId="2BD7A69E">
      <w:pPr>
        <w:pageBreakBefore w:val="0"/>
        <w:kinsoku/>
        <w:wordWrap/>
        <w:overflowPunct/>
        <w:topLinePunct w:val="0"/>
        <w:bidi w:val="0"/>
        <w:adjustRightInd w:val="0"/>
        <w:snapToGrid/>
        <w:spacing w:line="440" w:lineRule="exact"/>
        <w:ind w:left="420" w:leftChars="200" w:right="420" w:rightChars="200"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关于编制施工场地治安管理计划的约定：</w:t>
      </w:r>
      <w:r>
        <w:rPr>
          <w:rFonts w:hint="eastAsia" w:ascii="宋体" w:hAnsi="宋体" w:cs="宋体"/>
          <w:color w:val="000000"/>
          <w:sz w:val="21"/>
          <w:szCs w:val="21"/>
          <w:u w:val="single"/>
        </w:rPr>
        <w:t xml:space="preserve">         /       </w:t>
      </w:r>
      <w:r>
        <w:rPr>
          <w:rFonts w:hint="eastAsia" w:ascii="宋体" w:hAnsi="宋体" w:cs="宋体"/>
          <w:color w:val="000000"/>
          <w:sz w:val="21"/>
          <w:szCs w:val="21"/>
        </w:rPr>
        <w:t>。</w:t>
      </w:r>
    </w:p>
    <w:p w14:paraId="6696F5F1">
      <w:pPr>
        <w:pageBreakBefore w:val="0"/>
        <w:kinsoku/>
        <w:wordWrap/>
        <w:overflowPunct/>
        <w:topLinePunct w:val="0"/>
        <w:bidi w:val="0"/>
        <w:adjustRightInd w:val="0"/>
        <w:snapToGrid/>
        <w:spacing w:line="440" w:lineRule="exact"/>
        <w:ind w:left="420" w:leftChars="200" w:right="420" w:rightChars="200"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6.1.5 文明施工</w:t>
      </w:r>
    </w:p>
    <w:p w14:paraId="41E5EDEB">
      <w:pPr>
        <w:pageBreakBefore w:val="0"/>
        <w:kinsoku/>
        <w:wordWrap/>
        <w:overflowPunct/>
        <w:topLinePunct w:val="0"/>
        <w:bidi w:val="0"/>
        <w:adjustRightInd w:val="0"/>
        <w:snapToGrid/>
        <w:spacing w:line="440" w:lineRule="exact"/>
        <w:ind w:left="420" w:leftChars="200" w:right="420" w:rightChars="200"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合同当事人对文明施工的要求：</w:t>
      </w:r>
      <w:r>
        <w:rPr>
          <w:rFonts w:hint="eastAsia" w:ascii="宋体" w:hAnsi="宋体" w:cs="宋体"/>
          <w:color w:val="000000"/>
          <w:sz w:val="21"/>
          <w:szCs w:val="21"/>
          <w:u w:val="single"/>
        </w:rPr>
        <w:t xml:space="preserve">按《宁波市建设工程文明施工管理规定》(宁波市政府令第195号)、《关于印发宁海县建筑工地扬尘综合整治专项实施方案的通知》(宁建［2013］62号)文件要求执行  </w:t>
      </w:r>
      <w:r>
        <w:rPr>
          <w:rFonts w:hint="eastAsia" w:ascii="宋体" w:hAnsi="宋体" w:cs="宋体"/>
          <w:color w:val="000000"/>
          <w:sz w:val="21"/>
          <w:szCs w:val="21"/>
        </w:rPr>
        <w:t>。</w:t>
      </w:r>
    </w:p>
    <w:p w14:paraId="0B7A88F5">
      <w:pPr>
        <w:pageBreakBefore w:val="0"/>
        <w:kinsoku/>
        <w:wordWrap/>
        <w:overflowPunct/>
        <w:topLinePunct w:val="0"/>
        <w:bidi w:val="0"/>
        <w:adjustRightInd w:val="0"/>
        <w:snapToGrid/>
        <w:spacing w:line="440" w:lineRule="exact"/>
        <w:ind w:left="420" w:leftChars="200" w:right="420" w:rightChars="200"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6.1.6 关于安全文明施工费支付比例和支付期限的约定：</w:t>
      </w:r>
      <w:r>
        <w:rPr>
          <w:rFonts w:hint="eastAsia" w:ascii="宋体" w:hAnsi="宋体" w:cs="宋体"/>
          <w:color w:val="000000"/>
          <w:sz w:val="21"/>
          <w:szCs w:val="21"/>
          <w:u w:val="single"/>
        </w:rPr>
        <w:t xml:space="preserve">  </w:t>
      </w:r>
      <w:r>
        <w:rPr>
          <w:rFonts w:hint="eastAsia" w:ascii="宋体" w:hAnsi="宋体" w:cs="宋体"/>
          <w:color w:val="000000"/>
          <w:sz w:val="21"/>
          <w:szCs w:val="21"/>
          <w:u w:val="single"/>
          <w:lang w:val="en-US" w:eastAsia="zh-CN"/>
        </w:rPr>
        <w:t>/</w:t>
      </w:r>
      <w:r>
        <w:rPr>
          <w:rFonts w:hint="eastAsia" w:ascii="宋体" w:hAnsi="宋体"/>
          <w:color w:val="000000"/>
          <w:sz w:val="21"/>
          <w:szCs w:val="21"/>
          <w:u w:val="single"/>
        </w:rPr>
        <w:t xml:space="preserve"> </w:t>
      </w:r>
      <w:r>
        <w:rPr>
          <w:rFonts w:hint="eastAsia" w:ascii="宋体" w:hAnsi="宋体" w:cs="宋体"/>
          <w:color w:val="000000"/>
          <w:sz w:val="21"/>
          <w:szCs w:val="21"/>
        </w:rPr>
        <w:t>。</w:t>
      </w:r>
    </w:p>
    <w:bookmarkEnd w:id="558"/>
    <w:bookmarkEnd w:id="559"/>
    <w:bookmarkEnd w:id="560"/>
    <w:bookmarkEnd w:id="561"/>
    <w:bookmarkEnd w:id="562"/>
    <w:bookmarkEnd w:id="563"/>
    <w:bookmarkEnd w:id="564"/>
    <w:p w14:paraId="7156E9B8">
      <w:pPr>
        <w:pStyle w:val="6"/>
        <w:pageBreakBefore w:val="0"/>
        <w:kinsoku/>
        <w:wordWrap/>
        <w:overflowPunct/>
        <w:topLinePunct w:val="0"/>
        <w:bidi w:val="0"/>
        <w:adjustRightInd w:val="0"/>
        <w:snapToGrid/>
        <w:spacing w:before="0" w:after="0" w:line="440" w:lineRule="exact"/>
        <w:ind w:left="420" w:leftChars="200" w:right="420" w:rightChars="200"/>
        <w:textAlignment w:val="auto"/>
        <w:rPr>
          <w:rFonts w:hint="eastAsia" w:ascii="宋体" w:hAnsi="宋体" w:eastAsia="宋体" w:cs="宋体"/>
          <w:b w:val="0"/>
          <w:color w:val="000000"/>
          <w:sz w:val="21"/>
          <w:szCs w:val="21"/>
        </w:rPr>
      </w:pPr>
      <w:bookmarkStart w:id="567" w:name="_Toc386638613"/>
      <w:bookmarkStart w:id="568" w:name="_Toc351203639"/>
      <w:r>
        <w:rPr>
          <w:rFonts w:hint="eastAsia" w:ascii="宋体" w:hAnsi="宋体" w:eastAsia="宋体" w:cs="宋体"/>
          <w:b w:val="0"/>
          <w:color w:val="000000"/>
          <w:sz w:val="21"/>
          <w:szCs w:val="21"/>
        </w:rPr>
        <w:t>7. 工期和进度</w:t>
      </w:r>
      <w:bookmarkEnd w:id="567"/>
      <w:bookmarkEnd w:id="568"/>
    </w:p>
    <w:p w14:paraId="0EDD5553">
      <w:pPr>
        <w:pageBreakBefore w:val="0"/>
        <w:kinsoku/>
        <w:wordWrap/>
        <w:overflowPunct/>
        <w:topLinePunct w:val="0"/>
        <w:bidi w:val="0"/>
        <w:adjustRightInd w:val="0"/>
        <w:snapToGrid/>
        <w:spacing w:line="440" w:lineRule="exact"/>
        <w:ind w:left="420" w:leftChars="200" w:right="420" w:rightChars="200"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7.1 施工组织设计</w:t>
      </w:r>
    </w:p>
    <w:p w14:paraId="470C177A">
      <w:pPr>
        <w:pageBreakBefore w:val="0"/>
        <w:kinsoku/>
        <w:wordWrap/>
        <w:overflowPunct/>
        <w:topLinePunct w:val="0"/>
        <w:autoSpaceDE w:val="0"/>
        <w:autoSpaceDN w:val="0"/>
        <w:bidi w:val="0"/>
        <w:adjustRightInd w:val="0"/>
        <w:snapToGrid/>
        <w:spacing w:line="440" w:lineRule="exact"/>
        <w:ind w:left="420" w:leftChars="200" w:right="420" w:rightChars="200" w:firstLine="441" w:firstLineChars="210"/>
        <w:jc w:val="left"/>
        <w:textAlignment w:val="auto"/>
        <w:rPr>
          <w:rFonts w:hint="eastAsia" w:ascii="宋体" w:hAnsi="宋体" w:cs="宋体"/>
          <w:color w:val="000000"/>
          <w:sz w:val="21"/>
          <w:szCs w:val="21"/>
        </w:rPr>
      </w:pPr>
      <w:r>
        <w:rPr>
          <w:rFonts w:hint="eastAsia" w:ascii="宋体" w:hAnsi="宋体" w:cs="宋体"/>
          <w:color w:val="000000"/>
          <w:sz w:val="21"/>
          <w:szCs w:val="21"/>
        </w:rPr>
        <w:t>7.1.1 合同当事人约定的施工组织设计应包括的其他内容：</w:t>
      </w:r>
      <w:r>
        <w:rPr>
          <w:rFonts w:hint="eastAsia" w:ascii="宋体" w:hAnsi="宋体" w:cs="宋体"/>
          <w:color w:val="000000"/>
          <w:sz w:val="21"/>
          <w:szCs w:val="21"/>
          <w:u w:val="single"/>
        </w:rPr>
        <w:t>各分部分项施工方案与技术措施、工程进度管理体系与措施、工程质量管理体系与措施、安全生产文明施工管理体系与措施、环境保护管理体系与措施等</w:t>
      </w:r>
      <w:r>
        <w:rPr>
          <w:rFonts w:hint="eastAsia" w:ascii="宋体" w:hAnsi="宋体" w:cs="宋体"/>
          <w:color w:val="000000"/>
          <w:sz w:val="21"/>
          <w:szCs w:val="21"/>
        </w:rPr>
        <w:t>。</w:t>
      </w:r>
    </w:p>
    <w:p w14:paraId="3D7386DF">
      <w:pPr>
        <w:pageBreakBefore w:val="0"/>
        <w:kinsoku/>
        <w:wordWrap/>
        <w:overflowPunct/>
        <w:topLinePunct w:val="0"/>
        <w:autoSpaceDE w:val="0"/>
        <w:autoSpaceDN w:val="0"/>
        <w:bidi w:val="0"/>
        <w:adjustRightInd w:val="0"/>
        <w:snapToGrid/>
        <w:spacing w:line="440" w:lineRule="exact"/>
        <w:ind w:left="420" w:leftChars="200" w:right="420" w:rightChars="200"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7.1.2 施工组织设计的提交和修改</w:t>
      </w:r>
    </w:p>
    <w:p w14:paraId="54C6091A">
      <w:pPr>
        <w:pageBreakBefore w:val="0"/>
        <w:kinsoku/>
        <w:wordWrap/>
        <w:overflowPunct/>
        <w:topLinePunct w:val="0"/>
        <w:autoSpaceDE w:val="0"/>
        <w:autoSpaceDN w:val="0"/>
        <w:bidi w:val="0"/>
        <w:adjustRightInd w:val="0"/>
        <w:snapToGrid/>
        <w:spacing w:line="440" w:lineRule="exact"/>
        <w:ind w:left="420" w:leftChars="200" w:right="420" w:rightChars="200"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承包人提交详细施工组织设计的期限的约定：</w:t>
      </w:r>
      <w:r>
        <w:rPr>
          <w:rFonts w:hint="eastAsia" w:ascii="宋体" w:hAnsi="宋体" w:cs="宋体"/>
          <w:color w:val="000000"/>
          <w:sz w:val="21"/>
          <w:szCs w:val="21"/>
          <w:u w:val="single"/>
        </w:rPr>
        <w:t xml:space="preserve">合同签订后14天内，但至迟不得晚于开工前7天 </w:t>
      </w:r>
      <w:r>
        <w:rPr>
          <w:rFonts w:hint="eastAsia" w:ascii="宋体" w:hAnsi="宋体" w:cs="宋体"/>
          <w:color w:val="000000"/>
          <w:sz w:val="21"/>
          <w:szCs w:val="21"/>
        </w:rPr>
        <w:t>。</w:t>
      </w:r>
    </w:p>
    <w:p w14:paraId="1D9D60EC">
      <w:pPr>
        <w:pageBreakBefore w:val="0"/>
        <w:kinsoku/>
        <w:wordWrap/>
        <w:overflowPunct/>
        <w:topLinePunct w:val="0"/>
        <w:bidi w:val="0"/>
        <w:adjustRightInd w:val="0"/>
        <w:snapToGrid/>
        <w:spacing w:line="440" w:lineRule="exact"/>
        <w:ind w:left="420" w:leftChars="200" w:right="420" w:rightChars="200"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发包人和监理人在收到详细的施工组织设计后确认或提出修改意见的期限：</w:t>
      </w:r>
      <w:r>
        <w:rPr>
          <w:rFonts w:hint="eastAsia" w:ascii="宋体" w:hAnsi="宋体" w:cs="宋体"/>
          <w:color w:val="000000"/>
          <w:sz w:val="21"/>
          <w:szCs w:val="21"/>
          <w:u w:val="single"/>
        </w:rPr>
        <w:t>收到7天内</w:t>
      </w:r>
      <w:r>
        <w:rPr>
          <w:rFonts w:hint="eastAsia" w:ascii="宋体" w:hAnsi="宋体" w:cs="宋体"/>
          <w:color w:val="000000"/>
          <w:sz w:val="21"/>
          <w:szCs w:val="21"/>
        </w:rPr>
        <w:t>。</w:t>
      </w:r>
    </w:p>
    <w:p w14:paraId="0AD34E77">
      <w:pPr>
        <w:pageBreakBefore w:val="0"/>
        <w:kinsoku/>
        <w:wordWrap/>
        <w:overflowPunct/>
        <w:topLinePunct w:val="0"/>
        <w:bidi w:val="0"/>
        <w:adjustRightInd w:val="0"/>
        <w:snapToGrid/>
        <w:spacing w:line="440" w:lineRule="exact"/>
        <w:ind w:left="420" w:leftChars="200" w:right="420" w:rightChars="200"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7</w:t>
      </w:r>
      <w:bookmarkStart w:id="569" w:name="_Toc304295541"/>
      <w:bookmarkStart w:id="570" w:name="_Toc300934966"/>
      <w:bookmarkStart w:id="571" w:name="_Toc312678005"/>
      <w:bookmarkStart w:id="572" w:name="_Toc303539123"/>
      <w:bookmarkStart w:id="573" w:name="_Toc297216173"/>
      <w:bookmarkStart w:id="574" w:name="_Toc297123514"/>
      <w:bookmarkStart w:id="575" w:name="_Toc312677479"/>
      <w:r>
        <w:rPr>
          <w:rFonts w:hint="eastAsia" w:ascii="宋体" w:hAnsi="宋体" w:cs="宋体"/>
          <w:color w:val="000000"/>
          <w:sz w:val="21"/>
          <w:szCs w:val="21"/>
        </w:rPr>
        <w:t>.2 施工进度计划</w:t>
      </w:r>
    </w:p>
    <w:p w14:paraId="7C5AB343">
      <w:pPr>
        <w:pageBreakBefore w:val="0"/>
        <w:kinsoku/>
        <w:wordWrap/>
        <w:overflowPunct/>
        <w:topLinePunct w:val="0"/>
        <w:bidi w:val="0"/>
        <w:adjustRightInd w:val="0"/>
        <w:snapToGrid/>
        <w:spacing w:line="440" w:lineRule="exact"/>
        <w:ind w:left="420" w:leftChars="200" w:right="420" w:rightChars="200"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7.2.2 施工进度计划的修订</w:t>
      </w:r>
    </w:p>
    <w:p w14:paraId="255975F8">
      <w:pPr>
        <w:pageBreakBefore w:val="0"/>
        <w:kinsoku/>
        <w:wordWrap/>
        <w:overflowPunct/>
        <w:topLinePunct w:val="0"/>
        <w:bidi w:val="0"/>
        <w:adjustRightInd w:val="0"/>
        <w:snapToGrid/>
        <w:spacing w:line="440" w:lineRule="exact"/>
        <w:ind w:left="420" w:leftChars="200" w:right="420" w:rightChars="200"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发包人和监理人在收到修订的施工进度计划后确认或提出修改意见的期限：</w:t>
      </w:r>
      <w:r>
        <w:rPr>
          <w:rFonts w:hint="eastAsia" w:ascii="宋体" w:hAnsi="宋体" w:cs="宋体"/>
          <w:color w:val="000000"/>
          <w:sz w:val="21"/>
          <w:szCs w:val="21"/>
          <w:u w:val="single"/>
        </w:rPr>
        <w:t>收到7天内</w:t>
      </w:r>
      <w:r>
        <w:rPr>
          <w:rFonts w:hint="eastAsia" w:ascii="宋体" w:hAnsi="宋体" w:cs="宋体"/>
          <w:color w:val="000000"/>
          <w:sz w:val="21"/>
          <w:szCs w:val="21"/>
        </w:rPr>
        <w:t>。</w:t>
      </w:r>
    </w:p>
    <w:p w14:paraId="267F6086">
      <w:pPr>
        <w:pageBreakBefore w:val="0"/>
        <w:kinsoku/>
        <w:wordWrap/>
        <w:overflowPunct/>
        <w:topLinePunct w:val="0"/>
        <w:bidi w:val="0"/>
        <w:adjustRightInd w:val="0"/>
        <w:snapToGrid/>
        <w:spacing w:line="440" w:lineRule="exact"/>
        <w:ind w:left="420" w:leftChars="200" w:right="420" w:rightChars="200"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7.3 开工</w:t>
      </w:r>
    </w:p>
    <w:p w14:paraId="46A746B7">
      <w:pPr>
        <w:pageBreakBefore w:val="0"/>
        <w:kinsoku/>
        <w:wordWrap/>
        <w:overflowPunct/>
        <w:topLinePunct w:val="0"/>
        <w:bidi w:val="0"/>
        <w:adjustRightInd w:val="0"/>
        <w:snapToGrid/>
        <w:spacing w:line="440" w:lineRule="exact"/>
        <w:ind w:left="420" w:leftChars="200" w:right="420" w:rightChars="200"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7.3.1 开工准备</w:t>
      </w:r>
    </w:p>
    <w:p w14:paraId="451E8C71">
      <w:pPr>
        <w:pageBreakBefore w:val="0"/>
        <w:kinsoku/>
        <w:wordWrap/>
        <w:overflowPunct/>
        <w:topLinePunct w:val="0"/>
        <w:bidi w:val="0"/>
        <w:adjustRightInd w:val="0"/>
        <w:snapToGrid/>
        <w:spacing w:line="440" w:lineRule="exact"/>
        <w:ind w:left="420" w:leftChars="200" w:right="420" w:rightChars="200"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发包人应按约定完成开工准备工作。</w:t>
      </w:r>
    </w:p>
    <w:p w14:paraId="02C16EED">
      <w:pPr>
        <w:pageBreakBefore w:val="0"/>
        <w:kinsoku/>
        <w:wordWrap/>
        <w:overflowPunct/>
        <w:topLinePunct w:val="0"/>
        <w:bidi w:val="0"/>
        <w:adjustRightInd w:val="0"/>
        <w:snapToGrid/>
        <w:spacing w:line="440" w:lineRule="exact"/>
        <w:ind w:left="420" w:leftChars="200" w:right="420" w:rightChars="200"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7.3.2开工通知</w:t>
      </w:r>
    </w:p>
    <w:p w14:paraId="0573851A">
      <w:pPr>
        <w:pageBreakBefore w:val="0"/>
        <w:kinsoku/>
        <w:wordWrap/>
        <w:overflowPunct/>
        <w:topLinePunct w:val="0"/>
        <w:bidi w:val="0"/>
        <w:adjustRightInd w:val="0"/>
        <w:snapToGrid/>
        <w:spacing w:line="440" w:lineRule="exact"/>
        <w:ind w:left="420" w:leftChars="200" w:right="420" w:rightChars="200"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因发包人原因造成监理人未能在计划开工日期之日起</w:t>
      </w:r>
      <w:r>
        <w:rPr>
          <w:rFonts w:hint="eastAsia" w:ascii="宋体" w:hAnsi="宋体" w:cs="宋体"/>
          <w:color w:val="000000"/>
          <w:sz w:val="21"/>
          <w:szCs w:val="21"/>
          <w:u w:val="single"/>
        </w:rPr>
        <w:t xml:space="preserve"> 90 </w:t>
      </w:r>
      <w:r>
        <w:rPr>
          <w:rFonts w:hint="eastAsia" w:ascii="宋体" w:hAnsi="宋体" w:cs="宋体"/>
          <w:color w:val="000000"/>
          <w:sz w:val="21"/>
          <w:szCs w:val="21"/>
        </w:rPr>
        <w:t>天内发出开工通知的，承包人有权提出价格调整要求，或者解除合同。</w:t>
      </w:r>
    </w:p>
    <w:bookmarkEnd w:id="569"/>
    <w:bookmarkEnd w:id="570"/>
    <w:bookmarkEnd w:id="571"/>
    <w:bookmarkEnd w:id="572"/>
    <w:bookmarkEnd w:id="573"/>
    <w:bookmarkEnd w:id="574"/>
    <w:bookmarkEnd w:id="575"/>
    <w:p w14:paraId="191AC2AD">
      <w:pPr>
        <w:pageBreakBefore w:val="0"/>
        <w:kinsoku/>
        <w:wordWrap/>
        <w:overflowPunct/>
        <w:topLinePunct w:val="0"/>
        <w:bidi w:val="0"/>
        <w:adjustRightInd w:val="0"/>
        <w:snapToGrid/>
        <w:spacing w:line="440" w:lineRule="exact"/>
        <w:ind w:left="420" w:leftChars="200" w:right="420" w:rightChars="200"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7.4 测量放线</w:t>
      </w:r>
    </w:p>
    <w:p w14:paraId="6834272F">
      <w:pPr>
        <w:pageBreakBefore w:val="0"/>
        <w:kinsoku/>
        <w:wordWrap/>
        <w:overflowPunct/>
        <w:topLinePunct w:val="0"/>
        <w:bidi w:val="0"/>
        <w:adjustRightInd w:val="0"/>
        <w:snapToGrid/>
        <w:spacing w:line="440" w:lineRule="exact"/>
        <w:ind w:left="420" w:leftChars="200" w:right="420" w:rightChars="200" w:firstLine="420" w:firstLineChars="200"/>
        <w:jc w:val="left"/>
        <w:textAlignment w:val="auto"/>
        <w:rPr>
          <w:rFonts w:hint="eastAsia" w:ascii="宋体" w:hAnsi="宋体" w:cs="宋体"/>
          <w:color w:val="000000"/>
          <w:sz w:val="21"/>
          <w:szCs w:val="21"/>
          <w:u w:val="single"/>
        </w:rPr>
      </w:pPr>
      <w:r>
        <w:rPr>
          <w:rFonts w:hint="eastAsia" w:ascii="宋体" w:hAnsi="宋体" w:cs="宋体"/>
          <w:color w:val="000000"/>
          <w:sz w:val="21"/>
          <w:szCs w:val="21"/>
        </w:rPr>
        <w:t>7.4.1发包人通过监理人向承包人提供测量基准点、基准线和水准点及其书面资料的期限：</w:t>
      </w:r>
      <w:r>
        <w:rPr>
          <w:rFonts w:hint="eastAsia" w:ascii="宋体" w:hAnsi="宋体" w:cs="宋体"/>
          <w:color w:val="000000"/>
          <w:sz w:val="21"/>
          <w:szCs w:val="21"/>
          <w:u w:val="single"/>
        </w:rPr>
        <w:t xml:space="preserve">不得晚于开工通知中载明的开工日期前7天 </w:t>
      </w:r>
      <w:r>
        <w:rPr>
          <w:rFonts w:hint="eastAsia" w:ascii="宋体" w:hAnsi="宋体" w:cs="宋体"/>
          <w:color w:val="000000"/>
          <w:sz w:val="21"/>
          <w:szCs w:val="21"/>
        </w:rPr>
        <w:t>。</w:t>
      </w:r>
    </w:p>
    <w:p w14:paraId="2C1DCB73">
      <w:pPr>
        <w:pageBreakBefore w:val="0"/>
        <w:kinsoku/>
        <w:wordWrap/>
        <w:overflowPunct/>
        <w:topLinePunct w:val="0"/>
        <w:bidi w:val="0"/>
        <w:adjustRightInd w:val="0"/>
        <w:snapToGrid/>
        <w:spacing w:line="440" w:lineRule="exact"/>
        <w:ind w:left="420" w:leftChars="200" w:right="420" w:rightChars="200"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7</w:t>
      </w:r>
      <w:bookmarkStart w:id="576" w:name="_Toc297123516"/>
      <w:bookmarkStart w:id="577" w:name="_Toc297216175"/>
      <w:bookmarkStart w:id="578" w:name="_Toc312678010"/>
      <w:bookmarkStart w:id="579" w:name="_Toc303539125"/>
      <w:bookmarkStart w:id="580" w:name="_Toc304295546"/>
      <w:bookmarkStart w:id="581" w:name="_Toc312677484"/>
      <w:bookmarkStart w:id="582" w:name="_Toc300934968"/>
      <w:r>
        <w:rPr>
          <w:rFonts w:hint="eastAsia" w:ascii="宋体" w:hAnsi="宋体" w:cs="宋体"/>
          <w:color w:val="000000"/>
          <w:sz w:val="21"/>
          <w:szCs w:val="21"/>
        </w:rPr>
        <w:t>.5 工期延误</w:t>
      </w:r>
    </w:p>
    <w:bookmarkEnd w:id="576"/>
    <w:bookmarkEnd w:id="577"/>
    <w:bookmarkEnd w:id="578"/>
    <w:bookmarkEnd w:id="579"/>
    <w:bookmarkEnd w:id="580"/>
    <w:bookmarkEnd w:id="581"/>
    <w:bookmarkEnd w:id="582"/>
    <w:p w14:paraId="73239FC3">
      <w:pPr>
        <w:pageBreakBefore w:val="0"/>
        <w:kinsoku/>
        <w:wordWrap/>
        <w:overflowPunct/>
        <w:topLinePunct w:val="0"/>
        <w:bidi w:val="0"/>
        <w:adjustRightInd w:val="0"/>
        <w:snapToGrid/>
        <w:spacing w:line="440" w:lineRule="exact"/>
        <w:ind w:left="420" w:leftChars="200" w:right="420" w:rightChars="200"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7.5.1 因发包人原因导致工期延误</w:t>
      </w:r>
    </w:p>
    <w:p w14:paraId="35ED1965">
      <w:pPr>
        <w:pageBreakBefore w:val="0"/>
        <w:kinsoku/>
        <w:wordWrap/>
        <w:overflowPunct/>
        <w:topLinePunct w:val="0"/>
        <w:bidi w:val="0"/>
        <w:adjustRightInd w:val="0"/>
        <w:snapToGrid/>
        <w:spacing w:line="440" w:lineRule="exact"/>
        <w:ind w:left="420" w:leftChars="200" w:right="420" w:rightChars="200" w:firstLine="315" w:firstLineChars="150"/>
        <w:jc w:val="left"/>
        <w:textAlignment w:val="auto"/>
        <w:rPr>
          <w:rFonts w:hint="eastAsia" w:ascii="宋体" w:hAnsi="宋体" w:cs="宋体"/>
          <w:color w:val="000000"/>
          <w:sz w:val="21"/>
          <w:szCs w:val="21"/>
        </w:rPr>
      </w:pPr>
      <w:r>
        <w:rPr>
          <w:rFonts w:hint="eastAsia" w:ascii="宋体" w:hAnsi="宋体" w:cs="宋体"/>
          <w:color w:val="000000"/>
          <w:sz w:val="21"/>
          <w:szCs w:val="21"/>
        </w:rPr>
        <w:t>（7）因发包人原因导致工期延误的其他情形：</w:t>
      </w:r>
      <w:r>
        <w:rPr>
          <w:rFonts w:hint="eastAsia" w:ascii="宋体" w:hAnsi="宋体" w:cs="宋体"/>
          <w:color w:val="000000"/>
          <w:sz w:val="21"/>
          <w:szCs w:val="21"/>
          <w:u w:val="single"/>
        </w:rPr>
        <w:t xml:space="preserve">     /          </w:t>
      </w:r>
      <w:r>
        <w:rPr>
          <w:rFonts w:hint="eastAsia" w:ascii="宋体" w:hAnsi="宋体" w:cs="宋体"/>
          <w:color w:val="000000"/>
          <w:sz w:val="21"/>
          <w:szCs w:val="21"/>
        </w:rPr>
        <w:t>。</w:t>
      </w:r>
    </w:p>
    <w:p w14:paraId="54858C52">
      <w:pPr>
        <w:pageBreakBefore w:val="0"/>
        <w:kinsoku/>
        <w:wordWrap/>
        <w:overflowPunct/>
        <w:topLinePunct w:val="0"/>
        <w:bidi w:val="0"/>
        <w:adjustRightInd w:val="0"/>
        <w:snapToGrid/>
        <w:spacing w:line="440" w:lineRule="exact"/>
        <w:ind w:left="420" w:leftChars="200" w:right="420" w:rightChars="200"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7</w:t>
      </w:r>
      <w:bookmarkStart w:id="583" w:name="_Toc312677486"/>
      <w:bookmarkStart w:id="584" w:name="_Toc318581169"/>
      <w:bookmarkStart w:id="585" w:name="_Toc312678012"/>
      <w:bookmarkStart w:id="586" w:name="_Toc297123518"/>
      <w:bookmarkStart w:id="587" w:name="_Toc303539127"/>
      <w:bookmarkStart w:id="588" w:name="_Toc304295548"/>
      <w:bookmarkStart w:id="589" w:name="_Toc297216177"/>
      <w:bookmarkStart w:id="590" w:name="_Toc300934970"/>
      <w:r>
        <w:rPr>
          <w:rFonts w:hint="eastAsia" w:ascii="宋体" w:hAnsi="宋体" w:cs="宋体"/>
          <w:color w:val="000000"/>
          <w:sz w:val="21"/>
          <w:szCs w:val="21"/>
        </w:rPr>
        <w:t>.5.2 因承包人原因导致工期延误</w:t>
      </w:r>
    </w:p>
    <w:bookmarkEnd w:id="583"/>
    <w:bookmarkEnd w:id="584"/>
    <w:bookmarkEnd w:id="585"/>
    <w:p w14:paraId="0366CB6D">
      <w:pPr>
        <w:pageBreakBefore w:val="0"/>
        <w:kinsoku/>
        <w:wordWrap/>
        <w:overflowPunct/>
        <w:topLinePunct w:val="0"/>
        <w:bidi w:val="0"/>
        <w:adjustRightInd w:val="0"/>
        <w:snapToGrid/>
        <w:spacing w:line="440" w:lineRule="exact"/>
        <w:ind w:left="420" w:leftChars="200" w:right="420" w:rightChars="200"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因</w:t>
      </w:r>
      <w:bookmarkStart w:id="591" w:name="_Toc312677487"/>
      <w:bookmarkStart w:id="592" w:name="_Toc312678013"/>
      <w:bookmarkStart w:id="593" w:name="_Toc318581170"/>
      <w:r>
        <w:rPr>
          <w:rFonts w:hint="eastAsia" w:ascii="宋体" w:hAnsi="宋体" w:cs="宋体"/>
          <w:color w:val="000000"/>
          <w:sz w:val="21"/>
          <w:szCs w:val="21"/>
        </w:rPr>
        <w:t>承包人原因造成工期延误，逾期竣工违约金的计算方法为：</w:t>
      </w:r>
      <w:r>
        <w:rPr>
          <w:rFonts w:hint="eastAsia" w:ascii="宋体" w:hAnsi="宋体" w:cs="宋体"/>
          <w:color w:val="000000"/>
          <w:sz w:val="21"/>
          <w:szCs w:val="21"/>
          <w:u w:val="single"/>
        </w:rPr>
        <w:t>5000元/天</w:t>
      </w:r>
      <w:r>
        <w:rPr>
          <w:rFonts w:hint="eastAsia" w:ascii="宋体" w:hAnsi="宋体" w:cs="宋体"/>
          <w:color w:val="000000"/>
          <w:sz w:val="21"/>
          <w:szCs w:val="21"/>
        </w:rPr>
        <w:t>。</w:t>
      </w:r>
      <w:bookmarkEnd w:id="586"/>
      <w:bookmarkEnd w:id="587"/>
      <w:bookmarkEnd w:id="588"/>
      <w:bookmarkEnd w:id="589"/>
      <w:bookmarkEnd w:id="590"/>
      <w:bookmarkEnd w:id="591"/>
      <w:bookmarkEnd w:id="592"/>
    </w:p>
    <w:bookmarkEnd w:id="593"/>
    <w:p w14:paraId="1A4B2B32">
      <w:pPr>
        <w:pageBreakBefore w:val="0"/>
        <w:kinsoku/>
        <w:wordWrap/>
        <w:overflowPunct/>
        <w:topLinePunct w:val="0"/>
        <w:bidi w:val="0"/>
        <w:adjustRightInd w:val="0"/>
        <w:snapToGrid/>
        <w:spacing w:line="440" w:lineRule="exact"/>
        <w:ind w:left="420" w:leftChars="200" w:right="420" w:rightChars="200"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因承包人原因造成工期延误，逾</w:t>
      </w:r>
      <w:bookmarkStart w:id="594" w:name="_Toc318581171"/>
      <w:bookmarkStart w:id="595" w:name="_Toc312678014"/>
      <w:r>
        <w:rPr>
          <w:rFonts w:hint="eastAsia" w:ascii="宋体" w:hAnsi="宋体" w:cs="宋体"/>
          <w:color w:val="000000"/>
          <w:sz w:val="21"/>
          <w:szCs w:val="21"/>
        </w:rPr>
        <w:t>期竣工违约金的上限：</w:t>
      </w:r>
      <w:r>
        <w:rPr>
          <w:rFonts w:hint="eastAsia" w:ascii="宋体" w:hAnsi="宋体" w:cs="宋体"/>
          <w:color w:val="000000"/>
          <w:sz w:val="21"/>
          <w:szCs w:val="21"/>
          <w:u w:val="single"/>
        </w:rPr>
        <w:t xml:space="preserve">  </w:t>
      </w:r>
      <w:r>
        <w:rPr>
          <w:rFonts w:hint="eastAsia" w:ascii="宋体" w:hAnsi="宋体"/>
          <w:color w:val="000000"/>
          <w:sz w:val="21"/>
          <w:szCs w:val="21"/>
          <w:u w:val="single"/>
        </w:rPr>
        <w:t>合同价款的3%</w:t>
      </w:r>
      <w:r>
        <w:rPr>
          <w:rFonts w:hint="eastAsia" w:ascii="宋体" w:hAnsi="宋体" w:cs="宋体"/>
          <w:sz w:val="21"/>
          <w:szCs w:val="21"/>
          <w:u w:val="single"/>
        </w:rPr>
        <w:t xml:space="preserve"> </w:t>
      </w:r>
      <w:r>
        <w:rPr>
          <w:rFonts w:hint="eastAsia" w:ascii="宋体" w:hAnsi="宋体" w:cs="宋体"/>
          <w:color w:val="000000"/>
          <w:sz w:val="21"/>
          <w:szCs w:val="21"/>
          <w:u w:val="single"/>
        </w:rPr>
        <w:t xml:space="preserve">   </w:t>
      </w:r>
      <w:r>
        <w:rPr>
          <w:rFonts w:hint="eastAsia" w:ascii="宋体" w:hAnsi="宋体" w:cs="宋体"/>
          <w:color w:val="000000"/>
          <w:sz w:val="21"/>
          <w:szCs w:val="21"/>
        </w:rPr>
        <w:t>。</w:t>
      </w:r>
    </w:p>
    <w:bookmarkEnd w:id="594"/>
    <w:bookmarkEnd w:id="595"/>
    <w:p w14:paraId="61BCE186">
      <w:pPr>
        <w:pageBreakBefore w:val="0"/>
        <w:kinsoku/>
        <w:wordWrap/>
        <w:overflowPunct/>
        <w:topLinePunct w:val="0"/>
        <w:bidi w:val="0"/>
        <w:adjustRightInd w:val="0"/>
        <w:snapToGrid/>
        <w:spacing w:line="440" w:lineRule="exact"/>
        <w:ind w:left="420" w:leftChars="200" w:right="420" w:rightChars="200"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7</w:t>
      </w:r>
      <w:bookmarkStart w:id="596" w:name="_Toc297216178"/>
      <w:bookmarkStart w:id="597" w:name="_Toc303539128"/>
      <w:bookmarkStart w:id="598" w:name="_Toc300934971"/>
      <w:bookmarkStart w:id="599" w:name="_Toc312678015"/>
      <w:bookmarkStart w:id="600" w:name="_Toc304295549"/>
      <w:bookmarkStart w:id="601" w:name="_Toc297123519"/>
      <w:r>
        <w:rPr>
          <w:rFonts w:hint="eastAsia" w:ascii="宋体" w:hAnsi="宋体" w:cs="宋体"/>
          <w:color w:val="000000"/>
          <w:sz w:val="21"/>
          <w:szCs w:val="21"/>
        </w:rPr>
        <w:t>.6 不</w:t>
      </w:r>
      <w:bookmarkEnd w:id="596"/>
      <w:bookmarkEnd w:id="597"/>
      <w:bookmarkEnd w:id="598"/>
      <w:bookmarkEnd w:id="599"/>
      <w:bookmarkEnd w:id="600"/>
      <w:bookmarkEnd w:id="601"/>
      <w:r>
        <w:rPr>
          <w:rFonts w:hint="eastAsia" w:ascii="宋体" w:hAnsi="宋体" w:cs="宋体"/>
          <w:color w:val="000000"/>
          <w:sz w:val="21"/>
          <w:szCs w:val="21"/>
        </w:rPr>
        <w:t>利物质条件</w:t>
      </w:r>
    </w:p>
    <w:p w14:paraId="4D216E26">
      <w:pPr>
        <w:pageBreakBefore w:val="0"/>
        <w:kinsoku/>
        <w:wordWrap/>
        <w:overflowPunct/>
        <w:topLinePunct w:val="0"/>
        <w:bidi w:val="0"/>
        <w:adjustRightInd w:val="0"/>
        <w:snapToGrid/>
        <w:spacing w:line="440" w:lineRule="exact"/>
        <w:ind w:left="420" w:leftChars="200" w:right="420" w:rightChars="200" w:firstLine="315" w:firstLineChars="150"/>
        <w:jc w:val="left"/>
        <w:textAlignment w:val="auto"/>
        <w:rPr>
          <w:rFonts w:hint="eastAsia" w:ascii="宋体" w:hAnsi="宋体" w:cs="宋体"/>
          <w:color w:val="000000"/>
          <w:sz w:val="21"/>
          <w:szCs w:val="21"/>
          <w:u w:val="single"/>
        </w:rPr>
      </w:pPr>
      <w:bookmarkStart w:id="602" w:name="_Toc318581172"/>
      <w:bookmarkStart w:id="603" w:name="_Toc312678016"/>
      <w:bookmarkStart w:id="604" w:name="_Toc297216179"/>
      <w:bookmarkStart w:id="605" w:name="_Toc297123520"/>
      <w:bookmarkStart w:id="606" w:name="_Toc304295550"/>
      <w:bookmarkStart w:id="607" w:name="_Toc303539129"/>
      <w:bookmarkStart w:id="608" w:name="_Toc300934972"/>
      <w:r>
        <w:rPr>
          <w:rFonts w:hint="eastAsia" w:ascii="宋体" w:hAnsi="宋体" w:cs="宋体"/>
          <w:color w:val="000000"/>
          <w:sz w:val="21"/>
          <w:szCs w:val="21"/>
        </w:rPr>
        <w:t>不利物质条件的其他情形和有关约定：</w:t>
      </w:r>
      <w:bookmarkEnd w:id="602"/>
      <w:bookmarkEnd w:id="603"/>
      <w:bookmarkEnd w:id="604"/>
      <w:bookmarkEnd w:id="605"/>
      <w:bookmarkEnd w:id="606"/>
      <w:bookmarkEnd w:id="607"/>
      <w:bookmarkEnd w:id="608"/>
      <w:r>
        <w:rPr>
          <w:rFonts w:hint="eastAsia" w:ascii="宋体" w:hAnsi="宋体" w:cs="宋体"/>
          <w:color w:val="000000"/>
          <w:sz w:val="21"/>
          <w:szCs w:val="21"/>
          <w:u w:val="single"/>
        </w:rPr>
        <w:t xml:space="preserve">            /              </w:t>
      </w:r>
      <w:r>
        <w:rPr>
          <w:rFonts w:hint="eastAsia" w:ascii="宋体" w:hAnsi="宋体" w:cs="宋体"/>
          <w:color w:val="000000"/>
          <w:sz w:val="21"/>
          <w:szCs w:val="21"/>
        </w:rPr>
        <w:t>。</w:t>
      </w:r>
    </w:p>
    <w:p w14:paraId="0B2FC9DE">
      <w:pPr>
        <w:pageBreakBefore w:val="0"/>
        <w:kinsoku/>
        <w:wordWrap/>
        <w:overflowPunct/>
        <w:topLinePunct w:val="0"/>
        <w:bidi w:val="0"/>
        <w:adjustRightInd w:val="0"/>
        <w:snapToGrid/>
        <w:spacing w:line="440" w:lineRule="exact"/>
        <w:ind w:left="420" w:leftChars="200" w:right="420" w:rightChars="200" w:firstLine="315" w:firstLineChars="150"/>
        <w:jc w:val="left"/>
        <w:textAlignment w:val="auto"/>
        <w:rPr>
          <w:rFonts w:hint="eastAsia" w:ascii="宋体" w:hAnsi="宋体" w:cs="宋体"/>
          <w:color w:val="000000"/>
          <w:sz w:val="21"/>
          <w:szCs w:val="21"/>
        </w:rPr>
      </w:pPr>
      <w:r>
        <w:rPr>
          <w:rFonts w:hint="eastAsia" w:ascii="宋体" w:hAnsi="宋体" w:cs="宋体"/>
          <w:color w:val="000000"/>
          <w:sz w:val="21"/>
          <w:szCs w:val="21"/>
        </w:rPr>
        <w:t>7</w:t>
      </w:r>
      <w:bookmarkStart w:id="609" w:name="_Toc312678017"/>
      <w:bookmarkStart w:id="610" w:name="_Toc300934973"/>
      <w:bookmarkStart w:id="611" w:name="_Toc303539130"/>
      <w:bookmarkStart w:id="612" w:name="_Toc297216180"/>
      <w:bookmarkStart w:id="613" w:name="_Toc304295551"/>
      <w:bookmarkStart w:id="614" w:name="_Toc297123521"/>
      <w:r>
        <w:rPr>
          <w:rFonts w:hint="eastAsia" w:ascii="宋体" w:hAnsi="宋体" w:cs="宋体"/>
          <w:color w:val="000000"/>
          <w:sz w:val="21"/>
          <w:szCs w:val="21"/>
        </w:rPr>
        <w:t>.7异常恶劣的气候条件</w:t>
      </w:r>
      <w:bookmarkEnd w:id="609"/>
      <w:bookmarkEnd w:id="610"/>
      <w:bookmarkEnd w:id="611"/>
      <w:bookmarkEnd w:id="612"/>
      <w:bookmarkEnd w:id="613"/>
      <w:bookmarkEnd w:id="614"/>
      <w:r>
        <w:rPr>
          <w:rFonts w:hint="eastAsia" w:ascii="宋体" w:hAnsi="宋体" w:cs="宋体"/>
          <w:color w:val="000000"/>
          <w:sz w:val="21"/>
          <w:szCs w:val="21"/>
          <w:u w:val="single"/>
        </w:rPr>
        <w:t xml:space="preserve">            /                      </w:t>
      </w:r>
      <w:r>
        <w:rPr>
          <w:rFonts w:hint="eastAsia" w:ascii="宋体" w:hAnsi="宋体" w:cs="宋体"/>
          <w:color w:val="000000"/>
          <w:sz w:val="21"/>
          <w:szCs w:val="21"/>
        </w:rPr>
        <w:t>。</w:t>
      </w:r>
    </w:p>
    <w:p w14:paraId="1BF61F3A">
      <w:pPr>
        <w:pageBreakBefore w:val="0"/>
        <w:kinsoku/>
        <w:wordWrap/>
        <w:overflowPunct/>
        <w:topLinePunct w:val="0"/>
        <w:bidi w:val="0"/>
        <w:adjustRightInd w:val="0"/>
        <w:snapToGrid/>
        <w:spacing w:line="440" w:lineRule="exact"/>
        <w:ind w:left="420" w:leftChars="200" w:right="420" w:rightChars="200" w:firstLine="315" w:firstLineChars="150"/>
        <w:jc w:val="left"/>
        <w:textAlignment w:val="auto"/>
        <w:rPr>
          <w:rFonts w:hint="eastAsia" w:ascii="宋体" w:hAnsi="宋体" w:cs="宋体"/>
          <w:color w:val="000000"/>
          <w:sz w:val="21"/>
          <w:szCs w:val="21"/>
        </w:rPr>
      </w:pPr>
      <w:r>
        <w:rPr>
          <w:rFonts w:hint="eastAsia" w:ascii="宋体" w:hAnsi="宋体" w:cs="宋体"/>
          <w:color w:val="000000"/>
          <w:sz w:val="21"/>
          <w:szCs w:val="21"/>
        </w:rPr>
        <w:t>7.9 提前竣工的奖励</w:t>
      </w:r>
    </w:p>
    <w:p w14:paraId="3A923944">
      <w:pPr>
        <w:pageBreakBefore w:val="0"/>
        <w:kinsoku/>
        <w:wordWrap/>
        <w:overflowPunct/>
        <w:topLinePunct w:val="0"/>
        <w:bidi w:val="0"/>
        <w:adjustRightInd w:val="0"/>
        <w:snapToGrid/>
        <w:spacing w:line="440" w:lineRule="exact"/>
        <w:ind w:left="420" w:leftChars="200" w:right="420" w:rightChars="200"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7.9.2提前竣工的奖励：</w:t>
      </w:r>
      <w:r>
        <w:rPr>
          <w:rFonts w:hint="eastAsia" w:ascii="宋体" w:hAnsi="宋体" w:cs="宋体"/>
          <w:color w:val="000000"/>
          <w:sz w:val="21"/>
          <w:szCs w:val="21"/>
          <w:u w:val="single"/>
        </w:rPr>
        <w:t xml:space="preserve">               /               </w:t>
      </w:r>
      <w:r>
        <w:rPr>
          <w:rFonts w:hint="eastAsia" w:ascii="宋体" w:hAnsi="宋体" w:cs="宋体"/>
          <w:color w:val="000000"/>
          <w:sz w:val="21"/>
          <w:szCs w:val="21"/>
        </w:rPr>
        <w:t>。</w:t>
      </w:r>
    </w:p>
    <w:p w14:paraId="023D7F0E">
      <w:pPr>
        <w:pStyle w:val="6"/>
        <w:keepNext w:val="0"/>
        <w:keepLines w:val="0"/>
        <w:pageBreakBefore w:val="0"/>
        <w:numPr>
          <w:ilvl w:val="3"/>
          <w:numId w:val="0"/>
        </w:numPr>
        <w:kinsoku/>
        <w:wordWrap/>
        <w:overflowPunct/>
        <w:topLinePunct w:val="0"/>
        <w:bidi w:val="0"/>
        <w:adjustRightInd w:val="0"/>
        <w:snapToGrid/>
        <w:spacing w:before="0" w:after="0" w:line="440" w:lineRule="exact"/>
        <w:ind w:left="420" w:leftChars="200" w:right="420" w:rightChars="200"/>
        <w:textAlignment w:val="auto"/>
        <w:rPr>
          <w:rFonts w:hint="eastAsia" w:ascii="宋体" w:hAnsi="宋体" w:eastAsia="宋体" w:cs="宋体"/>
          <w:b w:val="0"/>
          <w:color w:val="000000"/>
          <w:sz w:val="21"/>
          <w:szCs w:val="21"/>
        </w:rPr>
      </w:pPr>
      <w:bookmarkStart w:id="615" w:name="_Toc386638614"/>
      <w:bookmarkStart w:id="616" w:name="_Toc351203640"/>
      <w:r>
        <w:rPr>
          <w:rFonts w:hint="eastAsia" w:ascii="宋体" w:hAnsi="宋体" w:eastAsia="宋体" w:cs="宋体"/>
          <w:b w:val="0"/>
          <w:color w:val="000000"/>
          <w:sz w:val="21"/>
          <w:szCs w:val="21"/>
        </w:rPr>
        <w:t>8. 材料与设备</w:t>
      </w:r>
      <w:bookmarkEnd w:id="615"/>
      <w:bookmarkEnd w:id="616"/>
    </w:p>
    <w:bookmarkEnd w:id="450"/>
    <w:bookmarkEnd w:id="451"/>
    <w:bookmarkEnd w:id="452"/>
    <w:bookmarkEnd w:id="453"/>
    <w:bookmarkEnd w:id="454"/>
    <w:bookmarkEnd w:id="455"/>
    <w:bookmarkEnd w:id="456"/>
    <w:bookmarkEnd w:id="457"/>
    <w:bookmarkEnd w:id="458"/>
    <w:bookmarkEnd w:id="459"/>
    <w:p w14:paraId="16C551B4">
      <w:pPr>
        <w:pageBreakBefore w:val="0"/>
        <w:kinsoku/>
        <w:wordWrap/>
        <w:overflowPunct/>
        <w:topLinePunct w:val="0"/>
        <w:bidi w:val="0"/>
        <w:adjustRightInd w:val="0"/>
        <w:snapToGrid/>
        <w:spacing w:line="440" w:lineRule="exact"/>
        <w:ind w:left="420" w:leftChars="200" w:right="420" w:rightChars="200" w:firstLine="420" w:firstLineChars="200"/>
        <w:textAlignment w:val="auto"/>
        <w:rPr>
          <w:rFonts w:hint="eastAsia" w:ascii="宋体" w:hAnsi="宋体"/>
          <w:sz w:val="21"/>
          <w:szCs w:val="21"/>
        </w:rPr>
      </w:pPr>
      <w:r>
        <w:rPr>
          <w:rFonts w:hint="eastAsia" w:ascii="宋体" w:hAnsi="宋体"/>
          <w:sz w:val="21"/>
          <w:szCs w:val="21"/>
        </w:rPr>
        <w:t>8.2承包人采购材料与工程设备：</w:t>
      </w:r>
    </w:p>
    <w:p w14:paraId="7EF6D045">
      <w:pPr>
        <w:pageBreakBefore w:val="0"/>
        <w:kinsoku/>
        <w:wordWrap/>
        <w:overflowPunct/>
        <w:topLinePunct w:val="0"/>
        <w:bidi w:val="0"/>
        <w:adjustRightInd w:val="0"/>
        <w:snapToGrid/>
        <w:spacing w:line="440" w:lineRule="exact"/>
        <w:ind w:left="420" w:leftChars="200" w:right="420" w:rightChars="200" w:firstLine="420" w:firstLineChars="200"/>
        <w:textAlignment w:val="auto"/>
        <w:rPr>
          <w:rFonts w:hint="eastAsia" w:ascii="宋体" w:hAnsi="宋体"/>
          <w:sz w:val="21"/>
          <w:szCs w:val="21"/>
          <w:u w:val="single"/>
        </w:rPr>
      </w:pPr>
      <w:r>
        <w:rPr>
          <w:rFonts w:hint="eastAsia" w:ascii="宋体" w:hAnsi="宋体"/>
          <w:sz w:val="21"/>
          <w:szCs w:val="21"/>
          <w:u w:val="single"/>
        </w:rPr>
        <w:t>⑴同类材料的品牌应一致，质量、规格、型号均应符合国家标准并须提供合格证、质保单和检验报告，经监理认证、甲方验收审核合格后方可使用，否则由此造成的损失由承包人承担。</w:t>
      </w:r>
    </w:p>
    <w:p w14:paraId="01FE1A23">
      <w:pPr>
        <w:pageBreakBefore w:val="0"/>
        <w:kinsoku/>
        <w:wordWrap/>
        <w:overflowPunct/>
        <w:topLinePunct w:val="0"/>
        <w:bidi w:val="0"/>
        <w:adjustRightInd w:val="0"/>
        <w:snapToGrid/>
        <w:spacing w:line="440" w:lineRule="exact"/>
        <w:ind w:left="420" w:leftChars="200" w:right="420" w:rightChars="200" w:firstLine="420" w:firstLineChars="200"/>
        <w:textAlignment w:val="auto"/>
        <w:rPr>
          <w:rFonts w:hint="eastAsia" w:ascii="宋体" w:hAnsi="宋体"/>
          <w:sz w:val="21"/>
          <w:szCs w:val="21"/>
          <w:u w:val="single"/>
        </w:rPr>
      </w:pPr>
      <w:r>
        <w:rPr>
          <w:rFonts w:hint="eastAsia" w:ascii="宋体" w:hAnsi="宋体"/>
          <w:sz w:val="21"/>
          <w:szCs w:val="21"/>
          <w:u w:val="single"/>
        </w:rPr>
        <w:t>⑵在材料、设备采购前15天将采购清单提交监理和发包人审核。采购清单中应明确采购材料的品种、数量、品牌、生产厂商及技术规格，如未经发包人审核，发包人有权不予支付对应工程款。</w:t>
      </w:r>
    </w:p>
    <w:p w14:paraId="60CED3CC">
      <w:pPr>
        <w:pageBreakBefore w:val="0"/>
        <w:kinsoku/>
        <w:wordWrap/>
        <w:overflowPunct/>
        <w:topLinePunct w:val="0"/>
        <w:bidi w:val="0"/>
        <w:adjustRightInd w:val="0"/>
        <w:snapToGrid/>
        <w:spacing w:line="440" w:lineRule="exact"/>
        <w:ind w:left="420" w:leftChars="200" w:right="420" w:rightChars="200"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8</w:t>
      </w:r>
      <w:bookmarkStart w:id="617" w:name="_Toc312677493"/>
      <w:bookmarkStart w:id="618" w:name="_Toc297123527"/>
      <w:bookmarkStart w:id="619" w:name="_Toc296891207"/>
      <w:bookmarkStart w:id="620" w:name="_Toc297048353"/>
      <w:bookmarkStart w:id="621" w:name="_Toc303539136"/>
      <w:bookmarkStart w:id="622" w:name="_Toc300934979"/>
      <w:bookmarkStart w:id="623" w:name="_Toc292559877"/>
      <w:bookmarkStart w:id="624" w:name="_Toc280868654"/>
      <w:bookmarkStart w:id="625" w:name="_Toc292559372"/>
      <w:bookmarkStart w:id="626" w:name="_Toc312678019"/>
      <w:bookmarkStart w:id="627" w:name="_Toc297216186"/>
      <w:bookmarkStart w:id="628" w:name="_Toc296944506"/>
      <w:bookmarkStart w:id="629" w:name="_Toc296347166"/>
      <w:bookmarkStart w:id="630" w:name="_Toc296890995"/>
      <w:bookmarkStart w:id="631" w:name="_Toc297120467"/>
      <w:bookmarkStart w:id="632" w:name="_Toc296346668"/>
      <w:bookmarkStart w:id="633" w:name="_Toc296503167"/>
      <w:bookmarkStart w:id="634" w:name="_Toc304295556"/>
      <w:bookmarkStart w:id="635" w:name="_Toc280868655"/>
      <w:bookmarkStart w:id="636" w:name="_Toc280868656"/>
      <w:bookmarkStart w:id="637" w:name="_Toc267251424"/>
      <w:r>
        <w:rPr>
          <w:rFonts w:hint="eastAsia" w:ascii="宋体" w:hAnsi="宋体" w:cs="宋体"/>
          <w:color w:val="000000"/>
          <w:sz w:val="21"/>
          <w:szCs w:val="21"/>
        </w:rPr>
        <w:t>.4材料与工程设备的保管与使用</w:t>
      </w:r>
    </w:p>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p w14:paraId="1CB06CF6">
      <w:pPr>
        <w:pageBreakBefore w:val="0"/>
        <w:kinsoku/>
        <w:wordWrap/>
        <w:overflowPunct/>
        <w:topLinePunct w:val="0"/>
        <w:bidi w:val="0"/>
        <w:adjustRightInd w:val="0"/>
        <w:snapToGrid/>
        <w:spacing w:line="440" w:lineRule="exact"/>
        <w:ind w:left="420" w:leftChars="200" w:right="420" w:rightChars="200"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8</w:t>
      </w:r>
      <w:bookmarkStart w:id="638" w:name="_Toc292559373"/>
      <w:bookmarkStart w:id="639" w:name="_Toc292559878"/>
      <w:bookmarkStart w:id="640" w:name="_Toc296503168"/>
      <w:bookmarkStart w:id="641" w:name="_Toc297216187"/>
      <w:bookmarkStart w:id="642" w:name="_Toc296891208"/>
      <w:bookmarkStart w:id="643" w:name="_Toc296346669"/>
      <w:bookmarkStart w:id="644" w:name="_Toc312677494"/>
      <w:bookmarkStart w:id="645" w:name="_Toc296347167"/>
      <w:bookmarkStart w:id="646" w:name="_Toc300934980"/>
      <w:bookmarkStart w:id="647" w:name="_Toc297048354"/>
      <w:bookmarkStart w:id="648" w:name="_Toc304295557"/>
      <w:bookmarkStart w:id="649" w:name="_Toc303539137"/>
      <w:bookmarkStart w:id="650" w:name="_Toc318581173"/>
      <w:bookmarkStart w:id="651" w:name="_Toc296944507"/>
      <w:bookmarkStart w:id="652" w:name="_Toc296890996"/>
      <w:bookmarkStart w:id="653" w:name="_Toc312678020"/>
      <w:bookmarkStart w:id="654" w:name="_Toc297120468"/>
      <w:bookmarkStart w:id="655" w:name="_Toc297123528"/>
      <w:r>
        <w:rPr>
          <w:rFonts w:hint="eastAsia" w:ascii="宋体" w:hAnsi="宋体" w:cs="宋体"/>
          <w:color w:val="000000"/>
          <w:sz w:val="21"/>
          <w:szCs w:val="21"/>
        </w:rPr>
        <w:t>.4.1发包人供应的材料设备的保管费用的承担：</w:t>
      </w:r>
      <w:r>
        <w:rPr>
          <w:rFonts w:hint="eastAsia" w:ascii="宋体" w:hAnsi="宋体" w:cs="宋体"/>
          <w:color w:val="000000"/>
          <w:sz w:val="21"/>
          <w:szCs w:val="21"/>
          <w:u w:val="single"/>
        </w:rPr>
        <w:t xml:space="preserve">        /        </w:t>
      </w:r>
      <w:r>
        <w:rPr>
          <w:rFonts w:hint="eastAsia" w:ascii="宋体" w:hAnsi="宋体" w:cs="宋体"/>
          <w:color w:val="000000"/>
          <w:sz w:val="21"/>
          <w:szCs w:val="21"/>
        </w:rPr>
        <w:t>。</w:t>
      </w:r>
      <w:bookmarkEnd w:id="638"/>
      <w:bookmarkEnd w:id="639"/>
    </w:p>
    <w:p w14:paraId="7177F7BA">
      <w:pPr>
        <w:pageBreakBefore w:val="0"/>
        <w:kinsoku/>
        <w:wordWrap/>
        <w:overflowPunct/>
        <w:topLinePunct w:val="0"/>
        <w:bidi w:val="0"/>
        <w:adjustRightInd w:val="0"/>
        <w:snapToGrid/>
        <w:spacing w:line="440" w:lineRule="exact"/>
        <w:ind w:left="420" w:leftChars="200" w:right="420" w:rightChars="200"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8.6 样品</w:t>
      </w:r>
    </w:p>
    <w:p w14:paraId="55CBECD9">
      <w:pPr>
        <w:pageBreakBefore w:val="0"/>
        <w:kinsoku/>
        <w:wordWrap/>
        <w:overflowPunct/>
        <w:topLinePunct w:val="0"/>
        <w:autoSpaceDE w:val="0"/>
        <w:autoSpaceDN w:val="0"/>
        <w:bidi w:val="0"/>
        <w:adjustRightInd w:val="0"/>
        <w:snapToGrid/>
        <w:spacing w:line="440" w:lineRule="exact"/>
        <w:ind w:left="420" w:leftChars="200" w:right="420" w:rightChars="200"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8.6.1</w:t>
      </w:r>
      <w:r>
        <w:rPr>
          <w:rFonts w:hint="eastAsia" w:ascii="宋体" w:hAnsi="宋体" w:cs="宋体"/>
          <w:color w:val="000000"/>
          <w:sz w:val="21"/>
          <w:szCs w:val="21"/>
        </w:rPr>
        <w:tab/>
      </w:r>
      <w:r>
        <w:rPr>
          <w:rFonts w:hint="eastAsia" w:ascii="宋体" w:hAnsi="宋体" w:cs="宋体"/>
          <w:color w:val="000000"/>
          <w:sz w:val="21"/>
          <w:szCs w:val="21"/>
        </w:rPr>
        <w:t>样品的报送与封存</w:t>
      </w:r>
    </w:p>
    <w:p w14:paraId="1FE41815">
      <w:pPr>
        <w:pageBreakBefore w:val="0"/>
        <w:kinsoku/>
        <w:wordWrap/>
        <w:overflowPunct/>
        <w:topLinePunct w:val="0"/>
        <w:autoSpaceDE w:val="0"/>
        <w:autoSpaceDN w:val="0"/>
        <w:bidi w:val="0"/>
        <w:adjustRightInd w:val="0"/>
        <w:snapToGrid/>
        <w:spacing w:line="440" w:lineRule="exact"/>
        <w:ind w:left="420" w:leftChars="200" w:right="420" w:rightChars="200"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需要承包人报送样品的材料或工程设备，样品的种类、名称、规格、数量要求：</w:t>
      </w:r>
    </w:p>
    <w:p w14:paraId="50E6A026">
      <w:pPr>
        <w:pageBreakBefore w:val="0"/>
        <w:kinsoku/>
        <w:wordWrap/>
        <w:overflowPunct/>
        <w:topLinePunct w:val="0"/>
        <w:autoSpaceDE w:val="0"/>
        <w:autoSpaceDN w:val="0"/>
        <w:bidi w:val="0"/>
        <w:adjustRightInd w:val="0"/>
        <w:snapToGrid/>
        <w:spacing w:line="440" w:lineRule="exact"/>
        <w:ind w:left="420" w:leftChars="200" w:right="420" w:rightChars="200" w:firstLine="420" w:firstLineChars="200"/>
        <w:jc w:val="left"/>
        <w:textAlignment w:val="auto"/>
        <w:rPr>
          <w:rFonts w:hint="eastAsia" w:ascii="宋体" w:hAnsi="宋体" w:cs="宋体"/>
          <w:color w:val="000000"/>
          <w:sz w:val="21"/>
          <w:szCs w:val="21"/>
          <w:u w:val="single"/>
        </w:rPr>
      </w:pPr>
      <w:r>
        <w:rPr>
          <w:rFonts w:hint="eastAsia" w:ascii="宋体" w:hAnsi="宋体" w:cs="宋体"/>
          <w:color w:val="000000"/>
          <w:sz w:val="21"/>
          <w:szCs w:val="21"/>
          <w:u w:val="single"/>
        </w:rPr>
        <w:t xml:space="preserve">                     /                                </w:t>
      </w:r>
    </w:p>
    <w:p w14:paraId="6C0342A6">
      <w:pPr>
        <w:pageBreakBefore w:val="0"/>
        <w:kinsoku/>
        <w:wordWrap/>
        <w:overflowPunct/>
        <w:topLinePunct w:val="0"/>
        <w:bidi w:val="0"/>
        <w:adjustRightInd w:val="0"/>
        <w:snapToGrid/>
        <w:spacing w:line="440" w:lineRule="exact"/>
        <w:ind w:left="420" w:leftChars="200" w:right="420" w:rightChars="200"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8.8 施工设备和临时设施</w:t>
      </w:r>
    </w:p>
    <w:p w14:paraId="17684287">
      <w:pPr>
        <w:pageBreakBefore w:val="0"/>
        <w:kinsoku/>
        <w:wordWrap/>
        <w:overflowPunct/>
        <w:topLinePunct w:val="0"/>
        <w:autoSpaceDE w:val="0"/>
        <w:autoSpaceDN w:val="0"/>
        <w:bidi w:val="0"/>
        <w:adjustRightInd w:val="0"/>
        <w:snapToGrid/>
        <w:spacing w:line="440" w:lineRule="exact"/>
        <w:ind w:left="420" w:leftChars="200" w:right="420" w:rightChars="200"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8.8.1 承包人提供的施工设备和临时设施</w:t>
      </w:r>
    </w:p>
    <w:p w14:paraId="5F5938D9">
      <w:pPr>
        <w:pageBreakBefore w:val="0"/>
        <w:kinsoku/>
        <w:wordWrap/>
        <w:overflowPunct/>
        <w:topLinePunct w:val="0"/>
        <w:autoSpaceDE w:val="0"/>
        <w:autoSpaceDN w:val="0"/>
        <w:bidi w:val="0"/>
        <w:adjustRightInd w:val="0"/>
        <w:snapToGrid/>
        <w:spacing w:line="440" w:lineRule="exact"/>
        <w:ind w:left="420" w:leftChars="200" w:right="420" w:rightChars="200"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关于修建临时设施费用承担的约定：</w:t>
      </w:r>
      <w:r>
        <w:rPr>
          <w:rFonts w:hint="eastAsia" w:ascii="宋体" w:hAnsi="宋体" w:cs="宋体"/>
          <w:color w:val="000000"/>
          <w:sz w:val="21"/>
          <w:szCs w:val="21"/>
          <w:u w:val="single"/>
        </w:rPr>
        <w:t xml:space="preserve"> 由承包人自行承担  </w:t>
      </w:r>
      <w:r>
        <w:rPr>
          <w:rFonts w:hint="eastAsia" w:ascii="宋体" w:hAnsi="宋体" w:cs="宋体"/>
          <w:color w:val="000000"/>
          <w:sz w:val="21"/>
          <w:szCs w:val="21"/>
        </w:rPr>
        <w:t>。</w:t>
      </w:r>
    </w:p>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p w14:paraId="6D85CB82">
      <w:pPr>
        <w:pStyle w:val="6"/>
        <w:keepNext w:val="0"/>
        <w:keepLines w:val="0"/>
        <w:pageBreakBefore w:val="0"/>
        <w:numPr>
          <w:ilvl w:val="3"/>
          <w:numId w:val="0"/>
        </w:numPr>
        <w:kinsoku/>
        <w:wordWrap/>
        <w:overflowPunct/>
        <w:topLinePunct w:val="0"/>
        <w:bidi w:val="0"/>
        <w:adjustRightInd w:val="0"/>
        <w:snapToGrid/>
        <w:spacing w:before="0" w:after="0" w:line="440" w:lineRule="exact"/>
        <w:ind w:left="420" w:leftChars="200" w:right="420" w:rightChars="200"/>
        <w:textAlignment w:val="auto"/>
        <w:rPr>
          <w:rFonts w:hint="eastAsia" w:ascii="宋体" w:hAnsi="宋体" w:eastAsia="宋体" w:cs="宋体"/>
          <w:b w:val="0"/>
          <w:color w:val="000000"/>
          <w:sz w:val="21"/>
          <w:szCs w:val="21"/>
        </w:rPr>
      </w:pPr>
      <w:bookmarkStart w:id="656" w:name="_Toc386638615"/>
      <w:bookmarkStart w:id="657" w:name="_Toc351203641"/>
      <w:r>
        <w:rPr>
          <w:rFonts w:hint="eastAsia" w:ascii="宋体" w:hAnsi="宋体" w:eastAsia="宋体" w:cs="宋体"/>
          <w:b w:val="0"/>
          <w:color w:val="000000"/>
          <w:sz w:val="21"/>
          <w:szCs w:val="21"/>
        </w:rPr>
        <w:t>9</w:t>
      </w:r>
      <w:bookmarkEnd w:id="635"/>
      <w:bookmarkEnd w:id="636"/>
      <w:bookmarkEnd w:id="637"/>
      <w:bookmarkStart w:id="658" w:name="_Toc304295559"/>
      <w:bookmarkStart w:id="659" w:name="_Toc312678021"/>
      <w:bookmarkStart w:id="660" w:name="_Toc300934982"/>
      <w:bookmarkStart w:id="661" w:name="_Toc303539139"/>
      <w:bookmarkStart w:id="662" w:name="_Toc297123533"/>
      <w:bookmarkStart w:id="663" w:name="_Toc297216192"/>
      <w:bookmarkStart w:id="664" w:name="_Toc312677495"/>
      <w:bookmarkStart w:id="665" w:name="_Toc297120473"/>
      <w:bookmarkStart w:id="666" w:name="_Toc267251428"/>
      <w:bookmarkStart w:id="667" w:name="_Toc292559883"/>
      <w:bookmarkStart w:id="668" w:name="_Toc296503173"/>
      <w:bookmarkStart w:id="669" w:name="_Toc296944512"/>
      <w:bookmarkStart w:id="670" w:name="_Toc267251427"/>
      <w:bookmarkStart w:id="671" w:name="_Toc292559378"/>
      <w:bookmarkStart w:id="672" w:name="_Toc297048359"/>
      <w:bookmarkStart w:id="673" w:name="_Toc296346674"/>
      <w:bookmarkStart w:id="674" w:name="_Toc296347172"/>
      <w:bookmarkStart w:id="675" w:name="_Toc296891213"/>
      <w:bookmarkStart w:id="676" w:name="_Toc296891001"/>
      <w:r>
        <w:rPr>
          <w:rFonts w:hint="eastAsia" w:ascii="宋体" w:hAnsi="宋体" w:eastAsia="宋体" w:cs="宋体"/>
          <w:b w:val="0"/>
          <w:color w:val="000000"/>
          <w:sz w:val="21"/>
          <w:szCs w:val="21"/>
        </w:rPr>
        <w:t>. 试验与检验</w:t>
      </w:r>
      <w:bookmarkEnd w:id="656"/>
      <w:bookmarkEnd w:id="657"/>
    </w:p>
    <w:bookmarkEnd w:id="658"/>
    <w:bookmarkEnd w:id="659"/>
    <w:bookmarkEnd w:id="660"/>
    <w:bookmarkEnd w:id="661"/>
    <w:bookmarkEnd w:id="662"/>
    <w:bookmarkEnd w:id="663"/>
    <w:bookmarkEnd w:id="664"/>
    <w:p w14:paraId="6920AEB2">
      <w:pPr>
        <w:pageBreakBefore w:val="0"/>
        <w:kinsoku/>
        <w:wordWrap/>
        <w:overflowPunct/>
        <w:topLinePunct w:val="0"/>
        <w:bidi w:val="0"/>
        <w:adjustRightInd w:val="0"/>
        <w:snapToGrid/>
        <w:spacing w:line="440" w:lineRule="exact"/>
        <w:ind w:left="420" w:leftChars="200" w:right="420" w:rightChars="200"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9</w:t>
      </w:r>
      <w:bookmarkStart w:id="677" w:name="_Toc300934983"/>
      <w:bookmarkStart w:id="678" w:name="_Toc303539140"/>
      <w:bookmarkStart w:id="679" w:name="_Toc297216193"/>
      <w:bookmarkStart w:id="680" w:name="_Toc297123534"/>
      <w:bookmarkStart w:id="681" w:name="_Toc304295560"/>
      <w:bookmarkStart w:id="682" w:name="_Toc312678022"/>
      <w:bookmarkStart w:id="683" w:name="_Toc312677496"/>
      <w:r>
        <w:rPr>
          <w:rFonts w:hint="eastAsia" w:ascii="宋体" w:hAnsi="宋体" w:cs="宋体"/>
          <w:color w:val="000000"/>
          <w:sz w:val="21"/>
          <w:szCs w:val="21"/>
        </w:rPr>
        <w:t>.1试验设备与试验人员</w:t>
      </w:r>
    </w:p>
    <w:bookmarkEnd w:id="677"/>
    <w:bookmarkEnd w:id="678"/>
    <w:bookmarkEnd w:id="679"/>
    <w:bookmarkEnd w:id="680"/>
    <w:bookmarkEnd w:id="681"/>
    <w:bookmarkEnd w:id="682"/>
    <w:bookmarkEnd w:id="683"/>
    <w:p w14:paraId="38269EA6">
      <w:pPr>
        <w:pageBreakBefore w:val="0"/>
        <w:kinsoku/>
        <w:wordWrap/>
        <w:overflowPunct/>
        <w:topLinePunct w:val="0"/>
        <w:bidi w:val="0"/>
        <w:adjustRightInd w:val="0"/>
        <w:snapToGrid/>
        <w:spacing w:line="440" w:lineRule="exact"/>
        <w:ind w:left="420" w:leftChars="200" w:right="420" w:rightChars="200"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9</w:t>
      </w:r>
      <w:bookmarkStart w:id="684" w:name="_Toc304295561"/>
      <w:bookmarkStart w:id="685" w:name="_Toc300934984"/>
      <w:bookmarkStart w:id="686" w:name="_Toc297123535"/>
      <w:bookmarkStart w:id="687" w:name="_Toc297216194"/>
      <w:bookmarkStart w:id="688" w:name="_Toc312678023"/>
      <w:bookmarkStart w:id="689" w:name="_Toc303539141"/>
      <w:bookmarkStart w:id="690" w:name="_Toc312677497"/>
      <w:bookmarkStart w:id="691" w:name="_Toc318581174"/>
      <w:r>
        <w:rPr>
          <w:rFonts w:hint="eastAsia" w:ascii="宋体" w:hAnsi="宋体" w:cs="宋体"/>
          <w:color w:val="000000"/>
          <w:sz w:val="21"/>
          <w:szCs w:val="21"/>
        </w:rPr>
        <w:t>.1.2 试验设备</w:t>
      </w:r>
    </w:p>
    <w:p w14:paraId="2CFE3015">
      <w:pPr>
        <w:pageBreakBefore w:val="0"/>
        <w:kinsoku/>
        <w:wordWrap/>
        <w:overflowPunct/>
        <w:topLinePunct w:val="0"/>
        <w:bidi w:val="0"/>
        <w:adjustRightInd w:val="0"/>
        <w:snapToGrid/>
        <w:spacing w:line="440" w:lineRule="exact"/>
        <w:ind w:left="420" w:leftChars="200" w:right="420" w:rightChars="200" w:firstLine="367" w:firstLineChars="175"/>
        <w:jc w:val="left"/>
        <w:textAlignment w:val="auto"/>
        <w:rPr>
          <w:rFonts w:hint="eastAsia" w:ascii="宋体" w:hAnsi="宋体" w:cs="宋体"/>
          <w:color w:val="000000"/>
          <w:sz w:val="21"/>
          <w:szCs w:val="21"/>
        </w:rPr>
      </w:pPr>
      <w:r>
        <w:rPr>
          <w:rFonts w:hint="eastAsia" w:ascii="宋体" w:hAnsi="宋体" w:cs="宋体"/>
          <w:color w:val="000000"/>
          <w:sz w:val="21"/>
          <w:szCs w:val="21"/>
        </w:rPr>
        <w:t>施工现场需要配置的试验场所：</w:t>
      </w:r>
      <w:bookmarkEnd w:id="684"/>
      <w:bookmarkEnd w:id="685"/>
      <w:bookmarkEnd w:id="686"/>
      <w:bookmarkEnd w:id="687"/>
      <w:bookmarkEnd w:id="688"/>
      <w:bookmarkEnd w:id="689"/>
      <w:bookmarkEnd w:id="690"/>
      <w:bookmarkStart w:id="692" w:name="_Toc303539142"/>
      <w:bookmarkStart w:id="693" w:name="_Toc300934985"/>
      <w:bookmarkStart w:id="694" w:name="_Toc312677498"/>
      <w:bookmarkStart w:id="695" w:name="_Toc312678024"/>
      <w:bookmarkStart w:id="696" w:name="_Toc297123536"/>
      <w:bookmarkStart w:id="697" w:name="_Toc297216195"/>
      <w:bookmarkStart w:id="698" w:name="_Toc304295562"/>
      <w:r>
        <w:rPr>
          <w:rFonts w:hint="eastAsia" w:ascii="宋体" w:hAnsi="宋体" w:cs="宋体"/>
          <w:color w:val="000000"/>
          <w:sz w:val="21"/>
          <w:szCs w:val="21"/>
          <w:u w:val="single"/>
        </w:rPr>
        <w:t xml:space="preserve">        /          </w:t>
      </w:r>
      <w:r>
        <w:rPr>
          <w:rFonts w:hint="eastAsia" w:ascii="宋体" w:hAnsi="宋体" w:cs="宋体"/>
          <w:color w:val="000000"/>
          <w:sz w:val="21"/>
          <w:szCs w:val="21"/>
        </w:rPr>
        <w:t xml:space="preserve">。 </w:t>
      </w:r>
    </w:p>
    <w:p w14:paraId="72D20C6E">
      <w:pPr>
        <w:pageBreakBefore w:val="0"/>
        <w:kinsoku/>
        <w:wordWrap/>
        <w:overflowPunct/>
        <w:topLinePunct w:val="0"/>
        <w:bidi w:val="0"/>
        <w:adjustRightInd w:val="0"/>
        <w:snapToGrid/>
        <w:spacing w:line="440" w:lineRule="exact"/>
        <w:ind w:left="420" w:leftChars="200" w:right="420" w:rightChars="200" w:firstLine="367" w:firstLineChars="175"/>
        <w:jc w:val="left"/>
        <w:textAlignment w:val="auto"/>
        <w:rPr>
          <w:rFonts w:hint="eastAsia" w:ascii="宋体" w:hAnsi="宋体" w:cs="宋体"/>
          <w:color w:val="000000"/>
          <w:sz w:val="21"/>
          <w:szCs w:val="21"/>
        </w:rPr>
      </w:pPr>
      <w:r>
        <w:rPr>
          <w:rFonts w:hint="eastAsia" w:ascii="宋体" w:hAnsi="宋体" w:cs="宋体"/>
          <w:color w:val="000000"/>
          <w:sz w:val="21"/>
          <w:szCs w:val="21"/>
        </w:rPr>
        <w:t>施工现场需要配备的试验设备：</w:t>
      </w:r>
      <w:r>
        <w:rPr>
          <w:rFonts w:hint="eastAsia" w:ascii="宋体" w:hAnsi="宋体" w:cs="宋体"/>
          <w:color w:val="000000"/>
          <w:sz w:val="21"/>
          <w:szCs w:val="21"/>
          <w:u w:val="single"/>
        </w:rPr>
        <w:t xml:space="preserve">         /          </w:t>
      </w:r>
      <w:r>
        <w:rPr>
          <w:rFonts w:hint="eastAsia" w:ascii="宋体" w:hAnsi="宋体" w:cs="宋体"/>
          <w:color w:val="000000"/>
          <w:sz w:val="21"/>
          <w:szCs w:val="21"/>
        </w:rPr>
        <w:t>。</w:t>
      </w:r>
    </w:p>
    <w:p w14:paraId="5A3C8091">
      <w:pPr>
        <w:pageBreakBefore w:val="0"/>
        <w:kinsoku/>
        <w:wordWrap/>
        <w:overflowPunct/>
        <w:topLinePunct w:val="0"/>
        <w:bidi w:val="0"/>
        <w:adjustRightInd w:val="0"/>
        <w:snapToGrid/>
        <w:spacing w:line="440" w:lineRule="exact"/>
        <w:ind w:left="420" w:leftChars="200" w:right="420" w:rightChars="200" w:firstLine="367" w:firstLineChars="175"/>
        <w:jc w:val="left"/>
        <w:textAlignment w:val="auto"/>
        <w:rPr>
          <w:rFonts w:hint="eastAsia" w:ascii="宋体" w:hAnsi="宋体" w:cs="宋体"/>
          <w:color w:val="000000"/>
          <w:sz w:val="21"/>
          <w:szCs w:val="21"/>
        </w:rPr>
      </w:pPr>
      <w:r>
        <w:rPr>
          <w:rFonts w:hint="eastAsia" w:ascii="宋体" w:hAnsi="宋体" w:cs="宋体"/>
          <w:color w:val="000000"/>
          <w:sz w:val="21"/>
          <w:szCs w:val="21"/>
        </w:rPr>
        <w:t>施工现场需要具备的其他试验条件：</w:t>
      </w:r>
      <w:r>
        <w:rPr>
          <w:rFonts w:hint="eastAsia" w:ascii="宋体" w:hAnsi="宋体" w:cs="宋体"/>
          <w:color w:val="000000"/>
          <w:sz w:val="21"/>
          <w:szCs w:val="21"/>
          <w:u w:val="single"/>
        </w:rPr>
        <w:t xml:space="preserve">       /            </w:t>
      </w:r>
      <w:r>
        <w:rPr>
          <w:rFonts w:hint="eastAsia" w:ascii="宋体" w:hAnsi="宋体" w:cs="宋体"/>
          <w:color w:val="000000"/>
          <w:sz w:val="21"/>
          <w:szCs w:val="21"/>
        </w:rPr>
        <w:t>。</w:t>
      </w:r>
    </w:p>
    <w:p w14:paraId="0990EB77">
      <w:pPr>
        <w:pageBreakBefore w:val="0"/>
        <w:kinsoku/>
        <w:wordWrap/>
        <w:overflowPunct/>
        <w:topLinePunct w:val="0"/>
        <w:bidi w:val="0"/>
        <w:adjustRightInd w:val="0"/>
        <w:snapToGrid/>
        <w:spacing w:line="440" w:lineRule="exact"/>
        <w:ind w:left="420" w:leftChars="200" w:right="420" w:rightChars="200"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 xml:space="preserve">9.4 现场工艺试验 </w:t>
      </w:r>
    </w:p>
    <w:p w14:paraId="06B75EC3">
      <w:pPr>
        <w:pageBreakBefore w:val="0"/>
        <w:kinsoku/>
        <w:wordWrap/>
        <w:overflowPunct/>
        <w:topLinePunct w:val="0"/>
        <w:bidi w:val="0"/>
        <w:adjustRightInd w:val="0"/>
        <w:snapToGrid/>
        <w:spacing w:line="440" w:lineRule="exact"/>
        <w:ind w:left="420" w:leftChars="200" w:right="420" w:rightChars="200" w:firstLine="367" w:firstLineChars="175"/>
        <w:jc w:val="left"/>
        <w:textAlignment w:val="auto"/>
        <w:rPr>
          <w:rFonts w:hint="eastAsia" w:ascii="宋体" w:hAnsi="宋体" w:cs="宋体"/>
          <w:color w:val="000000"/>
          <w:sz w:val="21"/>
          <w:szCs w:val="21"/>
        </w:rPr>
      </w:pPr>
      <w:r>
        <w:rPr>
          <w:rFonts w:hint="eastAsia" w:ascii="宋体" w:hAnsi="宋体" w:cs="宋体"/>
          <w:color w:val="000000"/>
          <w:sz w:val="21"/>
          <w:szCs w:val="21"/>
        </w:rPr>
        <w:t>现场工艺试验的有关约定：</w:t>
      </w:r>
      <w:r>
        <w:rPr>
          <w:rFonts w:hint="eastAsia" w:ascii="宋体" w:hAnsi="宋体" w:cs="宋体"/>
          <w:color w:val="000000"/>
          <w:sz w:val="21"/>
          <w:szCs w:val="21"/>
          <w:u w:val="single"/>
        </w:rPr>
        <w:t xml:space="preserve">           /           </w:t>
      </w:r>
      <w:r>
        <w:rPr>
          <w:rFonts w:hint="eastAsia" w:ascii="宋体" w:hAnsi="宋体" w:cs="宋体"/>
          <w:color w:val="000000"/>
          <w:sz w:val="21"/>
          <w:szCs w:val="21"/>
        </w:rPr>
        <w:t>。</w:t>
      </w:r>
    </w:p>
    <w:bookmarkEnd w:id="665"/>
    <w:bookmarkEnd w:id="666"/>
    <w:bookmarkEnd w:id="667"/>
    <w:bookmarkEnd w:id="668"/>
    <w:bookmarkEnd w:id="669"/>
    <w:bookmarkEnd w:id="670"/>
    <w:bookmarkEnd w:id="671"/>
    <w:bookmarkEnd w:id="672"/>
    <w:bookmarkEnd w:id="673"/>
    <w:bookmarkEnd w:id="674"/>
    <w:bookmarkEnd w:id="675"/>
    <w:bookmarkEnd w:id="676"/>
    <w:bookmarkEnd w:id="691"/>
    <w:bookmarkEnd w:id="692"/>
    <w:bookmarkEnd w:id="693"/>
    <w:bookmarkEnd w:id="694"/>
    <w:bookmarkEnd w:id="695"/>
    <w:bookmarkEnd w:id="696"/>
    <w:bookmarkEnd w:id="697"/>
    <w:bookmarkEnd w:id="698"/>
    <w:p w14:paraId="3ADE1D47">
      <w:pPr>
        <w:pStyle w:val="6"/>
        <w:keepNext w:val="0"/>
        <w:keepLines w:val="0"/>
        <w:pageBreakBefore w:val="0"/>
        <w:numPr>
          <w:ilvl w:val="3"/>
          <w:numId w:val="0"/>
        </w:numPr>
        <w:kinsoku/>
        <w:wordWrap/>
        <w:overflowPunct/>
        <w:topLinePunct w:val="0"/>
        <w:bidi w:val="0"/>
        <w:adjustRightInd w:val="0"/>
        <w:snapToGrid/>
        <w:spacing w:before="0" w:after="0" w:line="440" w:lineRule="exact"/>
        <w:ind w:left="420" w:leftChars="200" w:right="420" w:rightChars="200"/>
        <w:textAlignment w:val="auto"/>
        <w:rPr>
          <w:rFonts w:hint="eastAsia" w:ascii="宋体" w:hAnsi="宋体" w:eastAsia="宋体" w:cs="宋体"/>
          <w:b w:val="0"/>
          <w:color w:val="000000"/>
          <w:sz w:val="21"/>
          <w:szCs w:val="21"/>
        </w:rPr>
      </w:pPr>
      <w:bookmarkStart w:id="699" w:name="_Toc351203642"/>
      <w:bookmarkStart w:id="700" w:name="_Toc386638616"/>
      <w:bookmarkStart w:id="701" w:name="_Toc267251439"/>
      <w:bookmarkStart w:id="702" w:name="_Toc267251442"/>
      <w:bookmarkStart w:id="703" w:name="_Toc267251437"/>
      <w:bookmarkStart w:id="704" w:name="_Toc267251435"/>
      <w:bookmarkStart w:id="705" w:name="_Toc267251440"/>
      <w:bookmarkStart w:id="706" w:name="_Toc267251441"/>
      <w:bookmarkStart w:id="707" w:name="_Toc267251433"/>
      <w:r>
        <w:rPr>
          <w:rFonts w:hint="eastAsia" w:ascii="宋体" w:hAnsi="宋体" w:eastAsia="宋体" w:cs="宋体"/>
          <w:b w:val="0"/>
          <w:color w:val="000000"/>
          <w:sz w:val="21"/>
          <w:szCs w:val="21"/>
        </w:rPr>
        <w:t>1</w:t>
      </w:r>
      <w:bookmarkStart w:id="708" w:name="_Toc296347192"/>
      <w:bookmarkStart w:id="709" w:name="_Toc296944532"/>
      <w:bookmarkStart w:id="710" w:name="_Toc296503193"/>
      <w:bookmarkStart w:id="711" w:name="_Toc297120493"/>
      <w:bookmarkStart w:id="712" w:name="_Toc297048379"/>
      <w:bookmarkStart w:id="713" w:name="_Toc296891021"/>
      <w:bookmarkStart w:id="714" w:name="_Toc296891233"/>
      <w:bookmarkStart w:id="715" w:name="_Toc297216199"/>
      <w:bookmarkStart w:id="716" w:name="_Toc304295566"/>
      <w:bookmarkStart w:id="717" w:name="_Toc296346694"/>
      <w:bookmarkStart w:id="718" w:name="_Toc292559903"/>
      <w:bookmarkStart w:id="719" w:name="_Toc303539146"/>
      <w:bookmarkStart w:id="720" w:name="_Toc297123540"/>
      <w:bookmarkStart w:id="721" w:name="_Toc300934989"/>
      <w:bookmarkStart w:id="722" w:name="_Toc292559398"/>
      <w:bookmarkStart w:id="723" w:name="_Toc312677499"/>
      <w:bookmarkStart w:id="724" w:name="_Toc312678025"/>
      <w:r>
        <w:rPr>
          <w:rFonts w:hint="eastAsia" w:ascii="宋体" w:hAnsi="宋体" w:eastAsia="宋体" w:cs="宋体"/>
          <w:b w:val="0"/>
          <w:color w:val="000000"/>
          <w:sz w:val="21"/>
          <w:szCs w:val="21"/>
        </w:rPr>
        <w:t>0. 变更</w:t>
      </w:r>
      <w:bookmarkEnd w:id="699"/>
      <w:bookmarkEnd w:id="700"/>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p>
    <w:bookmarkEnd w:id="723"/>
    <w:bookmarkEnd w:id="724"/>
    <w:p w14:paraId="3A046C16">
      <w:pPr>
        <w:pageBreakBefore w:val="0"/>
        <w:kinsoku/>
        <w:wordWrap/>
        <w:overflowPunct/>
        <w:topLinePunct w:val="0"/>
        <w:bidi w:val="0"/>
        <w:adjustRightInd w:val="0"/>
        <w:snapToGrid/>
        <w:spacing w:line="440" w:lineRule="exact"/>
        <w:ind w:left="420" w:leftChars="200" w:right="420" w:rightChars="200"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1</w:t>
      </w:r>
      <w:bookmarkStart w:id="725" w:name="_Toc297120494"/>
      <w:bookmarkStart w:id="726" w:name="_Toc296347193"/>
      <w:bookmarkStart w:id="727" w:name="_Toc296503194"/>
      <w:bookmarkStart w:id="728" w:name="_Toc296891234"/>
      <w:bookmarkStart w:id="729" w:name="_Toc296944533"/>
      <w:bookmarkStart w:id="730" w:name="_Toc312677500"/>
      <w:bookmarkStart w:id="731" w:name="_Toc297123541"/>
      <w:bookmarkStart w:id="732" w:name="_Toc292559904"/>
      <w:bookmarkStart w:id="733" w:name="_Toc296891022"/>
      <w:bookmarkStart w:id="734" w:name="_Toc300934990"/>
      <w:bookmarkStart w:id="735" w:name="_Toc296346695"/>
      <w:bookmarkStart w:id="736" w:name="_Toc303539147"/>
      <w:bookmarkStart w:id="737" w:name="_Toc297048380"/>
      <w:bookmarkStart w:id="738" w:name="_Toc297216200"/>
      <w:bookmarkStart w:id="739" w:name="_Toc292559399"/>
      <w:bookmarkStart w:id="740" w:name="_Toc312678026"/>
      <w:bookmarkStart w:id="741" w:name="_Toc304295567"/>
      <w:r>
        <w:rPr>
          <w:rFonts w:hint="eastAsia" w:ascii="宋体" w:hAnsi="宋体" w:cs="宋体"/>
          <w:color w:val="000000"/>
          <w:sz w:val="21"/>
          <w:szCs w:val="21"/>
        </w:rPr>
        <w:t>0.1变更的范围</w:t>
      </w:r>
    </w:p>
    <w:p w14:paraId="7CD6530D">
      <w:pPr>
        <w:pageBreakBefore w:val="0"/>
        <w:kinsoku/>
        <w:wordWrap/>
        <w:overflowPunct/>
        <w:topLinePunct w:val="0"/>
        <w:bidi w:val="0"/>
        <w:adjustRightInd w:val="0"/>
        <w:snapToGrid/>
        <w:spacing w:line="440" w:lineRule="exact"/>
        <w:ind w:left="420" w:leftChars="200" w:right="420" w:rightChars="200"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关于变更的范围的约定：</w:t>
      </w:r>
      <w:r>
        <w:rPr>
          <w:rFonts w:hint="eastAsia" w:ascii="宋体" w:hAnsi="宋体" w:cs="宋体"/>
          <w:color w:val="000000"/>
          <w:sz w:val="21"/>
          <w:szCs w:val="21"/>
          <w:u w:val="single"/>
        </w:rPr>
        <w:t>除了通用合同条款明确的以外还包括：工程质量、规模标准（等级）的改变调整；工程施工内容增、减、取消；设计图纸的修改（包括</w:t>
      </w:r>
      <w:r>
        <w:rPr>
          <w:rFonts w:hint="eastAsia" w:ascii="宋体" w:hAnsi="宋体" w:cs="宋体"/>
          <w:color w:val="000000"/>
          <w:sz w:val="21"/>
          <w:szCs w:val="21"/>
          <w:u w:val="single"/>
          <w:shd w:val="clear" w:color="auto" w:fill="FFFFFF"/>
        </w:rPr>
        <w:t>功能或构造、</w:t>
      </w:r>
      <w:r>
        <w:rPr>
          <w:rFonts w:hint="eastAsia" w:ascii="宋体" w:hAnsi="宋体" w:cs="宋体"/>
          <w:color w:val="000000"/>
          <w:sz w:val="21"/>
          <w:szCs w:val="21"/>
          <w:u w:val="single"/>
        </w:rPr>
        <w:t>工艺或做法、技术指标等工程设计上的优化或时间、顺序的改变）；施工条件以及施工组织设计上的改变；材料与设备的换用以及材料暂定价格的调整；其他实质性变更</w:t>
      </w:r>
      <w:r>
        <w:rPr>
          <w:rFonts w:hint="eastAsia" w:ascii="宋体" w:hAnsi="宋体" w:cs="宋体"/>
          <w:color w:val="000000"/>
          <w:sz w:val="21"/>
          <w:szCs w:val="21"/>
        </w:rPr>
        <w:t>。</w:t>
      </w:r>
    </w:p>
    <w:p w14:paraId="4C736557">
      <w:pPr>
        <w:pageBreakBefore w:val="0"/>
        <w:kinsoku/>
        <w:wordWrap/>
        <w:overflowPunct/>
        <w:topLinePunct w:val="0"/>
        <w:bidi w:val="0"/>
        <w:adjustRightInd w:val="0"/>
        <w:snapToGrid/>
        <w:spacing w:line="440" w:lineRule="exact"/>
        <w:ind w:left="420" w:leftChars="200" w:right="420" w:rightChars="200"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10.2变更权</w:t>
      </w:r>
    </w:p>
    <w:p w14:paraId="19429C05">
      <w:pPr>
        <w:pageBreakBefore w:val="0"/>
        <w:kinsoku/>
        <w:wordWrap/>
        <w:overflowPunct/>
        <w:topLinePunct w:val="0"/>
        <w:bidi w:val="0"/>
        <w:adjustRightInd w:val="0"/>
        <w:snapToGrid/>
        <w:spacing w:line="440" w:lineRule="exact"/>
        <w:ind w:left="420" w:leftChars="200" w:right="420" w:rightChars="200" w:firstLine="420" w:firstLineChars="200"/>
        <w:jc w:val="left"/>
        <w:textAlignment w:val="auto"/>
        <w:rPr>
          <w:rFonts w:hint="eastAsia" w:ascii="宋体" w:hAnsi="宋体"/>
          <w:sz w:val="21"/>
          <w:szCs w:val="21"/>
          <w:u w:val="single"/>
        </w:rPr>
      </w:pPr>
      <w:r>
        <w:rPr>
          <w:rFonts w:hint="eastAsia" w:ascii="宋体" w:hAnsi="宋体" w:cs="宋体"/>
          <w:sz w:val="21"/>
          <w:szCs w:val="21"/>
          <w:u w:val="single"/>
        </w:rPr>
        <w:t>合同履行过程中发生工程变更的，工程变更权限按以下文件执行：</w:t>
      </w:r>
      <w:r>
        <w:rPr>
          <w:rFonts w:hint="eastAsia" w:ascii="宋体" w:hAnsi="宋体"/>
          <w:sz w:val="21"/>
          <w:szCs w:val="21"/>
          <w:u w:val="single"/>
          <w:lang w:eastAsia="zh-CN"/>
        </w:rPr>
        <w:t>《宁海县政府投资项目工程造价管控办法》（宁发改（2023）51号）</w:t>
      </w:r>
      <w:r>
        <w:rPr>
          <w:rFonts w:hint="eastAsia" w:ascii="宋体" w:hAnsi="宋体"/>
          <w:sz w:val="21"/>
          <w:szCs w:val="21"/>
          <w:u w:val="single"/>
        </w:rPr>
        <w:t>和建设单位工程变更管理办法。</w:t>
      </w:r>
    </w:p>
    <w:p w14:paraId="3F4479AC">
      <w:pPr>
        <w:pageBreakBefore w:val="0"/>
        <w:kinsoku/>
        <w:wordWrap/>
        <w:overflowPunct/>
        <w:topLinePunct w:val="0"/>
        <w:bidi w:val="0"/>
        <w:adjustRightInd w:val="0"/>
        <w:snapToGrid/>
        <w:spacing w:line="440" w:lineRule="exact"/>
        <w:ind w:left="420" w:leftChars="200" w:right="420" w:rightChars="200"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10.3变更程序</w:t>
      </w:r>
    </w:p>
    <w:bookmarkEnd w:id="701"/>
    <w:bookmarkEnd w:id="702"/>
    <w:bookmarkEnd w:id="703"/>
    <w:bookmarkEnd w:id="704"/>
    <w:bookmarkEnd w:id="705"/>
    <w:bookmarkEnd w:id="706"/>
    <w:bookmarkEnd w:id="707"/>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p w14:paraId="2188AA73">
      <w:pPr>
        <w:pageBreakBefore w:val="0"/>
        <w:kinsoku/>
        <w:wordWrap/>
        <w:overflowPunct/>
        <w:topLinePunct w:val="0"/>
        <w:bidi w:val="0"/>
        <w:adjustRightInd w:val="0"/>
        <w:snapToGrid/>
        <w:spacing w:line="440" w:lineRule="exact"/>
        <w:ind w:left="420" w:leftChars="200" w:right="420" w:rightChars="200" w:firstLine="420" w:firstLineChars="200"/>
        <w:textAlignment w:val="auto"/>
        <w:rPr>
          <w:rFonts w:hint="eastAsia" w:ascii="宋体" w:hAnsi="宋体"/>
          <w:sz w:val="21"/>
          <w:szCs w:val="21"/>
        </w:rPr>
      </w:pPr>
      <w:bookmarkStart w:id="742" w:name="_Toc351203645"/>
      <w:bookmarkStart w:id="743" w:name="_Toc386638619"/>
      <w:bookmarkStart w:id="744" w:name="_Toc297123564"/>
      <w:bookmarkStart w:id="745" w:name="_Toc303539172"/>
      <w:bookmarkStart w:id="746" w:name="_Toc292559929"/>
      <w:bookmarkStart w:id="747" w:name="_Toc296944558"/>
      <w:bookmarkStart w:id="748" w:name="_Toc296891047"/>
      <w:bookmarkStart w:id="749" w:name="_Toc300935015"/>
      <w:bookmarkStart w:id="750" w:name="_Toc297216223"/>
      <w:bookmarkStart w:id="751" w:name="_Toc304295593"/>
      <w:bookmarkStart w:id="752" w:name="_Toc296347218"/>
      <w:bookmarkStart w:id="753" w:name="_Toc296891259"/>
      <w:bookmarkStart w:id="754" w:name="_Toc297120519"/>
      <w:bookmarkStart w:id="755" w:name="_Toc296346720"/>
      <w:bookmarkStart w:id="756" w:name="_Toc296503219"/>
      <w:bookmarkStart w:id="757" w:name="_Toc312678053"/>
      <w:bookmarkStart w:id="758" w:name="_Toc297048405"/>
      <w:bookmarkStart w:id="759" w:name="_Toc292559424"/>
      <w:r>
        <w:rPr>
          <w:rFonts w:hint="eastAsia" w:ascii="宋体" w:hAnsi="宋体" w:cs="宋体"/>
          <w:sz w:val="21"/>
          <w:szCs w:val="21"/>
        </w:rPr>
        <w:t>合同履行</w:t>
      </w:r>
      <w:r>
        <w:rPr>
          <w:rFonts w:hint="eastAsia" w:ascii="宋体" w:hAnsi="宋体"/>
          <w:sz w:val="21"/>
          <w:szCs w:val="21"/>
        </w:rPr>
        <w:t>过程中发生工程</w:t>
      </w:r>
      <w:r>
        <w:rPr>
          <w:rFonts w:hint="eastAsia" w:ascii="宋体" w:hAnsi="宋体" w:cs="宋体"/>
          <w:sz w:val="21"/>
          <w:szCs w:val="21"/>
        </w:rPr>
        <w:t>变更的，工程变更按</w:t>
      </w:r>
      <w:r>
        <w:rPr>
          <w:rFonts w:hint="eastAsia" w:ascii="宋体" w:hAnsi="宋体"/>
          <w:sz w:val="21"/>
          <w:szCs w:val="21"/>
          <w:u w:val="single"/>
          <w:lang w:eastAsia="zh-CN"/>
        </w:rPr>
        <w:t>《宁海县政府投资项目工程造价管控办法》（宁发改（2023）51号）</w:t>
      </w:r>
      <w:r>
        <w:rPr>
          <w:rFonts w:hint="eastAsia" w:ascii="宋体" w:hAnsi="宋体"/>
          <w:sz w:val="21"/>
          <w:szCs w:val="21"/>
          <w:u w:val="single"/>
        </w:rPr>
        <w:t>规定的</w:t>
      </w:r>
      <w:r>
        <w:rPr>
          <w:rFonts w:hint="eastAsia" w:ascii="宋体" w:hAnsi="宋体" w:cs="宋体"/>
          <w:sz w:val="21"/>
          <w:szCs w:val="21"/>
          <w:u w:val="single"/>
        </w:rPr>
        <w:t>程序和建设单位工程变更程序办理。</w:t>
      </w:r>
    </w:p>
    <w:p w14:paraId="3FEFCC7A">
      <w:pPr>
        <w:pageBreakBefore w:val="0"/>
        <w:kinsoku/>
        <w:wordWrap/>
        <w:overflowPunct/>
        <w:topLinePunct w:val="0"/>
        <w:bidi w:val="0"/>
        <w:adjustRightInd w:val="0"/>
        <w:snapToGrid/>
        <w:spacing w:line="440" w:lineRule="exact"/>
        <w:ind w:left="420" w:leftChars="200" w:right="420" w:rightChars="200" w:firstLine="420" w:firstLineChars="200"/>
        <w:textAlignment w:val="auto"/>
        <w:rPr>
          <w:rFonts w:ascii="宋体" w:hAnsi="宋体"/>
          <w:sz w:val="21"/>
          <w:szCs w:val="21"/>
        </w:rPr>
      </w:pPr>
      <w:r>
        <w:rPr>
          <w:rFonts w:ascii="宋体" w:hAnsi="宋体"/>
          <w:sz w:val="21"/>
          <w:szCs w:val="21"/>
        </w:rPr>
        <w:t>10.4 变更估价</w:t>
      </w:r>
    </w:p>
    <w:p w14:paraId="1FA384F3">
      <w:pPr>
        <w:pageBreakBefore w:val="0"/>
        <w:kinsoku/>
        <w:wordWrap/>
        <w:overflowPunct/>
        <w:topLinePunct w:val="0"/>
        <w:bidi w:val="0"/>
        <w:adjustRightInd w:val="0"/>
        <w:snapToGrid/>
        <w:spacing w:line="440" w:lineRule="exact"/>
        <w:ind w:left="420" w:leftChars="200" w:right="420" w:rightChars="200" w:firstLine="420" w:firstLineChars="200"/>
        <w:jc w:val="left"/>
        <w:textAlignment w:val="auto"/>
        <w:rPr>
          <w:rFonts w:hint="eastAsia" w:ascii="宋体" w:hAnsi="宋体"/>
          <w:sz w:val="21"/>
          <w:szCs w:val="21"/>
        </w:rPr>
      </w:pPr>
      <w:r>
        <w:rPr>
          <w:rFonts w:hint="eastAsia" w:ascii="宋体" w:hAnsi="宋体"/>
          <w:sz w:val="21"/>
          <w:szCs w:val="21"/>
        </w:rPr>
        <w:t>10.4.1 变更估价原则</w:t>
      </w:r>
    </w:p>
    <w:p w14:paraId="3E2F8F76">
      <w:pPr>
        <w:pageBreakBefore w:val="0"/>
        <w:kinsoku/>
        <w:wordWrap/>
        <w:overflowPunct/>
        <w:topLinePunct w:val="0"/>
        <w:bidi w:val="0"/>
        <w:adjustRightInd w:val="0"/>
        <w:snapToGrid/>
        <w:spacing w:line="440" w:lineRule="exact"/>
        <w:ind w:left="420" w:leftChars="200" w:right="420" w:rightChars="200" w:firstLine="420" w:firstLineChars="200"/>
        <w:textAlignment w:val="auto"/>
        <w:rPr>
          <w:rFonts w:hint="eastAsia" w:ascii="宋体" w:hAnsi="宋体"/>
          <w:sz w:val="21"/>
          <w:szCs w:val="21"/>
        </w:rPr>
      </w:pPr>
      <w:r>
        <w:rPr>
          <w:rFonts w:ascii="宋体" w:hAnsi="宋体"/>
          <w:sz w:val="21"/>
          <w:szCs w:val="21"/>
        </w:rPr>
        <w:t xml:space="preserve">关于变更估价的约定: </w:t>
      </w:r>
    </w:p>
    <w:p w14:paraId="68E6991C">
      <w:pPr>
        <w:pageBreakBefore w:val="0"/>
        <w:kinsoku/>
        <w:wordWrap/>
        <w:overflowPunct/>
        <w:topLinePunct w:val="0"/>
        <w:bidi w:val="0"/>
        <w:adjustRightInd w:val="0"/>
        <w:snapToGrid/>
        <w:spacing w:line="440" w:lineRule="exact"/>
        <w:ind w:left="420" w:leftChars="200" w:right="420" w:rightChars="200" w:firstLine="420" w:firstLineChars="200"/>
        <w:textAlignment w:val="auto"/>
        <w:rPr>
          <w:rFonts w:hint="eastAsia" w:ascii="宋体" w:hAnsi="宋体"/>
          <w:kern w:val="0"/>
          <w:sz w:val="21"/>
          <w:szCs w:val="21"/>
        </w:rPr>
      </w:pPr>
      <w:r>
        <w:rPr>
          <w:rFonts w:hint="eastAsia" w:ascii="宋体" w:hAnsi="宋体"/>
          <w:kern w:val="0"/>
          <w:sz w:val="21"/>
          <w:szCs w:val="21"/>
        </w:rPr>
        <w:t xml:space="preserve">关于变更估价的约定: </w:t>
      </w:r>
    </w:p>
    <w:p w14:paraId="7CE2013B">
      <w:pPr>
        <w:pageBreakBefore w:val="0"/>
        <w:kinsoku/>
        <w:wordWrap/>
        <w:overflowPunct/>
        <w:topLinePunct w:val="0"/>
        <w:bidi w:val="0"/>
        <w:adjustRightInd w:val="0"/>
        <w:snapToGrid/>
        <w:spacing w:line="440" w:lineRule="exact"/>
        <w:ind w:left="420" w:leftChars="200" w:right="420" w:rightChars="200" w:firstLine="420" w:firstLineChars="200"/>
        <w:textAlignment w:val="auto"/>
        <w:rPr>
          <w:rFonts w:hint="eastAsia" w:ascii="宋体" w:hAnsi="宋体"/>
          <w:kern w:val="0"/>
          <w:sz w:val="21"/>
          <w:szCs w:val="21"/>
        </w:rPr>
      </w:pPr>
      <w:r>
        <w:rPr>
          <w:rFonts w:hint="eastAsia" w:ascii="宋体" w:hAnsi="宋体"/>
          <w:kern w:val="0"/>
          <w:sz w:val="21"/>
          <w:szCs w:val="21"/>
        </w:rPr>
        <w:t xml:space="preserve">合同履行过程中，发生下列情况之一的，工程量清单项目及其工程量均应按实调整： </w:t>
      </w:r>
    </w:p>
    <w:p w14:paraId="4FCE6DC3">
      <w:pPr>
        <w:pageBreakBefore w:val="0"/>
        <w:kinsoku/>
        <w:wordWrap/>
        <w:overflowPunct/>
        <w:topLinePunct w:val="0"/>
        <w:bidi w:val="0"/>
        <w:adjustRightInd w:val="0"/>
        <w:snapToGrid/>
        <w:spacing w:line="440" w:lineRule="exact"/>
        <w:ind w:left="420" w:leftChars="200" w:right="420" w:rightChars="200" w:firstLine="420" w:firstLineChars="200"/>
        <w:textAlignment w:val="auto"/>
        <w:rPr>
          <w:rFonts w:hint="eastAsia" w:ascii="宋体" w:hAnsi="宋体"/>
          <w:kern w:val="0"/>
          <w:sz w:val="21"/>
          <w:szCs w:val="21"/>
        </w:rPr>
      </w:pPr>
      <w:r>
        <w:rPr>
          <w:rFonts w:hint="eastAsia" w:ascii="宋体" w:hAnsi="宋体"/>
          <w:kern w:val="0"/>
          <w:sz w:val="21"/>
          <w:szCs w:val="21"/>
        </w:rPr>
        <w:t>（1）设计变更引起新增清单项目或取消原有项目；</w:t>
      </w:r>
    </w:p>
    <w:p w14:paraId="460D9599">
      <w:pPr>
        <w:pageBreakBefore w:val="0"/>
        <w:kinsoku/>
        <w:wordWrap/>
        <w:overflowPunct/>
        <w:topLinePunct w:val="0"/>
        <w:bidi w:val="0"/>
        <w:adjustRightInd w:val="0"/>
        <w:snapToGrid/>
        <w:spacing w:line="440" w:lineRule="exact"/>
        <w:ind w:left="420" w:leftChars="200" w:right="420" w:rightChars="200" w:firstLine="420" w:firstLineChars="200"/>
        <w:textAlignment w:val="auto"/>
        <w:rPr>
          <w:rFonts w:hint="eastAsia" w:ascii="宋体" w:hAnsi="宋体"/>
          <w:kern w:val="0"/>
          <w:sz w:val="21"/>
          <w:szCs w:val="21"/>
        </w:rPr>
      </w:pPr>
      <w:r>
        <w:rPr>
          <w:rFonts w:hint="eastAsia" w:ascii="宋体" w:hAnsi="宋体"/>
          <w:kern w:val="0"/>
          <w:sz w:val="21"/>
          <w:szCs w:val="21"/>
        </w:rPr>
        <w:t>（2）设计变更引起的工程量清单项目数量的增减。</w:t>
      </w:r>
    </w:p>
    <w:p w14:paraId="461217FA">
      <w:pPr>
        <w:pageBreakBefore w:val="0"/>
        <w:kinsoku/>
        <w:wordWrap/>
        <w:overflowPunct/>
        <w:topLinePunct w:val="0"/>
        <w:bidi w:val="0"/>
        <w:adjustRightInd w:val="0"/>
        <w:snapToGrid/>
        <w:spacing w:line="440" w:lineRule="exact"/>
        <w:ind w:left="420" w:leftChars="200" w:right="420" w:rightChars="200" w:firstLine="420" w:firstLineChars="200"/>
        <w:textAlignment w:val="auto"/>
        <w:rPr>
          <w:rFonts w:hint="eastAsia" w:ascii="宋体" w:hAnsi="宋体"/>
          <w:kern w:val="0"/>
          <w:sz w:val="21"/>
          <w:szCs w:val="21"/>
        </w:rPr>
      </w:pPr>
      <w:r>
        <w:rPr>
          <w:rFonts w:hint="eastAsia" w:ascii="宋体" w:hAnsi="宋体"/>
          <w:kern w:val="0"/>
          <w:sz w:val="21"/>
          <w:szCs w:val="21"/>
        </w:rPr>
        <w:t>合同履行过程中，如出现工程量偏差达到合同约定幅度、工程量清单项目特征描述与施工图不符、工程量清单缺项、工程变更引起原清单项目特征描述变化以及增加的清单项目时，其相应综合单价按以下原则确定：</w:t>
      </w:r>
    </w:p>
    <w:p w14:paraId="76DED1DF">
      <w:pPr>
        <w:pageBreakBefore w:val="0"/>
        <w:kinsoku/>
        <w:wordWrap/>
        <w:overflowPunct/>
        <w:topLinePunct w:val="0"/>
        <w:bidi w:val="0"/>
        <w:adjustRightInd w:val="0"/>
        <w:snapToGrid/>
        <w:spacing w:line="440" w:lineRule="exact"/>
        <w:ind w:left="420" w:leftChars="200" w:right="420" w:rightChars="200" w:firstLine="420" w:firstLineChars="200"/>
        <w:textAlignment w:val="auto"/>
        <w:rPr>
          <w:rFonts w:hint="eastAsia" w:ascii="宋体" w:hAnsi="宋体"/>
          <w:kern w:val="0"/>
          <w:sz w:val="21"/>
          <w:szCs w:val="21"/>
          <w:lang w:val="en-US" w:eastAsia="zh-CN"/>
        </w:rPr>
      </w:pPr>
      <w:r>
        <w:rPr>
          <w:rFonts w:hint="eastAsia" w:ascii="宋体" w:hAnsi="宋体"/>
          <w:kern w:val="0"/>
          <w:sz w:val="21"/>
          <w:szCs w:val="21"/>
          <w:lang w:val="en-US" w:eastAsia="zh-CN"/>
        </w:rPr>
        <w:t>10.4.1.1</w:t>
      </w:r>
    </w:p>
    <w:p w14:paraId="63F15A3A">
      <w:pPr>
        <w:pageBreakBefore w:val="0"/>
        <w:kinsoku/>
        <w:wordWrap/>
        <w:overflowPunct/>
        <w:topLinePunct w:val="0"/>
        <w:bidi w:val="0"/>
        <w:adjustRightInd w:val="0"/>
        <w:snapToGrid/>
        <w:spacing w:line="440" w:lineRule="exact"/>
        <w:ind w:left="420" w:leftChars="200" w:right="420" w:rightChars="200" w:firstLine="420" w:firstLineChars="200"/>
        <w:textAlignment w:val="auto"/>
        <w:rPr>
          <w:rFonts w:hint="eastAsia" w:ascii="宋体" w:hAnsi="宋体" w:cs="Times New Roman"/>
          <w:kern w:val="0"/>
          <w:sz w:val="21"/>
          <w:szCs w:val="21"/>
        </w:rPr>
      </w:pPr>
      <w:r>
        <w:rPr>
          <w:rFonts w:hint="eastAsia" w:ascii="宋体" w:hAnsi="宋体" w:cs="Times New Roman"/>
          <w:kern w:val="0"/>
          <w:sz w:val="21"/>
          <w:szCs w:val="21"/>
        </w:rPr>
        <w:t xml:space="preserve">（1）非承包人原因引起的工程量偏差，该项工程量变化幅度在规定范围以内的，应执行合同原有的综合单价；  </w:t>
      </w:r>
    </w:p>
    <w:p w14:paraId="3D80CAFE">
      <w:pPr>
        <w:pageBreakBefore w:val="0"/>
        <w:kinsoku/>
        <w:wordWrap/>
        <w:overflowPunct/>
        <w:topLinePunct w:val="0"/>
        <w:bidi w:val="0"/>
        <w:adjustRightInd w:val="0"/>
        <w:snapToGrid/>
        <w:spacing w:line="440" w:lineRule="exact"/>
        <w:ind w:left="420" w:leftChars="200" w:right="420" w:rightChars="200" w:firstLine="420" w:firstLineChars="200"/>
        <w:textAlignment w:val="auto"/>
        <w:rPr>
          <w:rFonts w:hint="eastAsia" w:ascii="宋体" w:hAnsi="宋体" w:cs="Times New Roman"/>
          <w:kern w:val="0"/>
          <w:sz w:val="21"/>
          <w:szCs w:val="21"/>
        </w:rPr>
      </w:pPr>
      <w:r>
        <w:rPr>
          <w:rFonts w:hint="eastAsia" w:ascii="宋体" w:hAnsi="宋体" w:cs="Times New Roman"/>
          <w:kern w:val="0"/>
          <w:sz w:val="21"/>
          <w:szCs w:val="21"/>
        </w:rPr>
        <w:t>合价金额占合同总价2%及以上的分部分项清单项目其工程量增减超过本项工程量15%及以上，或合价金额占合同总价不到2%的分部分项清单项目，但其工程量增减超过本项目工程数量</w:t>
      </w:r>
      <w:r>
        <w:rPr>
          <w:rFonts w:hint="eastAsia" w:ascii="宋体" w:hAnsi="宋体" w:cs="Times New Roman"/>
          <w:kern w:val="0"/>
          <w:sz w:val="21"/>
          <w:szCs w:val="21"/>
          <w:lang w:val="en-US" w:eastAsia="zh-CN"/>
        </w:rPr>
        <w:t>2</w:t>
      </w:r>
      <w:r>
        <w:rPr>
          <w:rFonts w:hint="eastAsia" w:ascii="宋体" w:hAnsi="宋体" w:cs="Times New Roman"/>
          <w:kern w:val="0"/>
          <w:sz w:val="21"/>
          <w:szCs w:val="21"/>
        </w:rPr>
        <w:t>5%及以上时，则超过部分应重新确定综合单价。综合单价由承包人按合同约定(招标文件)的计价依据并取费结合</w:t>
      </w:r>
      <w:r>
        <w:rPr>
          <w:rFonts w:hint="eastAsia" w:ascii="宋体" w:hAnsi="宋体" w:eastAsia="宋体" w:cs="Times New Roman"/>
          <w:kern w:val="0"/>
          <w:sz w:val="21"/>
          <w:szCs w:val="21"/>
        </w:rPr>
        <w:t>《关于进一步加强建设工程要素价格动态管理工作的通知》（甬建价〔2021〕9号）文件</w:t>
      </w:r>
      <w:r>
        <w:rPr>
          <w:rFonts w:hint="eastAsia" w:ascii="宋体" w:hAnsi="宋体" w:eastAsia="宋体" w:cs="Times New Roman"/>
          <w:kern w:val="0"/>
          <w:sz w:val="21"/>
          <w:szCs w:val="21"/>
          <w:lang w:val="en-US" w:eastAsia="zh-CN"/>
        </w:rPr>
        <w:t>按</w:t>
      </w:r>
      <w:r>
        <w:rPr>
          <w:rFonts w:hint="eastAsia" w:ascii="宋体" w:hAnsi="宋体" w:cs="Times New Roman"/>
          <w:kern w:val="0"/>
          <w:sz w:val="21"/>
          <w:szCs w:val="21"/>
        </w:rPr>
        <w:t>约定下浮率（总价下浮</w:t>
      </w:r>
      <w:r>
        <w:rPr>
          <w:rFonts w:hint="eastAsia" w:ascii="宋体" w:hAnsi="宋体" w:cs="Times New Roman"/>
          <w:kern w:val="0"/>
          <w:sz w:val="21"/>
          <w:szCs w:val="21"/>
          <w:u w:val="single"/>
          <w:lang w:val="en-US" w:eastAsia="zh-CN"/>
        </w:rPr>
        <w:t xml:space="preserve">   </w:t>
      </w:r>
      <w:r>
        <w:rPr>
          <w:rFonts w:hint="eastAsia" w:ascii="宋体" w:hAnsi="宋体" w:cs="Times New Roman"/>
          <w:kern w:val="0"/>
          <w:sz w:val="21"/>
          <w:szCs w:val="21"/>
          <w:lang w:val="en-US" w:eastAsia="zh-CN"/>
        </w:rPr>
        <w:t xml:space="preserve"> %</w:t>
      </w:r>
      <w:r>
        <w:rPr>
          <w:rFonts w:hint="eastAsia" w:ascii="宋体" w:hAnsi="宋体" w:cs="Times New Roman"/>
          <w:kern w:val="0"/>
          <w:sz w:val="21"/>
          <w:szCs w:val="21"/>
        </w:rPr>
        <w:t>）组价后提出，经发包人确认后调整。[工程类别：</w:t>
      </w:r>
      <w:r>
        <w:rPr>
          <w:rFonts w:hint="eastAsia" w:ascii="宋体" w:hAnsi="宋体" w:cs="Times New Roman"/>
          <w:kern w:val="0"/>
          <w:sz w:val="21"/>
          <w:szCs w:val="21"/>
          <w:lang w:val="en-US" w:eastAsia="zh-CN"/>
        </w:rPr>
        <w:t>(1)市政</w:t>
      </w:r>
      <w:r>
        <w:rPr>
          <w:rFonts w:hint="eastAsia" w:ascii="宋体" w:hAnsi="宋体" w:cs="Times New Roman"/>
          <w:kern w:val="0"/>
          <w:sz w:val="21"/>
          <w:szCs w:val="21"/>
          <w:lang w:eastAsia="zh-CN"/>
        </w:rPr>
        <w:t>工程：企业管理费及利润按市政工程（</w:t>
      </w:r>
      <w:r>
        <w:rPr>
          <w:rFonts w:hint="eastAsia" w:ascii="宋体" w:hAnsi="宋体" w:cs="Times New Roman"/>
          <w:kern w:val="0"/>
          <w:sz w:val="21"/>
          <w:szCs w:val="21"/>
          <w:lang w:val="en-US" w:eastAsia="zh-CN"/>
        </w:rPr>
        <w:t>道路、排水、河道护岸、水处理构筑物及城市综合管廊、生活垃圾处理工程）中值中值计</w:t>
      </w:r>
      <w:r>
        <w:rPr>
          <w:rFonts w:hint="eastAsia" w:ascii="宋体" w:hAnsi="宋体" w:cs="Times New Roman"/>
          <w:kern w:val="0"/>
          <w:sz w:val="21"/>
          <w:szCs w:val="21"/>
          <w:lang w:eastAsia="zh-CN"/>
        </w:rPr>
        <w:t>取；</w:t>
      </w:r>
      <w:r>
        <w:rPr>
          <w:rFonts w:hint="eastAsia" w:ascii="宋体" w:hAnsi="宋体" w:cs="Times New Roman"/>
          <w:kern w:val="0"/>
          <w:sz w:val="21"/>
          <w:szCs w:val="21"/>
          <w:lang w:val="en-US" w:eastAsia="zh-CN"/>
        </w:rPr>
        <w:t>(2)</w:t>
      </w:r>
      <w:r>
        <w:rPr>
          <w:rFonts w:hint="eastAsia" w:ascii="宋体" w:hAnsi="宋体" w:cs="Times New Roman"/>
          <w:kern w:val="0"/>
          <w:sz w:val="21"/>
          <w:szCs w:val="21"/>
          <w:lang w:eastAsia="zh-CN"/>
        </w:rPr>
        <w:t>施工组织措施费：安全文明施工费按相应工程工程费费率中值计取；冬雨季施工增加费费率均按相应费率取中值计取；安全文明施工基本费根据浙建建发[2022] 37号文件要求，按照《浙江省建设工程计价规则(2018版)》的费率乘以1.15系数计取；</w:t>
      </w:r>
      <w:r>
        <w:rPr>
          <w:rFonts w:hint="eastAsia" w:ascii="宋体" w:hAnsi="宋体" w:cs="Times New Roman"/>
          <w:kern w:val="0"/>
          <w:sz w:val="21"/>
          <w:szCs w:val="21"/>
          <w:lang w:val="en-US" w:eastAsia="zh-CN"/>
        </w:rPr>
        <w:t>(3)</w:t>
      </w:r>
      <w:r>
        <w:rPr>
          <w:rFonts w:hint="eastAsia" w:ascii="宋体" w:hAnsi="宋体" w:cs="Times New Roman"/>
          <w:kern w:val="0"/>
          <w:sz w:val="21"/>
          <w:szCs w:val="21"/>
          <w:lang w:eastAsia="zh-CN"/>
        </w:rPr>
        <w:t>规费费率：按市政工程（</w:t>
      </w:r>
      <w:r>
        <w:rPr>
          <w:rFonts w:hint="eastAsia" w:ascii="宋体" w:hAnsi="宋体" w:cs="Times New Roman"/>
          <w:kern w:val="0"/>
          <w:sz w:val="21"/>
          <w:szCs w:val="21"/>
          <w:lang w:val="en-US" w:eastAsia="zh-CN"/>
        </w:rPr>
        <w:t>道路、排水、河道护岸、水处理构筑物及城市综合管廊、生活垃圾处理工程）</w:t>
      </w:r>
      <w:r>
        <w:rPr>
          <w:rFonts w:hint="eastAsia" w:ascii="宋体" w:hAnsi="宋体" w:cs="Times New Roman"/>
          <w:kern w:val="0"/>
          <w:sz w:val="21"/>
          <w:szCs w:val="21"/>
          <w:lang w:eastAsia="zh-CN"/>
        </w:rPr>
        <w:t>中值</w:t>
      </w:r>
      <w:r>
        <w:rPr>
          <w:rFonts w:hint="eastAsia" w:ascii="宋体" w:hAnsi="宋体" w:cs="Times New Roman"/>
          <w:kern w:val="0"/>
          <w:sz w:val="21"/>
          <w:szCs w:val="21"/>
          <w:lang w:val="en-US" w:eastAsia="zh-CN"/>
        </w:rPr>
        <w:t>30%</w:t>
      </w:r>
      <w:r>
        <w:rPr>
          <w:rFonts w:hint="eastAsia" w:ascii="宋体" w:hAnsi="宋体" w:cs="Times New Roman"/>
          <w:kern w:val="0"/>
          <w:sz w:val="21"/>
          <w:szCs w:val="21"/>
          <w:lang w:eastAsia="zh-CN"/>
        </w:rPr>
        <w:t>折计取</w:t>
      </w:r>
      <w:r>
        <w:rPr>
          <w:rFonts w:hint="eastAsia" w:ascii="宋体" w:hAnsi="宋体" w:cs="Times New Roman"/>
          <w:kern w:val="0"/>
          <w:sz w:val="21"/>
          <w:szCs w:val="21"/>
        </w:rPr>
        <w:t>。</w:t>
      </w:r>
      <w:r>
        <w:rPr>
          <w:rFonts w:hint="eastAsia" w:ascii="宋体" w:hAnsi="宋体" w:cs="Times New Roman"/>
          <w:kern w:val="0"/>
          <w:sz w:val="21"/>
          <w:szCs w:val="21"/>
          <w:lang w:val="en-US" w:eastAsia="zh-CN"/>
        </w:rPr>
        <w:t>(4)</w:t>
      </w:r>
      <w:r>
        <w:rPr>
          <w:rFonts w:hint="eastAsia" w:ascii="宋体" w:hAnsi="宋体" w:cs="Times New Roman"/>
          <w:kern w:val="0"/>
          <w:sz w:val="21"/>
          <w:szCs w:val="21"/>
        </w:rPr>
        <w:t>税金：浙建建发</w:t>
      </w:r>
      <w:r>
        <w:rPr>
          <w:rFonts w:hint="eastAsia" w:ascii="宋体" w:hAnsi="宋体" w:cs="Times New Roman"/>
          <w:kern w:val="0"/>
          <w:sz w:val="21"/>
          <w:szCs w:val="21"/>
          <w:lang w:val="en-US" w:eastAsia="zh-CN"/>
        </w:rPr>
        <w:t>〔2019〕</w:t>
      </w:r>
      <w:r>
        <w:rPr>
          <w:rFonts w:hint="eastAsia" w:ascii="宋体" w:hAnsi="宋体" w:cs="Times New Roman"/>
          <w:kern w:val="0"/>
          <w:sz w:val="21"/>
          <w:szCs w:val="21"/>
        </w:rPr>
        <w:t>92号规定9%计入。]</w:t>
      </w:r>
    </w:p>
    <w:p w14:paraId="1A16BDD7">
      <w:pPr>
        <w:pageBreakBefore w:val="0"/>
        <w:kinsoku/>
        <w:wordWrap/>
        <w:overflowPunct/>
        <w:topLinePunct w:val="0"/>
        <w:bidi w:val="0"/>
        <w:adjustRightInd w:val="0"/>
        <w:snapToGrid/>
        <w:spacing w:line="440" w:lineRule="exact"/>
        <w:ind w:left="420" w:leftChars="200" w:right="420" w:rightChars="200" w:firstLine="420" w:firstLineChars="200"/>
        <w:textAlignment w:val="auto"/>
        <w:rPr>
          <w:rFonts w:hint="eastAsia" w:ascii="宋体" w:hAnsi="宋体"/>
          <w:kern w:val="0"/>
          <w:sz w:val="21"/>
          <w:szCs w:val="21"/>
        </w:rPr>
      </w:pPr>
      <w:r>
        <w:rPr>
          <w:rFonts w:hint="eastAsia" w:ascii="宋体" w:hAnsi="宋体"/>
          <w:kern w:val="0"/>
          <w:sz w:val="21"/>
          <w:szCs w:val="21"/>
        </w:rPr>
        <w:t>［减少后剩余部分工程量是指工程量减少超过15%以上部分。例：原清单某项工程量为100m3，①实际结算工程量为65 m3，即减少超过15%以上部份工程量20 m3；②实际结算工程量零，即减少超过15%工程量为85 m3］</w:t>
      </w:r>
    </w:p>
    <w:p w14:paraId="28A5B066">
      <w:pPr>
        <w:pageBreakBefore w:val="0"/>
        <w:kinsoku/>
        <w:wordWrap/>
        <w:overflowPunct/>
        <w:topLinePunct w:val="0"/>
        <w:bidi w:val="0"/>
        <w:adjustRightInd w:val="0"/>
        <w:snapToGrid/>
        <w:spacing w:line="440" w:lineRule="exact"/>
        <w:ind w:left="420" w:leftChars="200" w:right="420" w:rightChars="200" w:firstLine="420" w:firstLineChars="200"/>
        <w:textAlignment w:val="auto"/>
        <w:rPr>
          <w:rFonts w:hint="eastAsia" w:ascii="宋体" w:hAnsi="宋体"/>
          <w:kern w:val="0"/>
          <w:sz w:val="21"/>
          <w:szCs w:val="21"/>
        </w:rPr>
      </w:pPr>
      <w:r>
        <w:rPr>
          <w:rFonts w:hint="eastAsia" w:ascii="宋体" w:hAnsi="宋体"/>
          <w:kern w:val="0"/>
          <w:sz w:val="21"/>
          <w:szCs w:val="21"/>
        </w:rPr>
        <w:t>（2）因施工中出现施工图纸与工程量清单项目特征描述不符、分部分项工程量清单项目缺项(或漏项)、非承包人原因的工程变更等，引起新的工程项目，其相应的综合单价按以下方法确定：</w:t>
      </w:r>
    </w:p>
    <w:p w14:paraId="4DE74D36">
      <w:pPr>
        <w:pageBreakBefore w:val="0"/>
        <w:kinsoku/>
        <w:wordWrap/>
        <w:overflowPunct/>
        <w:topLinePunct w:val="0"/>
        <w:bidi w:val="0"/>
        <w:adjustRightInd w:val="0"/>
        <w:snapToGrid/>
        <w:spacing w:line="440" w:lineRule="exact"/>
        <w:ind w:left="420" w:leftChars="200" w:right="420" w:rightChars="200" w:firstLine="420" w:firstLineChars="200"/>
        <w:textAlignment w:val="auto"/>
        <w:rPr>
          <w:rFonts w:hint="eastAsia" w:ascii="宋体" w:hAnsi="宋体"/>
          <w:kern w:val="0"/>
          <w:sz w:val="21"/>
          <w:szCs w:val="21"/>
        </w:rPr>
      </w:pPr>
      <w:r>
        <w:rPr>
          <w:rFonts w:hint="eastAsia" w:ascii="宋体" w:hAnsi="宋体"/>
          <w:kern w:val="0"/>
          <w:sz w:val="21"/>
          <w:szCs w:val="21"/>
        </w:rPr>
        <w:t>①已标价工程量清单中存在适用于变更工程项目的，采用该项目的单价；</w:t>
      </w:r>
    </w:p>
    <w:p w14:paraId="3E6945F1">
      <w:pPr>
        <w:pageBreakBefore w:val="0"/>
        <w:kinsoku/>
        <w:wordWrap/>
        <w:overflowPunct/>
        <w:topLinePunct w:val="0"/>
        <w:bidi w:val="0"/>
        <w:adjustRightInd w:val="0"/>
        <w:snapToGrid/>
        <w:spacing w:line="440" w:lineRule="exact"/>
        <w:ind w:left="420" w:leftChars="200" w:right="420" w:rightChars="200" w:firstLine="420" w:firstLineChars="200"/>
        <w:textAlignment w:val="auto"/>
        <w:rPr>
          <w:rFonts w:hint="eastAsia" w:ascii="宋体" w:hAnsi="宋体"/>
          <w:kern w:val="0"/>
          <w:sz w:val="21"/>
          <w:szCs w:val="21"/>
        </w:rPr>
      </w:pPr>
      <w:r>
        <w:rPr>
          <w:rFonts w:hint="eastAsia" w:ascii="宋体" w:hAnsi="宋体"/>
          <w:kern w:val="0"/>
          <w:sz w:val="21"/>
          <w:szCs w:val="21"/>
        </w:rPr>
        <w:t>②已标价工程量清单中不存在适用单价但存在与变更工程类似项目价格的，可以参照类似项目的单价；如某种材料（或半成品及成品）等级、标准变化的，清单组合子目不变，仅调整不同的材料价格；清单项目某一特征或工程内容变化，不影响其他特征及工程内容价格的，其他特征组合标准不变，仅调整发生变化的组合子目价格；</w:t>
      </w:r>
    </w:p>
    <w:p w14:paraId="072DC9CC">
      <w:pPr>
        <w:pageBreakBefore w:val="0"/>
        <w:kinsoku/>
        <w:wordWrap/>
        <w:overflowPunct/>
        <w:topLinePunct w:val="0"/>
        <w:bidi w:val="0"/>
        <w:adjustRightInd w:val="0"/>
        <w:snapToGrid/>
        <w:spacing w:line="440" w:lineRule="exact"/>
        <w:ind w:left="420" w:leftChars="200" w:right="420" w:rightChars="200" w:firstLine="420" w:firstLineChars="200"/>
        <w:textAlignment w:val="auto"/>
        <w:rPr>
          <w:rFonts w:hint="eastAsia" w:ascii="宋体" w:hAnsi="宋体" w:cs="Times New Roman"/>
          <w:kern w:val="0"/>
          <w:sz w:val="21"/>
          <w:szCs w:val="21"/>
        </w:rPr>
      </w:pPr>
      <w:r>
        <w:rPr>
          <w:rFonts w:hint="eastAsia" w:ascii="宋体" w:hAnsi="宋体" w:cs="Times New Roman"/>
          <w:kern w:val="0"/>
          <w:sz w:val="21"/>
          <w:szCs w:val="21"/>
        </w:rPr>
        <w:t xml:space="preserve"> ③已标价工程量清单中不存在适用的价格也没有类似的变更工程项目价格的(一般指新增项目)，则由承包人按照变更工程资料、合同约定或者招标文件采用的计价依据、取费结</w:t>
      </w:r>
      <w:r>
        <w:rPr>
          <w:rFonts w:hint="eastAsia" w:ascii="宋体" w:hAnsi="宋体" w:eastAsia="宋体" w:cs="Times New Roman"/>
          <w:kern w:val="0"/>
          <w:sz w:val="21"/>
          <w:szCs w:val="21"/>
        </w:rPr>
        <w:t>合《关于进一步加强建设工程要素价格动态管理工作的通知》（甬建价〔2021〕9号）文</w:t>
      </w:r>
      <w:r>
        <w:rPr>
          <w:rFonts w:hint="eastAsia" w:ascii="宋体" w:hAnsi="宋体" w:cs="Times New Roman"/>
          <w:kern w:val="0"/>
          <w:sz w:val="21"/>
          <w:szCs w:val="21"/>
        </w:rPr>
        <w:t>件按约定下浮率（下浮</w:t>
      </w:r>
      <w:r>
        <w:rPr>
          <w:rFonts w:hint="eastAsia" w:ascii="宋体" w:hAnsi="宋体" w:cs="Times New Roman"/>
          <w:kern w:val="0"/>
          <w:sz w:val="21"/>
          <w:szCs w:val="21"/>
          <w:u w:val="single"/>
          <w:lang w:val="en-US" w:eastAsia="zh-CN"/>
        </w:rPr>
        <w:t xml:space="preserve">    </w:t>
      </w:r>
      <w:r>
        <w:rPr>
          <w:rFonts w:hint="eastAsia" w:ascii="宋体" w:hAnsi="宋体" w:cs="Times New Roman"/>
          <w:kern w:val="0"/>
          <w:sz w:val="21"/>
          <w:szCs w:val="21"/>
          <w:lang w:eastAsia="zh-CN"/>
        </w:rPr>
        <w:t>%</w:t>
      </w:r>
      <w:r>
        <w:rPr>
          <w:rFonts w:hint="eastAsia" w:ascii="宋体" w:hAnsi="宋体" w:cs="Times New Roman"/>
          <w:kern w:val="0"/>
          <w:sz w:val="21"/>
          <w:szCs w:val="21"/>
        </w:rPr>
        <w:t>）组价后提出，经发包人确认后调整。[工程类别：</w:t>
      </w:r>
      <w:r>
        <w:rPr>
          <w:rFonts w:hint="eastAsia" w:ascii="宋体" w:hAnsi="宋体" w:cs="Times New Roman"/>
          <w:kern w:val="0"/>
          <w:sz w:val="21"/>
          <w:szCs w:val="21"/>
          <w:lang w:val="en-US" w:eastAsia="zh-CN"/>
        </w:rPr>
        <w:t>(1)市政</w:t>
      </w:r>
      <w:r>
        <w:rPr>
          <w:rFonts w:hint="eastAsia" w:ascii="宋体" w:hAnsi="宋体" w:cs="Times New Roman"/>
          <w:kern w:val="0"/>
          <w:sz w:val="21"/>
          <w:szCs w:val="21"/>
          <w:lang w:eastAsia="zh-CN"/>
        </w:rPr>
        <w:t>工程：企业管理费及利润按市政工程（</w:t>
      </w:r>
      <w:r>
        <w:rPr>
          <w:rFonts w:hint="eastAsia" w:ascii="宋体" w:hAnsi="宋体" w:cs="Times New Roman"/>
          <w:kern w:val="0"/>
          <w:sz w:val="21"/>
          <w:szCs w:val="21"/>
          <w:lang w:val="en-US" w:eastAsia="zh-CN"/>
        </w:rPr>
        <w:t>道路、排水、河道护岸、水处理构筑物及城市综合管廊、生活垃圾处理工程）中值中值计</w:t>
      </w:r>
      <w:r>
        <w:rPr>
          <w:rFonts w:hint="eastAsia" w:ascii="宋体" w:hAnsi="宋体" w:cs="Times New Roman"/>
          <w:kern w:val="0"/>
          <w:sz w:val="21"/>
          <w:szCs w:val="21"/>
          <w:lang w:eastAsia="zh-CN"/>
        </w:rPr>
        <w:t>取；</w:t>
      </w:r>
      <w:r>
        <w:rPr>
          <w:rFonts w:hint="eastAsia" w:ascii="宋体" w:hAnsi="宋体" w:cs="Times New Roman"/>
          <w:kern w:val="0"/>
          <w:sz w:val="21"/>
          <w:szCs w:val="21"/>
          <w:lang w:val="en-US" w:eastAsia="zh-CN"/>
        </w:rPr>
        <w:t>(2)</w:t>
      </w:r>
      <w:r>
        <w:rPr>
          <w:rFonts w:hint="eastAsia" w:ascii="宋体" w:hAnsi="宋体" w:cs="Times New Roman"/>
          <w:kern w:val="0"/>
          <w:sz w:val="21"/>
          <w:szCs w:val="21"/>
          <w:lang w:eastAsia="zh-CN"/>
        </w:rPr>
        <w:t>施工组织措施费：安全文明施工费按相应工程工程费费率中值计取；冬雨季施工增加费费率均按相应费率取中值计取；安全文明施工基本费根据浙建建发[2022] 37号文件要求，按照《浙江省建设工程计价规则(2018版)》的费率乘以1.15系数计取；</w:t>
      </w:r>
      <w:r>
        <w:rPr>
          <w:rFonts w:hint="eastAsia" w:ascii="宋体" w:hAnsi="宋体" w:cs="Times New Roman"/>
          <w:kern w:val="0"/>
          <w:sz w:val="21"/>
          <w:szCs w:val="21"/>
          <w:lang w:val="en-US" w:eastAsia="zh-CN"/>
        </w:rPr>
        <w:t>(3)</w:t>
      </w:r>
      <w:r>
        <w:rPr>
          <w:rFonts w:hint="eastAsia" w:ascii="宋体" w:hAnsi="宋体" w:cs="Times New Roman"/>
          <w:kern w:val="0"/>
          <w:sz w:val="21"/>
          <w:szCs w:val="21"/>
          <w:lang w:eastAsia="zh-CN"/>
        </w:rPr>
        <w:t>规费费率：按市政工程（</w:t>
      </w:r>
      <w:r>
        <w:rPr>
          <w:rFonts w:hint="eastAsia" w:ascii="宋体" w:hAnsi="宋体" w:cs="Times New Roman"/>
          <w:kern w:val="0"/>
          <w:sz w:val="21"/>
          <w:szCs w:val="21"/>
          <w:lang w:val="en-US" w:eastAsia="zh-CN"/>
        </w:rPr>
        <w:t>道路、排水、河道护岸、水处理构筑物及城市综合管廊、生活垃圾处理工程）</w:t>
      </w:r>
      <w:r>
        <w:rPr>
          <w:rFonts w:hint="eastAsia" w:ascii="宋体" w:hAnsi="宋体" w:cs="Times New Roman"/>
          <w:kern w:val="0"/>
          <w:sz w:val="21"/>
          <w:szCs w:val="21"/>
          <w:lang w:eastAsia="zh-CN"/>
        </w:rPr>
        <w:t>中值</w:t>
      </w:r>
      <w:r>
        <w:rPr>
          <w:rFonts w:hint="eastAsia" w:ascii="宋体" w:hAnsi="宋体" w:cs="Times New Roman"/>
          <w:kern w:val="0"/>
          <w:sz w:val="21"/>
          <w:szCs w:val="21"/>
          <w:lang w:val="en-US" w:eastAsia="zh-CN"/>
        </w:rPr>
        <w:t>30%</w:t>
      </w:r>
      <w:r>
        <w:rPr>
          <w:rFonts w:hint="eastAsia" w:ascii="宋体" w:hAnsi="宋体" w:cs="Times New Roman"/>
          <w:kern w:val="0"/>
          <w:sz w:val="21"/>
          <w:szCs w:val="21"/>
          <w:lang w:eastAsia="zh-CN"/>
        </w:rPr>
        <w:t>折计取</w:t>
      </w:r>
      <w:r>
        <w:rPr>
          <w:rFonts w:hint="eastAsia" w:ascii="宋体" w:hAnsi="宋体" w:cs="Times New Roman"/>
          <w:kern w:val="0"/>
          <w:sz w:val="21"/>
          <w:szCs w:val="21"/>
        </w:rPr>
        <w:t>。</w:t>
      </w:r>
      <w:r>
        <w:rPr>
          <w:rFonts w:hint="eastAsia" w:ascii="宋体" w:hAnsi="宋体" w:cs="Times New Roman"/>
          <w:kern w:val="0"/>
          <w:sz w:val="21"/>
          <w:szCs w:val="21"/>
          <w:lang w:val="en-US" w:eastAsia="zh-CN"/>
        </w:rPr>
        <w:t>(4)</w:t>
      </w:r>
      <w:r>
        <w:rPr>
          <w:rFonts w:hint="eastAsia" w:ascii="宋体" w:hAnsi="宋体" w:cs="Times New Roman"/>
          <w:kern w:val="0"/>
          <w:sz w:val="21"/>
          <w:szCs w:val="21"/>
        </w:rPr>
        <w:t>税金：浙建建发</w:t>
      </w:r>
      <w:r>
        <w:rPr>
          <w:rFonts w:hint="eastAsia" w:ascii="宋体" w:hAnsi="宋体" w:cs="Times New Roman"/>
          <w:kern w:val="0"/>
          <w:sz w:val="21"/>
          <w:szCs w:val="21"/>
          <w:lang w:val="en-US" w:eastAsia="zh-CN"/>
        </w:rPr>
        <w:t>〔2019〕</w:t>
      </w:r>
      <w:r>
        <w:rPr>
          <w:rFonts w:hint="eastAsia" w:ascii="宋体" w:hAnsi="宋体" w:cs="Times New Roman"/>
          <w:kern w:val="0"/>
          <w:sz w:val="21"/>
          <w:szCs w:val="21"/>
        </w:rPr>
        <w:t>92号规定9%计入。]</w:t>
      </w:r>
    </w:p>
    <w:p w14:paraId="21D323D4">
      <w:pPr>
        <w:pageBreakBefore w:val="0"/>
        <w:kinsoku/>
        <w:wordWrap/>
        <w:overflowPunct/>
        <w:topLinePunct w:val="0"/>
        <w:bidi w:val="0"/>
        <w:adjustRightInd w:val="0"/>
        <w:snapToGrid/>
        <w:spacing w:line="440" w:lineRule="exact"/>
        <w:ind w:left="420" w:leftChars="200" w:right="420" w:rightChars="200" w:firstLine="420" w:firstLineChars="200"/>
        <w:textAlignment w:val="auto"/>
        <w:rPr>
          <w:rFonts w:hint="eastAsia" w:ascii="宋体" w:hAnsi="宋体"/>
          <w:kern w:val="0"/>
          <w:sz w:val="21"/>
          <w:szCs w:val="21"/>
        </w:rPr>
      </w:pPr>
      <w:r>
        <w:rPr>
          <w:rFonts w:hint="eastAsia" w:ascii="宋体" w:hAnsi="宋体"/>
          <w:kern w:val="0"/>
          <w:sz w:val="21"/>
          <w:szCs w:val="21"/>
        </w:rPr>
        <w:t>10.4.1.2 关于变更措施项目费的约定：</w:t>
      </w:r>
    </w:p>
    <w:p w14:paraId="5F2B5156">
      <w:pPr>
        <w:pageBreakBefore w:val="0"/>
        <w:kinsoku/>
        <w:wordWrap/>
        <w:overflowPunct/>
        <w:topLinePunct w:val="0"/>
        <w:bidi w:val="0"/>
        <w:adjustRightInd w:val="0"/>
        <w:snapToGrid/>
        <w:spacing w:line="440" w:lineRule="exact"/>
        <w:ind w:left="420" w:leftChars="200" w:right="420" w:rightChars="200" w:firstLine="420" w:firstLineChars="200"/>
        <w:textAlignment w:val="auto"/>
        <w:rPr>
          <w:rFonts w:hint="eastAsia" w:ascii="宋体" w:hAnsi="宋体"/>
          <w:kern w:val="0"/>
          <w:sz w:val="21"/>
          <w:szCs w:val="21"/>
        </w:rPr>
      </w:pPr>
      <w:r>
        <w:rPr>
          <w:rFonts w:hint="eastAsia" w:ascii="宋体" w:hAnsi="宋体"/>
          <w:kern w:val="0"/>
          <w:sz w:val="21"/>
          <w:szCs w:val="21"/>
        </w:rPr>
        <w:t>分部分项工程量清单非承包人原因的工程变更，造成施工组织设计或施工方案变更，以及分部分项工程量变化，引起措施项目数量、内容发生变化，措施项目费按以下原则调整：</w:t>
      </w:r>
    </w:p>
    <w:p w14:paraId="14766013">
      <w:pPr>
        <w:pageBreakBefore w:val="0"/>
        <w:kinsoku/>
        <w:wordWrap/>
        <w:overflowPunct/>
        <w:topLinePunct w:val="0"/>
        <w:bidi w:val="0"/>
        <w:adjustRightInd w:val="0"/>
        <w:snapToGrid/>
        <w:spacing w:line="440" w:lineRule="exact"/>
        <w:ind w:left="420" w:leftChars="200" w:right="420" w:rightChars="200" w:firstLine="420" w:firstLineChars="200"/>
        <w:textAlignment w:val="auto"/>
        <w:rPr>
          <w:rFonts w:hint="eastAsia" w:ascii="宋体" w:hAnsi="宋体"/>
          <w:kern w:val="0"/>
          <w:sz w:val="21"/>
          <w:szCs w:val="21"/>
          <w:u w:val="single"/>
        </w:rPr>
      </w:pPr>
      <w:r>
        <w:rPr>
          <w:rFonts w:hint="eastAsia" w:ascii="宋体" w:hAnsi="宋体"/>
          <w:kern w:val="0"/>
          <w:sz w:val="21"/>
          <w:szCs w:val="21"/>
        </w:rPr>
        <w:t>（1）施工组织措施费（按取费定额计取部分）按</w:t>
      </w:r>
      <w:r>
        <w:rPr>
          <w:rFonts w:hint="eastAsia" w:ascii="宋体" w:hAnsi="宋体"/>
          <w:sz w:val="21"/>
          <w:szCs w:val="21"/>
        </w:rPr>
        <w:t>已标价工程量清单中的所列</w:t>
      </w:r>
      <w:r>
        <w:rPr>
          <w:rFonts w:hint="eastAsia" w:ascii="宋体" w:hAnsi="宋体"/>
          <w:kern w:val="0"/>
          <w:sz w:val="21"/>
          <w:szCs w:val="21"/>
        </w:rPr>
        <w:t>费用包干使用，结算时无论工程量增减是否超过1</w:t>
      </w:r>
      <w:r>
        <w:rPr>
          <w:rFonts w:hint="eastAsia" w:ascii="宋体" w:hAnsi="宋体"/>
          <w:kern w:val="0"/>
          <w:sz w:val="21"/>
          <w:szCs w:val="21"/>
          <w:lang w:val="en-US" w:eastAsia="zh-CN"/>
        </w:rPr>
        <w:t>0</w:t>
      </w:r>
      <w:r>
        <w:rPr>
          <w:rFonts w:hint="eastAsia" w:ascii="宋体" w:hAnsi="宋体"/>
          <w:kern w:val="0"/>
          <w:sz w:val="21"/>
          <w:szCs w:val="21"/>
        </w:rPr>
        <w:t>%或新增项目均不作调整；新增的单项或单位工程施工组织措施费按相应工程计取。</w:t>
      </w:r>
    </w:p>
    <w:p w14:paraId="21EF99F8">
      <w:pPr>
        <w:pageBreakBefore w:val="0"/>
        <w:kinsoku/>
        <w:wordWrap/>
        <w:overflowPunct/>
        <w:topLinePunct w:val="0"/>
        <w:bidi w:val="0"/>
        <w:adjustRightInd w:val="0"/>
        <w:snapToGrid/>
        <w:spacing w:line="440" w:lineRule="exact"/>
        <w:ind w:left="420" w:leftChars="200" w:right="420" w:rightChars="200" w:firstLine="420" w:firstLineChars="200"/>
        <w:textAlignment w:val="auto"/>
        <w:rPr>
          <w:rFonts w:hint="eastAsia" w:ascii="宋体" w:hAnsi="宋体"/>
          <w:kern w:val="0"/>
          <w:sz w:val="21"/>
          <w:szCs w:val="21"/>
        </w:rPr>
      </w:pPr>
      <w:r>
        <w:rPr>
          <w:rFonts w:hint="eastAsia" w:ascii="宋体" w:hAnsi="宋体"/>
          <w:kern w:val="0"/>
          <w:sz w:val="21"/>
          <w:szCs w:val="21"/>
        </w:rPr>
        <w:t>（2）大型机械设备进退场费及安拆费按</w:t>
      </w:r>
      <w:r>
        <w:rPr>
          <w:rFonts w:hint="eastAsia" w:ascii="宋体" w:hAnsi="宋体"/>
          <w:sz w:val="21"/>
          <w:szCs w:val="21"/>
        </w:rPr>
        <w:t>已标价工程量清单中</w:t>
      </w:r>
      <w:r>
        <w:rPr>
          <w:rFonts w:hint="eastAsia" w:ascii="宋体" w:hAnsi="宋体"/>
          <w:kern w:val="0"/>
          <w:sz w:val="21"/>
          <w:szCs w:val="21"/>
        </w:rPr>
        <w:t>施工技术措施清单所列数量包干使用，结算时不作调整；</w:t>
      </w:r>
    </w:p>
    <w:p w14:paraId="58D7CF13">
      <w:pPr>
        <w:pageBreakBefore w:val="0"/>
        <w:kinsoku/>
        <w:wordWrap/>
        <w:overflowPunct/>
        <w:topLinePunct w:val="0"/>
        <w:bidi w:val="0"/>
        <w:adjustRightInd w:val="0"/>
        <w:snapToGrid/>
        <w:spacing w:line="440" w:lineRule="exact"/>
        <w:ind w:left="420" w:leftChars="200" w:right="420" w:rightChars="200" w:firstLine="420" w:firstLineChars="200"/>
        <w:textAlignment w:val="auto"/>
        <w:rPr>
          <w:rFonts w:hint="eastAsia" w:ascii="宋体" w:hAnsi="宋体"/>
          <w:sz w:val="21"/>
          <w:szCs w:val="21"/>
        </w:rPr>
      </w:pPr>
      <w:r>
        <w:rPr>
          <w:rFonts w:hint="eastAsia" w:ascii="宋体" w:hAnsi="宋体"/>
          <w:kern w:val="0"/>
          <w:sz w:val="21"/>
          <w:szCs w:val="21"/>
        </w:rPr>
        <w:t>（3）施工技术措施项目（按现行定额部分）</w:t>
      </w:r>
      <w:r>
        <w:rPr>
          <w:rFonts w:hint="eastAsia" w:ascii="宋体" w:hAnsi="宋体"/>
          <w:sz w:val="21"/>
          <w:szCs w:val="21"/>
          <w:u w:val="single"/>
        </w:rPr>
        <w:t>按工程量清单项目结算办法结算</w:t>
      </w:r>
      <w:r>
        <w:rPr>
          <w:rFonts w:hint="eastAsia" w:ascii="宋体" w:hAnsi="宋体"/>
          <w:sz w:val="21"/>
          <w:szCs w:val="21"/>
        </w:rPr>
        <w:t>。</w:t>
      </w:r>
    </w:p>
    <w:p w14:paraId="16773148">
      <w:pPr>
        <w:pageBreakBefore w:val="0"/>
        <w:kinsoku/>
        <w:wordWrap/>
        <w:overflowPunct/>
        <w:topLinePunct w:val="0"/>
        <w:bidi w:val="0"/>
        <w:adjustRightInd w:val="0"/>
        <w:snapToGrid/>
        <w:spacing w:line="440" w:lineRule="exact"/>
        <w:ind w:left="420" w:leftChars="200" w:right="420" w:rightChars="200" w:firstLine="420" w:firstLineChars="200"/>
        <w:textAlignment w:val="auto"/>
        <w:rPr>
          <w:rFonts w:ascii="宋体" w:hAnsi="宋体"/>
          <w:color w:val="000000"/>
          <w:sz w:val="21"/>
          <w:szCs w:val="21"/>
        </w:rPr>
      </w:pPr>
      <w:r>
        <w:rPr>
          <w:rFonts w:ascii="宋体" w:hAnsi="宋体"/>
          <w:color w:val="000000"/>
          <w:sz w:val="21"/>
          <w:szCs w:val="21"/>
        </w:rPr>
        <w:t>1</w:t>
      </w:r>
      <w:bookmarkStart w:id="760" w:name="_Toc297216203"/>
      <w:bookmarkStart w:id="761" w:name="_Toc296944536"/>
      <w:bookmarkStart w:id="762" w:name="_Toc296503197"/>
      <w:bookmarkStart w:id="763" w:name="_Toc296347196"/>
      <w:bookmarkStart w:id="764" w:name="_Toc296346698"/>
      <w:bookmarkStart w:id="765" w:name="_Toc300934993"/>
      <w:bookmarkStart w:id="766" w:name="_Toc292559907"/>
      <w:bookmarkStart w:id="767" w:name="_Toc297048383"/>
      <w:bookmarkStart w:id="768" w:name="_Toc292559402"/>
      <w:bookmarkStart w:id="769" w:name="_Toc296891025"/>
      <w:bookmarkStart w:id="770" w:name="_Toc303539150"/>
      <w:bookmarkStart w:id="771" w:name="_Toc297123544"/>
      <w:bookmarkStart w:id="772" w:name="_Toc297120497"/>
      <w:bookmarkStart w:id="773" w:name="_Toc296891237"/>
      <w:bookmarkStart w:id="774" w:name="_Toc312678029"/>
      <w:bookmarkStart w:id="775" w:name="_Toc304295570"/>
      <w:bookmarkStart w:id="776" w:name="_Toc312677503"/>
      <w:r>
        <w:rPr>
          <w:rFonts w:ascii="宋体" w:hAnsi="宋体"/>
          <w:color w:val="000000"/>
          <w:sz w:val="21"/>
          <w:szCs w:val="21"/>
        </w:rPr>
        <w:t>0.5承</w:t>
      </w:r>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Start w:id="777" w:name="_Toc303539151"/>
      <w:bookmarkStart w:id="778" w:name="_Toc297216204"/>
      <w:bookmarkStart w:id="779" w:name="_Toc300934994"/>
      <w:bookmarkStart w:id="780" w:name="_Toc297120503"/>
      <w:bookmarkStart w:id="781" w:name="_Toc296346704"/>
      <w:bookmarkStart w:id="782" w:name="_Toc292559408"/>
      <w:bookmarkStart w:id="783" w:name="_Toc296891031"/>
      <w:bookmarkStart w:id="784" w:name="_Toc296891243"/>
      <w:bookmarkStart w:id="785" w:name="_Toc292559913"/>
      <w:bookmarkStart w:id="786" w:name="_Toc296944542"/>
      <w:bookmarkStart w:id="787" w:name="_Toc296347202"/>
      <w:bookmarkStart w:id="788" w:name="_Toc297048389"/>
      <w:bookmarkStart w:id="789" w:name="_Toc297123545"/>
      <w:bookmarkStart w:id="790" w:name="_Toc296503203"/>
      <w:r>
        <w:rPr>
          <w:rFonts w:ascii="宋体" w:hAnsi="宋体"/>
          <w:color w:val="000000"/>
          <w:sz w:val="21"/>
          <w:szCs w:val="21"/>
        </w:rPr>
        <w:t>包人的合理化建议</w:t>
      </w:r>
    </w:p>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p w14:paraId="4B5CA7E3">
      <w:pPr>
        <w:pageBreakBefore w:val="0"/>
        <w:kinsoku/>
        <w:wordWrap/>
        <w:overflowPunct/>
        <w:topLinePunct w:val="0"/>
        <w:bidi w:val="0"/>
        <w:adjustRightInd w:val="0"/>
        <w:snapToGrid/>
        <w:spacing w:line="440" w:lineRule="exact"/>
        <w:ind w:left="420" w:leftChars="200" w:right="420" w:rightChars="200" w:firstLine="420" w:firstLineChars="200"/>
        <w:jc w:val="left"/>
        <w:textAlignment w:val="auto"/>
        <w:rPr>
          <w:rFonts w:ascii="宋体" w:hAnsi="宋体"/>
          <w:color w:val="000000"/>
          <w:sz w:val="21"/>
          <w:szCs w:val="21"/>
        </w:rPr>
      </w:pPr>
      <w:r>
        <w:rPr>
          <w:rFonts w:ascii="宋体" w:hAnsi="宋体"/>
          <w:color w:val="000000"/>
          <w:sz w:val="21"/>
          <w:szCs w:val="21"/>
        </w:rPr>
        <w:t>监理人审查承包人合理化建议的期限：</w:t>
      </w:r>
      <w:r>
        <w:rPr>
          <w:rFonts w:hint="eastAsia" w:ascii="宋体" w:hAnsi="宋体"/>
          <w:color w:val="000000"/>
          <w:sz w:val="21"/>
          <w:szCs w:val="21"/>
          <w:u w:val="single"/>
        </w:rPr>
        <w:t xml:space="preserve">   /   </w:t>
      </w:r>
      <w:r>
        <w:rPr>
          <w:rFonts w:ascii="宋体" w:hAnsi="宋体"/>
          <w:color w:val="000000"/>
          <w:sz w:val="21"/>
          <w:szCs w:val="21"/>
        </w:rPr>
        <w:t>。</w:t>
      </w:r>
    </w:p>
    <w:p w14:paraId="2A1213EA">
      <w:pPr>
        <w:pageBreakBefore w:val="0"/>
        <w:kinsoku/>
        <w:wordWrap/>
        <w:overflowPunct/>
        <w:topLinePunct w:val="0"/>
        <w:bidi w:val="0"/>
        <w:adjustRightInd w:val="0"/>
        <w:snapToGrid/>
        <w:spacing w:line="440" w:lineRule="exact"/>
        <w:ind w:left="420" w:leftChars="200" w:right="420" w:rightChars="200" w:firstLine="420" w:firstLineChars="200"/>
        <w:jc w:val="left"/>
        <w:textAlignment w:val="auto"/>
        <w:rPr>
          <w:rFonts w:ascii="宋体" w:hAnsi="宋体"/>
          <w:color w:val="000000"/>
          <w:sz w:val="21"/>
          <w:szCs w:val="21"/>
        </w:rPr>
      </w:pPr>
      <w:r>
        <w:rPr>
          <w:rFonts w:ascii="宋体" w:hAnsi="宋体"/>
          <w:color w:val="000000"/>
          <w:sz w:val="21"/>
          <w:szCs w:val="21"/>
        </w:rPr>
        <w:t>发包人审批承包人合理化建议的期限：</w:t>
      </w:r>
      <w:r>
        <w:rPr>
          <w:rFonts w:hint="eastAsia" w:ascii="宋体" w:hAnsi="宋体"/>
          <w:color w:val="000000"/>
          <w:sz w:val="21"/>
          <w:szCs w:val="21"/>
          <w:u w:val="single"/>
        </w:rPr>
        <w:t xml:space="preserve">   /   </w:t>
      </w:r>
      <w:r>
        <w:rPr>
          <w:rFonts w:ascii="宋体" w:hAnsi="宋体"/>
          <w:color w:val="000000"/>
          <w:sz w:val="21"/>
          <w:szCs w:val="21"/>
        </w:rPr>
        <w:t>。</w:t>
      </w:r>
    </w:p>
    <w:p w14:paraId="455A6498">
      <w:pPr>
        <w:pageBreakBefore w:val="0"/>
        <w:kinsoku/>
        <w:wordWrap/>
        <w:overflowPunct/>
        <w:topLinePunct w:val="0"/>
        <w:bidi w:val="0"/>
        <w:adjustRightInd w:val="0"/>
        <w:snapToGrid/>
        <w:spacing w:line="440" w:lineRule="exact"/>
        <w:ind w:left="420" w:leftChars="200" w:right="420" w:rightChars="200"/>
        <w:jc w:val="left"/>
        <w:textAlignment w:val="auto"/>
        <w:rPr>
          <w:rFonts w:ascii="宋体" w:hAnsi="宋体"/>
          <w:color w:val="000000"/>
          <w:sz w:val="21"/>
          <w:szCs w:val="21"/>
          <w:u w:val="single"/>
        </w:rPr>
      </w:pPr>
      <w:r>
        <w:rPr>
          <w:rFonts w:ascii="宋体" w:hAnsi="宋体"/>
          <w:color w:val="000000"/>
          <w:sz w:val="21"/>
          <w:szCs w:val="21"/>
        </w:rPr>
        <w:t>承</w:t>
      </w:r>
      <w:bookmarkStart w:id="791" w:name="_Toc296891032"/>
      <w:bookmarkStart w:id="792" w:name="_Toc303539152"/>
      <w:bookmarkStart w:id="793" w:name="_Toc296503204"/>
      <w:bookmarkStart w:id="794" w:name="_Toc292559914"/>
      <w:bookmarkStart w:id="795" w:name="_Toc297048390"/>
      <w:bookmarkStart w:id="796" w:name="_Toc296347203"/>
      <w:bookmarkStart w:id="797" w:name="_Toc292559409"/>
      <w:bookmarkStart w:id="798" w:name="_Toc312677504"/>
      <w:bookmarkStart w:id="799" w:name="_Toc312678030"/>
      <w:bookmarkStart w:id="800" w:name="_Toc304295571"/>
      <w:bookmarkStart w:id="801" w:name="_Toc297216205"/>
      <w:bookmarkStart w:id="802" w:name="_Toc318581175"/>
      <w:bookmarkStart w:id="803" w:name="_Toc296891244"/>
      <w:bookmarkStart w:id="804" w:name="_Toc300934995"/>
      <w:bookmarkStart w:id="805" w:name="_Toc296944543"/>
      <w:bookmarkStart w:id="806" w:name="_Toc296346705"/>
      <w:bookmarkStart w:id="807" w:name="_Toc297123546"/>
      <w:bookmarkStart w:id="808" w:name="_Toc297120504"/>
      <w:r>
        <w:rPr>
          <w:rFonts w:ascii="宋体" w:hAnsi="宋体"/>
          <w:color w:val="000000"/>
          <w:sz w:val="21"/>
          <w:szCs w:val="21"/>
        </w:rPr>
        <w:t>包人提出的合理化建议降低了合同价格或者提高了工程经济效益的奖励的方法和金额为：</w:t>
      </w:r>
      <w:r>
        <w:rPr>
          <w:rFonts w:hint="eastAsia" w:ascii="宋体" w:hAnsi="宋体"/>
          <w:color w:val="000000"/>
          <w:kern w:val="0"/>
          <w:sz w:val="21"/>
          <w:szCs w:val="21"/>
        </w:rPr>
        <w:t>奖励由承包人的合理化建议带给发包人利益的</w:t>
      </w:r>
      <w:r>
        <w:rPr>
          <w:rFonts w:hint="eastAsia" w:ascii="宋体" w:hAnsi="宋体"/>
          <w:color w:val="000000"/>
          <w:kern w:val="0"/>
          <w:sz w:val="21"/>
          <w:szCs w:val="21"/>
          <w:u w:val="single"/>
        </w:rPr>
        <w:t xml:space="preserve">   /   </w:t>
      </w:r>
    </w:p>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p w14:paraId="28CC74F2">
      <w:pPr>
        <w:pageBreakBefore w:val="0"/>
        <w:kinsoku/>
        <w:wordWrap/>
        <w:overflowPunct/>
        <w:topLinePunct w:val="0"/>
        <w:bidi w:val="0"/>
        <w:adjustRightInd w:val="0"/>
        <w:snapToGrid/>
        <w:spacing w:line="440" w:lineRule="exact"/>
        <w:ind w:left="420" w:leftChars="200" w:right="420" w:rightChars="200" w:firstLine="420" w:firstLineChars="200"/>
        <w:textAlignment w:val="auto"/>
        <w:rPr>
          <w:rFonts w:ascii="宋体" w:hAnsi="宋体"/>
          <w:color w:val="000000"/>
          <w:sz w:val="21"/>
          <w:szCs w:val="21"/>
        </w:rPr>
      </w:pPr>
      <w:bookmarkStart w:id="809" w:name="_Toc318581176"/>
      <w:bookmarkStart w:id="810" w:name="_Toc312677508"/>
      <w:bookmarkStart w:id="811" w:name="_Toc312678034"/>
      <w:r>
        <w:rPr>
          <w:rFonts w:ascii="宋体" w:hAnsi="宋体"/>
          <w:color w:val="000000"/>
          <w:sz w:val="21"/>
          <w:szCs w:val="21"/>
        </w:rPr>
        <w:t>1</w:t>
      </w:r>
      <w:bookmarkStart w:id="812" w:name="_Toc296347198"/>
      <w:bookmarkStart w:id="813" w:name="_Toc296503199"/>
      <w:bookmarkStart w:id="814" w:name="_Toc312677507"/>
      <w:bookmarkStart w:id="815" w:name="_Toc296891027"/>
      <w:bookmarkStart w:id="816" w:name="_Toc292559404"/>
      <w:bookmarkStart w:id="817" w:name="_Toc296944538"/>
      <w:bookmarkStart w:id="818" w:name="_Toc303539154"/>
      <w:bookmarkStart w:id="819" w:name="_Toc312678033"/>
      <w:bookmarkStart w:id="820" w:name="_Toc292559909"/>
      <w:bookmarkStart w:id="821" w:name="_Toc300934997"/>
      <w:bookmarkStart w:id="822" w:name="_Toc296891239"/>
      <w:bookmarkStart w:id="823" w:name="_Toc297048385"/>
      <w:bookmarkStart w:id="824" w:name="_Toc297216207"/>
      <w:bookmarkStart w:id="825" w:name="_Toc297120499"/>
      <w:bookmarkStart w:id="826" w:name="_Toc304295574"/>
      <w:bookmarkStart w:id="827" w:name="_Toc297123548"/>
      <w:bookmarkStart w:id="828" w:name="_Toc296346700"/>
      <w:r>
        <w:rPr>
          <w:rFonts w:ascii="宋体" w:hAnsi="宋体"/>
          <w:color w:val="000000"/>
          <w:sz w:val="21"/>
          <w:szCs w:val="21"/>
        </w:rPr>
        <w:t>0.7 暂估价</w:t>
      </w:r>
    </w:p>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p w14:paraId="1FF4BECD">
      <w:pPr>
        <w:pageBreakBefore w:val="0"/>
        <w:kinsoku/>
        <w:wordWrap/>
        <w:overflowPunct/>
        <w:topLinePunct w:val="0"/>
        <w:bidi w:val="0"/>
        <w:adjustRightInd w:val="0"/>
        <w:snapToGrid/>
        <w:spacing w:line="440" w:lineRule="exact"/>
        <w:ind w:left="420" w:leftChars="200" w:right="420" w:rightChars="200" w:firstLine="420" w:firstLineChars="200"/>
        <w:jc w:val="left"/>
        <w:textAlignment w:val="auto"/>
        <w:rPr>
          <w:rFonts w:ascii="宋体" w:hAnsi="宋体"/>
          <w:color w:val="000000"/>
          <w:sz w:val="21"/>
          <w:szCs w:val="21"/>
        </w:rPr>
      </w:pPr>
      <w:r>
        <w:rPr>
          <w:rFonts w:ascii="宋体" w:hAnsi="宋体"/>
          <w:color w:val="000000"/>
          <w:kern w:val="0"/>
          <w:sz w:val="21"/>
          <w:szCs w:val="21"/>
        </w:rPr>
        <w:t>暂估价材料和工程设备的明细详见附件</w:t>
      </w:r>
      <w:r>
        <w:rPr>
          <w:rFonts w:hint="eastAsia" w:ascii="宋体" w:hAnsi="宋体"/>
          <w:color w:val="000000"/>
          <w:kern w:val="0"/>
          <w:sz w:val="21"/>
          <w:szCs w:val="21"/>
        </w:rPr>
        <w:t>13-1和13-3：《材料</w:t>
      </w:r>
      <w:r>
        <w:rPr>
          <w:rFonts w:ascii="宋体" w:hAnsi="宋体"/>
          <w:color w:val="000000"/>
          <w:sz w:val="21"/>
          <w:szCs w:val="21"/>
        </w:rPr>
        <w:t>暂</w:t>
      </w:r>
      <w:r>
        <w:rPr>
          <w:rFonts w:hint="eastAsia" w:ascii="宋体" w:hAnsi="宋体"/>
          <w:color w:val="000000"/>
          <w:sz w:val="21"/>
          <w:szCs w:val="21"/>
        </w:rPr>
        <w:t>估</w:t>
      </w:r>
      <w:r>
        <w:rPr>
          <w:rFonts w:ascii="宋体" w:hAnsi="宋体"/>
          <w:color w:val="000000"/>
          <w:sz w:val="21"/>
          <w:szCs w:val="21"/>
        </w:rPr>
        <w:t>价一览表</w:t>
      </w:r>
      <w:r>
        <w:rPr>
          <w:rFonts w:hint="eastAsia" w:ascii="宋体" w:hAnsi="宋体"/>
          <w:color w:val="000000"/>
          <w:sz w:val="21"/>
          <w:szCs w:val="21"/>
        </w:rPr>
        <w:t>》和、《专业工程</w:t>
      </w:r>
      <w:r>
        <w:rPr>
          <w:rFonts w:hint="eastAsia" w:ascii="宋体" w:hAnsi="宋体" w:cs="宋体"/>
          <w:color w:val="000000"/>
          <w:sz w:val="21"/>
          <w:szCs w:val="21"/>
        </w:rPr>
        <w:t>暂估价表》</w:t>
      </w:r>
      <w:r>
        <w:rPr>
          <w:rFonts w:hint="eastAsia" w:ascii="宋体" w:hAnsi="宋体"/>
          <w:color w:val="000000"/>
          <w:kern w:val="0"/>
          <w:sz w:val="21"/>
          <w:szCs w:val="21"/>
        </w:rPr>
        <w:t>。</w:t>
      </w:r>
    </w:p>
    <w:p w14:paraId="51B99645">
      <w:pPr>
        <w:pageBreakBefore w:val="0"/>
        <w:kinsoku/>
        <w:wordWrap/>
        <w:overflowPunct/>
        <w:topLinePunct w:val="0"/>
        <w:bidi w:val="0"/>
        <w:adjustRightInd w:val="0"/>
        <w:snapToGrid/>
        <w:spacing w:line="440" w:lineRule="exact"/>
        <w:ind w:left="420" w:leftChars="200" w:right="420" w:rightChars="200" w:firstLine="420" w:firstLineChars="200"/>
        <w:jc w:val="left"/>
        <w:textAlignment w:val="auto"/>
        <w:rPr>
          <w:rFonts w:ascii="宋体" w:hAnsi="宋体"/>
          <w:color w:val="000000"/>
          <w:sz w:val="21"/>
          <w:szCs w:val="21"/>
        </w:rPr>
      </w:pPr>
      <w:r>
        <w:rPr>
          <w:rFonts w:ascii="宋体" w:hAnsi="宋体"/>
          <w:color w:val="000000"/>
          <w:sz w:val="21"/>
          <w:szCs w:val="21"/>
        </w:rPr>
        <w:t>10.7.1 依法必须招标的暂估价项目</w:t>
      </w:r>
    </w:p>
    <w:p w14:paraId="0077A6B8">
      <w:pPr>
        <w:pageBreakBefore w:val="0"/>
        <w:kinsoku/>
        <w:wordWrap/>
        <w:overflowPunct/>
        <w:topLinePunct w:val="0"/>
        <w:bidi w:val="0"/>
        <w:adjustRightInd w:val="0"/>
        <w:snapToGrid/>
        <w:spacing w:line="440" w:lineRule="exact"/>
        <w:ind w:left="420" w:leftChars="200" w:right="420" w:rightChars="200" w:firstLine="420" w:firstLineChars="200"/>
        <w:jc w:val="left"/>
        <w:textAlignment w:val="auto"/>
        <w:rPr>
          <w:rFonts w:ascii="宋体" w:hAnsi="宋体"/>
          <w:color w:val="000000"/>
          <w:sz w:val="21"/>
          <w:szCs w:val="21"/>
        </w:rPr>
      </w:pPr>
      <w:r>
        <w:rPr>
          <w:rFonts w:ascii="宋体" w:hAnsi="宋体"/>
          <w:color w:val="000000"/>
          <w:sz w:val="21"/>
          <w:szCs w:val="21"/>
        </w:rPr>
        <w:t>对于依法必须招标的暂估价项目的确认和批准采取第</w:t>
      </w:r>
      <w:r>
        <w:rPr>
          <w:rFonts w:ascii="宋体" w:hAnsi="宋体"/>
          <w:color w:val="000000"/>
          <w:sz w:val="21"/>
          <w:szCs w:val="21"/>
          <w:u w:val="single"/>
        </w:rPr>
        <w:t xml:space="preserve"> </w:t>
      </w:r>
      <w:r>
        <w:rPr>
          <w:rFonts w:hint="eastAsia" w:ascii="宋体" w:hAnsi="宋体"/>
          <w:color w:val="000000"/>
          <w:sz w:val="21"/>
          <w:szCs w:val="21"/>
          <w:u w:val="single"/>
        </w:rPr>
        <w:t>1</w:t>
      </w:r>
      <w:r>
        <w:rPr>
          <w:rFonts w:ascii="宋体" w:hAnsi="宋体"/>
          <w:color w:val="000000"/>
          <w:sz w:val="21"/>
          <w:szCs w:val="21"/>
          <w:u w:val="single"/>
        </w:rPr>
        <w:t xml:space="preserve"> </w:t>
      </w:r>
      <w:r>
        <w:rPr>
          <w:rFonts w:ascii="宋体" w:hAnsi="宋体"/>
          <w:color w:val="000000"/>
          <w:sz w:val="21"/>
          <w:szCs w:val="21"/>
        </w:rPr>
        <w:t>种方式确定。</w:t>
      </w:r>
    </w:p>
    <w:p w14:paraId="465B24E7">
      <w:pPr>
        <w:pageBreakBefore w:val="0"/>
        <w:kinsoku/>
        <w:wordWrap/>
        <w:overflowPunct/>
        <w:topLinePunct w:val="0"/>
        <w:bidi w:val="0"/>
        <w:adjustRightInd w:val="0"/>
        <w:snapToGrid/>
        <w:spacing w:line="440" w:lineRule="exact"/>
        <w:ind w:left="420" w:leftChars="200" w:right="420" w:rightChars="200" w:firstLine="420" w:firstLineChars="200"/>
        <w:jc w:val="left"/>
        <w:textAlignment w:val="auto"/>
        <w:rPr>
          <w:rFonts w:ascii="宋体" w:hAnsi="宋体"/>
          <w:color w:val="000000"/>
          <w:sz w:val="21"/>
          <w:szCs w:val="21"/>
        </w:rPr>
      </w:pPr>
      <w:r>
        <w:rPr>
          <w:rFonts w:ascii="宋体" w:hAnsi="宋体"/>
          <w:color w:val="000000"/>
          <w:sz w:val="21"/>
          <w:szCs w:val="21"/>
        </w:rPr>
        <w:t>10.7.2 不属于依法必须招标的暂估价项目</w:t>
      </w:r>
    </w:p>
    <w:p w14:paraId="67543D3C">
      <w:pPr>
        <w:pageBreakBefore w:val="0"/>
        <w:kinsoku/>
        <w:wordWrap/>
        <w:overflowPunct/>
        <w:topLinePunct w:val="0"/>
        <w:bidi w:val="0"/>
        <w:adjustRightInd w:val="0"/>
        <w:snapToGrid/>
        <w:spacing w:line="440" w:lineRule="exact"/>
        <w:ind w:left="420" w:leftChars="200" w:right="420" w:rightChars="200" w:firstLine="420" w:firstLineChars="200"/>
        <w:jc w:val="left"/>
        <w:textAlignment w:val="auto"/>
        <w:rPr>
          <w:rFonts w:hint="eastAsia" w:ascii="宋体" w:hAnsi="宋体"/>
          <w:color w:val="000000"/>
          <w:sz w:val="21"/>
          <w:szCs w:val="21"/>
        </w:rPr>
      </w:pPr>
      <w:r>
        <w:rPr>
          <w:rFonts w:ascii="宋体" w:hAnsi="宋体"/>
          <w:color w:val="000000"/>
          <w:sz w:val="21"/>
          <w:szCs w:val="21"/>
        </w:rPr>
        <w:t>对于不属于依法必须招标的暂估价项目的确认和批准采取第</w:t>
      </w:r>
      <w:r>
        <w:rPr>
          <w:rFonts w:hint="eastAsia" w:ascii="宋体" w:hAnsi="宋体"/>
          <w:color w:val="000000"/>
          <w:sz w:val="21"/>
          <w:szCs w:val="21"/>
          <w:u w:val="single"/>
        </w:rPr>
        <w:t>3</w:t>
      </w:r>
      <w:r>
        <w:rPr>
          <w:rFonts w:ascii="宋体" w:hAnsi="宋体"/>
          <w:color w:val="000000"/>
          <w:sz w:val="21"/>
          <w:szCs w:val="21"/>
        </w:rPr>
        <w:t>种方式确定。</w:t>
      </w:r>
    </w:p>
    <w:p w14:paraId="66411C7E">
      <w:pPr>
        <w:pageBreakBefore w:val="0"/>
        <w:kinsoku/>
        <w:wordWrap/>
        <w:overflowPunct/>
        <w:topLinePunct w:val="0"/>
        <w:bidi w:val="0"/>
        <w:adjustRightInd w:val="0"/>
        <w:snapToGrid/>
        <w:spacing w:line="440" w:lineRule="exact"/>
        <w:ind w:left="420" w:leftChars="200" w:right="420" w:rightChars="200" w:firstLine="420" w:firstLineChars="200"/>
        <w:textAlignment w:val="auto"/>
        <w:rPr>
          <w:rFonts w:hint="eastAsia" w:ascii="宋体" w:hAnsi="宋体"/>
          <w:sz w:val="21"/>
          <w:szCs w:val="21"/>
          <w:u w:val="single"/>
        </w:rPr>
      </w:pPr>
      <w:r>
        <w:rPr>
          <w:rFonts w:ascii="宋体" w:hAnsi="宋体"/>
          <w:color w:val="000000"/>
          <w:sz w:val="21"/>
          <w:szCs w:val="21"/>
        </w:rPr>
        <w:t>第3种方式：</w:t>
      </w:r>
      <w:r>
        <w:rPr>
          <w:rFonts w:ascii="宋体" w:hAnsi="宋体"/>
          <w:color w:val="000000"/>
          <w:kern w:val="0"/>
          <w:sz w:val="21"/>
          <w:szCs w:val="21"/>
        </w:rPr>
        <w:t>承包人直接实施的暂估价项目</w:t>
      </w:r>
      <w:bookmarkEnd w:id="809"/>
      <w:bookmarkEnd w:id="810"/>
      <w:bookmarkEnd w:id="811"/>
      <w:r>
        <w:rPr>
          <w:rFonts w:hint="eastAsia" w:ascii="宋体" w:hAnsi="宋体"/>
          <w:color w:val="000000"/>
          <w:kern w:val="0"/>
          <w:sz w:val="21"/>
          <w:szCs w:val="21"/>
          <w:u w:val="single"/>
        </w:rPr>
        <w:t xml:space="preserve">              </w:t>
      </w:r>
      <w:r>
        <w:rPr>
          <w:rFonts w:hint="eastAsia" w:ascii="宋体" w:hAnsi="宋体"/>
          <w:color w:val="000000"/>
          <w:sz w:val="21"/>
          <w:szCs w:val="21"/>
          <w:u w:val="single"/>
        </w:rPr>
        <w:t xml:space="preserve">            </w:t>
      </w:r>
      <w:r>
        <w:rPr>
          <w:rFonts w:hint="eastAsia" w:ascii="宋体" w:hAnsi="宋体"/>
          <w:color w:val="000000"/>
          <w:sz w:val="21"/>
          <w:szCs w:val="21"/>
        </w:rPr>
        <w:t>。</w:t>
      </w:r>
    </w:p>
    <w:p w14:paraId="4F958A69">
      <w:pPr>
        <w:pageBreakBefore w:val="0"/>
        <w:kinsoku/>
        <w:wordWrap/>
        <w:overflowPunct/>
        <w:topLinePunct w:val="0"/>
        <w:bidi w:val="0"/>
        <w:adjustRightInd w:val="0"/>
        <w:snapToGrid/>
        <w:spacing w:line="440" w:lineRule="exact"/>
        <w:ind w:left="420" w:leftChars="200" w:right="420" w:rightChars="200" w:firstLine="420" w:firstLineChars="200"/>
        <w:textAlignment w:val="auto"/>
        <w:rPr>
          <w:rFonts w:ascii="宋体" w:hAnsi="宋体"/>
          <w:color w:val="000000"/>
          <w:sz w:val="21"/>
          <w:szCs w:val="21"/>
        </w:rPr>
      </w:pPr>
      <w:r>
        <w:rPr>
          <w:rFonts w:ascii="宋体" w:hAnsi="宋体"/>
          <w:color w:val="000000"/>
          <w:sz w:val="21"/>
          <w:szCs w:val="21"/>
        </w:rPr>
        <w:t>10.8 暂列金额</w:t>
      </w:r>
    </w:p>
    <w:p w14:paraId="47F6DF41">
      <w:pPr>
        <w:pageBreakBefore w:val="0"/>
        <w:kinsoku/>
        <w:wordWrap/>
        <w:overflowPunct/>
        <w:topLinePunct w:val="0"/>
        <w:autoSpaceDE w:val="0"/>
        <w:autoSpaceDN w:val="0"/>
        <w:bidi w:val="0"/>
        <w:adjustRightInd w:val="0"/>
        <w:snapToGrid/>
        <w:spacing w:line="440" w:lineRule="exact"/>
        <w:ind w:left="420" w:leftChars="200" w:right="420" w:rightChars="200" w:firstLine="525" w:firstLineChars="250"/>
        <w:jc w:val="left"/>
        <w:textAlignment w:val="auto"/>
        <w:rPr>
          <w:rFonts w:ascii="宋体" w:hAnsi="宋体"/>
          <w:color w:val="000000"/>
          <w:kern w:val="0"/>
          <w:sz w:val="21"/>
          <w:szCs w:val="21"/>
        </w:rPr>
      </w:pPr>
      <w:r>
        <w:rPr>
          <w:rFonts w:hint="eastAsia" w:ascii="宋体" w:hAnsi="宋体"/>
          <w:color w:val="000000"/>
          <w:kern w:val="0"/>
          <w:sz w:val="21"/>
          <w:szCs w:val="21"/>
        </w:rPr>
        <w:t>合同当事人关于暂列金额使用的约定：</w:t>
      </w:r>
      <w:r>
        <w:rPr>
          <w:rFonts w:hint="eastAsia" w:ascii="宋体" w:hAnsi="宋体"/>
          <w:color w:val="000000"/>
          <w:sz w:val="21"/>
          <w:szCs w:val="21"/>
          <w:u w:val="single"/>
        </w:rPr>
        <w:t xml:space="preserve">                          </w:t>
      </w:r>
      <w:r>
        <w:rPr>
          <w:rFonts w:hint="eastAsia" w:ascii="宋体" w:hAnsi="宋体"/>
          <w:color w:val="000000"/>
          <w:kern w:val="0"/>
          <w:sz w:val="21"/>
          <w:szCs w:val="21"/>
        </w:rPr>
        <w:t>。</w:t>
      </w:r>
    </w:p>
    <w:p w14:paraId="1F89ADE2">
      <w:pPr>
        <w:pStyle w:val="6"/>
        <w:pageBreakBefore w:val="0"/>
        <w:numPr>
          <w:ilvl w:val="3"/>
          <w:numId w:val="0"/>
        </w:numPr>
        <w:kinsoku/>
        <w:wordWrap/>
        <w:overflowPunct/>
        <w:topLinePunct w:val="0"/>
        <w:bidi w:val="0"/>
        <w:adjustRightInd w:val="0"/>
        <w:snapToGrid/>
        <w:spacing w:before="0" w:after="0" w:line="440" w:lineRule="exact"/>
        <w:ind w:left="420" w:leftChars="200" w:right="420" w:rightChars="200"/>
        <w:textAlignment w:val="auto"/>
        <w:rPr>
          <w:rFonts w:hint="eastAsia" w:ascii="宋体" w:hAnsi="宋体" w:eastAsia="宋体" w:cs="宋体"/>
          <w:b w:val="0"/>
          <w:color w:val="000000"/>
          <w:sz w:val="21"/>
          <w:szCs w:val="21"/>
        </w:rPr>
      </w:pPr>
      <w:bookmarkStart w:id="829" w:name="_Toc386638617"/>
      <w:bookmarkStart w:id="830" w:name="_Toc351203643"/>
      <w:r>
        <w:rPr>
          <w:rFonts w:hint="eastAsia" w:ascii="宋体" w:hAnsi="宋体" w:eastAsia="宋体" w:cs="宋体"/>
          <w:b w:val="0"/>
          <w:color w:val="000000"/>
          <w:sz w:val="21"/>
          <w:szCs w:val="21"/>
        </w:rPr>
        <w:t>11. 价格调整</w:t>
      </w:r>
      <w:bookmarkEnd w:id="829"/>
      <w:bookmarkEnd w:id="830"/>
    </w:p>
    <w:p w14:paraId="364AE1E1">
      <w:pPr>
        <w:pageBreakBefore w:val="0"/>
        <w:kinsoku/>
        <w:wordWrap/>
        <w:overflowPunct/>
        <w:topLinePunct w:val="0"/>
        <w:bidi w:val="0"/>
        <w:adjustRightInd w:val="0"/>
        <w:snapToGrid/>
        <w:spacing w:line="440" w:lineRule="exact"/>
        <w:ind w:left="420" w:leftChars="200" w:right="420" w:rightChars="200" w:firstLine="420" w:firstLineChars="200"/>
        <w:textAlignment w:val="auto"/>
        <w:rPr>
          <w:rFonts w:hint="eastAsia" w:ascii="宋体" w:hAnsi="宋体" w:cs="宋体"/>
          <w:sz w:val="21"/>
          <w:szCs w:val="21"/>
        </w:rPr>
      </w:pPr>
      <w:bookmarkStart w:id="831" w:name="_Toc292559406"/>
      <w:bookmarkStart w:id="832" w:name="_Toc297120501"/>
      <w:bookmarkStart w:id="833" w:name="_Toc296944540"/>
      <w:bookmarkStart w:id="834" w:name="_Toc297216209"/>
      <w:bookmarkStart w:id="835" w:name="_Toc296346702"/>
      <w:bookmarkStart w:id="836" w:name="_Toc296891241"/>
      <w:bookmarkStart w:id="837" w:name="_Toc312678039"/>
      <w:bookmarkStart w:id="838" w:name="_Toc297123550"/>
      <w:bookmarkStart w:id="839" w:name="_Toc300935000"/>
      <w:bookmarkStart w:id="840" w:name="_Toc296347200"/>
      <w:bookmarkStart w:id="841" w:name="_Toc292559911"/>
      <w:bookmarkStart w:id="842" w:name="_Toc296891029"/>
      <w:bookmarkStart w:id="843" w:name="_Toc304295577"/>
      <w:bookmarkStart w:id="844" w:name="_Toc303539157"/>
      <w:bookmarkStart w:id="845" w:name="_Toc297048387"/>
      <w:bookmarkStart w:id="846" w:name="_Toc296503201"/>
      <w:r>
        <w:rPr>
          <w:rFonts w:hint="eastAsia" w:ascii="宋体" w:hAnsi="宋体" w:cs="宋体"/>
          <w:sz w:val="21"/>
          <w:szCs w:val="21"/>
        </w:rPr>
        <w:t>11.1 市场价格波动引起的调整</w:t>
      </w:r>
    </w:p>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p w14:paraId="283AFC93">
      <w:pPr>
        <w:pageBreakBefore w:val="0"/>
        <w:kinsoku/>
        <w:wordWrap/>
        <w:overflowPunct/>
        <w:topLinePunct w:val="0"/>
        <w:bidi w:val="0"/>
        <w:adjustRightInd w:val="0"/>
        <w:snapToGrid/>
        <w:spacing w:line="440" w:lineRule="exact"/>
        <w:ind w:left="420" w:leftChars="200" w:right="420" w:rightChars="200" w:firstLine="420" w:firstLineChars="200"/>
        <w:jc w:val="left"/>
        <w:textAlignment w:val="auto"/>
        <w:rPr>
          <w:rFonts w:hAnsi="宋体"/>
          <w:sz w:val="21"/>
          <w:szCs w:val="21"/>
        </w:rPr>
      </w:pPr>
      <w:r>
        <w:rPr>
          <w:rFonts w:hint="eastAsia" w:hAnsi="宋体"/>
          <w:color w:val="000000"/>
          <w:sz w:val="21"/>
          <w:szCs w:val="21"/>
        </w:rPr>
        <w:t>市场价格波动是否调整合同价格的约定：按</w:t>
      </w:r>
      <w:r>
        <w:rPr>
          <w:rFonts w:hint="eastAsia" w:ascii="宋体" w:hAnsi="宋体" w:cs="Times New Roman"/>
          <w:sz w:val="21"/>
          <w:szCs w:val="21"/>
          <w:u w:val="single"/>
        </w:rPr>
        <w:t>《关于进一步加强建设工程要素价格动态管理工作的通知》（甬建价〔2021〕9号）文件</w:t>
      </w:r>
      <w:r>
        <w:rPr>
          <w:rFonts w:hint="eastAsia" w:hAnsi="宋体"/>
          <w:color w:val="000000"/>
          <w:sz w:val="21"/>
          <w:szCs w:val="21"/>
        </w:rPr>
        <w:t>，具体材料指</w:t>
      </w:r>
      <w:r>
        <w:rPr>
          <w:rFonts w:hint="eastAsia" w:ascii="宋体" w:hAnsi="宋体" w:cs="Times New Roman"/>
          <w:sz w:val="21"/>
          <w:szCs w:val="21"/>
          <w:u w:val="single"/>
        </w:rPr>
        <w:t>《关于进一步加强建设工程要素价格动态管理工作的通知》</w:t>
      </w:r>
      <w:r>
        <w:rPr>
          <w:rFonts w:hint="eastAsia" w:hAnsi="宋体"/>
          <w:color w:val="000000"/>
          <w:sz w:val="21"/>
          <w:szCs w:val="21"/>
          <w:u w:val="single"/>
        </w:rPr>
        <w:t>文件中建筑工程材料价差结算期表中所列的种类</w:t>
      </w:r>
      <w:r>
        <w:rPr>
          <w:rFonts w:hint="eastAsia" w:hAnsi="宋体"/>
          <w:color w:val="000000"/>
          <w:sz w:val="21"/>
          <w:szCs w:val="21"/>
        </w:rPr>
        <w:t>。</w:t>
      </w:r>
    </w:p>
    <w:p w14:paraId="7C9A36BE">
      <w:pPr>
        <w:pStyle w:val="637"/>
        <w:pageBreakBefore w:val="0"/>
        <w:kinsoku/>
        <w:wordWrap/>
        <w:overflowPunct/>
        <w:topLinePunct w:val="0"/>
        <w:bidi w:val="0"/>
        <w:adjustRightInd w:val="0"/>
        <w:snapToGrid/>
        <w:spacing w:line="440" w:lineRule="exact"/>
        <w:ind w:left="420" w:leftChars="200" w:right="420" w:rightChars="200" w:firstLine="401" w:firstLineChars="190"/>
        <w:textAlignment w:val="auto"/>
        <w:rPr>
          <w:rFonts w:hint="eastAsia" w:hAnsi="宋体"/>
          <w:color w:val="000000"/>
          <w:sz w:val="21"/>
          <w:szCs w:val="21"/>
        </w:rPr>
      </w:pPr>
      <w:r>
        <w:rPr>
          <w:rFonts w:hint="eastAsia" w:hAnsi="宋体"/>
          <w:color w:val="000000"/>
          <w:sz w:val="21"/>
          <w:szCs w:val="21"/>
        </w:rPr>
        <w:t>11.2 法律变化引起的调整</w:t>
      </w:r>
    </w:p>
    <w:p w14:paraId="1A472D2D">
      <w:pPr>
        <w:pageBreakBefore w:val="0"/>
        <w:kinsoku/>
        <w:wordWrap/>
        <w:overflowPunct/>
        <w:topLinePunct w:val="0"/>
        <w:bidi w:val="0"/>
        <w:adjustRightInd w:val="0"/>
        <w:snapToGrid/>
        <w:spacing w:line="440" w:lineRule="exact"/>
        <w:ind w:left="420" w:leftChars="200" w:right="420" w:rightChars="200" w:firstLine="420" w:firstLineChars="200"/>
        <w:textAlignment w:val="auto"/>
        <w:rPr>
          <w:rFonts w:hint="eastAsia" w:ascii="宋体" w:hAnsi="宋体"/>
          <w:color w:val="000000"/>
          <w:sz w:val="21"/>
          <w:szCs w:val="21"/>
        </w:rPr>
      </w:pPr>
      <w:r>
        <w:rPr>
          <w:rFonts w:hint="eastAsia" w:ascii="宋体" w:hAnsi="宋体"/>
          <w:color w:val="000000"/>
          <w:sz w:val="21"/>
          <w:szCs w:val="21"/>
        </w:rPr>
        <w:t>合同当事人关于本条的补充约定：</w:t>
      </w:r>
    </w:p>
    <w:p w14:paraId="4297E642">
      <w:pPr>
        <w:pageBreakBefore w:val="0"/>
        <w:kinsoku/>
        <w:wordWrap/>
        <w:overflowPunct/>
        <w:topLinePunct w:val="0"/>
        <w:bidi w:val="0"/>
        <w:adjustRightInd w:val="0"/>
        <w:snapToGrid/>
        <w:spacing w:line="440" w:lineRule="exact"/>
        <w:ind w:left="420" w:leftChars="200" w:right="420" w:rightChars="200" w:firstLine="420" w:firstLineChars="200"/>
        <w:textAlignment w:val="auto"/>
        <w:rPr>
          <w:rFonts w:hint="eastAsia" w:ascii="宋体" w:hAnsi="宋体"/>
          <w:color w:val="000000"/>
          <w:sz w:val="21"/>
          <w:szCs w:val="21"/>
        </w:rPr>
      </w:pPr>
      <w:r>
        <w:rPr>
          <w:rFonts w:hint="eastAsia" w:ascii="宋体" w:hAnsi="宋体"/>
          <w:color w:val="000000"/>
          <w:sz w:val="21"/>
          <w:szCs w:val="21"/>
        </w:rPr>
        <w:t>（1）本条所称的法律包括法律、法规、规章及规范性文件。</w:t>
      </w:r>
    </w:p>
    <w:p w14:paraId="001FD829">
      <w:pPr>
        <w:pageBreakBefore w:val="0"/>
        <w:kinsoku/>
        <w:wordWrap/>
        <w:overflowPunct/>
        <w:topLinePunct w:val="0"/>
        <w:bidi w:val="0"/>
        <w:adjustRightInd w:val="0"/>
        <w:snapToGrid/>
        <w:spacing w:line="440" w:lineRule="exact"/>
        <w:ind w:left="420" w:leftChars="200" w:right="420" w:rightChars="200" w:firstLine="420" w:firstLineChars="200"/>
        <w:textAlignment w:val="auto"/>
        <w:rPr>
          <w:rFonts w:hint="eastAsia" w:ascii="宋体" w:hAnsi="宋体"/>
          <w:color w:val="000000"/>
          <w:sz w:val="21"/>
          <w:szCs w:val="21"/>
        </w:rPr>
      </w:pPr>
      <w:r>
        <w:rPr>
          <w:rFonts w:hint="eastAsia" w:ascii="宋体" w:hAnsi="宋体"/>
          <w:color w:val="000000"/>
          <w:sz w:val="21"/>
          <w:szCs w:val="21"/>
        </w:rPr>
        <w:t>基准日期后，法律变化引起工程造价增减变化的，发包人和承包人双方应按照省级或行业建设主管部门或其授权的工程造价管理机构据此发布的规定调整合同价款。</w:t>
      </w:r>
    </w:p>
    <w:p w14:paraId="40E26DD1">
      <w:pPr>
        <w:pageBreakBefore w:val="0"/>
        <w:kinsoku/>
        <w:wordWrap/>
        <w:overflowPunct/>
        <w:topLinePunct w:val="0"/>
        <w:bidi w:val="0"/>
        <w:adjustRightInd w:val="0"/>
        <w:snapToGrid/>
        <w:spacing w:line="440" w:lineRule="exact"/>
        <w:ind w:left="420" w:leftChars="200" w:right="420" w:rightChars="200" w:firstLine="422" w:firstLineChars="200"/>
        <w:textAlignment w:val="auto"/>
        <w:rPr>
          <w:rFonts w:hint="eastAsia" w:ascii="宋体" w:hAnsi="宋体"/>
          <w:b/>
          <w:color w:val="000000"/>
          <w:sz w:val="21"/>
          <w:szCs w:val="21"/>
        </w:rPr>
      </w:pPr>
      <w:r>
        <w:rPr>
          <w:rFonts w:hint="eastAsia" w:ascii="宋体" w:hAnsi="宋体"/>
          <w:b/>
          <w:color w:val="000000"/>
          <w:sz w:val="21"/>
          <w:szCs w:val="21"/>
        </w:rPr>
        <w:t>11.3 其他项目费用的调整</w:t>
      </w:r>
    </w:p>
    <w:p w14:paraId="33905EFD">
      <w:pPr>
        <w:pageBreakBefore w:val="0"/>
        <w:kinsoku/>
        <w:wordWrap/>
        <w:overflowPunct/>
        <w:topLinePunct w:val="0"/>
        <w:bidi w:val="0"/>
        <w:adjustRightInd w:val="0"/>
        <w:snapToGrid/>
        <w:spacing w:line="440" w:lineRule="exact"/>
        <w:ind w:left="420" w:leftChars="200" w:right="420" w:rightChars="200" w:firstLine="420" w:firstLineChars="200"/>
        <w:textAlignment w:val="auto"/>
        <w:rPr>
          <w:rFonts w:hint="eastAsia" w:ascii="宋体" w:hAnsi="宋体"/>
          <w:color w:val="000000"/>
          <w:sz w:val="21"/>
          <w:szCs w:val="21"/>
        </w:rPr>
      </w:pPr>
      <w:r>
        <w:rPr>
          <w:rFonts w:hint="eastAsia" w:ascii="宋体" w:hAnsi="宋体"/>
          <w:color w:val="000000"/>
          <w:sz w:val="21"/>
          <w:szCs w:val="21"/>
        </w:rPr>
        <w:t>（1）承包人应发包人要求完成合同以外的项目、工作，或者发生应由发包人承担责任的事件，承包人应按合同约定的时间、程序向发包人提出费用或责任事件确认的现场签证，发包人就涉及工程量、价、费等内容进行核对，并详细、明确签署相应意见。现场签证作为期中结算、竣工结算的依据。</w:t>
      </w:r>
    </w:p>
    <w:p w14:paraId="30F111B6">
      <w:pPr>
        <w:pageBreakBefore w:val="0"/>
        <w:kinsoku/>
        <w:wordWrap/>
        <w:overflowPunct/>
        <w:topLinePunct w:val="0"/>
        <w:bidi w:val="0"/>
        <w:adjustRightInd w:val="0"/>
        <w:snapToGrid/>
        <w:spacing w:line="440" w:lineRule="exact"/>
        <w:ind w:left="420" w:leftChars="200" w:right="420" w:rightChars="200" w:firstLine="420" w:firstLineChars="200"/>
        <w:textAlignment w:val="auto"/>
        <w:rPr>
          <w:rFonts w:hint="eastAsia" w:ascii="宋体" w:hAnsi="宋体"/>
          <w:color w:val="000000"/>
          <w:sz w:val="21"/>
          <w:szCs w:val="21"/>
        </w:rPr>
      </w:pPr>
      <w:r>
        <w:rPr>
          <w:rFonts w:hint="eastAsia" w:ascii="宋体" w:hAnsi="宋体"/>
          <w:color w:val="000000"/>
          <w:sz w:val="21"/>
          <w:szCs w:val="21"/>
        </w:rPr>
        <w:t>（2）计日工应按发包人实际签证确认的事项所发生的数量计算。</w:t>
      </w:r>
    </w:p>
    <w:p w14:paraId="5D4884A1">
      <w:pPr>
        <w:pageBreakBefore w:val="0"/>
        <w:kinsoku/>
        <w:wordWrap/>
        <w:overflowPunct/>
        <w:topLinePunct w:val="0"/>
        <w:bidi w:val="0"/>
        <w:adjustRightInd w:val="0"/>
        <w:snapToGrid/>
        <w:spacing w:line="440" w:lineRule="exact"/>
        <w:ind w:left="420" w:leftChars="200" w:right="420" w:rightChars="200" w:firstLine="420" w:firstLineChars="200"/>
        <w:jc w:val="left"/>
        <w:textAlignment w:val="auto"/>
        <w:rPr>
          <w:rFonts w:ascii="宋体" w:hAnsi="宋体"/>
          <w:color w:val="000000"/>
          <w:sz w:val="21"/>
          <w:szCs w:val="21"/>
        </w:rPr>
      </w:pPr>
      <w:r>
        <w:rPr>
          <w:rFonts w:hint="eastAsia" w:ascii="宋体" w:hAnsi="宋体"/>
          <w:color w:val="000000"/>
          <w:sz w:val="21"/>
          <w:szCs w:val="21"/>
        </w:rPr>
        <w:t>（3）如发包人在工程量清单中提供了暂估价的设备材料属于依法必须招标的，由发包人和承包人共同通过招标确定设备材料的单价，若设备材料不属于依法必须招标的，按双方协商确认的市场价格或参照工程造价管理机构发布的相应市场价格信息确认单价，并相应调整合同价款</w:t>
      </w:r>
      <w:r>
        <w:rPr>
          <w:rFonts w:ascii="宋体" w:hAnsi="宋体"/>
          <w:color w:val="000000"/>
          <w:sz w:val="21"/>
          <w:szCs w:val="21"/>
        </w:rPr>
        <w:t>。</w:t>
      </w:r>
    </w:p>
    <w:p w14:paraId="531C864A">
      <w:pPr>
        <w:pStyle w:val="6"/>
        <w:pageBreakBefore w:val="0"/>
        <w:numPr>
          <w:ilvl w:val="3"/>
          <w:numId w:val="0"/>
        </w:numPr>
        <w:kinsoku/>
        <w:wordWrap/>
        <w:overflowPunct/>
        <w:topLinePunct w:val="0"/>
        <w:bidi w:val="0"/>
        <w:adjustRightInd w:val="0"/>
        <w:snapToGrid/>
        <w:spacing w:before="0" w:after="0" w:line="440" w:lineRule="exact"/>
        <w:ind w:left="420" w:leftChars="200" w:right="420" w:rightChars="200"/>
        <w:textAlignment w:val="auto"/>
        <w:rPr>
          <w:rFonts w:ascii="宋体" w:hAnsi="宋体"/>
          <w:b w:val="0"/>
          <w:sz w:val="21"/>
          <w:szCs w:val="21"/>
        </w:rPr>
      </w:pPr>
      <w:bookmarkStart w:id="847" w:name="_Toc296891033"/>
      <w:bookmarkStart w:id="848" w:name="_Toc297048391"/>
      <w:bookmarkStart w:id="849" w:name="_Toc296891245"/>
      <w:bookmarkStart w:id="850" w:name="_Toc292559915"/>
      <w:bookmarkStart w:id="851" w:name="_Toc297120505"/>
      <w:bookmarkStart w:id="852" w:name="_Toc296347204"/>
      <w:bookmarkStart w:id="853" w:name="_Toc296503205"/>
      <w:bookmarkStart w:id="854" w:name="_Toc296944544"/>
      <w:bookmarkStart w:id="855" w:name="_Toc292559410"/>
      <w:bookmarkStart w:id="856" w:name="_Toc296346706"/>
      <w:bookmarkStart w:id="857" w:name="_Toc386638618"/>
      <w:bookmarkStart w:id="858" w:name="_Toc351203644"/>
      <w:bookmarkStart w:id="859" w:name="_Toc312678040"/>
      <w:bookmarkStart w:id="860" w:name="_Toc304295579"/>
      <w:bookmarkStart w:id="861" w:name="_Toc303539159"/>
      <w:bookmarkStart w:id="862" w:name="_Toc297216211"/>
      <w:bookmarkStart w:id="863" w:name="_Toc297123552"/>
      <w:bookmarkStart w:id="864" w:name="_Toc300935002"/>
      <w:bookmarkStart w:id="865" w:name="_Toc300935004"/>
      <w:bookmarkStart w:id="866" w:name="_Toc297123554"/>
      <w:bookmarkStart w:id="867" w:name="_Toc304295581"/>
      <w:bookmarkStart w:id="868" w:name="_Toc303539161"/>
      <w:bookmarkStart w:id="869" w:name="_Toc312678042"/>
      <w:bookmarkStart w:id="870" w:name="_Toc297216213"/>
      <w:bookmarkStart w:id="871" w:name="_Toc297048393"/>
      <w:bookmarkStart w:id="872" w:name="_Toc292559917"/>
      <w:bookmarkStart w:id="873" w:name="_Toc296346708"/>
      <w:bookmarkStart w:id="874" w:name="_Toc296503207"/>
      <w:bookmarkStart w:id="875" w:name="_Toc296891247"/>
      <w:bookmarkStart w:id="876" w:name="_Toc296891035"/>
      <w:bookmarkStart w:id="877" w:name="_Toc296347206"/>
      <w:bookmarkStart w:id="878" w:name="_Toc297120507"/>
      <w:bookmarkStart w:id="879" w:name="_Toc296944546"/>
      <w:bookmarkStart w:id="880" w:name="_Toc292559412"/>
      <w:r>
        <w:rPr>
          <w:rFonts w:ascii="宋体" w:hAnsi="宋体"/>
          <w:b w:val="0"/>
          <w:sz w:val="21"/>
          <w:szCs w:val="21"/>
        </w:rPr>
        <w:t xml:space="preserve">12. </w:t>
      </w:r>
      <w:bookmarkEnd w:id="847"/>
      <w:bookmarkEnd w:id="848"/>
      <w:bookmarkEnd w:id="849"/>
      <w:bookmarkEnd w:id="850"/>
      <w:bookmarkEnd w:id="851"/>
      <w:bookmarkEnd w:id="852"/>
      <w:bookmarkEnd w:id="853"/>
      <w:bookmarkEnd w:id="854"/>
      <w:bookmarkEnd w:id="855"/>
      <w:bookmarkEnd w:id="856"/>
      <w:r>
        <w:rPr>
          <w:rFonts w:ascii="宋体" w:hAnsi="宋体"/>
          <w:b w:val="0"/>
          <w:sz w:val="21"/>
          <w:szCs w:val="21"/>
        </w:rPr>
        <w:t>合同价格、计量与支付</w:t>
      </w:r>
      <w:bookmarkEnd w:id="857"/>
      <w:bookmarkEnd w:id="858"/>
    </w:p>
    <w:bookmarkEnd w:id="859"/>
    <w:bookmarkEnd w:id="860"/>
    <w:bookmarkEnd w:id="861"/>
    <w:bookmarkEnd w:id="862"/>
    <w:bookmarkEnd w:id="863"/>
    <w:bookmarkEnd w:id="864"/>
    <w:p w14:paraId="4B6FA0BD">
      <w:pPr>
        <w:pageBreakBefore w:val="0"/>
        <w:kinsoku/>
        <w:wordWrap/>
        <w:overflowPunct/>
        <w:topLinePunct w:val="0"/>
        <w:bidi w:val="0"/>
        <w:adjustRightInd w:val="0"/>
        <w:snapToGrid/>
        <w:spacing w:line="440" w:lineRule="exact"/>
        <w:ind w:left="420" w:leftChars="200" w:right="420" w:rightChars="200" w:firstLine="420" w:firstLineChars="200"/>
        <w:textAlignment w:val="auto"/>
        <w:rPr>
          <w:rFonts w:ascii="宋体" w:hAnsi="宋体"/>
          <w:sz w:val="21"/>
          <w:szCs w:val="21"/>
        </w:rPr>
      </w:pPr>
      <w:bookmarkStart w:id="881" w:name="_Toc292559916"/>
      <w:bookmarkStart w:id="882" w:name="_Toc267251461"/>
      <w:bookmarkStart w:id="883" w:name="_Toc292559411"/>
      <w:bookmarkStart w:id="884" w:name="_Toc296891246"/>
      <w:bookmarkStart w:id="885" w:name="_Toc296346707"/>
      <w:bookmarkStart w:id="886" w:name="_Toc296347205"/>
      <w:bookmarkStart w:id="887" w:name="_Toc296891034"/>
      <w:bookmarkStart w:id="888" w:name="_Toc297120506"/>
      <w:bookmarkStart w:id="889" w:name="_Toc296944545"/>
      <w:bookmarkStart w:id="890" w:name="_Toc296503206"/>
      <w:bookmarkStart w:id="891" w:name="_Toc297048392"/>
      <w:bookmarkStart w:id="892" w:name="_Toc297123553"/>
      <w:bookmarkStart w:id="893" w:name="_Toc300935003"/>
      <w:bookmarkStart w:id="894" w:name="_Toc312678041"/>
      <w:bookmarkStart w:id="895" w:name="_Toc297216212"/>
      <w:bookmarkStart w:id="896" w:name="_Toc304295580"/>
      <w:bookmarkStart w:id="897" w:name="_Toc303539160"/>
      <w:r>
        <w:rPr>
          <w:rFonts w:ascii="宋体" w:hAnsi="宋体"/>
          <w:sz w:val="21"/>
          <w:szCs w:val="21"/>
        </w:rPr>
        <w:t>12.1 合</w:t>
      </w:r>
      <w:bookmarkEnd w:id="881"/>
      <w:bookmarkEnd w:id="882"/>
      <w:bookmarkEnd w:id="883"/>
      <w:r>
        <w:rPr>
          <w:rFonts w:ascii="宋体" w:hAnsi="宋体"/>
          <w:sz w:val="21"/>
          <w:szCs w:val="21"/>
        </w:rPr>
        <w:t>同价</w:t>
      </w:r>
      <w:bookmarkEnd w:id="884"/>
      <w:bookmarkEnd w:id="885"/>
      <w:bookmarkEnd w:id="886"/>
      <w:bookmarkEnd w:id="887"/>
      <w:bookmarkEnd w:id="888"/>
      <w:bookmarkEnd w:id="889"/>
      <w:bookmarkEnd w:id="890"/>
      <w:bookmarkEnd w:id="891"/>
      <w:r>
        <w:rPr>
          <w:rFonts w:ascii="宋体" w:hAnsi="宋体"/>
          <w:sz w:val="21"/>
          <w:szCs w:val="21"/>
        </w:rPr>
        <w:t>格形式</w:t>
      </w:r>
    </w:p>
    <w:bookmarkEnd w:id="892"/>
    <w:bookmarkEnd w:id="893"/>
    <w:bookmarkEnd w:id="894"/>
    <w:bookmarkEnd w:id="895"/>
    <w:bookmarkEnd w:id="896"/>
    <w:bookmarkEnd w:id="897"/>
    <w:p w14:paraId="0EDEB0AF">
      <w:pPr>
        <w:pageBreakBefore w:val="0"/>
        <w:kinsoku/>
        <w:wordWrap/>
        <w:overflowPunct/>
        <w:topLinePunct w:val="0"/>
        <w:bidi w:val="0"/>
        <w:adjustRightInd w:val="0"/>
        <w:snapToGrid/>
        <w:spacing w:line="440" w:lineRule="exact"/>
        <w:ind w:left="420" w:leftChars="200" w:right="420" w:rightChars="200" w:firstLine="420" w:firstLineChars="200"/>
        <w:textAlignment w:val="auto"/>
        <w:rPr>
          <w:rFonts w:hint="eastAsia" w:ascii="宋体" w:hAnsi="宋体"/>
          <w:kern w:val="0"/>
          <w:sz w:val="21"/>
          <w:szCs w:val="21"/>
          <w:u w:val="single"/>
        </w:rPr>
      </w:pPr>
      <w:r>
        <w:rPr>
          <w:rFonts w:hint="eastAsia" w:ascii="宋体" w:hAnsi="宋体"/>
          <w:kern w:val="0"/>
          <w:sz w:val="21"/>
          <w:szCs w:val="21"/>
        </w:rPr>
        <w:t>1、本合同采用合同当事人签订的合同协议书中约定的价格形式，即：</w:t>
      </w:r>
      <w:r>
        <w:rPr>
          <w:rFonts w:hint="eastAsia" w:ascii="宋体" w:hAnsi="宋体"/>
          <w:b/>
          <w:kern w:val="0"/>
          <w:sz w:val="21"/>
          <w:szCs w:val="21"/>
          <w:u w:val="single"/>
        </w:rPr>
        <w:t xml:space="preserve">单价合同，综合单价除合同规定的调整外按发包人提供的下浮后已标价工程量清单中的综合单价作为结算依据。 </w:t>
      </w:r>
    </w:p>
    <w:p w14:paraId="7588AD87">
      <w:pPr>
        <w:pageBreakBefore w:val="0"/>
        <w:kinsoku/>
        <w:wordWrap/>
        <w:overflowPunct/>
        <w:topLinePunct w:val="0"/>
        <w:bidi w:val="0"/>
        <w:adjustRightInd w:val="0"/>
        <w:snapToGrid/>
        <w:spacing w:line="440" w:lineRule="exact"/>
        <w:ind w:left="420" w:leftChars="200" w:right="420" w:rightChars="200" w:firstLine="420" w:firstLineChars="200"/>
        <w:textAlignment w:val="auto"/>
        <w:rPr>
          <w:rFonts w:hint="eastAsia" w:ascii="宋体" w:hAnsi="宋体"/>
          <w:sz w:val="21"/>
          <w:szCs w:val="21"/>
        </w:rPr>
      </w:pPr>
      <w:r>
        <w:rPr>
          <w:rFonts w:hint="eastAsia" w:ascii="宋体" w:hAnsi="宋体"/>
          <w:kern w:val="0"/>
          <w:sz w:val="21"/>
          <w:szCs w:val="21"/>
        </w:rPr>
        <w:t>（1）综合单价包含的风险范围：</w:t>
      </w:r>
      <w:r>
        <w:rPr>
          <w:rFonts w:hint="eastAsia" w:ascii="宋体" w:hAnsi="宋体"/>
          <w:sz w:val="21"/>
          <w:szCs w:val="21"/>
          <w:u w:val="single"/>
        </w:rPr>
        <w:t xml:space="preserve"> 5 </w:t>
      </w:r>
      <w:r>
        <w:rPr>
          <w:rFonts w:hint="eastAsia" w:ascii="宋体" w:hAnsi="宋体"/>
          <w:sz w:val="21"/>
          <w:szCs w:val="21"/>
        </w:rPr>
        <w:t>%的人工价格风险由承包人承担，</w:t>
      </w:r>
      <w:r>
        <w:rPr>
          <w:rFonts w:hint="eastAsia" w:ascii="宋体" w:hAnsi="宋体"/>
          <w:sz w:val="21"/>
          <w:szCs w:val="21"/>
          <w:u w:val="single"/>
        </w:rPr>
        <w:t xml:space="preserve"> 5 </w:t>
      </w:r>
      <w:r>
        <w:rPr>
          <w:rFonts w:hint="eastAsia" w:ascii="宋体" w:hAnsi="宋体"/>
          <w:sz w:val="21"/>
          <w:szCs w:val="21"/>
        </w:rPr>
        <w:t>%的材料价格风险由承包人承担，即人工、材料涨跌幅度在</w:t>
      </w:r>
      <w:r>
        <w:rPr>
          <w:rFonts w:hint="eastAsia" w:ascii="宋体" w:hAnsi="宋体"/>
          <w:sz w:val="21"/>
          <w:szCs w:val="21"/>
          <w:u w:val="single"/>
        </w:rPr>
        <w:t xml:space="preserve"> 5 </w:t>
      </w:r>
      <w:r>
        <w:rPr>
          <w:rFonts w:hint="eastAsia" w:ascii="宋体" w:hAnsi="宋体"/>
          <w:sz w:val="21"/>
          <w:szCs w:val="21"/>
        </w:rPr>
        <w:t>%及以内的，其价差由承包人承担或受益；在</w:t>
      </w:r>
      <w:r>
        <w:rPr>
          <w:rFonts w:hint="eastAsia" w:ascii="宋体" w:hAnsi="宋体"/>
          <w:sz w:val="21"/>
          <w:szCs w:val="21"/>
          <w:u w:val="single"/>
        </w:rPr>
        <w:t xml:space="preserve"> 5 </w:t>
      </w:r>
      <w:r>
        <w:rPr>
          <w:rFonts w:hint="eastAsia" w:ascii="宋体" w:hAnsi="宋体"/>
          <w:sz w:val="21"/>
          <w:szCs w:val="21"/>
        </w:rPr>
        <w:t>%以上的，其超出部分的价差由发包人承担或受益。</w:t>
      </w:r>
    </w:p>
    <w:p w14:paraId="6DF72AB8">
      <w:pPr>
        <w:pageBreakBefore w:val="0"/>
        <w:kinsoku/>
        <w:wordWrap/>
        <w:overflowPunct/>
        <w:topLinePunct w:val="0"/>
        <w:bidi w:val="0"/>
        <w:adjustRightInd w:val="0"/>
        <w:snapToGrid/>
        <w:spacing w:line="440" w:lineRule="exact"/>
        <w:ind w:left="420" w:leftChars="200" w:right="420" w:rightChars="200" w:firstLine="420" w:firstLineChars="200"/>
        <w:textAlignment w:val="auto"/>
        <w:rPr>
          <w:rFonts w:hint="eastAsia" w:ascii="宋体" w:hAnsi="宋体"/>
          <w:sz w:val="21"/>
          <w:szCs w:val="21"/>
          <w:u w:val="single"/>
        </w:rPr>
      </w:pPr>
      <w:r>
        <w:rPr>
          <w:rFonts w:hint="eastAsia" w:ascii="宋体" w:hAnsi="宋体"/>
          <w:sz w:val="21"/>
          <w:szCs w:val="21"/>
        </w:rPr>
        <w:t>要素价格的具体基期时间：</w:t>
      </w:r>
      <w:r>
        <w:rPr>
          <w:rFonts w:hint="eastAsia" w:ascii="宋体" w:hAnsi="宋体"/>
          <w:sz w:val="21"/>
          <w:szCs w:val="21"/>
          <w:u w:val="single"/>
        </w:rPr>
        <w:t>招标控制价编制根据《宁波建设工程造价信息》（综合版）202</w:t>
      </w:r>
      <w:r>
        <w:rPr>
          <w:rFonts w:hint="eastAsia" w:ascii="宋体" w:hAnsi="宋体"/>
          <w:sz w:val="21"/>
          <w:szCs w:val="21"/>
          <w:u w:val="single"/>
          <w:lang w:val="en-US" w:eastAsia="zh-CN"/>
        </w:rPr>
        <w:t>5</w:t>
      </w:r>
      <w:r>
        <w:rPr>
          <w:rFonts w:hint="eastAsia" w:ascii="宋体" w:hAnsi="宋体"/>
          <w:sz w:val="21"/>
          <w:szCs w:val="21"/>
          <w:u w:val="single"/>
        </w:rPr>
        <w:t>年第</w:t>
      </w:r>
      <w:r>
        <w:rPr>
          <w:rFonts w:hint="eastAsia" w:ascii="宋体" w:hAnsi="宋体"/>
          <w:sz w:val="21"/>
          <w:szCs w:val="21"/>
          <w:u w:val="single"/>
          <w:lang w:val="en-US" w:eastAsia="zh-CN"/>
        </w:rPr>
        <w:t>4</w:t>
      </w:r>
      <w:r>
        <w:rPr>
          <w:rFonts w:hint="eastAsia" w:ascii="宋体" w:hAnsi="宋体"/>
          <w:sz w:val="21"/>
          <w:szCs w:val="21"/>
          <w:u w:val="single"/>
        </w:rPr>
        <w:t>期信息价计入（宁海县优先），宁波市区信息价没有的材料，按202</w:t>
      </w:r>
      <w:r>
        <w:rPr>
          <w:rFonts w:hint="eastAsia" w:ascii="宋体" w:hAnsi="宋体"/>
          <w:sz w:val="21"/>
          <w:szCs w:val="21"/>
          <w:u w:val="single"/>
          <w:lang w:val="en-US" w:eastAsia="zh-CN"/>
        </w:rPr>
        <w:t>5</w:t>
      </w:r>
      <w:r>
        <w:rPr>
          <w:rFonts w:hint="eastAsia" w:ascii="宋体" w:hAnsi="宋体"/>
          <w:sz w:val="21"/>
          <w:szCs w:val="21"/>
          <w:u w:val="single"/>
        </w:rPr>
        <w:t>年第</w:t>
      </w:r>
      <w:r>
        <w:rPr>
          <w:rFonts w:hint="eastAsia" w:ascii="宋体" w:hAnsi="宋体"/>
          <w:sz w:val="21"/>
          <w:szCs w:val="21"/>
          <w:u w:val="single"/>
          <w:lang w:val="en-US" w:eastAsia="zh-CN"/>
        </w:rPr>
        <w:t>4</w:t>
      </w:r>
      <w:r>
        <w:rPr>
          <w:rFonts w:hint="eastAsia" w:ascii="宋体" w:hAnsi="宋体"/>
          <w:sz w:val="21"/>
          <w:szCs w:val="21"/>
          <w:u w:val="single"/>
        </w:rPr>
        <w:t>期《浙江造价信息》信息价计入，无信息价材料参照市场价取定，上述材料价均为除税价，无信息价材料参照市场价取定。</w:t>
      </w:r>
    </w:p>
    <w:p w14:paraId="3C636A43">
      <w:pPr>
        <w:pageBreakBefore w:val="0"/>
        <w:kinsoku/>
        <w:wordWrap/>
        <w:overflowPunct/>
        <w:topLinePunct w:val="0"/>
        <w:bidi w:val="0"/>
        <w:adjustRightInd w:val="0"/>
        <w:snapToGrid/>
        <w:spacing w:line="440" w:lineRule="exact"/>
        <w:ind w:left="420" w:leftChars="200" w:right="420" w:rightChars="200" w:firstLine="420" w:firstLineChars="200"/>
        <w:textAlignment w:val="auto"/>
        <w:rPr>
          <w:rFonts w:hint="eastAsia" w:ascii="宋体" w:hAnsi="宋体"/>
          <w:sz w:val="21"/>
          <w:szCs w:val="21"/>
          <w:u w:val="single"/>
        </w:rPr>
      </w:pPr>
      <w:r>
        <w:rPr>
          <w:rFonts w:hint="eastAsia" w:ascii="宋体" w:hAnsi="宋体"/>
          <w:sz w:val="21"/>
          <w:szCs w:val="21"/>
          <w:u w:val="single"/>
        </w:rPr>
        <w:t>（2）人工价差调整的结算期及方法：</w:t>
      </w:r>
    </w:p>
    <w:p w14:paraId="40BD8859">
      <w:pPr>
        <w:pageBreakBefore w:val="0"/>
        <w:kinsoku/>
        <w:wordWrap/>
        <w:overflowPunct/>
        <w:topLinePunct w:val="0"/>
        <w:bidi w:val="0"/>
        <w:adjustRightInd w:val="0"/>
        <w:snapToGrid/>
        <w:spacing w:line="440" w:lineRule="exact"/>
        <w:ind w:left="420" w:leftChars="200" w:right="420" w:rightChars="200" w:firstLine="420" w:firstLineChars="200"/>
        <w:textAlignment w:val="auto"/>
        <w:rPr>
          <w:rFonts w:hint="eastAsia" w:ascii="宋体" w:hAnsi="宋体" w:cs="Times New Roman"/>
          <w:sz w:val="21"/>
          <w:szCs w:val="21"/>
          <w:u w:val="single"/>
        </w:rPr>
      </w:pPr>
      <w:r>
        <w:rPr>
          <w:rFonts w:hint="eastAsia" w:ascii="宋体" w:hAnsi="宋体"/>
          <w:sz w:val="21"/>
          <w:szCs w:val="21"/>
          <w:u w:val="single"/>
        </w:rPr>
        <w:t>①、结算期：</w:t>
      </w:r>
      <w:r>
        <w:rPr>
          <w:rFonts w:hint="eastAsia" w:ascii="宋体" w:hAnsi="宋体" w:cs="Times New Roman"/>
          <w:sz w:val="21"/>
          <w:szCs w:val="21"/>
          <w:u w:val="single"/>
        </w:rPr>
        <w:t>按《关于进一步加强建设工程要素价格动态管理工作的通知》（甬建价〔2021〕9号）文件执行。</w:t>
      </w:r>
    </w:p>
    <w:p w14:paraId="09D80956">
      <w:pPr>
        <w:pageBreakBefore w:val="0"/>
        <w:kinsoku/>
        <w:wordWrap/>
        <w:overflowPunct/>
        <w:topLinePunct w:val="0"/>
        <w:bidi w:val="0"/>
        <w:adjustRightInd w:val="0"/>
        <w:snapToGrid/>
        <w:spacing w:line="440" w:lineRule="exact"/>
        <w:ind w:left="420" w:leftChars="200" w:right="420" w:rightChars="200" w:firstLine="420" w:firstLineChars="200"/>
        <w:textAlignment w:val="auto"/>
        <w:rPr>
          <w:rFonts w:hint="eastAsia" w:ascii="宋体" w:hAnsi="宋体"/>
          <w:sz w:val="21"/>
          <w:szCs w:val="21"/>
          <w:u w:val="single"/>
        </w:rPr>
      </w:pPr>
      <w:r>
        <w:rPr>
          <w:rFonts w:hint="eastAsia" w:ascii="宋体" w:hAnsi="宋体"/>
          <w:sz w:val="21"/>
          <w:szCs w:val="21"/>
          <w:u w:val="single"/>
        </w:rPr>
        <w:t>②、调整方法：以结算期的人工市场信息价算术平均值与基期的市场信息价的差额（承担5%风险后）以及合同约定计价依据的相应消耗量为计算依据，经计算所得的金额列入工程造价，补差部分只计取税金，不计取其他费用。</w:t>
      </w:r>
    </w:p>
    <w:p w14:paraId="76D75817">
      <w:pPr>
        <w:pageBreakBefore w:val="0"/>
        <w:kinsoku/>
        <w:wordWrap/>
        <w:overflowPunct/>
        <w:topLinePunct w:val="0"/>
        <w:bidi w:val="0"/>
        <w:adjustRightInd w:val="0"/>
        <w:snapToGrid/>
        <w:spacing w:line="440" w:lineRule="exact"/>
        <w:ind w:left="420" w:leftChars="200" w:right="420" w:rightChars="200" w:firstLine="420" w:firstLineChars="200"/>
        <w:textAlignment w:val="auto"/>
        <w:rPr>
          <w:rFonts w:hint="eastAsia" w:ascii="宋体" w:hAnsi="宋体"/>
          <w:sz w:val="21"/>
          <w:szCs w:val="21"/>
        </w:rPr>
      </w:pPr>
      <w:r>
        <w:rPr>
          <w:rFonts w:hint="eastAsia" w:ascii="宋体" w:hAnsi="宋体"/>
          <w:sz w:val="21"/>
          <w:szCs w:val="21"/>
        </w:rPr>
        <w:t>（3）材料价差调整的结算期及方法：</w:t>
      </w:r>
    </w:p>
    <w:p w14:paraId="71C57AD6">
      <w:pPr>
        <w:pageBreakBefore w:val="0"/>
        <w:kinsoku/>
        <w:wordWrap/>
        <w:overflowPunct/>
        <w:topLinePunct w:val="0"/>
        <w:bidi w:val="0"/>
        <w:adjustRightInd w:val="0"/>
        <w:snapToGrid/>
        <w:spacing w:line="440" w:lineRule="exact"/>
        <w:ind w:left="420" w:leftChars="200" w:right="420" w:rightChars="200" w:firstLine="420" w:firstLineChars="200"/>
        <w:textAlignment w:val="auto"/>
        <w:rPr>
          <w:rFonts w:hint="eastAsia" w:ascii="宋体" w:hAnsi="宋体"/>
          <w:sz w:val="21"/>
          <w:szCs w:val="21"/>
          <w:u w:val="single"/>
        </w:rPr>
      </w:pPr>
      <w:r>
        <w:rPr>
          <w:rFonts w:hint="eastAsia" w:ascii="宋体" w:hAnsi="宋体"/>
          <w:sz w:val="21"/>
          <w:szCs w:val="21"/>
          <w:u w:val="single"/>
        </w:rPr>
        <w:t>①、结算期：</w:t>
      </w:r>
      <w:r>
        <w:rPr>
          <w:rFonts w:hint="eastAsia" w:ascii="宋体" w:hAnsi="宋体" w:cs="Times New Roman"/>
          <w:sz w:val="21"/>
          <w:szCs w:val="21"/>
          <w:u w:val="single"/>
        </w:rPr>
        <w:t>按《关于进一步加强建设工程要素价格动态管理工作的通知》（甬建价〔2021〕9号）文件执行；</w:t>
      </w:r>
      <w:r>
        <w:rPr>
          <w:rFonts w:hint="eastAsia" w:ascii="宋体" w:hAnsi="宋体"/>
          <w:sz w:val="21"/>
          <w:szCs w:val="21"/>
          <w:u w:val="single"/>
        </w:rPr>
        <w:t>②、调整方法：以结算期的市场信息价算术平均值与基期的市场信息价的差额（承担5%风险后）以及合同约定计价依据的相应消耗量为计算依据，经计算所得的金额列入工程造价，补差部分只计取税金，不计取其他费用。（建筑工程材料价格结算期明细按</w:t>
      </w:r>
      <w:r>
        <w:rPr>
          <w:rFonts w:hint="eastAsia" w:ascii="宋体" w:hAnsi="宋体" w:cs="Times New Roman"/>
          <w:sz w:val="21"/>
          <w:szCs w:val="21"/>
          <w:u w:val="single"/>
        </w:rPr>
        <w:t>《关于进一步加强建设工程要素价格动态管理工作的通知》（甬建价〔2021〕9号）文件</w:t>
      </w:r>
      <w:r>
        <w:rPr>
          <w:rFonts w:hint="eastAsia" w:ascii="宋体" w:hAnsi="宋体"/>
          <w:sz w:val="21"/>
          <w:szCs w:val="21"/>
          <w:u w:val="single"/>
        </w:rPr>
        <w:t>中建筑工程材料价格结算期表中所列的执行。）</w:t>
      </w:r>
    </w:p>
    <w:p w14:paraId="6A98514A">
      <w:pPr>
        <w:pageBreakBefore w:val="0"/>
        <w:kinsoku/>
        <w:wordWrap/>
        <w:overflowPunct/>
        <w:topLinePunct w:val="0"/>
        <w:bidi w:val="0"/>
        <w:adjustRightInd w:val="0"/>
        <w:snapToGrid/>
        <w:spacing w:line="440" w:lineRule="exact"/>
        <w:ind w:left="420" w:leftChars="200" w:right="420" w:rightChars="200" w:firstLine="420" w:firstLineChars="200"/>
        <w:textAlignment w:val="auto"/>
        <w:rPr>
          <w:rFonts w:hint="eastAsia" w:ascii="宋体" w:hAnsi="宋体"/>
          <w:sz w:val="21"/>
          <w:szCs w:val="21"/>
          <w:u w:val="single"/>
        </w:rPr>
      </w:pPr>
      <w:r>
        <w:rPr>
          <w:rFonts w:hint="eastAsia" w:ascii="宋体" w:hAnsi="宋体"/>
          <w:sz w:val="21"/>
          <w:szCs w:val="21"/>
        </w:rPr>
        <w:t>（4）</w:t>
      </w:r>
      <w:r>
        <w:rPr>
          <w:rFonts w:hint="eastAsia" w:ascii="宋体" w:hAnsi="宋体"/>
          <w:sz w:val="21"/>
          <w:szCs w:val="21"/>
          <w:u w:val="single"/>
        </w:rPr>
        <w:t>如因承包人原因造成工期延误的，延误期间遇人工、单项材料上涨时，按实际工期月份结合</w:t>
      </w:r>
      <w:r>
        <w:rPr>
          <w:rFonts w:hint="eastAsia" w:ascii="宋体" w:hAnsi="宋体" w:cs="Times New Roman"/>
          <w:sz w:val="21"/>
          <w:szCs w:val="21"/>
          <w:u w:val="single"/>
        </w:rPr>
        <w:t>《关于进一步加强建设工程要素价格动态管理工作的通知》（甬建价〔2021〕9号）文件</w:t>
      </w:r>
      <w:r>
        <w:rPr>
          <w:rFonts w:hint="eastAsia" w:ascii="宋体" w:hAnsi="宋体"/>
          <w:sz w:val="21"/>
          <w:szCs w:val="21"/>
          <w:u w:val="single"/>
        </w:rPr>
        <w:t>的市场信息价的算术平均值计取价差；反之，遇人工、单项材料下降时，按合同工期月份结合</w:t>
      </w:r>
      <w:r>
        <w:rPr>
          <w:rFonts w:hint="eastAsia" w:ascii="宋体" w:hAnsi="宋体" w:cs="Times New Roman"/>
          <w:sz w:val="21"/>
          <w:szCs w:val="21"/>
          <w:u w:val="single"/>
        </w:rPr>
        <w:t>《关于进一步加强建设工程要素价格动态管理工作的通知》（甬建价〔2021〕9号）文件</w:t>
      </w:r>
      <w:r>
        <w:rPr>
          <w:rFonts w:hint="eastAsia" w:ascii="宋体" w:hAnsi="宋体"/>
          <w:sz w:val="21"/>
          <w:szCs w:val="21"/>
          <w:u w:val="single"/>
        </w:rPr>
        <w:t>的市场信息价的算术平均值计取价差。因承包人原因造成工期延误的，延误期间遇材料人工、单项材料上涨时，按合同工期月份的市场信息价的算术平均值计取价差；反之，遇人工、单项材料下降时，按实际工期月份</w:t>
      </w:r>
      <w:r>
        <w:rPr>
          <w:rFonts w:hint="eastAsia" w:ascii="宋体" w:hAnsi="宋体" w:cs="Times New Roman"/>
          <w:sz w:val="21"/>
          <w:szCs w:val="21"/>
          <w:u w:val="single"/>
        </w:rPr>
        <w:t>《关于进一步加强建设工程要素价格动态管理工作的通知》（甬建价〔2021〕9号）文件</w:t>
      </w:r>
      <w:r>
        <w:rPr>
          <w:rFonts w:hint="eastAsia" w:ascii="宋体" w:hAnsi="宋体"/>
          <w:sz w:val="21"/>
          <w:szCs w:val="21"/>
          <w:u w:val="single"/>
        </w:rPr>
        <w:t>的市场信息价的算术平均值计取价差。</w:t>
      </w:r>
    </w:p>
    <w:p w14:paraId="56911C20">
      <w:pPr>
        <w:pageBreakBefore w:val="0"/>
        <w:kinsoku/>
        <w:wordWrap/>
        <w:overflowPunct/>
        <w:topLinePunct w:val="0"/>
        <w:bidi w:val="0"/>
        <w:adjustRightInd w:val="0"/>
        <w:snapToGrid/>
        <w:spacing w:line="440" w:lineRule="exact"/>
        <w:ind w:left="420" w:leftChars="200" w:right="420" w:rightChars="200" w:firstLine="525" w:firstLineChars="250"/>
        <w:textAlignment w:val="auto"/>
        <w:rPr>
          <w:rFonts w:hint="eastAsia" w:ascii="宋体" w:hAnsi="宋体"/>
          <w:sz w:val="21"/>
          <w:szCs w:val="21"/>
          <w:u w:val="single"/>
        </w:rPr>
      </w:pPr>
      <w:r>
        <w:rPr>
          <w:rFonts w:hint="eastAsia" w:ascii="宋体" w:hAnsi="宋体"/>
          <w:sz w:val="21"/>
          <w:szCs w:val="21"/>
          <w:u w:val="single"/>
        </w:rPr>
        <w:t>以上发生的材料、人工的价差，只计取价差和税金，不计取其他任何费用。上述调整的价格差额在工程竣工结算时统一结算。</w:t>
      </w:r>
    </w:p>
    <w:p w14:paraId="36ED094D">
      <w:pPr>
        <w:pageBreakBefore w:val="0"/>
        <w:kinsoku/>
        <w:wordWrap/>
        <w:overflowPunct/>
        <w:topLinePunct w:val="0"/>
        <w:bidi w:val="0"/>
        <w:adjustRightInd w:val="0"/>
        <w:snapToGrid/>
        <w:spacing w:line="440" w:lineRule="exact"/>
        <w:ind w:left="420" w:leftChars="200" w:right="420" w:rightChars="200" w:firstLine="420" w:firstLineChars="200"/>
        <w:contextualSpacing/>
        <w:textAlignment w:val="auto"/>
        <w:rPr>
          <w:rFonts w:hint="eastAsia" w:ascii="宋体" w:hAnsi="宋体" w:cs="宋体"/>
          <w:sz w:val="21"/>
          <w:szCs w:val="21"/>
        </w:rPr>
      </w:pPr>
      <w:r>
        <w:rPr>
          <w:rFonts w:hint="eastAsia" w:ascii="宋体" w:hAnsi="宋体" w:cs="宋体"/>
          <w:sz w:val="21"/>
          <w:szCs w:val="21"/>
        </w:rPr>
        <w:t>（</w:t>
      </w:r>
      <w:r>
        <w:rPr>
          <w:rFonts w:hint="eastAsia" w:ascii="宋体" w:hAnsi="宋体" w:cs="宋体"/>
          <w:sz w:val="21"/>
          <w:szCs w:val="21"/>
          <w:lang w:val="en-US" w:eastAsia="zh-CN"/>
        </w:rPr>
        <w:t>5</w:t>
      </w:r>
      <w:r>
        <w:rPr>
          <w:rFonts w:hint="eastAsia" w:ascii="宋体" w:hAnsi="宋体" w:cs="宋体"/>
          <w:sz w:val="21"/>
          <w:szCs w:val="21"/>
        </w:rPr>
        <w:t>）本合同采用的计价依据：</w:t>
      </w:r>
      <w:r>
        <w:rPr>
          <w:rFonts w:hint="eastAsia" w:ascii="宋体" w:hAnsi="宋体" w:cs="宋体"/>
          <w:sz w:val="21"/>
          <w:szCs w:val="21"/>
          <w:lang w:val="en-US" w:eastAsia="zh-CN"/>
        </w:rPr>
        <w:t>《建设工程工程量清单计价规范》（GB50500-2013）及相应的工程量计算规范；《建设工程工程量计算规范浙江省补充规定》（浙建站计﹝2013﹞63号； 《建设工程工程量计算规范浙江省补充规定(二）》（浙建站计﹝2014﹞31号）；《浙江省市政工程预算定额(2018版)》、《浙江省建设工程计价规则（2018版）》、《浙江省机械台班费用定额（2018版）》；《转发省住建厅、省发改委、省财政厅关于颁发浙江省建设工程计价依据（2018版）的通知》（甬发改投资﹝2018﹞601号）；建设单位提供的编制要求；宁波市及宁海县现行相关文件规定；《宁波建设工程造价信息》、《浙江造价信息》、《宁波市建设工程检测行业协会》；编制中有关问题处理请看后页预算编制说明。</w:t>
      </w:r>
    </w:p>
    <w:p w14:paraId="396EE592">
      <w:pPr>
        <w:pageBreakBefore w:val="0"/>
        <w:kinsoku/>
        <w:wordWrap/>
        <w:overflowPunct/>
        <w:topLinePunct w:val="0"/>
        <w:bidi w:val="0"/>
        <w:adjustRightInd w:val="0"/>
        <w:snapToGrid/>
        <w:spacing w:line="440" w:lineRule="exact"/>
        <w:ind w:left="420" w:leftChars="200" w:right="420" w:rightChars="200" w:firstLine="420" w:firstLineChars="200"/>
        <w:contextualSpacing/>
        <w:textAlignment w:val="auto"/>
        <w:rPr>
          <w:rFonts w:hint="eastAsia" w:ascii="宋体" w:hAnsi="宋体" w:cs="宋体"/>
          <w:sz w:val="21"/>
          <w:szCs w:val="21"/>
        </w:rPr>
      </w:pPr>
      <w:r>
        <w:rPr>
          <w:rFonts w:hint="eastAsia" w:ascii="宋体" w:hAnsi="宋体" w:cs="宋体"/>
          <w:sz w:val="21"/>
          <w:szCs w:val="21"/>
        </w:rPr>
        <w:t>12.2 预付款</w:t>
      </w:r>
    </w:p>
    <w:bookmarkEnd w:id="865"/>
    <w:bookmarkEnd w:id="866"/>
    <w:bookmarkEnd w:id="867"/>
    <w:bookmarkEnd w:id="868"/>
    <w:bookmarkEnd w:id="869"/>
    <w:bookmarkEnd w:id="870"/>
    <w:p w14:paraId="191E3D8D">
      <w:pPr>
        <w:pageBreakBefore w:val="0"/>
        <w:kinsoku/>
        <w:wordWrap/>
        <w:overflowPunct/>
        <w:topLinePunct w:val="0"/>
        <w:bidi w:val="0"/>
        <w:adjustRightInd w:val="0"/>
        <w:snapToGrid/>
        <w:spacing w:line="440" w:lineRule="exact"/>
        <w:ind w:left="420" w:leftChars="200" w:right="420" w:rightChars="200" w:firstLine="420" w:firstLineChars="200"/>
        <w:jc w:val="left"/>
        <w:textAlignment w:val="auto"/>
        <w:rPr>
          <w:rFonts w:hint="eastAsia" w:ascii="宋体" w:hAnsi="宋体"/>
          <w:sz w:val="21"/>
          <w:szCs w:val="21"/>
        </w:rPr>
      </w:pPr>
      <w:r>
        <w:rPr>
          <w:rFonts w:ascii="宋体" w:hAnsi="宋体"/>
          <w:sz w:val="21"/>
          <w:szCs w:val="21"/>
        </w:rPr>
        <w:t>12.2.1 预付款的支付</w:t>
      </w:r>
    </w:p>
    <w:p w14:paraId="23E0FD02">
      <w:pPr>
        <w:pageBreakBefore w:val="0"/>
        <w:kinsoku/>
        <w:wordWrap/>
        <w:overflowPunct/>
        <w:topLinePunct w:val="0"/>
        <w:bidi w:val="0"/>
        <w:adjustRightInd w:val="0"/>
        <w:snapToGrid/>
        <w:spacing w:line="440" w:lineRule="exact"/>
        <w:ind w:left="420" w:leftChars="200" w:right="420" w:rightChars="200" w:firstLine="420" w:firstLineChars="200"/>
        <w:jc w:val="left"/>
        <w:textAlignment w:val="auto"/>
        <w:rPr>
          <w:rFonts w:hint="eastAsia" w:ascii="宋体" w:hAnsi="宋体"/>
          <w:color w:val="000000"/>
          <w:sz w:val="21"/>
          <w:szCs w:val="21"/>
          <w:u w:val="single"/>
        </w:rPr>
      </w:pPr>
      <w:r>
        <w:rPr>
          <w:rFonts w:ascii="宋体" w:hAnsi="宋体"/>
          <w:sz w:val="21"/>
          <w:szCs w:val="21"/>
        </w:rPr>
        <w:t>预付款支付比例或</w:t>
      </w:r>
      <w:r>
        <w:rPr>
          <w:rFonts w:hint="eastAsia" w:ascii="宋体" w:hAnsi="宋体"/>
          <w:sz w:val="21"/>
          <w:szCs w:val="21"/>
        </w:rPr>
        <w:t>期限</w:t>
      </w:r>
      <w:r>
        <w:rPr>
          <w:rFonts w:ascii="宋体" w:hAnsi="宋体"/>
          <w:sz w:val="21"/>
          <w:szCs w:val="21"/>
        </w:rPr>
        <w:t>：</w:t>
      </w:r>
      <w:r>
        <w:rPr>
          <w:rFonts w:hint="eastAsia" w:ascii="宋体" w:hAnsi="宋体"/>
          <w:color w:val="000000"/>
          <w:sz w:val="21"/>
          <w:szCs w:val="21"/>
          <w:u w:val="single"/>
        </w:rPr>
        <w:t>开工报告批准后7工作日内，发包人支付给承包人合同价的</w:t>
      </w:r>
      <w:r>
        <w:rPr>
          <w:rFonts w:hint="eastAsia" w:ascii="宋体" w:hAnsi="宋体"/>
          <w:color w:val="000000"/>
          <w:sz w:val="21"/>
          <w:szCs w:val="21"/>
          <w:u w:val="single"/>
          <w:lang w:val="en-US" w:eastAsia="zh-CN"/>
        </w:rPr>
        <w:t>40</w:t>
      </w:r>
      <w:r>
        <w:rPr>
          <w:rFonts w:hint="eastAsia" w:ascii="宋体" w:hAnsi="宋体"/>
          <w:color w:val="000000"/>
          <w:sz w:val="21"/>
          <w:szCs w:val="21"/>
          <w:u w:val="single"/>
        </w:rPr>
        <w:t>%作为工程预付款。</w:t>
      </w:r>
    </w:p>
    <w:bookmarkEnd w:id="871"/>
    <w:bookmarkEnd w:id="872"/>
    <w:bookmarkEnd w:id="873"/>
    <w:bookmarkEnd w:id="874"/>
    <w:bookmarkEnd w:id="875"/>
    <w:bookmarkEnd w:id="876"/>
    <w:bookmarkEnd w:id="877"/>
    <w:bookmarkEnd w:id="878"/>
    <w:bookmarkEnd w:id="879"/>
    <w:bookmarkEnd w:id="880"/>
    <w:p w14:paraId="74D2BB38">
      <w:pPr>
        <w:pageBreakBefore w:val="0"/>
        <w:kinsoku/>
        <w:wordWrap/>
        <w:overflowPunct/>
        <w:topLinePunct w:val="0"/>
        <w:bidi w:val="0"/>
        <w:adjustRightInd w:val="0"/>
        <w:snapToGrid/>
        <w:spacing w:line="440" w:lineRule="exact"/>
        <w:ind w:left="420" w:leftChars="200" w:right="420" w:rightChars="200" w:firstLine="420" w:firstLineChars="200"/>
        <w:textAlignment w:val="auto"/>
        <w:rPr>
          <w:rFonts w:ascii="宋体" w:hAnsi="宋体"/>
          <w:color w:val="000000"/>
          <w:sz w:val="21"/>
          <w:szCs w:val="21"/>
        </w:rPr>
      </w:pPr>
      <w:r>
        <w:rPr>
          <w:rFonts w:ascii="宋体" w:hAnsi="宋体"/>
          <w:color w:val="000000"/>
          <w:sz w:val="21"/>
          <w:szCs w:val="21"/>
        </w:rPr>
        <w:t>12.3 计量</w:t>
      </w:r>
    </w:p>
    <w:p w14:paraId="763A2F38">
      <w:pPr>
        <w:pageBreakBefore w:val="0"/>
        <w:kinsoku/>
        <w:wordWrap/>
        <w:overflowPunct/>
        <w:topLinePunct w:val="0"/>
        <w:bidi w:val="0"/>
        <w:adjustRightInd w:val="0"/>
        <w:snapToGrid/>
        <w:spacing w:line="440" w:lineRule="exact"/>
        <w:ind w:left="420" w:leftChars="200" w:right="420" w:rightChars="200" w:firstLine="420" w:firstLineChars="200"/>
        <w:jc w:val="left"/>
        <w:textAlignment w:val="auto"/>
        <w:rPr>
          <w:rFonts w:ascii="宋体" w:hAnsi="宋体"/>
          <w:color w:val="000000"/>
          <w:sz w:val="21"/>
          <w:szCs w:val="21"/>
        </w:rPr>
      </w:pPr>
      <w:r>
        <w:rPr>
          <w:rFonts w:ascii="宋体" w:hAnsi="宋体"/>
          <w:color w:val="000000"/>
          <w:sz w:val="21"/>
          <w:szCs w:val="21"/>
        </w:rPr>
        <w:t>12.3.1 计量原则</w:t>
      </w:r>
    </w:p>
    <w:p w14:paraId="6CDA33F0">
      <w:pPr>
        <w:pageBreakBefore w:val="0"/>
        <w:kinsoku/>
        <w:wordWrap/>
        <w:overflowPunct/>
        <w:topLinePunct w:val="0"/>
        <w:bidi w:val="0"/>
        <w:adjustRightInd w:val="0"/>
        <w:snapToGrid/>
        <w:spacing w:line="440" w:lineRule="exact"/>
        <w:ind w:left="420" w:leftChars="200" w:right="420" w:rightChars="200" w:firstLine="420" w:firstLineChars="200"/>
        <w:jc w:val="left"/>
        <w:textAlignment w:val="auto"/>
        <w:rPr>
          <w:rFonts w:ascii="宋体" w:hAnsi="宋体"/>
          <w:color w:val="000000"/>
          <w:sz w:val="21"/>
          <w:szCs w:val="21"/>
        </w:rPr>
      </w:pPr>
      <w:r>
        <w:rPr>
          <w:rFonts w:ascii="宋体" w:hAnsi="宋体"/>
          <w:color w:val="000000"/>
          <w:sz w:val="21"/>
          <w:szCs w:val="21"/>
        </w:rPr>
        <w:t>工程量计算规则：</w:t>
      </w:r>
      <w:r>
        <w:rPr>
          <w:rFonts w:ascii="宋体" w:hAnsi="宋体"/>
          <w:color w:val="000000"/>
          <w:sz w:val="21"/>
          <w:szCs w:val="21"/>
          <w:u w:val="single"/>
        </w:rPr>
        <w:t xml:space="preserve"> </w:t>
      </w:r>
      <w:r>
        <w:rPr>
          <w:rFonts w:hint="eastAsia" w:ascii="宋体" w:hAnsi="宋体"/>
          <w:color w:val="000000"/>
          <w:sz w:val="21"/>
          <w:szCs w:val="21"/>
          <w:u w:val="single"/>
        </w:rPr>
        <w:t>按现行的工程量计算规则执行</w:t>
      </w:r>
      <w:r>
        <w:rPr>
          <w:rFonts w:ascii="宋体" w:hAnsi="宋体"/>
          <w:color w:val="000000"/>
          <w:sz w:val="21"/>
          <w:szCs w:val="21"/>
          <w:u w:val="single"/>
        </w:rPr>
        <w:t xml:space="preserve"> </w:t>
      </w:r>
      <w:r>
        <w:rPr>
          <w:rFonts w:ascii="宋体" w:hAnsi="宋体"/>
          <w:color w:val="000000"/>
          <w:sz w:val="21"/>
          <w:szCs w:val="21"/>
        </w:rPr>
        <w:t>。</w:t>
      </w:r>
    </w:p>
    <w:p w14:paraId="3B3FDD81">
      <w:pPr>
        <w:pageBreakBefore w:val="0"/>
        <w:kinsoku/>
        <w:wordWrap/>
        <w:overflowPunct/>
        <w:topLinePunct w:val="0"/>
        <w:bidi w:val="0"/>
        <w:adjustRightInd w:val="0"/>
        <w:snapToGrid/>
        <w:spacing w:line="440" w:lineRule="exact"/>
        <w:ind w:left="420" w:leftChars="200" w:right="420" w:rightChars="200" w:firstLine="420" w:firstLineChars="200"/>
        <w:jc w:val="left"/>
        <w:textAlignment w:val="auto"/>
        <w:rPr>
          <w:rFonts w:ascii="宋体" w:hAnsi="宋体"/>
          <w:color w:val="000000"/>
          <w:sz w:val="21"/>
          <w:szCs w:val="21"/>
        </w:rPr>
      </w:pPr>
      <w:r>
        <w:rPr>
          <w:rFonts w:ascii="宋体" w:hAnsi="宋体"/>
          <w:color w:val="000000"/>
          <w:sz w:val="21"/>
          <w:szCs w:val="21"/>
        </w:rPr>
        <w:t>12.3.2 计量周期</w:t>
      </w:r>
    </w:p>
    <w:p w14:paraId="428D57D7">
      <w:pPr>
        <w:pageBreakBefore w:val="0"/>
        <w:kinsoku/>
        <w:wordWrap/>
        <w:overflowPunct/>
        <w:topLinePunct w:val="0"/>
        <w:bidi w:val="0"/>
        <w:adjustRightInd w:val="0"/>
        <w:snapToGrid/>
        <w:spacing w:line="440" w:lineRule="exact"/>
        <w:ind w:left="420" w:leftChars="200" w:right="420" w:rightChars="200" w:firstLine="420" w:firstLineChars="200"/>
        <w:jc w:val="left"/>
        <w:textAlignment w:val="auto"/>
        <w:rPr>
          <w:rFonts w:ascii="宋体" w:hAnsi="宋体"/>
          <w:color w:val="000000"/>
          <w:sz w:val="21"/>
          <w:szCs w:val="21"/>
        </w:rPr>
      </w:pPr>
      <w:r>
        <w:rPr>
          <w:rFonts w:ascii="宋体" w:hAnsi="宋体"/>
          <w:color w:val="000000"/>
          <w:sz w:val="21"/>
          <w:szCs w:val="21"/>
        </w:rPr>
        <w:t>关于计量周期的约定：</w:t>
      </w:r>
      <w:r>
        <w:rPr>
          <w:rFonts w:ascii="宋体" w:hAnsi="宋体"/>
          <w:color w:val="000000"/>
          <w:sz w:val="21"/>
          <w:szCs w:val="21"/>
          <w:u w:val="single"/>
        </w:rPr>
        <w:t xml:space="preserve">  </w:t>
      </w:r>
      <w:r>
        <w:rPr>
          <w:rFonts w:hint="eastAsia" w:ascii="宋体" w:hAnsi="宋体"/>
          <w:color w:val="000000"/>
          <w:sz w:val="21"/>
          <w:szCs w:val="21"/>
          <w:u w:val="single"/>
        </w:rPr>
        <w:t xml:space="preserve">    按进度进行  </w:t>
      </w:r>
      <w:r>
        <w:rPr>
          <w:rFonts w:ascii="宋体" w:hAnsi="宋体"/>
          <w:color w:val="000000"/>
          <w:sz w:val="21"/>
          <w:szCs w:val="21"/>
          <w:u w:val="single"/>
        </w:rPr>
        <w:t xml:space="preserve">      </w:t>
      </w:r>
      <w:r>
        <w:rPr>
          <w:rFonts w:ascii="宋体" w:hAnsi="宋体"/>
          <w:color w:val="000000"/>
          <w:sz w:val="21"/>
          <w:szCs w:val="21"/>
        </w:rPr>
        <w:t>。</w:t>
      </w:r>
    </w:p>
    <w:p w14:paraId="72F5722C">
      <w:pPr>
        <w:pageBreakBefore w:val="0"/>
        <w:kinsoku/>
        <w:wordWrap/>
        <w:overflowPunct/>
        <w:topLinePunct w:val="0"/>
        <w:bidi w:val="0"/>
        <w:adjustRightInd w:val="0"/>
        <w:snapToGrid/>
        <w:spacing w:line="440" w:lineRule="exact"/>
        <w:ind w:left="420" w:leftChars="200" w:right="420" w:rightChars="200"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12.3.3 单价合同的计量</w:t>
      </w:r>
    </w:p>
    <w:p w14:paraId="57132EC9">
      <w:pPr>
        <w:pageBreakBefore w:val="0"/>
        <w:kinsoku/>
        <w:wordWrap/>
        <w:overflowPunct/>
        <w:topLinePunct w:val="0"/>
        <w:bidi w:val="0"/>
        <w:adjustRightInd w:val="0"/>
        <w:snapToGrid/>
        <w:spacing w:line="440" w:lineRule="exact"/>
        <w:ind w:left="420" w:leftChars="200" w:right="420" w:rightChars="200" w:firstLine="420" w:firstLineChars="200"/>
        <w:contextualSpacing/>
        <w:jc w:val="left"/>
        <w:textAlignment w:val="auto"/>
        <w:rPr>
          <w:rFonts w:hint="eastAsia" w:ascii="宋体" w:hAnsi="宋体" w:cs="宋体"/>
          <w:color w:val="000000"/>
          <w:sz w:val="21"/>
          <w:szCs w:val="21"/>
        </w:rPr>
      </w:pPr>
      <w:r>
        <w:rPr>
          <w:rFonts w:hint="eastAsia" w:ascii="宋体" w:hAnsi="宋体" w:cs="宋体"/>
          <w:color w:val="000000"/>
          <w:sz w:val="21"/>
          <w:szCs w:val="21"/>
        </w:rPr>
        <w:t>关于单价合同计量的约定：</w:t>
      </w:r>
      <w:r>
        <w:rPr>
          <w:rFonts w:hint="eastAsia" w:ascii="宋体" w:hAnsi="宋体" w:cs="宋体"/>
          <w:color w:val="000000"/>
          <w:sz w:val="21"/>
          <w:szCs w:val="21"/>
          <w:u w:val="single"/>
        </w:rPr>
        <w:t xml:space="preserve">        /         </w:t>
      </w:r>
      <w:r>
        <w:rPr>
          <w:rFonts w:hint="eastAsia" w:ascii="宋体" w:hAnsi="宋体" w:cs="宋体"/>
          <w:color w:val="000000"/>
          <w:sz w:val="21"/>
          <w:szCs w:val="21"/>
        </w:rPr>
        <w:t>。</w:t>
      </w:r>
    </w:p>
    <w:p w14:paraId="59C2EB3F">
      <w:pPr>
        <w:pageBreakBefore w:val="0"/>
        <w:kinsoku/>
        <w:wordWrap/>
        <w:overflowPunct/>
        <w:topLinePunct w:val="0"/>
        <w:bidi w:val="0"/>
        <w:adjustRightInd w:val="0"/>
        <w:snapToGrid/>
        <w:spacing w:line="440" w:lineRule="exact"/>
        <w:ind w:left="420" w:leftChars="200" w:right="420" w:rightChars="200" w:firstLine="420" w:firstLineChars="200"/>
        <w:contextualSpacing/>
        <w:jc w:val="left"/>
        <w:textAlignment w:val="auto"/>
        <w:rPr>
          <w:rFonts w:hint="eastAsia" w:ascii="宋体" w:hAnsi="宋体" w:cs="宋体"/>
          <w:sz w:val="21"/>
          <w:szCs w:val="21"/>
        </w:rPr>
      </w:pPr>
      <w:r>
        <w:rPr>
          <w:rFonts w:hint="eastAsia" w:ascii="宋体" w:hAnsi="宋体" w:cs="宋体"/>
          <w:sz w:val="21"/>
          <w:szCs w:val="21"/>
        </w:rPr>
        <w:t>12.3.4 总价合同的计量</w:t>
      </w:r>
    </w:p>
    <w:p w14:paraId="1787B3EA">
      <w:pPr>
        <w:pageBreakBefore w:val="0"/>
        <w:kinsoku/>
        <w:wordWrap/>
        <w:overflowPunct/>
        <w:topLinePunct w:val="0"/>
        <w:bidi w:val="0"/>
        <w:adjustRightInd w:val="0"/>
        <w:snapToGrid/>
        <w:spacing w:line="440" w:lineRule="exact"/>
        <w:ind w:left="420" w:leftChars="200" w:right="420" w:rightChars="200" w:firstLine="420" w:firstLineChars="200"/>
        <w:contextualSpacing/>
        <w:jc w:val="left"/>
        <w:textAlignment w:val="auto"/>
        <w:rPr>
          <w:rFonts w:hint="eastAsia" w:ascii="宋体" w:hAnsi="宋体" w:cs="宋体"/>
          <w:sz w:val="21"/>
          <w:szCs w:val="21"/>
        </w:rPr>
      </w:pPr>
      <w:r>
        <w:rPr>
          <w:rFonts w:hint="eastAsia" w:ascii="宋体" w:hAnsi="宋体" w:cs="宋体"/>
          <w:sz w:val="21"/>
          <w:szCs w:val="21"/>
        </w:rPr>
        <w:t>关于总价合同计量的约定：</w:t>
      </w:r>
      <w:r>
        <w:rPr>
          <w:rFonts w:hint="eastAsia" w:ascii="宋体" w:hAnsi="宋体" w:cs="宋体"/>
          <w:sz w:val="21"/>
          <w:szCs w:val="21"/>
          <w:u w:val="single"/>
        </w:rPr>
        <w:t xml:space="preserve">           /             </w:t>
      </w:r>
      <w:r>
        <w:rPr>
          <w:rFonts w:hint="eastAsia" w:ascii="宋体" w:hAnsi="宋体" w:cs="宋体"/>
          <w:sz w:val="21"/>
          <w:szCs w:val="21"/>
        </w:rPr>
        <w:t>。</w:t>
      </w:r>
    </w:p>
    <w:p w14:paraId="5FAEDDA4">
      <w:pPr>
        <w:pageBreakBefore w:val="0"/>
        <w:kinsoku/>
        <w:wordWrap/>
        <w:overflowPunct/>
        <w:topLinePunct w:val="0"/>
        <w:bidi w:val="0"/>
        <w:adjustRightInd w:val="0"/>
        <w:snapToGrid/>
        <w:spacing w:line="440" w:lineRule="exact"/>
        <w:ind w:left="420" w:leftChars="200" w:right="420" w:rightChars="200" w:firstLine="420" w:firstLineChars="200"/>
        <w:contextualSpacing/>
        <w:jc w:val="left"/>
        <w:textAlignment w:val="auto"/>
        <w:rPr>
          <w:rFonts w:hint="eastAsia" w:ascii="宋体" w:hAnsi="宋体" w:cs="宋体"/>
          <w:sz w:val="21"/>
          <w:szCs w:val="21"/>
        </w:rPr>
      </w:pPr>
      <w:r>
        <w:rPr>
          <w:rFonts w:hint="eastAsia" w:ascii="宋体" w:hAnsi="宋体" w:cs="宋体"/>
          <w:sz w:val="21"/>
          <w:szCs w:val="21"/>
        </w:rPr>
        <w:t>12.3.5总价合同采用支付分解表计量支付的，是否适用第12.3.4 项〔总价合同的计量〕约定进行计量：</w:t>
      </w:r>
      <w:r>
        <w:rPr>
          <w:rFonts w:hint="eastAsia" w:ascii="宋体" w:hAnsi="宋体" w:cs="宋体"/>
          <w:sz w:val="21"/>
          <w:szCs w:val="21"/>
          <w:u w:val="single"/>
        </w:rPr>
        <w:t xml:space="preserve">       /              </w:t>
      </w:r>
      <w:r>
        <w:rPr>
          <w:rFonts w:hint="eastAsia" w:ascii="宋体" w:hAnsi="宋体" w:cs="宋体"/>
          <w:sz w:val="21"/>
          <w:szCs w:val="21"/>
        </w:rPr>
        <w:t>。</w:t>
      </w:r>
    </w:p>
    <w:p w14:paraId="087F7DC8">
      <w:pPr>
        <w:pageBreakBefore w:val="0"/>
        <w:kinsoku/>
        <w:wordWrap/>
        <w:overflowPunct/>
        <w:topLinePunct w:val="0"/>
        <w:bidi w:val="0"/>
        <w:adjustRightInd w:val="0"/>
        <w:snapToGrid/>
        <w:spacing w:line="440" w:lineRule="exact"/>
        <w:ind w:left="420" w:leftChars="200" w:right="420" w:rightChars="200" w:firstLine="420" w:firstLineChars="200"/>
        <w:contextualSpacing/>
        <w:jc w:val="left"/>
        <w:textAlignment w:val="auto"/>
        <w:rPr>
          <w:rFonts w:hint="eastAsia" w:ascii="宋体" w:hAnsi="宋体" w:cs="宋体"/>
          <w:sz w:val="21"/>
          <w:szCs w:val="21"/>
        </w:rPr>
      </w:pPr>
      <w:r>
        <w:rPr>
          <w:rFonts w:hint="eastAsia" w:ascii="宋体" w:hAnsi="宋体" w:cs="宋体"/>
          <w:sz w:val="21"/>
          <w:szCs w:val="21"/>
        </w:rPr>
        <w:t>12.3.6 其他价格形式合同的计量</w:t>
      </w:r>
    </w:p>
    <w:p w14:paraId="553629CF">
      <w:pPr>
        <w:pageBreakBefore w:val="0"/>
        <w:kinsoku/>
        <w:wordWrap/>
        <w:overflowPunct/>
        <w:topLinePunct w:val="0"/>
        <w:bidi w:val="0"/>
        <w:adjustRightInd w:val="0"/>
        <w:snapToGrid/>
        <w:spacing w:line="440" w:lineRule="exact"/>
        <w:ind w:left="420" w:leftChars="200" w:right="420" w:rightChars="200"/>
        <w:contextualSpacing/>
        <w:jc w:val="left"/>
        <w:textAlignment w:val="auto"/>
        <w:rPr>
          <w:rFonts w:hint="eastAsia" w:ascii="宋体" w:hAnsi="宋体" w:cs="宋体"/>
          <w:sz w:val="21"/>
          <w:szCs w:val="21"/>
        </w:rPr>
      </w:pPr>
      <w:r>
        <w:rPr>
          <w:rFonts w:hint="eastAsia" w:ascii="宋体" w:hAnsi="宋体" w:cs="宋体"/>
          <w:sz w:val="21"/>
          <w:szCs w:val="21"/>
        </w:rPr>
        <w:t>其他价格形式的计量方式和程序：</w:t>
      </w:r>
      <w:r>
        <w:rPr>
          <w:rFonts w:hint="eastAsia" w:ascii="宋体" w:hAnsi="宋体" w:cs="宋体"/>
          <w:sz w:val="21"/>
          <w:szCs w:val="21"/>
          <w:u w:val="single"/>
        </w:rPr>
        <w:t xml:space="preserve">       /              </w:t>
      </w:r>
      <w:r>
        <w:rPr>
          <w:rFonts w:hint="eastAsia" w:ascii="宋体" w:hAnsi="宋体" w:cs="宋体"/>
          <w:sz w:val="21"/>
          <w:szCs w:val="21"/>
        </w:rPr>
        <w:t>。</w:t>
      </w:r>
    </w:p>
    <w:p w14:paraId="47562FDD">
      <w:pPr>
        <w:pageBreakBefore w:val="0"/>
        <w:kinsoku/>
        <w:wordWrap/>
        <w:overflowPunct/>
        <w:topLinePunct w:val="0"/>
        <w:bidi w:val="0"/>
        <w:adjustRightInd w:val="0"/>
        <w:snapToGrid/>
        <w:spacing w:line="440" w:lineRule="exact"/>
        <w:ind w:left="420" w:leftChars="200" w:right="420" w:rightChars="200" w:firstLine="420" w:firstLineChars="200"/>
        <w:contextualSpacing/>
        <w:textAlignment w:val="auto"/>
        <w:rPr>
          <w:rFonts w:hint="eastAsia" w:ascii="宋体" w:hAnsi="宋体" w:cs="宋体"/>
          <w:sz w:val="21"/>
          <w:szCs w:val="21"/>
        </w:rPr>
      </w:pPr>
      <w:r>
        <w:rPr>
          <w:rFonts w:hint="eastAsia" w:ascii="宋体" w:hAnsi="宋体" w:cs="宋体"/>
          <w:sz w:val="21"/>
          <w:szCs w:val="21"/>
        </w:rPr>
        <w:t>12.4 工程进度款支付</w:t>
      </w:r>
    </w:p>
    <w:p w14:paraId="7A4286CC">
      <w:pPr>
        <w:pageBreakBefore w:val="0"/>
        <w:kinsoku/>
        <w:wordWrap/>
        <w:overflowPunct/>
        <w:topLinePunct w:val="0"/>
        <w:bidi w:val="0"/>
        <w:adjustRightInd w:val="0"/>
        <w:snapToGrid/>
        <w:spacing w:line="440" w:lineRule="exact"/>
        <w:ind w:left="420" w:leftChars="200" w:right="420" w:rightChars="200" w:firstLine="420" w:firstLineChars="200"/>
        <w:contextualSpacing/>
        <w:textAlignment w:val="auto"/>
        <w:rPr>
          <w:rFonts w:hint="eastAsia" w:ascii="宋体" w:hAnsi="宋体" w:cs="宋体"/>
          <w:sz w:val="21"/>
          <w:szCs w:val="21"/>
        </w:rPr>
      </w:pPr>
      <w:r>
        <w:rPr>
          <w:rFonts w:hint="eastAsia" w:ascii="宋体" w:hAnsi="宋体" w:cs="宋体"/>
          <w:sz w:val="21"/>
          <w:szCs w:val="21"/>
        </w:rPr>
        <w:t>关于付款的约定：</w:t>
      </w:r>
      <w:r>
        <w:rPr>
          <w:rFonts w:hint="eastAsia" w:ascii="宋体" w:hAnsi="宋体" w:cs="宋体"/>
          <w:sz w:val="21"/>
          <w:szCs w:val="21"/>
          <w:lang w:val="en-US" w:eastAsia="zh-CN"/>
        </w:rPr>
        <w:t>（1）</w:t>
      </w:r>
      <w:r>
        <w:rPr>
          <w:rFonts w:hint="eastAsia" w:ascii="宋体" w:hAnsi="宋体" w:cs="宋体"/>
          <w:sz w:val="21"/>
          <w:szCs w:val="21"/>
        </w:rPr>
        <w:t>合同生效及具备实施条件后7个工作日内，</w:t>
      </w:r>
      <w:r>
        <w:rPr>
          <w:rFonts w:hint="eastAsia" w:ascii="宋体" w:hAnsi="宋体" w:cs="宋体"/>
          <w:sz w:val="21"/>
          <w:szCs w:val="21"/>
          <w:lang w:val="en-US" w:eastAsia="zh-CN"/>
        </w:rPr>
        <w:t>发包人</w:t>
      </w:r>
      <w:r>
        <w:rPr>
          <w:rFonts w:hint="eastAsia" w:ascii="宋体" w:hAnsi="宋体" w:cs="宋体"/>
          <w:sz w:val="21"/>
          <w:szCs w:val="21"/>
        </w:rPr>
        <w:t>支付合同总价的40%；</w:t>
      </w:r>
      <w:r>
        <w:rPr>
          <w:rFonts w:hint="eastAsia" w:ascii="宋体" w:hAnsi="宋体" w:cs="宋体"/>
          <w:sz w:val="21"/>
          <w:szCs w:val="21"/>
          <w:lang w:eastAsia="zh-CN"/>
        </w:rPr>
        <w:t>（</w:t>
      </w:r>
      <w:r>
        <w:rPr>
          <w:rFonts w:hint="eastAsia" w:ascii="宋体" w:hAnsi="宋体" w:cs="宋体"/>
          <w:sz w:val="21"/>
          <w:szCs w:val="21"/>
          <w:lang w:val="en-US" w:eastAsia="zh-CN"/>
        </w:rPr>
        <w:t>2</w:t>
      </w:r>
      <w:r>
        <w:rPr>
          <w:rFonts w:hint="eastAsia" w:ascii="宋体" w:hAnsi="宋体" w:cs="宋体"/>
          <w:sz w:val="21"/>
          <w:szCs w:val="21"/>
          <w:lang w:eastAsia="zh-CN"/>
        </w:rPr>
        <w:t>）</w:t>
      </w:r>
      <w:r>
        <w:rPr>
          <w:rFonts w:hint="eastAsia" w:ascii="宋体" w:hAnsi="宋体" w:cs="宋体"/>
          <w:sz w:val="21"/>
          <w:szCs w:val="21"/>
          <w:lang w:val="en-US" w:eastAsia="zh-CN"/>
        </w:rPr>
        <w:t>工程验收合格后7个工作日内，采购人支付至合同总价的80%；</w:t>
      </w:r>
      <w:r>
        <w:rPr>
          <w:rFonts w:hint="eastAsia" w:ascii="宋体" w:hAnsi="宋体" w:cs="宋体"/>
          <w:sz w:val="21"/>
          <w:szCs w:val="21"/>
          <w:lang w:eastAsia="zh-CN"/>
        </w:rPr>
        <w:t>（</w:t>
      </w:r>
      <w:r>
        <w:rPr>
          <w:rFonts w:hint="eastAsia" w:ascii="宋体" w:hAnsi="宋体" w:cs="宋体"/>
          <w:sz w:val="21"/>
          <w:szCs w:val="21"/>
          <w:lang w:val="en-US" w:eastAsia="zh-CN"/>
        </w:rPr>
        <w:t>3</w:t>
      </w:r>
      <w:r>
        <w:rPr>
          <w:rFonts w:hint="eastAsia" w:ascii="宋体" w:hAnsi="宋体" w:cs="宋体"/>
          <w:sz w:val="21"/>
          <w:szCs w:val="21"/>
          <w:lang w:eastAsia="zh-CN"/>
        </w:rPr>
        <w:t>）</w:t>
      </w:r>
      <w:r>
        <w:rPr>
          <w:rFonts w:hint="eastAsia" w:ascii="宋体" w:hAnsi="宋体" w:cs="宋体"/>
          <w:sz w:val="21"/>
          <w:szCs w:val="21"/>
        </w:rPr>
        <w:t>工程竣工验收（终验）合格后，根据相关部门核准的决算价，付清尾款。</w:t>
      </w:r>
    </w:p>
    <w:p w14:paraId="573B0F92">
      <w:pPr>
        <w:pageBreakBefore w:val="0"/>
        <w:kinsoku/>
        <w:wordWrap/>
        <w:overflowPunct/>
        <w:topLinePunct w:val="0"/>
        <w:bidi w:val="0"/>
        <w:adjustRightInd w:val="0"/>
        <w:snapToGrid/>
        <w:spacing w:line="440" w:lineRule="exact"/>
        <w:ind w:left="420" w:leftChars="200" w:right="420" w:rightChars="200" w:firstLine="420" w:firstLineChars="200"/>
        <w:contextualSpacing/>
        <w:textAlignment w:val="auto"/>
        <w:rPr>
          <w:rFonts w:hint="eastAsia" w:ascii="宋体" w:hAnsi="宋体" w:cs="宋体"/>
          <w:sz w:val="21"/>
          <w:szCs w:val="21"/>
        </w:rPr>
      </w:pPr>
      <w:r>
        <w:rPr>
          <w:rFonts w:hint="eastAsia" w:ascii="宋体" w:hAnsi="宋体" w:cs="宋体"/>
          <w:sz w:val="21"/>
          <w:szCs w:val="21"/>
        </w:rPr>
        <w:t>注：具体条款以双方签订的合同约定为准。</w:t>
      </w:r>
    </w:p>
    <w:p w14:paraId="7FC59640">
      <w:pPr>
        <w:pageBreakBefore w:val="0"/>
        <w:kinsoku/>
        <w:wordWrap/>
        <w:overflowPunct/>
        <w:topLinePunct w:val="0"/>
        <w:bidi w:val="0"/>
        <w:adjustRightInd w:val="0"/>
        <w:snapToGrid/>
        <w:spacing w:line="440" w:lineRule="exact"/>
        <w:ind w:left="420" w:leftChars="200" w:right="420" w:rightChars="200" w:firstLine="420" w:firstLineChars="200"/>
        <w:contextualSpacing/>
        <w:textAlignment w:val="auto"/>
        <w:rPr>
          <w:rFonts w:hint="eastAsia" w:ascii="宋体" w:hAnsi="宋体" w:cs="宋体"/>
          <w:sz w:val="21"/>
          <w:szCs w:val="21"/>
        </w:rPr>
      </w:pPr>
      <w:bookmarkStart w:id="898" w:name="_Hlk89721287"/>
      <w:r>
        <w:rPr>
          <w:rFonts w:hint="eastAsia" w:ascii="宋体" w:hAnsi="宋体" w:cs="宋体"/>
          <w:sz w:val="21"/>
          <w:szCs w:val="21"/>
        </w:rPr>
        <w:t>承包人应在每次付款之前，提出付款申请并向发包人提供等额税务发票，如承包人逾期提供付款申请或发票或提供的发票不符合发包人税务要求或付款申请内容不实的，发包人有权拒绝或相应迟延支付工程款，且不承担逾期付款的违约责任及利息。</w:t>
      </w:r>
    </w:p>
    <w:bookmarkEnd w:id="898"/>
    <w:p w14:paraId="28E0B110">
      <w:pPr>
        <w:pageBreakBefore w:val="0"/>
        <w:widowControl/>
        <w:kinsoku/>
        <w:wordWrap/>
        <w:overflowPunct/>
        <w:topLinePunct w:val="0"/>
        <w:bidi w:val="0"/>
        <w:adjustRightInd w:val="0"/>
        <w:snapToGrid/>
        <w:spacing w:line="440" w:lineRule="exact"/>
        <w:ind w:left="420" w:leftChars="200" w:right="420" w:rightChars="200" w:firstLine="480"/>
        <w:contextualSpacing/>
        <w:textAlignment w:val="auto"/>
        <w:rPr>
          <w:rFonts w:hint="eastAsia" w:ascii="宋体" w:hAnsi="宋体"/>
          <w:b/>
          <w:color w:val="000000"/>
          <w:sz w:val="21"/>
          <w:szCs w:val="21"/>
        </w:rPr>
      </w:pPr>
      <w:r>
        <w:rPr>
          <w:rFonts w:hint="eastAsia" w:ascii="宋体" w:hAnsi="宋体"/>
          <w:b/>
          <w:color w:val="000000"/>
          <w:sz w:val="21"/>
          <w:szCs w:val="21"/>
        </w:rPr>
        <w:t>规定程序指</w:t>
      </w:r>
      <w:r>
        <w:rPr>
          <w:rFonts w:hint="eastAsia" w:ascii="宋体" w:hAnsi="宋体"/>
          <w:b/>
          <w:color w:val="000000"/>
          <w:sz w:val="21"/>
          <w:szCs w:val="21"/>
          <w:lang w:eastAsia="zh-CN"/>
        </w:rPr>
        <w:t>《宁海县政府投资项目工程造价管控办法》（宁发改（2023）51号）</w:t>
      </w:r>
      <w:r>
        <w:rPr>
          <w:rFonts w:hint="eastAsia" w:ascii="宋体" w:hAnsi="宋体"/>
          <w:b/>
          <w:color w:val="000000"/>
          <w:sz w:val="21"/>
          <w:szCs w:val="21"/>
        </w:rPr>
        <w:t>及发包人相应工程变更管理办法。</w:t>
      </w:r>
    </w:p>
    <w:p w14:paraId="2EBC9A91">
      <w:pPr>
        <w:pageBreakBefore w:val="0"/>
        <w:kinsoku/>
        <w:wordWrap/>
        <w:overflowPunct/>
        <w:topLinePunct w:val="0"/>
        <w:bidi w:val="0"/>
        <w:adjustRightInd w:val="0"/>
        <w:snapToGrid/>
        <w:spacing w:line="440" w:lineRule="exact"/>
        <w:ind w:left="420" w:leftChars="200" w:right="420" w:rightChars="200"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13. 验收和工程试车</w:t>
      </w:r>
      <w:bookmarkEnd w:id="742"/>
      <w:bookmarkEnd w:id="743"/>
    </w:p>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p w14:paraId="536502F1">
      <w:pPr>
        <w:pageBreakBefore w:val="0"/>
        <w:kinsoku/>
        <w:wordWrap/>
        <w:overflowPunct/>
        <w:topLinePunct w:val="0"/>
        <w:bidi w:val="0"/>
        <w:adjustRightInd w:val="0"/>
        <w:snapToGrid/>
        <w:spacing w:line="440" w:lineRule="exact"/>
        <w:ind w:left="420" w:leftChars="200" w:right="420" w:rightChars="200"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13.1 分部分项工程验收</w:t>
      </w:r>
    </w:p>
    <w:p w14:paraId="7A8BE7CC">
      <w:pPr>
        <w:pageBreakBefore w:val="0"/>
        <w:kinsoku/>
        <w:wordWrap/>
        <w:overflowPunct/>
        <w:topLinePunct w:val="0"/>
        <w:bidi w:val="0"/>
        <w:adjustRightInd w:val="0"/>
        <w:snapToGrid/>
        <w:spacing w:line="440" w:lineRule="exact"/>
        <w:ind w:left="420" w:leftChars="200" w:right="420" w:rightChars="200"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13.1.2监理人不能按时进行验收时，应提前</w:t>
      </w:r>
      <w:r>
        <w:rPr>
          <w:rFonts w:hint="eastAsia" w:ascii="宋体" w:hAnsi="宋体" w:cs="宋体"/>
          <w:color w:val="000000"/>
          <w:sz w:val="21"/>
          <w:szCs w:val="21"/>
          <w:u w:val="single"/>
        </w:rPr>
        <w:t xml:space="preserve"> 24  </w:t>
      </w:r>
      <w:r>
        <w:rPr>
          <w:rFonts w:hint="eastAsia" w:ascii="宋体" w:hAnsi="宋体" w:cs="宋体"/>
          <w:color w:val="000000"/>
          <w:sz w:val="21"/>
          <w:szCs w:val="21"/>
        </w:rPr>
        <w:t>小时提交书面延期要求。</w:t>
      </w:r>
    </w:p>
    <w:p w14:paraId="21A00E73">
      <w:pPr>
        <w:pageBreakBefore w:val="0"/>
        <w:kinsoku/>
        <w:wordWrap/>
        <w:overflowPunct/>
        <w:topLinePunct w:val="0"/>
        <w:bidi w:val="0"/>
        <w:adjustRightInd w:val="0"/>
        <w:snapToGrid/>
        <w:spacing w:line="440" w:lineRule="exact"/>
        <w:ind w:left="420" w:leftChars="200" w:right="420" w:rightChars="200" w:firstLine="420" w:firstLineChars="200"/>
        <w:jc w:val="left"/>
        <w:textAlignment w:val="auto"/>
        <w:rPr>
          <w:rFonts w:hint="eastAsia" w:ascii="宋体" w:hAnsi="宋体" w:cs="宋体"/>
          <w:b/>
          <w:color w:val="000000"/>
          <w:sz w:val="21"/>
          <w:szCs w:val="21"/>
        </w:rPr>
      </w:pPr>
      <w:r>
        <w:rPr>
          <w:rFonts w:hint="eastAsia" w:ascii="宋体" w:hAnsi="宋体" w:cs="宋体"/>
          <w:color w:val="000000"/>
          <w:sz w:val="21"/>
          <w:szCs w:val="21"/>
        </w:rPr>
        <w:t>关于延期最长不得超过：</w:t>
      </w:r>
      <w:r>
        <w:rPr>
          <w:rFonts w:hint="eastAsia" w:ascii="宋体" w:hAnsi="宋体" w:cs="宋体"/>
          <w:color w:val="000000"/>
          <w:sz w:val="21"/>
          <w:szCs w:val="21"/>
          <w:u w:val="single"/>
        </w:rPr>
        <w:t>48</w:t>
      </w:r>
      <w:r>
        <w:rPr>
          <w:rFonts w:hint="eastAsia" w:ascii="宋体" w:hAnsi="宋体" w:cs="宋体"/>
          <w:color w:val="000000"/>
          <w:sz w:val="21"/>
          <w:szCs w:val="21"/>
        </w:rPr>
        <w:t>小时。</w:t>
      </w:r>
    </w:p>
    <w:p w14:paraId="25A856F5">
      <w:pPr>
        <w:pageBreakBefore w:val="0"/>
        <w:kinsoku/>
        <w:wordWrap/>
        <w:overflowPunct/>
        <w:topLinePunct w:val="0"/>
        <w:bidi w:val="0"/>
        <w:adjustRightInd w:val="0"/>
        <w:snapToGrid/>
        <w:spacing w:line="440" w:lineRule="exact"/>
        <w:ind w:left="420" w:leftChars="200" w:right="420" w:rightChars="200" w:firstLine="420" w:firstLineChars="200"/>
        <w:textAlignment w:val="auto"/>
        <w:rPr>
          <w:rFonts w:hint="eastAsia" w:ascii="宋体" w:hAnsi="宋体" w:cs="宋体"/>
          <w:color w:val="000000"/>
          <w:sz w:val="21"/>
          <w:szCs w:val="21"/>
        </w:rPr>
      </w:pPr>
      <w:bookmarkStart w:id="899" w:name="_Toc297216224"/>
      <w:bookmarkStart w:id="900" w:name="_Toc304295596"/>
      <w:bookmarkStart w:id="901" w:name="_Toc296944562"/>
      <w:bookmarkStart w:id="902" w:name="_Toc312678056"/>
      <w:bookmarkStart w:id="903" w:name="_Toc303539173"/>
      <w:bookmarkStart w:id="904" w:name="_Toc297048409"/>
      <w:bookmarkStart w:id="905" w:name="_Toc296503223"/>
      <w:bookmarkStart w:id="906" w:name="_Toc297120523"/>
      <w:bookmarkStart w:id="907" w:name="_Toc296891263"/>
      <w:bookmarkStart w:id="908" w:name="_Toc297123565"/>
      <w:bookmarkStart w:id="909" w:name="_Toc292559428"/>
      <w:bookmarkStart w:id="910" w:name="_Toc292559933"/>
      <w:bookmarkStart w:id="911" w:name="_Toc296346724"/>
      <w:bookmarkStart w:id="912" w:name="_Toc296347222"/>
      <w:bookmarkStart w:id="913" w:name="_Toc300935016"/>
      <w:bookmarkStart w:id="914" w:name="_Toc296891051"/>
      <w:bookmarkStart w:id="915" w:name="_Toc267251476"/>
      <w:bookmarkStart w:id="916" w:name="_Toc267251472"/>
      <w:bookmarkStart w:id="917" w:name="_Toc267251470"/>
      <w:bookmarkStart w:id="918" w:name="_Toc267251475"/>
      <w:bookmarkStart w:id="919" w:name="_Toc267251474"/>
      <w:bookmarkStart w:id="920" w:name="_Toc267251471"/>
      <w:bookmarkStart w:id="921" w:name="_Toc267251473"/>
      <w:r>
        <w:rPr>
          <w:rFonts w:hint="eastAsia" w:ascii="宋体" w:hAnsi="宋体" w:cs="宋体"/>
          <w:color w:val="000000"/>
          <w:sz w:val="21"/>
          <w:szCs w:val="21"/>
        </w:rPr>
        <w:t>13.2 竣工验收</w:t>
      </w:r>
    </w:p>
    <w:p w14:paraId="7BDD55EC">
      <w:pPr>
        <w:pageBreakBefore w:val="0"/>
        <w:kinsoku/>
        <w:wordWrap/>
        <w:overflowPunct/>
        <w:topLinePunct w:val="0"/>
        <w:bidi w:val="0"/>
        <w:adjustRightInd w:val="0"/>
        <w:snapToGrid/>
        <w:spacing w:line="440" w:lineRule="exact"/>
        <w:ind w:left="420" w:leftChars="200" w:right="420" w:rightChars="200"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13.2.1竣工验收条件</w:t>
      </w:r>
    </w:p>
    <w:p w14:paraId="308DCB67">
      <w:pPr>
        <w:pageBreakBefore w:val="0"/>
        <w:kinsoku/>
        <w:wordWrap/>
        <w:overflowPunct/>
        <w:topLinePunct w:val="0"/>
        <w:bidi w:val="0"/>
        <w:adjustRightInd w:val="0"/>
        <w:snapToGrid/>
        <w:spacing w:line="440" w:lineRule="exact"/>
        <w:ind w:left="420" w:leftChars="200" w:right="420" w:rightChars="200"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工程具备以下条件的，承包人可以申请竣工验收：</w:t>
      </w:r>
    </w:p>
    <w:p w14:paraId="64824423">
      <w:pPr>
        <w:pageBreakBefore w:val="0"/>
        <w:kinsoku/>
        <w:wordWrap/>
        <w:overflowPunct/>
        <w:topLinePunct w:val="0"/>
        <w:bidi w:val="0"/>
        <w:adjustRightInd w:val="0"/>
        <w:snapToGrid/>
        <w:spacing w:line="440" w:lineRule="exact"/>
        <w:ind w:left="420" w:leftChars="200" w:right="420" w:rightChars="200"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（1）除发包人同意的甩项工作和缺陷修补工作外，合同范围内的全部工程以及有关工作，包括合同要求的试验、试运行以及检验均已完成，并符合合同要求；</w:t>
      </w:r>
    </w:p>
    <w:p w14:paraId="67B37442">
      <w:pPr>
        <w:pageBreakBefore w:val="0"/>
        <w:kinsoku/>
        <w:wordWrap/>
        <w:overflowPunct/>
        <w:topLinePunct w:val="0"/>
        <w:bidi w:val="0"/>
        <w:adjustRightInd w:val="0"/>
        <w:snapToGrid/>
        <w:spacing w:line="440" w:lineRule="exact"/>
        <w:ind w:left="420" w:leftChars="200" w:right="420" w:rightChars="200"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（2）已按合同约定编制了甩项工作和缺陷修补工作清单以及相应的施工计划；</w:t>
      </w:r>
    </w:p>
    <w:p w14:paraId="55BCCD22">
      <w:pPr>
        <w:pageBreakBefore w:val="0"/>
        <w:kinsoku/>
        <w:wordWrap/>
        <w:overflowPunct/>
        <w:topLinePunct w:val="0"/>
        <w:bidi w:val="0"/>
        <w:adjustRightInd w:val="0"/>
        <w:snapToGrid/>
        <w:spacing w:line="440" w:lineRule="exact"/>
        <w:ind w:left="420" w:leftChars="200" w:right="420" w:rightChars="200"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（3）已按合同约定的内容和份数备齐竣工资料。</w:t>
      </w:r>
    </w:p>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p w14:paraId="394DED20">
      <w:pPr>
        <w:pageBreakBefore w:val="0"/>
        <w:kinsoku/>
        <w:wordWrap/>
        <w:overflowPunct/>
        <w:topLinePunct w:val="0"/>
        <w:bidi w:val="0"/>
        <w:adjustRightInd w:val="0"/>
        <w:snapToGrid/>
        <w:spacing w:line="440" w:lineRule="exact"/>
        <w:ind w:left="420" w:leftChars="200" w:right="420" w:rightChars="200" w:firstLine="420" w:firstLineChars="200"/>
        <w:jc w:val="left"/>
        <w:textAlignment w:val="auto"/>
        <w:rPr>
          <w:rFonts w:hint="eastAsia" w:ascii="宋体" w:hAnsi="宋体" w:cs="宋体"/>
          <w:color w:val="000000"/>
          <w:sz w:val="21"/>
          <w:szCs w:val="21"/>
        </w:rPr>
      </w:pPr>
      <w:bookmarkStart w:id="922" w:name="_Toc280868704"/>
      <w:bookmarkStart w:id="923" w:name="_Toc280868705"/>
      <w:bookmarkStart w:id="924" w:name="_Toc280868706"/>
      <w:bookmarkStart w:id="925" w:name="_Toc280868707"/>
      <w:bookmarkStart w:id="926" w:name="_Toc280868708"/>
      <w:bookmarkStart w:id="927" w:name="_Toc280868709"/>
      <w:r>
        <w:rPr>
          <w:rFonts w:hint="eastAsia" w:ascii="宋体" w:hAnsi="宋体" w:cs="宋体"/>
          <w:color w:val="000000"/>
          <w:sz w:val="21"/>
          <w:szCs w:val="21"/>
        </w:rPr>
        <w:t>13.2.2竣工验收程序</w:t>
      </w:r>
    </w:p>
    <w:bookmarkEnd w:id="922"/>
    <w:p w14:paraId="252B11DB">
      <w:pPr>
        <w:pageBreakBefore w:val="0"/>
        <w:kinsoku/>
        <w:wordWrap/>
        <w:overflowPunct/>
        <w:topLinePunct w:val="0"/>
        <w:bidi w:val="0"/>
        <w:adjustRightInd w:val="0"/>
        <w:snapToGrid/>
        <w:spacing w:line="440" w:lineRule="exact"/>
        <w:ind w:left="420" w:leftChars="200" w:right="420" w:rightChars="200" w:firstLine="420" w:firstLineChars="200"/>
        <w:jc w:val="left"/>
        <w:textAlignment w:val="auto"/>
        <w:rPr>
          <w:rFonts w:hint="eastAsia" w:ascii="宋体" w:hAnsi="宋体" w:cs="宋体"/>
          <w:color w:val="000000"/>
          <w:sz w:val="21"/>
          <w:szCs w:val="21"/>
          <w:u w:val="single"/>
        </w:rPr>
      </w:pPr>
      <w:r>
        <w:rPr>
          <w:rFonts w:hint="eastAsia" w:ascii="宋体" w:hAnsi="宋体" w:cs="宋体"/>
          <w:color w:val="000000"/>
          <w:sz w:val="21"/>
          <w:szCs w:val="21"/>
        </w:rPr>
        <w:t>关于竣工验收程序的约定：</w:t>
      </w:r>
      <w:r>
        <w:rPr>
          <w:rFonts w:hint="eastAsia" w:ascii="宋体" w:hAnsi="宋体" w:cs="宋体"/>
          <w:color w:val="000000"/>
          <w:sz w:val="21"/>
          <w:szCs w:val="21"/>
          <w:u w:val="single"/>
        </w:rPr>
        <w:t xml:space="preserve">             /     </w:t>
      </w:r>
      <w:r>
        <w:rPr>
          <w:rFonts w:hint="eastAsia" w:ascii="宋体" w:hAnsi="宋体" w:cs="宋体"/>
          <w:color w:val="000000"/>
          <w:sz w:val="21"/>
          <w:szCs w:val="21"/>
        </w:rPr>
        <w:t>。</w:t>
      </w:r>
    </w:p>
    <w:p w14:paraId="50D328B9">
      <w:pPr>
        <w:pageBreakBefore w:val="0"/>
        <w:widowControl/>
        <w:kinsoku/>
        <w:wordWrap/>
        <w:overflowPunct/>
        <w:topLinePunct w:val="0"/>
        <w:autoSpaceDN w:val="0"/>
        <w:bidi w:val="0"/>
        <w:adjustRightInd w:val="0"/>
        <w:snapToGrid/>
        <w:spacing w:line="440" w:lineRule="exact"/>
        <w:ind w:left="420" w:leftChars="200" w:right="420" w:rightChars="200" w:firstLine="480"/>
        <w:textAlignment w:val="auto"/>
        <w:rPr>
          <w:rFonts w:hint="eastAsia" w:ascii="宋体" w:hAnsi="宋体" w:cs="宋体"/>
          <w:color w:val="000000"/>
          <w:sz w:val="21"/>
          <w:szCs w:val="21"/>
        </w:rPr>
      </w:pPr>
      <w:r>
        <w:rPr>
          <w:rFonts w:hint="eastAsia" w:ascii="宋体" w:hAnsi="宋体" w:cs="宋体"/>
          <w:color w:val="000000"/>
          <w:sz w:val="21"/>
          <w:szCs w:val="21"/>
        </w:rPr>
        <w:t>发包人不按照本项约定组织竣工验收、颁发工程接收证书的违约金的计算方法：</w:t>
      </w:r>
    </w:p>
    <w:p w14:paraId="09E5E898">
      <w:pPr>
        <w:pageBreakBefore w:val="0"/>
        <w:kinsoku/>
        <w:wordWrap/>
        <w:overflowPunct/>
        <w:topLinePunct w:val="0"/>
        <w:bidi w:val="0"/>
        <w:adjustRightInd w:val="0"/>
        <w:snapToGrid/>
        <w:spacing w:line="440" w:lineRule="exact"/>
        <w:ind w:left="420" w:leftChars="200" w:right="420" w:rightChars="200"/>
        <w:jc w:val="left"/>
        <w:textAlignment w:val="auto"/>
        <w:rPr>
          <w:rFonts w:hint="eastAsia" w:ascii="宋体" w:hAnsi="宋体" w:cs="宋体"/>
          <w:color w:val="000000"/>
          <w:sz w:val="21"/>
          <w:szCs w:val="21"/>
        </w:rPr>
      </w:pPr>
      <w:r>
        <w:rPr>
          <w:rFonts w:hint="eastAsia" w:ascii="宋体" w:hAnsi="宋体" w:cs="宋体"/>
          <w:color w:val="000000"/>
          <w:sz w:val="21"/>
          <w:szCs w:val="21"/>
          <w:u w:val="single"/>
        </w:rPr>
        <w:t xml:space="preserve">         /          </w:t>
      </w:r>
      <w:r>
        <w:rPr>
          <w:rFonts w:hint="eastAsia" w:ascii="宋体" w:hAnsi="宋体" w:cs="宋体"/>
          <w:color w:val="000000"/>
          <w:sz w:val="21"/>
          <w:szCs w:val="21"/>
        </w:rPr>
        <w:t>。</w:t>
      </w:r>
    </w:p>
    <w:bookmarkEnd w:id="923"/>
    <w:p w14:paraId="1C415181">
      <w:pPr>
        <w:pageBreakBefore w:val="0"/>
        <w:kinsoku/>
        <w:wordWrap/>
        <w:overflowPunct/>
        <w:topLinePunct w:val="0"/>
        <w:bidi w:val="0"/>
        <w:adjustRightInd w:val="0"/>
        <w:snapToGrid/>
        <w:spacing w:line="440" w:lineRule="exact"/>
        <w:ind w:left="420" w:leftChars="200" w:right="420" w:rightChars="200"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13.2.5移交、接收全部与部分工程</w:t>
      </w:r>
    </w:p>
    <w:bookmarkEnd w:id="924"/>
    <w:p w14:paraId="46CE31B9">
      <w:pPr>
        <w:pageBreakBefore w:val="0"/>
        <w:kinsoku/>
        <w:wordWrap/>
        <w:overflowPunct/>
        <w:topLinePunct w:val="0"/>
        <w:bidi w:val="0"/>
        <w:adjustRightInd w:val="0"/>
        <w:snapToGrid/>
        <w:spacing w:line="440" w:lineRule="exact"/>
        <w:ind w:left="420" w:leftChars="200" w:right="420" w:rightChars="200"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承包人向发包人移交工程的期限：在颁发工程接收证书后</w:t>
      </w:r>
      <w:r>
        <w:rPr>
          <w:rFonts w:hint="eastAsia" w:ascii="宋体" w:hAnsi="宋体" w:cs="宋体"/>
          <w:color w:val="000000"/>
          <w:sz w:val="21"/>
          <w:szCs w:val="21"/>
          <w:u w:val="single"/>
        </w:rPr>
        <w:t xml:space="preserve"> 7</w:t>
      </w:r>
      <w:r>
        <w:rPr>
          <w:rFonts w:hint="eastAsia" w:ascii="宋体" w:hAnsi="宋体" w:cs="宋体"/>
          <w:color w:val="000000"/>
          <w:sz w:val="21"/>
          <w:szCs w:val="21"/>
        </w:rPr>
        <w:t>天内完成工程的移交。</w:t>
      </w:r>
    </w:p>
    <w:p w14:paraId="6F9B2C7F">
      <w:pPr>
        <w:pageBreakBefore w:val="0"/>
        <w:kinsoku/>
        <w:wordWrap/>
        <w:overflowPunct/>
        <w:topLinePunct w:val="0"/>
        <w:bidi w:val="0"/>
        <w:adjustRightInd w:val="0"/>
        <w:snapToGrid/>
        <w:spacing w:line="440" w:lineRule="exact"/>
        <w:ind w:left="420" w:leftChars="200" w:right="420" w:rightChars="200"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 xml:space="preserve">发包人未按本合同约定接收全部或部分工程的，违约金的计算方法为：除承担自应接收工程之日起的工程照管、成本保护、保管等与工程有关的各项费用外，应当按本专用条款约定的提前竣工奖励的 </w:t>
      </w:r>
      <w:r>
        <w:rPr>
          <w:rFonts w:hint="eastAsia" w:ascii="宋体" w:hAnsi="宋体" w:cs="宋体"/>
          <w:color w:val="000000"/>
          <w:sz w:val="21"/>
          <w:szCs w:val="21"/>
          <w:u w:val="single"/>
        </w:rPr>
        <w:t xml:space="preserve">   /  </w:t>
      </w:r>
      <w:r>
        <w:rPr>
          <w:rFonts w:hint="eastAsia" w:ascii="宋体" w:hAnsi="宋体" w:cs="宋体"/>
          <w:color w:val="000000"/>
          <w:sz w:val="21"/>
          <w:szCs w:val="21"/>
        </w:rPr>
        <w:t>倍标准向承包人支付逾期接收工程的违约金。</w:t>
      </w:r>
    </w:p>
    <w:p w14:paraId="64DF9085">
      <w:pPr>
        <w:pageBreakBefore w:val="0"/>
        <w:kinsoku/>
        <w:wordWrap/>
        <w:overflowPunct/>
        <w:topLinePunct w:val="0"/>
        <w:bidi w:val="0"/>
        <w:adjustRightInd w:val="0"/>
        <w:snapToGrid/>
        <w:spacing w:line="440" w:lineRule="exact"/>
        <w:ind w:left="420" w:leftChars="200" w:right="420" w:rightChars="200"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承包人未按时移交工程的，违约金的计算方法为：除承担自应接收工程之日起的工程照管、成本保护、保管等与工程有关的各项费用外，应当按本合同约定的工期延误赔偿标准</w:t>
      </w:r>
      <w:r>
        <w:rPr>
          <w:rFonts w:hint="eastAsia" w:ascii="宋体" w:hAnsi="宋体" w:cs="宋体"/>
          <w:color w:val="000000"/>
          <w:sz w:val="21"/>
          <w:szCs w:val="21"/>
          <w:u w:val="single"/>
        </w:rPr>
        <w:t xml:space="preserve">   /  </w:t>
      </w:r>
      <w:r>
        <w:rPr>
          <w:rFonts w:hint="eastAsia" w:ascii="宋体" w:hAnsi="宋体" w:cs="宋体"/>
          <w:color w:val="000000"/>
          <w:sz w:val="21"/>
          <w:szCs w:val="21"/>
        </w:rPr>
        <w:t>倍向发包人支付逾期移交工程的违约金。</w:t>
      </w:r>
    </w:p>
    <w:bookmarkEnd w:id="925"/>
    <w:p w14:paraId="0B4C81D9">
      <w:pPr>
        <w:pageBreakBefore w:val="0"/>
        <w:kinsoku/>
        <w:wordWrap/>
        <w:overflowPunct/>
        <w:topLinePunct w:val="0"/>
        <w:bidi w:val="0"/>
        <w:adjustRightInd w:val="0"/>
        <w:snapToGrid/>
        <w:spacing w:line="440" w:lineRule="exact"/>
        <w:ind w:left="420" w:leftChars="200" w:right="420" w:rightChars="200"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13.3 工程试车</w:t>
      </w:r>
    </w:p>
    <w:bookmarkEnd w:id="926"/>
    <w:p w14:paraId="75DD46EA">
      <w:pPr>
        <w:pageBreakBefore w:val="0"/>
        <w:kinsoku/>
        <w:wordWrap/>
        <w:overflowPunct/>
        <w:topLinePunct w:val="0"/>
        <w:bidi w:val="0"/>
        <w:adjustRightInd w:val="0"/>
        <w:snapToGrid/>
        <w:spacing w:line="440" w:lineRule="exact"/>
        <w:ind w:left="420" w:leftChars="200" w:right="420" w:rightChars="200"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13.3.1 试车程序</w:t>
      </w:r>
    </w:p>
    <w:p w14:paraId="7C8D0A2B">
      <w:pPr>
        <w:pageBreakBefore w:val="0"/>
        <w:kinsoku/>
        <w:wordWrap/>
        <w:overflowPunct/>
        <w:topLinePunct w:val="0"/>
        <w:bidi w:val="0"/>
        <w:adjustRightInd w:val="0"/>
        <w:snapToGrid/>
        <w:spacing w:line="440" w:lineRule="exact"/>
        <w:ind w:left="420" w:leftChars="200" w:right="420" w:rightChars="200"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工程试车内容：</w:t>
      </w:r>
      <w:r>
        <w:rPr>
          <w:rFonts w:hint="eastAsia" w:ascii="宋体" w:hAnsi="宋体" w:cs="宋体"/>
          <w:color w:val="000000"/>
          <w:sz w:val="21"/>
          <w:szCs w:val="21"/>
          <w:u w:val="single"/>
        </w:rPr>
        <w:t xml:space="preserve">              /           </w:t>
      </w:r>
      <w:r>
        <w:rPr>
          <w:rFonts w:hint="eastAsia" w:ascii="宋体" w:hAnsi="宋体" w:cs="宋体"/>
          <w:color w:val="000000"/>
          <w:sz w:val="21"/>
          <w:szCs w:val="21"/>
        </w:rPr>
        <w:t>。</w:t>
      </w:r>
    </w:p>
    <w:p w14:paraId="7595646D">
      <w:pPr>
        <w:pageBreakBefore w:val="0"/>
        <w:kinsoku/>
        <w:wordWrap/>
        <w:overflowPunct/>
        <w:topLinePunct w:val="0"/>
        <w:bidi w:val="0"/>
        <w:adjustRightInd w:val="0"/>
        <w:snapToGrid/>
        <w:spacing w:line="440" w:lineRule="exact"/>
        <w:ind w:left="420" w:leftChars="200" w:right="420" w:rightChars="200"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（1）单机无负荷试车费用由</w:t>
      </w:r>
      <w:r>
        <w:rPr>
          <w:rFonts w:hint="eastAsia" w:ascii="宋体" w:hAnsi="宋体" w:cs="宋体"/>
          <w:color w:val="000000"/>
          <w:sz w:val="21"/>
          <w:szCs w:val="21"/>
          <w:u w:val="single"/>
        </w:rPr>
        <w:t xml:space="preserve">         /           </w:t>
      </w:r>
      <w:r>
        <w:rPr>
          <w:rFonts w:hint="eastAsia" w:ascii="宋体" w:hAnsi="宋体" w:cs="宋体"/>
          <w:color w:val="000000"/>
          <w:sz w:val="21"/>
          <w:szCs w:val="21"/>
        </w:rPr>
        <w:t>承担；</w:t>
      </w:r>
    </w:p>
    <w:p w14:paraId="534BF69B">
      <w:pPr>
        <w:pageBreakBefore w:val="0"/>
        <w:kinsoku/>
        <w:wordWrap/>
        <w:overflowPunct/>
        <w:topLinePunct w:val="0"/>
        <w:bidi w:val="0"/>
        <w:adjustRightInd w:val="0"/>
        <w:snapToGrid/>
        <w:spacing w:line="440" w:lineRule="exact"/>
        <w:ind w:left="420" w:leftChars="200" w:right="420" w:rightChars="200"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（2）无负荷联动试车费用由</w:t>
      </w:r>
      <w:r>
        <w:rPr>
          <w:rFonts w:hint="eastAsia" w:ascii="宋体" w:hAnsi="宋体" w:cs="宋体"/>
          <w:color w:val="000000"/>
          <w:sz w:val="21"/>
          <w:szCs w:val="21"/>
          <w:u w:val="single"/>
        </w:rPr>
        <w:t xml:space="preserve">          /          </w:t>
      </w:r>
      <w:r>
        <w:rPr>
          <w:rFonts w:hint="eastAsia" w:ascii="宋体" w:hAnsi="宋体" w:cs="宋体"/>
          <w:color w:val="000000"/>
          <w:sz w:val="21"/>
          <w:szCs w:val="21"/>
        </w:rPr>
        <w:t>承担。</w:t>
      </w:r>
    </w:p>
    <w:p w14:paraId="6F414121">
      <w:pPr>
        <w:pageBreakBefore w:val="0"/>
        <w:kinsoku/>
        <w:wordWrap/>
        <w:overflowPunct/>
        <w:topLinePunct w:val="0"/>
        <w:bidi w:val="0"/>
        <w:adjustRightInd w:val="0"/>
        <w:snapToGrid/>
        <w:spacing w:line="440" w:lineRule="exact"/>
        <w:ind w:left="420" w:leftChars="200" w:right="420" w:rightChars="200"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13.3.3 投料试车</w:t>
      </w:r>
    </w:p>
    <w:p w14:paraId="7CAC7328">
      <w:pPr>
        <w:pageBreakBefore w:val="0"/>
        <w:kinsoku/>
        <w:wordWrap/>
        <w:overflowPunct/>
        <w:topLinePunct w:val="0"/>
        <w:bidi w:val="0"/>
        <w:adjustRightInd w:val="0"/>
        <w:snapToGrid/>
        <w:spacing w:line="440" w:lineRule="exact"/>
        <w:ind w:left="420" w:leftChars="200" w:right="420" w:rightChars="200"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关于投料试车相关事项的约定：</w:t>
      </w:r>
      <w:r>
        <w:rPr>
          <w:rFonts w:hint="eastAsia" w:ascii="宋体" w:hAnsi="宋体" w:cs="宋体"/>
          <w:color w:val="000000"/>
          <w:sz w:val="21"/>
          <w:szCs w:val="21"/>
          <w:u w:val="single"/>
        </w:rPr>
        <w:t xml:space="preserve">       /           </w:t>
      </w:r>
      <w:r>
        <w:rPr>
          <w:rFonts w:hint="eastAsia" w:ascii="宋体" w:hAnsi="宋体" w:cs="宋体"/>
          <w:color w:val="000000"/>
          <w:sz w:val="21"/>
          <w:szCs w:val="21"/>
        </w:rPr>
        <w:t>。</w:t>
      </w:r>
    </w:p>
    <w:p w14:paraId="09FF3F45">
      <w:pPr>
        <w:pageBreakBefore w:val="0"/>
        <w:kinsoku/>
        <w:wordWrap/>
        <w:overflowPunct/>
        <w:topLinePunct w:val="0"/>
        <w:bidi w:val="0"/>
        <w:adjustRightInd w:val="0"/>
        <w:snapToGrid/>
        <w:spacing w:line="440" w:lineRule="exact"/>
        <w:ind w:left="420" w:leftChars="200" w:right="420" w:rightChars="200"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13.6 竣工退场</w:t>
      </w:r>
    </w:p>
    <w:p w14:paraId="3B085FD2">
      <w:pPr>
        <w:pageBreakBefore w:val="0"/>
        <w:kinsoku/>
        <w:wordWrap/>
        <w:overflowPunct/>
        <w:topLinePunct w:val="0"/>
        <w:bidi w:val="0"/>
        <w:adjustRightInd w:val="0"/>
        <w:snapToGrid/>
        <w:spacing w:line="440" w:lineRule="exact"/>
        <w:ind w:left="420" w:leftChars="200" w:right="420" w:rightChars="200"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13.6.1 竣工退场</w:t>
      </w:r>
    </w:p>
    <w:p w14:paraId="3A2A4710">
      <w:pPr>
        <w:pageBreakBefore w:val="0"/>
        <w:kinsoku/>
        <w:wordWrap/>
        <w:overflowPunct/>
        <w:topLinePunct w:val="0"/>
        <w:bidi w:val="0"/>
        <w:adjustRightInd w:val="0"/>
        <w:snapToGrid/>
        <w:spacing w:line="440" w:lineRule="exact"/>
        <w:ind w:left="420" w:leftChars="200" w:right="420" w:rightChars="200"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承包人完成竣工退场的期限：承包人应当在发包人颁发工程接收证书后</w:t>
      </w:r>
      <w:r>
        <w:rPr>
          <w:rFonts w:hint="eastAsia" w:ascii="宋体" w:hAnsi="宋体" w:cs="宋体"/>
          <w:color w:val="000000"/>
          <w:sz w:val="21"/>
          <w:szCs w:val="21"/>
          <w:u w:val="single"/>
        </w:rPr>
        <w:t>14</w:t>
      </w:r>
      <w:r>
        <w:rPr>
          <w:rFonts w:hint="eastAsia" w:ascii="宋体" w:hAnsi="宋体" w:cs="宋体"/>
          <w:color w:val="000000"/>
          <w:sz w:val="21"/>
          <w:szCs w:val="21"/>
        </w:rPr>
        <w:t>天内完成竣工退场，逾期未完成的，按通用条款执行。</w:t>
      </w:r>
    </w:p>
    <w:bookmarkEnd w:id="915"/>
    <w:bookmarkEnd w:id="916"/>
    <w:bookmarkEnd w:id="917"/>
    <w:bookmarkEnd w:id="918"/>
    <w:bookmarkEnd w:id="919"/>
    <w:bookmarkEnd w:id="920"/>
    <w:bookmarkEnd w:id="921"/>
    <w:bookmarkEnd w:id="927"/>
    <w:p w14:paraId="7041871C">
      <w:pPr>
        <w:pStyle w:val="6"/>
        <w:keepNext w:val="0"/>
        <w:keepLines w:val="0"/>
        <w:pageBreakBefore w:val="0"/>
        <w:numPr>
          <w:ilvl w:val="3"/>
          <w:numId w:val="0"/>
        </w:numPr>
        <w:kinsoku/>
        <w:wordWrap/>
        <w:overflowPunct/>
        <w:topLinePunct w:val="0"/>
        <w:bidi w:val="0"/>
        <w:adjustRightInd w:val="0"/>
        <w:snapToGrid/>
        <w:spacing w:before="0" w:after="0" w:line="440" w:lineRule="exact"/>
        <w:ind w:left="420" w:leftChars="200" w:right="420" w:rightChars="200"/>
        <w:textAlignment w:val="auto"/>
        <w:rPr>
          <w:rFonts w:hint="eastAsia" w:ascii="宋体" w:hAnsi="宋体" w:eastAsia="宋体" w:cs="宋体"/>
          <w:b w:val="0"/>
          <w:color w:val="000000"/>
          <w:sz w:val="21"/>
          <w:szCs w:val="21"/>
        </w:rPr>
      </w:pPr>
      <w:bookmarkStart w:id="928" w:name="_Toc351203646"/>
      <w:bookmarkStart w:id="929" w:name="_Toc386638620"/>
      <w:bookmarkStart w:id="930" w:name="_Toc386638621"/>
      <w:bookmarkStart w:id="931" w:name="_Toc351203647"/>
      <w:bookmarkStart w:id="932" w:name="_Toc267251483"/>
      <w:bookmarkStart w:id="933" w:name="_Toc267251484"/>
      <w:bookmarkStart w:id="934" w:name="_Toc267251482"/>
      <w:bookmarkStart w:id="935" w:name="_Toc267251485"/>
      <w:bookmarkStart w:id="936" w:name="_Toc267251490"/>
      <w:bookmarkStart w:id="937" w:name="_Toc267251489"/>
      <w:bookmarkStart w:id="938" w:name="_Toc267251488"/>
      <w:bookmarkStart w:id="939" w:name="_Toc267251486"/>
      <w:bookmarkStart w:id="940" w:name="_Toc267251493"/>
      <w:bookmarkStart w:id="941" w:name="_Toc267251503"/>
      <w:bookmarkStart w:id="942" w:name="_Toc267251496"/>
      <w:bookmarkStart w:id="943" w:name="_Toc267251495"/>
      <w:bookmarkStart w:id="944" w:name="_Toc267251491"/>
      <w:bookmarkStart w:id="945" w:name="_Toc267251492"/>
      <w:bookmarkStart w:id="946" w:name="_Toc267251498"/>
      <w:bookmarkStart w:id="947" w:name="_Toc267251497"/>
      <w:bookmarkStart w:id="948" w:name="_Toc267251502"/>
      <w:bookmarkStart w:id="949" w:name="_Toc267251501"/>
      <w:bookmarkStart w:id="950" w:name="_Toc267251494"/>
      <w:bookmarkStart w:id="951" w:name="_Toc267251499"/>
      <w:bookmarkStart w:id="952" w:name="_Toc267251507"/>
      <w:bookmarkStart w:id="953" w:name="_Toc267251513"/>
      <w:bookmarkStart w:id="954" w:name="_Toc267251511"/>
      <w:bookmarkStart w:id="955" w:name="_Toc267251510"/>
      <w:bookmarkStart w:id="956" w:name="_Toc267251514"/>
      <w:bookmarkStart w:id="957" w:name="_Toc267251509"/>
      <w:bookmarkStart w:id="958" w:name="_Toc267251506"/>
      <w:bookmarkStart w:id="959" w:name="_Toc267251508"/>
      <w:bookmarkStart w:id="960" w:name="_Toc267251515"/>
      <w:bookmarkStart w:id="961" w:name="_Toc267251504"/>
      <w:r>
        <w:rPr>
          <w:rFonts w:hint="eastAsia" w:ascii="宋体" w:hAnsi="宋体" w:eastAsia="宋体" w:cs="宋体"/>
          <w:b w:val="0"/>
          <w:color w:val="000000"/>
          <w:sz w:val="21"/>
          <w:szCs w:val="21"/>
        </w:rPr>
        <w:t>14. 竣工结算</w:t>
      </w:r>
      <w:bookmarkEnd w:id="928"/>
      <w:bookmarkEnd w:id="929"/>
    </w:p>
    <w:p w14:paraId="04615408">
      <w:pPr>
        <w:pStyle w:val="637"/>
        <w:pageBreakBefore w:val="0"/>
        <w:kinsoku/>
        <w:wordWrap/>
        <w:overflowPunct/>
        <w:topLinePunct w:val="0"/>
        <w:bidi w:val="0"/>
        <w:adjustRightInd w:val="0"/>
        <w:snapToGrid/>
        <w:spacing w:line="440" w:lineRule="exact"/>
        <w:ind w:left="420" w:leftChars="200" w:right="420" w:rightChars="200" w:firstLine="399" w:firstLineChars="190"/>
        <w:textAlignment w:val="auto"/>
        <w:rPr>
          <w:rFonts w:hint="eastAsia" w:hAnsi="宋体" w:cs="宋体"/>
          <w:b w:val="0"/>
          <w:color w:val="000000"/>
          <w:sz w:val="21"/>
          <w:szCs w:val="21"/>
        </w:rPr>
      </w:pPr>
      <w:r>
        <w:rPr>
          <w:rFonts w:hint="eastAsia" w:hAnsi="宋体" w:cs="宋体"/>
          <w:b w:val="0"/>
          <w:color w:val="000000"/>
          <w:sz w:val="21"/>
          <w:szCs w:val="21"/>
        </w:rPr>
        <w:t>14.1竣工结算款的申请</w:t>
      </w:r>
    </w:p>
    <w:p w14:paraId="50A10FF2">
      <w:pPr>
        <w:pStyle w:val="637"/>
        <w:pageBreakBefore w:val="0"/>
        <w:kinsoku/>
        <w:wordWrap/>
        <w:overflowPunct/>
        <w:topLinePunct w:val="0"/>
        <w:bidi w:val="0"/>
        <w:adjustRightInd w:val="0"/>
        <w:snapToGrid/>
        <w:spacing w:line="440" w:lineRule="exact"/>
        <w:ind w:left="420" w:leftChars="200" w:right="420" w:rightChars="200" w:firstLine="399" w:firstLineChars="190"/>
        <w:textAlignment w:val="auto"/>
        <w:rPr>
          <w:rFonts w:hint="eastAsia" w:hAnsi="宋体"/>
          <w:b w:val="0"/>
          <w:color w:val="000000"/>
          <w:sz w:val="21"/>
          <w:szCs w:val="21"/>
        </w:rPr>
      </w:pPr>
      <w:r>
        <w:rPr>
          <w:rFonts w:hint="eastAsia" w:hAnsi="宋体"/>
          <w:b w:val="0"/>
          <w:color w:val="000000"/>
          <w:sz w:val="21"/>
          <w:szCs w:val="21"/>
        </w:rPr>
        <w:t>承包人应在工程竣工结算审核完成、竣工验收并取得《建筑工程竣工档案专项验收意见书》、竣工结算审核结论及相关资料备案后</w:t>
      </w:r>
      <w:r>
        <w:rPr>
          <w:rFonts w:hint="eastAsia" w:hAnsi="宋体"/>
          <w:b w:val="0"/>
          <w:color w:val="000000"/>
          <w:sz w:val="21"/>
          <w:szCs w:val="21"/>
          <w:u w:val="single"/>
        </w:rPr>
        <w:t xml:space="preserve">  7 </w:t>
      </w:r>
      <w:r>
        <w:rPr>
          <w:rFonts w:hint="eastAsia" w:hAnsi="宋体"/>
          <w:b w:val="0"/>
          <w:color w:val="000000"/>
          <w:sz w:val="21"/>
          <w:szCs w:val="21"/>
        </w:rPr>
        <w:t>天内向发包人提交竣工结算申请单（附相关结算资料）。</w:t>
      </w:r>
    </w:p>
    <w:p w14:paraId="7B9F8D54">
      <w:pPr>
        <w:pageBreakBefore w:val="0"/>
        <w:kinsoku/>
        <w:wordWrap/>
        <w:overflowPunct/>
        <w:topLinePunct w:val="0"/>
        <w:bidi w:val="0"/>
        <w:adjustRightInd w:val="0"/>
        <w:snapToGrid/>
        <w:spacing w:line="440" w:lineRule="exact"/>
        <w:ind w:left="420" w:leftChars="200" w:right="420" w:rightChars="200"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14.2竣工结算书的提交和核对</w:t>
      </w:r>
    </w:p>
    <w:p w14:paraId="6CCBD272">
      <w:pPr>
        <w:pageBreakBefore w:val="0"/>
        <w:kinsoku/>
        <w:wordWrap/>
        <w:overflowPunct/>
        <w:topLinePunct w:val="0"/>
        <w:bidi w:val="0"/>
        <w:adjustRightInd w:val="0"/>
        <w:snapToGrid/>
        <w:spacing w:line="440" w:lineRule="exact"/>
        <w:ind w:left="420" w:leftChars="200" w:right="420" w:rightChars="200" w:firstLine="420" w:firstLineChars="200"/>
        <w:textAlignment w:val="auto"/>
        <w:rPr>
          <w:rFonts w:hint="eastAsia" w:ascii="宋体" w:hAnsi="宋体"/>
          <w:color w:val="000000"/>
          <w:sz w:val="21"/>
          <w:szCs w:val="21"/>
        </w:rPr>
      </w:pPr>
      <w:r>
        <w:rPr>
          <w:rFonts w:hint="eastAsia" w:ascii="宋体" w:hAnsi="宋体"/>
          <w:color w:val="000000"/>
          <w:sz w:val="21"/>
          <w:szCs w:val="21"/>
        </w:rPr>
        <w:t>承包人应当在工程竣工验收合格后</w:t>
      </w:r>
      <w:r>
        <w:rPr>
          <w:rFonts w:hint="eastAsia" w:ascii="宋体" w:hAnsi="宋体"/>
          <w:color w:val="000000"/>
          <w:sz w:val="21"/>
          <w:szCs w:val="21"/>
          <w:u w:val="single"/>
        </w:rPr>
        <w:t xml:space="preserve"> 60 </w:t>
      </w:r>
      <w:r>
        <w:rPr>
          <w:rFonts w:hint="eastAsia" w:ascii="宋体" w:hAnsi="宋体"/>
          <w:color w:val="000000"/>
          <w:kern w:val="0"/>
          <w:sz w:val="21"/>
          <w:szCs w:val="21"/>
        </w:rPr>
        <w:t>天</w:t>
      </w:r>
      <w:r>
        <w:rPr>
          <w:rFonts w:hint="eastAsia" w:ascii="宋体" w:hAnsi="宋体"/>
          <w:color w:val="000000"/>
          <w:sz w:val="21"/>
          <w:szCs w:val="21"/>
        </w:rPr>
        <w:t>内向发包人提交工程竣工结算书及其完整的结算资料</w:t>
      </w:r>
      <w:r>
        <w:rPr>
          <w:rFonts w:hint="eastAsia" w:ascii="宋体" w:hAnsi="宋体"/>
          <w:color w:val="000000"/>
          <w:sz w:val="21"/>
          <w:szCs w:val="21"/>
          <w:u w:val="single"/>
        </w:rPr>
        <w:t xml:space="preserve"> 叁 </w:t>
      </w:r>
      <w:r>
        <w:rPr>
          <w:rFonts w:hint="eastAsia" w:ascii="宋体" w:hAnsi="宋体"/>
          <w:color w:val="000000"/>
          <w:sz w:val="21"/>
          <w:szCs w:val="21"/>
        </w:rPr>
        <w:t>份。发包人对竣工结算书有异议或者结算资料不符合要求的，有权并以书面形式要求承包人进行修正和提供补充资料。承包人应当按照发包人的意见提交修正后的竣工结算书或结算资料，则发包人对工程竣工结算书进行核对的期限从提交修正后的竣工结算书或结算资料起计算。发包人应从收到承包人提交的工程竣工结算书之日起的</w:t>
      </w:r>
      <w:r>
        <w:rPr>
          <w:rFonts w:hint="eastAsia" w:ascii="宋体" w:hAnsi="宋体"/>
          <w:color w:val="000000"/>
          <w:sz w:val="21"/>
          <w:szCs w:val="21"/>
          <w:u w:val="single"/>
        </w:rPr>
        <w:t xml:space="preserve"> 60  </w:t>
      </w:r>
      <w:r>
        <w:rPr>
          <w:rFonts w:hint="eastAsia" w:ascii="宋体" w:hAnsi="宋体"/>
          <w:color w:val="000000"/>
          <w:sz w:val="21"/>
          <w:szCs w:val="21"/>
        </w:rPr>
        <w:t>日内完成对竣工结算书的核对。</w:t>
      </w:r>
    </w:p>
    <w:p w14:paraId="0789A7FE">
      <w:pPr>
        <w:pageBreakBefore w:val="0"/>
        <w:kinsoku/>
        <w:wordWrap/>
        <w:overflowPunct/>
        <w:topLinePunct w:val="0"/>
        <w:bidi w:val="0"/>
        <w:adjustRightInd w:val="0"/>
        <w:snapToGrid/>
        <w:spacing w:line="440" w:lineRule="exact"/>
        <w:ind w:left="420" w:leftChars="200" w:right="420" w:rightChars="200"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14.3 竣工结算审核</w:t>
      </w:r>
    </w:p>
    <w:p w14:paraId="3E859BEA">
      <w:pPr>
        <w:pageBreakBefore w:val="0"/>
        <w:kinsoku/>
        <w:wordWrap/>
        <w:overflowPunct/>
        <w:topLinePunct w:val="0"/>
        <w:bidi w:val="0"/>
        <w:adjustRightInd w:val="0"/>
        <w:snapToGrid/>
        <w:spacing w:line="440" w:lineRule="exact"/>
        <w:ind w:left="420" w:leftChars="200" w:right="420" w:rightChars="200" w:firstLine="420" w:firstLineChars="200"/>
        <w:textAlignment w:val="auto"/>
        <w:rPr>
          <w:rFonts w:ascii="宋体" w:hAnsi="宋体" w:cs="宋体"/>
          <w:color w:val="000000"/>
          <w:sz w:val="21"/>
          <w:szCs w:val="21"/>
        </w:rPr>
      </w:pPr>
      <w:r>
        <w:rPr>
          <w:rFonts w:hint="eastAsia" w:ascii="宋体" w:hAnsi="宋体" w:cs="宋体"/>
          <w:sz w:val="21"/>
          <w:szCs w:val="21"/>
          <w:lang w:bidi="ar"/>
        </w:rPr>
        <w:t>本工程的竣工结算由发包人核对后委托具有相应资质的工程造价咨询企业审核，作为支付工程价款最终结算支付的依据。</w:t>
      </w:r>
    </w:p>
    <w:p w14:paraId="6C763136">
      <w:pPr>
        <w:pageBreakBefore w:val="0"/>
        <w:kinsoku/>
        <w:wordWrap/>
        <w:overflowPunct/>
        <w:topLinePunct w:val="0"/>
        <w:bidi w:val="0"/>
        <w:adjustRightInd w:val="0"/>
        <w:snapToGrid/>
        <w:spacing w:line="440" w:lineRule="exact"/>
        <w:ind w:left="420" w:leftChars="200" w:right="420" w:rightChars="200"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14.4 最终结清</w:t>
      </w:r>
    </w:p>
    <w:p w14:paraId="0162201C">
      <w:pPr>
        <w:pageBreakBefore w:val="0"/>
        <w:kinsoku/>
        <w:wordWrap/>
        <w:overflowPunct/>
        <w:topLinePunct w:val="0"/>
        <w:bidi w:val="0"/>
        <w:adjustRightInd w:val="0"/>
        <w:snapToGrid/>
        <w:spacing w:line="440" w:lineRule="exact"/>
        <w:ind w:left="420" w:leftChars="200" w:right="420" w:rightChars="200" w:firstLine="420" w:firstLineChars="200"/>
        <w:jc w:val="left"/>
        <w:textAlignment w:val="auto"/>
        <w:rPr>
          <w:rFonts w:ascii="宋体" w:hAnsi="宋体"/>
          <w:color w:val="000000"/>
          <w:kern w:val="0"/>
          <w:sz w:val="21"/>
          <w:szCs w:val="21"/>
        </w:rPr>
      </w:pPr>
      <w:r>
        <w:rPr>
          <w:rFonts w:ascii="宋体" w:hAnsi="宋体"/>
          <w:color w:val="000000"/>
          <w:kern w:val="0"/>
          <w:sz w:val="21"/>
          <w:szCs w:val="21"/>
        </w:rPr>
        <w:t>14.</w:t>
      </w:r>
      <w:r>
        <w:rPr>
          <w:rFonts w:hint="eastAsia" w:ascii="宋体" w:hAnsi="宋体"/>
          <w:color w:val="000000"/>
          <w:kern w:val="0"/>
          <w:sz w:val="21"/>
          <w:szCs w:val="21"/>
        </w:rPr>
        <w:t>4</w:t>
      </w:r>
      <w:r>
        <w:rPr>
          <w:rFonts w:ascii="宋体" w:hAnsi="宋体"/>
          <w:color w:val="000000"/>
          <w:kern w:val="0"/>
          <w:sz w:val="21"/>
          <w:szCs w:val="21"/>
        </w:rPr>
        <w:t>.1 最终结清申请单</w:t>
      </w:r>
    </w:p>
    <w:p w14:paraId="7B896756">
      <w:pPr>
        <w:pageBreakBefore w:val="0"/>
        <w:kinsoku/>
        <w:wordWrap/>
        <w:overflowPunct/>
        <w:topLinePunct w:val="0"/>
        <w:bidi w:val="0"/>
        <w:adjustRightInd w:val="0"/>
        <w:snapToGrid/>
        <w:spacing w:line="440" w:lineRule="exact"/>
        <w:ind w:left="420" w:leftChars="200" w:right="420" w:rightChars="200" w:firstLine="420" w:firstLineChars="200"/>
        <w:jc w:val="left"/>
        <w:textAlignment w:val="auto"/>
        <w:rPr>
          <w:rFonts w:ascii="宋体" w:hAnsi="宋体"/>
          <w:color w:val="000000"/>
          <w:kern w:val="0"/>
          <w:sz w:val="21"/>
          <w:szCs w:val="21"/>
        </w:rPr>
      </w:pPr>
      <w:r>
        <w:rPr>
          <w:rFonts w:ascii="宋体" w:hAnsi="宋体"/>
          <w:color w:val="000000"/>
          <w:kern w:val="0"/>
          <w:sz w:val="21"/>
          <w:szCs w:val="21"/>
        </w:rPr>
        <w:t>承包人提交最终结清申请单的份数：</w:t>
      </w:r>
      <w:r>
        <w:rPr>
          <w:rFonts w:ascii="宋体" w:hAnsi="宋体"/>
          <w:color w:val="000000"/>
          <w:sz w:val="21"/>
          <w:szCs w:val="21"/>
          <w:u w:val="single"/>
        </w:rPr>
        <w:t xml:space="preserve">   </w:t>
      </w:r>
      <w:r>
        <w:rPr>
          <w:rFonts w:hint="eastAsia" w:ascii="宋体" w:hAnsi="宋体"/>
          <w:color w:val="000000"/>
          <w:sz w:val="21"/>
          <w:szCs w:val="21"/>
          <w:u w:val="single"/>
        </w:rPr>
        <w:t>3份</w:t>
      </w:r>
      <w:r>
        <w:rPr>
          <w:rFonts w:ascii="宋体" w:hAnsi="宋体"/>
          <w:color w:val="000000"/>
          <w:sz w:val="21"/>
          <w:szCs w:val="21"/>
          <w:u w:val="single"/>
        </w:rPr>
        <w:t xml:space="preserve">   </w:t>
      </w:r>
      <w:r>
        <w:rPr>
          <w:rFonts w:ascii="宋体" w:hAnsi="宋体"/>
          <w:color w:val="000000"/>
          <w:sz w:val="21"/>
          <w:szCs w:val="21"/>
        </w:rPr>
        <w:t>。</w:t>
      </w:r>
    </w:p>
    <w:p w14:paraId="54D3228B">
      <w:pPr>
        <w:pageBreakBefore w:val="0"/>
        <w:kinsoku/>
        <w:wordWrap/>
        <w:overflowPunct/>
        <w:topLinePunct w:val="0"/>
        <w:bidi w:val="0"/>
        <w:adjustRightInd w:val="0"/>
        <w:snapToGrid/>
        <w:spacing w:line="440" w:lineRule="exact"/>
        <w:ind w:left="420" w:leftChars="200" w:right="420" w:rightChars="200" w:firstLine="420" w:firstLineChars="200"/>
        <w:jc w:val="left"/>
        <w:textAlignment w:val="auto"/>
        <w:rPr>
          <w:rFonts w:hint="eastAsia" w:ascii="宋体" w:hAnsi="宋体"/>
          <w:color w:val="000000"/>
          <w:sz w:val="21"/>
          <w:szCs w:val="21"/>
        </w:rPr>
      </w:pPr>
      <w:r>
        <w:rPr>
          <w:rFonts w:ascii="宋体" w:hAnsi="宋体"/>
          <w:color w:val="000000"/>
          <w:kern w:val="0"/>
          <w:sz w:val="21"/>
          <w:szCs w:val="21"/>
        </w:rPr>
        <w:t>承包人提交最终结算申请单的期限：</w:t>
      </w:r>
      <w:r>
        <w:rPr>
          <w:rFonts w:ascii="宋体" w:hAnsi="宋体"/>
          <w:color w:val="000000"/>
          <w:sz w:val="21"/>
          <w:szCs w:val="21"/>
          <w:u w:val="single"/>
        </w:rPr>
        <w:t xml:space="preserve"> </w:t>
      </w:r>
      <w:r>
        <w:rPr>
          <w:rFonts w:hint="eastAsia" w:ascii="宋体" w:hAnsi="宋体"/>
          <w:color w:val="000000"/>
          <w:sz w:val="21"/>
          <w:szCs w:val="21"/>
          <w:u w:val="single"/>
        </w:rPr>
        <w:t>承包人应在缺陷责任期终止证书颁发后7天内提交</w:t>
      </w:r>
      <w:r>
        <w:rPr>
          <w:rFonts w:ascii="宋体" w:hAnsi="宋体"/>
          <w:color w:val="000000"/>
          <w:sz w:val="21"/>
          <w:szCs w:val="21"/>
          <w:u w:val="single"/>
        </w:rPr>
        <w:t xml:space="preserve"> </w:t>
      </w:r>
      <w:r>
        <w:rPr>
          <w:rFonts w:ascii="宋体" w:hAnsi="宋体"/>
          <w:color w:val="000000"/>
          <w:sz w:val="21"/>
          <w:szCs w:val="21"/>
        </w:rPr>
        <w:t xml:space="preserve">。 </w:t>
      </w:r>
    </w:p>
    <w:p w14:paraId="24C3997F">
      <w:pPr>
        <w:pageBreakBefore w:val="0"/>
        <w:kinsoku/>
        <w:wordWrap/>
        <w:overflowPunct/>
        <w:topLinePunct w:val="0"/>
        <w:bidi w:val="0"/>
        <w:adjustRightInd w:val="0"/>
        <w:snapToGrid/>
        <w:spacing w:line="440" w:lineRule="exact"/>
        <w:ind w:left="420" w:leftChars="200" w:right="420" w:rightChars="200" w:firstLine="420" w:firstLineChars="200"/>
        <w:jc w:val="left"/>
        <w:textAlignment w:val="auto"/>
        <w:rPr>
          <w:rFonts w:hint="eastAsia" w:ascii="宋体" w:hAnsi="宋体"/>
          <w:color w:val="000000"/>
          <w:sz w:val="21"/>
          <w:szCs w:val="21"/>
        </w:rPr>
      </w:pPr>
      <w:r>
        <w:rPr>
          <w:rFonts w:hint="eastAsia" w:ascii="宋体" w:hAnsi="宋体"/>
          <w:color w:val="000000"/>
          <w:sz w:val="21"/>
          <w:szCs w:val="21"/>
        </w:rPr>
        <w:t>发包人对最终结结算申请单内容有异议的，有权要求承包人进行修正和提供补充资料，但应当出具书面意见。承包人应当按照发包人的书面意见提交修正后的最终结算申请单。</w:t>
      </w:r>
    </w:p>
    <w:p w14:paraId="4518526D">
      <w:pPr>
        <w:pageBreakBefore w:val="0"/>
        <w:kinsoku/>
        <w:wordWrap/>
        <w:overflowPunct/>
        <w:topLinePunct w:val="0"/>
        <w:bidi w:val="0"/>
        <w:adjustRightInd w:val="0"/>
        <w:snapToGrid/>
        <w:spacing w:line="440" w:lineRule="exact"/>
        <w:ind w:left="420" w:leftChars="200" w:right="420" w:rightChars="200" w:firstLine="420" w:firstLineChars="200"/>
        <w:jc w:val="left"/>
        <w:textAlignment w:val="auto"/>
        <w:rPr>
          <w:rFonts w:ascii="宋体" w:hAnsi="宋体"/>
          <w:color w:val="000000"/>
          <w:sz w:val="21"/>
          <w:szCs w:val="21"/>
        </w:rPr>
      </w:pPr>
      <w:r>
        <w:rPr>
          <w:rFonts w:ascii="宋体" w:hAnsi="宋体"/>
          <w:color w:val="000000"/>
          <w:sz w:val="21"/>
          <w:szCs w:val="21"/>
        </w:rPr>
        <w:t>14.</w:t>
      </w:r>
      <w:r>
        <w:rPr>
          <w:rFonts w:hint="eastAsia" w:ascii="宋体" w:hAnsi="宋体"/>
          <w:color w:val="000000"/>
          <w:sz w:val="21"/>
          <w:szCs w:val="21"/>
        </w:rPr>
        <w:t>4</w:t>
      </w:r>
      <w:r>
        <w:rPr>
          <w:rFonts w:ascii="宋体" w:hAnsi="宋体"/>
          <w:color w:val="000000"/>
          <w:sz w:val="21"/>
          <w:szCs w:val="21"/>
        </w:rPr>
        <w:t>.2 最终结清证书和支付</w:t>
      </w:r>
    </w:p>
    <w:p w14:paraId="18FF5D78">
      <w:pPr>
        <w:pageBreakBefore w:val="0"/>
        <w:kinsoku/>
        <w:wordWrap/>
        <w:overflowPunct/>
        <w:topLinePunct w:val="0"/>
        <w:bidi w:val="0"/>
        <w:adjustRightInd w:val="0"/>
        <w:snapToGrid/>
        <w:spacing w:line="440" w:lineRule="exact"/>
        <w:ind w:left="420" w:leftChars="200" w:right="420" w:rightChars="200" w:firstLine="420" w:firstLineChars="200"/>
        <w:jc w:val="left"/>
        <w:textAlignment w:val="auto"/>
        <w:rPr>
          <w:rFonts w:ascii="宋体" w:hAnsi="宋体"/>
          <w:color w:val="000000"/>
          <w:sz w:val="21"/>
          <w:szCs w:val="21"/>
        </w:rPr>
      </w:pPr>
      <w:r>
        <w:rPr>
          <w:rFonts w:ascii="宋体" w:hAnsi="宋体"/>
          <w:color w:val="000000"/>
          <w:sz w:val="21"/>
          <w:szCs w:val="21"/>
        </w:rPr>
        <w:t>（1）发包人完成最终结清申请单的</w:t>
      </w:r>
      <w:r>
        <w:rPr>
          <w:rFonts w:hint="eastAsia" w:ascii="宋体" w:hAnsi="宋体"/>
          <w:color w:val="000000"/>
          <w:sz w:val="21"/>
          <w:szCs w:val="21"/>
        </w:rPr>
        <w:t>审批</w:t>
      </w:r>
      <w:r>
        <w:rPr>
          <w:rFonts w:ascii="宋体" w:hAnsi="宋体"/>
          <w:color w:val="000000"/>
          <w:sz w:val="21"/>
          <w:szCs w:val="21"/>
        </w:rPr>
        <w:t>并颁发最终结清证书的期限：</w:t>
      </w:r>
      <w:r>
        <w:rPr>
          <w:rFonts w:hint="eastAsia" w:ascii="宋体" w:hAnsi="宋体"/>
          <w:color w:val="000000"/>
          <w:sz w:val="21"/>
          <w:szCs w:val="21"/>
        </w:rPr>
        <w:t>发包人应在收到承包人提交的最终结清申请单后</w:t>
      </w:r>
      <w:r>
        <w:rPr>
          <w:rFonts w:hint="eastAsia" w:ascii="宋体" w:hAnsi="宋体"/>
          <w:color w:val="000000"/>
          <w:sz w:val="21"/>
          <w:szCs w:val="21"/>
          <w:u w:val="single"/>
        </w:rPr>
        <w:t>　14</w:t>
      </w:r>
      <w:r>
        <w:rPr>
          <w:rFonts w:hint="eastAsia" w:ascii="宋体" w:hAnsi="宋体"/>
          <w:color w:val="000000"/>
          <w:kern w:val="0"/>
          <w:sz w:val="21"/>
          <w:szCs w:val="21"/>
          <w:u w:val="single"/>
        </w:rPr>
        <w:t xml:space="preserve"> </w:t>
      </w:r>
      <w:r>
        <w:rPr>
          <w:rFonts w:hint="eastAsia" w:ascii="宋体" w:hAnsi="宋体"/>
          <w:color w:val="000000"/>
          <w:sz w:val="21"/>
          <w:szCs w:val="21"/>
        </w:rPr>
        <w:t>天内完成审批并向承包人颁发最终结清证书。发包人逾期未完成审批，又未提出修改意见的，视为发包人同意承包人提交的最终结清申请单并已颁发最终结清证书。</w:t>
      </w:r>
    </w:p>
    <w:p w14:paraId="255A8D57">
      <w:pPr>
        <w:pageBreakBefore w:val="0"/>
        <w:kinsoku/>
        <w:wordWrap/>
        <w:overflowPunct/>
        <w:topLinePunct w:val="0"/>
        <w:bidi w:val="0"/>
        <w:adjustRightInd w:val="0"/>
        <w:snapToGrid/>
        <w:spacing w:line="440" w:lineRule="exact"/>
        <w:ind w:left="420" w:leftChars="200" w:right="420" w:rightChars="200" w:firstLine="420" w:firstLineChars="200"/>
        <w:jc w:val="left"/>
        <w:textAlignment w:val="auto"/>
        <w:rPr>
          <w:rFonts w:hint="eastAsia" w:ascii="宋体" w:hAnsi="宋体"/>
          <w:color w:val="000000"/>
          <w:sz w:val="21"/>
          <w:szCs w:val="21"/>
        </w:rPr>
      </w:pPr>
      <w:r>
        <w:rPr>
          <w:rFonts w:ascii="宋体" w:hAnsi="宋体"/>
          <w:color w:val="000000"/>
          <w:sz w:val="21"/>
          <w:szCs w:val="21"/>
        </w:rPr>
        <w:t>（2）发包人完成支付的期限：</w:t>
      </w:r>
    </w:p>
    <w:p w14:paraId="105177BF">
      <w:pPr>
        <w:pageBreakBefore w:val="0"/>
        <w:kinsoku/>
        <w:wordWrap/>
        <w:overflowPunct/>
        <w:topLinePunct w:val="0"/>
        <w:bidi w:val="0"/>
        <w:adjustRightInd w:val="0"/>
        <w:snapToGrid/>
        <w:spacing w:line="440" w:lineRule="exact"/>
        <w:ind w:left="420" w:leftChars="200" w:right="420" w:rightChars="200" w:firstLine="420" w:firstLineChars="200"/>
        <w:jc w:val="left"/>
        <w:textAlignment w:val="auto"/>
        <w:rPr>
          <w:rFonts w:ascii="宋体" w:hAnsi="宋体"/>
          <w:color w:val="000000"/>
          <w:sz w:val="21"/>
          <w:szCs w:val="21"/>
        </w:rPr>
      </w:pPr>
      <w:r>
        <w:rPr>
          <w:rFonts w:hint="eastAsia" w:ascii="宋体" w:hAnsi="宋体"/>
          <w:color w:val="000000"/>
          <w:sz w:val="21"/>
          <w:szCs w:val="21"/>
        </w:rPr>
        <w:t>发包人应在颁发最终结清证书后</w:t>
      </w:r>
      <w:r>
        <w:rPr>
          <w:rFonts w:hint="eastAsia" w:ascii="宋体" w:hAnsi="宋体"/>
          <w:color w:val="000000"/>
          <w:sz w:val="21"/>
          <w:szCs w:val="21"/>
          <w:u w:val="single"/>
        </w:rPr>
        <w:t>　14　</w:t>
      </w:r>
      <w:r>
        <w:rPr>
          <w:rFonts w:hint="eastAsia" w:ascii="宋体" w:hAnsi="宋体"/>
          <w:color w:val="000000"/>
          <w:kern w:val="0"/>
          <w:sz w:val="21"/>
          <w:szCs w:val="21"/>
        </w:rPr>
        <w:t>天</w:t>
      </w:r>
      <w:r>
        <w:rPr>
          <w:rFonts w:hint="eastAsia" w:ascii="宋体" w:hAnsi="宋体"/>
          <w:color w:val="000000"/>
          <w:sz w:val="21"/>
          <w:szCs w:val="21"/>
        </w:rPr>
        <w:t>内完成支付。发包人逾期支付的违约责任按通用条款执行</w:t>
      </w:r>
      <w:r>
        <w:rPr>
          <w:rFonts w:ascii="宋体" w:hAnsi="宋体"/>
          <w:color w:val="000000"/>
          <w:sz w:val="21"/>
          <w:szCs w:val="21"/>
        </w:rPr>
        <w:t>。</w:t>
      </w:r>
    </w:p>
    <w:p w14:paraId="2F34093E">
      <w:pPr>
        <w:pStyle w:val="6"/>
        <w:pageBreakBefore w:val="0"/>
        <w:numPr>
          <w:ilvl w:val="3"/>
          <w:numId w:val="0"/>
        </w:numPr>
        <w:kinsoku/>
        <w:wordWrap/>
        <w:overflowPunct/>
        <w:topLinePunct w:val="0"/>
        <w:bidi w:val="0"/>
        <w:adjustRightInd w:val="0"/>
        <w:snapToGrid/>
        <w:spacing w:before="0" w:after="0" w:line="440" w:lineRule="exact"/>
        <w:ind w:left="420" w:leftChars="200" w:right="420" w:rightChars="200"/>
        <w:textAlignment w:val="auto"/>
        <w:rPr>
          <w:rFonts w:hint="eastAsia" w:ascii="宋体" w:hAnsi="宋体" w:eastAsia="宋体" w:cs="宋体"/>
          <w:b w:val="0"/>
          <w:color w:val="000000"/>
          <w:sz w:val="21"/>
          <w:szCs w:val="21"/>
        </w:rPr>
      </w:pPr>
      <w:r>
        <w:rPr>
          <w:rFonts w:hint="eastAsia" w:ascii="宋体" w:hAnsi="宋体" w:eastAsia="宋体" w:cs="宋体"/>
          <w:b w:val="0"/>
          <w:color w:val="000000"/>
          <w:sz w:val="21"/>
          <w:szCs w:val="21"/>
        </w:rPr>
        <w:t>15. 缺陷责任期与保修</w:t>
      </w:r>
      <w:bookmarkEnd w:id="930"/>
      <w:bookmarkEnd w:id="931"/>
    </w:p>
    <w:p w14:paraId="003CB58E">
      <w:pPr>
        <w:pageBreakBefore w:val="0"/>
        <w:kinsoku/>
        <w:wordWrap/>
        <w:overflowPunct/>
        <w:topLinePunct w:val="0"/>
        <w:bidi w:val="0"/>
        <w:adjustRightInd w:val="0"/>
        <w:snapToGrid/>
        <w:spacing w:line="440" w:lineRule="exact"/>
        <w:ind w:left="420" w:leftChars="200" w:right="420" w:rightChars="200"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15.2缺陷责任期</w:t>
      </w:r>
      <w:bookmarkEnd w:id="932"/>
    </w:p>
    <w:p w14:paraId="1944085F">
      <w:pPr>
        <w:pageBreakBefore w:val="0"/>
        <w:kinsoku/>
        <w:wordWrap/>
        <w:overflowPunct/>
        <w:topLinePunct w:val="0"/>
        <w:bidi w:val="0"/>
        <w:adjustRightInd w:val="0"/>
        <w:snapToGrid/>
        <w:spacing w:line="440" w:lineRule="exact"/>
        <w:ind w:left="420" w:leftChars="200" w:right="420" w:rightChars="200"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15.2.1 本合同缺陷责任期为</w:t>
      </w:r>
      <w:r>
        <w:rPr>
          <w:rFonts w:hint="eastAsia" w:ascii="宋体" w:hAnsi="宋体" w:cs="宋体"/>
          <w:color w:val="000000"/>
          <w:sz w:val="21"/>
          <w:szCs w:val="21"/>
          <w:u w:val="single"/>
        </w:rPr>
        <w:t>24</w:t>
      </w:r>
      <w:r>
        <w:rPr>
          <w:rFonts w:hint="eastAsia" w:ascii="宋体" w:hAnsi="宋体" w:cs="宋体"/>
          <w:color w:val="000000"/>
          <w:sz w:val="21"/>
          <w:szCs w:val="21"/>
        </w:rPr>
        <w:t>个月。</w:t>
      </w:r>
    </w:p>
    <w:p w14:paraId="3F748D76">
      <w:pPr>
        <w:pageBreakBefore w:val="0"/>
        <w:kinsoku/>
        <w:wordWrap/>
        <w:overflowPunct/>
        <w:topLinePunct w:val="0"/>
        <w:bidi w:val="0"/>
        <w:adjustRightInd w:val="0"/>
        <w:snapToGrid/>
        <w:spacing w:line="440" w:lineRule="exact"/>
        <w:ind w:left="420" w:leftChars="200" w:right="420" w:rightChars="200"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工程竣工验收合格后，因施承包人原因导致的缺陷使工程或某项主要设备不能按原定目的使用的，发包人有权在原缺陷责任期届满前要求施工承包人延长缺陷责任期，延长的缺陷责任期为</w:t>
      </w:r>
      <w:r>
        <w:rPr>
          <w:rFonts w:hint="eastAsia" w:ascii="宋体" w:hAnsi="宋体" w:cs="宋体"/>
          <w:color w:val="000000"/>
          <w:sz w:val="21"/>
          <w:szCs w:val="21"/>
          <w:u w:val="single"/>
        </w:rPr>
        <w:t>　24</w:t>
      </w:r>
      <w:r>
        <w:rPr>
          <w:rFonts w:hint="eastAsia" w:ascii="宋体" w:hAnsi="宋体" w:cs="宋体"/>
          <w:color w:val="000000"/>
          <w:sz w:val="21"/>
          <w:szCs w:val="21"/>
        </w:rPr>
        <w:t>个月。</w:t>
      </w:r>
    </w:p>
    <w:bookmarkEnd w:id="933"/>
    <w:bookmarkEnd w:id="934"/>
    <w:p w14:paraId="5A39A5FB">
      <w:pPr>
        <w:pageBreakBefore w:val="0"/>
        <w:kinsoku/>
        <w:wordWrap/>
        <w:overflowPunct/>
        <w:topLinePunct w:val="0"/>
        <w:bidi w:val="0"/>
        <w:adjustRightInd w:val="0"/>
        <w:snapToGrid/>
        <w:spacing w:line="440" w:lineRule="exact"/>
        <w:ind w:left="420" w:leftChars="200" w:right="420" w:rightChars="200" w:firstLine="420" w:firstLineChars="200"/>
        <w:textAlignment w:val="auto"/>
        <w:rPr>
          <w:rFonts w:hint="eastAsia" w:ascii="宋体" w:hAnsi="宋体" w:cs="宋体"/>
          <w:sz w:val="21"/>
          <w:szCs w:val="21"/>
          <w:highlight w:val="none"/>
        </w:rPr>
      </w:pPr>
      <w:r>
        <w:rPr>
          <w:rFonts w:hint="eastAsia" w:ascii="宋体" w:hAnsi="宋体"/>
          <w:color w:val="000000"/>
          <w:sz w:val="21"/>
          <w:szCs w:val="21"/>
        </w:rPr>
        <w:t>15.3 质量保证金</w:t>
      </w:r>
      <w:r>
        <w:rPr>
          <w:rFonts w:hint="eastAsia" w:ascii="宋体" w:hAnsi="宋体"/>
          <w:color w:val="000000"/>
          <w:sz w:val="21"/>
          <w:szCs w:val="21"/>
          <w:lang w:val="en-US" w:eastAsia="zh-CN"/>
        </w:rPr>
        <w:t xml:space="preserve"> ：</w:t>
      </w:r>
      <w:r>
        <w:rPr>
          <w:rFonts w:hint="eastAsia" w:ascii="宋体" w:hAnsi="宋体" w:cs="宋体"/>
          <w:sz w:val="21"/>
          <w:szCs w:val="21"/>
          <w:highlight w:val="none"/>
        </w:rPr>
        <w:t>关于是否扣留质量保证金的约定：按《关于印发宁海县房屋建筑和市政基础设施工程担保管理办法（试行）的通知》（宁建〔2014〕67号）规定并结合</w:t>
      </w:r>
      <w:r>
        <w:rPr>
          <w:rFonts w:hint="eastAsia" w:ascii="宋体" w:hAnsi="宋体" w:cs="宋体"/>
          <w:b/>
          <w:bCs/>
          <w:sz w:val="21"/>
          <w:szCs w:val="21"/>
          <w:highlight w:val="none"/>
        </w:rPr>
        <w:t>《宁波市住房和城乡建设委员会关于进一步优化建筑业发展环境减轻建筑企业负担的通知》（甬建函</w:t>
      </w:r>
      <w:r>
        <w:rPr>
          <w:rFonts w:hint="eastAsia" w:ascii="宋体" w:hAnsi="宋体" w:cs="宋体"/>
          <w:b/>
          <w:sz w:val="21"/>
          <w:szCs w:val="21"/>
          <w:highlight w:val="none"/>
        </w:rPr>
        <w:t>〔2017〕</w:t>
      </w:r>
      <w:r>
        <w:rPr>
          <w:rFonts w:hint="eastAsia" w:ascii="宋体" w:hAnsi="宋体" w:cs="宋体"/>
          <w:b/>
          <w:bCs/>
          <w:sz w:val="21"/>
          <w:szCs w:val="21"/>
          <w:highlight w:val="none"/>
        </w:rPr>
        <w:t>96 号）、《关于在全省工程建设领域改革保证金制度的通知》（浙建〔2020〕7号）及宁海县住建局颁发《关于进一步推动落实建筑业惠企减负政策的通知》的文件</w:t>
      </w:r>
      <w:r>
        <w:rPr>
          <w:rFonts w:hint="eastAsia" w:ascii="宋体" w:hAnsi="宋体" w:cs="宋体"/>
          <w:sz w:val="21"/>
          <w:szCs w:val="21"/>
          <w:highlight w:val="none"/>
        </w:rPr>
        <w:t>，承包人向发包人提供。</w:t>
      </w:r>
    </w:p>
    <w:p w14:paraId="74F9ECEE">
      <w:pPr>
        <w:pageBreakBefore w:val="0"/>
        <w:kinsoku/>
        <w:wordWrap/>
        <w:overflowPunct/>
        <w:topLinePunct w:val="0"/>
        <w:bidi w:val="0"/>
        <w:adjustRightInd w:val="0"/>
        <w:snapToGrid/>
        <w:spacing w:line="440" w:lineRule="exact"/>
        <w:ind w:left="420" w:leftChars="200" w:right="420" w:rightChars="200" w:firstLine="422" w:firstLineChars="200"/>
        <w:textAlignment w:val="auto"/>
        <w:rPr>
          <w:rFonts w:hint="eastAsia" w:ascii="宋体" w:hAnsi="宋体" w:cs="宋体"/>
          <w:b/>
          <w:bCs/>
          <w:sz w:val="21"/>
          <w:szCs w:val="21"/>
          <w:highlight w:val="none"/>
        </w:rPr>
      </w:pPr>
      <w:r>
        <w:rPr>
          <w:rFonts w:hint="eastAsia" w:ascii="宋体" w:hAnsi="宋体" w:cs="宋体"/>
          <w:b/>
          <w:bCs/>
          <w:sz w:val="21"/>
          <w:szCs w:val="21"/>
          <w:highlight w:val="none"/>
        </w:rPr>
        <w:t>（1）承包人提供的质量保证担保形式为</w:t>
      </w:r>
      <w:r>
        <w:rPr>
          <w:rFonts w:hint="eastAsia" w:ascii="宋体" w:hAnsi="宋体" w:cs="宋体"/>
          <w:b/>
          <w:bCs/>
          <w:sz w:val="21"/>
          <w:szCs w:val="21"/>
          <w:highlight w:val="none"/>
          <w:u w:val="single"/>
        </w:rPr>
        <w:t>银行保函或保险机构保证保险保单</w:t>
      </w:r>
      <w:r>
        <w:rPr>
          <w:rFonts w:hint="eastAsia" w:ascii="宋体" w:hAnsi="宋体" w:cs="宋体"/>
          <w:b/>
          <w:bCs/>
          <w:sz w:val="21"/>
          <w:szCs w:val="21"/>
          <w:highlight w:val="none"/>
        </w:rPr>
        <w:t>。</w:t>
      </w:r>
    </w:p>
    <w:p w14:paraId="39D96188">
      <w:pPr>
        <w:pageBreakBefore w:val="0"/>
        <w:kinsoku/>
        <w:wordWrap/>
        <w:overflowPunct/>
        <w:topLinePunct w:val="0"/>
        <w:autoSpaceDE w:val="0"/>
        <w:autoSpaceDN w:val="0"/>
        <w:bidi w:val="0"/>
        <w:adjustRightInd w:val="0"/>
        <w:snapToGrid/>
        <w:spacing w:line="440" w:lineRule="exact"/>
        <w:ind w:left="420" w:leftChars="200" w:right="420" w:rightChars="200" w:firstLine="420" w:firstLineChars="200"/>
        <w:textAlignment w:val="auto"/>
        <w:rPr>
          <w:rFonts w:hint="eastAsia" w:ascii="宋体" w:hAnsi="宋体" w:cs="宋体"/>
          <w:sz w:val="21"/>
          <w:szCs w:val="21"/>
          <w:highlight w:val="none"/>
        </w:rPr>
      </w:pPr>
      <w:r>
        <w:rPr>
          <w:rFonts w:hint="eastAsia" w:ascii="宋体" w:hAnsi="宋体" w:cs="宋体"/>
          <w:sz w:val="21"/>
          <w:szCs w:val="21"/>
          <w:highlight w:val="none"/>
        </w:rPr>
        <w:t>（2）质量保证金保函担保时间或质量保证金扣留期限与第15.2款约定的缺陷责任期保持一致。</w:t>
      </w:r>
    </w:p>
    <w:p w14:paraId="6D1EB9F2">
      <w:pPr>
        <w:pageBreakBefore w:val="0"/>
        <w:kinsoku/>
        <w:wordWrap/>
        <w:overflowPunct/>
        <w:topLinePunct w:val="0"/>
        <w:autoSpaceDE w:val="0"/>
        <w:autoSpaceDN w:val="0"/>
        <w:bidi w:val="0"/>
        <w:adjustRightInd w:val="0"/>
        <w:snapToGrid/>
        <w:spacing w:line="440" w:lineRule="exact"/>
        <w:ind w:left="420" w:leftChars="200" w:right="420" w:rightChars="200" w:firstLine="420" w:firstLineChars="200"/>
        <w:textAlignment w:val="auto"/>
        <w:rPr>
          <w:rFonts w:hint="eastAsia" w:ascii="宋体" w:hAnsi="宋体" w:cs="宋体"/>
          <w:sz w:val="21"/>
          <w:szCs w:val="21"/>
          <w:highlight w:val="none"/>
        </w:rPr>
      </w:pPr>
      <w:r>
        <w:rPr>
          <w:rFonts w:hint="eastAsia" w:ascii="宋体" w:hAnsi="宋体" w:cs="宋体"/>
          <w:sz w:val="21"/>
          <w:szCs w:val="21"/>
          <w:highlight w:val="none"/>
        </w:rPr>
        <w:t>（3）质量保证金额为工程结算价的</w:t>
      </w:r>
      <w:r>
        <w:rPr>
          <w:rFonts w:hint="eastAsia" w:ascii="宋体" w:hAnsi="宋体" w:cs="宋体"/>
          <w:sz w:val="21"/>
          <w:szCs w:val="21"/>
          <w:highlight w:val="none"/>
          <w:u w:val="single"/>
          <w:lang w:val="en-US" w:eastAsia="zh-CN"/>
        </w:rPr>
        <w:t xml:space="preserve"> 1.5%</w:t>
      </w:r>
      <w:r>
        <w:rPr>
          <w:rFonts w:hint="eastAsia" w:ascii="宋体" w:hAnsi="宋体" w:cs="宋体"/>
          <w:sz w:val="21"/>
          <w:szCs w:val="21"/>
          <w:highlight w:val="none"/>
          <w:u w:val="single"/>
        </w:rPr>
        <w:t xml:space="preserve"> </w:t>
      </w:r>
      <w:r>
        <w:rPr>
          <w:rFonts w:hint="eastAsia" w:ascii="宋体" w:hAnsi="宋体" w:cs="宋体"/>
          <w:sz w:val="21"/>
          <w:szCs w:val="21"/>
          <w:highlight w:val="none"/>
        </w:rPr>
        <w:t>。</w:t>
      </w:r>
    </w:p>
    <w:p w14:paraId="6DD6DDFF">
      <w:pPr>
        <w:pageBreakBefore w:val="0"/>
        <w:kinsoku/>
        <w:wordWrap/>
        <w:overflowPunct/>
        <w:topLinePunct w:val="0"/>
        <w:autoSpaceDE w:val="0"/>
        <w:autoSpaceDN w:val="0"/>
        <w:bidi w:val="0"/>
        <w:adjustRightInd w:val="0"/>
        <w:snapToGrid/>
        <w:spacing w:line="440" w:lineRule="exact"/>
        <w:ind w:left="420" w:leftChars="200" w:right="420" w:rightChars="200" w:firstLine="420" w:firstLineChars="200"/>
        <w:textAlignment w:val="auto"/>
        <w:rPr>
          <w:rFonts w:hint="eastAsia" w:ascii="宋体" w:hAnsi="宋体" w:cs="宋体"/>
          <w:sz w:val="21"/>
          <w:szCs w:val="21"/>
          <w:highlight w:val="none"/>
        </w:rPr>
      </w:pPr>
      <w:r>
        <w:rPr>
          <w:rFonts w:hint="eastAsia" w:ascii="宋体" w:hAnsi="宋体" w:cs="宋体"/>
          <w:sz w:val="21"/>
          <w:szCs w:val="21"/>
          <w:highlight w:val="none"/>
        </w:rPr>
        <w:t>（4）承包人与质量保证担保有关的任何利息或其它类似的费用或者收益由承包人承担；因承包人原因导致缺陷责任期延长的，继续提供质量保证担保所增加的费用由承包人承担。</w:t>
      </w:r>
    </w:p>
    <w:p w14:paraId="4A2DE0A7">
      <w:pPr>
        <w:pageBreakBefore w:val="0"/>
        <w:kinsoku/>
        <w:wordWrap/>
        <w:overflowPunct/>
        <w:topLinePunct w:val="0"/>
        <w:bidi w:val="0"/>
        <w:adjustRightInd w:val="0"/>
        <w:snapToGrid/>
        <w:spacing w:line="440" w:lineRule="exact"/>
        <w:ind w:left="420" w:leftChars="200" w:right="420" w:rightChars="200" w:firstLine="441" w:firstLineChars="210"/>
        <w:textAlignment w:val="auto"/>
        <w:rPr>
          <w:rFonts w:hint="eastAsia" w:ascii="宋体" w:hAnsi="宋体" w:cs="宋体"/>
          <w:color w:val="000000"/>
          <w:sz w:val="21"/>
          <w:szCs w:val="21"/>
          <w:highlight w:val="none"/>
        </w:rPr>
      </w:pPr>
      <w:r>
        <w:rPr>
          <w:rFonts w:hint="eastAsia" w:ascii="宋体" w:hAnsi="宋体" w:cs="宋体"/>
          <w:color w:val="000000"/>
          <w:sz w:val="21"/>
          <w:szCs w:val="21"/>
          <w:highlight w:val="none"/>
        </w:rPr>
        <w:t>15.3.3 质量保修金的退还</w:t>
      </w:r>
    </w:p>
    <w:p w14:paraId="7B96199B">
      <w:pPr>
        <w:pageBreakBefore w:val="0"/>
        <w:kinsoku/>
        <w:wordWrap/>
        <w:overflowPunct/>
        <w:topLinePunct w:val="0"/>
        <w:autoSpaceDE w:val="0"/>
        <w:autoSpaceDN w:val="0"/>
        <w:bidi w:val="0"/>
        <w:adjustRightInd w:val="0"/>
        <w:snapToGrid/>
        <w:spacing w:line="440" w:lineRule="exact"/>
        <w:ind w:left="420" w:leftChars="200" w:right="420" w:rightChars="200" w:firstLine="420" w:firstLineChars="200"/>
        <w:textAlignment w:val="auto"/>
        <w:rPr>
          <w:rFonts w:hint="default" w:ascii="宋体" w:hAnsi="宋体" w:eastAsia="宋体"/>
          <w:color w:val="000000"/>
          <w:sz w:val="21"/>
          <w:szCs w:val="21"/>
          <w:u w:val="single"/>
          <w:lang w:val="en-US" w:eastAsia="zh-CN"/>
        </w:rPr>
      </w:pPr>
      <w:r>
        <w:rPr>
          <w:rFonts w:hint="eastAsia" w:ascii="宋体" w:hAnsi="宋体"/>
          <w:sz w:val="21"/>
          <w:szCs w:val="21"/>
          <w:highlight w:val="none"/>
          <w:u w:val="single"/>
        </w:rPr>
        <w:t>发包人应按约定退还质量保修金，质量保修金保留期为</w:t>
      </w:r>
      <w:r>
        <w:rPr>
          <w:rFonts w:hint="eastAsia" w:ascii="宋体" w:hAnsi="宋体"/>
          <w:sz w:val="21"/>
          <w:szCs w:val="21"/>
          <w:highlight w:val="none"/>
          <w:u w:val="single"/>
          <w:lang w:val="en-US" w:eastAsia="zh-CN"/>
        </w:rPr>
        <w:t>2</w:t>
      </w:r>
      <w:r>
        <w:rPr>
          <w:rFonts w:hint="eastAsia" w:ascii="宋体" w:hAnsi="宋体"/>
          <w:sz w:val="21"/>
          <w:szCs w:val="21"/>
          <w:highlight w:val="none"/>
          <w:u w:val="single"/>
        </w:rPr>
        <w:t>年，进入保修期后，如未发生保修责任事件，退还质量保证金保险保单或质量保证金保函；如发生保修事件，退回保修金时间顺延一年。保修金时间延长的，承包人最迟应在原保修金时间届满之日前14天向发包人提交延长保修金时间的质量保证金保险保单或质量保证金保函，否则发包人有权向第三方担保人提出索赔</w:t>
      </w:r>
      <w:r>
        <w:rPr>
          <w:rFonts w:hint="eastAsia" w:ascii="宋体" w:hAnsi="宋体"/>
          <w:sz w:val="21"/>
          <w:szCs w:val="21"/>
          <w:highlight w:val="none"/>
          <w:u w:val="single"/>
          <w:lang w:eastAsia="zh-CN"/>
        </w:rPr>
        <w:t>。</w:t>
      </w:r>
      <w:r>
        <w:rPr>
          <w:rFonts w:hint="eastAsia" w:ascii="宋体" w:hAnsi="宋体"/>
          <w:sz w:val="21"/>
          <w:szCs w:val="21"/>
          <w:highlight w:val="none"/>
          <w:u w:val="single"/>
        </w:rPr>
        <w:t>保修期内保修金不计息。</w:t>
      </w:r>
    </w:p>
    <w:p w14:paraId="1B708DF4">
      <w:pPr>
        <w:pageBreakBefore w:val="0"/>
        <w:kinsoku/>
        <w:wordWrap/>
        <w:overflowPunct/>
        <w:topLinePunct w:val="0"/>
        <w:bidi w:val="0"/>
        <w:adjustRightInd w:val="0"/>
        <w:snapToGrid/>
        <w:spacing w:line="440" w:lineRule="exact"/>
        <w:ind w:left="420" w:leftChars="200" w:right="420" w:rightChars="200"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15.4保修</w:t>
      </w:r>
    </w:p>
    <w:bookmarkEnd w:id="935"/>
    <w:p w14:paraId="365438CC">
      <w:pPr>
        <w:pageBreakBefore w:val="0"/>
        <w:kinsoku/>
        <w:wordWrap/>
        <w:overflowPunct/>
        <w:topLinePunct w:val="0"/>
        <w:bidi w:val="0"/>
        <w:adjustRightInd w:val="0"/>
        <w:snapToGrid/>
        <w:spacing w:line="440" w:lineRule="exact"/>
        <w:ind w:left="420" w:leftChars="200" w:right="420" w:rightChars="200" w:firstLine="409" w:firstLineChars="195"/>
        <w:jc w:val="left"/>
        <w:textAlignment w:val="auto"/>
        <w:rPr>
          <w:rFonts w:hint="eastAsia" w:ascii="宋体" w:hAnsi="宋体" w:cs="宋体"/>
          <w:color w:val="000000"/>
          <w:sz w:val="21"/>
          <w:szCs w:val="21"/>
        </w:rPr>
      </w:pPr>
      <w:r>
        <w:rPr>
          <w:rFonts w:hint="eastAsia" w:ascii="宋体" w:hAnsi="宋体" w:cs="宋体"/>
          <w:color w:val="000000"/>
          <w:sz w:val="21"/>
          <w:szCs w:val="21"/>
        </w:rPr>
        <w:t>15.4.1 保修责任</w:t>
      </w:r>
    </w:p>
    <w:p w14:paraId="3EF00E19">
      <w:pPr>
        <w:pageBreakBefore w:val="0"/>
        <w:kinsoku/>
        <w:wordWrap/>
        <w:overflowPunct/>
        <w:topLinePunct w:val="0"/>
        <w:autoSpaceDE w:val="0"/>
        <w:autoSpaceDN w:val="0"/>
        <w:bidi w:val="0"/>
        <w:adjustRightInd w:val="0"/>
        <w:snapToGrid/>
        <w:spacing w:line="440" w:lineRule="exact"/>
        <w:ind w:left="420" w:leftChars="200" w:right="420" w:rightChars="200"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工程保修期为：</w:t>
      </w:r>
    </w:p>
    <w:p w14:paraId="6ED9ACF4">
      <w:pPr>
        <w:pageBreakBefore w:val="0"/>
        <w:kinsoku/>
        <w:wordWrap/>
        <w:overflowPunct/>
        <w:topLinePunct w:val="0"/>
        <w:bidi w:val="0"/>
        <w:adjustRightInd w:val="0"/>
        <w:snapToGrid/>
        <w:spacing w:line="440" w:lineRule="exact"/>
        <w:ind w:left="420" w:leftChars="200" w:right="420" w:rightChars="200"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1、地基基础工程和主体结构工程为设计文件规定的该工程合理使用年限；</w:t>
      </w:r>
    </w:p>
    <w:p w14:paraId="3E2807EF">
      <w:pPr>
        <w:pageBreakBefore w:val="0"/>
        <w:kinsoku/>
        <w:wordWrap/>
        <w:overflowPunct/>
        <w:topLinePunct w:val="0"/>
        <w:bidi w:val="0"/>
        <w:adjustRightInd w:val="0"/>
        <w:snapToGrid/>
        <w:spacing w:line="440" w:lineRule="exact"/>
        <w:ind w:left="420" w:leftChars="200" w:right="420" w:rightChars="200"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2、屋面防水工程、有防水要求的卫生间、房间和外墙面的防渗漏为</w:t>
      </w:r>
      <w:r>
        <w:rPr>
          <w:rFonts w:hint="eastAsia" w:ascii="宋体" w:hAnsi="宋体" w:cs="宋体"/>
          <w:color w:val="000000"/>
          <w:sz w:val="21"/>
          <w:szCs w:val="21"/>
          <w:u w:val="single"/>
        </w:rPr>
        <w:t xml:space="preserve"> 5 </w:t>
      </w:r>
      <w:r>
        <w:rPr>
          <w:rFonts w:hint="eastAsia" w:ascii="宋体" w:hAnsi="宋体" w:cs="宋体"/>
          <w:color w:val="000000"/>
          <w:sz w:val="21"/>
          <w:szCs w:val="21"/>
        </w:rPr>
        <w:t>年；</w:t>
      </w:r>
    </w:p>
    <w:p w14:paraId="4DFBBDFE">
      <w:pPr>
        <w:pageBreakBefore w:val="0"/>
        <w:kinsoku/>
        <w:wordWrap/>
        <w:overflowPunct/>
        <w:topLinePunct w:val="0"/>
        <w:bidi w:val="0"/>
        <w:adjustRightInd w:val="0"/>
        <w:snapToGrid/>
        <w:spacing w:line="440" w:lineRule="exact"/>
        <w:ind w:left="420" w:leftChars="200" w:right="420" w:rightChars="200"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3、节能工程、太阳能系统工程，为</w:t>
      </w:r>
      <w:r>
        <w:rPr>
          <w:rFonts w:hint="eastAsia" w:ascii="宋体" w:hAnsi="宋体" w:cs="宋体"/>
          <w:color w:val="000000"/>
          <w:sz w:val="21"/>
          <w:szCs w:val="21"/>
          <w:u w:val="single"/>
        </w:rPr>
        <w:t xml:space="preserve">  2   </w:t>
      </w:r>
      <w:r>
        <w:rPr>
          <w:rFonts w:hint="eastAsia" w:ascii="宋体" w:hAnsi="宋体" w:cs="宋体"/>
          <w:color w:val="000000"/>
          <w:sz w:val="21"/>
          <w:szCs w:val="21"/>
        </w:rPr>
        <w:t>年；</w:t>
      </w:r>
    </w:p>
    <w:p w14:paraId="59E4FB52">
      <w:pPr>
        <w:pageBreakBefore w:val="0"/>
        <w:kinsoku/>
        <w:wordWrap/>
        <w:overflowPunct/>
        <w:topLinePunct w:val="0"/>
        <w:bidi w:val="0"/>
        <w:adjustRightInd w:val="0"/>
        <w:snapToGrid/>
        <w:spacing w:line="440" w:lineRule="exact"/>
        <w:ind w:left="420" w:leftChars="200" w:right="420" w:rightChars="200"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4、装修工程、附属工程、电气管线、给排水管道、设备安装工程为</w:t>
      </w:r>
      <w:r>
        <w:rPr>
          <w:rFonts w:hint="eastAsia" w:ascii="宋体" w:hAnsi="宋体" w:cs="宋体"/>
          <w:color w:val="000000"/>
          <w:sz w:val="21"/>
          <w:szCs w:val="21"/>
          <w:u w:val="single"/>
        </w:rPr>
        <w:t xml:space="preserve">2 </w:t>
      </w:r>
      <w:r>
        <w:rPr>
          <w:rFonts w:hint="eastAsia" w:ascii="宋体" w:hAnsi="宋体" w:cs="宋体"/>
          <w:color w:val="000000"/>
          <w:sz w:val="21"/>
          <w:szCs w:val="21"/>
        </w:rPr>
        <w:t>年；</w:t>
      </w:r>
    </w:p>
    <w:p w14:paraId="437297B9">
      <w:pPr>
        <w:pageBreakBefore w:val="0"/>
        <w:kinsoku/>
        <w:wordWrap/>
        <w:overflowPunct/>
        <w:topLinePunct w:val="0"/>
        <w:bidi w:val="0"/>
        <w:adjustRightInd w:val="0"/>
        <w:snapToGrid/>
        <w:spacing w:line="440" w:lineRule="exact"/>
        <w:ind w:left="420" w:leftChars="200" w:right="420" w:rightChars="200"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5、供热与供冷系统为</w:t>
      </w:r>
      <w:r>
        <w:rPr>
          <w:rFonts w:hint="eastAsia" w:ascii="宋体" w:hAnsi="宋体" w:cs="宋体"/>
          <w:color w:val="000000"/>
          <w:sz w:val="21"/>
          <w:szCs w:val="21"/>
          <w:u w:val="single"/>
        </w:rPr>
        <w:t xml:space="preserve">2  </w:t>
      </w:r>
      <w:r>
        <w:rPr>
          <w:rFonts w:hint="eastAsia" w:ascii="宋体" w:hAnsi="宋体" w:cs="宋体"/>
          <w:color w:val="000000"/>
          <w:sz w:val="21"/>
          <w:szCs w:val="21"/>
        </w:rPr>
        <w:t>个采暖期、供冷期；</w:t>
      </w:r>
    </w:p>
    <w:p w14:paraId="199C76D1">
      <w:pPr>
        <w:pageBreakBefore w:val="0"/>
        <w:kinsoku/>
        <w:wordWrap/>
        <w:overflowPunct/>
        <w:topLinePunct w:val="0"/>
        <w:bidi w:val="0"/>
        <w:adjustRightInd w:val="0"/>
        <w:snapToGrid/>
        <w:spacing w:line="440" w:lineRule="exact"/>
        <w:ind w:left="420" w:leftChars="200" w:right="420" w:rightChars="200"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6、住宅小区内的给排水设施、道路等配套工程为</w:t>
      </w:r>
      <w:r>
        <w:rPr>
          <w:rFonts w:hint="eastAsia" w:ascii="宋体" w:hAnsi="宋体" w:cs="宋体"/>
          <w:color w:val="000000"/>
          <w:sz w:val="21"/>
          <w:szCs w:val="21"/>
          <w:u w:val="single"/>
        </w:rPr>
        <w:t xml:space="preserve">1 </w:t>
      </w:r>
      <w:r>
        <w:rPr>
          <w:rFonts w:hint="eastAsia" w:ascii="宋体" w:hAnsi="宋体" w:cs="宋体"/>
          <w:color w:val="000000"/>
          <w:sz w:val="21"/>
          <w:szCs w:val="21"/>
        </w:rPr>
        <w:t>年；</w:t>
      </w:r>
    </w:p>
    <w:p w14:paraId="5AC9D569">
      <w:pPr>
        <w:pageBreakBefore w:val="0"/>
        <w:kinsoku/>
        <w:wordWrap/>
        <w:overflowPunct/>
        <w:topLinePunct w:val="0"/>
        <w:bidi w:val="0"/>
        <w:adjustRightInd w:val="0"/>
        <w:snapToGrid/>
        <w:spacing w:line="440" w:lineRule="exact"/>
        <w:ind w:left="420" w:leftChars="200" w:right="420" w:rightChars="200"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7、其他项目保修期限约定如下：</w:t>
      </w:r>
      <w:r>
        <w:rPr>
          <w:rFonts w:hint="eastAsia" w:ascii="宋体" w:hAnsi="宋体" w:cs="宋体"/>
          <w:color w:val="000000"/>
          <w:sz w:val="21"/>
          <w:szCs w:val="21"/>
          <w:u w:val="single"/>
        </w:rPr>
        <w:t>除上述约定外，本工程其余部分保修期为2年</w:t>
      </w:r>
      <w:r>
        <w:rPr>
          <w:rFonts w:hint="eastAsia" w:ascii="宋体" w:hAnsi="宋体"/>
          <w:color w:val="000000"/>
          <w:sz w:val="21"/>
          <w:szCs w:val="21"/>
          <w:u w:val="single"/>
        </w:rPr>
        <w:t>。</w:t>
      </w:r>
    </w:p>
    <w:p w14:paraId="76B4BB2C">
      <w:pPr>
        <w:pageBreakBefore w:val="0"/>
        <w:kinsoku/>
        <w:wordWrap/>
        <w:overflowPunct/>
        <w:topLinePunct w:val="0"/>
        <w:bidi w:val="0"/>
        <w:adjustRightInd w:val="0"/>
        <w:snapToGrid/>
        <w:spacing w:line="440" w:lineRule="exact"/>
        <w:ind w:left="420" w:leftChars="200" w:right="420" w:rightChars="200" w:firstLine="409" w:firstLineChars="195"/>
        <w:jc w:val="left"/>
        <w:textAlignment w:val="auto"/>
        <w:rPr>
          <w:rFonts w:hint="eastAsia" w:ascii="宋体" w:hAnsi="宋体" w:cs="宋体"/>
          <w:color w:val="000000"/>
          <w:sz w:val="21"/>
          <w:szCs w:val="21"/>
        </w:rPr>
      </w:pPr>
      <w:r>
        <w:rPr>
          <w:rFonts w:hint="eastAsia" w:ascii="宋体" w:hAnsi="宋体" w:cs="宋体"/>
          <w:color w:val="000000"/>
          <w:sz w:val="21"/>
          <w:szCs w:val="21"/>
        </w:rPr>
        <w:t>15.4.3 修复通知</w:t>
      </w:r>
    </w:p>
    <w:p w14:paraId="7BA68FAF">
      <w:pPr>
        <w:pageBreakBefore w:val="0"/>
        <w:kinsoku/>
        <w:wordWrap/>
        <w:overflowPunct/>
        <w:topLinePunct w:val="0"/>
        <w:bidi w:val="0"/>
        <w:adjustRightInd w:val="0"/>
        <w:snapToGrid/>
        <w:spacing w:line="440" w:lineRule="exact"/>
        <w:ind w:left="420" w:leftChars="200" w:right="420" w:rightChars="200" w:firstLine="315" w:firstLineChars="150"/>
        <w:jc w:val="left"/>
        <w:textAlignment w:val="auto"/>
        <w:rPr>
          <w:rFonts w:hint="eastAsia" w:ascii="宋体" w:hAnsi="宋体" w:cs="宋体"/>
          <w:color w:val="000000"/>
          <w:sz w:val="21"/>
          <w:szCs w:val="21"/>
        </w:rPr>
      </w:pPr>
      <w:r>
        <w:rPr>
          <w:rFonts w:hint="eastAsia" w:ascii="宋体" w:hAnsi="宋体" w:cs="宋体"/>
          <w:color w:val="000000"/>
          <w:sz w:val="21"/>
          <w:szCs w:val="21"/>
        </w:rPr>
        <w:t>承包人收到保修通知并到达工程现场的合理时间：</w:t>
      </w:r>
      <w:r>
        <w:rPr>
          <w:rFonts w:hint="eastAsia" w:ascii="宋体" w:hAnsi="宋体" w:cs="宋体"/>
          <w:color w:val="000000"/>
          <w:sz w:val="21"/>
          <w:szCs w:val="21"/>
          <w:u w:val="single"/>
        </w:rPr>
        <w:t xml:space="preserve"> 48小时内(含48小时)     </w:t>
      </w:r>
      <w:r>
        <w:rPr>
          <w:rFonts w:hint="eastAsia" w:ascii="宋体" w:hAnsi="宋体" w:cs="宋体"/>
          <w:color w:val="000000"/>
          <w:sz w:val="21"/>
          <w:szCs w:val="21"/>
        </w:rPr>
        <w:t>。</w:t>
      </w:r>
    </w:p>
    <w:bookmarkEnd w:id="936"/>
    <w:bookmarkEnd w:id="937"/>
    <w:bookmarkEnd w:id="938"/>
    <w:bookmarkEnd w:id="939"/>
    <w:p w14:paraId="3A26E33B">
      <w:pPr>
        <w:pStyle w:val="6"/>
        <w:pageBreakBefore w:val="0"/>
        <w:numPr>
          <w:ilvl w:val="3"/>
          <w:numId w:val="0"/>
        </w:numPr>
        <w:kinsoku/>
        <w:wordWrap/>
        <w:overflowPunct/>
        <w:topLinePunct w:val="0"/>
        <w:bidi w:val="0"/>
        <w:adjustRightInd w:val="0"/>
        <w:snapToGrid/>
        <w:spacing w:before="0" w:after="0" w:line="440" w:lineRule="exact"/>
        <w:ind w:left="420" w:leftChars="200" w:right="420" w:rightChars="200" w:firstLine="210" w:firstLineChars="100"/>
        <w:textAlignment w:val="auto"/>
        <w:rPr>
          <w:rFonts w:hint="eastAsia" w:ascii="宋体" w:hAnsi="宋体" w:eastAsia="宋体" w:cs="宋体"/>
          <w:b w:val="0"/>
          <w:color w:val="000000"/>
          <w:sz w:val="21"/>
          <w:szCs w:val="21"/>
        </w:rPr>
      </w:pPr>
      <w:bookmarkStart w:id="962" w:name="_Toc386638622"/>
      <w:bookmarkStart w:id="963" w:name="_Toc351203648"/>
      <w:bookmarkStart w:id="964" w:name="_Toc280868717"/>
      <w:bookmarkStart w:id="965" w:name="_Toc280868718"/>
      <w:r>
        <w:rPr>
          <w:rFonts w:hint="eastAsia" w:ascii="宋体" w:hAnsi="宋体" w:eastAsia="宋体" w:cs="宋体"/>
          <w:b w:val="0"/>
          <w:color w:val="000000"/>
          <w:sz w:val="21"/>
          <w:szCs w:val="21"/>
        </w:rPr>
        <w:t>16. 违约</w:t>
      </w:r>
      <w:bookmarkEnd w:id="962"/>
      <w:bookmarkEnd w:id="963"/>
    </w:p>
    <w:p w14:paraId="414A7A56">
      <w:pPr>
        <w:pageBreakBefore w:val="0"/>
        <w:kinsoku/>
        <w:wordWrap/>
        <w:overflowPunct/>
        <w:topLinePunct w:val="0"/>
        <w:bidi w:val="0"/>
        <w:adjustRightInd w:val="0"/>
        <w:snapToGrid/>
        <w:spacing w:line="440" w:lineRule="exact"/>
        <w:ind w:left="420" w:leftChars="200" w:right="420" w:rightChars="200"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16.1 发包人违约</w:t>
      </w:r>
    </w:p>
    <w:p w14:paraId="69BC2FB5">
      <w:pPr>
        <w:pageBreakBefore w:val="0"/>
        <w:kinsoku/>
        <w:wordWrap/>
        <w:overflowPunct/>
        <w:topLinePunct w:val="0"/>
        <w:bidi w:val="0"/>
        <w:adjustRightInd w:val="0"/>
        <w:snapToGrid/>
        <w:spacing w:line="440" w:lineRule="exact"/>
        <w:ind w:left="420" w:leftChars="200" w:right="420" w:rightChars="200"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16.1.1发包人违约的情形</w:t>
      </w:r>
    </w:p>
    <w:p w14:paraId="64EB4F1E">
      <w:pPr>
        <w:pageBreakBefore w:val="0"/>
        <w:kinsoku/>
        <w:wordWrap/>
        <w:overflowPunct/>
        <w:topLinePunct w:val="0"/>
        <w:bidi w:val="0"/>
        <w:adjustRightInd w:val="0"/>
        <w:snapToGrid/>
        <w:spacing w:line="440" w:lineRule="exact"/>
        <w:ind w:left="1050" w:leftChars="200" w:right="420" w:rightChars="200" w:hanging="630" w:hangingChars="300"/>
        <w:jc w:val="left"/>
        <w:textAlignment w:val="auto"/>
        <w:rPr>
          <w:rFonts w:hint="eastAsia" w:ascii="宋体" w:hAnsi="宋体" w:cs="宋体"/>
          <w:color w:val="000000"/>
          <w:sz w:val="21"/>
          <w:szCs w:val="21"/>
        </w:rPr>
      </w:pPr>
      <w:r>
        <w:rPr>
          <w:rFonts w:hint="eastAsia" w:ascii="宋体" w:hAnsi="宋体" w:cs="宋体"/>
          <w:color w:val="000000"/>
          <w:sz w:val="21"/>
          <w:szCs w:val="21"/>
        </w:rPr>
        <w:t>发包人违约的其他情形：</w:t>
      </w:r>
      <w:r>
        <w:rPr>
          <w:rFonts w:hint="eastAsia" w:ascii="宋体" w:hAnsi="宋体" w:cs="宋体"/>
          <w:color w:val="000000"/>
          <w:sz w:val="21"/>
          <w:szCs w:val="21"/>
          <w:u w:val="single"/>
        </w:rPr>
        <w:t xml:space="preserve">        /            </w:t>
      </w:r>
      <w:r>
        <w:rPr>
          <w:rFonts w:hint="eastAsia" w:ascii="宋体" w:hAnsi="宋体" w:cs="宋体"/>
          <w:color w:val="000000"/>
          <w:sz w:val="21"/>
          <w:szCs w:val="21"/>
        </w:rPr>
        <w:t>。</w:t>
      </w:r>
    </w:p>
    <w:p w14:paraId="7B24402A">
      <w:pPr>
        <w:pageBreakBefore w:val="0"/>
        <w:kinsoku/>
        <w:wordWrap/>
        <w:overflowPunct/>
        <w:topLinePunct w:val="0"/>
        <w:bidi w:val="0"/>
        <w:adjustRightInd w:val="0"/>
        <w:snapToGrid/>
        <w:spacing w:line="440" w:lineRule="exact"/>
        <w:ind w:left="1470" w:leftChars="200" w:right="420" w:rightChars="200" w:hanging="1050" w:hangingChars="500"/>
        <w:jc w:val="left"/>
        <w:textAlignment w:val="auto"/>
        <w:rPr>
          <w:rFonts w:hint="eastAsia" w:ascii="宋体" w:hAnsi="宋体" w:cs="宋体"/>
          <w:color w:val="000000"/>
          <w:sz w:val="21"/>
          <w:szCs w:val="21"/>
        </w:rPr>
      </w:pPr>
      <w:r>
        <w:rPr>
          <w:rFonts w:hint="eastAsia" w:ascii="宋体" w:hAnsi="宋体" w:cs="宋体"/>
          <w:color w:val="000000"/>
          <w:sz w:val="21"/>
          <w:szCs w:val="21"/>
        </w:rPr>
        <w:t xml:space="preserve">    16.1.2 发包人违约的责任</w:t>
      </w:r>
    </w:p>
    <w:p w14:paraId="3132631F">
      <w:pPr>
        <w:pageBreakBefore w:val="0"/>
        <w:kinsoku/>
        <w:wordWrap/>
        <w:overflowPunct/>
        <w:topLinePunct w:val="0"/>
        <w:bidi w:val="0"/>
        <w:adjustRightInd w:val="0"/>
        <w:snapToGrid/>
        <w:spacing w:line="440" w:lineRule="exact"/>
        <w:ind w:left="420" w:leftChars="200" w:right="420" w:rightChars="200"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发包人违约责任的承担方式和计算方法：</w:t>
      </w:r>
    </w:p>
    <w:p w14:paraId="31A7AD4E">
      <w:pPr>
        <w:pageBreakBefore w:val="0"/>
        <w:kinsoku/>
        <w:wordWrap/>
        <w:overflowPunct/>
        <w:topLinePunct w:val="0"/>
        <w:bidi w:val="0"/>
        <w:adjustRightInd w:val="0"/>
        <w:snapToGrid/>
        <w:spacing w:line="440" w:lineRule="exact"/>
        <w:ind w:left="420" w:leftChars="200" w:right="420" w:rightChars="200" w:firstLine="420" w:firstLineChars="200"/>
        <w:jc w:val="left"/>
        <w:textAlignment w:val="auto"/>
        <w:rPr>
          <w:rFonts w:hint="eastAsia" w:ascii="宋体" w:hAnsi="宋体" w:cs="宋体"/>
          <w:color w:val="000000"/>
          <w:sz w:val="21"/>
          <w:szCs w:val="21"/>
          <w:u w:val="single"/>
        </w:rPr>
      </w:pPr>
      <w:r>
        <w:rPr>
          <w:rFonts w:hint="eastAsia" w:ascii="宋体" w:hAnsi="宋体" w:cs="宋体"/>
          <w:color w:val="000000"/>
          <w:sz w:val="21"/>
          <w:szCs w:val="21"/>
        </w:rPr>
        <w:t>（1）因发包人原因未能在计划开工日期前7天内下达开工通知的违约责任：</w:t>
      </w:r>
      <w:r>
        <w:rPr>
          <w:rFonts w:hint="eastAsia" w:ascii="宋体" w:hAnsi="宋体" w:cs="宋体"/>
          <w:color w:val="000000"/>
          <w:sz w:val="21"/>
          <w:szCs w:val="21"/>
          <w:u w:val="single"/>
        </w:rPr>
        <w:t xml:space="preserve">  / </w:t>
      </w:r>
      <w:r>
        <w:rPr>
          <w:rFonts w:hint="eastAsia" w:ascii="宋体" w:hAnsi="宋体" w:cs="宋体"/>
          <w:color w:val="000000"/>
          <w:sz w:val="21"/>
          <w:szCs w:val="21"/>
        </w:rPr>
        <w:t>。</w:t>
      </w:r>
    </w:p>
    <w:p w14:paraId="1F731447">
      <w:pPr>
        <w:pageBreakBefore w:val="0"/>
        <w:kinsoku/>
        <w:wordWrap/>
        <w:overflowPunct/>
        <w:topLinePunct w:val="0"/>
        <w:bidi w:val="0"/>
        <w:adjustRightInd w:val="0"/>
        <w:snapToGrid/>
        <w:spacing w:line="440" w:lineRule="exact"/>
        <w:ind w:left="420" w:leftChars="200" w:right="420" w:rightChars="200"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（2）因发包人原因未能按合同约定支付合同价款的违约责任：</w:t>
      </w:r>
      <w:r>
        <w:rPr>
          <w:rFonts w:hint="eastAsia" w:ascii="宋体" w:hAnsi="宋体" w:cs="宋体"/>
          <w:color w:val="000000"/>
          <w:sz w:val="21"/>
          <w:szCs w:val="21"/>
          <w:u w:val="single"/>
        </w:rPr>
        <w:t xml:space="preserve">/    </w:t>
      </w:r>
      <w:r>
        <w:rPr>
          <w:rFonts w:hint="eastAsia" w:ascii="宋体" w:hAnsi="宋体" w:cs="宋体"/>
          <w:color w:val="000000"/>
          <w:sz w:val="21"/>
          <w:szCs w:val="21"/>
        </w:rPr>
        <w:t>。</w:t>
      </w:r>
    </w:p>
    <w:p w14:paraId="55657B07">
      <w:pPr>
        <w:pageBreakBefore w:val="0"/>
        <w:kinsoku/>
        <w:wordWrap/>
        <w:overflowPunct/>
        <w:topLinePunct w:val="0"/>
        <w:bidi w:val="0"/>
        <w:adjustRightInd w:val="0"/>
        <w:snapToGrid/>
        <w:spacing w:line="440" w:lineRule="exact"/>
        <w:ind w:left="420" w:leftChars="200" w:right="420" w:rightChars="200"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（3）发包人违反第10.1款〔变更的范围〕第（2）项约定，自行实施被取消的工作或转由他人实施的违约责任：</w:t>
      </w:r>
      <w:r>
        <w:rPr>
          <w:rFonts w:hint="eastAsia" w:ascii="宋体" w:hAnsi="宋体" w:cs="宋体"/>
          <w:color w:val="000000"/>
          <w:sz w:val="21"/>
          <w:szCs w:val="21"/>
          <w:u w:val="single"/>
        </w:rPr>
        <w:t xml:space="preserve">      /      </w:t>
      </w:r>
      <w:r>
        <w:rPr>
          <w:rFonts w:hint="eastAsia" w:ascii="宋体" w:hAnsi="宋体" w:cs="宋体"/>
          <w:color w:val="000000"/>
          <w:sz w:val="21"/>
          <w:szCs w:val="21"/>
        </w:rPr>
        <w:t>。</w:t>
      </w:r>
    </w:p>
    <w:p w14:paraId="600E62E1">
      <w:pPr>
        <w:pageBreakBefore w:val="0"/>
        <w:kinsoku/>
        <w:wordWrap/>
        <w:overflowPunct/>
        <w:topLinePunct w:val="0"/>
        <w:bidi w:val="0"/>
        <w:adjustRightInd w:val="0"/>
        <w:snapToGrid/>
        <w:spacing w:line="440" w:lineRule="exact"/>
        <w:ind w:left="420" w:leftChars="200" w:right="420" w:rightChars="200"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（4）发包人提供的材料、工程设备的规格、数量或质量不符合合同约定，或因发包人原因导致交货日期延误或交货地点变更等情况的违约责任：</w:t>
      </w:r>
      <w:r>
        <w:rPr>
          <w:rFonts w:hint="eastAsia" w:ascii="宋体" w:hAnsi="宋体" w:cs="宋体"/>
          <w:color w:val="000000"/>
          <w:sz w:val="21"/>
          <w:szCs w:val="21"/>
          <w:u w:val="single"/>
        </w:rPr>
        <w:t xml:space="preserve">     /       </w:t>
      </w:r>
      <w:r>
        <w:rPr>
          <w:rFonts w:hint="eastAsia" w:ascii="宋体" w:hAnsi="宋体" w:cs="宋体"/>
          <w:color w:val="000000"/>
          <w:sz w:val="21"/>
          <w:szCs w:val="21"/>
        </w:rPr>
        <w:t>。</w:t>
      </w:r>
    </w:p>
    <w:p w14:paraId="2F895A04">
      <w:pPr>
        <w:pageBreakBefore w:val="0"/>
        <w:kinsoku/>
        <w:wordWrap/>
        <w:overflowPunct/>
        <w:topLinePunct w:val="0"/>
        <w:bidi w:val="0"/>
        <w:adjustRightInd w:val="0"/>
        <w:snapToGrid/>
        <w:spacing w:line="440" w:lineRule="exact"/>
        <w:ind w:left="420" w:leftChars="200" w:right="420" w:rightChars="200" w:firstLine="315" w:firstLineChars="150"/>
        <w:jc w:val="left"/>
        <w:textAlignment w:val="auto"/>
        <w:rPr>
          <w:rFonts w:hint="eastAsia" w:ascii="宋体" w:hAnsi="宋体" w:cs="宋体"/>
          <w:color w:val="000000"/>
          <w:sz w:val="21"/>
          <w:szCs w:val="21"/>
        </w:rPr>
      </w:pPr>
      <w:r>
        <w:rPr>
          <w:rFonts w:hint="eastAsia" w:ascii="宋体" w:hAnsi="宋体" w:cs="宋体"/>
          <w:color w:val="000000"/>
          <w:sz w:val="21"/>
          <w:szCs w:val="21"/>
        </w:rPr>
        <w:t>（5）因发包人违反合同约定造成暂停施工的违约责任：</w:t>
      </w:r>
      <w:r>
        <w:rPr>
          <w:rFonts w:hint="eastAsia" w:ascii="宋体" w:hAnsi="宋体" w:cs="宋体"/>
          <w:color w:val="000000"/>
          <w:sz w:val="21"/>
          <w:szCs w:val="21"/>
          <w:u w:val="single"/>
        </w:rPr>
        <w:t xml:space="preserve">    /   </w:t>
      </w:r>
      <w:r>
        <w:rPr>
          <w:rFonts w:hint="eastAsia" w:ascii="宋体" w:hAnsi="宋体" w:cs="宋体"/>
          <w:color w:val="000000"/>
          <w:sz w:val="21"/>
          <w:szCs w:val="21"/>
        </w:rPr>
        <w:t>。</w:t>
      </w:r>
    </w:p>
    <w:p w14:paraId="44FFFB9E">
      <w:pPr>
        <w:pageBreakBefore w:val="0"/>
        <w:kinsoku/>
        <w:wordWrap/>
        <w:overflowPunct/>
        <w:topLinePunct w:val="0"/>
        <w:bidi w:val="0"/>
        <w:adjustRightInd w:val="0"/>
        <w:snapToGrid/>
        <w:spacing w:line="440" w:lineRule="exact"/>
        <w:ind w:left="420" w:leftChars="200" w:right="420" w:rightChars="200"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（6）发包人无正当理由没有在约定期限内发出复工指示，导致承包人无法复工的违约责任：</w:t>
      </w:r>
      <w:r>
        <w:rPr>
          <w:rFonts w:hint="eastAsia" w:ascii="宋体" w:hAnsi="宋体" w:cs="宋体"/>
          <w:color w:val="000000"/>
          <w:sz w:val="21"/>
          <w:szCs w:val="21"/>
          <w:u w:val="single"/>
        </w:rPr>
        <w:t xml:space="preserve">               /                </w:t>
      </w:r>
      <w:r>
        <w:rPr>
          <w:rFonts w:hint="eastAsia" w:ascii="宋体" w:hAnsi="宋体" w:cs="宋体"/>
          <w:color w:val="000000"/>
          <w:sz w:val="21"/>
          <w:szCs w:val="21"/>
        </w:rPr>
        <w:t>。</w:t>
      </w:r>
    </w:p>
    <w:p w14:paraId="30CE9203">
      <w:pPr>
        <w:pageBreakBefore w:val="0"/>
        <w:kinsoku/>
        <w:wordWrap/>
        <w:overflowPunct/>
        <w:topLinePunct w:val="0"/>
        <w:bidi w:val="0"/>
        <w:adjustRightInd w:val="0"/>
        <w:snapToGrid/>
        <w:spacing w:line="440" w:lineRule="exact"/>
        <w:ind w:left="420" w:leftChars="200" w:right="420" w:rightChars="200"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（7）其他：</w:t>
      </w:r>
      <w:r>
        <w:rPr>
          <w:rFonts w:hint="eastAsia" w:ascii="宋体" w:hAnsi="宋体" w:cs="宋体"/>
          <w:color w:val="000000"/>
          <w:sz w:val="21"/>
          <w:szCs w:val="21"/>
          <w:u w:val="single"/>
        </w:rPr>
        <w:t xml:space="preserve">                   /                       </w:t>
      </w:r>
      <w:r>
        <w:rPr>
          <w:rFonts w:hint="eastAsia" w:ascii="宋体" w:hAnsi="宋体" w:cs="宋体"/>
          <w:color w:val="000000"/>
          <w:sz w:val="21"/>
          <w:szCs w:val="21"/>
        </w:rPr>
        <w:t>。</w:t>
      </w:r>
    </w:p>
    <w:p w14:paraId="7D44C6CD">
      <w:pPr>
        <w:pageBreakBefore w:val="0"/>
        <w:kinsoku/>
        <w:wordWrap/>
        <w:overflowPunct/>
        <w:topLinePunct w:val="0"/>
        <w:bidi w:val="0"/>
        <w:adjustRightInd w:val="0"/>
        <w:snapToGrid/>
        <w:spacing w:line="440" w:lineRule="exact"/>
        <w:ind w:left="420" w:leftChars="200" w:right="420" w:rightChars="200"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16.1.3 因发包人违约解除合同</w:t>
      </w:r>
    </w:p>
    <w:p w14:paraId="087A37C3">
      <w:pPr>
        <w:pageBreakBefore w:val="0"/>
        <w:kinsoku/>
        <w:wordWrap/>
        <w:overflowPunct/>
        <w:topLinePunct w:val="0"/>
        <w:autoSpaceDE w:val="0"/>
        <w:autoSpaceDN w:val="0"/>
        <w:bidi w:val="0"/>
        <w:adjustRightInd w:val="0"/>
        <w:snapToGrid/>
        <w:spacing w:line="440" w:lineRule="exact"/>
        <w:ind w:left="420" w:leftChars="200" w:right="420" w:rightChars="200"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承包人按16.1.1项〔发包人违约的情形〕约定暂停施工满</w:t>
      </w:r>
      <w:r>
        <w:rPr>
          <w:rFonts w:hint="eastAsia" w:ascii="宋体" w:hAnsi="宋体" w:cs="宋体"/>
          <w:color w:val="000000"/>
          <w:sz w:val="21"/>
          <w:szCs w:val="21"/>
          <w:u w:val="single"/>
        </w:rPr>
        <w:t xml:space="preserve"> 28 </w:t>
      </w:r>
      <w:r>
        <w:rPr>
          <w:rFonts w:hint="eastAsia" w:ascii="宋体" w:hAnsi="宋体" w:cs="宋体"/>
          <w:color w:val="000000"/>
          <w:sz w:val="21"/>
          <w:szCs w:val="21"/>
        </w:rPr>
        <w:t>天后发包人仍不纠正其违约行为并致使合同目的不能实现的，承包人有权解除合同。</w:t>
      </w:r>
    </w:p>
    <w:p w14:paraId="054DC1D5">
      <w:pPr>
        <w:pageBreakBefore w:val="0"/>
        <w:kinsoku/>
        <w:wordWrap/>
        <w:overflowPunct/>
        <w:topLinePunct w:val="0"/>
        <w:bidi w:val="0"/>
        <w:adjustRightInd w:val="0"/>
        <w:snapToGrid/>
        <w:spacing w:line="440" w:lineRule="exact"/>
        <w:ind w:left="420" w:leftChars="200" w:right="420" w:rightChars="200"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16.2 承包人违约</w:t>
      </w:r>
    </w:p>
    <w:p w14:paraId="2EF19261">
      <w:pPr>
        <w:pageBreakBefore w:val="0"/>
        <w:kinsoku/>
        <w:wordWrap/>
        <w:overflowPunct/>
        <w:topLinePunct w:val="0"/>
        <w:bidi w:val="0"/>
        <w:adjustRightInd w:val="0"/>
        <w:snapToGrid/>
        <w:spacing w:line="440" w:lineRule="exact"/>
        <w:ind w:left="420" w:leftChars="200" w:right="420" w:rightChars="200"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16.2.1 承包人违约的情形、承担方式和计算方法</w:t>
      </w:r>
    </w:p>
    <w:p w14:paraId="511FD986">
      <w:pPr>
        <w:pageBreakBefore w:val="0"/>
        <w:kinsoku/>
        <w:wordWrap/>
        <w:overflowPunct/>
        <w:topLinePunct w:val="0"/>
        <w:bidi w:val="0"/>
        <w:adjustRightInd w:val="0"/>
        <w:snapToGrid/>
        <w:spacing w:line="440" w:lineRule="exact"/>
        <w:ind w:left="420" w:leftChars="200" w:right="420" w:rightChars="200" w:firstLine="315" w:firstLineChars="150"/>
        <w:jc w:val="left"/>
        <w:textAlignment w:val="auto"/>
        <w:rPr>
          <w:rFonts w:hint="eastAsia" w:ascii="宋体" w:hAnsi="宋体" w:cs="宋体"/>
          <w:color w:val="000000"/>
          <w:sz w:val="21"/>
          <w:szCs w:val="21"/>
        </w:rPr>
      </w:pPr>
      <w:r>
        <w:rPr>
          <w:rFonts w:hint="eastAsia" w:ascii="宋体" w:hAnsi="宋体" w:cs="宋体"/>
          <w:color w:val="000000"/>
          <w:sz w:val="21"/>
          <w:szCs w:val="21"/>
        </w:rPr>
        <w:t>（1）发生下列情况之一，视作承包人违约，并承担相应金额违约金，违约金从工程款中扣除。</w:t>
      </w:r>
    </w:p>
    <w:p w14:paraId="697A947A">
      <w:pPr>
        <w:pageBreakBefore w:val="0"/>
        <w:kinsoku/>
        <w:wordWrap/>
        <w:overflowPunct/>
        <w:topLinePunct w:val="0"/>
        <w:bidi w:val="0"/>
        <w:adjustRightInd w:val="0"/>
        <w:snapToGrid/>
        <w:spacing w:line="440" w:lineRule="exact"/>
        <w:ind w:left="420" w:leftChars="200" w:right="420" w:rightChars="200" w:firstLine="315" w:firstLineChars="150"/>
        <w:jc w:val="left"/>
        <w:textAlignment w:val="auto"/>
        <w:rPr>
          <w:rFonts w:hint="eastAsia" w:ascii="宋体" w:hAnsi="宋体" w:cs="宋体"/>
          <w:color w:val="000000"/>
          <w:sz w:val="21"/>
          <w:szCs w:val="21"/>
        </w:rPr>
      </w:pPr>
      <w:r>
        <w:rPr>
          <w:rFonts w:hint="eastAsia" w:ascii="宋体" w:hAnsi="宋体" w:cs="宋体"/>
          <w:color w:val="000000"/>
          <w:sz w:val="21"/>
          <w:szCs w:val="21"/>
        </w:rPr>
        <w:t>①未达到工程质量验收合格标准违约金为中标价的2.5%</w:t>
      </w:r>
    </w:p>
    <w:p w14:paraId="1FF06D5E">
      <w:pPr>
        <w:pageBreakBefore w:val="0"/>
        <w:kinsoku/>
        <w:wordWrap/>
        <w:overflowPunct/>
        <w:topLinePunct w:val="0"/>
        <w:bidi w:val="0"/>
        <w:adjustRightInd w:val="0"/>
        <w:snapToGrid/>
        <w:spacing w:line="440" w:lineRule="exact"/>
        <w:ind w:left="420" w:leftChars="200" w:right="420" w:rightChars="200" w:firstLine="315" w:firstLineChars="150"/>
        <w:jc w:val="left"/>
        <w:textAlignment w:val="auto"/>
        <w:rPr>
          <w:rFonts w:hint="eastAsia" w:ascii="宋体" w:hAnsi="宋体" w:cs="宋体"/>
          <w:color w:val="000000"/>
          <w:sz w:val="21"/>
          <w:szCs w:val="21"/>
        </w:rPr>
      </w:pPr>
      <w:r>
        <w:rPr>
          <w:rFonts w:hint="eastAsia" w:ascii="宋体" w:hAnsi="宋体" w:cs="宋体"/>
          <w:color w:val="000000"/>
          <w:sz w:val="21"/>
          <w:szCs w:val="21"/>
        </w:rPr>
        <w:t>②未履行安全文明施工承诺违约金为中标价的2.5%</w:t>
      </w:r>
    </w:p>
    <w:p w14:paraId="70E7904E">
      <w:pPr>
        <w:pageBreakBefore w:val="0"/>
        <w:kinsoku/>
        <w:wordWrap/>
        <w:overflowPunct/>
        <w:topLinePunct w:val="0"/>
        <w:bidi w:val="0"/>
        <w:adjustRightInd w:val="0"/>
        <w:snapToGrid/>
        <w:spacing w:line="440" w:lineRule="exact"/>
        <w:ind w:left="420" w:leftChars="200" w:right="420" w:rightChars="200" w:firstLine="315" w:firstLineChars="150"/>
        <w:jc w:val="left"/>
        <w:textAlignment w:val="auto"/>
        <w:rPr>
          <w:rFonts w:hint="eastAsia" w:ascii="宋体" w:hAnsi="宋体" w:cs="宋体"/>
          <w:color w:val="000000"/>
          <w:sz w:val="21"/>
          <w:szCs w:val="21"/>
        </w:rPr>
      </w:pPr>
      <w:r>
        <w:rPr>
          <w:rFonts w:hint="eastAsia" w:ascii="宋体" w:hAnsi="宋体" w:cs="宋体"/>
          <w:color w:val="000000"/>
          <w:sz w:val="21"/>
          <w:szCs w:val="21"/>
        </w:rPr>
        <w:t>③主要机械设备：未履行按竞包文件配备施工所需的主要机械设备到场承诺的，承担违约金为中标价1%；</w:t>
      </w:r>
    </w:p>
    <w:p w14:paraId="4A149CD3">
      <w:pPr>
        <w:pageBreakBefore w:val="0"/>
        <w:kinsoku/>
        <w:wordWrap/>
        <w:overflowPunct/>
        <w:topLinePunct w:val="0"/>
        <w:bidi w:val="0"/>
        <w:adjustRightInd w:val="0"/>
        <w:snapToGrid/>
        <w:spacing w:line="440" w:lineRule="exact"/>
        <w:ind w:left="420" w:leftChars="200" w:right="420" w:rightChars="200" w:firstLine="315" w:firstLineChars="150"/>
        <w:jc w:val="left"/>
        <w:textAlignment w:val="auto"/>
        <w:rPr>
          <w:rFonts w:hint="eastAsia" w:ascii="宋体" w:hAnsi="宋体" w:cs="宋体"/>
          <w:color w:val="000000"/>
          <w:sz w:val="21"/>
          <w:szCs w:val="21"/>
        </w:rPr>
      </w:pPr>
      <w:r>
        <w:rPr>
          <w:rFonts w:hint="eastAsia" w:ascii="宋体" w:hAnsi="宋体" w:cs="宋体"/>
          <w:color w:val="000000"/>
          <w:sz w:val="21"/>
          <w:szCs w:val="21"/>
        </w:rPr>
        <w:t>（2）发生下列情况之一，视作承包人违约:实际施工期到位率以监理和发包人当月统计情况为准，违约金从月报工程款中扣除。</w:t>
      </w:r>
    </w:p>
    <w:p w14:paraId="2CEEFCE0">
      <w:pPr>
        <w:pageBreakBefore w:val="0"/>
        <w:kinsoku/>
        <w:wordWrap/>
        <w:overflowPunct/>
        <w:topLinePunct w:val="0"/>
        <w:bidi w:val="0"/>
        <w:adjustRightInd w:val="0"/>
        <w:snapToGrid/>
        <w:spacing w:line="440" w:lineRule="exact"/>
        <w:ind w:left="420" w:leftChars="200" w:right="420" w:rightChars="200" w:firstLine="420" w:firstLineChars="200"/>
        <w:textAlignment w:val="auto"/>
        <w:rPr>
          <w:rFonts w:hint="eastAsia" w:ascii="宋体" w:hAnsi="宋体"/>
          <w:color w:val="000000"/>
          <w:kern w:val="0"/>
          <w:sz w:val="21"/>
          <w:szCs w:val="21"/>
        </w:rPr>
      </w:pPr>
      <w:r>
        <w:rPr>
          <w:rFonts w:hint="eastAsia" w:ascii="宋体" w:hAnsi="宋体" w:cs="宋体"/>
          <w:color w:val="000000"/>
          <w:sz w:val="21"/>
          <w:szCs w:val="21"/>
        </w:rPr>
        <w:t>1、未履行项目经理及项目部关键岗位人员月实际施工期到场承诺违约金</w:t>
      </w:r>
      <w:r>
        <w:rPr>
          <w:rFonts w:hint="eastAsia" w:ascii="宋体" w:hAnsi="宋体" w:cs="宋体"/>
          <w:color w:val="000000"/>
          <w:sz w:val="21"/>
          <w:szCs w:val="21"/>
          <w:u w:val="single"/>
        </w:rPr>
        <w:t>1000</w:t>
      </w:r>
      <w:r>
        <w:rPr>
          <w:rFonts w:hint="eastAsia" w:ascii="宋体" w:hAnsi="宋体" w:cs="宋体"/>
          <w:color w:val="000000"/>
          <w:sz w:val="21"/>
          <w:szCs w:val="21"/>
        </w:rPr>
        <w:t>元/人/天。</w:t>
      </w:r>
    </w:p>
    <w:p w14:paraId="529EEAB4">
      <w:pPr>
        <w:pageBreakBefore w:val="0"/>
        <w:kinsoku/>
        <w:wordWrap/>
        <w:overflowPunct/>
        <w:topLinePunct w:val="0"/>
        <w:bidi w:val="0"/>
        <w:adjustRightInd w:val="0"/>
        <w:snapToGrid/>
        <w:spacing w:line="440" w:lineRule="exact"/>
        <w:ind w:left="420" w:leftChars="200" w:right="420" w:rightChars="200" w:firstLine="420" w:firstLineChars="200"/>
        <w:textAlignment w:val="auto"/>
        <w:rPr>
          <w:rFonts w:hint="eastAsia" w:ascii="宋体" w:hAnsi="宋体"/>
          <w:color w:val="000000"/>
          <w:kern w:val="0"/>
          <w:sz w:val="21"/>
          <w:szCs w:val="21"/>
        </w:rPr>
      </w:pPr>
      <w:r>
        <w:rPr>
          <w:rFonts w:hint="eastAsia" w:ascii="宋体" w:hAnsi="宋体"/>
          <w:color w:val="000000"/>
          <w:kern w:val="0"/>
          <w:sz w:val="21"/>
          <w:szCs w:val="21"/>
        </w:rPr>
        <w:t>2、承包人擅自更换项目负责人违约金</w:t>
      </w:r>
      <w:r>
        <w:rPr>
          <w:rFonts w:hint="eastAsia" w:ascii="宋体" w:hAnsi="宋体"/>
          <w:color w:val="000000"/>
          <w:kern w:val="0"/>
          <w:sz w:val="21"/>
          <w:szCs w:val="21"/>
          <w:u w:val="single"/>
        </w:rPr>
        <w:t>10000</w:t>
      </w:r>
      <w:r>
        <w:rPr>
          <w:rFonts w:hint="eastAsia" w:ascii="宋体" w:hAnsi="宋体"/>
          <w:color w:val="000000"/>
          <w:kern w:val="0"/>
          <w:sz w:val="21"/>
          <w:szCs w:val="21"/>
        </w:rPr>
        <w:t>元/次。</w:t>
      </w:r>
    </w:p>
    <w:p w14:paraId="60EDE3C4">
      <w:pPr>
        <w:pageBreakBefore w:val="0"/>
        <w:kinsoku/>
        <w:wordWrap/>
        <w:overflowPunct/>
        <w:topLinePunct w:val="0"/>
        <w:bidi w:val="0"/>
        <w:adjustRightInd w:val="0"/>
        <w:snapToGrid/>
        <w:spacing w:line="440" w:lineRule="exact"/>
        <w:ind w:left="420" w:leftChars="200" w:right="420" w:rightChars="200" w:firstLine="315" w:firstLineChars="150"/>
        <w:jc w:val="left"/>
        <w:textAlignment w:val="auto"/>
        <w:rPr>
          <w:rFonts w:hint="eastAsia" w:ascii="宋体" w:hAnsi="宋体"/>
          <w:color w:val="000000"/>
          <w:kern w:val="0"/>
          <w:sz w:val="21"/>
          <w:szCs w:val="21"/>
        </w:rPr>
      </w:pPr>
      <w:r>
        <w:rPr>
          <w:rFonts w:hint="eastAsia" w:ascii="宋体" w:hAnsi="宋体"/>
          <w:color w:val="000000"/>
          <w:kern w:val="0"/>
          <w:sz w:val="21"/>
          <w:szCs w:val="21"/>
        </w:rPr>
        <w:t xml:space="preserve"> 3、承包人擅自更换项目部其余关键岗位人员违约金</w:t>
      </w:r>
      <w:r>
        <w:rPr>
          <w:rFonts w:hint="eastAsia" w:ascii="宋体" w:hAnsi="宋体"/>
          <w:color w:val="000000"/>
          <w:kern w:val="0"/>
          <w:sz w:val="21"/>
          <w:szCs w:val="21"/>
          <w:u w:val="single"/>
        </w:rPr>
        <w:t>5000</w:t>
      </w:r>
      <w:r>
        <w:rPr>
          <w:rFonts w:hint="eastAsia" w:ascii="宋体" w:hAnsi="宋体"/>
          <w:color w:val="000000"/>
          <w:kern w:val="0"/>
          <w:sz w:val="21"/>
          <w:szCs w:val="21"/>
        </w:rPr>
        <w:t>元/人/次。</w:t>
      </w:r>
    </w:p>
    <w:p w14:paraId="06F3EF2F">
      <w:pPr>
        <w:pageBreakBefore w:val="0"/>
        <w:kinsoku/>
        <w:wordWrap/>
        <w:overflowPunct/>
        <w:topLinePunct w:val="0"/>
        <w:bidi w:val="0"/>
        <w:adjustRightInd w:val="0"/>
        <w:snapToGrid/>
        <w:spacing w:line="440" w:lineRule="exact"/>
        <w:ind w:left="420" w:leftChars="200" w:right="420" w:rightChars="200"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16.2.3 因承包人违约解除合同</w:t>
      </w:r>
    </w:p>
    <w:p w14:paraId="5A06C513">
      <w:pPr>
        <w:pageBreakBefore w:val="0"/>
        <w:kinsoku/>
        <w:wordWrap/>
        <w:overflowPunct/>
        <w:topLinePunct w:val="0"/>
        <w:bidi w:val="0"/>
        <w:adjustRightInd w:val="0"/>
        <w:snapToGrid/>
        <w:spacing w:line="440" w:lineRule="exact"/>
        <w:ind w:left="420" w:leftChars="200" w:right="420" w:rightChars="200"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关于承包人违约解除合同的特别约定：</w:t>
      </w:r>
      <w:r>
        <w:rPr>
          <w:rFonts w:hint="eastAsia" w:ascii="宋体" w:hAnsi="宋体" w:cs="宋体"/>
          <w:color w:val="000000"/>
          <w:sz w:val="21"/>
          <w:szCs w:val="21"/>
          <w:u w:val="single"/>
        </w:rPr>
        <w:t xml:space="preserve">       /           </w:t>
      </w:r>
      <w:r>
        <w:rPr>
          <w:rFonts w:hint="eastAsia" w:ascii="宋体" w:hAnsi="宋体" w:cs="宋体"/>
          <w:color w:val="000000"/>
          <w:sz w:val="21"/>
          <w:szCs w:val="21"/>
        </w:rPr>
        <w:t>。</w:t>
      </w:r>
    </w:p>
    <w:p w14:paraId="17943A0C">
      <w:pPr>
        <w:pageBreakBefore w:val="0"/>
        <w:kinsoku/>
        <w:wordWrap/>
        <w:overflowPunct/>
        <w:topLinePunct w:val="0"/>
        <w:bidi w:val="0"/>
        <w:adjustRightInd w:val="0"/>
        <w:snapToGrid/>
        <w:spacing w:line="440" w:lineRule="exact"/>
        <w:ind w:left="420" w:leftChars="200" w:right="420" w:rightChars="200"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发包人继续使用承包人在施工现场的材料、设备、临时工程、承包人文件和由承包人或以其名义编制的其他文件的费用承担方式：</w:t>
      </w:r>
      <w:r>
        <w:rPr>
          <w:rFonts w:hint="eastAsia" w:ascii="宋体" w:hAnsi="宋体" w:cs="宋体"/>
          <w:color w:val="000000"/>
          <w:sz w:val="21"/>
          <w:szCs w:val="21"/>
          <w:u w:val="single"/>
        </w:rPr>
        <w:t>产生的费用未超过承包人应承担的违约赔偿限额的，由承包人承担；产生的费用超出承包人应承担的违约赔偿限额部分，由发包人承担</w:t>
      </w:r>
      <w:r>
        <w:rPr>
          <w:rFonts w:hint="eastAsia" w:ascii="宋体" w:hAnsi="宋体" w:cs="宋体"/>
          <w:color w:val="000000"/>
          <w:sz w:val="21"/>
          <w:szCs w:val="21"/>
        </w:rPr>
        <w:t>。</w:t>
      </w:r>
    </w:p>
    <w:p w14:paraId="36D3FE53">
      <w:pPr>
        <w:pStyle w:val="6"/>
        <w:pageBreakBefore w:val="0"/>
        <w:numPr>
          <w:ilvl w:val="3"/>
          <w:numId w:val="0"/>
        </w:numPr>
        <w:kinsoku/>
        <w:wordWrap/>
        <w:overflowPunct/>
        <w:topLinePunct w:val="0"/>
        <w:bidi w:val="0"/>
        <w:adjustRightInd w:val="0"/>
        <w:snapToGrid/>
        <w:spacing w:before="0" w:after="0" w:line="440" w:lineRule="exact"/>
        <w:ind w:left="420" w:leftChars="200" w:right="420" w:rightChars="200"/>
        <w:textAlignment w:val="auto"/>
        <w:rPr>
          <w:rFonts w:hint="eastAsia" w:ascii="宋体" w:hAnsi="宋体" w:eastAsia="宋体" w:cs="宋体"/>
          <w:b w:val="0"/>
          <w:color w:val="000000"/>
          <w:sz w:val="21"/>
          <w:szCs w:val="21"/>
        </w:rPr>
      </w:pPr>
      <w:bookmarkStart w:id="966" w:name="_Toc351203649"/>
      <w:bookmarkStart w:id="967" w:name="_Toc386638623"/>
      <w:r>
        <w:rPr>
          <w:rFonts w:hint="eastAsia" w:ascii="宋体" w:hAnsi="宋体" w:eastAsia="宋体" w:cs="宋体"/>
          <w:b w:val="0"/>
          <w:color w:val="000000"/>
          <w:sz w:val="21"/>
          <w:szCs w:val="21"/>
        </w:rPr>
        <w:t>17. 不可抗力</w:t>
      </w:r>
      <w:bookmarkEnd w:id="966"/>
      <w:bookmarkEnd w:id="967"/>
      <w:r>
        <w:rPr>
          <w:rFonts w:hint="eastAsia" w:ascii="宋体" w:hAnsi="宋体" w:eastAsia="宋体" w:cs="宋体"/>
          <w:b w:val="0"/>
          <w:color w:val="000000"/>
          <w:sz w:val="21"/>
          <w:szCs w:val="21"/>
        </w:rPr>
        <w:t xml:space="preserve"> </w:t>
      </w:r>
      <w:bookmarkEnd w:id="964"/>
    </w:p>
    <w:p w14:paraId="54DC1338">
      <w:pPr>
        <w:pageBreakBefore w:val="0"/>
        <w:kinsoku/>
        <w:wordWrap/>
        <w:overflowPunct/>
        <w:topLinePunct w:val="0"/>
        <w:bidi w:val="0"/>
        <w:adjustRightInd w:val="0"/>
        <w:snapToGrid/>
        <w:spacing w:line="440" w:lineRule="exact"/>
        <w:ind w:left="420" w:leftChars="200" w:right="420" w:rightChars="200"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17.1 不可抗力的确认</w:t>
      </w:r>
    </w:p>
    <w:p w14:paraId="1282E810">
      <w:pPr>
        <w:pageBreakBefore w:val="0"/>
        <w:kinsoku/>
        <w:wordWrap/>
        <w:overflowPunct/>
        <w:topLinePunct w:val="0"/>
        <w:bidi w:val="0"/>
        <w:adjustRightInd w:val="0"/>
        <w:snapToGrid/>
        <w:spacing w:line="440" w:lineRule="exact"/>
        <w:ind w:left="420" w:leftChars="200" w:right="420" w:rightChars="200" w:firstLine="420" w:firstLineChars="200"/>
        <w:jc w:val="left"/>
        <w:textAlignment w:val="auto"/>
        <w:rPr>
          <w:rFonts w:hint="eastAsia" w:ascii="宋体" w:hAnsi="宋体" w:cs="宋体"/>
          <w:color w:val="000000"/>
          <w:sz w:val="21"/>
          <w:szCs w:val="21"/>
          <w:u w:val="single"/>
        </w:rPr>
      </w:pPr>
      <w:r>
        <w:rPr>
          <w:rFonts w:hint="eastAsia" w:ascii="宋体" w:hAnsi="宋体" w:cs="宋体"/>
          <w:color w:val="000000"/>
          <w:sz w:val="21"/>
          <w:szCs w:val="21"/>
        </w:rPr>
        <w:t>除通用合同条款约定的不可抗力事件之外，视为不可抗力的其他情形</w:t>
      </w:r>
      <w:r>
        <w:rPr>
          <w:rFonts w:hint="eastAsia" w:ascii="宋体" w:hAnsi="宋体" w:cs="宋体"/>
          <w:color w:val="000000"/>
          <w:sz w:val="21"/>
          <w:szCs w:val="21"/>
          <w:u w:val="single"/>
        </w:rPr>
        <w:t xml:space="preserve">： /  </w:t>
      </w:r>
      <w:r>
        <w:rPr>
          <w:rFonts w:hint="eastAsia" w:ascii="宋体" w:hAnsi="宋体" w:cs="宋体"/>
          <w:color w:val="000000"/>
          <w:sz w:val="21"/>
          <w:szCs w:val="21"/>
        </w:rPr>
        <w:t>。</w:t>
      </w:r>
    </w:p>
    <w:p w14:paraId="702F792A">
      <w:pPr>
        <w:pageBreakBefore w:val="0"/>
        <w:kinsoku/>
        <w:wordWrap/>
        <w:overflowPunct/>
        <w:topLinePunct w:val="0"/>
        <w:bidi w:val="0"/>
        <w:adjustRightInd w:val="0"/>
        <w:snapToGrid/>
        <w:spacing w:line="440" w:lineRule="exact"/>
        <w:ind w:left="420" w:leftChars="200" w:right="420" w:rightChars="200"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17.4 因不可抗力解除合同</w:t>
      </w:r>
    </w:p>
    <w:p w14:paraId="239A13CE">
      <w:pPr>
        <w:pageBreakBefore w:val="0"/>
        <w:kinsoku/>
        <w:wordWrap/>
        <w:overflowPunct/>
        <w:topLinePunct w:val="0"/>
        <w:bidi w:val="0"/>
        <w:adjustRightInd w:val="0"/>
        <w:snapToGrid/>
        <w:spacing w:line="440" w:lineRule="exact"/>
        <w:ind w:left="420" w:leftChars="200" w:right="420" w:rightChars="200"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合同解除后，发包人应在商定或确定发包人应支付款项后</w:t>
      </w:r>
      <w:r>
        <w:rPr>
          <w:rFonts w:hint="eastAsia" w:ascii="宋体" w:hAnsi="宋体" w:cs="宋体"/>
          <w:color w:val="000000"/>
          <w:sz w:val="21"/>
          <w:szCs w:val="21"/>
          <w:u w:val="single"/>
        </w:rPr>
        <w:t>28</w:t>
      </w:r>
      <w:r>
        <w:rPr>
          <w:rFonts w:hint="eastAsia" w:ascii="宋体" w:hAnsi="宋体" w:cs="宋体"/>
          <w:color w:val="000000"/>
          <w:sz w:val="21"/>
          <w:szCs w:val="21"/>
        </w:rPr>
        <w:t>天内完成款项的支付。</w:t>
      </w:r>
    </w:p>
    <w:p w14:paraId="1F1241EA">
      <w:pPr>
        <w:pStyle w:val="6"/>
        <w:pageBreakBefore w:val="0"/>
        <w:numPr>
          <w:ilvl w:val="3"/>
          <w:numId w:val="0"/>
        </w:numPr>
        <w:kinsoku/>
        <w:wordWrap/>
        <w:overflowPunct/>
        <w:topLinePunct w:val="0"/>
        <w:bidi w:val="0"/>
        <w:adjustRightInd w:val="0"/>
        <w:snapToGrid/>
        <w:spacing w:before="0" w:after="0" w:line="440" w:lineRule="exact"/>
        <w:ind w:left="420" w:leftChars="200" w:right="420" w:rightChars="200"/>
        <w:textAlignment w:val="auto"/>
        <w:rPr>
          <w:rFonts w:hint="eastAsia" w:ascii="宋体" w:hAnsi="宋体" w:eastAsia="宋体" w:cs="宋体"/>
          <w:b w:val="0"/>
          <w:color w:val="000000"/>
          <w:sz w:val="21"/>
          <w:szCs w:val="21"/>
        </w:rPr>
      </w:pPr>
      <w:bookmarkStart w:id="968" w:name="_Toc351203650"/>
      <w:bookmarkStart w:id="969" w:name="_Toc386638624"/>
      <w:r>
        <w:rPr>
          <w:rFonts w:hint="eastAsia" w:ascii="宋体" w:hAnsi="宋体" w:eastAsia="宋体" w:cs="宋体"/>
          <w:b w:val="0"/>
          <w:color w:val="000000"/>
          <w:sz w:val="21"/>
          <w:szCs w:val="21"/>
        </w:rPr>
        <w:t>18. 保险</w:t>
      </w:r>
      <w:bookmarkEnd w:id="968"/>
      <w:bookmarkEnd w:id="969"/>
    </w:p>
    <w:bookmarkEnd w:id="940"/>
    <w:bookmarkEnd w:id="941"/>
    <w:bookmarkEnd w:id="942"/>
    <w:bookmarkEnd w:id="943"/>
    <w:bookmarkEnd w:id="944"/>
    <w:bookmarkEnd w:id="945"/>
    <w:bookmarkEnd w:id="946"/>
    <w:bookmarkEnd w:id="947"/>
    <w:bookmarkEnd w:id="948"/>
    <w:bookmarkEnd w:id="949"/>
    <w:bookmarkEnd w:id="950"/>
    <w:bookmarkEnd w:id="951"/>
    <w:bookmarkEnd w:id="965"/>
    <w:p w14:paraId="10A464CC">
      <w:pPr>
        <w:pageBreakBefore w:val="0"/>
        <w:kinsoku/>
        <w:wordWrap/>
        <w:overflowPunct/>
        <w:topLinePunct w:val="0"/>
        <w:bidi w:val="0"/>
        <w:adjustRightInd w:val="0"/>
        <w:snapToGrid/>
        <w:spacing w:line="440" w:lineRule="exact"/>
        <w:ind w:left="420" w:leftChars="200" w:right="420" w:rightChars="200" w:firstLine="420" w:firstLineChars="200"/>
        <w:textAlignment w:val="auto"/>
        <w:rPr>
          <w:rFonts w:ascii="宋体" w:hAnsi="宋体"/>
          <w:sz w:val="21"/>
          <w:szCs w:val="21"/>
        </w:rPr>
      </w:pPr>
      <w:bookmarkStart w:id="970" w:name="_Toc351203651"/>
      <w:bookmarkStart w:id="971" w:name="_Toc386638625"/>
      <w:r>
        <w:rPr>
          <w:rFonts w:ascii="宋体" w:hAnsi="宋体"/>
          <w:sz w:val="21"/>
          <w:szCs w:val="21"/>
        </w:rPr>
        <w:t>18.1 工程保险</w:t>
      </w:r>
    </w:p>
    <w:p w14:paraId="64806113">
      <w:pPr>
        <w:pageBreakBefore w:val="0"/>
        <w:kinsoku/>
        <w:wordWrap/>
        <w:overflowPunct/>
        <w:topLinePunct w:val="0"/>
        <w:bidi w:val="0"/>
        <w:adjustRightInd w:val="0"/>
        <w:snapToGrid/>
        <w:spacing w:line="440" w:lineRule="exact"/>
        <w:ind w:left="420" w:leftChars="200" w:right="420" w:rightChars="200" w:firstLine="420" w:firstLineChars="200"/>
        <w:jc w:val="left"/>
        <w:textAlignment w:val="auto"/>
        <w:rPr>
          <w:rFonts w:ascii="宋体" w:hAnsi="宋体"/>
          <w:sz w:val="21"/>
          <w:szCs w:val="21"/>
        </w:rPr>
      </w:pPr>
      <w:r>
        <w:rPr>
          <w:rFonts w:ascii="宋体" w:hAnsi="宋体"/>
          <w:sz w:val="21"/>
          <w:szCs w:val="21"/>
        </w:rPr>
        <w:t>关于工程保险的特别约定：</w:t>
      </w:r>
      <w:r>
        <w:rPr>
          <w:rFonts w:hint="eastAsia" w:ascii="宋体" w:hAnsi="宋体"/>
          <w:sz w:val="21"/>
          <w:szCs w:val="21"/>
          <w:u w:val="single"/>
        </w:rPr>
        <w:t>/</w:t>
      </w:r>
      <w:r>
        <w:rPr>
          <w:rFonts w:ascii="宋体" w:hAnsi="宋体"/>
          <w:kern w:val="0"/>
          <w:sz w:val="21"/>
          <w:szCs w:val="21"/>
        </w:rPr>
        <w:t>。</w:t>
      </w:r>
    </w:p>
    <w:p w14:paraId="01EE2116">
      <w:pPr>
        <w:pageBreakBefore w:val="0"/>
        <w:kinsoku/>
        <w:wordWrap/>
        <w:overflowPunct/>
        <w:topLinePunct w:val="0"/>
        <w:bidi w:val="0"/>
        <w:adjustRightInd w:val="0"/>
        <w:snapToGrid/>
        <w:spacing w:line="440" w:lineRule="exact"/>
        <w:ind w:left="420" w:leftChars="200" w:right="420" w:rightChars="200" w:firstLine="420" w:firstLineChars="200"/>
        <w:textAlignment w:val="auto"/>
        <w:rPr>
          <w:rFonts w:ascii="宋体" w:hAnsi="宋体"/>
          <w:sz w:val="21"/>
          <w:szCs w:val="21"/>
        </w:rPr>
      </w:pPr>
      <w:r>
        <w:rPr>
          <w:rFonts w:ascii="宋体" w:hAnsi="宋体"/>
          <w:sz w:val="21"/>
          <w:szCs w:val="21"/>
        </w:rPr>
        <w:t>18.3 其他保险</w:t>
      </w:r>
    </w:p>
    <w:p w14:paraId="6DC6C14A">
      <w:pPr>
        <w:pageBreakBefore w:val="0"/>
        <w:kinsoku/>
        <w:wordWrap/>
        <w:overflowPunct/>
        <w:topLinePunct w:val="0"/>
        <w:bidi w:val="0"/>
        <w:adjustRightInd w:val="0"/>
        <w:snapToGrid/>
        <w:spacing w:line="440" w:lineRule="exact"/>
        <w:ind w:left="420" w:leftChars="200" w:right="420" w:rightChars="200" w:firstLine="420" w:firstLineChars="200"/>
        <w:jc w:val="left"/>
        <w:textAlignment w:val="auto"/>
        <w:rPr>
          <w:rFonts w:ascii="宋体" w:hAnsi="宋体"/>
          <w:kern w:val="0"/>
          <w:sz w:val="21"/>
          <w:szCs w:val="21"/>
        </w:rPr>
      </w:pPr>
      <w:r>
        <w:rPr>
          <w:rFonts w:ascii="宋体" w:hAnsi="宋体"/>
          <w:sz w:val="21"/>
          <w:szCs w:val="21"/>
        </w:rPr>
        <w:t>关于其他保险的约定：</w:t>
      </w:r>
      <w:r>
        <w:rPr>
          <w:rFonts w:ascii="宋体" w:hAnsi="宋体"/>
          <w:kern w:val="0"/>
          <w:sz w:val="21"/>
          <w:szCs w:val="21"/>
          <w:u w:val="single"/>
        </w:rPr>
        <w:t xml:space="preserve"> </w:t>
      </w:r>
      <w:r>
        <w:rPr>
          <w:rFonts w:hint="eastAsia" w:ascii="宋体" w:hAnsi="宋体"/>
          <w:kern w:val="0"/>
          <w:sz w:val="21"/>
          <w:szCs w:val="21"/>
          <w:u w:val="single"/>
        </w:rPr>
        <w:t xml:space="preserve"> 民工工伤保险  </w:t>
      </w:r>
      <w:r>
        <w:rPr>
          <w:rFonts w:ascii="宋体" w:hAnsi="宋体"/>
          <w:kern w:val="0"/>
          <w:sz w:val="21"/>
          <w:szCs w:val="21"/>
          <w:u w:val="single"/>
        </w:rPr>
        <w:t xml:space="preserve"> </w:t>
      </w:r>
      <w:r>
        <w:rPr>
          <w:rFonts w:ascii="宋体" w:hAnsi="宋体"/>
          <w:kern w:val="0"/>
          <w:sz w:val="21"/>
          <w:szCs w:val="21"/>
        </w:rPr>
        <w:t>。</w:t>
      </w:r>
    </w:p>
    <w:p w14:paraId="719F123B">
      <w:pPr>
        <w:pageBreakBefore w:val="0"/>
        <w:kinsoku/>
        <w:wordWrap/>
        <w:overflowPunct/>
        <w:topLinePunct w:val="0"/>
        <w:bidi w:val="0"/>
        <w:adjustRightInd w:val="0"/>
        <w:snapToGrid/>
        <w:spacing w:line="440" w:lineRule="exact"/>
        <w:ind w:left="420" w:leftChars="200" w:right="420" w:rightChars="200" w:firstLine="420" w:firstLineChars="200"/>
        <w:jc w:val="left"/>
        <w:textAlignment w:val="auto"/>
        <w:rPr>
          <w:rFonts w:ascii="宋体" w:hAnsi="宋体"/>
          <w:kern w:val="0"/>
          <w:sz w:val="21"/>
          <w:szCs w:val="21"/>
        </w:rPr>
      </w:pPr>
      <w:r>
        <w:rPr>
          <w:rFonts w:ascii="宋体" w:hAnsi="宋体"/>
          <w:sz w:val="21"/>
          <w:szCs w:val="21"/>
        </w:rPr>
        <w:t>承包人是否应为其施工设备等办理财产保险：</w:t>
      </w:r>
      <w:r>
        <w:rPr>
          <w:rFonts w:hint="eastAsia" w:ascii="宋体" w:hAnsi="宋体"/>
          <w:sz w:val="21"/>
          <w:szCs w:val="21"/>
        </w:rPr>
        <w:t>承包人</w:t>
      </w:r>
      <w:r>
        <w:rPr>
          <w:rFonts w:hint="eastAsia" w:ascii="宋体" w:hAnsi="宋体"/>
          <w:sz w:val="21"/>
          <w:szCs w:val="21"/>
          <w:u w:val="single"/>
        </w:rPr>
        <w:t xml:space="preserve">  应当  </w:t>
      </w:r>
      <w:r>
        <w:rPr>
          <w:rFonts w:hint="eastAsia" w:ascii="宋体" w:hAnsi="宋体"/>
          <w:sz w:val="21"/>
          <w:szCs w:val="21"/>
        </w:rPr>
        <w:t>为其施工设备等办理财产保险</w:t>
      </w:r>
    </w:p>
    <w:p w14:paraId="450F68F6">
      <w:pPr>
        <w:pageBreakBefore w:val="0"/>
        <w:kinsoku/>
        <w:wordWrap/>
        <w:overflowPunct/>
        <w:topLinePunct w:val="0"/>
        <w:bidi w:val="0"/>
        <w:adjustRightInd w:val="0"/>
        <w:snapToGrid/>
        <w:spacing w:line="440" w:lineRule="exact"/>
        <w:ind w:left="420" w:leftChars="200" w:right="420" w:rightChars="200" w:firstLine="420" w:firstLineChars="200"/>
        <w:textAlignment w:val="auto"/>
        <w:rPr>
          <w:rFonts w:ascii="宋体" w:hAnsi="宋体"/>
          <w:sz w:val="21"/>
          <w:szCs w:val="21"/>
        </w:rPr>
      </w:pPr>
      <w:r>
        <w:rPr>
          <w:rFonts w:ascii="宋体" w:hAnsi="宋体"/>
          <w:sz w:val="21"/>
          <w:szCs w:val="21"/>
        </w:rPr>
        <w:t>18.7 通知义务</w:t>
      </w:r>
    </w:p>
    <w:p w14:paraId="7C0F0AC5">
      <w:pPr>
        <w:pageBreakBefore w:val="0"/>
        <w:kinsoku/>
        <w:wordWrap/>
        <w:overflowPunct/>
        <w:topLinePunct w:val="0"/>
        <w:bidi w:val="0"/>
        <w:adjustRightInd w:val="0"/>
        <w:snapToGrid/>
        <w:spacing w:line="440" w:lineRule="exact"/>
        <w:ind w:left="420" w:leftChars="200" w:right="420" w:rightChars="200" w:firstLine="315" w:firstLineChars="150"/>
        <w:jc w:val="left"/>
        <w:textAlignment w:val="auto"/>
        <w:rPr>
          <w:rFonts w:hint="eastAsia" w:ascii="宋体" w:hAnsi="宋体"/>
          <w:sz w:val="21"/>
          <w:szCs w:val="21"/>
        </w:rPr>
      </w:pPr>
      <w:r>
        <w:rPr>
          <w:rFonts w:ascii="宋体" w:hAnsi="宋体"/>
          <w:kern w:val="0"/>
          <w:sz w:val="21"/>
          <w:szCs w:val="21"/>
        </w:rPr>
        <w:t>关于变更保险合同时的通知义务的约定：</w:t>
      </w:r>
      <w:r>
        <w:rPr>
          <w:rFonts w:hint="eastAsia" w:ascii="宋体" w:hAnsi="宋体"/>
          <w:sz w:val="21"/>
          <w:szCs w:val="21"/>
          <w:u w:val="single"/>
        </w:rPr>
        <w:t xml:space="preserve">       /       </w:t>
      </w:r>
      <w:r>
        <w:rPr>
          <w:rFonts w:ascii="宋体" w:hAnsi="宋体"/>
          <w:sz w:val="21"/>
          <w:szCs w:val="21"/>
          <w:u w:val="single"/>
        </w:rPr>
        <w:t xml:space="preserve"> </w:t>
      </w:r>
      <w:r>
        <w:rPr>
          <w:rFonts w:ascii="宋体" w:hAnsi="宋体"/>
          <w:sz w:val="21"/>
          <w:szCs w:val="21"/>
        </w:rPr>
        <w:t>。</w:t>
      </w:r>
    </w:p>
    <w:p w14:paraId="30AFD3CB">
      <w:pPr>
        <w:pageBreakBefore w:val="0"/>
        <w:kinsoku/>
        <w:wordWrap/>
        <w:overflowPunct/>
        <w:topLinePunct w:val="0"/>
        <w:bidi w:val="0"/>
        <w:adjustRightInd w:val="0"/>
        <w:snapToGrid/>
        <w:spacing w:line="440" w:lineRule="exact"/>
        <w:ind w:left="420" w:leftChars="200" w:right="420" w:rightChars="200" w:firstLine="316" w:firstLineChars="150"/>
        <w:jc w:val="left"/>
        <w:textAlignment w:val="auto"/>
        <w:rPr>
          <w:rFonts w:hint="eastAsia" w:ascii="宋体" w:hAnsi="宋体"/>
          <w:b/>
          <w:sz w:val="21"/>
          <w:szCs w:val="21"/>
        </w:rPr>
      </w:pPr>
      <w:r>
        <w:rPr>
          <w:rFonts w:hint="eastAsia" w:ascii="宋体" w:hAnsi="宋体"/>
          <w:b/>
          <w:sz w:val="21"/>
          <w:szCs w:val="21"/>
        </w:rPr>
        <w:t>本工程的民工工伤保险和建筑施工人员团体意外伤害保险由承包人一次性支付。</w:t>
      </w:r>
    </w:p>
    <w:p w14:paraId="613958C4">
      <w:pPr>
        <w:pageBreakBefore w:val="0"/>
        <w:kinsoku/>
        <w:wordWrap/>
        <w:overflowPunct/>
        <w:topLinePunct w:val="0"/>
        <w:bidi w:val="0"/>
        <w:adjustRightInd w:val="0"/>
        <w:snapToGrid/>
        <w:spacing w:line="440" w:lineRule="exact"/>
        <w:ind w:left="420" w:leftChars="200" w:right="420" w:rightChars="200" w:firstLine="315" w:firstLineChars="150"/>
        <w:jc w:val="left"/>
        <w:textAlignment w:val="auto"/>
        <w:rPr>
          <w:rFonts w:hint="eastAsia" w:ascii="宋体" w:hAnsi="宋体"/>
          <w:sz w:val="21"/>
          <w:szCs w:val="21"/>
        </w:rPr>
      </w:pPr>
      <w:r>
        <w:rPr>
          <w:rFonts w:hint="eastAsia" w:ascii="宋体" w:hAnsi="宋体"/>
          <w:sz w:val="21"/>
          <w:szCs w:val="21"/>
        </w:rPr>
        <w:t>承包人在与分包单位签订分包合同时，应当同时按《宁波市建筑施工企业从业人员参加工伤保险暂行办法》（甬人社发[2014]170 号文件）规定签订《建设项目从业人员工伤保险费代缴协议》，作为分包合同的组成部分。</w:t>
      </w:r>
    </w:p>
    <w:p w14:paraId="25E78A4B">
      <w:pPr>
        <w:pageBreakBefore w:val="0"/>
        <w:kinsoku/>
        <w:wordWrap/>
        <w:overflowPunct/>
        <w:topLinePunct w:val="0"/>
        <w:bidi w:val="0"/>
        <w:adjustRightInd w:val="0"/>
        <w:snapToGrid/>
        <w:spacing w:line="440" w:lineRule="exact"/>
        <w:ind w:left="420" w:leftChars="200" w:right="420" w:rightChars="200" w:firstLine="315" w:firstLineChars="150"/>
        <w:jc w:val="left"/>
        <w:textAlignment w:val="auto"/>
        <w:rPr>
          <w:rFonts w:ascii="宋体" w:hAnsi="宋体"/>
          <w:sz w:val="21"/>
          <w:szCs w:val="21"/>
        </w:rPr>
      </w:pPr>
      <w:r>
        <w:rPr>
          <w:rFonts w:hint="eastAsia" w:ascii="宋体" w:hAnsi="宋体"/>
          <w:sz w:val="21"/>
          <w:szCs w:val="21"/>
        </w:rPr>
        <w:t>承包人为建设项目缴纳工伤保险费后，应当将《建设项目工伤保险参保登记表》和《建设项目从业人员工伤保险费代缴协议》发送给本建设项目中各分包单位。</w:t>
      </w:r>
    </w:p>
    <w:p w14:paraId="4FA05BAD">
      <w:pPr>
        <w:pageBreakBefore w:val="0"/>
        <w:kinsoku/>
        <w:wordWrap/>
        <w:overflowPunct/>
        <w:topLinePunct w:val="0"/>
        <w:bidi w:val="0"/>
        <w:adjustRightInd w:val="0"/>
        <w:snapToGrid/>
        <w:spacing w:line="440" w:lineRule="exact"/>
        <w:ind w:left="420" w:leftChars="200" w:right="420" w:rightChars="200" w:firstLine="316" w:firstLineChars="150"/>
        <w:jc w:val="left"/>
        <w:textAlignment w:val="auto"/>
        <w:rPr>
          <w:rFonts w:hint="eastAsia" w:ascii="宋体" w:hAnsi="宋体"/>
          <w:b/>
          <w:sz w:val="21"/>
          <w:szCs w:val="21"/>
        </w:rPr>
      </w:pPr>
      <w:r>
        <w:rPr>
          <w:rFonts w:hint="eastAsia" w:ascii="宋体" w:hAnsi="宋体"/>
          <w:b/>
          <w:sz w:val="21"/>
          <w:szCs w:val="21"/>
        </w:rPr>
        <w:t>承包人缴纳建筑施工人员团体意外伤害保险时应按照《团体建筑工人意外伤害保险条款（</w:t>
      </w:r>
      <w:r>
        <w:rPr>
          <w:rFonts w:ascii="宋体" w:hAnsi="宋体"/>
          <w:b/>
          <w:sz w:val="21"/>
          <w:szCs w:val="21"/>
        </w:rPr>
        <w:t xml:space="preserve">2012 </w:t>
      </w:r>
      <w:r>
        <w:rPr>
          <w:rFonts w:hint="eastAsia" w:ascii="宋体" w:hAnsi="宋体"/>
          <w:b/>
          <w:sz w:val="21"/>
          <w:szCs w:val="21"/>
        </w:rPr>
        <w:t>版）》规定采用按总造价计算保险费用的方法缴纳。</w:t>
      </w:r>
    </w:p>
    <w:p w14:paraId="6D150FA6">
      <w:pPr>
        <w:pageBreakBefore w:val="0"/>
        <w:kinsoku/>
        <w:wordWrap/>
        <w:overflowPunct/>
        <w:topLinePunct w:val="0"/>
        <w:bidi w:val="0"/>
        <w:adjustRightInd w:val="0"/>
        <w:snapToGrid/>
        <w:spacing w:line="440" w:lineRule="exact"/>
        <w:ind w:left="420" w:leftChars="200" w:right="420" w:rightChars="200" w:firstLine="315" w:firstLineChars="150"/>
        <w:jc w:val="left"/>
        <w:textAlignment w:val="auto"/>
        <w:rPr>
          <w:rFonts w:hint="eastAsia" w:ascii="宋体" w:hAnsi="宋体"/>
          <w:sz w:val="21"/>
          <w:szCs w:val="21"/>
        </w:rPr>
      </w:pPr>
      <w:r>
        <w:rPr>
          <w:rFonts w:hint="eastAsia" w:ascii="宋体" w:hAnsi="宋体"/>
          <w:sz w:val="21"/>
          <w:szCs w:val="21"/>
        </w:rPr>
        <w:t>为其施工设备等办理财产保险：承包人</w:t>
      </w:r>
      <w:r>
        <w:rPr>
          <w:rFonts w:hint="eastAsia" w:ascii="宋体" w:hAnsi="宋体"/>
          <w:sz w:val="21"/>
          <w:szCs w:val="21"/>
          <w:u w:val="single"/>
        </w:rPr>
        <w:t xml:space="preserve"> 应当 </w:t>
      </w:r>
      <w:r>
        <w:rPr>
          <w:rFonts w:hint="eastAsia" w:ascii="宋体" w:hAnsi="宋体"/>
          <w:sz w:val="21"/>
          <w:szCs w:val="21"/>
        </w:rPr>
        <w:t>为其施工设备等办理财产保险</w:t>
      </w:r>
    </w:p>
    <w:p w14:paraId="5329010E">
      <w:pPr>
        <w:pStyle w:val="6"/>
        <w:pageBreakBefore w:val="0"/>
        <w:numPr>
          <w:ilvl w:val="3"/>
          <w:numId w:val="0"/>
        </w:numPr>
        <w:kinsoku/>
        <w:wordWrap/>
        <w:overflowPunct/>
        <w:topLinePunct w:val="0"/>
        <w:bidi w:val="0"/>
        <w:adjustRightInd w:val="0"/>
        <w:snapToGrid/>
        <w:spacing w:before="0" w:after="0" w:line="440" w:lineRule="exact"/>
        <w:ind w:left="420" w:leftChars="200" w:right="420" w:rightChars="200"/>
        <w:textAlignment w:val="auto"/>
        <w:rPr>
          <w:rFonts w:hint="eastAsia" w:ascii="宋体" w:hAnsi="宋体" w:eastAsia="宋体" w:cs="宋体"/>
          <w:b w:val="0"/>
          <w:color w:val="000000"/>
          <w:sz w:val="21"/>
          <w:szCs w:val="21"/>
        </w:rPr>
      </w:pPr>
      <w:r>
        <w:rPr>
          <w:rFonts w:hint="eastAsia" w:ascii="宋体" w:hAnsi="宋体" w:eastAsia="宋体" w:cs="宋体"/>
          <w:b w:val="0"/>
          <w:color w:val="000000"/>
          <w:sz w:val="21"/>
          <w:szCs w:val="21"/>
        </w:rPr>
        <w:t>20. 争议解决</w:t>
      </w:r>
    </w:p>
    <w:p w14:paraId="277CBC7F">
      <w:pPr>
        <w:pageBreakBefore w:val="0"/>
        <w:kinsoku/>
        <w:wordWrap/>
        <w:overflowPunct/>
        <w:topLinePunct w:val="0"/>
        <w:bidi w:val="0"/>
        <w:adjustRightInd w:val="0"/>
        <w:snapToGrid/>
        <w:spacing w:line="440" w:lineRule="exact"/>
        <w:ind w:left="420" w:leftChars="200" w:right="420" w:rightChars="200"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20.3 争议评审</w:t>
      </w:r>
    </w:p>
    <w:p w14:paraId="40A14937">
      <w:pPr>
        <w:pageBreakBefore w:val="0"/>
        <w:kinsoku/>
        <w:wordWrap/>
        <w:overflowPunct/>
        <w:topLinePunct w:val="0"/>
        <w:bidi w:val="0"/>
        <w:adjustRightInd w:val="0"/>
        <w:snapToGrid/>
        <w:spacing w:line="440" w:lineRule="exact"/>
        <w:ind w:left="420" w:leftChars="200" w:right="420" w:rightChars="200"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合同当事人是否同意将工程争议提交争议评审小组决定：</w:t>
      </w:r>
      <w:r>
        <w:rPr>
          <w:rFonts w:hint="eastAsia" w:ascii="宋体" w:hAnsi="宋体" w:cs="宋体"/>
          <w:color w:val="000000"/>
          <w:sz w:val="21"/>
          <w:szCs w:val="21"/>
          <w:u w:val="single"/>
        </w:rPr>
        <w:t xml:space="preserve">  /</w:t>
      </w:r>
      <w:r>
        <w:rPr>
          <w:rFonts w:hint="eastAsia" w:ascii="宋体" w:hAnsi="宋体" w:cs="宋体"/>
          <w:color w:val="000000"/>
          <w:sz w:val="21"/>
          <w:szCs w:val="21"/>
        </w:rPr>
        <w:t xml:space="preserve">。  </w:t>
      </w:r>
    </w:p>
    <w:p w14:paraId="17BD3593">
      <w:pPr>
        <w:pageBreakBefore w:val="0"/>
        <w:kinsoku/>
        <w:wordWrap/>
        <w:overflowPunct/>
        <w:topLinePunct w:val="0"/>
        <w:bidi w:val="0"/>
        <w:adjustRightInd w:val="0"/>
        <w:snapToGrid/>
        <w:spacing w:line="440" w:lineRule="exact"/>
        <w:ind w:left="420" w:leftChars="200" w:right="420" w:rightChars="200"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20.3.1 争议评审小组的确定</w:t>
      </w:r>
    </w:p>
    <w:p w14:paraId="4C87EEEB">
      <w:pPr>
        <w:pageBreakBefore w:val="0"/>
        <w:kinsoku/>
        <w:wordWrap/>
        <w:overflowPunct/>
        <w:topLinePunct w:val="0"/>
        <w:bidi w:val="0"/>
        <w:adjustRightInd w:val="0"/>
        <w:snapToGrid/>
        <w:spacing w:line="440" w:lineRule="exact"/>
        <w:ind w:left="420" w:leftChars="200" w:right="420" w:rightChars="200" w:firstLine="420" w:firstLineChars="200"/>
        <w:jc w:val="left"/>
        <w:textAlignment w:val="auto"/>
        <w:rPr>
          <w:rFonts w:hint="eastAsia" w:ascii="宋体" w:hAnsi="宋体" w:cs="宋体"/>
          <w:color w:val="000000"/>
          <w:sz w:val="21"/>
          <w:szCs w:val="21"/>
          <w:u w:val="single"/>
        </w:rPr>
      </w:pPr>
      <w:r>
        <w:rPr>
          <w:rFonts w:hint="eastAsia" w:ascii="宋体" w:hAnsi="宋体" w:cs="宋体"/>
          <w:color w:val="000000"/>
          <w:sz w:val="21"/>
          <w:szCs w:val="21"/>
        </w:rPr>
        <w:t>争议评审小组成员的确定：</w:t>
      </w:r>
      <w:r>
        <w:rPr>
          <w:rFonts w:hint="eastAsia" w:ascii="宋体" w:hAnsi="宋体" w:cs="宋体"/>
          <w:color w:val="000000"/>
          <w:sz w:val="21"/>
          <w:szCs w:val="21"/>
          <w:u w:val="single"/>
        </w:rPr>
        <w:t xml:space="preserve"> /    </w:t>
      </w:r>
      <w:r>
        <w:rPr>
          <w:rFonts w:hint="eastAsia" w:ascii="宋体" w:hAnsi="宋体" w:cs="宋体"/>
          <w:color w:val="000000"/>
          <w:sz w:val="21"/>
          <w:szCs w:val="21"/>
        </w:rPr>
        <w:t>。</w:t>
      </w:r>
    </w:p>
    <w:p w14:paraId="00FB8D80">
      <w:pPr>
        <w:pageBreakBefore w:val="0"/>
        <w:kinsoku/>
        <w:wordWrap/>
        <w:overflowPunct/>
        <w:topLinePunct w:val="0"/>
        <w:bidi w:val="0"/>
        <w:adjustRightInd w:val="0"/>
        <w:snapToGrid/>
        <w:spacing w:line="440" w:lineRule="exact"/>
        <w:ind w:left="420" w:leftChars="200" w:right="420" w:rightChars="200"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选定争议评审员的期限：</w:t>
      </w:r>
      <w:r>
        <w:rPr>
          <w:rFonts w:hint="eastAsia" w:ascii="宋体" w:hAnsi="宋体" w:cs="宋体"/>
          <w:color w:val="000000"/>
          <w:sz w:val="21"/>
          <w:szCs w:val="21"/>
          <w:u w:val="single"/>
        </w:rPr>
        <w:t xml:space="preserve">     /  </w:t>
      </w:r>
      <w:r>
        <w:rPr>
          <w:rFonts w:hint="eastAsia" w:ascii="宋体" w:hAnsi="宋体" w:cs="宋体"/>
          <w:color w:val="000000"/>
          <w:sz w:val="21"/>
          <w:szCs w:val="21"/>
        </w:rPr>
        <w:t>。</w:t>
      </w:r>
    </w:p>
    <w:p w14:paraId="29FD9657">
      <w:pPr>
        <w:pageBreakBefore w:val="0"/>
        <w:kinsoku/>
        <w:wordWrap/>
        <w:overflowPunct/>
        <w:topLinePunct w:val="0"/>
        <w:bidi w:val="0"/>
        <w:adjustRightInd w:val="0"/>
        <w:snapToGrid/>
        <w:spacing w:line="440" w:lineRule="exact"/>
        <w:ind w:left="420" w:leftChars="200" w:right="420" w:rightChars="200"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争议评审小组成员的报酬承担方式：</w:t>
      </w:r>
      <w:r>
        <w:rPr>
          <w:rFonts w:hint="eastAsia" w:ascii="宋体" w:hAnsi="宋体" w:cs="宋体"/>
          <w:color w:val="000000"/>
          <w:sz w:val="21"/>
          <w:szCs w:val="21"/>
          <w:u w:val="single"/>
        </w:rPr>
        <w:t xml:space="preserve">  /    </w:t>
      </w:r>
      <w:r>
        <w:rPr>
          <w:rFonts w:hint="eastAsia" w:ascii="宋体" w:hAnsi="宋体" w:cs="宋体"/>
          <w:color w:val="000000"/>
          <w:sz w:val="21"/>
          <w:szCs w:val="21"/>
        </w:rPr>
        <w:t>。</w:t>
      </w:r>
    </w:p>
    <w:p w14:paraId="75D379F7">
      <w:pPr>
        <w:pageBreakBefore w:val="0"/>
        <w:kinsoku/>
        <w:wordWrap/>
        <w:overflowPunct/>
        <w:topLinePunct w:val="0"/>
        <w:bidi w:val="0"/>
        <w:adjustRightInd w:val="0"/>
        <w:snapToGrid/>
        <w:spacing w:line="440" w:lineRule="exact"/>
        <w:ind w:left="420" w:leftChars="200" w:right="420" w:rightChars="200"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其他事项的约定：</w:t>
      </w:r>
      <w:r>
        <w:rPr>
          <w:rFonts w:hint="eastAsia" w:ascii="宋体" w:hAnsi="宋体" w:cs="宋体"/>
          <w:color w:val="000000"/>
          <w:sz w:val="21"/>
          <w:szCs w:val="21"/>
          <w:u w:val="single"/>
        </w:rPr>
        <w:t xml:space="preserve">             /                        </w:t>
      </w:r>
      <w:r>
        <w:rPr>
          <w:rFonts w:hint="eastAsia" w:ascii="宋体" w:hAnsi="宋体" w:cs="宋体"/>
          <w:color w:val="000000"/>
          <w:sz w:val="21"/>
          <w:szCs w:val="21"/>
        </w:rPr>
        <w:t>。</w:t>
      </w:r>
    </w:p>
    <w:p w14:paraId="5DD04FC1">
      <w:pPr>
        <w:pageBreakBefore w:val="0"/>
        <w:kinsoku/>
        <w:wordWrap/>
        <w:overflowPunct/>
        <w:topLinePunct w:val="0"/>
        <w:autoSpaceDE w:val="0"/>
        <w:autoSpaceDN w:val="0"/>
        <w:bidi w:val="0"/>
        <w:adjustRightInd w:val="0"/>
        <w:snapToGrid/>
        <w:spacing w:line="440" w:lineRule="exact"/>
        <w:ind w:left="420" w:leftChars="200" w:right="420" w:rightChars="200"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20.3.2 争议评审小组的决定</w:t>
      </w:r>
    </w:p>
    <w:p w14:paraId="3F9FEAC9">
      <w:pPr>
        <w:pageBreakBefore w:val="0"/>
        <w:kinsoku/>
        <w:wordWrap/>
        <w:overflowPunct/>
        <w:topLinePunct w:val="0"/>
        <w:bidi w:val="0"/>
        <w:adjustRightInd w:val="0"/>
        <w:snapToGrid/>
        <w:spacing w:line="440" w:lineRule="exact"/>
        <w:ind w:left="420" w:leftChars="200" w:right="420" w:rightChars="200"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合同当事人关于本项的约定：</w:t>
      </w:r>
      <w:r>
        <w:rPr>
          <w:rFonts w:hint="eastAsia" w:ascii="宋体" w:hAnsi="宋体" w:cs="宋体"/>
          <w:color w:val="000000"/>
          <w:sz w:val="21"/>
          <w:szCs w:val="21"/>
          <w:u w:val="single"/>
        </w:rPr>
        <w:t xml:space="preserve">           /                </w:t>
      </w:r>
      <w:r>
        <w:rPr>
          <w:rFonts w:hint="eastAsia" w:ascii="宋体" w:hAnsi="宋体" w:cs="宋体"/>
          <w:color w:val="000000"/>
          <w:sz w:val="21"/>
          <w:szCs w:val="21"/>
        </w:rPr>
        <w:t>。</w:t>
      </w:r>
    </w:p>
    <w:p w14:paraId="6C678813">
      <w:pPr>
        <w:pageBreakBefore w:val="0"/>
        <w:kinsoku/>
        <w:wordWrap/>
        <w:overflowPunct/>
        <w:topLinePunct w:val="0"/>
        <w:bidi w:val="0"/>
        <w:adjustRightInd w:val="0"/>
        <w:snapToGrid/>
        <w:spacing w:line="440" w:lineRule="exact"/>
        <w:ind w:left="420" w:leftChars="200" w:right="420" w:rightChars="200"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20.4仲裁或诉讼</w:t>
      </w:r>
    </w:p>
    <w:p w14:paraId="15277A67">
      <w:pPr>
        <w:pageBreakBefore w:val="0"/>
        <w:kinsoku/>
        <w:wordWrap/>
        <w:overflowPunct/>
        <w:topLinePunct w:val="0"/>
        <w:bidi w:val="0"/>
        <w:adjustRightInd w:val="0"/>
        <w:snapToGrid/>
        <w:spacing w:line="440" w:lineRule="exact"/>
        <w:ind w:left="420" w:leftChars="200" w:right="420" w:rightChars="200"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发包人同承包人发生合同价款、工程结算和其他造价事项争议，一般采用下列程序解决：</w:t>
      </w:r>
    </w:p>
    <w:p w14:paraId="385AF45B">
      <w:pPr>
        <w:pageBreakBefore w:val="0"/>
        <w:kinsoku/>
        <w:wordWrap/>
        <w:overflowPunct/>
        <w:topLinePunct w:val="0"/>
        <w:bidi w:val="0"/>
        <w:adjustRightInd w:val="0"/>
        <w:snapToGrid/>
        <w:spacing w:line="440" w:lineRule="exact"/>
        <w:ind w:left="420" w:leftChars="200" w:right="420" w:rightChars="200"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（1）由合同双方本着合法、客观、平等、合理的原则进行协商；</w:t>
      </w:r>
    </w:p>
    <w:p w14:paraId="5E95A8BE">
      <w:pPr>
        <w:pageBreakBefore w:val="0"/>
        <w:kinsoku/>
        <w:wordWrap/>
        <w:overflowPunct/>
        <w:topLinePunct w:val="0"/>
        <w:bidi w:val="0"/>
        <w:adjustRightInd w:val="0"/>
        <w:snapToGrid/>
        <w:spacing w:line="440" w:lineRule="exact"/>
        <w:ind w:left="420" w:leftChars="200" w:right="420" w:rightChars="200"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（2）提请建设工程造价管理机构进行调解；</w:t>
      </w:r>
    </w:p>
    <w:p w14:paraId="652C84C8">
      <w:pPr>
        <w:pageBreakBefore w:val="0"/>
        <w:kinsoku/>
        <w:wordWrap/>
        <w:overflowPunct/>
        <w:topLinePunct w:val="0"/>
        <w:bidi w:val="0"/>
        <w:adjustRightInd w:val="0"/>
        <w:snapToGrid/>
        <w:spacing w:line="440" w:lineRule="exact"/>
        <w:ind w:left="420" w:leftChars="200" w:right="420" w:rightChars="200"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（3）不愿协商、调解，或者协商、调解不成的</w:t>
      </w:r>
      <w:r>
        <w:rPr>
          <w:rFonts w:hint="eastAsia" w:ascii="宋体" w:hAnsi="宋体" w:cs="宋体"/>
          <w:b/>
          <w:color w:val="000000"/>
          <w:sz w:val="21"/>
          <w:szCs w:val="21"/>
        </w:rPr>
        <w:t>，</w:t>
      </w:r>
      <w:r>
        <w:rPr>
          <w:rFonts w:hint="eastAsia" w:ascii="宋体" w:hAnsi="宋体" w:cs="宋体"/>
          <w:color w:val="000000"/>
          <w:sz w:val="21"/>
          <w:szCs w:val="21"/>
        </w:rPr>
        <w:t>可以选择采用第</w:t>
      </w:r>
      <w:r>
        <w:rPr>
          <w:rFonts w:hint="eastAsia" w:ascii="宋体" w:hAnsi="宋体" w:cs="宋体"/>
          <w:color w:val="000000"/>
          <w:sz w:val="21"/>
          <w:szCs w:val="21"/>
          <w:u w:val="single"/>
        </w:rPr>
        <w:t xml:space="preserve"> 2 </w:t>
      </w:r>
      <w:r>
        <w:rPr>
          <w:rFonts w:hint="eastAsia" w:ascii="宋体" w:hAnsi="宋体" w:cs="宋体"/>
          <w:color w:val="000000"/>
          <w:sz w:val="21"/>
          <w:szCs w:val="21"/>
        </w:rPr>
        <w:t xml:space="preserve">种下列方式解决： </w:t>
      </w:r>
    </w:p>
    <w:p w14:paraId="13995FE4">
      <w:pPr>
        <w:pageBreakBefore w:val="0"/>
        <w:kinsoku/>
        <w:wordWrap/>
        <w:overflowPunct/>
        <w:topLinePunct w:val="0"/>
        <w:bidi w:val="0"/>
        <w:adjustRightInd w:val="0"/>
        <w:snapToGrid/>
        <w:spacing w:line="440" w:lineRule="exact"/>
        <w:ind w:left="420" w:leftChars="200" w:right="420" w:rightChars="200"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1、向</w:t>
      </w:r>
      <w:r>
        <w:rPr>
          <w:rFonts w:hint="eastAsia" w:ascii="宋体" w:hAnsi="宋体" w:cs="宋体"/>
          <w:color w:val="000000"/>
          <w:sz w:val="21"/>
          <w:szCs w:val="21"/>
          <w:u w:val="single"/>
        </w:rPr>
        <w:t xml:space="preserve">      /    </w:t>
      </w:r>
      <w:r>
        <w:rPr>
          <w:rFonts w:hint="eastAsia" w:ascii="宋体" w:hAnsi="宋体" w:cs="宋体"/>
          <w:color w:val="000000"/>
          <w:sz w:val="21"/>
          <w:szCs w:val="21"/>
        </w:rPr>
        <w:t>仲裁委员会申请仲裁；</w:t>
      </w:r>
    </w:p>
    <w:p w14:paraId="32EEFDAA">
      <w:pPr>
        <w:pageBreakBefore w:val="0"/>
        <w:kinsoku/>
        <w:wordWrap/>
        <w:overflowPunct/>
        <w:topLinePunct w:val="0"/>
        <w:bidi w:val="0"/>
        <w:adjustRightInd w:val="0"/>
        <w:snapToGrid/>
        <w:spacing w:line="440" w:lineRule="exact"/>
        <w:ind w:left="420" w:leftChars="200" w:right="420" w:rightChars="200"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2、向</w:t>
      </w:r>
      <w:r>
        <w:rPr>
          <w:rFonts w:hint="eastAsia" w:ascii="宋体" w:hAnsi="宋体" w:cs="宋体"/>
          <w:color w:val="000000"/>
          <w:sz w:val="21"/>
          <w:szCs w:val="21"/>
          <w:u w:val="single"/>
        </w:rPr>
        <w:t xml:space="preserve">  宁海县 </w:t>
      </w:r>
      <w:r>
        <w:rPr>
          <w:rFonts w:hint="eastAsia" w:ascii="宋体" w:hAnsi="宋体" w:cs="宋体"/>
          <w:color w:val="000000"/>
          <w:sz w:val="21"/>
          <w:szCs w:val="21"/>
        </w:rPr>
        <w:t>人民法院提起诉讼。</w:t>
      </w:r>
    </w:p>
    <w:p w14:paraId="65434075">
      <w:pPr>
        <w:pageBreakBefore w:val="0"/>
        <w:kinsoku/>
        <w:wordWrap/>
        <w:overflowPunct/>
        <w:topLinePunct w:val="0"/>
        <w:bidi w:val="0"/>
        <w:adjustRightInd w:val="0"/>
        <w:snapToGrid/>
        <w:spacing w:line="440" w:lineRule="exact"/>
        <w:ind w:left="420" w:leftChars="200" w:right="420" w:rightChars="200"/>
        <w:jc w:val="left"/>
        <w:textAlignment w:val="auto"/>
        <w:rPr>
          <w:rFonts w:hint="eastAsia" w:ascii="宋体" w:hAnsi="宋体" w:cs="宋体"/>
          <w:color w:val="000000"/>
          <w:sz w:val="21"/>
          <w:szCs w:val="21"/>
        </w:rPr>
      </w:pPr>
      <w:r>
        <w:rPr>
          <w:rFonts w:hint="eastAsia" w:ascii="宋体" w:hAnsi="宋体" w:cs="宋体"/>
          <w:color w:val="000000"/>
          <w:sz w:val="21"/>
          <w:szCs w:val="21"/>
        </w:rPr>
        <w:t>21、补充条款</w:t>
      </w:r>
    </w:p>
    <w:p w14:paraId="1306C37A">
      <w:pPr>
        <w:pageBreakBefore w:val="0"/>
        <w:kinsoku/>
        <w:wordWrap/>
        <w:overflowPunct/>
        <w:topLinePunct w:val="0"/>
        <w:bidi w:val="0"/>
        <w:adjustRightInd w:val="0"/>
        <w:snapToGrid/>
        <w:spacing w:line="440" w:lineRule="exact"/>
        <w:ind w:left="420" w:leftChars="200" w:right="420" w:rightChars="200"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21.1实际施工时，无论工程量增减多少，承包人均应无条件服从。增减工程量或工程项目按价款结算的有关条款结算，承包人不得提出额外索赔。</w:t>
      </w:r>
    </w:p>
    <w:p w14:paraId="6316FFE2">
      <w:pPr>
        <w:pageBreakBefore w:val="0"/>
        <w:kinsoku/>
        <w:wordWrap/>
        <w:overflowPunct/>
        <w:topLinePunct w:val="0"/>
        <w:bidi w:val="0"/>
        <w:adjustRightInd w:val="0"/>
        <w:snapToGrid/>
        <w:spacing w:line="440" w:lineRule="exact"/>
        <w:ind w:left="420" w:leftChars="200" w:right="420" w:rightChars="200"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21.2在工程开工后直至完工退场，工地现场发生的卫生费、治安费等均由承包人承担。</w:t>
      </w:r>
    </w:p>
    <w:p w14:paraId="6A2F68C1">
      <w:pPr>
        <w:pageBreakBefore w:val="0"/>
        <w:kinsoku/>
        <w:wordWrap/>
        <w:overflowPunct/>
        <w:topLinePunct w:val="0"/>
        <w:bidi w:val="0"/>
        <w:adjustRightInd w:val="0"/>
        <w:snapToGrid/>
        <w:spacing w:line="440" w:lineRule="exact"/>
        <w:ind w:left="420" w:leftChars="200" w:right="420" w:rightChars="200"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21.3承包人须自备发电机，保证在停电时能连续施工，费用由承包人自理。</w:t>
      </w:r>
    </w:p>
    <w:p w14:paraId="623FCE56">
      <w:pPr>
        <w:pageBreakBefore w:val="0"/>
        <w:kinsoku/>
        <w:wordWrap/>
        <w:overflowPunct/>
        <w:topLinePunct w:val="0"/>
        <w:bidi w:val="0"/>
        <w:adjustRightInd w:val="0"/>
        <w:snapToGrid/>
        <w:spacing w:line="440" w:lineRule="exact"/>
        <w:ind w:left="420" w:leftChars="200" w:right="420" w:rightChars="200"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21.4根据《宁海县人民政府办公室关于印发2013年建设工程扬尘综合整治专项行动实施方案的通知》(宁政办发［2013］83号)文件规定，中标人应做好防止扬尘污染环境等相关工作，该费用已包括在合同价中。</w:t>
      </w:r>
    </w:p>
    <w:p w14:paraId="7459FA7E">
      <w:pPr>
        <w:pageBreakBefore w:val="0"/>
        <w:kinsoku/>
        <w:wordWrap/>
        <w:overflowPunct/>
        <w:topLinePunct w:val="0"/>
        <w:bidi w:val="0"/>
        <w:adjustRightInd w:val="0"/>
        <w:snapToGrid/>
        <w:spacing w:line="440" w:lineRule="exact"/>
        <w:ind w:left="420" w:leftChars="200" w:right="420" w:rightChars="200" w:firstLine="420" w:firstLineChars="200"/>
        <w:textAlignment w:val="auto"/>
        <w:rPr>
          <w:rFonts w:hint="eastAsia" w:ascii="宋体" w:hAnsi="宋体" w:cs="宋体"/>
          <w:color w:val="000000"/>
          <w:spacing w:val="8"/>
          <w:sz w:val="21"/>
          <w:szCs w:val="21"/>
        </w:rPr>
      </w:pPr>
      <w:r>
        <w:rPr>
          <w:rFonts w:hint="eastAsia" w:ascii="宋体" w:hAnsi="宋体" w:cs="宋体"/>
          <w:color w:val="000000"/>
          <w:sz w:val="21"/>
          <w:szCs w:val="21"/>
        </w:rPr>
        <w:t>21.5</w:t>
      </w:r>
      <w:r>
        <w:rPr>
          <w:rFonts w:hint="eastAsia" w:ascii="宋体" w:hAnsi="宋体" w:cs="宋体"/>
          <w:color w:val="000000"/>
          <w:spacing w:val="8"/>
          <w:sz w:val="21"/>
          <w:szCs w:val="21"/>
        </w:rPr>
        <w:t>民工工伤保险费按甬发改投资［2014］540号，</w:t>
      </w:r>
      <w:r>
        <w:rPr>
          <w:rFonts w:hint="eastAsia" w:ascii="宋体" w:hAnsi="宋体" w:cs="宋体"/>
          <w:color w:val="000000"/>
          <w:sz w:val="21"/>
          <w:szCs w:val="21"/>
        </w:rPr>
        <w:t>该费用已包括在合同价中，</w:t>
      </w:r>
      <w:r>
        <w:rPr>
          <w:rFonts w:hint="eastAsia" w:ascii="宋体" w:hAnsi="宋体" w:cs="宋体"/>
          <w:color w:val="000000"/>
          <w:spacing w:val="8"/>
          <w:sz w:val="21"/>
          <w:szCs w:val="21"/>
        </w:rPr>
        <w:t>中标人应办理相关险种</w:t>
      </w:r>
      <w:r>
        <w:rPr>
          <w:rFonts w:hint="eastAsia" w:ascii="宋体" w:hAnsi="宋体" w:cs="宋体"/>
          <w:color w:val="000000"/>
          <w:sz w:val="21"/>
          <w:szCs w:val="21"/>
        </w:rPr>
        <w:t>。</w:t>
      </w:r>
    </w:p>
    <w:p w14:paraId="3EAEC572">
      <w:pPr>
        <w:pageBreakBefore w:val="0"/>
        <w:kinsoku/>
        <w:wordWrap/>
        <w:overflowPunct/>
        <w:topLinePunct w:val="0"/>
        <w:bidi w:val="0"/>
        <w:adjustRightInd w:val="0"/>
        <w:snapToGrid/>
        <w:spacing w:line="440" w:lineRule="exact"/>
        <w:ind w:left="420" w:leftChars="200" w:right="420" w:rightChars="200"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21.6施工场地周围邻近建筑物、地下管线、构筑物由中标人负责保护及承担措施费用。保护期间若发生损坏，由承包人承担。</w:t>
      </w:r>
    </w:p>
    <w:p w14:paraId="51713C72">
      <w:pPr>
        <w:pageBreakBefore w:val="0"/>
        <w:kinsoku/>
        <w:wordWrap/>
        <w:overflowPunct/>
        <w:topLinePunct w:val="0"/>
        <w:bidi w:val="0"/>
        <w:adjustRightInd w:val="0"/>
        <w:snapToGrid/>
        <w:spacing w:line="440" w:lineRule="exact"/>
        <w:ind w:left="420" w:leftChars="200" w:right="420" w:rightChars="200"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21.7施工过程中临时围护费用由竞包人根据实地情况，在投标报价时综合考虑，包含在合同价中。</w:t>
      </w:r>
    </w:p>
    <w:p w14:paraId="07047DEA">
      <w:pPr>
        <w:pageBreakBefore w:val="0"/>
        <w:kinsoku/>
        <w:wordWrap/>
        <w:overflowPunct/>
        <w:topLinePunct w:val="0"/>
        <w:bidi w:val="0"/>
        <w:adjustRightInd w:val="0"/>
        <w:snapToGrid/>
        <w:spacing w:line="440" w:lineRule="exact"/>
        <w:ind w:left="420" w:leftChars="200" w:right="420" w:rightChars="200"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21.8承包人应充分考虑施工过程中的各种不利因素，合理安排施工人员，在合同工期内保质保量完成施工任务。</w:t>
      </w:r>
    </w:p>
    <w:p w14:paraId="75C567AF">
      <w:pPr>
        <w:pageBreakBefore w:val="0"/>
        <w:kinsoku/>
        <w:wordWrap/>
        <w:overflowPunct/>
        <w:topLinePunct w:val="0"/>
        <w:bidi w:val="0"/>
        <w:adjustRightInd w:val="0"/>
        <w:snapToGrid/>
        <w:spacing w:line="440" w:lineRule="exact"/>
        <w:ind w:left="420" w:leftChars="200" w:right="420" w:rightChars="200"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21.9工程务工工资专用账户管理：发包人、承包人必须按照宁海县住房和城乡建设局转发市住建委关于《宁波市房屋建筑和市政基础设施工程工资专用账户管理实施细则（试行）》的通知（宁建发【2018】77 号）文件规定执行。</w:t>
      </w:r>
    </w:p>
    <w:p w14:paraId="0E113B54">
      <w:pPr>
        <w:pageBreakBefore w:val="0"/>
        <w:kinsoku/>
        <w:wordWrap/>
        <w:overflowPunct/>
        <w:topLinePunct w:val="0"/>
        <w:bidi w:val="0"/>
        <w:adjustRightInd w:val="0"/>
        <w:snapToGrid/>
        <w:spacing w:line="440" w:lineRule="exact"/>
        <w:ind w:left="420" w:leftChars="200" w:right="420" w:rightChars="200" w:firstLine="420" w:firstLineChars="200"/>
        <w:textAlignment w:val="auto"/>
        <w:rPr>
          <w:rFonts w:ascii="宋体" w:hAnsi="宋体"/>
          <w:color w:val="000000"/>
          <w:sz w:val="21"/>
          <w:szCs w:val="21"/>
        </w:rPr>
      </w:pPr>
      <w:r>
        <w:rPr>
          <w:rFonts w:hint="eastAsia" w:ascii="宋体" w:hAnsi="宋体"/>
          <w:color w:val="000000"/>
          <w:sz w:val="21"/>
          <w:szCs w:val="21"/>
        </w:rPr>
        <w:t>21.10承包人需配合发包人做好上级领导的检查工作。发包人在不妨碍承包人正常作业的情况下，可以随时对作业质量安全进行检查。</w:t>
      </w:r>
    </w:p>
    <w:p w14:paraId="2057C1E3">
      <w:pPr>
        <w:pageBreakBefore w:val="0"/>
        <w:kinsoku/>
        <w:wordWrap/>
        <w:overflowPunct/>
        <w:topLinePunct w:val="0"/>
        <w:bidi w:val="0"/>
        <w:adjustRightInd w:val="0"/>
        <w:snapToGrid/>
        <w:spacing w:line="440" w:lineRule="exact"/>
        <w:ind w:left="420" w:leftChars="200" w:right="420" w:rightChars="200" w:firstLine="420" w:firstLineChars="200"/>
        <w:textAlignment w:val="auto"/>
        <w:rPr>
          <w:rFonts w:hint="eastAsia" w:ascii="宋体" w:hAnsi="宋体"/>
          <w:color w:val="000000"/>
          <w:sz w:val="21"/>
          <w:szCs w:val="21"/>
        </w:rPr>
      </w:pPr>
      <w:r>
        <w:rPr>
          <w:rFonts w:hint="eastAsia" w:ascii="宋体" w:hAnsi="宋体"/>
          <w:color w:val="000000"/>
          <w:sz w:val="21"/>
          <w:szCs w:val="21"/>
        </w:rPr>
        <w:t>21.11按规定计取的安全文明施工费不得挪作它用，应能保障工程现场的安全文明施工，并按相关文件执行。</w:t>
      </w:r>
    </w:p>
    <w:bookmarkEnd w:id="952"/>
    <w:bookmarkEnd w:id="953"/>
    <w:bookmarkEnd w:id="954"/>
    <w:bookmarkEnd w:id="955"/>
    <w:bookmarkEnd w:id="956"/>
    <w:bookmarkEnd w:id="957"/>
    <w:bookmarkEnd w:id="958"/>
    <w:bookmarkEnd w:id="959"/>
    <w:bookmarkEnd w:id="960"/>
    <w:bookmarkEnd w:id="961"/>
    <w:bookmarkEnd w:id="970"/>
    <w:bookmarkEnd w:id="971"/>
    <w:p w14:paraId="29433ADF">
      <w:pPr>
        <w:pageBreakBefore w:val="0"/>
        <w:kinsoku/>
        <w:wordWrap/>
        <w:overflowPunct/>
        <w:topLinePunct w:val="0"/>
        <w:bidi w:val="0"/>
        <w:adjustRightInd w:val="0"/>
        <w:snapToGrid/>
        <w:spacing w:line="440" w:lineRule="exact"/>
        <w:ind w:left="420" w:leftChars="200" w:right="420" w:rightChars="200" w:firstLine="420" w:firstLineChars="200"/>
        <w:textAlignment w:val="auto"/>
        <w:rPr>
          <w:rFonts w:hint="eastAsia" w:ascii="宋体" w:hAnsi="宋体"/>
          <w:color w:val="000000"/>
          <w:sz w:val="21"/>
          <w:szCs w:val="21"/>
        </w:rPr>
      </w:pPr>
      <w:r>
        <w:rPr>
          <w:rFonts w:hint="eastAsia" w:ascii="宋体" w:hAnsi="宋体"/>
          <w:color w:val="000000"/>
          <w:sz w:val="21"/>
          <w:szCs w:val="21"/>
        </w:rPr>
        <w:t>21.12外墙涂料颜色中标后由业主指定，投标人需无条件接受。</w:t>
      </w:r>
    </w:p>
    <w:p w14:paraId="705C2A81">
      <w:pPr>
        <w:pageBreakBefore w:val="0"/>
        <w:kinsoku/>
        <w:wordWrap/>
        <w:overflowPunct/>
        <w:topLinePunct w:val="0"/>
        <w:bidi w:val="0"/>
        <w:adjustRightInd w:val="0"/>
        <w:snapToGrid/>
        <w:spacing w:line="440" w:lineRule="exact"/>
        <w:ind w:left="420" w:leftChars="200" w:right="420" w:rightChars="200" w:firstLine="420" w:firstLineChars="200"/>
        <w:textAlignment w:val="auto"/>
        <w:rPr>
          <w:rFonts w:hint="eastAsia" w:ascii="宋体" w:hAnsi="宋体"/>
          <w:color w:val="000000"/>
          <w:sz w:val="21"/>
          <w:szCs w:val="21"/>
        </w:rPr>
      </w:pPr>
      <w:r>
        <w:rPr>
          <w:rFonts w:hint="eastAsia" w:ascii="宋体" w:hAnsi="宋体"/>
          <w:color w:val="000000"/>
          <w:sz w:val="21"/>
          <w:szCs w:val="21"/>
        </w:rPr>
        <w:t>21.13中标单位施工时，有噪音产生的工序，应尽量避免中午休息时段施工，如收到相关投诉，应立即制止。</w:t>
      </w:r>
    </w:p>
    <w:p w14:paraId="35F1EEF7">
      <w:pPr>
        <w:pageBreakBefore w:val="0"/>
        <w:kinsoku/>
        <w:wordWrap/>
        <w:overflowPunct/>
        <w:topLinePunct w:val="0"/>
        <w:bidi w:val="0"/>
        <w:adjustRightInd w:val="0"/>
        <w:snapToGrid/>
        <w:spacing w:line="440" w:lineRule="exact"/>
        <w:ind w:left="420" w:leftChars="200" w:right="420" w:rightChars="200" w:firstLine="420" w:firstLineChars="200"/>
        <w:textAlignment w:val="auto"/>
        <w:rPr>
          <w:rFonts w:hint="eastAsia" w:ascii="宋体" w:hAnsi="宋体"/>
          <w:color w:val="000000"/>
          <w:sz w:val="21"/>
          <w:szCs w:val="21"/>
        </w:rPr>
      </w:pPr>
      <w:r>
        <w:rPr>
          <w:rFonts w:hint="eastAsia" w:ascii="宋体" w:hAnsi="宋体"/>
          <w:color w:val="000000"/>
          <w:sz w:val="21"/>
          <w:szCs w:val="21"/>
        </w:rPr>
        <w:t>21.14工程预算书中</w:t>
      </w:r>
      <w:r>
        <w:rPr>
          <w:rFonts w:hint="eastAsia" w:ascii="宋体" w:hAnsi="宋体"/>
          <w:color w:val="000000"/>
          <w:sz w:val="21"/>
          <w:szCs w:val="21"/>
          <w:lang w:val="en-US" w:eastAsia="zh-CN"/>
        </w:rPr>
        <w:t>如</w:t>
      </w:r>
      <w:r>
        <w:rPr>
          <w:rFonts w:hint="eastAsia" w:ascii="宋体" w:hAnsi="宋体"/>
          <w:color w:val="000000"/>
          <w:sz w:val="21"/>
          <w:szCs w:val="21"/>
        </w:rPr>
        <w:t>提供的三个品牌供各投标人自行选择；实际施工过程中如因品牌缺货或有其他特殊情况，经招标人和监理同意后，可以更换同档次或优于提供品牌的产品，其价格不作调整。</w:t>
      </w:r>
    </w:p>
    <w:p w14:paraId="1A04DCB1">
      <w:pPr>
        <w:pageBreakBefore w:val="0"/>
        <w:kinsoku/>
        <w:wordWrap/>
        <w:overflowPunct/>
        <w:topLinePunct w:val="0"/>
        <w:bidi w:val="0"/>
        <w:adjustRightInd w:val="0"/>
        <w:snapToGrid/>
        <w:spacing w:line="440" w:lineRule="exact"/>
        <w:ind w:left="420" w:leftChars="200" w:right="420" w:rightChars="200" w:firstLine="420" w:firstLineChars="200"/>
        <w:textAlignment w:val="auto"/>
        <w:rPr>
          <w:rFonts w:hint="eastAsia" w:ascii="宋体" w:hAnsi="宋体"/>
          <w:color w:val="000000"/>
          <w:sz w:val="21"/>
          <w:szCs w:val="21"/>
        </w:rPr>
      </w:pPr>
      <w:r>
        <w:rPr>
          <w:rFonts w:hint="eastAsia" w:ascii="宋体" w:hAnsi="宋体"/>
          <w:color w:val="000000"/>
          <w:sz w:val="21"/>
          <w:szCs w:val="21"/>
        </w:rPr>
        <w:t>21.15本合同未尽事宜，由双方协商解决。</w:t>
      </w:r>
    </w:p>
    <w:p w14:paraId="10FD5B64">
      <w:pPr>
        <w:pageBreakBefore w:val="0"/>
        <w:kinsoku/>
        <w:wordWrap/>
        <w:overflowPunct/>
        <w:topLinePunct w:val="0"/>
        <w:bidi w:val="0"/>
        <w:adjustRightInd w:val="0"/>
        <w:snapToGrid/>
        <w:spacing w:line="440" w:lineRule="exact"/>
        <w:ind w:left="420" w:leftChars="200" w:right="420" w:rightChars="200"/>
        <w:textAlignment w:val="auto"/>
        <w:rPr>
          <w:rFonts w:hint="eastAsia" w:ascii="仿宋" w:hAnsi="仿宋" w:eastAsia="仿宋" w:cs="仿宋"/>
          <w:b/>
          <w:sz w:val="21"/>
          <w:szCs w:val="21"/>
        </w:rPr>
      </w:pPr>
      <w:r>
        <w:rPr>
          <w:rFonts w:hint="eastAsia" w:ascii="宋体" w:hAnsi="宋体" w:cs="宋体"/>
          <w:b/>
          <w:color w:val="000000"/>
          <w:sz w:val="21"/>
          <w:szCs w:val="21"/>
        </w:rPr>
        <w:br w:type="page"/>
      </w:r>
      <w:bookmarkEnd w:id="66"/>
      <w:bookmarkStart w:id="972" w:name="_Toc86217003"/>
      <w:bookmarkStart w:id="973" w:name="第五部分"/>
      <w:bookmarkStart w:id="974" w:name="_Toc20617"/>
    </w:p>
    <w:p w14:paraId="0725E1E4">
      <w:pPr>
        <w:pageBreakBefore w:val="0"/>
        <w:kinsoku/>
        <w:wordWrap/>
        <w:overflowPunct/>
        <w:topLinePunct w:val="0"/>
        <w:bidi w:val="0"/>
        <w:adjustRightInd w:val="0"/>
        <w:snapToGrid/>
        <w:spacing w:line="440" w:lineRule="exact"/>
        <w:ind w:left="420" w:leftChars="200" w:right="420" w:rightChars="200" w:firstLine="640" w:firstLineChars="200"/>
        <w:jc w:val="center"/>
        <w:textAlignment w:val="auto"/>
        <w:rPr>
          <w:rFonts w:hint="eastAsia" w:ascii="黑体" w:hAnsi="宋体" w:eastAsia="黑体" w:cs="宋体"/>
          <w:color w:val="000000"/>
          <w:sz w:val="32"/>
          <w:szCs w:val="32"/>
          <w:lang w:val="zh-CN"/>
        </w:rPr>
      </w:pPr>
      <w:bookmarkStart w:id="975" w:name="_Toc24679"/>
      <w:r>
        <w:rPr>
          <w:rFonts w:hint="eastAsia" w:ascii="黑体" w:hAnsi="宋体" w:eastAsia="黑体" w:cs="宋体"/>
          <w:color w:val="000000"/>
          <w:sz w:val="32"/>
          <w:szCs w:val="32"/>
          <w:lang w:val="zh-CN"/>
        </w:rPr>
        <w:t>工程项目廉政合同</w:t>
      </w:r>
    </w:p>
    <w:p w14:paraId="7F6505AD">
      <w:pPr>
        <w:pageBreakBefore w:val="0"/>
        <w:kinsoku/>
        <w:wordWrap/>
        <w:overflowPunct/>
        <w:topLinePunct w:val="0"/>
        <w:autoSpaceDE w:val="0"/>
        <w:autoSpaceDN w:val="0"/>
        <w:bidi w:val="0"/>
        <w:adjustRightInd w:val="0"/>
        <w:snapToGrid/>
        <w:spacing w:line="440" w:lineRule="exact"/>
        <w:ind w:left="420" w:leftChars="200" w:right="420" w:rightChars="200"/>
        <w:jc w:val="center"/>
        <w:textAlignment w:val="auto"/>
        <w:outlineLvl w:val="1"/>
        <w:rPr>
          <w:rFonts w:hint="eastAsia" w:ascii="黑体" w:hAnsi="宋体" w:eastAsia="黑体" w:cs="宋体"/>
          <w:color w:val="000000"/>
          <w:sz w:val="21"/>
          <w:szCs w:val="21"/>
          <w:lang w:val="zh-CN"/>
        </w:rPr>
      </w:pPr>
    </w:p>
    <w:p w14:paraId="2B18AE69">
      <w:pPr>
        <w:pageBreakBefore w:val="0"/>
        <w:kinsoku/>
        <w:wordWrap/>
        <w:overflowPunct/>
        <w:topLinePunct w:val="0"/>
        <w:autoSpaceDE w:val="0"/>
        <w:autoSpaceDN w:val="0"/>
        <w:bidi w:val="0"/>
        <w:adjustRightInd w:val="0"/>
        <w:snapToGrid/>
        <w:spacing w:line="440" w:lineRule="exact"/>
        <w:ind w:left="420" w:leftChars="200" w:right="420" w:rightChars="200"/>
        <w:jc w:val="left"/>
        <w:textAlignment w:val="auto"/>
        <w:rPr>
          <w:rFonts w:hint="eastAsia" w:ascii="宋体" w:hAnsi="宋体" w:cs="宋体"/>
          <w:color w:val="000000"/>
          <w:sz w:val="21"/>
          <w:szCs w:val="21"/>
          <w:u w:val="single"/>
        </w:rPr>
      </w:pPr>
      <w:r>
        <w:rPr>
          <w:rFonts w:hint="eastAsia" w:ascii="宋体" w:hAnsi="宋体" w:cs="宋体"/>
          <w:color w:val="000000"/>
          <w:sz w:val="21"/>
          <w:szCs w:val="21"/>
          <w:lang w:val="zh-CN"/>
        </w:rPr>
        <w:t>工程项目名称：</w:t>
      </w:r>
      <w:r>
        <w:rPr>
          <w:rFonts w:hint="eastAsia" w:ascii="宋体" w:hAnsi="宋体" w:cs="宋体"/>
          <w:color w:val="000000"/>
          <w:sz w:val="21"/>
          <w:szCs w:val="21"/>
          <w:u w:val="single"/>
        </w:rPr>
        <w:t xml:space="preserve">                                   </w:t>
      </w:r>
      <w:r>
        <w:rPr>
          <w:rFonts w:hint="eastAsia" w:ascii="宋体" w:hAnsi="宋体" w:cs="宋体"/>
          <w:color w:val="000000"/>
          <w:sz w:val="21"/>
          <w:szCs w:val="21"/>
          <w:u w:val="single"/>
          <w:lang w:val="zh-CN"/>
        </w:rPr>
        <w:t xml:space="preserve"> </w:t>
      </w:r>
    </w:p>
    <w:p w14:paraId="26E109A3">
      <w:pPr>
        <w:pageBreakBefore w:val="0"/>
        <w:kinsoku/>
        <w:wordWrap/>
        <w:overflowPunct/>
        <w:topLinePunct w:val="0"/>
        <w:autoSpaceDE w:val="0"/>
        <w:autoSpaceDN w:val="0"/>
        <w:bidi w:val="0"/>
        <w:adjustRightInd w:val="0"/>
        <w:snapToGrid/>
        <w:spacing w:line="440" w:lineRule="exact"/>
        <w:ind w:left="420" w:leftChars="200" w:right="420" w:rightChars="200"/>
        <w:jc w:val="left"/>
        <w:textAlignment w:val="auto"/>
        <w:rPr>
          <w:rFonts w:hint="eastAsia" w:ascii="宋体" w:hAnsi="宋体" w:cs="宋体"/>
          <w:color w:val="000000"/>
          <w:sz w:val="21"/>
          <w:szCs w:val="21"/>
          <w:lang w:val="zh-CN"/>
        </w:rPr>
      </w:pPr>
      <w:r>
        <w:rPr>
          <w:rFonts w:hint="eastAsia" w:ascii="宋体" w:hAnsi="宋体" w:cs="宋体"/>
          <w:color w:val="000000"/>
          <w:sz w:val="21"/>
          <w:szCs w:val="21"/>
          <w:lang w:val="zh-CN"/>
        </w:rPr>
        <w:t>发包人名称(以下称甲方)：</w:t>
      </w:r>
      <w:r>
        <w:rPr>
          <w:rFonts w:hint="eastAsia" w:ascii="宋体" w:hAnsi="宋体" w:cs="宋体"/>
          <w:color w:val="000000"/>
          <w:sz w:val="21"/>
          <w:szCs w:val="21"/>
          <w:u w:val="single"/>
        </w:rPr>
        <w:t xml:space="preserve">                         </w:t>
      </w:r>
      <w:r>
        <w:rPr>
          <w:rFonts w:hint="eastAsia" w:ascii="宋体" w:hAnsi="宋体" w:cs="宋体"/>
          <w:color w:val="000000"/>
          <w:sz w:val="21"/>
          <w:szCs w:val="21"/>
          <w:u w:val="single"/>
          <w:lang w:val="zh-CN"/>
        </w:rPr>
        <w:t xml:space="preserve"> </w:t>
      </w:r>
    </w:p>
    <w:p w14:paraId="30A113EF">
      <w:pPr>
        <w:pageBreakBefore w:val="0"/>
        <w:kinsoku/>
        <w:wordWrap/>
        <w:overflowPunct/>
        <w:topLinePunct w:val="0"/>
        <w:bidi w:val="0"/>
        <w:adjustRightInd w:val="0"/>
        <w:snapToGrid/>
        <w:spacing w:line="440" w:lineRule="exact"/>
        <w:ind w:left="420" w:leftChars="200" w:right="420" w:rightChars="200"/>
        <w:textAlignment w:val="auto"/>
        <w:rPr>
          <w:rFonts w:hint="eastAsia" w:ascii="宋体" w:hAnsi="宋体" w:cs="宋体"/>
          <w:color w:val="000000"/>
          <w:sz w:val="21"/>
          <w:szCs w:val="21"/>
          <w:lang w:val="zh-CN"/>
        </w:rPr>
      </w:pPr>
      <w:r>
        <w:rPr>
          <w:rFonts w:hint="eastAsia" w:ascii="宋体" w:hAnsi="宋体" w:cs="宋体"/>
          <w:color w:val="000000"/>
          <w:sz w:val="21"/>
          <w:szCs w:val="21"/>
          <w:lang w:val="zh-CN"/>
        </w:rPr>
        <w:t>承包人名称(以下称乙方)：</w:t>
      </w:r>
      <w:r>
        <w:rPr>
          <w:rFonts w:hint="eastAsia" w:ascii="宋体" w:hAnsi="宋体" w:cs="宋体"/>
          <w:color w:val="000000"/>
          <w:sz w:val="21"/>
          <w:szCs w:val="21"/>
          <w:u w:val="single"/>
        </w:rPr>
        <w:t xml:space="preserve">                          </w:t>
      </w:r>
      <w:r>
        <w:rPr>
          <w:rFonts w:hint="eastAsia" w:ascii="宋体" w:hAnsi="宋体" w:cs="宋体"/>
          <w:color w:val="000000"/>
          <w:sz w:val="21"/>
          <w:szCs w:val="21"/>
          <w:lang w:val="zh-CN"/>
        </w:rPr>
        <w:t xml:space="preserve">  </w:t>
      </w:r>
    </w:p>
    <w:p w14:paraId="7D17E41E">
      <w:pPr>
        <w:pageBreakBefore w:val="0"/>
        <w:kinsoku/>
        <w:wordWrap/>
        <w:overflowPunct/>
        <w:topLinePunct w:val="0"/>
        <w:autoSpaceDE w:val="0"/>
        <w:autoSpaceDN w:val="0"/>
        <w:bidi w:val="0"/>
        <w:adjustRightInd w:val="0"/>
        <w:snapToGrid/>
        <w:spacing w:line="440" w:lineRule="exact"/>
        <w:ind w:left="420" w:leftChars="200" w:right="420" w:rightChars="200" w:firstLine="420" w:firstLineChars="200"/>
        <w:jc w:val="left"/>
        <w:textAlignment w:val="auto"/>
        <w:rPr>
          <w:rFonts w:hint="eastAsia" w:ascii="宋体" w:hAnsi="宋体" w:cs="宋体"/>
          <w:color w:val="000000"/>
          <w:sz w:val="21"/>
          <w:szCs w:val="21"/>
          <w:lang w:val="zh-CN"/>
        </w:rPr>
      </w:pPr>
      <w:r>
        <w:rPr>
          <w:rFonts w:hint="eastAsia" w:ascii="宋体" w:hAnsi="宋体" w:cs="宋体"/>
          <w:color w:val="000000"/>
          <w:sz w:val="21"/>
          <w:szCs w:val="21"/>
          <w:lang w:val="zh-CN"/>
        </w:rPr>
        <w:t xml:space="preserve">为加强工程建设中的廉政建设，规范工程项目承包、发包双方的各项活动，防止发生各种谋取不正当利益的违法违纪行为，保护国家、集体和当事人的合法权益，根据国家有关工程建设的法律法规和廉政建设规定，特订立本廉政合同。    </w:t>
      </w:r>
    </w:p>
    <w:p w14:paraId="0971C5BE">
      <w:pPr>
        <w:pageBreakBefore w:val="0"/>
        <w:kinsoku/>
        <w:wordWrap/>
        <w:overflowPunct/>
        <w:topLinePunct w:val="0"/>
        <w:autoSpaceDE w:val="0"/>
        <w:autoSpaceDN w:val="0"/>
        <w:bidi w:val="0"/>
        <w:adjustRightInd w:val="0"/>
        <w:snapToGrid/>
        <w:spacing w:line="440" w:lineRule="exact"/>
        <w:ind w:left="420" w:leftChars="200" w:right="420" w:rightChars="200" w:firstLine="420" w:firstLineChars="200"/>
        <w:jc w:val="left"/>
        <w:textAlignment w:val="auto"/>
        <w:rPr>
          <w:rFonts w:hint="eastAsia" w:ascii="宋体" w:hAnsi="宋体" w:cs="宋体"/>
          <w:color w:val="000000"/>
          <w:sz w:val="21"/>
          <w:szCs w:val="21"/>
          <w:lang w:val="zh-CN"/>
        </w:rPr>
      </w:pPr>
      <w:r>
        <w:rPr>
          <w:rFonts w:hint="eastAsia" w:ascii="宋体" w:hAnsi="宋体" w:cs="宋体"/>
          <w:color w:val="000000"/>
          <w:sz w:val="21"/>
          <w:szCs w:val="21"/>
          <w:lang w:val="zh-CN"/>
        </w:rPr>
        <w:t xml:space="preserve">第一条  甲乙双方的权利和义务    </w:t>
      </w:r>
    </w:p>
    <w:p w14:paraId="39902A3E">
      <w:pPr>
        <w:pageBreakBefore w:val="0"/>
        <w:kinsoku/>
        <w:wordWrap/>
        <w:overflowPunct/>
        <w:topLinePunct w:val="0"/>
        <w:autoSpaceDE w:val="0"/>
        <w:autoSpaceDN w:val="0"/>
        <w:bidi w:val="0"/>
        <w:adjustRightInd w:val="0"/>
        <w:snapToGrid/>
        <w:spacing w:line="440" w:lineRule="exact"/>
        <w:ind w:left="420" w:leftChars="200" w:right="420" w:rightChars="200" w:firstLine="420" w:firstLineChars="200"/>
        <w:jc w:val="left"/>
        <w:textAlignment w:val="auto"/>
        <w:rPr>
          <w:rFonts w:hint="eastAsia" w:ascii="宋体" w:hAnsi="宋体" w:cs="宋体"/>
          <w:color w:val="000000"/>
          <w:sz w:val="21"/>
          <w:szCs w:val="21"/>
          <w:lang w:val="zh-CN"/>
        </w:rPr>
      </w:pPr>
      <w:r>
        <w:rPr>
          <w:rFonts w:hint="eastAsia" w:ascii="宋体" w:hAnsi="宋体" w:cs="宋体"/>
          <w:color w:val="000000"/>
          <w:sz w:val="21"/>
          <w:szCs w:val="21"/>
          <w:lang w:val="zh-CN"/>
        </w:rPr>
        <w:t xml:space="preserve">(一)严格遵守国家关于市场准入、勘测设计、施工监理、招标询价、工程施工、设备安装和市场经营活动等有关法律法规和相关政策，以及廉政建设的各项规定。    </w:t>
      </w:r>
    </w:p>
    <w:p w14:paraId="20ABD138">
      <w:pPr>
        <w:pageBreakBefore w:val="0"/>
        <w:kinsoku/>
        <w:wordWrap/>
        <w:overflowPunct/>
        <w:topLinePunct w:val="0"/>
        <w:autoSpaceDE w:val="0"/>
        <w:autoSpaceDN w:val="0"/>
        <w:bidi w:val="0"/>
        <w:adjustRightInd w:val="0"/>
        <w:snapToGrid/>
        <w:spacing w:line="440" w:lineRule="exact"/>
        <w:ind w:left="420" w:leftChars="200" w:right="420" w:rightChars="200" w:firstLine="420" w:firstLineChars="200"/>
        <w:jc w:val="left"/>
        <w:textAlignment w:val="auto"/>
        <w:rPr>
          <w:rFonts w:hint="eastAsia" w:ascii="宋体" w:hAnsi="宋体" w:cs="宋体"/>
          <w:color w:val="000000"/>
          <w:sz w:val="21"/>
          <w:szCs w:val="21"/>
          <w:lang w:val="zh-CN"/>
        </w:rPr>
      </w:pPr>
      <w:r>
        <w:rPr>
          <w:rFonts w:hint="eastAsia" w:ascii="宋体" w:hAnsi="宋体" w:cs="宋体"/>
          <w:color w:val="000000"/>
          <w:sz w:val="21"/>
          <w:szCs w:val="21"/>
          <w:lang w:val="zh-CN"/>
        </w:rPr>
        <w:t xml:space="preserve">(二)严格执行本项目发包承包双方签订的 (施工合同、监理合同、勘测设计合同、采购合同、代理合同等)合同，自觉按合同办事。    </w:t>
      </w:r>
    </w:p>
    <w:p w14:paraId="036203D6">
      <w:pPr>
        <w:pageBreakBefore w:val="0"/>
        <w:kinsoku/>
        <w:wordWrap/>
        <w:overflowPunct/>
        <w:topLinePunct w:val="0"/>
        <w:autoSpaceDE w:val="0"/>
        <w:autoSpaceDN w:val="0"/>
        <w:bidi w:val="0"/>
        <w:adjustRightInd w:val="0"/>
        <w:snapToGrid/>
        <w:spacing w:line="440" w:lineRule="exact"/>
        <w:ind w:left="420" w:leftChars="200" w:right="420" w:rightChars="200" w:firstLine="420" w:firstLineChars="200"/>
        <w:jc w:val="left"/>
        <w:textAlignment w:val="auto"/>
        <w:rPr>
          <w:rFonts w:hint="eastAsia" w:ascii="宋体" w:hAnsi="宋体" w:cs="宋体"/>
          <w:color w:val="000000"/>
          <w:sz w:val="21"/>
          <w:szCs w:val="21"/>
          <w:lang w:val="zh-CN"/>
        </w:rPr>
      </w:pPr>
      <w:r>
        <w:rPr>
          <w:rFonts w:hint="eastAsia" w:ascii="宋体" w:hAnsi="宋体" w:cs="宋体"/>
          <w:color w:val="000000"/>
          <w:sz w:val="21"/>
          <w:szCs w:val="21"/>
          <w:lang w:val="zh-CN"/>
        </w:rPr>
        <w:t xml:space="preserve">(三)业务活动必须坚持公开、公平、公正、诚信、透明的原则(除法律法规认定的商业秘密和合同文件另有规定者外)，双方人员不得为获取不正当的利益，就工程费用、材料供应、工程量变动、工程验收、工程质量等问题进行私下商谈或达成默契，不得损害国家和集体利益，违反工程建设管理规章制度。    </w:t>
      </w:r>
    </w:p>
    <w:p w14:paraId="2299EE15">
      <w:pPr>
        <w:pageBreakBefore w:val="0"/>
        <w:kinsoku/>
        <w:wordWrap/>
        <w:overflowPunct/>
        <w:topLinePunct w:val="0"/>
        <w:autoSpaceDE w:val="0"/>
        <w:autoSpaceDN w:val="0"/>
        <w:bidi w:val="0"/>
        <w:adjustRightInd w:val="0"/>
        <w:snapToGrid/>
        <w:spacing w:line="440" w:lineRule="exact"/>
        <w:ind w:left="420" w:leftChars="200" w:right="420" w:rightChars="200" w:firstLine="420" w:firstLineChars="200"/>
        <w:jc w:val="left"/>
        <w:textAlignment w:val="auto"/>
        <w:rPr>
          <w:rFonts w:hint="eastAsia" w:ascii="宋体" w:hAnsi="宋体" w:cs="宋体"/>
          <w:color w:val="000000"/>
          <w:sz w:val="21"/>
          <w:szCs w:val="21"/>
          <w:lang w:val="zh-CN"/>
        </w:rPr>
      </w:pPr>
      <w:r>
        <w:rPr>
          <w:rFonts w:hint="eastAsia" w:ascii="宋体" w:hAnsi="宋体" w:cs="宋体"/>
          <w:color w:val="000000"/>
          <w:sz w:val="21"/>
          <w:szCs w:val="21"/>
          <w:lang w:val="zh-CN"/>
        </w:rPr>
        <w:t xml:space="preserve">(四)建立健全廉政制度，开展廉政教育，设立廉政告示牌，公布举报电话，监督违法违纪行为。发现对方在业务活动中有违反本合同行为的，有及时提醒对方纠正的权利和义务。情节严重的，有向有关部门举报、建议给予处理并要求告知处理结果的权利。    </w:t>
      </w:r>
    </w:p>
    <w:p w14:paraId="609B2703">
      <w:pPr>
        <w:pageBreakBefore w:val="0"/>
        <w:kinsoku/>
        <w:wordWrap/>
        <w:overflowPunct/>
        <w:topLinePunct w:val="0"/>
        <w:autoSpaceDE w:val="0"/>
        <w:autoSpaceDN w:val="0"/>
        <w:bidi w:val="0"/>
        <w:adjustRightInd w:val="0"/>
        <w:snapToGrid/>
        <w:spacing w:line="440" w:lineRule="exact"/>
        <w:ind w:left="420" w:leftChars="200" w:right="420" w:rightChars="200" w:firstLine="420" w:firstLineChars="200"/>
        <w:jc w:val="left"/>
        <w:textAlignment w:val="auto"/>
        <w:rPr>
          <w:rFonts w:hint="eastAsia" w:ascii="宋体" w:hAnsi="宋体" w:cs="宋体"/>
          <w:color w:val="000000"/>
          <w:sz w:val="21"/>
          <w:szCs w:val="21"/>
          <w:lang w:val="zh-CN"/>
        </w:rPr>
      </w:pPr>
      <w:r>
        <w:rPr>
          <w:rFonts w:hint="eastAsia" w:ascii="宋体" w:hAnsi="宋体" w:cs="宋体"/>
          <w:color w:val="000000"/>
          <w:sz w:val="21"/>
          <w:szCs w:val="21"/>
          <w:lang w:val="zh-CN"/>
        </w:rPr>
        <w:t xml:space="preserve">第二条  甲方的责任    </w:t>
      </w:r>
    </w:p>
    <w:p w14:paraId="0DA3F6FC">
      <w:pPr>
        <w:pageBreakBefore w:val="0"/>
        <w:kinsoku/>
        <w:wordWrap/>
        <w:overflowPunct/>
        <w:topLinePunct w:val="0"/>
        <w:autoSpaceDE w:val="0"/>
        <w:autoSpaceDN w:val="0"/>
        <w:bidi w:val="0"/>
        <w:adjustRightInd w:val="0"/>
        <w:snapToGrid/>
        <w:spacing w:line="440" w:lineRule="exact"/>
        <w:ind w:left="420" w:leftChars="200" w:right="420" w:rightChars="200" w:firstLine="420" w:firstLineChars="200"/>
        <w:jc w:val="left"/>
        <w:textAlignment w:val="auto"/>
        <w:rPr>
          <w:rFonts w:hint="eastAsia" w:ascii="宋体" w:hAnsi="宋体" w:cs="宋体"/>
          <w:color w:val="000000"/>
          <w:sz w:val="21"/>
          <w:szCs w:val="21"/>
          <w:lang w:val="zh-CN"/>
        </w:rPr>
      </w:pPr>
      <w:r>
        <w:rPr>
          <w:rFonts w:hint="eastAsia" w:ascii="宋体" w:hAnsi="宋体" w:cs="宋体"/>
          <w:color w:val="000000"/>
          <w:sz w:val="21"/>
          <w:szCs w:val="21"/>
          <w:lang w:val="zh-CN"/>
        </w:rPr>
        <w:t xml:space="preserve">甲方的负责人和从事该工程项目的工作人员，在工程项目的事前、事中、事后应遵守以下规定：    </w:t>
      </w:r>
    </w:p>
    <w:p w14:paraId="2DDECEB1">
      <w:pPr>
        <w:pageBreakBefore w:val="0"/>
        <w:kinsoku/>
        <w:wordWrap/>
        <w:overflowPunct/>
        <w:topLinePunct w:val="0"/>
        <w:autoSpaceDE w:val="0"/>
        <w:autoSpaceDN w:val="0"/>
        <w:bidi w:val="0"/>
        <w:adjustRightInd w:val="0"/>
        <w:snapToGrid/>
        <w:spacing w:line="440" w:lineRule="exact"/>
        <w:ind w:left="420" w:leftChars="200" w:right="420" w:rightChars="200" w:firstLine="420" w:firstLineChars="200"/>
        <w:jc w:val="left"/>
        <w:textAlignment w:val="auto"/>
        <w:rPr>
          <w:rFonts w:hint="eastAsia" w:ascii="宋体" w:hAnsi="宋体" w:cs="宋体"/>
          <w:color w:val="000000"/>
          <w:sz w:val="21"/>
          <w:szCs w:val="21"/>
          <w:lang w:val="zh-CN"/>
        </w:rPr>
      </w:pPr>
      <w:r>
        <w:rPr>
          <w:rFonts w:hint="eastAsia" w:ascii="宋体" w:hAnsi="宋体" w:cs="宋体"/>
          <w:color w:val="000000"/>
          <w:sz w:val="21"/>
          <w:szCs w:val="21"/>
          <w:lang w:val="zh-CN"/>
        </w:rPr>
        <w:t xml:space="preserve">(一)不以任何理由向乙方索要或接受回扣、礼金、有价证券、贵重物品和好处费、感谢费等；不在乙方报销应由甲方或个人支付的费用。    </w:t>
      </w:r>
    </w:p>
    <w:p w14:paraId="7636F26A">
      <w:pPr>
        <w:pageBreakBefore w:val="0"/>
        <w:kinsoku/>
        <w:wordWrap/>
        <w:overflowPunct/>
        <w:topLinePunct w:val="0"/>
        <w:autoSpaceDE w:val="0"/>
        <w:autoSpaceDN w:val="0"/>
        <w:bidi w:val="0"/>
        <w:adjustRightInd w:val="0"/>
        <w:snapToGrid/>
        <w:spacing w:line="440" w:lineRule="exact"/>
        <w:ind w:left="420" w:leftChars="200" w:right="420" w:rightChars="200" w:firstLine="420" w:firstLineChars="200"/>
        <w:jc w:val="left"/>
        <w:textAlignment w:val="auto"/>
        <w:rPr>
          <w:rFonts w:hint="eastAsia" w:ascii="宋体" w:hAnsi="宋体" w:cs="宋体"/>
          <w:color w:val="000000"/>
          <w:sz w:val="21"/>
          <w:szCs w:val="21"/>
          <w:lang w:val="zh-CN"/>
        </w:rPr>
      </w:pPr>
      <w:r>
        <w:rPr>
          <w:rFonts w:hint="eastAsia" w:ascii="宋体" w:hAnsi="宋体" w:cs="宋体"/>
          <w:color w:val="000000"/>
          <w:sz w:val="21"/>
          <w:szCs w:val="21"/>
          <w:lang w:val="zh-CN"/>
        </w:rPr>
        <w:t xml:space="preserve">(二)不参加乙方安排的宴请及其他消费活动；不接受乙方提供的通讯工具、交通工具、高档办公用品等。    </w:t>
      </w:r>
    </w:p>
    <w:p w14:paraId="3FDD1A7A">
      <w:pPr>
        <w:pageBreakBefore w:val="0"/>
        <w:kinsoku/>
        <w:wordWrap/>
        <w:overflowPunct/>
        <w:topLinePunct w:val="0"/>
        <w:autoSpaceDE w:val="0"/>
        <w:autoSpaceDN w:val="0"/>
        <w:bidi w:val="0"/>
        <w:adjustRightInd w:val="0"/>
        <w:snapToGrid/>
        <w:spacing w:line="440" w:lineRule="exact"/>
        <w:ind w:left="420" w:leftChars="200" w:right="420" w:rightChars="200" w:firstLine="420" w:firstLineChars="200"/>
        <w:jc w:val="left"/>
        <w:textAlignment w:val="auto"/>
        <w:rPr>
          <w:rFonts w:hint="eastAsia" w:ascii="宋体" w:hAnsi="宋体" w:cs="宋体"/>
          <w:color w:val="000000"/>
          <w:sz w:val="21"/>
          <w:szCs w:val="21"/>
          <w:lang w:val="zh-CN"/>
        </w:rPr>
      </w:pPr>
      <w:r>
        <w:rPr>
          <w:rFonts w:hint="eastAsia" w:ascii="宋体" w:hAnsi="宋体" w:cs="宋体"/>
          <w:color w:val="000000"/>
          <w:sz w:val="21"/>
          <w:szCs w:val="21"/>
          <w:lang w:val="zh-CN"/>
        </w:rPr>
        <w:t xml:space="preserve">(三)不要求、暗示和接受乙方为个人装修住房、为配偶子女的工作安排以及本人或亲属旅游、出国(境)等提供方便。    </w:t>
      </w:r>
    </w:p>
    <w:p w14:paraId="68996936">
      <w:pPr>
        <w:pageBreakBefore w:val="0"/>
        <w:kinsoku/>
        <w:wordWrap/>
        <w:overflowPunct/>
        <w:topLinePunct w:val="0"/>
        <w:autoSpaceDE w:val="0"/>
        <w:autoSpaceDN w:val="0"/>
        <w:bidi w:val="0"/>
        <w:adjustRightInd w:val="0"/>
        <w:snapToGrid/>
        <w:spacing w:line="440" w:lineRule="exact"/>
        <w:ind w:left="420" w:leftChars="200" w:right="420" w:rightChars="200" w:firstLine="420" w:firstLineChars="200"/>
        <w:jc w:val="left"/>
        <w:textAlignment w:val="auto"/>
        <w:rPr>
          <w:rFonts w:hint="eastAsia" w:ascii="宋体" w:hAnsi="宋体" w:cs="宋体"/>
          <w:color w:val="000000"/>
          <w:sz w:val="21"/>
          <w:szCs w:val="21"/>
          <w:lang w:val="zh-CN"/>
        </w:rPr>
      </w:pPr>
      <w:r>
        <w:rPr>
          <w:rFonts w:hint="eastAsia" w:ascii="宋体" w:hAnsi="宋体" w:cs="宋体"/>
          <w:color w:val="000000"/>
          <w:sz w:val="21"/>
          <w:szCs w:val="21"/>
          <w:lang w:val="zh-CN"/>
        </w:rPr>
        <w:t xml:space="preserve">(四)配偶、子女不得从事与乙方承包工程有关的设备材料供应、工程分包、劳务等经济活动。    </w:t>
      </w:r>
    </w:p>
    <w:p w14:paraId="57F6DDF4">
      <w:pPr>
        <w:pageBreakBefore w:val="0"/>
        <w:kinsoku/>
        <w:wordWrap/>
        <w:overflowPunct/>
        <w:topLinePunct w:val="0"/>
        <w:autoSpaceDE w:val="0"/>
        <w:autoSpaceDN w:val="0"/>
        <w:bidi w:val="0"/>
        <w:adjustRightInd w:val="0"/>
        <w:snapToGrid/>
        <w:spacing w:line="440" w:lineRule="exact"/>
        <w:ind w:left="420" w:leftChars="200" w:right="420" w:rightChars="200" w:firstLine="315" w:firstLineChars="150"/>
        <w:jc w:val="left"/>
        <w:textAlignment w:val="auto"/>
        <w:rPr>
          <w:rFonts w:hint="eastAsia" w:ascii="宋体" w:hAnsi="宋体" w:cs="宋体"/>
          <w:color w:val="000000"/>
          <w:sz w:val="21"/>
          <w:szCs w:val="21"/>
          <w:lang w:val="zh-CN"/>
        </w:rPr>
      </w:pPr>
      <w:r>
        <w:rPr>
          <w:rFonts w:hint="eastAsia" w:ascii="宋体" w:hAnsi="宋体" w:cs="宋体"/>
          <w:color w:val="000000"/>
          <w:sz w:val="21"/>
          <w:szCs w:val="21"/>
          <w:lang w:val="zh-CN"/>
        </w:rPr>
        <w:t>（五)不以任何理由向乙方推荐分包人或要求乙方购买项目合同规定以外的材料、设备和服务等。</w:t>
      </w:r>
    </w:p>
    <w:p w14:paraId="3F0543EF">
      <w:pPr>
        <w:pageBreakBefore w:val="0"/>
        <w:kinsoku/>
        <w:wordWrap/>
        <w:overflowPunct/>
        <w:topLinePunct w:val="0"/>
        <w:autoSpaceDE w:val="0"/>
        <w:autoSpaceDN w:val="0"/>
        <w:bidi w:val="0"/>
        <w:adjustRightInd w:val="0"/>
        <w:snapToGrid/>
        <w:spacing w:line="440" w:lineRule="exact"/>
        <w:ind w:left="420" w:leftChars="200" w:right="420" w:rightChars="200" w:firstLine="420" w:firstLineChars="200"/>
        <w:jc w:val="left"/>
        <w:textAlignment w:val="auto"/>
        <w:rPr>
          <w:rFonts w:hint="eastAsia" w:ascii="宋体" w:hAnsi="宋体" w:cs="宋体"/>
          <w:color w:val="000000"/>
          <w:sz w:val="21"/>
          <w:szCs w:val="21"/>
          <w:lang w:val="zh-CN"/>
        </w:rPr>
      </w:pPr>
      <w:r>
        <w:rPr>
          <w:rFonts w:hint="eastAsia" w:ascii="宋体" w:hAnsi="宋体" w:cs="宋体"/>
          <w:color w:val="000000"/>
          <w:sz w:val="21"/>
          <w:szCs w:val="21"/>
          <w:lang w:val="zh-CN"/>
        </w:rPr>
        <w:t>第三条  乙方的责任</w:t>
      </w:r>
    </w:p>
    <w:p w14:paraId="22011326">
      <w:pPr>
        <w:pageBreakBefore w:val="0"/>
        <w:kinsoku/>
        <w:wordWrap/>
        <w:overflowPunct/>
        <w:topLinePunct w:val="0"/>
        <w:autoSpaceDE w:val="0"/>
        <w:autoSpaceDN w:val="0"/>
        <w:bidi w:val="0"/>
        <w:adjustRightInd w:val="0"/>
        <w:snapToGrid/>
        <w:spacing w:line="440" w:lineRule="exact"/>
        <w:ind w:left="420" w:leftChars="200" w:right="420" w:rightChars="200" w:firstLine="420" w:firstLineChars="200"/>
        <w:jc w:val="left"/>
        <w:textAlignment w:val="auto"/>
        <w:rPr>
          <w:rFonts w:hint="eastAsia" w:ascii="宋体" w:hAnsi="宋体" w:cs="宋体"/>
          <w:color w:val="000000"/>
          <w:sz w:val="21"/>
          <w:szCs w:val="21"/>
          <w:lang w:val="zh-CN"/>
        </w:rPr>
      </w:pPr>
      <w:r>
        <w:rPr>
          <w:rFonts w:hint="eastAsia" w:ascii="宋体" w:hAnsi="宋体" w:cs="宋体"/>
          <w:color w:val="000000"/>
          <w:sz w:val="21"/>
          <w:szCs w:val="21"/>
          <w:lang w:val="zh-CN"/>
        </w:rPr>
        <w:t xml:space="preserve">乙方应与甲方保持正常的业务交往，按照有关法律法规和程序丌展业务活动，严格执行工程建设的有关方针、政策，尤其是有关强制性标准和规范，并遵守以下规定：    </w:t>
      </w:r>
    </w:p>
    <w:p w14:paraId="30830BF5">
      <w:pPr>
        <w:pageBreakBefore w:val="0"/>
        <w:kinsoku/>
        <w:wordWrap/>
        <w:overflowPunct/>
        <w:topLinePunct w:val="0"/>
        <w:autoSpaceDE w:val="0"/>
        <w:autoSpaceDN w:val="0"/>
        <w:bidi w:val="0"/>
        <w:adjustRightInd w:val="0"/>
        <w:snapToGrid/>
        <w:spacing w:line="440" w:lineRule="exact"/>
        <w:ind w:left="420" w:leftChars="200" w:right="420" w:rightChars="200" w:firstLine="420" w:firstLineChars="200"/>
        <w:jc w:val="left"/>
        <w:textAlignment w:val="auto"/>
        <w:rPr>
          <w:rFonts w:hint="eastAsia" w:ascii="宋体" w:hAnsi="宋体" w:cs="宋体"/>
          <w:color w:val="000000"/>
          <w:sz w:val="21"/>
          <w:szCs w:val="21"/>
          <w:lang w:val="zh-CN"/>
        </w:rPr>
      </w:pPr>
      <w:r>
        <w:rPr>
          <w:rFonts w:hint="eastAsia" w:ascii="宋体" w:hAnsi="宋体" w:cs="宋体"/>
          <w:color w:val="000000"/>
          <w:sz w:val="21"/>
          <w:szCs w:val="21"/>
          <w:lang w:val="zh-CN"/>
        </w:rPr>
        <w:t xml:space="preserve">(一)不以任何理由向甲方及其工作人员行贿或赠送礼金、有价证券、贵重物品。    </w:t>
      </w:r>
    </w:p>
    <w:p w14:paraId="34C6CA53">
      <w:pPr>
        <w:pageBreakBefore w:val="0"/>
        <w:kinsoku/>
        <w:wordWrap/>
        <w:overflowPunct/>
        <w:topLinePunct w:val="0"/>
        <w:autoSpaceDE w:val="0"/>
        <w:autoSpaceDN w:val="0"/>
        <w:bidi w:val="0"/>
        <w:adjustRightInd w:val="0"/>
        <w:snapToGrid/>
        <w:spacing w:line="440" w:lineRule="exact"/>
        <w:ind w:left="420" w:leftChars="200" w:right="420" w:rightChars="200" w:firstLine="420" w:firstLineChars="200"/>
        <w:jc w:val="left"/>
        <w:textAlignment w:val="auto"/>
        <w:rPr>
          <w:rFonts w:hint="eastAsia" w:ascii="宋体" w:hAnsi="宋体" w:cs="宋体"/>
          <w:color w:val="000000"/>
          <w:sz w:val="21"/>
          <w:szCs w:val="21"/>
          <w:lang w:val="zh-CN"/>
        </w:rPr>
      </w:pPr>
      <w:r>
        <w:rPr>
          <w:rFonts w:hint="eastAsia" w:ascii="宋体" w:hAnsi="宋体" w:cs="宋体"/>
          <w:color w:val="000000"/>
          <w:sz w:val="21"/>
          <w:szCs w:val="21"/>
          <w:lang w:val="zh-CN"/>
        </w:rPr>
        <w:t xml:space="preserve">(二)不以任何名义为甲方及其工作人员报销应由对方支付的费用。    </w:t>
      </w:r>
    </w:p>
    <w:p w14:paraId="04BE182F">
      <w:pPr>
        <w:pageBreakBefore w:val="0"/>
        <w:kinsoku/>
        <w:wordWrap/>
        <w:overflowPunct/>
        <w:topLinePunct w:val="0"/>
        <w:autoSpaceDE w:val="0"/>
        <w:autoSpaceDN w:val="0"/>
        <w:bidi w:val="0"/>
        <w:adjustRightInd w:val="0"/>
        <w:snapToGrid/>
        <w:spacing w:line="440" w:lineRule="exact"/>
        <w:ind w:left="420" w:leftChars="200" w:right="420" w:rightChars="200" w:firstLine="420" w:firstLineChars="200"/>
        <w:jc w:val="left"/>
        <w:textAlignment w:val="auto"/>
        <w:rPr>
          <w:rFonts w:hint="eastAsia" w:ascii="宋体" w:hAnsi="宋体" w:cs="宋体"/>
          <w:color w:val="000000"/>
          <w:sz w:val="21"/>
          <w:szCs w:val="21"/>
          <w:lang w:val="zh-CN"/>
        </w:rPr>
      </w:pPr>
      <w:r>
        <w:rPr>
          <w:rFonts w:hint="eastAsia" w:ascii="宋体" w:hAnsi="宋体" w:cs="宋体"/>
          <w:color w:val="000000"/>
          <w:sz w:val="21"/>
          <w:szCs w:val="21"/>
          <w:lang w:val="zh-CN"/>
        </w:rPr>
        <w:t xml:space="preserve">(三)不以任何理由宴请甲方工作人员或安排其他消费活动。    </w:t>
      </w:r>
    </w:p>
    <w:p w14:paraId="61703530">
      <w:pPr>
        <w:pageBreakBefore w:val="0"/>
        <w:kinsoku/>
        <w:wordWrap/>
        <w:overflowPunct/>
        <w:topLinePunct w:val="0"/>
        <w:autoSpaceDE w:val="0"/>
        <w:autoSpaceDN w:val="0"/>
        <w:bidi w:val="0"/>
        <w:adjustRightInd w:val="0"/>
        <w:snapToGrid/>
        <w:spacing w:line="440" w:lineRule="exact"/>
        <w:ind w:left="420" w:leftChars="200" w:right="420" w:rightChars="200" w:firstLine="420" w:firstLineChars="200"/>
        <w:jc w:val="left"/>
        <w:textAlignment w:val="auto"/>
        <w:rPr>
          <w:rFonts w:hint="eastAsia" w:ascii="宋体" w:hAnsi="宋体" w:cs="宋体"/>
          <w:color w:val="000000"/>
          <w:sz w:val="21"/>
          <w:szCs w:val="21"/>
          <w:lang w:val="zh-CN"/>
        </w:rPr>
      </w:pPr>
      <w:r>
        <w:rPr>
          <w:rFonts w:hint="eastAsia" w:ascii="宋体" w:hAnsi="宋体" w:cs="宋体"/>
          <w:color w:val="000000"/>
          <w:sz w:val="21"/>
          <w:szCs w:val="21"/>
          <w:lang w:val="zh-CN"/>
        </w:rPr>
        <w:t xml:space="preserve">(四)不为甲方和工作人员购置或提供通讯工具、交通工具、高档办公用品和装修住房等。 </w:t>
      </w:r>
    </w:p>
    <w:p w14:paraId="61613E7B">
      <w:pPr>
        <w:pageBreakBefore w:val="0"/>
        <w:kinsoku/>
        <w:wordWrap/>
        <w:overflowPunct/>
        <w:topLinePunct w:val="0"/>
        <w:autoSpaceDE w:val="0"/>
        <w:autoSpaceDN w:val="0"/>
        <w:bidi w:val="0"/>
        <w:adjustRightInd w:val="0"/>
        <w:snapToGrid/>
        <w:spacing w:line="440" w:lineRule="exact"/>
        <w:ind w:left="420" w:leftChars="200" w:right="420" w:rightChars="200" w:firstLine="420" w:firstLineChars="200"/>
        <w:jc w:val="left"/>
        <w:textAlignment w:val="auto"/>
        <w:rPr>
          <w:rFonts w:hint="eastAsia" w:ascii="宋体" w:hAnsi="宋体" w:cs="宋体"/>
          <w:color w:val="000000"/>
          <w:sz w:val="21"/>
          <w:szCs w:val="21"/>
          <w:lang w:val="zh-CN"/>
        </w:rPr>
      </w:pPr>
      <w:r>
        <w:rPr>
          <w:rFonts w:hint="eastAsia" w:ascii="宋体" w:hAnsi="宋体" w:cs="宋体"/>
          <w:color w:val="000000"/>
          <w:sz w:val="21"/>
          <w:szCs w:val="21"/>
          <w:lang w:val="zh-CN"/>
        </w:rPr>
        <w:t xml:space="preserve">第四条  违约责任 </w:t>
      </w:r>
    </w:p>
    <w:p w14:paraId="00F4F685">
      <w:pPr>
        <w:pageBreakBefore w:val="0"/>
        <w:kinsoku/>
        <w:wordWrap/>
        <w:overflowPunct/>
        <w:topLinePunct w:val="0"/>
        <w:autoSpaceDE w:val="0"/>
        <w:autoSpaceDN w:val="0"/>
        <w:bidi w:val="0"/>
        <w:adjustRightInd w:val="0"/>
        <w:snapToGrid/>
        <w:spacing w:line="440" w:lineRule="exact"/>
        <w:ind w:left="420" w:leftChars="200" w:right="420" w:rightChars="200" w:firstLine="420" w:firstLineChars="200"/>
        <w:jc w:val="left"/>
        <w:textAlignment w:val="auto"/>
        <w:rPr>
          <w:rFonts w:hint="eastAsia" w:ascii="宋体" w:hAnsi="宋体" w:cs="宋体"/>
          <w:color w:val="000000"/>
          <w:sz w:val="21"/>
          <w:szCs w:val="21"/>
          <w:lang w:val="zh-CN"/>
        </w:rPr>
      </w:pPr>
      <w:r>
        <w:rPr>
          <w:rFonts w:hint="eastAsia" w:ascii="宋体" w:hAnsi="宋体" w:cs="宋体"/>
          <w:color w:val="000000"/>
          <w:sz w:val="21"/>
          <w:szCs w:val="21"/>
          <w:lang w:val="zh-CN"/>
        </w:rPr>
        <w:t xml:space="preserve">(一)甲方工作人员有违反本合同第一、二条责任行为的，按照管理权限，依据有关规定予以处理；涉嫌犯罪的，移交司法机关追究刑事责任；给乙方造成经济损失的，应予赔偿。符合不良行为记录、公示规定的，进行不良行为记录、公示。    </w:t>
      </w:r>
    </w:p>
    <w:p w14:paraId="666970BA">
      <w:pPr>
        <w:pageBreakBefore w:val="0"/>
        <w:kinsoku/>
        <w:wordWrap/>
        <w:overflowPunct/>
        <w:topLinePunct w:val="0"/>
        <w:autoSpaceDE w:val="0"/>
        <w:autoSpaceDN w:val="0"/>
        <w:bidi w:val="0"/>
        <w:adjustRightInd w:val="0"/>
        <w:snapToGrid/>
        <w:spacing w:line="440" w:lineRule="exact"/>
        <w:ind w:left="420" w:leftChars="200" w:right="420" w:rightChars="200" w:firstLine="420" w:firstLineChars="200"/>
        <w:jc w:val="left"/>
        <w:textAlignment w:val="auto"/>
        <w:rPr>
          <w:rFonts w:hint="eastAsia" w:ascii="宋体" w:hAnsi="宋体" w:cs="宋体"/>
          <w:color w:val="000000"/>
          <w:sz w:val="21"/>
          <w:szCs w:val="21"/>
          <w:lang w:val="zh-CN"/>
        </w:rPr>
      </w:pPr>
      <w:r>
        <w:rPr>
          <w:rFonts w:hint="eastAsia" w:ascii="宋体" w:hAnsi="宋体" w:cs="宋体"/>
          <w:color w:val="000000"/>
          <w:sz w:val="21"/>
          <w:szCs w:val="21"/>
          <w:lang w:val="zh-CN"/>
        </w:rPr>
        <w:t xml:space="preserve">(二)乙方工作人员有违反本合同第一、二条责任行为的，按照管理权限，依据有关规定予以处理；涉嫌犯罪的，移交司法机关追究刑事责任；给甲方造成经济损失的，应予赔偿。符合不良行为记录、公示规定的，进行不良行为记录、公示。    </w:t>
      </w:r>
    </w:p>
    <w:p w14:paraId="6807A4C6">
      <w:pPr>
        <w:pageBreakBefore w:val="0"/>
        <w:kinsoku/>
        <w:wordWrap/>
        <w:overflowPunct/>
        <w:topLinePunct w:val="0"/>
        <w:autoSpaceDE w:val="0"/>
        <w:autoSpaceDN w:val="0"/>
        <w:bidi w:val="0"/>
        <w:adjustRightInd w:val="0"/>
        <w:snapToGrid/>
        <w:spacing w:line="440" w:lineRule="exact"/>
        <w:ind w:left="420" w:leftChars="200" w:right="420" w:rightChars="200" w:firstLine="420" w:firstLineChars="200"/>
        <w:jc w:val="left"/>
        <w:textAlignment w:val="auto"/>
        <w:rPr>
          <w:rFonts w:hint="eastAsia" w:ascii="宋体" w:hAnsi="宋体" w:cs="宋体"/>
          <w:color w:val="000000"/>
          <w:sz w:val="21"/>
          <w:szCs w:val="21"/>
          <w:lang w:val="zh-CN"/>
        </w:rPr>
      </w:pPr>
      <w:r>
        <w:rPr>
          <w:rFonts w:hint="eastAsia" w:ascii="宋体" w:hAnsi="宋体" w:cs="宋体"/>
          <w:color w:val="000000"/>
          <w:sz w:val="21"/>
          <w:szCs w:val="21"/>
          <w:lang w:val="zh-CN"/>
        </w:rPr>
        <w:t xml:space="preserve">(三)乙方如将部分辅助项目分包的，乙方有责任向分包人交待本合同的具体内容，并严格执行本合同之规定，分包人如有违反上述责任行为的，乙方将承担连带责任。    </w:t>
      </w:r>
    </w:p>
    <w:p w14:paraId="7269353F">
      <w:pPr>
        <w:pageBreakBefore w:val="0"/>
        <w:kinsoku/>
        <w:wordWrap/>
        <w:overflowPunct/>
        <w:topLinePunct w:val="0"/>
        <w:autoSpaceDE w:val="0"/>
        <w:autoSpaceDN w:val="0"/>
        <w:bidi w:val="0"/>
        <w:adjustRightInd w:val="0"/>
        <w:snapToGrid/>
        <w:spacing w:line="440" w:lineRule="exact"/>
        <w:ind w:left="420" w:leftChars="200" w:right="420" w:rightChars="200" w:firstLine="420" w:firstLineChars="200"/>
        <w:jc w:val="left"/>
        <w:textAlignment w:val="auto"/>
        <w:rPr>
          <w:rFonts w:hint="eastAsia" w:ascii="宋体" w:hAnsi="宋体" w:cs="宋体"/>
          <w:color w:val="000000"/>
          <w:sz w:val="21"/>
          <w:szCs w:val="21"/>
          <w:lang w:val="zh-CN"/>
        </w:rPr>
      </w:pPr>
      <w:r>
        <w:rPr>
          <w:rFonts w:hint="eastAsia" w:ascii="宋体" w:hAnsi="宋体" w:cs="宋体"/>
          <w:color w:val="000000"/>
          <w:sz w:val="21"/>
          <w:szCs w:val="21"/>
          <w:lang w:val="zh-CN"/>
        </w:rPr>
        <w:t>第五条  双方约定：在自觉履行合同的同时，由甲、乙双方的监督单位负责对本合同履行情况进行监督检查。</w:t>
      </w:r>
    </w:p>
    <w:p w14:paraId="40587FB3">
      <w:pPr>
        <w:pageBreakBefore w:val="0"/>
        <w:kinsoku/>
        <w:wordWrap/>
        <w:overflowPunct/>
        <w:topLinePunct w:val="0"/>
        <w:bidi w:val="0"/>
        <w:adjustRightInd w:val="0"/>
        <w:snapToGrid/>
        <w:spacing w:line="440" w:lineRule="exact"/>
        <w:ind w:left="420" w:leftChars="200" w:right="420" w:rightChars="200" w:firstLine="403" w:firstLineChars="192"/>
        <w:textAlignment w:val="auto"/>
        <w:rPr>
          <w:rFonts w:hint="eastAsia" w:ascii="宋体" w:hAnsi="宋体" w:cs="宋体"/>
          <w:color w:val="000000"/>
          <w:sz w:val="21"/>
          <w:szCs w:val="21"/>
          <w:lang w:val="zh-CN"/>
        </w:rPr>
      </w:pPr>
      <w:r>
        <w:rPr>
          <w:rFonts w:hint="eastAsia" w:ascii="宋体" w:hAnsi="宋体" w:cs="宋体"/>
          <w:color w:val="000000"/>
          <w:sz w:val="21"/>
          <w:szCs w:val="21"/>
          <w:lang w:val="zh-CN"/>
        </w:rPr>
        <w:t>第六条  本合同作为</w:t>
      </w:r>
      <w:r>
        <w:rPr>
          <w:rFonts w:hint="eastAsia" w:ascii="宋体" w:hAnsi="宋体" w:cs="宋体"/>
          <w:color w:val="000000"/>
          <w:sz w:val="21"/>
          <w:szCs w:val="21"/>
          <w:u w:val="single"/>
          <w:lang w:val="zh-CN"/>
        </w:rPr>
        <w:t xml:space="preserve"> </w:t>
      </w:r>
      <w:r>
        <w:rPr>
          <w:rFonts w:hint="eastAsia" w:ascii="宋体" w:hAnsi="宋体" w:cs="宋体"/>
          <w:color w:val="000000"/>
          <w:sz w:val="21"/>
          <w:szCs w:val="21"/>
          <w:u w:val="single"/>
        </w:rPr>
        <w:t xml:space="preserve">  </w:t>
      </w:r>
      <w:r>
        <w:rPr>
          <w:rFonts w:hint="eastAsia" w:ascii="宋体" w:hAnsi="宋体"/>
          <w:sz w:val="21"/>
          <w:szCs w:val="21"/>
          <w:u w:val="single"/>
        </w:rPr>
        <w:t xml:space="preserve">                  </w:t>
      </w:r>
      <w:r>
        <w:rPr>
          <w:rFonts w:hint="eastAsia" w:ascii="宋体" w:hAnsi="宋体" w:cs="宋体"/>
          <w:color w:val="000000"/>
          <w:sz w:val="21"/>
          <w:szCs w:val="21"/>
          <w:u w:val="single"/>
        </w:rPr>
        <w:t xml:space="preserve"> </w:t>
      </w:r>
      <w:r>
        <w:rPr>
          <w:rFonts w:hint="eastAsia" w:ascii="宋体" w:hAnsi="宋体" w:cs="宋体"/>
          <w:color w:val="000000"/>
          <w:sz w:val="21"/>
          <w:szCs w:val="21"/>
        </w:rPr>
        <w:t>施工合同的附件，与主合同具有</w:t>
      </w:r>
      <w:r>
        <w:rPr>
          <w:rFonts w:hint="eastAsia" w:ascii="宋体" w:hAnsi="宋体" w:cs="宋体"/>
          <w:color w:val="000000"/>
          <w:sz w:val="21"/>
          <w:szCs w:val="21"/>
          <w:lang w:val="zh-CN"/>
        </w:rPr>
        <w:t>同等法律效力。甲乙双方签署后立即生效。</w:t>
      </w:r>
    </w:p>
    <w:p w14:paraId="559408C6">
      <w:pPr>
        <w:pageBreakBefore w:val="0"/>
        <w:kinsoku/>
        <w:wordWrap/>
        <w:overflowPunct/>
        <w:topLinePunct w:val="0"/>
        <w:autoSpaceDE w:val="0"/>
        <w:autoSpaceDN w:val="0"/>
        <w:bidi w:val="0"/>
        <w:adjustRightInd w:val="0"/>
        <w:snapToGrid/>
        <w:spacing w:line="440" w:lineRule="exact"/>
        <w:ind w:left="420" w:leftChars="200" w:right="420" w:rightChars="200" w:firstLine="420" w:firstLineChars="200"/>
        <w:jc w:val="left"/>
        <w:textAlignment w:val="auto"/>
        <w:rPr>
          <w:rFonts w:hint="eastAsia" w:ascii="宋体" w:hAnsi="宋体" w:cs="宋体"/>
          <w:color w:val="000000"/>
          <w:sz w:val="21"/>
          <w:szCs w:val="21"/>
          <w:lang w:val="zh-CN"/>
        </w:rPr>
      </w:pPr>
      <w:r>
        <w:rPr>
          <w:rFonts w:hint="eastAsia" w:ascii="宋体" w:hAnsi="宋体" w:cs="宋体"/>
          <w:color w:val="000000"/>
          <w:sz w:val="21"/>
          <w:szCs w:val="21"/>
          <w:lang w:val="zh-CN"/>
        </w:rPr>
        <w:t xml:space="preserve">第七条  本合同的有效期为双方签署之日起至该工程项目竣工验收合格时止。    </w:t>
      </w:r>
    </w:p>
    <w:p w14:paraId="384F6124">
      <w:pPr>
        <w:pageBreakBefore w:val="0"/>
        <w:kinsoku/>
        <w:wordWrap/>
        <w:overflowPunct/>
        <w:topLinePunct w:val="0"/>
        <w:bidi w:val="0"/>
        <w:adjustRightInd w:val="0"/>
        <w:snapToGrid/>
        <w:spacing w:line="440" w:lineRule="exact"/>
        <w:ind w:left="420" w:leftChars="200" w:right="420" w:rightChars="200"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第八条  本合同一式五份，由甲、乙双方各执一份，送交甲、乙双方的监督单位各一份，送宁海县公共资源交管办一份备案。</w:t>
      </w:r>
    </w:p>
    <w:p w14:paraId="7A804AF1">
      <w:pPr>
        <w:pageBreakBefore w:val="0"/>
        <w:kinsoku/>
        <w:wordWrap/>
        <w:overflowPunct/>
        <w:topLinePunct w:val="0"/>
        <w:bidi w:val="0"/>
        <w:adjustRightInd w:val="0"/>
        <w:snapToGrid/>
        <w:spacing w:line="440" w:lineRule="exact"/>
        <w:ind w:left="420" w:leftChars="200" w:right="420" w:rightChars="200" w:firstLine="420" w:firstLineChars="200"/>
        <w:textAlignment w:val="auto"/>
        <w:rPr>
          <w:rFonts w:hint="eastAsia" w:ascii="宋体" w:hAnsi="宋体" w:cs="宋体"/>
          <w:color w:val="000000"/>
          <w:sz w:val="21"/>
          <w:szCs w:val="21"/>
        </w:rPr>
      </w:pPr>
    </w:p>
    <w:p w14:paraId="64DFC8D4">
      <w:pPr>
        <w:pageBreakBefore w:val="0"/>
        <w:tabs>
          <w:tab w:val="left" w:pos="4962"/>
        </w:tabs>
        <w:kinsoku/>
        <w:wordWrap/>
        <w:overflowPunct/>
        <w:topLinePunct w:val="0"/>
        <w:bidi w:val="0"/>
        <w:adjustRightInd w:val="0"/>
        <w:snapToGrid/>
        <w:spacing w:line="440" w:lineRule="exact"/>
        <w:ind w:left="420" w:leftChars="200" w:right="420" w:rightChars="200"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甲方（盖章）：</w:t>
      </w:r>
      <w:r>
        <w:rPr>
          <w:rFonts w:hint="eastAsia" w:ascii="宋体" w:hAnsi="宋体" w:cs="宋体"/>
          <w:color w:val="000000"/>
          <w:sz w:val="21"/>
          <w:szCs w:val="21"/>
        </w:rPr>
        <w:tab/>
      </w:r>
      <w:r>
        <w:rPr>
          <w:rFonts w:hint="eastAsia" w:ascii="宋体" w:hAnsi="宋体" w:cs="宋体"/>
          <w:color w:val="000000"/>
          <w:sz w:val="21"/>
          <w:szCs w:val="21"/>
        </w:rPr>
        <w:t>乙方（盖章）：</w:t>
      </w:r>
    </w:p>
    <w:p w14:paraId="2AA8C1B3">
      <w:pPr>
        <w:pageBreakBefore w:val="0"/>
        <w:tabs>
          <w:tab w:val="left" w:pos="4962"/>
        </w:tabs>
        <w:kinsoku/>
        <w:wordWrap/>
        <w:overflowPunct/>
        <w:topLinePunct w:val="0"/>
        <w:bidi w:val="0"/>
        <w:adjustRightInd w:val="0"/>
        <w:snapToGrid/>
        <w:spacing w:line="440" w:lineRule="exact"/>
        <w:ind w:left="420" w:leftChars="200" w:right="420" w:rightChars="200"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法定代表人：</w:t>
      </w:r>
      <w:r>
        <w:rPr>
          <w:rFonts w:hint="eastAsia" w:ascii="宋体" w:hAnsi="宋体" w:cs="宋体"/>
          <w:color w:val="000000"/>
          <w:sz w:val="21"/>
          <w:szCs w:val="21"/>
        </w:rPr>
        <w:tab/>
      </w:r>
      <w:r>
        <w:rPr>
          <w:rFonts w:hint="eastAsia" w:ascii="宋体" w:hAnsi="宋体" w:cs="宋体"/>
          <w:color w:val="000000"/>
          <w:sz w:val="21"/>
          <w:szCs w:val="21"/>
        </w:rPr>
        <w:t>法定代表人：</w:t>
      </w:r>
    </w:p>
    <w:p w14:paraId="4932F344">
      <w:pPr>
        <w:pageBreakBefore w:val="0"/>
        <w:tabs>
          <w:tab w:val="left" w:pos="4962"/>
        </w:tabs>
        <w:kinsoku/>
        <w:wordWrap/>
        <w:overflowPunct/>
        <w:topLinePunct w:val="0"/>
        <w:bidi w:val="0"/>
        <w:adjustRightInd w:val="0"/>
        <w:snapToGrid/>
        <w:spacing w:line="440" w:lineRule="exact"/>
        <w:ind w:left="420" w:leftChars="200" w:right="420" w:rightChars="200"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地址：</w:t>
      </w:r>
      <w:r>
        <w:rPr>
          <w:rFonts w:hint="eastAsia" w:ascii="宋体" w:hAnsi="宋体" w:cs="宋体"/>
          <w:color w:val="000000"/>
          <w:sz w:val="21"/>
          <w:szCs w:val="21"/>
        </w:rPr>
        <w:tab/>
      </w:r>
      <w:r>
        <w:rPr>
          <w:rFonts w:hint="eastAsia" w:ascii="宋体" w:hAnsi="宋体" w:cs="宋体"/>
          <w:color w:val="000000"/>
          <w:sz w:val="21"/>
          <w:szCs w:val="21"/>
        </w:rPr>
        <w:t>地址：</w:t>
      </w:r>
    </w:p>
    <w:p w14:paraId="1121258E">
      <w:pPr>
        <w:pageBreakBefore w:val="0"/>
        <w:tabs>
          <w:tab w:val="left" w:pos="4962"/>
        </w:tabs>
        <w:kinsoku/>
        <w:wordWrap/>
        <w:overflowPunct/>
        <w:topLinePunct w:val="0"/>
        <w:bidi w:val="0"/>
        <w:adjustRightInd w:val="0"/>
        <w:snapToGrid/>
        <w:spacing w:line="440" w:lineRule="exact"/>
        <w:ind w:left="420" w:leftChars="200" w:right="420" w:rightChars="200"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电话：</w:t>
      </w:r>
      <w:r>
        <w:rPr>
          <w:rFonts w:hint="eastAsia" w:ascii="宋体" w:hAnsi="宋体" w:cs="宋体"/>
          <w:color w:val="000000"/>
          <w:sz w:val="21"/>
          <w:szCs w:val="21"/>
        </w:rPr>
        <w:tab/>
      </w:r>
      <w:r>
        <w:rPr>
          <w:rFonts w:hint="eastAsia" w:ascii="宋体" w:hAnsi="宋体" w:cs="宋体"/>
          <w:color w:val="000000"/>
          <w:sz w:val="21"/>
          <w:szCs w:val="21"/>
        </w:rPr>
        <w:t>电话：</w:t>
      </w:r>
    </w:p>
    <w:p w14:paraId="653A819D">
      <w:pPr>
        <w:pageBreakBefore w:val="0"/>
        <w:tabs>
          <w:tab w:val="left" w:pos="4962"/>
        </w:tabs>
        <w:kinsoku/>
        <w:wordWrap/>
        <w:overflowPunct/>
        <w:topLinePunct w:val="0"/>
        <w:bidi w:val="0"/>
        <w:adjustRightInd w:val="0"/>
        <w:snapToGrid/>
        <w:spacing w:line="440" w:lineRule="exact"/>
        <w:ind w:left="420" w:leftChars="200" w:right="420" w:rightChars="200"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年   月   日</w:t>
      </w:r>
      <w:r>
        <w:rPr>
          <w:rFonts w:hint="eastAsia" w:ascii="宋体" w:hAnsi="宋体" w:cs="宋体"/>
          <w:color w:val="000000"/>
          <w:sz w:val="21"/>
          <w:szCs w:val="21"/>
        </w:rPr>
        <w:tab/>
      </w:r>
      <w:r>
        <w:rPr>
          <w:rFonts w:hint="eastAsia" w:ascii="宋体" w:hAnsi="宋体" w:cs="宋体"/>
          <w:color w:val="000000"/>
          <w:sz w:val="21"/>
          <w:szCs w:val="21"/>
        </w:rPr>
        <w:t>年   月   日</w:t>
      </w:r>
    </w:p>
    <w:p w14:paraId="7573735F">
      <w:pPr>
        <w:pageBreakBefore w:val="0"/>
        <w:tabs>
          <w:tab w:val="left" w:pos="4962"/>
        </w:tabs>
        <w:kinsoku/>
        <w:wordWrap/>
        <w:overflowPunct/>
        <w:topLinePunct w:val="0"/>
        <w:bidi w:val="0"/>
        <w:adjustRightInd w:val="0"/>
        <w:snapToGrid/>
        <w:spacing w:line="440" w:lineRule="exact"/>
        <w:ind w:left="420" w:leftChars="200" w:right="420" w:rightChars="200" w:firstLine="420" w:firstLineChars="200"/>
        <w:textAlignment w:val="auto"/>
        <w:rPr>
          <w:rFonts w:hint="eastAsia" w:ascii="宋体" w:hAnsi="宋体" w:cs="宋体"/>
          <w:color w:val="000000"/>
          <w:sz w:val="21"/>
          <w:szCs w:val="21"/>
        </w:rPr>
      </w:pPr>
    </w:p>
    <w:p w14:paraId="4A68B609">
      <w:pPr>
        <w:pageBreakBefore w:val="0"/>
        <w:tabs>
          <w:tab w:val="left" w:pos="4962"/>
        </w:tabs>
        <w:kinsoku/>
        <w:wordWrap/>
        <w:overflowPunct/>
        <w:topLinePunct w:val="0"/>
        <w:bidi w:val="0"/>
        <w:adjustRightInd w:val="0"/>
        <w:snapToGrid/>
        <w:spacing w:line="440" w:lineRule="exact"/>
        <w:ind w:left="420" w:leftChars="200" w:right="420" w:rightChars="200"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甲方监督单位（盖章）</w:t>
      </w:r>
      <w:r>
        <w:rPr>
          <w:rFonts w:hint="eastAsia" w:ascii="宋体" w:hAnsi="宋体" w:cs="宋体"/>
          <w:color w:val="000000"/>
          <w:sz w:val="21"/>
          <w:szCs w:val="21"/>
        </w:rPr>
        <w:tab/>
      </w:r>
      <w:r>
        <w:rPr>
          <w:rFonts w:hint="eastAsia" w:ascii="宋体" w:hAnsi="宋体" w:cs="宋体"/>
          <w:color w:val="000000"/>
          <w:sz w:val="21"/>
          <w:szCs w:val="21"/>
        </w:rPr>
        <w:t>乙方监督单位（盖章）</w:t>
      </w:r>
    </w:p>
    <w:p w14:paraId="3ABB5C96">
      <w:pPr>
        <w:pStyle w:val="41"/>
        <w:pageBreakBefore w:val="0"/>
        <w:tabs>
          <w:tab w:val="right" w:leader="dot" w:pos="9180"/>
        </w:tabs>
        <w:kinsoku/>
        <w:wordWrap/>
        <w:overflowPunct/>
        <w:topLinePunct w:val="0"/>
        <w:bidi w:val="0"/>
        <w:adjustRightInd w:val="0"/>
        <w:snapToGrid/>
        <w:spacing w:before="120" w:beforeLines="50" w:line="440" w:lineRule="exact"/>
        <w:ind w:left="420" w:leftChars="200" w:right="420" w:rightChars="200"/>
        <w:jc w:val="center"/>
        <w:textAlignment w:val="auto"/>
        <w:outlineLvl w:val="0"/>
        <w:rPr>
          <w:rFonts w:hint="eastAsia" w:ascii="宋体" w:hAnsi="宋体" w:cs="宋体"/>
          <w:b/>
          <w:color w:val="000000"/>
          <w:sz w:val="21"/>
          <w:szCs w:val="21"/>
        </w:rPr>
      </w:pPr>
      <w:r>
        <w:rPr>
          <w:rFonts w:hint="eastAsia" w:ascii="宋体" w:hAnsi="宋体" w:cs="宋体"/>
          <w:color w:val="000000"/>
          <w:sz w:val="21"/>
          <w:szCs w:val="21"/>
        </w:rPr>
        <w:t xml:space="preserve">年   月   日                         年   月  日 </w:t>
      </w:r>
      <w:r>
        <w:rPr>
          <w:rFonts w:hint="eastAsia" w:ascii="宋体" w:hAnsi="宋体" w:cs="宋体"/>
          <w:b/>
          <w:color w:val="000000"/>
          <w:sz w:val="21"/>
          <w:szCs w:val="21"/>
        </w:rPr>
        <w:br w:type="page"/>
      </w:r>
    </w:p>
    <w:p w14:paraId="3AFA9A70">
      <w:pPr>
        <w:pStyle w:val="41"/>
        <w:tabs>
          <w:tab w:val="right" w:leader="dot" w:pos="9180"/>
        </w:tabs>
        <w:spacing w:before="120" w:beforeLines="50" w:line="600" w:lineRule="exact"/>
        <w:ind w:right="336" w:rightChars="160"/>
        <w:jc w:val="center"/>
        <w:outlineLvl w:val="0"/>
        <w:rPr>
          <w:rFonts w:hint="eastAsia" w:ascii="宋体" w:hAnsi="宋体" w:cs="宋体"/>
          <w:b/>
          <w:color w:val="000000"/>
          <w:sz w:val="21"/>
          <w:szCs w:val="21"/>
        </w:rPr>
      </w:pPr>
    </w:p>
    <w:p w14:paraId="0B9403BC">
      <w:pPr>
        <w:pStyle w:val="41"/>
        <w:tabs>
          <w:tab w:val="right" w:leader="dot" w:pos="9180"/>
        </w:tabs>
        <w:spacing w:before="120" w:beforeLines="50" w:line="600" w:lineRule="exact"/>
        <w:ind w:right="336" w:rightChars="160"/>
        <w:jc w:val="center"/>
        <w:outlineLvl w:val="0"/>
        <w:rPr>
          <w:rFonts w:hint="eastAsia" w:ascii="宋体" w:hAnsi="宋体" w:cs="宋体"/>
          <w:b/>
          <w:color w:val="000000"/>
          <w:sz w:val="21"/>
          <w:szCs w:val="21"/>
        </w:rPr>
      </w:pPr>
    </w:p>
    <w:p w14:paraId="36470E80">
      <w:pPr>
        <w:pStyle w:val="41"/>
        <w:tabs>
          <w:tab w:val="right" w:leader="dot" w:pos="9180"/>
        </w:tabs>
        <w:spacing w:before="120" w:beforeLines="50" w:line="600" w:lineRule="exact"/>
        <w:ind w:right="336" w:rightChars="160"/>
        <w:jc w:val="center"/>
        <w:outlineLvl w:val="0"/>
        <w:rPr>
          <w:rFonts w:hint="eastAsia" w:ascii="宋体" w:hAnsi="宋体" w:cs="宋体"/>
          <w:b/>
          <w:color w:val="000000"/>
          <w:sz w:val="21"/>
          <w:szCs w:val="21"/>
        </w:rPr>
      </w:pPr>
    </w:p>
    <w:p w14:paraId="05747385">
      <w:pPr>
        <w:pStyle w:val="41"/>
        <w:tabs>
          <w:tab w:val="right" w:leader="dot" w:pos="9180"/>
        </w:tabs>
        <w:spacing w:before="120" w:beforeLines="50" w:line="600" w:lineRule="exact"/>
        <w:ind w:right="336" w:rightChars="160"/>
        <w:jc w:val="center"/>
        <w:outlineLvl w:val="0"/>
        <w:rPr>
          <w:rFonts w:hint="eastAsia" w:ascii="宋体" w:hAnsi="宋体" w:cs="宋体"/>
          <w:b/>
          <w:color w:val="000000"/>
          <w:sz w:val="21"/>
          <w:szCs w:val="21"/>
        </w:rPr>
      </w:pPr>
    </w:p>
    <w:p w14:paraId="34CA4C29">
      <w:pPr>
        <w:pStyle w:val="41"/>
        <w:tabs>
          <w:tab w:val="right" w:leader="dot" w:pos="9180"/>
        </w:tabs>
        <w:spacing w:before="120" w:beforeLines="50" w:line="600" w:lineRule="exact"/>
        <w:ind w:right="336" w:rightChars="160"/>
        <w:jc w:val="center"/>
        <w:outlineLvl w:val="0"/>
        <w:rPr>
          <w:rFonts w:hint="eastAsia" w:ascii="宋体" w:hAnsi="宋体" w:cs="宋体"/>
          <w:b/>
          <w:color w:val="000000"/>
          <w:sz w:val="21"/>
          <w:szCs w:val="21"/>
        </w:rPr>
      </w:pPr>
    </w:p>
    <w:p w14:paraId="72FFA861">
      <w:pPr>
        <w:pStyle w:val="41"/>
        <w:tabs>
          <w:tab w:val="right" w:leader="dot" w:pos="9180"/>
        </w:tabs>
        <w:spacing w:before="120" w:beforeLines="50" w:line="600" w:lineRule="exact"/>
        <w:ind w:right="336" w:rightChars="160"/>
        <w:jc w:val="center"/>
        <w:outlineLvl w:val="0"/>
        <w:rPr>
          <w:rFonts w:hint="eastAsia" w:ascii="宋体" w:hAnsi="宋体" w:cs="宋体"/>
          <w:b/>
          <w:color w:val="000000"/>
          <w:sz w:val="21"/>
          <w:szCs w:val="21"/>
        </w:rPr>
      </w:pPr>
    </w:p>
    <w:p w14:paraId="24FCAAD5">
      <w:pPr>
        <w:pStyle w:val="41"/>
        <w:tabs>
          <w:tab w:val="right" w:leader="dot" w:pos="9180"/>
        </w:tabs>
        <w:spacing w:before="120" w:beforeLines="50" w:line="600" w:lineRule="exact"/>
        <w:ind w:right="336" w:rightChars="160"/>
        <w:jc w:val="center"/>
        <w:outlineLvl w:val="0"/>
        <w:rPr>
          <w:rFonts w:hint="eastAsia"/>
          <w:b/>
          <w:color w:val="000000"/>
          <w:sz w:val="36"/>
          <w:szCs w:val="36"/>
          <w:highlight w:val="none"/>
        </w:rPr>
      </w:pPr>
      <w:r>
        <w:rPr>
          <w:rFonts w:hint="eastAsia"/>
          <w:b/>
          <w:color w:val="000000"/>
          <w:sz w:val="36"/>
          <w:szCs w:val="36"/>
          <w:highlight w:val="none"/>
        </w:rPr>
        <w:t>第五部分  附件</w:t>
      </w:r>
      <w:bookmarkEnd w:id="975"/>
    </w:p>
    <w:p w14:paraId="6E73933F">
      <w:pPr>
        <w:spacing w:line="440" w:lineRule="exact"/>
        <w:outlineLvl w:val="9"/>
        <w:rPr>
          <w:rFonts w:hint="eastAsia" w:ascii="宋体" w:hAnsi="宋体" w:cs="Arial"/>
          <w:b/>
          <w:bCs/>
          <w:color w:val="000000"/>
          <w:sz w:val="30"/>
          <w:szCs w:val="30"/>
          <w:highlight w:val="none"/>
        </w:rPr>
      </w:pPr>
    </w:p>
    <w:p w14:paraId="63E3B68B">
      <w:pPr>
        <w:pStyle w:val="24"/>
        <w:ind w:firstLine="0"/>
        <w:rPr>
          <w:rFonts w:hint="eastAsia" w:ascii="宋体" w:eastAsia="宋体"/>
          <w:b/>
          <w:color w:val="000000"/>
          <w:sz w:val="28"/>
          <w:highlight w:val="none"/>
        </w:rPr>
      </w:pPr>
      <w:r>
        <w:rPr>
          <w:rFonts w:hint="eastAsia" w:ascii="宋体" w:eastAsia="宋体"/>
          <w:b/>
          <w:color w:val="000000"/>
          <w:sz w:val="28"/>
          <w:highlight w:val="none"/>
        </w:rPr>
        <w:t xml:space="preserve">  </w:t>
      </w:r>
    </w:p>
    <w:p w14:paraId="02708FC3">
      <w:pPr>
        <w:pStyle w:val="24"/>
        <w:ind w:firstLine="0"/>
        <w:jc w:val="both"/>
        <w:rPr>
          <w:rFonts w:hint="eastAsia" w:ascii="宋体" w:eastAsia="宋体"/>
          <w:b/>
          <w:color w:val="000000"/>
          <w:sz w:val="28"/>
          <w:highlight w:val="none"/>
        </w:rPr>
      </w:pPr>
    </w:p>
    <w:p w14:paraId="6407CAD8">
      <w:pPr>
        <w:pStyle w:val="24"/>
        <w:ind w:firstLine="0"/>
        <w:jc w:val="both"/>
        <w:rPr>
          <w:rFonts w:hint="eastAsia" w:ascii="宋体" w:eastAsia="宋体"/>
          <w:b/>
          <w:color w:val="000000"/>
          <w:sz w:val="28"/>
          <w:highlight w:val="none"/>
        </w:rPr>
      </w:pPr>
    </w:p>
    <w:p w14:paraId="6708A744">
      <w:pPr>
        <w:pStyle w:val="24"/>
        <w:ind w:firstLine="0"/>
        <w:jc w:val="both"/>
        <w:rPr>
          <w:rFonts w:hint="eastAsia" w:ascii="宋体" w:eastAsia="宋体"/>
          <w:b/>
          <w:color w:val="000000"/>
          <w:sz w:val="28"/>
          <w:highlight w:val="none"/>
        </w:rPr>
      </w:pPr>
    </w:p>
    <w:p w14:paraId="56E5D033">
      <w:pPr>
        <w:pStyle w:val="24"/>
        <w:ind w:firstLine="0"/>
        <w:jc w:val="both"/>
        <w:rPr>
          <w:rFonts w:hint="eastAsia" w:ascii="宋体" w:eastAsia="宋体"/>
          <w:b/>
          <w:color w:val="000000"/>
          <w:sz w:val="28"/>
          <w:highlight w:val="none"/>
        </w:rPr>
      </w:pPr>
    </w:p>
    <w:p w14:paraId="44D361C4">
      <w:pPr>
        <w:pStyle w:val="24"/>
        <w:ind w:firstLine="0"/>
        <w:jc w:val="both"/>
        <w:rPr>
          <w:rFonts w:hint="eastAsia" w:ascii="宋体" w:eastAsia="宋体"/>
          <w:b/>
          <w:color w:val="000000"/>
          <w:sz w:val="28"/>
          <w:highlight w:val="none"/>
        </w:rPr>
      </w:pPr>
    </w:p>
    <w:p w14:paraId="4BAB8037">
      <w:pPr>
        <w:pStyle w:val="24"/>
        <w:ind w:firstLine="0"/>
        <w:jc w:val="both"/>
        <w:rPr>
          <w:rFonts w:hint="eastAsia" w:ascii="宋体" w:eastAsia="宋体"/>
          <w:b/>
          <w:color w:val="000000"/>
          <w:sz w:val="28"/>
          <w:highlight w:val="none"/>
        </w:rPr>
      </w:pPr>
    </w:p>
    <w:p w14:paraId="4D8FF097">
      <w:pPr>
        <w:pStyle w:val="24"/>
        <w:ind w:firstLine="0"/>
        <w:jc w:val="both"/>
        <w:rPr>
          <w:rFonts w:hint="eastAsia" w:ascii="宋体" w:eastAsia="宋体"/>
          <w:b/>
          <w:color w:val="000000"/>
          <w:sz w:val="28"/>
          <w:highlight w:val="none"/>
        </w:rPr>
      </w:pPr>
    </w:p>
    <w:p w14:paraId="4AE17C4B">
      <w:pPr>
        <w:pStyle w:val="24"/>
        <w:ind w:firstLine="0"/>
        <w:jc w:val="both"/>
        <w:rPr>
          <w:rFonts w:hint="eastAsia" w:ascii="宋体" w:eastAsia="宋体"/>
          <w:b/>
          <w:color w:val="000000"/>
          <w:sz w:val="28"/>
          <w:highlight w:val="none"/>
        </w:rPr>
      </w:pPr>
    </w:p>
    <w:p w14:paraId="7EB002C6">
      <w:pPr>
        <w:pStyle w:val="24"/>
        <w:ind w:firstLine="0"/>
        <w:jc w:val="both"/>
        <w:rPr>
          <w:rFonts w:hint="eastAsia" w:ascii="宋体" w:eastAsia="宋体"/>
          <w:b/>
          <w:color w:val="000000"/>
          <w:sz w:val="28"/>
          <w:highlight w:val="none"/>
        </w:rPr>
      </w:pPr>
    </w:p>
    <w:p w14:paraId="26F91314">
      <w:pPr>
        <w:pStyle w:val="24"/>
        <w:ind w:firstLine="0"/>
        <w:jc w:val="both"/>
        <w:rPr>
          <w:rFonts w:hint="eastAsia" w:ascii="宋体" w:eastAsia="宋体"/>
          <w:b/>
          <w:color w:val="000000"/>
          <w:sz w:val="28"/>
          <w:highlight w:val="none"/>
        </w:rPr>
      </w:pPr>
    </w:p>
    <w:p w14:paraId="75187B23">
      <w:pPr>
        <w:pStyle w:val="24"/>
        <w:ind w:firstLine="0"/>
        <w:jc w:val="both"/>
        <w:rPr>
          <w:rFonts w:hint="eastAsia" w:ascii="宋体" w:eastAsia="宋体"/>
          <w:b/>
          <w:color w:val="000000"/>
          <w:sz w:val="28"/>
          <w:highlight w:val="none"/>
        </w:rPr>
      </w:pPr>
    </w:p>
    <w:p w14:paraId="0AE50FB5">
      <w:pPr>
        <w:pStyle w:val="24"/>
        <w:ind w:firstLine="0"/>
        <w:jc w:val="both"/>
        <w:rPr>
          <w:rFonts w:hint="eastAsia" w:ascii="宋体" w:eastAsia="宋体"/>
          <w:b/>
          <w:color w:val="000000"/>
          <w:sz w:val="28"/>
          <w:highlight w:val="none"/>
        </w:rPr>
      </w:pPr>
    </w:p>
    <w:p w14:paraId="301737CD">
      <w:pPr>
        <w:pStyle w:val="24"/>
        <w:ind w:firstLine="0"/>
        <w:jc w:val="both"/>
        <w:rPr>
          <w:rFonts w:hint="eastAsia" w:ascii="宋体" w:eastAsia="宋体"/>
          <w:b/>
          <w:color w:val="000000"/>
          <w:sz w:val="28"/>
          <w:highlight w:val="none"/>
        </w:rPr>
      </w:pPr>
    </w:p>
    <w:p w14:paraId="6FA4B16D">
      <w:pPr>
        <w:pStyle w:val="24"/>
        <w:ind w:firstLine="0"/>
        <w:jc w:val="both"/>
        <w:rPr>
          <w:rFonts w:hint="eastAsia" w:ascii="宋体" w:eastAsia="宋体"/>
          <w:b/>
          <w:color w:val="000000"/>
          <w:sz w:val="28"/>
          <w:highlight w:val="none"/>
        </w:rPr>
      </w:pPr>
    </w:p>
    <w:p w14:paraId="638C0569">
      <w:pPr>
        <w:pStyle w:val="24"/>
        <w:ind w:firstLine="0"/>
        <w:jc w:val="both"/>
        <w:rPr>
          <w:rFonts w:hint="eastAsia" w:ascii="宋体" w:eastAsia="宋体"/>
          <w:b/>
          <w:color w:val="000000"/>
          <w:sz w:val="28"/>
          <w:highlight w:val="none"/>
        </w:rPr>
      </w:pPr>
    </w:p>
    <w:p w14:paraId="08643AB0">
      <w:pPr>
        <w:pStyle w:val="24"/>
        <w:ind w:firstLine="0"/>
        <w:jc w:val="both"/>
        <w:rPr>
          <w:rFonts w:hint="eastAsia" w:ascii="宋体" w:eastAsia="宋体"/>
          <w:b/>
          <w:color w:val="000000"/>
          <w:sz w:val="28"/>
          <w:highlight w:val="none"/>
        </w:rPr>
      </w:pPr>
    </w:p>
    <w:p w14:paraId="44E46A96">
      <w:pPr>
        <w:pStyle w:val="24"/>
        <w:ind w:firstLine="0"/>
        <w:jc w:val="both"/>
        <w:rPr>
          <w:rFonts w:hint="eastAsia" w:ascii="宋体" w:eastAsia="宋体"/>
          <w:b/>
          <w:color w:val="000000"/>
          <w:sz w:val="28"/>
          <w:highlight w:val="none"/>
        </w:rPr>
      </w:pPr>
    </w:p>
    <w:p w14:paraId="6F2C4CFB">
      <w:pPr>
        <w:pStyle w:val="24"/>
        <w:ind w:left="0" w:leftChars="0" w:firstLine="0" w:firstLineChars="0"/>
        <w:jc w:val="both"/>
        <w:rPr>
          <w:rFonts w:hint="eastAsia" w:ascii="宋体" w:eastAsia="宋体"/>
          <w:b/>
          <w:color w:val="000000"/>
          <w:sz w:val="28"/>
          <w:highlight w:val="none"/>
        </w:rPr>
      </w:pPr>
    </w:p>
    <w:p w14:paraId="53115481">
      <w:pPr>
        <w:pStyle w:val="24"/>
        <w:ind w:firstLine="0"/>
        <w:jc w:val="both"/>
        <w:rPr>
          <w:rFonts w:hint="eastAsia" w:ascii="宋体" w:eastAsia="宋体"/>
          <w:b/>
          <w:color w:val="000000"/>
          <w:sz w:val="28"/>
          <w:highlight w:val="none"/>
        </w:rPr>
      </w:pPr>
    </w:p>
    <w:p w14:paraId="6C719B32">
      <w:pPr>
        <w:pStyle w:val="24"/>
        <w:pageBreakBefore w:val="0"/>
        <w:kinsoku/>
        <w:wordWrap/>
        <w:overflowPunct/>
        <w:topLinePunct w:val="0"/>
        <w:bidi w:val="0"/>
        <w:ind w:left="420" w:leftChars="200" w:right="420" w:rightChars="200" w:firstLine="0"/>
        <w:jc w:val="both"/>
        <w:rPr>
          <w:rFonts w:hint="eastAsia" w:ascii="宋体" w:eastAsia="宋体"/>
          <w:b/>
          <w:color w:val="000000"/>
          <w:sz w:val="28"/>
          <w:highlight w:val="none"/>
        </w:rPr>
      </w:pPr>
      <w:r>
        <w:rPr>
          <w:rFonts w:hint="eastAsia" w:ascii="宋体" w:eastAsia="宋体"/>
          <w:b/>
          <w:color w:val="000000"/>
          <w:sz w:val="28"/>
          <w:highlight w:val="none"/>
        </w:rPr>
        <w:t>资格文件</w:t>
      </w:r>
    </w:p>
    <w:p w14:paraId="442ACDD2">
      <w:pPr>
        <w:pStyle w:val="24"/>
        <w:pageBreakBefore w:val="0"/>
        <w:kinsoku/>
        <w:wordWrap/>
        <w:overflowPunct/>
        <w:topLinePunct w:val="0"/>
        <w:bidi w:val="0"/>
        <w:ind w:left="420" w:leftChars="200" w:right="420" w:rightChars="200" w:firstLine="0"/>
        <w:rPr>
          <w:rFonts w:hint="eastAsia" w:ascii="宋体" w:eastAsia="宋体"/>
          <w:b/>
          <w:color w:val="000000"/>
          <w:sz w:val="28"/>
          <w:highlight w:val="none"/>
        </w:rPr>
      </w:pPr>
    </w:p>
    <w:p w14:paraId="5F4459F6">
      <w:pPr>
        <w:pStyle w:val="24"/>
        <w:pageBreakBefore w:val="0"/>
        <w:kinsoku/>
        <w:wordWrap/>
        <w:overflowPunct/>
        <w:topLinePunct w:val="0"/>
        <w:bidi w:val="0"/>
        <w:ind w:left="420" w:leftChars="200" w:right="420" w:rightChars="200" w:firstLine="0"/>
        <w:rPr>
          <w:rFonts w:hint="eastAsia" w:ascii="宋体" w:eastAsia="宋体"/>
          <w:color w:val="000000"/>
          <w:highlight w:val="none"/>
        </w:rPr>
      </w:pPr>
    </w:p>
    <w:p w14:paraId="20456472">
      <w:pPr>
        <w:pStyle w:val="24"/>
        <w:pageBreakBefore w:val="0"/>
        <w:kinsoku/>
        <w:wordWrap/>
        <w:overflowPunct/>
        <w:topLinePunct w:val="0"/>
        <w:bidi w:val="0"/>
        <w:ind w:left="420" w:leftChars="200" w:right="420" w:rightChars="200" w:firstLine="0"/>
        <w:jc w:val="center"/>
        <w:outlineLvl w:val="0"/>
        <w:rPr>
          <w:rFonts w:hint="eastAsia" w:ascii="宋体" w:eastAsia="宋体"/>
          <w:b/>
          <w:color w:val="000000"/>
          <w:sz w:val="28"/>
          <w:highlight w:val="none"/>
        </w:rPr>
      </w:pPr>
      <w:bookmarkStart w:id="976" w:name="_Toc7254"/>
      <w:r>
        <w:rPr>
          <w:rFonts w:hint="eastAsia" w:ascii="宋体" w:eastAsia="宋体"/>
          <w:b/>
          <w:color w:val="000000"/>
          <w:sz w:val="28"/>
          <w:highlight w:val="none"/>
        </w:rPr>
        <w:t>（一）  营业执照</w:t>
      </w:r>
      <w:bookmarkEnd w:id="976"/>
    </w:p>
    <w:p w14:paraId="43287B44">
      <w:pPr>
        <w:pStyle w:val="24"/>
        <w:pageBreakBefore w:val="0"/>
        <w:kinsoku/>
        <w:wordWrap/>
        <w:overflowPunct/>
        <w:topLinePunct w:val="0"/>
        <w:bidi w:val="0"/>
        <w:ind w:left="420" w:leftChars="200" w:right="420" w:rightChars="200" w:firstLine="0"/>
        <w:jc w:val="center"/>
        <w:rPr>
          <w:rFonts w:hint="eastAsia" w:ascii="宋体" w:eastAsia="宋体"/>
          <w:color w:val="000000"/>
          <w:highlight w:val="none"/>
        </w:rPr>
      </w:pPr>
    </w:p>
    <w:p w14:paraId="43EC7AA2">
      <w:pPr>
        <w:pStyle w:val="24"/>
        <w:pageBreakBefore w:val="0"/>
        <w:kinsoku/>
        <w:wordWrap/>
        <w:overflowPunct/>
        <w:topLinePunct w:val="0"/>
        <w:bidi w:val="0"/>
        <w:ind w:left="420" w:leftChars="200" w:right="420" w:rightChars="200" w:firstLine="0"/>
        <w:jc w:val="center"/>
        <w:rPr>
          <w:rFonts w:hint="eastAsia" w:ascii="宋体" w:eastAsia="宋体"/>
          <w:color w:val="000000"/>
          <w:highlight w:val="none"/>
        </w:rPr>
      </w:pPr>
      <w:r>
        <w:rPr>
          <w:rFonts w:hint="eastAsia" w:ascii="宋体" w:eastAsia="宋体"/>
          <w:color w:val="000000"/>
          <w:highlight w:val="none"/>
        </w:rPr>
        <w:t>（复印件并加盖公章）</w:t>
      </w:r>
    </w:p>
    <w:p w14:paraId="1BC723EC">
      <w:pPr>
        <w:pStyle w:val="24"/>
        <w:pageBreakBefore w:val="0"/>
        <w:kinsoku/>
        <w:wordWrap/>
        <w:overflowPunct/>
        <w:topLinePunct w:val="0"/>
        <w:bidi w:val="0"/>
        <w:ind w:left="420" w:leftChars="200" w:right="420" w:rightChars="200" w:firstLine="0"/>
        <w:rPr>
          <w:rFonts w:hint="eastAsia" w:ascii="宋体" w:eastAsia="宋体"/>
          <w:color w:val="000000"/>
          <w:highlight w:val="none"/>
        </w:rPr>
      </w:pPr>
    </w:p>
    <w:p w14:paraId="1B3117D5">
      <w:pPr>
        <w:pStyle w:val="24"/>
        <w:pageBreakBefore w:val="0"/>
        <w:kinsoku/>
        <w:wordWrap/>
        <w:overflowPunct/>
        <w:topLinePunct w:val="0"/>
        <w:bidi w:val="0"/>
        <w:ind w:left="420" w:leftChars="200" w:right="420" w:rightChars="200" w:firstLine="0"/>
        <w:rPr>
          <w:rFonts w:hint="eastAsia" w:ascii="宋体" w:eastAsia="宋体"/>
          <w:color w:val="000000"/>
          <w:highlight w:val="none"/>
        </w:rPr>
      </w:pPr>
    </w:p>
    <w:p w14:paraId="718C17D4">
      <w:pPr>
        <w:pStyle w:val="24"/>
        <w:pageBreakBefore w:val="0"/>
        <w:kinsoku/>
        <w:wordWrap/>
        <w:overflowPunct/>
        <w:topLinePunct w:val="0"/>
        <w:bidi w:val="0"/>
        <w:ind w:left="420" w:leftChars="200" w:right="420" w:rightChars="200" w:firstLine="0"/>
        <w:rPr>
          <w:rFonts w:hint="eastAsia" w:ascii="宋体" w:eastAsia="宋体"/>
          <w:color w:val="000000"/>
          <w:highlight w:val="none"/>
        </w:rPr>
      </w:pPr>
    </w:p>
    <w:p w14:paraId="7CAB7988">
      <w:pPr>
        <w:pStyle w:val="24"/>
        <w:pageBreakBefore w:val="0"/>
        <w:kinsoku/>
        <w:wordWrap/>
        <w:overflowPunct/>
        <w:topLinePunct w:val="0"/>
        <w:bidi w:val="0"/>
        <w:ind w:left="420" w:leftChars="200" w:right="420" w:rightChars="200" w:firstLine="0"/>
        <w:rPr>
          <w:rFonts w:hint="eastAsia" w:ascii="宋体" w:eastAsia="宋体"/>
          <w:color w:val="000000"/>
          <w:highlight w:val="none"/>
        </w:rPr>
      </w:pPr>
    </w:p>
    <w:p w14:paraId="494A8FEF">
      <w:pPr>
        <w:pStyle w:val="24"/>
        <w:pageBreakBefore w:val="0"/>
        <w:kinsoku/>
        <w:wordWrap/>
        <w:overflowPunct/>
        <w:topLinePunct w:val="0"/>
        <w:bidi w:val="0"/>
        <w:ind w:left="420" w:leftChars="200" w:right="420" w:rightChars="200" w:firstLine="0"/>
        <w:rPr>
          <w:rFonts w:hint="eastAsia" w:ascii="宋体" w:eastAsia="宋体"/>
          <w:color w:val="000000"/>
          <w:highlight w:val="none"/>
        </w:rPr>
      </w:pPr>
    </w:p>
    <w:p w14:paraId="7250C9BE">
      <w:pPr>
        <w:pStyle w:val="24"/>
        <w:pageBreakBefore w:val="0"/>
        <w:kinsoku/>
        <w:wordWrap/>
        <w:overflowPunct/>
        <w:topLinePunct w:val="0"/>
        <w:bidi w:val="0"/>
        <w:ind w:left="420" w:leftChars="200" w:right="420" w:rightChars="200" w:firstLine="0"/>
        <w:rPr>
          <w:rFonts w:hint="eastAsia" w:ascii="宋体" w:eastAsia="宋体"/>
          <w:color w:val="000000"/>
          <w:highlight w:val="none"/>
        </w:rPr>
      </w:pPr>
    </w:p>
    <w:p w14:paraId="239555B3">
      <w:pPr>
        <w:pStyle w:val="24"/>
        <w:pageBreakBefore w:val="0"/>
        <w:kinsoku/>
        <w:wordWrap/>
        <w:overflowPunct/>
        <w:topLinePunct w:val="0"/>
        <w:bidi w:val="0"/>
        <w:ind w:left="420" w:leftChars="200" w:right="420" w:rightChars="200" w:firstLine="0"/>
        <w:rPr>
          <w:rFonts w:hint="eastAsia" w:ascii="宋体" w:eastAsia="宋体"/>
          <w:color w:val="000000"/>
          <w:highlight w:val="none"/>
        </w:rPr>
      </w:pPr>
    </w:p>
    <w:p w14:paraId="1D7541F4">
      <w:pPr>
        <w:pStyle w:val="24"/>
        <w:pageBreakBefore w:val="0"/>
        <w:kinsoku/>
        <w:wordWrap/>
        <w:overflowPunct/>
        <w:topLinePunct w:val="0"/>
        <w:bidi w:val="0"/>
        <w:ind w:left="420" w:leftChars="200" w:right="420" w:rightChars="200" w:firstLine="0"/>
        <w:rPr>
          <w:rFonts w:hint="eastAsia" w:ascii="宋体" w:eastAsia="宋体"/>
          <w:color w:val="000000"/>
          <w:highlight w:val="none"/>
        </w:rPr>
      </w:pPr>
    </w:p>
    <w:p w14:paraId="1E037838">
      <w:pPr>
        <w:pStyle w:val="24"/>
        <w:pageBreakBefore w:val="0"/>
        <w:kinsoku/>
        <w:wordWrap/>
        <w:overflowPunct/>
        <w:topLinePunct w:val="0"/>
        <w:bidi w:val="0"/>
        <w:ind w:left="420" w:leftChars="200" w:right="420" w:rightChars="200" w:firstLine="0"/>
        <w:rPr>
          <w:rFonts w:hint="eastAsia" w:ascii="宋体" w:eastAsia="宋体"/>
          <w:color w:val="000000"/>
          <w:highlight w:val="none"/>
        </w:rPr>
      </w:pPr>
    </w:p>
    <w:p w14:paraId="542471F8">
      <w:pPr>
        <w:pStyle w:val="24"/>
        <w:pageBreakBefore w:val="0"/>
        <w:kinsoku/>
        <w:wordWrap/>
        <w:overflowPunct/>
        <w:topLinePunct w:val="0"/>
        <w:bidi w:val="0"/>
        <w:ind w:left="420" w:leftChars="200" w:right="420" w:rightChars="200" w:firstLine="0"/>
        <w:rPr>
          <w:rFonts w:hint="eastAsia" w:ascii="宋体" w:eastAsia="宋体"/>
          <w:color w:val="000000"/>
          <w:highlight w:val="none"/>
        </w:rPr>
      </w:pPr>
    </w:p>
    <w:p w14:paraId="4239EBBF">
      <w:pPr>
        <w:pStyle w:val="24"/>
        <w:pageBreakBefore w:val="0"/>
        <w:kinsoku/>
        <w:wordWrap/>
        <w:overflowPunct/>
        <w:topLinePunct w:val="0"/>
        <w:bidi w:val="0"/>
        <w:ind w:left="420" w:leftChars="200" w:right="420" w:rightChars="200" w:firstLine="0"/>
        <w:rPr>
          <w:rFonts w:hint="eastAsia" w:ascii="宋体" w:eastAsia="宋体"/>
          <w:color w:val="000000"/>
          <w:highlight w:val="none"/>
        </w:rPr>
      </w:pPr>
    </w:p>
    <w:p w14:paraId="5215C808">
      <w:pPr>
        <w:pStyle w:val="24"/>
        <w:pageBreakBefore w:val="0"/>
        <w:kinsoku/>
        <w:wordWrap/>
        <w:overflowPunct/>
        <w:topLinePunct w:val="0"/>
        <w:bidi w:val="0"/>
        <w:ind w:left="420" w:leftChars="200" w:right="420" w:rightChars="200" w:firstLine="0"/>
        <w:rPr>
          <w:rFonts w:hint="eastAsia" w:ascii="宋体" w:eastAsia="宋体"/>
          <w:color w:val="000000"/>
          <w:highlight w:val="none"/>
        </w:rPr>
      </w:pPr>
    </w:p>
    <w:p w14:paraId="5BD4BBE4">
      <w:pPr>
        <w:pStyle w:val="24"/>
        <w:pageBreakBefore w:val="0"/>
        <w:kinsoku/>
        <w:wordWrap/>
        <w:overflowPunct/>
        <w:topLinePunct w:val="0"/>
        <w:bidi w:val="0"/>
        <w:ind w:left="420" w:leftChars="200" w:right="420" w:rightChars="200" w:firstLine="0"/>
        <w:rPr>
          <w:rFonts w:hint="eastAsia" w:ascii="宋体" w:eastAsia="宋体"/>
          <w:color w:val="000000"/>
          <w:highlight w:val="none"/>
        </w:rPr>
      </w:pPr>
    </w:p>
    <w:p w14:paraId="474835F9">
      <w:pPr>
        <w:pStyle w:val="24"/>
        <w:pageBreakBefore w:val="0"/>
        <w:kinsoku/>
        <w:wordWrap/>
        <w:overflowPunct/>
        <w:topLinePunct w:val="0"/>
        <w:bidi w:val="0"/>
        <w:ind w:left="420" w:leftChars="200" w:right="420" w:rightChars="200" w:firstLine="0"/>
        <w:rPr>
          <w:rFonts w:hint="eastAsia" w:ascii="宋体" w:eastAsia="宋体"/>
          <w:color w:val="000000"/>
          <w:highlight w:val="none"/>
        </w:rPr>
      </w:pPr>
    </w:p>
    <w:p w14:paraId="157F497C">
      <w:pPr>
        <w:pStyle w:val="24"/>
        <w:pageBreakBefore w:val="0"/>
        <w:kinsoku/>
        <w:wordWrap/>
        <w:overflowPunct/>
        <w:topLinePunct w:val="0"/>
        <w:bidi w:val="0"/>
        <w:ind w:left="420" w:leftChars="200" w:right="420" w:rightChars="200" w:firstLine="0"/>
        <w:rPr>
          <w:rFonts w:hint="eastAsia" w:ascii="宋体" w:eastAsia="宋体"/>
          <w:color w:val="000000"/>
          <w:highlight w:val="none"/>
        </w:rPr>
      </w:pPr>
    </w:p>
    <w:p w14:paraId="6A90C654">
      <w:pPr>
        <w:pStyle w:val="24"/>
        <w:pageBreakBefore w:val="0"/>
        <w:kinsoku/>
        <w:wordWrap/>
        <w:overflowPunct/>
        <w:topLinePunct w:val="0"/>
        <w:bidi w:val="0"/>
        <w:ind w:left="420" w:leftChars="200" w:right="420" w:rightChars="200" w:firstLine="0"/>
        <w:rPr>
          <w:rFonts w:hint="eastAsia" w:ascii="宋体" w:eastAsia="宋体"/>
          <w:color w:val="000000"/>
          <w:highlight w:val="none"/>
        </w:rPr>
      </w:pPr>
    </w:p>
    <w:p w14:paraId="0156C4D6">
      <w:pPr>
        <w:pStyle w:val="24"/>
        <w:pageBreakBefore w:val="0"/>
        <w:kinsoku/>
        <w:wordWrap/>
        <w:overflowPunct/>
        <w:topLinePunct w:val="0"/>
        <w:bidi w:val="0"/>
        <w:ind w:left="420" w:leftChars="200" w:right="420" w:rightChars="200" w:firstLine="0"/>
        <w:rPr>
          <w:rFonts w:hint="eastAsia" w:ascii="宋体" w:eastAsia="宋体"/>
          <w:color w:val="000000"/>
          <w:highlight w:val="none"/>
        </w:rPr>
      </w:pPr>
    </w:p>
    <w:p w14:paraId="127D1C84">
      <w:pPr>
        <w:pStyle w:val="24"/>
        <w:pageBreakBefore w:val="0"/>
        <w:kinsoku/>
        <w:wordWrap/>
        <w:overflowPunct/>
        <w:topLinePunct w:val="0"/>
        <w:bidi w:val="0"/>
        <w:ind w:left="420" w:leftChars="200" w:right="420" w:rightChars="200" w:firstLine="0"/>
        <w:rPr>
          <w:rFonts w:hint="eastAsia" w:ascii="宋体" w:eastAsia="宋体"/>
          <w:color w:val="000000"/>
          <w:highlight w:val="none"/>
        </w:rPr>
      </w:pPr>
    </w:p>
    <w:p w14:paraId="4618C8E7">
      <w:pPr>
        <w:pStyle w:val="24"/>
        <w:pageBreakBefore w:val="0"/>
        <w:kinsoku/>
        <w:wordWrap/>
        <w:overflowPunct/>
        <w:topLinePunct w:val="0"/>
        <w:bidi w:val="0"/>
        <w:ind w:left="420" w:leftChars="200" w:right="420" w:rightChars="200" w:firstLine="0"/>
        <w:rPr>
          <w:rFonts w:hint="eastAsia" w:ascii="宋体" w:eastAsia="宋体"/>
          <w:color w:val="000000"/>
          <w:highlight w:val="none"/>
        </w:rPr>
      </w:pPr>
    </w:p>
    <w:p w14:paraId="5D2283A2">
      <w:pPr>
        <w:pStyle w:val="24"/>
        <w:pageBreakBefore w:val="0"/>
        <w:kinsoku/>
        <w:wordWrap/>
        <w:overflowPunct/>
        <w:topLinePunct w:val="0"/>
        <w:bidi w:val="0"/>
        <w:ind w:left="420" w:leftChars="200" w:right="420" w:rightChars="200" w:firstLine="0"/>
        <w:rPr>
          <w:rFonts w:hint="eastAsia" w:ascii="宋体" w:eastAsia="宋体"/>
          <w:color w:val="000000"/>
          <w:highlight w:val="none"/>
        </w:rPr>
      </w:pPr>
    </w:p>
    <w:p w14:paraId="20222DCD">
      <w:pPr>
        <w:pStyle w:val="24"/>
        <w:pageBreakBefore w:val="0"/>
        <w:kinsoku/>
        <w:wordWrap/>
        <w:overflowPunct/>
        <w:topLinePunct w:val="0"/>
        <w:bidi w:val="0"/>
        <w:ind w:left="420" w:leftChars="200" w:right="420" w:rightChars="200" w:firstLine="0"/>
        <w:rPr>
          <w:rFonts w:hint="eastAsia" w:ascii="宋体" w:eastAsia="宋体"/>
          <w:color w:val="000000"/>
          <w:highlight w:val="none"/>
        </w:rPr>
      </w:pPr>
    </w:p>
    <w:p w14:paraId="42DF7AEC">
      <w:pPr>
        <w:pStyle w:val="24"/>
        <w:pageBreakBefore w:val="0"/>
        <w:kinsoku/>
        <w:wordWrap/>
        <w:overflowPunct/>
        <w:topLinePunct w:val="0"/>
        <w:bidi w:val="0"/>
        <w:ind w:left="420" w:leftChars="200" w:right="420" w:rightChars="200" w:firstLine="0"/>
        <w:rPr>
          <w:rFonts w:hint="eastAsia" w:ascii="宋体" w:eastAsia="宋体"/>
          <w:color w:val="000000"/>
          <w:highlight w:val="none"/>
        </w:rPr>
      </w:pPr>
    </w:p>
    <w:p w14:paraId="0F5B41B3">
      <w:pPr>
        <w:pStyle w:val="24"/>
        <w:pageBreakBefore w:val="0"/>
        <w:kinsoku/>
        <w:wordWrap/>
        <w:overflowPunct/>
        <w:topLinePunct w:val="0"/>
        <w:bidi w:val="0"/>
        <w:ind w:left="420" w:leftChars="200" w:right="420" w:rightChars="200" w:firstLine="0"/>
        <w:rPr>
          <w:rFonts w:hint="eastAsia" w:ascii="宋体" w:eastAsia="宋体"/>
          <w:color w:val="000000"/>
          <w:highlight w:val="none"/>
        </w:rPr>
      </w:pPr>
    </w:p>
    <w:p w14:paraId="7222582E">
      <w:pPr>
        <w:pStyle w:val="24"/>
        <w:pageBreakBefore w:val="0"/>
        <w:kinsoku/>
        <w:wordWrap/>
        <w:overflowPunct/>
        <w:topLinePunct w:val="0"/>
        <w:bidi w:val="0"/>
        <w:ind w:left="420" w:leftChars="200" w:right="420" w:rightChars="200" w:firstLine="0"/>
        <w:rPr>
          <w:rFonts w:hint="eastAsia" w:ascii="宋体" w:eastAsia="宋体"/>
          <w:color w:val="000000"/>
          <w:highlight w:val="none"/>
        </w:rPr>
      </w:pPr>
    </w:p>
    <w:p w14:paraId="636EA6FE">
      <w:pPr>
        <w:pageBreakBefore w:val="0"/>
        <w:kinsoku/>
        <w:wordWrap/>
        <w:overflowPunct/>
        <w:topLinePunct w:val="0"/>
        <w:bidi w:val="0"/>
        <w:snapToGrid w:val="0"/>
        <w:spacing w:line="360" w:lineRule="auto"/>
        <w:ind w:left="420" w:leftChars="200" w:right="420" w:rightChars="200"/>
        <w:jc w:val="center"/>
        <w:rPr>
          <w:rFonts w:hint="eastAsia" w:cs="宋体" w:asciiTheme="minorEastAsia" w:hAnsiTheme="minorEastAsia" w:eastAsiaTheme="minorEastAsia"/>
          <w:b/>
          <w:bCs/>
          <w:kern w:val="0"/>
          <w:sz w:val="28"/>
          <w:szCs w:val="28"/>
        </w:rPr>
      </w:pPr>
    </w:p>
    <w:p w14:paraId="1E8D4984">
      <w:pPr>
        <w:pageBreakBefore w:val="0"/>
        <w:numPr>
          <w:ilvl w:val="0"/>
          <w:numId w:val="12"/>
        </w:numPr>
        <w:kinsoku/>
        <w:wordWrap/>
        <w:overflowPunct/>
        <w:topLinePunct w:val="0"/>
        <w:bidi w:val="0"/>
        <w:snapToGrid w:val="0"/>
        <w:spacing w:line="360" w:lineRule="auto"/>
        <w:ind w:left="420" w:leftChars="200" w:right="420" w:rightChars="200"/>
        <w:jc w:val="center"/>
        <w:rPr>
          <w:rFonts w:hint="eastAsia" w:cs="宋体" w:asciiTheme="minorEastAsia" w:hAnsiTheme="minorEastAsia" w:eastAsiaTheme="minorEastAsia"/>
          <w:b/>
          <w:bCs/>
          <w:kern w:val="0"/>
          <w:sz w:val="28"/>
          <w:szCs w:val="28"/>
        </w:rPr>
      </w:pPr>
      <w:r>
        <w:rPr>
          <w:rFonts w:hint="eastAsia" w:cs="宋体" w:asciiTheme="minorEastAsia" w:hAnsiTheme="minorEastAsia" w:eastAsiaTheme="minorEastAsia"/>
          <w:b/>
          <w:bCs/>
          <w:kern w:val="0"/>
          <w:sz w:val="28"/>
          <w:szCs w:val="28"/>
        </w:rPr>
        <w:t>合格供应商的资格承诺书</w:t>
      </w:r>
    </w:p>
    <w:p w14:paraId="1881F0DD">
      <w:pPr>
        <w:pStyle w:val="72"/>
        <w:pageBreakBefore w:val="0"/>
        <w:numPr>
          <w:ilvl w:val="0"/>
          <w:numId w:val="0"/>
        </w:numPr>
        <w:kinsoku/>
        <w:wordWrap/>
        <w:overflowPunct/>
        <w:topLinePunct w:val="0"/>
        <w:bidi w:val="0"/>
        <w:ind w:left="420" w:leftChars="200" w:right="420" w:rightChars="200"/>
      </w:pPr>
    </w:p>
    <w:p w14:paraId="7E022206">
      <w:pPr>
        <w:pStyle w:val="72"/>
        <w:pageBreakBefore w:val="0"/>
        <w:numPr>
          <w:ilvl w:val="0"/>
          <w:numId w:val="0"/>
        </w:numPr>
        <w:kinsoku/>
        <w:wordWrap/>
        <w:overflowPunct/>
        <w:topLinePunct w:val="0"/>
        <w:bidi w:val="0"/>
        <w:ind w:left="420" w:leftChars="200" w:right="420" w:rightChars="200"/>
      </w:pPr>
    </w:p>
    <w:p w14:paraId="615E55F2">
      <w:pPr>
        <w:pStyle w:val="72"/>
        <w:pageBreakBefore w:val="0"/>
        <w:numPr>
          <w:ilvl w:val="0"/>
          <w:numId w:val="0"/>
        </w:numPr>
        <w:kinsoku/>
        <w:wordWrap/>
        <w:overflowPunct/>
        <w:topLinePunct w:val="0"/>
        <w:bidi w:val="0"/>
        <w:ind w:left="420" w:leftChars="200" w:right="420" w:rightChars="200"/>
      </w:pPr>
    </w:p>
    <w:p w14:paraId="6BAE1E3F">
      <w:pPr>
        <w:pageBreakBefore w:val="0"/>
        <w:kinsoku/>
        <w:wordWrap/>
        <w:overflowPunct/>
        <w:topLinePunct w:val="0"/>
        <w:bidi w:val="0"/>
        <w:snapToGrid w:val="0"/>
        <w:spacing w:line="360" w:lineRule="auto"/>
        <w:ind w:left="420" w:leftChars="200" w:right="420" w:rightChars="200"/>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（采购人）、（采购代理机构）：</w:t>
      </w:r>
    </w:p>
    <w:p w14:paraId="564FC316">
      <w:pPr>
        <w:pageBreakBefore w:val="0"/>
        <w:kinsoku/>
        <w:wordWrap/>
        <w:overflowPunct/>
        <w:topLinePunct w:val="0"/>
        <w:bidi w:val="0"/>
        <w:snapToGrid w:val="0"/>
        <w:spacing w:line="360" w:lineRule="auto"/>
        <w:ind w:left="420" w:leftChars="200" w:right="420" w:rightChars="200"/>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我方参与（项目名称）【项目编号：（项目编号）】政府采购活动，郑重承诺：</w:t>
      </w:r>
    </w:p>
    <w:p w14:paraId="23AF3211">
      <w:pPr>
        <w:pageBreakBefore w:val="0"/>
        <w:kinsoku/>
        <w:wordWrap/>
        <w:overflowPunct/>
        <w:topLinePunct w:val="0"/>
        <w:bidi w:val="0"/>
        <w:snapToGrid w:val="0"/>
        <w:spacing w:line="360" w:lineRule="auto"/>
        <w:ind w:left="420" w:leftChars="200" w:right="420" w:rightChars="200"/>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（一）具备《中华人民共和国政府采购法》第二十二条第一款规定的条件：</w:t>
      </w:r>
    </w:p>
    <w:p w14:paraId="253A3DF4">
      <w:pPr>
        <w:pageBreakBefore w:val="0"/>
        <w:kinsoku/>
        <w:wordWrap/>
        <w:overflowPunct/>
        <w:topLinePunct w:val="0"/>
        <w:bidi w:val="0"/>
        <w:snapToGrid w:val="0"/>
        <w:spacing w:line="360" w:lineRule="auto"/>
        <w:ind w:left="420" w:leftChars="200" w:right="420" w:rightChars="200"/>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1、具有独立承担民事责任的能力；</w:t>
      </w:r>
    </w:p>
    <w:p w14:paraId="55673675">
      <w:pPr>
        <w:pageBreakBefore w:val="0"/>
        <w:kinsoku/>
        <w:wordWrap/>
        <w:overflowPunct/>
        <w:topLinePunct w:val="0"/>
        <w:bidi w:val="0"/>
        <w:snapToGrid w:val="0"/>
        <w:spacing w:line="360" w:lineRule="auto"/>
        <w:ind w:left="420" w:leftChars="200" w:right="420" w:rightChars="200"/>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 xml:space="preserve">2、具有良好的商业信誉和健全的财务会计制度； </w:t>
      </w:r>
    </w:p>
    <w:p w14:paraId="3B653F9E">
      <w:pPr>
        <w:pageBreakBefore w:val="0"/>
        <w:kinsoku/>
        <w:wordWrap/>
        <w:overflowPunct/>
        <w:topLinePunct w:val="0"/>
        <w:bidi w:val="0"/>
        <w:snapToGrid w:val="0"/>
        <w:spacing w:line="360" w:lineRule="auto"/>
        <w:ind w:left="420" w:leftChars="200" w:right="420" w:rightChars="200"/>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3、具有履行合同所必需的设备和专业技术能力；</w:t>
      </w:r>
    </w:p>
    <w:p w14:paraId="5C25E872">
      <w:pPr>
        <w:pageBreakBefore w:val="0"/>
        <w:kinsoku/>
        <w:wordWrap/>
        <w:overflowPunct/>
        <w:topLinePunct w:val="0"/>
        <w:bidi w:val="0"/>
        <w:snapToGrid w:val="0"/>
        <w:spacing w:line="360" w:lineRule="auto"/>
        <w:ind w:left="420" w:leftChars="200" w:right="420" w:rightChars="200"/>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4、有依法缴纳税收和社会保障资金的良好记录；</w:t>
      </w:r>
    </w:p>
    <w:p w14:paraId="4219DB88">
      <w:pPr>
        <w:pageBreakBefore w:val="0"/>
        <w:kinsoku/>
        <w:wordWrap/>
        <w:overflowPunct/>
        <w:topLinePunct w:val="0"/>
        <w:bidi w:val="0"/>
        <w:snapToGrid w:val="0"/>
        <w:spacing w:line="360" w:lineRule="auto"/>
        <w:ind w:left="420" w:leftChars="200" w:right="420" w:rightChars="200"/>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5、参加政府采购活动前三年内，在经营活动中没有重大违法记录；</w:t>
      </w:r>
    </w:p>
    <w:p w14:paraId="671441D7">
      <w:pPr>
        <w:pageBreakBefore w:val="0"/>
        <w:kinsoku/>
        <w:wordWrap/>
        <w:overflowPunct/>
        <w:topLinePunct w:val="0"/>
        <w:bidi w:val="0"/>
        <w:snapToGrid w:val="0"/>
        <w:spacing w:line="360" w:lineRule="auto"/>
        <w:ind w:left="420" w:leftChars="200" w:right="420" w:rightChars="200"/>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6、具有法律、行政法规规定的其他条件。</w:t>
      </w:r>
    </w:p>
    <w:p w14:paraId="4F72CBF2">
      <w:pPr>
        <w:pageBreakBefore w:val="0"/>
        <w:kinsoku/>
        <w:wordWrap/>
        <w:overflowPunct/>
        <w:topLinePunct w:val="0"/>
        <w:bidi w:val="0"/>
        <w:snapToGrid w:val="0"/>
        <w:spacing w:line="360" w:lineRule="auto"/>
        <w:ind w:left="420" w:leftChars="200" w:right="420" w:rightChars="200"/>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（二）未被信用中国（www.creditchina.gov.cn)、中国政府采购网（www.ccgp.gov.cn）列入失信被执行人、重大税收违法失信主体、政府采购严重违法失信行为记录名单。</w:t>
      </w:r>
    </w:p>
    <w:p w14:paraId="492C8748">
      <w:pPr>
        <w:pageBreakBefore w:val="0"/>
        <w:kinsoku/>
        <w:wordWrap/>
        <w:overflowPunct/>
        <w:topLinePunct w:val="0"/>
        <w:bidi w:val="0"/>
        <w:snapToGrid w:val="0"/>
        <w:spacing w:line="360" w:lineRule="auto"/>
        <w:ind w:left="420" w:leftChars="200" w:right="420" w:rightChars="200"/>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（三）不存在以下情况：</w:t>
      </w:r>
    </w:p>
    <w:p w14:paraId="2ACB5397">
      <w:pPr>
        <w:pageBreakBefore w:val="0"/>
        <w:kinsoku/>
        <w:wordWrap/>
        <w:overflowPunct/>
        <w:topLinePunct w:val="0"/>
        <w:bidi w:val="0"/>
        <w:snapToGrid w:val="0"/>
        <w:spacing w:line="360" w:lineRule="auto"/>
        <w:ind w:left="420" w:leftChars="200" w:right="420" w:rightChars="200"/>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1、单位负责人为同一人或者存在直接控股、管理关系的不同供应商参加同一合同项下的政府采购活动的；</w:t>
      </w:r>
    </w:p>
    <w:p w14:paraId="11C27C41">
      <w:pPr>
        <w:pageBreakBefore w:val="0"/>
        <w:kinsoku/>
        <w:wordWrap/>
        <w:overflowPunct/>
        <w:topLinePunct w:val="0"/>
        <w:bidi w:val="0"/>
        <w:snapToGrid w:val="0"/>
        <w:spacing w:line="360" w:lineRule="auto"/>
        <w:ind w:left="420" w:leftChars="200" w:right="420" w:rightChars="200"/>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2、为采购项目提供整体设计、规范编制或者项目管理、监理、检测等服务后再参加该采购项目的其他采购活动的。</w:t>
      </w:r>
    </w:p>
    <w:p w14:paraId="3F3CEF54">
      <w:pPr>
        <w:pageBreakBefore w:val="0"/>
        <w:kinsoku/>
        <w:wordWrap/>
        <w:overflowPunct/>
        <w:topLinePunct w:val="0"/>
        <w:bidi w:val="0"/>
        <w:snapToGrid w:val="0"/>
        <w:spacing w:line="360" w:lineRule="auto"/>
        <w:ind w:left="420" w:leftChars="200" w:right="420" w:rightChars="200"/>
        <w:rPr>
          <w:rFonts w:cs="宋体" w:asciiTheme="minorEastAsia" w:hAnsiTheme="minorEastAsia" w:eastAsiaTheme="minorEastAsia"/>
          <w:kern w:val="0"/>
          <w:sz w:val="24"/>
        </w:rPr>
      </w:pPr>
    </w:p>
    <w:p w14:paraId="335CACAA">
      <w:pPr>
        <w:pageBreakBefore w:val="0"/>
        <w:kinsoku/>
        <w:wordWrap/>
        <w:overflowPunct/>
        <w:topLinePunct w:val="0"/>
        <w:bidi w:val="0"/>
        <w:snapToGrid w:val="0"/>
        <w:spacing w:line="360" w:lineRule="auto"/>
        <w:ind w:left="420" w:leftChars="200" w:right="420" w:rightChars="200"/>
        <w:rPr>
          <w:rFonts w:cs="宋体" w:asciiTheme="minorEastAsia" w:hAnsiTheme="minorEastAsia" w:eastAsiaTheme="minorEastAsia"/>
          <w:kern w:val="0"/>
          <w:sz w:val="24"/>
        </w:rPr>
      </w:pPr>
    </w:p>
    <w:p w14:paraId="419F9C1B">
      <w:pPr>
        <w:pageBreakBefore w:val="0"/>
        <w:kinsoku/>
        <w:wordWrap/>
        <w:overflowPunct/>
        <w:topLinePunct w:val="0"/>
        <w:bidi w:val="0"/>
        <w:snapToGrid w:val="0"/>
        <w:spacing w:line="360" w:lineRule="auto"/>
        <w:ind w:left="420" w:leftChars="200" w:right="420" w:rightChars="200"/>
        <w:jc w:val="righ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供应商名称(电子签章)：</w:t>
      </w:r>
    </w:p>
    <w:p w14:paraId="077009F7">
      <w:pPr>
        <w:pageBreakBefore w:val="0"/>
        <w:kinsoku/>
        <w:wordWrap/>
        <w:overflowPunct/>
        <w:topLinePunct w:val="0"/>
        <w:bidi w:val="0"/>
        <w:snapToGrid w:val="0"/>
        <w:spacing w:line="360" w:lineRule="auto"/>
        <w:ind w:left="420" w:leftChars="200" w:right="420" w:rightChars="200"/>
        <w:jc w:val="righ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日期：  年  月   日</w:t>
      </w:r>
    </w:p>
    <w:p w14:paraId="184B25DD">
      <w:pPr>
        <w:pageBreakBefore w:val="0"/>
        <w:kinsoku/>
        <w:wordWrap/>
        <w:overflowPunct/>
        <w:topLinePunct w:val="0"/>
        <w:bidi w:val="0"/>
        <w:snapToGrid w:val="0"/>
        <w:spacing w:line="360" w:lineRule="auto"/>
        <w:ind w:left="420" w:leftChars="200" w:right="420" w:rightChars="200"/>
        <w:jc w:val="center"/>
        <w:rPr>
          <w:rFonts w:cs="仿宋_GB2312" w:asciiTheme="minorEastAsia" w:hAnsiTheme="minorEastAsia" w:eastAsiaTheme="minorEastAsia"/>
          <w:b/>
          <w:kern w:val="0"/>
          <w:sz w:val="32"/>
          <w:szCs w:val="32"/>
        </w:rPr>
      </w:pPr>
    </w:p>
    <w:p w14:paraId="0A9843F9">
      <w:pPr>
        <w:pageBreakBefore w:val="0"/>
        <w:widowControl/>
        <w:kinsoku/>
        <w:wordWrap/>
        <w:overflowPunct/>
        <w:topLinePunct w:val="0"/>
        <w:bidi w:val="0"/>
        <w:adjustRightInd/>
        <w:ind w:left="420" w:leftChars="200" w:right="420" w:rightChars="200"/>
        <w:jc w:val="left"/>
        <w:rPr>
          <w:rFonts w:cs="仿宋_GB2312" w:asciiTheme="minorEastAsia" w:hAnsiTheme="minorEastAsia" w:eastAsiaTheme="minorEastAsia"/>
          <w:b/>
          <w:sz w:val="32"/>
          <w:szCs w:val="32"/>
        </w:rPr>
      </w:pPr>
      <w:r>
        <w:rPr>
          <w:rFonts w:cs="仿宋_GB2312" w:asciiTheme="minorEastAsia" w:hAnsiTheme="minorEastAsia" w:eastAsiaTheme="minorEastAsia"/>
          <w:b/>
          <w:sz w:val="32"/>
          <w:szCs w:val="32"/>
        </w:rPr>
        <w:br w:type="page"/>
      </w:r>
    </w:p>
    <w:p w14:paraId="27626CF1">
      <w:pPr>
        <w:pageBreakBefore w:val="0"/>
        <w:kinsoku/>
        <w:wordWrap/>
        <w:overflowPunct/>
        <w:topLinePunct w:val="0"/>
        <w:bidi w:val="0"/>
        <w:spacing w:before="120" w:beforeLines="50"/>
        <w:ind w:left="420" w:leftChars="200" w:right="420" w:rightChars="200"/>
        <w:rPr>
          <w:rFonts w:hint="eastAsia" w:ascii="宋体"/>
          <w:color w:val="000000"/>
          <w:sz w:val="24"/>
          <w:highlight w:val="none"/>
          <w:u w:val="single"/>
        </w:rPr>
      </w:pPr>
    </w:p>
    <w:p w14:paraId="5AEBFABE">
      <w:pPr>
        <w:pageBreakBefore w:val="0"/>
        <w:kinsoku/>
        <w:wordWrap/>
        <w:overflowPunct/>
        <w:topLinePunct w:val="0"/>
        <w:bidi w:val="0"/>
        <w:spacing w:line="600" w:lineRule="exact"/>
        <w:ind w:left="420" w:leftChars="200" w:right="420" w:rightChars="200"/>
        <w:jc w:val="center"/>
        <w:outlineLvl w:val="9"/>
        <w:rPr>
          <w:rFonts w:hint="eastAsia" w:ascii="仿宋" w:hAnsi="仿宋" w:eastAsia="仿宋" w:cs="仿宋"/>
          <w:b/>
          <w:color w:val="000000"/>
          <w:kern w:val="0"/>
          <w:sz w:val="32"/>
          <w:szCs w:val="32"/>
          <w:highlight w:val="none"/>
        </w:rPr>
      </w:pPr>
    </w:p>
    <w:p w14:paraId="17BF6C83">
      <w:pPr>
        <w:pageBreakBefore w:val="0"/>
        <w:kinsoku/>
        <w:wordWrap/>
        <w:overflowPunct/>
        <w:topLinePunct w:val="0"/>
        <w:bidi w:val="0"/>
        <w:spacing w:line="600" w:lineRule="exact"/>
        <w:ind w:left="420" w:leftChars="200" w:right="420" w:rightChars="200"/>
        <w:jc w:val="center"/>
        <w:outlineLvl w:val="0"/>
        <w:rPr>
          <w:rFonts w:hint="eastAsia" w:ascii="宋体" w:eastAsia="宋体"/>
          <w:b/>
          <w:color w:val="000000"/>
          <w:sz w:val="28"/>
          <w:szCs w:val="22"/>
          <w:highlight w:val="none"/>
          <w:lang w:eastAsia="zh-CN"/>
        </w:rPr>
      </w:pPr>
      <w:bookmarkStart w:id="977" w:name="_Toc14217"/>
      <w:r>
        <w:rPr>
          <w:rFonts w:hint="eastAsia" w:ascii="宋体"/>
          <w:b/>
          <w:color w:val="000000"/>
          <w:sz w:val="28"/>
          <w:highlight w:val="none"/>
        </w:rPr>
        <w:t>（</w:t>
      </w:r>
      <w:r>
        <w:rPr>
          <w:rFonts w:hint="eastAsia" w:ascii="宋体"/>
          <w:b/>
          <w:color w:val="000000"/>
          <w:sz w:val="28"/>
          <w:highlight w:val="none"/>
          <w:lang w:val="en-US" w:eastAsia="zh-CN"/>
        </w:rPr>
        <w:t>三</w:t>
      </w:r>
      <w:r>
        <w:rPr>
          <w:rFonts w:hint="eastAsia" w:ascii="宋体"/>
          <w:b/>
          <w:color w:val="000000"/>
          <w:sz w:val="28"/>
          <w:highlight w:val="none"/>
        </w:rPr>
        <w:t>）</w:t>
      </w:r>
      <w:r>
        <w:rPr>
          <w:rFonts w:hint="eastAsia" w:ascii="宋体"/>
          <w:b/>
          <w:color w:val="000000"/>
          <w:sz w:val="28"/>
          <w:szCs w:val="22"/>
          <w:highlight w:val="none"/>
        </w:rPr>
        <w:t>本项目特定资格要求</w:t>
      </w:r>
      <w:bookmarkEnd w:id="977"/>
      <w:r>
        <w:rPr>
          <w:rFonts w:hint="eastAsia" w:ascii="宋体"/>
          <w:b/>
          <w:color w:val="000000"/>
          <w:sz w:val="28"/>
          <w:szCs w:val="22"/>
          <w:highlight w:val="none"/>
          <w:lang w:eastAsia="zh-CN"/>
        </w:rPr>
        <w:t>（</w:t>
      </w:r>
      <w:r>
        <w:rPr>
          <w:rFonts w:hint="eastAsia" w:ascii="宋体"/>
          <w:b/>
          <w:color w:val="000000"/>
          <w:sz w:val="28"/>
          <w:szCs w:val="22"/>
          <w:highlight w:val="none"/>
          <w:lang w:val="en-US" w:eastAsia="zh-CN"/>
        </w:rPr>
        <w:t>如有</w:t>
      </w:r>
      <w:r>
        <w:rPr>
          <w:rFonts w:hint="eastAsia" w:ascii="宋体"/>
          <w:b/>
          <w:color w:val="000000"/>
          <w:sz w:val="28"/>
          <w:szCs w:val="22"/>
          <w:highlight w:val="none"/>
          <w:lang w:eastAsia="zh-CN"/>
        </w:rPr>
        <w:t>）</w:t>
      </w:r>
    </w:p>
    <w:p w14:paraId="00FE19D7">
      <w:pPr>
        <w:pStyle w:val="638"/>
        <w:pageBreakBefore w:val="0"/>
        <w:kinsoku/>
        <w:wordWrap/>
        <w:overflowPunct/>
        <w:topLinePunct w:val="0"/>
        <w:bidi w:val="0"/>
        <w:ind w:left="420" w:leftChars="200" w:right="420" w:rightChars="200"/>
        <w:rPr>
          <w:rFonts w:hint="eastAsia"/>
          <w:color w:val="000000"/>
          <w:sz w:val="24"/>
          <w:szCs w:val="24"/>
          <w:highlight w:val="none"/>
        </w:rPr>
      </w:pPr>
    </w:p>
    <w:p w14:paraId="6F6ABDC7">
      <w:pPr>
        <w:pStyle w:val="638"/>
        <w:pageBreakBefore w:val="0"/>
        <w:kinsoku/>
        <w:wordWrap/>
        <w:overflowPunct/>
        <w:topLinePunct w:val="0"/>
        <w:bidi w:val="0"/>
        <w:ind w:left="420" w:leftChars="200" w:right="420" w:rightChars="200"/>
        <w:rPr>
          <w:rFonts w:hint="eastAsia"/>
          <w:color w:val="000000"/>
          <w:sz w:val="24"/>
          <w:szCs w:val="24"/>
          <w:highlight w:val="none"/>
        </w:rPr>
      </w:pPr>
    </w:p>
    <w:p w14:paraId="673CDC53">
      <w:pPr>
        <w:pStyle w:val="5"/>
        <w:keepNext w:val="0"/>
        <w:keepLines w:val="0"/>
        <w:pageBreakBefore w:val="0"/>
        <w:widowControl w:val="0"/>
        <w:kinsoku/>
        <w:wordWrap/>
        <w:overflowPunct/>
        <w:topLinePunct w:val="0"/>
        <w:autoSpaceDE/>
        <w:autoSpaceDN/>
        <w:bidi w:val="0"/>
        <w:adjustRightInd/>
        <w:snapToGrid/>
        <w:spacing w:line="480" w:lineRule="exact"/>
        <w:ind w:left="420" w:leftChars="200" w:right="420" w:rightChars="200" w:firstLine="0" w:firstLineChars="0"/>
        <w:jc w:val="center"/>
        <w:textAlignment w:val="auto"/>
        <w:rPr>
          <w:color w:val="000000"/>
          <w:sz w:val="24"/>
          <w:szCs w:val="24"/>
          <w:highlight w:val="none"/>
        </w:rPr>
      </w:pPr>
      <w:r>
        <w:rPr>
          <w:rFonts w:hint="eastAsia" w:ascii="Cambria" w:hAnsi="Cambria" w:eastAsia="宋体" w:cs="Cambria"/>
          <w:color w:val="auto"/>
          <w:sz w:val="24"/>
          <w:szCs w:val="24"/>
          <w:highlight w:val="none"/>
        </w:rPr>
        <w:t>（提供证书复印件盖公章）</w:t>
      </w:r>
      <w:r>
        <w:rPr>
          <w:rFonts w:hint="eastAsia" w:ascii="Cambria" w:hAnsi="Cambria" w:eastAsia="宋体" w:cs="Cambria"/>
          <w:color w:val="auto"/>
          <w:sz w:val="24"/>
          <w:szCs w:val="24"/>
          <w:highlight w:val="none"/>
        </w:rPr>
        <w:br w:type="page"/>
      </w:r>
    </w:p>
    <w:p w14:paraId="4DC9F3F3">
      <w:pPr>
        <w:pStyle w:val="24"/>
        <w:pageBreakBefore w:val="0"/>
        <w:kinsoku/>
        <w:wordWrap/>
        <w:overflowPunct/>
        <w:topLinePunct w:val="0"/>
        <w:bidi w:val="0"/>
        <w:spacing w:line="480" w:lineRule="exact"/>
        <w:ind w:left="420" w:leftChars="200" w:right="420" w:rightChars="200" w:firstLine="0"/>
        <w:rPr>
          <w:rFonts w:hint="eastAsia" w:ascii="宋体" w:eastAsia="宋体"/>
          <w:b/>
          <w:color w:val="000000"/>
          <w:sz w:val="28"/>
          <w:highlight w:val="none"/>
        </w:rPr>
      </w:pPr>
      <w:r>
        <w:rPr>
          <w:rFonts w:hint="eastAsia" w:ascii="宋体" w:eastAsia="宋体"/>
          <w:b/>
          <w:color w:val="000000"/>
          <w:sz w:val="28"/>
          <w:highlight w:val="none"/>
        </w:rPr>
        <w:t xml:space="preserve">                     </w:t>
      </w:r>
    </w:p>
    <w:p w14:paraId="2629E64E">
      <w:pPr>
        <w:pStyle w:val="5"/>
        <w:pageBreakBefore w:val="0"/>
        <w:kinsoku/>
        <w:wordWrap/>
        <w:overflowPunct/>
        <w:topLinePunct w:val="0"/>
        <w:bidi w:val="0"/>
        <w:ind w:left="420" w:leftChars="200" w:right="420" w:rightChars="200" w:firstLine="0" w:firstLineChars="0"/>
        <w:jc w:val="both"/>
        <w:rPr>
          <w:rFonts w:hint="eastAsia"/>
          <w:b/>
          <w:color w:val="000000"/>
          <w:sz w:val="28"/>
          <w:szCs w:val="28"/>
          <w:highlight w:val="none"/>
        </w:rPr>
      </w:pPr>
      <w:r>
        <w:rPr>
          <w:rFonts w:hint="eastAsia"/>
          <w:b/>
          <w:color w:val="000000"/>
          <w:sz w:val="28"/>
          <w:szCs w:val="28"/>
          <w:highlight w:val="none"/>
        </w:rPr>
        <w:t>技术商务文件：</w:t>
      </w:r>
    </w:p>
    <w:p w14:paraId="453A8AAD">
      <w:pPr>
        <w:pStyle w:val="5"/>
        <w:pageBreakBefore w:val="0"/>
        <w:kinsoku/>
        <w:wordWrap/>
        <w:overflowPunct/>
        <w:topLinePunct w:val="0"/>
        <w:bidi w:val="0"/>
        <w:ind w:left="420" w:leftChars="200" w:right="420" w:rightChars="200" w:firstLine="0" w:firstLineChars="0"/>
        <w:rPr>
          <w:rFonts w:hint="eastAsia"/>
          <w:b/>
          <w:color w:val="000000"/>
          <w:sz w:val="28"/>
          <w:szCs w:val="28"/>
          <w:highlight w:val="none"/>
        </w:rPr>
      </w:pPr>
    </w:p>
    <w:p w14:paraId="222B6A32">
      <w:pPr>
        <w:pStyle w:val="24"/>
        <w:pageBreakBefore w:val="0"/>
        <w:kinsoku/>
        <w:wordWrap/>
        <w:overflowPunct/>
        <w:topLinePunct w:val="0"/>
        <w:bidi w:val="0"/>
        <w:ind w:left="420" w:leftChars="200" w:right="420" w:rightChars="200" w:firstLine="0"/>
        <w:jc w:val="center"/>
        <w:rPr>
          <w:rFonts w:hint="eastAsia" w:ascii="宋体" w:eastAsia="宋体"/>
          <w:b/>
          <w:color w:val="000000"/>
          <w:sz w:val="28"/>
          <w:szCs w:val="28"/>
          <w:highlight w:val="none"/>
        </w:rPr>
      </w:pPr>
      <w:r>
        <w:rPr>
          <w:rFonts w:hint="eastAsia" w:ascii="宋体" w:eastAsia="宋体"/>
          <w:b/>
          <w:color w:val="000000"/>
          <w:sz w:val="28"/>
          <w:szCs w:val="28"/>
          <w:highlight w:val="none"/>
        </w:rPr>
        <w:t>供应商响应表</w:t>
      </w:r>
    </w:p>
    <w:p w14:paraId="3031A2DB">
      <w:pPr>
        <w:pageBreakBefore w:val="0"/>
        <w:kinsoku/>
        <w:wordWrap/>
        <w:overflowPunct/>
        <w:topLinePunct w:val="0"/>
        <w:bidi w:val="0"/>
        <w:spacing w:line="300" w:lineRule="exact"/>
        <w:ind w:left="420" w:leftChars="200" w:right="420" w:rightChars="200" w:firstLine="240" w:firstLineChars="100"/>
        <w:jc w:val="left"/>
        <w:rPr>
          <w:rFonts w:hint="eastAsia"/>
          <w:bCs/>
          <w:color w:val="000000"/>
          <w:sz w:val="24"/>
          <w:szCs w:val="24"/>
          <w:highlight w:val="none"/>
          <w:lang w:val="zh-CN"/>
        </w:rPr>
      </w:pPr>
    </w:p>
    <w:p w14:paraId="1E1C8092">
      <w:pPr>
        <w:pageBreakBefore w:val="0"/>
        <w:kinsoku/>
        <w:wordWrap/>
        <w:overflowPunct/>
        <w:topLinePunct w:val="0"/>
        <w:bidi w:val="0"/>
        <w:spacing w:line="300" w:lineRule="exact"/>
        <w:ind w:left="420" w:leftChars="200" w:right="420" w:rightChars="200" w:firstLine="240" w:firstLineChars="100"/>
        <w:jc w:val="left"/>
        <w:rPr>
          <w:bCs/>
          <w:color w:val="000000"/>
          <w:sz w:val="24"/>
          <w:szCs w:val="24"/>
          <w:highlight w:val="none"/>
          <w:lang w:val="zh-CN"/>
        </w:rPr>
      </w:pPr>
      <w:r>
        <w:rPr>
          <w:bCs/>
          <w:color w:val="000000"/>
          <w:sz w:val="24"/>
          <w:szCs w:val="24"/>
          <w:highlight w:val="none"/>
          <w:lang w:val="zh-CN"/>
        </w:rPr>
        <w:t>项目名称：</w:t>
      </w:r>
      <w:r>
        <w:rPr>
          <w:bCs/>
          <w:color w:val="000000"/>
          <w:sz w:val="24"/>
          <w:szCs w:val="24"/>
          <w:highlight w:val="none"/>
          <w:u w:val="single"/>
          <w:lang w:val="zh-CN"/>
        </w:rPr>
        <w:t xml:space="preserve">                           </w:t>
      </w:r>
      <w:r>
        <w:rPr>
          <w:bCs/>
          <w:color w:val="000000"/>
          <w:sz w:val="24"/>
          <w:szCs w:val="24"/>
          <w:highlight w:val="none"/>
          <w:lang w:val="zh-CN"/>
        </w:rPr>
        <w:t xml:space="preserve">  </w:t>
      </w:r>
    </w:p>
    <w:p w14:paraId="7B1E2FFB">
      <w:pPr>
        <w:pageBreakBefore w:val="0"/>
        <w:kinsoku/>
        <w:wordWrap/>
        <w:overflowPunct/>
        <w:topLinePunct w:val="0"/>
        <w:bidi w:val="0"/>
        <w:spacing w:line="300" w:lineRule="exact"/>
        <w:ind w:left="420" w:leftChars="200" w:right="420" w:rightChars="200" w:firstLine="240" w:firstLineChars="100"/>
        <w:rPr>
          <w:b/>
          <w:bCs/>
          <w:color w:val="000000"/>
          <w:sz w:val="24"/>
          <w:szCs w:val="24"/>
          <w:highlight w:val="none"/>
          <w:u w:val="single"/>
        </w:rPr>
      </w:pPr>
      <w:r>
        <w:rPr>
          <w:rFonts w:hint="eastAsia"/>
          <w:bCs/>
          <w:color w:val="000000"/>
          <w:sz w:val="24"/>
          <w:szCs w:val="24"/>
          <w:highlight w:val="none"/>
          <w:lang w:val="zh-CN"/>
        </w:rPr>
        <w:t>项目编号</w:t>
      </w:r>
      <w:r>
        <w:rPr>
          <w:bCs/>
          <w:color w:val="000000"/>
          <w:sz w:val="24"/>
          <w:szCs w:val="24"/>
          <w:highlight w:val="none"/>
          <w:lang w:val="zh-CN"/>
        </w:rPr>
        <w:t>：</w:t>
      </w:r>
      <w:r>
        <w:rPr>
          <w:bCs/>
          <w:color w:val="000000"/>
          <w:sz w:val="24"/>
          <w:szCs w:val="24"/>
          <w:highlight w:val="none"/>
          <w:u w:val="single"/>
          <w:lang w:val="zh-CN"/>
        </w:rPr>
        <w:t xml:space="preserve">                            </w:t>
      </w:r>
    </w:p>
    <w:p w14:paraId="63A68C62">
      <w:pPr>
        <w:pageBreakBefore w:val="0"/>
        <w:kinsoku/>
        <w:wordWrap/>
        <w:overflowPunct/>
        <w:topLinePunct w:val="0"/>
        <w:bidi w:val="0"/>
        <w:spacing w:line="300" w:lineRule="exact"/>
        <w:ind w:left="420" w:leftChars="200" w:right="420" w:rightChars="200" w:firstLine="241" w:firstLineChars="100"/>
        <w:rPr>
          <w:b/>
          <w:bCs/>
          <w:color w:val="000000"/>
          <w:sz w:val="24"/>
          <w:szCs w:val="24"/>
          <w:highlight w:val="none"/>
          <w:u w:val="single"/>
        </w:rPr>
      </w:pPr>
    </w:p>
    <w:tbl>
      <w:tblPr>
        <w:tblStyle w:val="60"/>
        <w:tblW w:w="0" w:type="auto"/>
        <w:tblInd w:w="93" w:type="dxa"/>
        <w:tblLayout w:type="fixed"/>
        <w:tblCellMar>
          <w:top w:w="0" w:type="dxa"/>
          <w:left w:w="108" w:type="dxa"/>
          <w:bottom w:w="0" w:type="dxa"/>
          <w:right w:w="108" w:type="dxa"/>
        </w:tblCellMar>
      </w:tblPr>
      <w:tblGrid>
        <w:gridCol w:w="724"/>
        <w:gridCol w:w="6131"/>
        <w:gridCol w:w="2340"/>
      </w:tblGrid>
      <w:tr w14:paraId="1535E888">
        <w:tblPrEx>
          <w:tblCellMar>
            <w:top w:w="0" w:type="dxa"/>
            <w:left w:w="108" w:type="dxa"/>
            <w:bottom w:w="0" w:type="dxa"/>
            <w:right w:w="108" w:type="dxa"/>
          </w:tblCellMar>
        </w:tblPrEx>
        <w:trPr>
          <w:trHeight w:val="567" w:hRule="atLeast"/>
        </w:trPr>
        <w:tc>
          <w:tcPr>
            <w:tcW w:w="724" w:type="dxa"/>
            <w:tcBorders>
              <w:top w:val="single" w:color="auto" w:sz="4" w:space="0"/>
              <w:left w:val="single" w:color="auto" w:sz="4" w:space="0"/>
              <w:bottom w:val="single" w:color="auto" w:sz="4" w:space="0"/>
              <w:right w:val="single" w:color="auto" w:sz="4" w:space="0"/>
            </w:tcBorders>
            <w:noWrap w:val="0"/>
            <w:vAlign w:val="center"/>
          </w:tcPr>
          <w:p w14:paraId="158C49E5">
            <w:pPr>
              <w:pageBreakBefore w:val="0"/>
              <w:kinsoku/>
              <w:wordWrap/>
              <w:overflowPunct/>
              <w:topLinePunct w:val="0"/>
              <w:bidi w:val="0"/>
              <w:spacing w:line="300" w:lineRule="exact"/>
              <w:ind w:right="420" w:rightChars="200"/>
              <w:jc w:val="both"/>
              <w:rPr>
                <w:color w:val="000000"/>
                <w:sz w:val="24"/>
                <w:szCs w:val="24"/>
                <w:highlight w:val="none"/>
              </w:rPr>
            </w:pPr>
            <w:r>
              <w:rPr>
                <w:color w:val="000000"/>
                <w:sz w:val="24"/>
                <w:szCs w:val="24"/>
                <w:highlight w:val="none"/>
              </w:rPr>
              <w:t>序号</w:t>
            </w:r>
          </w:p>
        </w:tc>
        <w:tc>
          <w:tcPr>
            <w:tcW w:w="6131" w:type="dxa"/>
            <w:tcBorders>
              <w:top w:val="single" w:color="auto" w:sz="4" w:space="0"/>
              <w:left w:val="single" w:color="auto" w:sz="4" w:space="0"/>
              <w:bottom w:val="single" w:color="auto" w:sz="4" w:space="0"/>
              <w:right w:val="single" w:color="auto" w:sz="4" w:space="0"/>
            </w:tcBorders>
            <w:noWrap w:val="0"/>
            <w:vAlign w:val="center"/>
          </w:tcPr>
          <w:p w14:paraId="41FC159B">
            <w:pPr>
              <w:pageBreakBefore w:val="0"/>
              <w:kinsoku/>
              <w:wordWrap/>
              <w:overflowPunct/>
              <w:topLinePunct w:val="0"/>
              <w:bidi w:val="0"/>
              <w:spacing w:line="300" w:lineRule="exact"/>
              <w:ind w:left="420" w:leftChars="200" w:right="420" w:rightChars="200"/>
              <w:jc w:val="center"/>
              <w:rPr>
                <w:color w:val="000000"/>
                <w:sz w:val="24"/>
                <w:szCs w:val="24"/>
                <w:highlight w:val="none"/>
              </w:rPr>
            </w:pPr>
            <w:r>
              <w:rPr>
                <w:color w:val="000000"/>
                <w:sz w:val="24"/>
                <w:szCs w:val="24"/>
                <w:highlight w:val="none"/>
              </w:rPr>
              <w:t>评审内容</w:t>
            </w:r>
          </w:p>
        </w:tc>
        <w:tc>
          <w:tcPr>
            <w:tcW w:w="2340" w:type="dxa"/>
            <w:tcBorders>
              <w:top w:val="single" w:color="auto" w:sz="4" w:space="0"/>
              <w:left w:val="nil"/>
              <w:bottom w:val="single" w:color="auto" w:sz="4" w:space="0"/>
              <w:right w:val="single" w:color="auto" w:sz="4" w:space="0"/>
            </w:tcBorders>
            <w:noWrap w:val="0"/>
            <w:vAlign w:val="center"/>
          </w:tcPr>
          <w:p w14:paraId="629A0BAF">
            <w:pPr>
              <w:pageBreakBefore w:val="0"/>
              <w:kinsoku/>
              <w:wordWrap/>
              <w:overflowPunct/>
              <w:topLinePunct w:val="0"/>
              <w:bidi w:val="0"/>
              <w:spacing w:line="300" w:lineRule="exact"/>
              <w:ind w:left="420" w:leftChars="200" w:right="420" w:rightChars="200"/>
              <w:jc w:val="center"/>
              <w:rPr>
                <w:rFonts w:hint="eastAsia"/>
                <w:color w:val="000000"/>
                <w:sz w:val="24"/>
                <w:szCs w:val="24"/>
                <w:highlight w:val="none"/>
              </w:rPr>
            </w:pPr>
            <w:r>
              <w:rPr>
                <w:rFonts w:hint="eastAsia"/>
                <w:color w:val="000000"/>
                <w:sz w:val="24"/>
                <w:szCs w:val="24"/>
                <w:highlight w:val="none"/>
              </w:rPr>
              <w:t>响应页码</w:t>
            </w:r>
          </w:p>
        </w:tc>
      </w:tr>
      <w:tr w14:paraId="375C2DC6">
        <w:tblPrEx>
          <w:tblCellMar>
            <w:top w:w="0" w:type="dxa"/>
            <w:left w:w="108" w:type="dxa"/>
            <w:bottom w:w="0" w:type="dxa"/>
            <w:right w:w="108" w:type="dxa"/>
          </w:tblCellMar>
        </w:tblPrEx>
        <w:trPr>
          <w:trHeight w:val="567" w:hRule="atLeast"/>
        </w:trPr>
        <w:tc>
          <w:tcPr>
            <w:tcW w:w="724" w:type="dxa"/>
            <w:tcBorders>
              <w:top w:val="nil"/>
              <w:left w:val="single" w:color="auto" w:sz="4" w:space="0"/>
              <w:bottom w:val="single" w:color="auto" w:sz="4" w:space="0"/>
              <w:right w:val="single" w:color="auto" w:sz="4" w:space="0"/>
            </w:tcBorders>
            <w:noWrap w:val="0"/>
            <w:vAlign w:val="center"/>
          </w:tcPr>
          <w:p w14:paraId="634D983B">
            <w:pPr>
              <w:pageBreakBefore w:val="0"/>
              <w:kinsoku/>
              <w:wordWrap/>
              <w:overflowPunct/>
              <w:topLinePunct w:val="0"/>
              <w:bidi w:val="0"/>
              <w:spacing w:line="300" w:lineRule="exact"/>
              <w:ind w:left="420" w:leftChars="200" w:right="420" w:rightChars="200"/>
              <w:rPr>
                <w:color w:val="000000"/>
                <w:sz w:val="24"/>
                <w:szCs w:val="24"/>
                <w:highlight w:val="none"/>
              </w:rPr>
            </w:pPr>
          </w:p>
        </w:tc>
        <w:tc>
          <w:tcPr>
            <w:tcW w:w="6131" w:type="dxa"/>
            <w:tcBorders>
              <w:top w:val="nil"/>
              <w:left w:val="single" w:color="auto" w:sz="4" w:space="0"/>
              <w:bottom w:val="single" w:color="auto" w:sz="4" w:space="0"/>
              <w:right w:val="single" w:color="auto" w:sz="4" w:space="0"/>
            </w:tcBorders>
            <w:noWrap w:val="0"/>
            <w:vAlign w:val="center"/>
          </w:tcPr>
          <w:p w14:paraId="36E80544">
            <w:pPr>
              <w:pageBreakBefore w:val="0"/>
              <w:kinsoku/>
              <w:wordWrap/>
              <w:overflowPunct/>
              <w:topLinePunct w:val="0"/>
              <w:bidi w:val="0"/>
              <w:spacing w:line="300" w:lineRule="exact"/>
              <w:ind w:left="420" w:leftChars="200" w:right="420" w:rightChars="200"/>
              <w:rPr>
                <w:color w:val="000000"/>
                <w:sz w:val="24"/>
                <w:szCs w:val="24"/>
                <w:highlight w:val="none"/>
              </w:rPr>
            </w:pPr>
          </w:p>
        </w:tc>
        <w:tc>
          <w:tcPr>
            <w:tcW w:w="2340" w:type="dxa"/>
            <w:tcBorders>
              <w:top w:val="nil"/>
              <w:left w:val="nil"/>
              <w:bottom w:val="single" w:color="auto" w:sz="4" w:space="0"/>
              <w:right w:val="single" w:color="auto" w:sz="4" w:space="0"/>
            </w:tcBorders>
            <w:noWrap w:val="0"/>
            <w:vAlign w:val="center"/>
          </w:tcPr>
          <w:p w14:paraId="509A7704">
            <w:pPr>
              <w:pageBreakBefore w:val="0"/>
              <w:kinsoku/>
              <w:wordWrap/>
              <w:overflowPunct/>
              <w:topLinePunct w:val="0"/>
              <w:bidi w:val="0"/>
              <w:spacing w:line="300" w:lineRule="exact"/>
              <w:ind w:left="420" w:leftChars="200" w:right="420" w:rightChars="200"/>
              <w:jc w:val="center"/>
              <w:rPr>
                <w:color w:val="000000"/>
                <w:sz w:val="24"/>
                <w:szCs w:val="24"/>
                <w:highlight w:val="none"/>
              </w:rPr>
            </w:pPr>
            <w:r>
              <w:rPr>
                <w:color w:val="000000"/>
                <w:sz w:val="24"/>
                <w:szCs w:val="24"/>
                <w:highlight w:val="none"/>
              </w:rPr>
              <w:t>见（  ）页</w:t>
            </w:r>
          </w:p>
        </w:tc>
      </w:tr>
      <w:tr w14:paraId="7BD3B705">
        <w:tblPrEx>
          <w:tblCellMar>
            <w:top w:w="0" w:type="dxa"/>
            <w:left w:w="108" w:type="dxa"/>
            <w:bottom w:w="0" w:type="dxa"/>
            <w:right w:w="108" w:type="dxa"/>
          </w:tblCellMar>
        </w:tblPrEx>
        <w:trPr>
          <w:trHeight w:val="567" w:hRule="atLeast"/>
        </w:trPr>
        <w:tc>
          <w:tcPr>
            <w:tcW w:w="724" w:type="dxa"/>
            <w:tcBorders>
              <w:top w:val="nil"/>
              <w:left w:val="single" w:color="auto" w:sz="4" w:space="0"/>
              <w:bottom w:val="single" w:color="auto" w:sz="4" w:space="0"/>
              <w:right w:val="single" w:color="auto" w:sz="4" w:space="0"/>
            </w:tcBorders>
            <w:noWrap w:val="0"/>
            <w:vAlign w:val="center"/>
          </w:tcPr>
          <w:p w14:paraId="58CE8933">
            <w:pPr>
              <w:pageBreakBefore w:val="0"/>
              <w:kinsoku/>
              <w:wordWrap/>
              <w:overflowPunct/>
              <w:topLinePunct w:val="0"/>
              <w:bidi w:val="0"/>
              <w:spacing w:line="300" w:lineRule="exact"/>
              <w:ind w:left="420" w:leftChars="200" w:right="420" w:rightChars="200"/>
              <w:rPr>
                <w:color w:val="000000"/>
                <w:sz w:val="24"/>
                <w:szCs w:val="24"/>
                <w:highlight w:val="none"/>
              </w:rPr>
            </w:pPr>
          </w:p>
        </w:tc>
        <w:tc>
          <w:tcPr>
            <w:tcW w:w="6131" w:type="dxa"/>
            <w:tcBorders>
              <w:top w:val="nil"/>
              <w:left w:val="single" w:color="auto" w:sz="4" w:space="0"/>
              <w:bottom w:val="single" w:color="auto" w:sz="4" w:space="0"/>
              <w:right w:val="single" w:color="auto" w:sz="4" w:space="0"/>
            </w:tcBorders>
            <w:noWrap w:val="0"/>
            <w:vAlign w:val="center"/>
          </w:tcPr>
          <w:p w14:paraId="5C578F83">
            <w:pPr>
              <w:pageBreakBefore w:val="0"/>
              <w:kinsoku/>
              <w:wordWrap/>
              <w:overflowPunct/>
              <w:topLinePunct w:val="0"/>
              <w:bidi w:val="0"/>
              <w:spacing w:line="300" w:lineRule="exact"/>
              <w:ind w:left="420" w:leftChars="200" w:right="420" w:rightChars="200"/>
              <w:rPr>
                <w:color w:val="000000"/>
                <w:sz w:val="24"/>
                <w:szCs w:val="24"/>
                <w:highlight w:val="none"/>
              </w:rPr>
            </w:pPr>
          </w:p>
        </w:tc>
        <w:tc>
          <w:tcPr>
            <w:tcW w:w="2340" w:type="dxa"/>
            <w:tcBorders>
              <w:top w:val="nil"/>
              <w:left w:val="nil"/>
              <w:bottom w:val="single" w:color="auto" w:sz="4" w:space="0"/>
              <w:right w:val="single" w:color="auto" w:sz="4" w:space="0"/>
            </w:tcBorders>
            <w:noWrap w:val="0"/>
            <w:vAlign w:val="center"/>
          </w:tcPr>
          <w:p w14:paraId="2C967AAF">
            <w:pPr>
              <w:pageBreakBefore w:val="0"/>
              <w:kinsoku/>
              <w:wordWrap/>
              <w:overflowPunct/>
              <w:topLinePunct w:val="0"/>
              <w:bidi w:val="0"/>
              <w:spacing w:line="300" w:lineRule="exact"/>
              <w:ind w:left="420" w:leftChars="200" w:right="420" w:rightChars="200"/>
              <w:jc w:val="center"/>
              <w:rPr>
                <w:color w:val="000000"/>
                <w:sz w:val="24"/>
                <w:szCs w:val="24"/>
                <w:highlight w:val="none"/>
              </w:rPr>
            </w:pPr>
            <w:r>
              <w:rPr>
                <w:color w:val="000000"/>
                <w:sz w:val="24"/>
                <w:szCs w:val="24"/>
                <w:highlight w:val="none"/>
              </w:rPr>
              <w:t>见（  ）页</w:t>
            </w:r>
          </w:p>
        </w:tc>
      </w:tr>
      <w:tr w14:paraId="6D6CB964">
        <w:tblPrEx>
          <w:tblCellMar>
            <w:top w:w="0" w:type="dxa"/>
            <w:left w:w="108" w:type="dxa"/>
            <w:bottom w:w="0" w:type="dxa"/>
            <w:right w:w="108" w:type="dxa"/>
          </w:tblCellMar>
        </w:tblPrEx>
        <w:trPr>
          <w:trHeight w:val="567" w:hRule="atLeast"/>
        </w:trPr>
        <w:tc>
          <w:tcPr>
            <w:tcW w:w="724" w:type="dxa"/>
            <w:tcBorders>
              <w:top w:val="nil"/>
              <w:left w:val="single" w:color="auto" w:sz="4" w:space="0"/>
              <w:bottom w:val="single" w:color="auto" w:sz="4" w:space="0"/>
              <w:right w:val="single" w:color="auto" w:sz="4" w:space="0"/>
            </w:tcBorders>
            <w:noWrap w:val="0"/>
            <w:vAlign w:val="center"/>
          </w:tcPr>
          <w:p w14:paraId="50A906B5">
            <w:pPr>
              <w:pageBreakBefore w:val="0"/>
              <w:kinsoku/>
              <w:wordWrap/>
              <w:overflowPunct/>
              <w:topLinePunct w:val="0"/>
              <w:bidi w:val="0"/>
              <w:spacing w:line="300" w:lineRule="exact"/>
              <w:ind w:left="420" w:leftChars="200" w:right="420" w:rightChars="200"/>
              <w:rPr>
                <w:color w:val="000000"/>
                <w:sz w:val="24"/>
                <w:szCs w:val="24"/>
                <w:highlight w:val="none"/>
              </w:rPr>
            </w:pPr>
          </w:p>
        </w:tc>
        <w:tc>
          <w:tcPr>
            <w:tcW w:w="6131" w:type="dxa"/>
            <w:tcBorders>
              <w:top w:val="nil"/>
              <w:left w:val="single" w:color="auto" w:sz="4" w:space="0"/>
              <w:bottom w:val="single" w:color="auto" w:sz="4" w:space="0"/>
              <w:right w:val="single" w:color="auto" w:sz="4" w:space="0"/>
            </w:tcBorders>
            <w:noWrap w:val="0"/>
            <w:vAlign w:val="center"/>
          </w:tcPr>
          <w:p w14:paraId="736103ED">
            <w:pPr>
              <w:pageBreakBefore w:val="0"/>
              <w:kinsoku/>
              <w:wordWrap/>
              <w:overflowPunct/>
              <w:topLinePunct w:val="0"/>
              <w:bidi w:val="0"/>
              <w:spacing w:line="300" w:lineRule="exact"/>
              <w:ind w:left="420" w:leftChars="200" w:right="420" w:rightChars="200"/>
              <w:rPr>
                <w:color w:val="000000"/>
                <w:sz w:val="24"/>
                <w:szCs w:val="24"/>
                <w:highlight w:val="none"/>
              </w:rPr>
            </w:pPr>
          </w:p>
        </w:tc>
        <w:tc>
          <w:tcPr>
            <w:tcW w:w="2340" w:type="dxa"/>
            <w:tcBorders>
              <w:top w:val="nil"/>
              <w:left w:val="nil"/>
              <w:bottom w:val="single" w:color="auto" w:sz="4" w:space="0"/>
              <w:right w:val="single" w:color="auto" w:sz="4" w:space="0"/>
            </w:tcBorders>
            <w:noWrap w:val="0"/>
            <w:vAlign w:val="center"/>
          </w:tcPr>
          <w:p w14:paraId="5CA3EC20">
            <w:pPr>
              <w:pageBreakBefore w:val="0"/>
              <w:kinsoku/>
              <w:wordWrap/>
              <w:overflowPunct/>
              <w:topLinePunct w:val="0"/>
              <w:bidi w:val="0"/>
              <w:spacing w:line="300" w:lineRule="exact"/>
              <w:ind w:left="420" w:leftChars="200" w:right="420" w:rightChars="200"/>
              <w:jc w:val="center"/>
              <w:rPr>
                <w:color w:val="000000"/>
                <w:sz w:val="24"/>
                <w:szCs w:val="24"/>
                <w:highlight w:val="none"/>
              </w:rPr>
            </w:pPr>
            <w:r>
              <w:rPr>
                <w:color w:val="000000"/>
                <w:sz w:val="24"/>
                <w:szCs w:val="24"/>
                <w:highlight w:val="none"/>
              </w:rPr>
              <w:t>见（  ）页</w:t>
            </w:r>
          </w:p>
        </w:tc>
      </w:tr>
      <w:tr w14:paraId="5407FCDD">
        <w:tblPrEx>
          <w:tblCellMar>
            <w:top w:w="0" w:type="dxa"/>
            <w:left w:w="108" w:type="dxa"/>
            <w:bottom w:w="0" w:type="dxa"/>
            <w:right w:w="108" w:type="dxa"/>
          </w:tblCellMar>
        </w:tblPrEx>
        <w:trPr>
          <w:trHeight w:val="567" w:hRule="atLeast"/>
        </w:trPr>
        <w:tc>
          <w:tcPr>
            <w:tcW w:w="724" w:type="dxa"/>
            <w:tcBorders>
              <w:top w:val="nil"/>
              <w:left w:val="single" w:color="auto" w:sz="4" w:space="0"/>
              <w:bottom w:val="single" w:color="auto" w:sz="4" w:space="0"/>
              <w:right w:val="single" w:color="auto" w:sz="4" w:space="0"/>
            </w:tcBorders>
            <w:noWrap w:val="0"/>
            <w:vAlign w:val="center"/>
          </w:tcPr>
          <w:p w14:paraId="255F7E26">
            <w:pPr>
              <w:pageBreakBefore w:val="0"/>
              <w:kinsoku/>
              <w:wordWrap/>
              <w:overflowPunct/>
              <w:topLinePunct w:val="0"/>
              <w:bidi w:val="0"/>
              <w:spacing w:line="300" w:lineRule="exact"/>
              <w:ind w:left="420" w:leftChars="200" w:right="420" w:rightChars="200"/>
              <w:rPr>
                <w:color w:val="000000"/>
                <w:sz w:val="24"/>
                <w:szCs w:val="24"/>
                <w:highlight w:val="none"/>
              </w:rPr>
            </w:pPr>
          </w:p>
        </w:tc>
        <w:tc>
          <w:tcPr>
            <w:tcW w:w="6131" w:type="dxa"/>
            <w:tcBorders>
              <w:top w:val="nil"/>
              <w:left w:val="single" w:color="auto" w:sz="4" w:space="0"/>
              <w:bottom w:val="single" w:color="auto" w:sz="4" w:space="0"/>
              <w:right w:val="single" w:color="auto" w:sz="4" w:space="0"/>
            </w:tcBorders>
            <w:noWrap w:val="0"/>
            <w:vAlign w:val="center"/>
          </w:tcPr>
          <w:p w14:paraId="7E86E145">
            <w:pPr>
              <w:pageBreakBefore w:val="0"/>
              <w:kinsoku/>
              <w:wordWrap/>
              <w:overflowPunct/>
              <w:topLinePunct w:val="0"/>
              <w:bidi w:val="0"/>
              <w:spacing w:line="300" w:lineRule="exact"/>
              <w:ind w:left="420" w:leftChars="200" w:right="420" w:rightChars="200"/>
              <w:rPr>
                <w:color w:val="000000"/>
                <w:sz w:val="24"/>
                <w:szCs w:val="24"/>
                <w:highlight w:val="none"/>
              </w:rPr>
            </w:pPr>
          </w:p>
        </w:tc>
        <w:tc>
          <w:tcPr>
            <w:tcW w:w="2340" w:type="dxa"/>
            <w:tcBorders>
              <w:top w:val="nil"/>
              <w:left w:val="nil"/>
              <w:bottom w:val="single" w:color="auto" w:sz="4" w:space="0"/>
              <w:right w:val="single" w:color="auto" w:sz="4" w:space="0"/>
            </w:tcBorders>
            <w:noWrap w:val="0"/>
            <w:vAlign w:val="center"/>
          </w:tcPr>
          <w:p w14:paraId="3540A761">
            <w:pPr>
              <w:pageBreakBefore w:val="0"/>
              <w:kinsoku/>
              <w:wordWrap/>
              <w:overflowPunct/>
              <w:topLinePunct w:val="0"/>
              <w:bidi w:val="0"/>
              <w:spacing w:line="300" w:lineRule="exact"/>
              <w:ind w:left="420" w:leftChars="200" w:right="420" w:rightChars="200"/>
              <w:jc w:val="center"/>
              <w:rPr>
                <w:color w:val="000000"/>
                <w:sz w:val="24"/>
                <w:szCs w:val="24"/>
                <w:highlight w:val="none"/>
              </w:rPr>
            </w:pPr>
            <w:r>
              <w:rPr>
                <w:color w:val="000000"/>
                <w:sz w:val="24"/>
                <w:szCs w:val="24"/>
                <w:highlight w:val="none"/>
              </w:rPr>
              <w:t>见（  ）页</w:t>
            </w:r>
          </w:p>
        </w:tc>
      </w:tr>
      <w:tr w14:paraId="7C3599FD">
        <w:tblPrEx>
          <w:tblCellMar>
            <w:top w:w="0" w:type="dxa"/>
            <w:left w:w="108" w:type="dxa"/>
            <w:bottom w:w="0" w:type="dxa"/>
            <w:right w:w="108" w:type="dxa"/>
          </w:tblCellMar>
        </w:tblPrEx>
        <w:trPr>
          <w:trHeight w:val="567" w:hRule="atLeast"/>
        </w:trPr>
        <w:tc>
          <w:tcPr>
            <w:tcW w:w="724" w:type="dxa"/>
            <w:tcBorders>
              <w:top w:val="single" w:color="auto" w:sz="4" w:space="0"/>
              <w:left w:val="single" w:color="auto" w:sz="4" w:space="0"/>
              <w:bottom w:val="single" w:color="auto" w:sz="4" w:space="0"/>
              <w:right w:val="single" w:color="auto" w:sz="4" w:space="0"/>
            </w:tcBorders>
            <w:noWrap w:val="0"/>
            <w:vAlign w:val="center"/>
          </w:tcPr>
          <w:p w14:paraId="10A9D557">
            <w:pPr>
              <w:pageBreakBefore w:val="0"/>
              <w:kinsoku/>
              <w:wordWrap/>
              <w:overflowPunct/>
              <w:topLinePunct w:val="0"/>
              <w:bidi w:val="0"/>
              <w:spacing w:line="300" w:lineRule="exact"/>
              <w:ind w:left="420" w:leftChars="200" w:right="420" w:rightChars="200"/>
              <w:rPr>
                <w:color w:val="000000"/>
                <w:sz w:val="24"/>
                <w:szCs w:val="24"/>
                <w:highlight w:val="none"/>
              </w:rPr>
            </w:pPr>
          </w:p>
        </w:tc>
        <w:tc>
          <w:tcPr>
            <w:tcW w:w="6131" w:type="dxa"/>
            <w:tcBorders>
              <w:top w:val="single" w:color="auto" w:sz="4" w:space="0"/>
              <w:left w:val="single" w:color="auto" w:sz="4" w:space="0"/>
              <w:bottom w:val="single" w:color="auto" w:sz="4" w:space="0"/>
              <w:right w:val="single" w:color="auto" w:sz="4" w:space="0"/>
            </w:tcBorders>
            <w:noWrap w:val="0"/>
            <w:vAlign w:val="center"/>
          </w:tcPr>
          <w:p w14:paraId="6C7FDCD3">
            <w:pPr>
              <w:pageBreakBefore w:val="0"/>
              <w:kinsoku/>
              <w:wordWrap/>
              <w:overflowPunct/>
              <w:topLinePunct w:val="0"/>
              <w:bidi w:val="0"/>
              <w:spacing w:line="300" w:lineRule="exact"/>
              <w:ind w:left="420" w:leftChars="200" w:right="420" w:rightChars="200"/>
              <w:rPr>
                <w:color w:val="000000"/>
                <w:sz w:val="24"/>
                <w:szCs w:val="24"/>
                <w:highlight w:val="none"/>
              </w:rPr>
            </w:pPr>
          </w:p>
        </w:tc>
        <w:tc>
          <w:tcPr>
            <w:tcW w:w="2340" w:type="dxa"/>
            <w:tcBorders>
              <w:top w:val="single" w:color="auto" w:sz="4" w:space="0"/>
              <w:left w:val="nil"/>
              <w:bottom w:val="single" w:color="auto" w:sz="4" w:space="0"/>
              <w:right w:val="single" w:color="auto" w:sz="4" w:space="0"/>
            </w:tcBorders>
            <w:noWrap w:val="0"/>
            <w:vAlign w:val="center"/>
          </w:tcPr>
          <w:p w14:paraId="75096A65">
            <w:pPr>
              <w:pageBreakBefore w:val="0"/>
              <w:kinsoku/>
              <w:wordWrap/>
              <w:overflowPunct/>
              <w:topLinePunct w:val="0"/>
              <w:bidi w:val="0"/>
              <w:spacing w:line="300" w:lineRule="exact"/>
              <w:ind w:left="420" w:leftChars="200" w:right="420" w:rightChars="200"/>
              <w:jc w:val="center"/>
              <w:rPr>
                <w:color w:val="000000"/>
                <w:sz w:val="24"/>
                <w:szCs w:val="24"/>
                <w:highlight w:val="none"/>
              </w:rPr>
            </w:pPr>
            <w:r>
              <w:rPr>
                <w:color w:val="000000"/>
                <w:sz w:val="24"/>
                <w:szCs w:val="24"/>
                <w:highlight w:val="none"/>
              </w:rPr>
              <w:t>见（  ）页</w:t>
            </w:r>
          </w:p>
        </w:tc>
      </w:tr>
      <w:tr w14:paraId="04449E6B">
        <w:tblPrEx>
          <w:tblCellMar>
            <w:top w:w="0" w:type="dxa"/>
            <w:left w:w="108" w:type="dxa"/>
            <w:bottom w:w="0" w:type="dxa"/>
            <w:right w:w="108" w:type="dxa"/>
          </w:tblCellMar>
        </w:tblPrEx>
        <w:trPr>
          <w:trHeight w:val="567" w:hRule="atLeast"/>
        </w:trPr>
        <w:tc>
          <w:tcPr>
            <w:tcW w:w="724" w:type="dxa"/>
            <w:tcBorders>
              <w:top w:val="single" w:color="auto" w:sz="4" w:space="0"/>
              <w:left w:val="single" w:color="auto" w:sz="4" w:space="0"/>
              <w:bottom w:val="single" w:color="auto" w:sz="4" w:space="0"/>
              <w:right w:val="single" w:color="auto" w:sz="4" w:space="0"/>
            </w:tcBorders>
            <w:noWrap w:val="0"/>
            <w:vAlign w:val="center"/>
          </w:tcPr>
          <w:p w14:paraId="1C1B2CE2">
            <w:pPr>
              <w:pageBreakBefore w:val="0"/>
              <w:kinsoku/>
              <w:wordWrap/>
              <w:overflowPunct/>
              <w:topLinePunct w:val="0"/>
              <w:bidi w:val="0"/>
              <w:spacing w:line="300" w:lineRule="exact"/>
              <w:ind w:left="420" w:leftChars="200" w:right="420" w:rightChars="200"/>
              <w:rPr>
                <w:color w:val="000000"/>
                <w:sz w:val="24"/>
                <w:szCs w:val="24"/>
                <w:highlight w:val="none"/>
              </w:rPr>
            </w:pPr>
          </w:p>
        </w:tc>
        <w:tc>
          <w:tcPr>
            <w:tcW w:w="6131" w:type="dxa"/>
            <w:tcBorders>
              <w:top w:val="single" w:color="auto" w:sz="4" w:space="0"/>
              <w:left w:val="single" w:color="auto" w:sz="4" w:space="0"/>
              <w:bottom w:val="single" w:color="auto" w:sz="4" w:space="0"/>
              <w:right w:val="single" w:color="auto" w:sz="4" w:space="0"/>
            </w:tcBorders>
            <w:noWrap w:val="0"/>
            <w:vAlign w:val="center"/>
          </w:tcPr>
          <w:p w14:paraId="2BA8BF4F">
            <w:pPr>
              <w:pageBreakBefore w:val="0"/>
              <w:kinsoku/>
              <w:wordWrap/>
              <w:overflowPunct/>
              <w:topLinePunct w:val="0"/>
              <w:bidi w:val="0"/>
              <w:spacing w:line="300" w:lineRule="exact"/>
              <w:ind w:left="420" w:leftChars="200" w:right="420" w:rightChars="200"/>
              <w:rPr>
                <w:color w:val="000000"/>
                <w:sz w:val="24"/>
                <w:szCs w:val="24"/>
                <w:highlight w:val="none"/>
              </w:rPr>
            </w:pPr>
          </w:p>
        </w:tc>
        <w:tc>
          <w:tcPr>
            <w:tcW w:w="2340" w:type="dxa"/>
            <w:tcBorders>
              <w:top w:val="single" w:color="auto" w:sz="4" w:space="0"/>
              <w:left w:val="nil"/>
              <w:bottom w:val="single" w:color="auto" w:sz="4" w:space="0"/>
              <w:right w:val="single" w:color="auto" w:sz="4" w:space="0"/>
            </w:tcBorders>
            <w:noWrap w:val="0"/>
            <w:vAlign w:val="center"/>
          </w:tcPr>
          <w:p w14:paraId="1C24B8EA">
            <w:pPr>
              <w:pageBreakBefore w:val="0"/>
              <w:kinsoku/>
              <w:wordWrap/>
              <w:overflowPunct/>
              <w:topLinePunct w:val="0"/>
              <w:bidi w:val="0"/>
              <w:spacing w:line="300" w:lineRule="exact"/>
              <w:ind w:left="420" w:leftChars="200" w:right="420" w:rightChars="200"/>
              <w:jc w:val="center"/>
              <w:rPr>
                <w:color w:val="000000"/>
                <w:sz w:val="24"/>
                <w:szCs w:val="24"/>
                <w:highlight w:val="none"/>
              </w:rPr>
            </w:pPr>
            <w:r>
              <w:rPr>
                <w:color w:val="000000"/>
                <w:sz w:val="24"/>
                <w:szCs w:val="24"/>
                <w:highlight w:val="none"/>
              </w:rPr>
              <w:t>见（  ）页</w:t>
            </w:r>
          </w:p>
        </w:tc>
      </w:tr>
      <w:tr w14:paraId="1A72FBF0">
        <w:tblPrEx>
          <w:tblCellMar>
            <w:top w:w="0" w:type="dxa"/>
            <w:left w:w="108" w:type="dxa"/>
            <w:bottom w:w="0" w:type="dxa"/>
            <w:right w:w="108" w:type="dxa"/>
          </w:tblCellMar>
        </w:tblPrEx>
        <w:trPr>
          <w:trHeight w:val="567" w:hRule="atLeast"/>
        </w:trPr>
        <w:tc>
          <w:tcPr>
            <w:tcW w:w="724" w:type="dxa"/>
            <w:tcBorders>
              <w:top w:val="single" w:color="auto" w:sz="4" w:space="0"/>
              <w:left w:val="single" w:color="auto" w:sz="4" w:space="0"/>
              <w:bottom w:val="single" w:color="auto" w:sz="4" w:space="0"/>
              <w:right w:val="single" w:color="auto" w:sz="4" w:space="0"/>
            </w:tcBorders>
            <w:noWrap w:val="0"/>
            <w:vAlign w:val="center"/>
          </w:tcPr>
          <w:p w14:paraId="7104D4B3">
            <w:pPr>
              <w:pageBreakBefore w:val="0"/>
              <w:kinsoku/>
              <w:wordWrap/>
              <w:overflowPunct/>
              <w:topLinePunct w:val="0"/>
              <w:bidi w:val="0"/>
              <w:spacing w:line="300" w:lineRule="exact"/>
              <w:ind w:left="420" w:leftChars="200" w:right="420" w:rightChars="200"/>
              <w:rPr>
                <w:color w:val="000000"/>
                <w:sz w:val="24"/>
                <w:szCs w:val="24"/>
                <w:highlight w:val="none"/>
              </w:rPr>
            </w:pPr>
          </w:p>
        </w:tc>
        <w:tc>
          <w:tcPr>
            <w:tcW w:w="6131" w:type="dxa"/>
            <w:tcBorders>
              <w:top w:val="single" w:color="auto" w:sz="4" w:space="0"/>
              <w:left w:val="single" w:color="auto" w:sz="4" w:space="0"/>
              <w:bottom w:val="single" w:color="auto" w:sz="4" w:space="0"/>
              <w:right w:val="single" w:color="auto" w:sz="4" w:space="0"/>
            </w:tcBorders>
            <w:noWrap w:val="0"/>
            <w:vAlign w:val="center"/>
          </w:tcPr>
          <w:p w14:paraId="25295C1C">
            <w:pPr>
              <w:pageBreakBefore w:val="0"/>
              <w:kinsoku/>
              <w:wordWrap/>
              <w:overflowPunct/>
              <w:topLinePunct w:val="0"/>
              <w:bidi w:val="0"/>
              <w:spacing w:line="300" w:lineRule="exact"/>
              <w:ind w:left="420" w:leftChars="200" w:right="420" w:rightChars="200"/>
              <w:rPr>
                <w:color w:val="000000"/>
                <w:sz w:val="24"/>
                <w:szCs w:val="24"/>
                <w:highlight w:val="none"/>
              </w:rPr>
            </w:pPr>
          </w:p>
        </w:tc>
        <w:tc>
          <w:tcPr>
            <w:tcW w:w="2340" w:type="dxa"/>
            <w:tcBorders>
              <w:top w:val="single" w:color="auto" w:sz="4" w:space="0"/>
              <w:left w:val="nil"/>
              <w:bottom w:val="single" w:color="auto" w:sz="4" w:space="0"/>
              <w:right w:val="single" w:color="auto" w:sz="4" w:space="0"/>
            </w:tcBorders>
            <w:noWrap w:val="0"/>
            <w:vAlign w:val="center"/>
          </w:tcPr>
          <w:p w14:paraId="7BEFBB04">
            <w:pPr>
              <w:pageBreakBefore w:val="0"/>
              <w:kinsoku/>
              <w:wordWrap/>
              <w:overflowPunct/>
              <w:topLinePunct w:val="0"/>
              <w:bidi w:val="0"/>
              <w:spacing w:line="300" w:lineRule="exact"/>
              <w:ind w:left="420" w:leftChars="200" w:right="420" w:rightChars="200"/>
              <w:jc w:val="center"/>
              <w:rPr>
                <w:color w:val="000000"/>
                <w:sz w:val="24"/>
                <w:szCs w:val="24"/>
                <w:highlight w:val="none"/>
              </w:rPr>
            </w:pPr>
            <w:r>
              <w:rPr>
                <w:color w:val="000000"/>
                <w:sz w:val="24"/>
                <w:szCs w:val="24"/>
                <w:highlight w:val="none"/>
              </w:rPr>
              <w:t>见（  ）页</w:t>
            </w:r>
          </w:p>
        </w:tc>
      </w:tr>
      <w:tr w14:paraId="4129B03C">
        <w:tblPrEx>
          <w:tblCellMar>
            <w:top w:w="0" w:type="dxa"/>
            <w:left w:w="108" w:type="dxa"/>
            <w:bottom w:w="0" w:type="dxa"/>
            <w:right w:w="108" w:type="dxa"/>
          </w:tblCellMar>
        </w:tblPrEx>
        <w:trPr>
          <w:trHeight w:val="567" w:hRule="atLeast"/>
        </w:trPr>
        <w:tc>
          <w:tcPr>
            <w:tcW w:w="724" w:type="dxa"/>
            <w:tcBorders>
              <w:top w:val="single" w:color="auto" w:sz="4" w:space="0"/>
              <w:left w:val="single" w:color="auto" w:sz="4" w:space="0"/>
              <w:bottom w:val="single" w:color="auto" w:sz="4" w:space="0"/>
              <w:right w:val="single" w:color="auto" w:sz="4" w:space="0"/>
            </w:tcBorders>
            <w:noWrap w:val="0"/>
            <w:vAlign w:val="center"/>
          </w:tcPr>
          <w:p w14:paraId="1199B031">
            <w:pPr>
              <w:pageBreakBefore w:val="0"/>
              <w:kinsoku/>
              <w:wordWrap/>
              <w:overflowPunct/>
              <w:topLinePunct w:val="0"/>
              <w:bidi w:val="0"/>
              <w:spacing w:line="300" w:lineRule="exact"/>
              <w:ind w:left="420" w:leftChars="200" w:right="420" w:rightChars="200"/>
              <w:rPr>
                <w:color w:val="000000"/>
                <w:sz w:val="24"/>
                <w:szCs w:val="24"/>
                <w:highlight w:val="none"/>
              </w:rPr>
            </w:pPr>
          </w:p>
        </w:tc>
        <w:tc>
          <w:tcPr>
            <w:tcW w:w="6131" w:type="dxa"/>
            <w:tcBorders>
              <w:top w:val="single" w:color="auto" w:sz="4" w:space="0"/>
              <w:left w:val="single" w:color="auto" w:sz="4" w:space="0"/>
              <w:bottom w:val="single" w:color="auto" w:sz="4" w:space="0"/>
              <w:right w:val="single" w:color="auto" w:sz="4" w:space="0"/>
            </w:tcBorders>
            <w:noWrap w:val="0"/>
            <w:vAlign w:val="center"/>
          </w:tcPr>
          <w:p w14:paraId="6E7B89FB">
            <w:pPr>
              <w:pageBreakBefore w:val="0"/>
              <w:kinsoku/>
              <w:wordWrap/>
              <w:overflowPunct/>
              <w:topLinePunct w:val="0"/>
              <w:bidi w:val="0"/>
              <w:spacing w:line="300" w:lineRule="exact"/>
              <w:ind w:left="420" w:leftChars="200" w:right="420" w:rightChars="200"/>
              <w:rPr>
                <w:color w:val="000000"/>
                <w:sz w:val="24"/>
                <w:szCs w:val="24"/>
                <w:highlight w:val="none"/>
              </w:rPr>
            </w:pPr>
          </w:p>
        </w:tc>
        <w:tc>
          <w:tcPr>
            <w:tcW w:w="2340" w:type="dxa"/>
            <w:tcBorders>
              <w:top w:val="single" w:color="auto" w:sz="4" w:space="0"/>
              <w:left w:val="nil"/>
              <w:bottom w:val="single" w:color="auto" w:sz="4" w:space="0"/>
              <w:right w:val="single" w:color="auto" w:sz="4" w:space="0"/>
            </w:tcBorders>
            <w:noWrap w:val="0"/>
            <w:vAlign w:val="center"/>
          </w:tcPr>
          <w:p w14:paraId="237D474E">
            <w:pPr>
              <w:pageBreakBefore w:val="0"/>
              <w:kinsoku/>
              <w:wordWrap/>
              <w:overflowPunct/>
              <w:topLinePunct w:val="0"/>
              <w:bidi w:val="0"/>
              <w:spacing w:line="300" w:lineRule="exact"/>
              <w:ind w:left="420" w:leftChars="200" w:right="420" w:rightChars="200"/>
              <w:jc w:val="center"/>
              <w:rPr>
                <w:color w:val="000000"/>
                <w:sz w:val="24"/>
                <w:szCs w:val="24"/>
                <w:highlight w:val="none"/>
              </w:rPr>
            </w:pPr>
            <w:r>
              <w:rPr>
                <w:color w:val="000000"/>
                <w:sz w:val="24"/>
                <w:szCs w:val="24"/>
                <w:highlight w:val="none"/>
              </w:rPr>
              <w:t>见（  ）页</w:t>
            </w:r>
          </w:p>
        </w:tc>
      </w:tr>
    </w:tbl>
    <w:p w14:paraId="4C06F88F">
      <w:pPr>
        <w:pageBreakBefore w:val="0"/>
        <w:kinsoku/>
        <w:wordWrap/>
        <w:overflowPunct/>
        <w:topLinePunct w:val="0"/>
        <w:bidi w:val="0"/>
        <w:spacing w:line="300" w:lineRule="exact"/>
        <w:ind w:left="420" w:leftChars="200" w:right="420" w:rightChars="200"/>
        <w:rPr>
          <w:rFonts w:hint="eastAsia"/>
          <w:color w:val="000000"/>
          <w:sz w:val="24"/>
          <w:szCs w:val="24"/>
          <w:highlight w:val="none"/>
        </w:rPr>
      </w:pPr>
      <w:r>
        <w:rPr>
          <w:color w:val="000000"/>
          <w:sz w:val="24"/>
          <w:szCs w:val="24"/>
          <w:highlight w:val="none"/>
        </w:rPr>
        <w:t>根据</w:t>
      </w:r>
      <w:r>
        <w:rPr>
          <w:rFonts w:hint="eastAsia"/>
          <w:color w:val="000000"/>
          <w:sz w:val="24"/>
          <w:szCs w:val="24"/>
          <w:highlight w:val="none"/>
        </w:rPr>
        <w:t>《</w:t>
      </w:r>
      <w:r>
        <w:rPr>
          <w:color w:val="000000"/>
          <w:sz w:val="24"/>
          <w:szCs w:val="24"/>
          <w:highlight w:val="none"/>
        </w:rPr>
        <w:t>评分标准</w:t>
      </w:r>
      <w:r>
        <w:rPr>
          <w:rFonts w:hint="eastAsia"/>
          <w:color w:val="000000"/>
          <w:sz w:val="24"/>
          <w:szCs w:val="24"/>
          <w:highlight w:val="none"/>
        </w:rPr>
        <w:t>》</w:t>
      </w:r>
      <w:r>
        <w:rPr>
          <w:color w:val="000000"/>
          <w:sz w:val="24"/>
          <w:szCs w:val="24"/>
          <w:highlight w:val="none"/>
        </w:rPr>
        <w:t>逐条填写，除了价格分之外。</w:t>
      </w:r>
    </w:p>
    <w:p w14:paraId="64C96967">
      <w:pPr>
        <w:pageBreakBefore w:val="0"/>
        <w:kinsoku/>
        <w:wordWrap/>
        <w:overflowPunct/>
        <w:topLinePunct w:val="0"/>
        <w:bidi w:val="0"/>
        <w:spacing w:line="300" w:lineRule="exact"/>
        <w:ind w:left="420" w:leftChars="200" w:right="420" w:rightChars="200"/>
        <w:rPr>
          <w:rFonts w:hint="eastAsia"/>
          <w:color w:val="000000"/>
          <w:sz w:val="24"/>
          <w:szCs w:val="24"/>
          <w:highlight w:val="none"/>
        </w:rPr>
      </w:pPr>
    </w:p>
    <w:p w14:paraId="568C65DA">
      <w:pPr>
        <w:pageBreakBefore w:val="0"/>
        <w:kinsoku/>
        <w:wordWrap/>
        <w:overflowPunct/>
        <w:topLinePunct w:val="0"/>
        <w:bidi w:val="0"/>
        <w:spacing w:before="120" w:beforeLines="50" w:line="400" w:lineRule="exact"/>
        <w:ind w:left="420" w:leftChars="200" w:right="420" w:rightChars="200" w:firstLine="6300" w:firstLineChars="2625"/>
        <w:rPr>
          <w:color w:val="000000"/>
          <w:sz w:val="24"/>
          <w:szCs w:val="24"/>
          <w:highlight w:val="none"/>
        </w:rPr>
      </w:pPr>
      <w:r>
        <w:rPr>
          <w:color w:val="000000"/>
          <w:sz w:val="24"/>
          <w:szCs w:val="24"/>
          <w:highlight w:val="none"/>
        </w:rPr>
        <w:t>供应商单位（盖公章）：</w:t>
      </w:r>
    </w:p>
    <w:p w14:paraId="30C68631">
      <w:pPr>
        <w:pageBreakBefore w:val="0"/>
        <w:kinsoku/>
        <w:wordWrap/>
        <w:overflowPunct/>
        <w:topLinePunct w:val="0"/>
        <w:bidi w:val="0"/>
        <w:spacing w:before="120" w:beforeLines="50" w:line="400" w:lineRule="exact"/>
        <w:ind w:left="420" w:leftChars="200" w:right="420" w:rightChars="200" w:firstLine="6300" w:firstLineChars="2625"/>
        <w:rPr>
          <w:color w:val="000000"/>
          <w:sz w:val="24"/>
          <w:szCs w:val="24"/>
          <w:highlight w:val="none"/>
        </w:rPr>
      </w:pPr>
      <w:r>
        <w:rPr>
          <w:color w:val="000000"/>
          <w:sz w:val="24"/>
          <w:szCs w:val="24"/>
          <w:highlight w:val="none"/>
        </w:rPr>
        <w:t>日      期：</w:t>
      </w:r>
    </w:p>
    <w:p w14:paraId="5D4D9742">
      <w:pPr>
        <w:pStyle w:val="5"/>
        <w:pageBreakBefore w:val="0"/>
        <w:kinsoku/>
        <w:wordWrap/>
        <w:overflowPunct/>
        <w:topLinePunct w:val="0"/>
        <w:bidi w:val="0"/>
        <w:ind w:left="420" w:leftChars="200" w:right="420" w:rightChars="200" w:firstLine="0" w:firstLineChars="0"/>
        <w:rPr>
          <w:rFonts w:hint="eastAsia"/>
          <w:b/>
          <w:color w:val="000000"/>
          <w:sz w:val="28"/>
          <w:szCs w:val="28"/>
          <w:highlight w:val="none"/>
        </w:rPr>
      </w:pPr>
    </w:p>
    <w:p w14:paraId="11AF0112">
      <w:pPr>
        <w:pStyle w:val="5"/>
        <w:pageBreakBefore w:val="0"/>
        <w:kinsoku/>
        <w:wordWrap/>
        <w:overflowPunct/>
        <w:topLinePunct w:val="0"/>
        <w:bidi w:val="0"/>
        <w:ind w:left="420" w:leftChars="200" w:right="420" w:rightChars="200" w:firstLine="0" w:firstLineChars="0"/>
        <w:rPr>
          <w:rFonts w:hint="eastAsia"/>
          <w:color w:val="000000"/>
          <w:highlight w:val="none"/>
        </w:rPr>
      </w:pPr>
      <w:r>
        <w:rPr>
          <w:color w:val="000000"/>
          <w:highlight w:val="none"/>
        </w:rPr>
        <w:br w:type="page"/>
      </w:r>
    </w:p>
    <w:p w14:paraId="10E21809">
      <w:pPr>
        <w:pStyle w:val="24"/>
        <w:pageBreakBefore w:val="0"/>
        <w:kinsoku/>
        <w:wordWrap/>
        <w:overflowPunct/>
        <w:topLinePunct w:val="0"/>
        <w:bidi w:val="0"/>
        <w:ind w:left="420" w:leftChars="200" w:right="420" w:rightChars="200" w:firstLine="0"/>
        <w:rPr>
          <w:rFonts w:hint="eastAsia" w:ascii="宋体" w:eastAsia="宋体"/>
          <w:color w:val="000000"/>
          <w:sz w:val="28"/>
          <w:szCs w:val="28"/>
          <w:highlight w:val="none"/>
        </w:rPr>
      </w:pPr>
    </w:p>
    <w:p w14:paraId="4C02C3CF">
      <w:pPr>
        <w:pageBreakBefore w:val="0"/>
        <w:kinsoku/>
        <w:wordWrap/>
        <w:overflowPunct/>
        <w:topLinePunct w:val="0"/>
        <w:bidi w:val="0"/>
        <w:snapToGrid w:val="0"/>
        <w:spacing w:line="360" w:lineRule="auto"/>
        <w:ind w:left="420" w:leftChars="200" w:right="420" w:rightChars="200"/>
        <w:jc w:val="center"/>
        <w:outlineLvl w:val="0"/>
        <w:rPr>
          <w:rFonts w:ascii="仿宋" w:hAnsi="仿宋" w:eastAsia="仿宋" w:cs="仿宋"/>
          <w:b/>
          <w:kern w:val="0"/>
          <w:sz w:val="32"/>
          <w:szCs w:val="32"/>
        </w:rPr>
      </w:pPr>
      <w:r>
        <w:rPr>
          <w:rFonts w:hint="eastAsia" w:ascii="仿宋" w:hAnsi="仿宋" w:eastAsia="仿宋" w:cs="仿宋"/>
          <w:b/>
          <w:kern w:val="0"/>
          <w:sz w:val="32"/>
          <w:szCs w:val="32"/>
        </w:rPr>
        <w:t>二、符合性自查表</w:t>
      </w:r>
    </w:p>
    <w:tbl>
      <w:tblPr>
        <w:tblStyle w:val="60"/>
        <w:tblW w:w="96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5"/>
        <w:gridCol w:w="2582"/>
        <w:gridCol w:w="3182"/>
        <w:gridCol w:w="1265"/>
        <w:gridCol w:w="1848"/>
      </w:tblGrid>
      <w:tr w14:paraId="02BF91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05" w:type="dxa"/>
            <w:vAlign w:val="center"/>
          </w:tcPr>
          <w:p w14:paraId="704A35D2">
            <w:pPr>
              <w:pageBreakBefore w:val="0"/>
              <w:kinsoku/>
              <w:wordWrap/>
              <w:overflowPunct/>
              <w:topLinePunct w:val="0"/>
              <w:bidi w:val="0"/>
              <w:snapToGrid w:val="0"/>
              <w:spacing w:line="360" w:lineRule="auto"/>
              <w:ind w:right="420" w:rightChars="200"/>
              <w:jc w:val="both"/>
              <w:rPr>
                <w:rFonts w:ascii="仿宋" w:hAnsi="仿宋" w:eastAsia="仿宋" w:cs="仿宋"/>
                <w:b/>
                <w:sz w:val="24"/>
              </w:rPr>
            </w:pPr>
            <w:r>
              <w:rPr>
                <w:rFonts w:hint="eastAsia" w:ascii="仿宋" w:hAnsi="仿宋" w:eastAsia="仿宋" w:cs="仿宋"/>
                <w:b/>
                <w:sz w:val="24"/>
              </w:rPr>
              <w:t>序号</w:t>
            </w:r>
          </w:p>
        </w:tc>
        <w:tc>
          <w:tcPr>
            <w:tcW w:w="2582" w:type="dxa"/>
            <w:vAlign w:val="center"/>
          </w:tcPr>
          <w:p w14:paraId="5E2BD96F">
            <w:pPr>
              <w:pageBreakBefore w:val="0"/>
              <w:kinsoku/>
              <w:wordWrap/>
              <w:overflowPunct/>
              <w:topLinePunct w:val="0"/>
              <w:bidi w:val="0"/>
              <w:snapToGrid w:val="0"/>
              <w:spacing w:line="360" w:lineRule="auto"/>
              <w:ind w:left="420" w:leftChars="200" w:right="420" w:rightChars="200"/>
              <w:jc w:val="center"/>
              <w:rPr>
                <w:rFonts w:ascii="仿宋" w:hAnsi="仿宋" w:eastAsia="仿宋" w:cs="仿宋"/>
                <w:b/>
                <w:sz w:val="24"/>
              </w:rPr>
            </w:pPr>
            <w:r>
              <w:rPr>
                <w:rFonts w:hint="eastAsia" w:ascii="仿宋" w:hAnsi="仿宋" w:eastAsia="仿宋" w:cs="仿宋"/>
                <w:b/>
                <w:sz w:val="24"/>
              </w:rPr>
              <w:t>实质性要求</w:t>
            </w:r>
          </w:p>
        </w:tc>
        <w:tc>
          <w:tcPr>
            <w:tcW w:w="3182" w:type="dxa"/>
            <w:vAlign w:val="center"/>
          </w:tcPr>
          <w:p w14:paraId="24D8BEBF">
            <w:pPr>
              <w:pageBreakBefore w:val="0"/>
              <w:kinsoku/>
              <w:wordWrap/>
              <w:overflowPunct/>
              <w:topLinePunct w:val="0"/>
              <w:bidi w:val="0"/>
              <w:snapToGrid w:val="0"/>
              <w:spacing w:line="360" w:lineRule="auto"/>
              <w:ind w:left="420" w:leftChars="200" w:right="420" w:rightChars="200"/>
              <w:jc w:val="center"/>
              <w:rPr>
                <w:rFonts w:ascii="仿宋" w:hAnsi="仿宋" w:eastAsia="仿宋" w:cs="仿宋"/>
                <w:b/>
                <w:sz w:val="24"/>
              </w:rPr>
            </w:pPr>
            <w:r>
              <w:rPr>
                <w:rFonts w:hint="eastAsia" w:ascii="仿宋" w:hAnsi="仿宋" w:eastAsia="仿宋" w:cs="仿宋"/>
                <w:b/>
                <w:sz w:val="24"/>
              </w:rPr>
              <w:t>需要提供的符合性审查资料</w:t>
            </w:r>
          </w:p>
        </w:tc>
        <w:tc>
          <w:tcPr>
            <w:tcW w:w="1265" w:type="dxa"/>
            <w:vAlign w:val="center"/>
          </w:tcPr>
          <w:p w14:paraId="2F1E9D91">
            <w:pPr>
              <w:pageBreakBefore w:val="0"/>
              <w:kinsoku/>
              <w:wordWrap/>
              <w:overflowPunct/>
              <w:topLinePunct w:val="0"/>
              <w:bidi w:val="0"/>
              <w:spacing w:line="360" w:lineRule="auto"/>
              <w:ind w:left="420" w:leftChars="200" w:right="420" w:rightChars="200"/>
              <w:rPr>
                <w:rFonts w:ascii="仿宋" w:hAnsi="仿宋" w:eastAsia="仿宋" w:cs="仿宋"/>
                <w:sz w:val="24"/>
              </w:rPr>
            </w:pPr>
            <w:r>
              <w:rPr>
                <w:rFonts w:hint="eastAsia" w:ascii="仿宋" w:hAnsi="仿宋" w:eastAsia="仿宋" w:cs="仿宋"/>
                <w:b/>
                <w:sz w:val="24"/>
              </w:rPr>
              <w:t>自查结论</w:t>
            </w:r>
          </w:p>
        </w:tc>
        <w:tc>
          <w:tcPr>
            <w:tcW w:w="1848" w:type="dxa"/>
            <w:vAlign w:val="center"/>
          </w:tcPr>
          <w:p w14:paraId="1CACCCBC">
            <w:pPr>
              <w:pageBreakBefore w:val="0"/>
              <w:kinsoku/>
              <w:wordWrap/>
              <w:overflowPunct/>
              <w:topLinePunct w:val="0"/>
              <w:bidi w:val="0"/>
              <w:snapToGrid w:val="0"/>
              <w:spacing w:line="360" w:lineRule="auto"/>
              <w:ind w:left="420" w:leftChars="200" w:right="420" w:rightChars="200"/>
              <w:jc w:val="center"/>
              <w:rPr>
                <w:rFonts w:ascii="仿宋" w:hAnsi="仿宋" w:eastAsia="仿宋" w:cs="仿宋"/>
                <w:b/>
                <w:sz w:val="24"/>
              </w:rPr>
            </w:pPr>
            <w:r>
              <w:rPr>
                <w:rFonts w:hint="eastAsia" w:ascii="仿宋" w:hAnsi="仿宋" w:eastAsia="仿宋" w:cs="仿宋"/>
                <w:b/>
                <w:sz w:val="24"/>
              </w:rPr>
              <w:t>响应文件中的</w:t>
            </w:r>
          </w:p>
          <w:p w14:paraId="6439F8A0">
            <w:pPr>
              <w:pageBreakBefore w:val="0"/>
              <w:kinsoku/>
              <w:wordWrap/>
              <w:overflowPunct/>
              <w:topLinePunct w:val="0"/>
              <w:bidi w:val="0"/>
              <w:snapToGrid w:val="0"/>
              <w:spacing w:line="360" w:lineRule="auto"/>
              <w:ind w:left="420" w:leftChars="200" w:right="420" w:rightChars="200"/>
              <w:jc w:val="center"/>
              <w:rPr>
                <w:rFonts w:ascii="仿宋" w:hAnsi="仿宋" w:eastAsia="仿宋" w:cs="仿宋"/>
                <w:b/>
                <w:sz w:val="24"/>
              </w:rPr>
            </w:pPr>
            <w:r>
              <w:rPr>
                <w:rFonts w:hint="eastAsia" w:ascii="仿宋" w:hAnsi="仿宋" w:eastAsia="仿宋" w:cs="仿宋"/>
                <w:b/>
                <w:sz w:val="24"/>
              </w:rPr>
              <w:t>页码位置</w:t>
            </w:r>
          </w:p>
        </w:tc>
      </w:tr>
      <w:tr w14:paraId="626438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05" w:type="dxa"/>
            <w:vAlign w:val="center"/>
          </w:tcPr>
          <w:p w14:paraId="2630F248">
            <w:pPr>
              <w:pageBreakBefore w:val="0"/>
              <w:kinsoku/>
              <w:wordWrap/>
              <w:overflowPunct/>
              <w:topLinePunct w:val="0"/>
              <w:bidi w:val="0"/>
              <w:spacing w:line="360" w:lineRule="auto"/>
              <w:ind w:right="420" w:rightChars="200"/>
              <w:rPr>
                <w:rFonts w:ascii="仿宋" w:hAnsi="仿宋" w:eastAsia="仿宋" w:cs="仿宋"/>
                <w:sz w:val="24"/>
              </w:rPr>
            </w:pPr>
            <w:r>
              <w:rPr>
                <w:rFonts w:hint="eastAsia" w:ascii="仿宋" w:hAnsi="仿宋" w:eastAsia="仿宋" w:cs="仿宋"/>
                <w:sz w:val="24"/>
              </w:rPr>
              <w:t>1</w:t>
            </w:r>
          </w:p>
        </w:tc>
        <w:tc>
          <w:tcPr>
            <w:tcW w:w="2582" w:type="dxa"/>
            <w:vAlign w:val="center"/>
          </w:tcPr>
          <w:p w14:paraId="00483CEA">
            <w:pPr>
              <w:pageBreakBefore w:val="0"/>
              <w:kinsoku/>
              <w:wordWrap/>
              <w:overflowPunct/>
              <w:topLinePunct w:val="0"/>
              <w:bidi w:val="0"/>
              <w:spacing w:line="360" w:lineRule="auto"/>
              <w:ind w:left="420" w:leftChars="200" w:right="420" w:rightChars="200"/>
              <w:rPr>
                <w:rFonts w:ascii="仿宋" w:hAnsi="仿宋" w:eastAsia="仿宋" w:cs="仿宋"/>
                <w:sz w:val="24"/>
              </w:rPr>
            </w:pPr>
            <w:r>
              <w:rPr>
                <w:rFonts w:hint="eastAsia" w:ascii="仿宋" w:hAnsi="仿宋" w:eastAsia="仿宋" w:cs="仿宋"/>
                <w:sz w:val="24"/>
              </w:rPr>
              <w:t>响应文件按照采购文件要求签署、盖章。</w:t>
            </w:r>
          </w:p>
        </w:tc>
        <w:tc>
          <w:tcPr>
            <w:tcW w:w="3182" w:type="dxa"/>
            <w:vAlign w:val="center"/>
          </w:tcPr>
          <w:p w14:paraId="6EB5FBAB">
            <w:pPr>
              <w:pageBreakBefore w:val="0"/>
              <w:kinsoku/>
              <w:wordWrap/>
              <w:overflowPunct/>
              <w:topLinePunct w:val="0"/>
              <w:bidi w:val="0"/>
              <w:spacing w:line="360" w:lineRule="auto"/>
              <w:ind w:left="420" w:leftChars="200" w:right="420" w:rightChars="200"/>
              <w:rPr>
                <w:rFonts w:ascii="仿宋" w:hAnsi="仿宋" w:eastAsia="仿宋" w:cs="仿宋"/>
                <w:sz w:val="24"/>
              </w:rPr>
            </w:pPr>
            <w:r>
              <w:rPr>
                <w:rFonts w:hint="eastAsia" w:ascii="仿宋" w:hAnsi="仿宋" w:eastAsia="仿宋" w:cs="仿宋"/>
                <w:sz w:val="24"/>
              </w:rPr>
              <w:t>需要使用电子签章或者签字盖章的响应文件的组成部分</w:t>
            </w:r>
          </w:p>
        </w:tc>
        <w:tc>
          <w:tcPr>
            <w:tcW w:w="1265" w:type="dxa"/>
            <w:vAlign w:val="center"/>
          </w:tcPr>
          <w:p w14:paraId="3F67674C">
            <w:pPr>
              <w:pageBreakBefore w:val="0"/>
              <w:kinsoku/>
              <w:wordWrap/>
              <w:overflowPunct/>
              <w:topLinePunct w:val="0"/>
              <w:bidi w:val="0"/>
              <w:spacing w:line="360" w:lineRule="auto"/>
              <w:ind w:left="420" w:leftChars="200" w:right="420" w:rightChars="200"/>
              <w:rPr>
                <w:rFonts w:ascii="仿宋" w:hAnsi="仿宋" w:eastAsia="仿宋" w:cs="仿宋"/>
                <w:sz w:val="24"/>
              </w:rPr>
            </w:pPr>
            <w:r>
              <w:rPr>
                <w:rFonts w:hint="eastAsia" w:ascii="仿宋" w:hAnsi="仿宋" w:eastAsia="仿宋" w:cs="仿宋"/>
                <w:sz w:val="24"/>
              </w:rPr>
              <w:t xml:space="preserve">□通过 </w:t>
            </w:r>
          </w:p>
          <w:p w14:paraId="48E3AED4">
            <w:pPr>
              <w:pageBreakBefore w:val="0"/>
              <w:kinsoku/>
              <w:wordWrap/>
              <w:overflowPunct/>
              <w:topLinePunct w:val="0"/>
              <w:bidi w:val="0"/>
              <w:spacing w:line="360" w:lineRule="auto"/>
              <w:ind w:left="420" w:leftChars="200" w:right="420" w:rightChars="200"/>
              <w:rPr>
                <w:rFonts w:ascii="仿宋" w:hAnsi="仿宋" w:eastAsia="仿宋" w:cs="仿宋"/>
                <w:sz w:val="24"/>
              </w:rPr>
            </w:pPr>
            <w:r>
              <w:rPr>
                <w:rFonts w:hint="eastAsia" w:ascii="仿宋" w:hAnsi="仿宋" w:eastAsia="仿宋" w:cs="仿宋"/>
                <w:sz w:val="24"/>
              </w:rPr>
              <w:t>□不通过</w:t>
            </w:r>
          </w:p>
        </w:tc>
        <w:tc>
          <w:tcPr>
            <w:tcW w:w="1848" w:type="dxa"/>
            <w:vAlign w:val="center"/>
          </w:tcPr>
          <w:p w14:paraId="37F3B834">
            <w:pPr>
              <w:pageBreakBefore w:val="0"/>
              <w:kinsoku/>
              <w:wordWrap/>
              <w:overflowPunct/>
              <w:topLinePunct w:val="0"/>
              <w:bidi w:val="0"/>
              <w:spacing w:line="360" w:lineRule="auto"/>
              <w:ind w:left="420" w:leftChars="200" w:right="420" w:rightChars="200"/>
              <w:rPr>
                <w:rFonts w:ascii="仿宋" w:hAnsi="仿宋" w:eastAsia="仿宋" w:cs="仿宋"/>
                <w:sz w:val="24"/>
              </w:rPr>
            </w:pPr>
            <w:r>
              <w:rPr>
                <w:rFonts w:hint="eastAsia" w:ascii="仿宋" w:hAnsi="仿宋" w:eastAsia="仿宋" w:cs="仿宋"/>
                <w:sz w:val="24"/>
              </w:rPr>
              <w:t>见响应文件</w:t>
            </w:r>
          </w:p>
          <w:p w14:paraId="17A4BFFA">
            <w:pPr>
              <w:pageBreakBefore w:val="0"/>
              <w:kinsoku/>
              <w:wordWrap/>
              <w:overflowPunct/>
              <w:topLinePunct w:val="0"/>
              <w:bidi w:val="0"/>
              <w:spacing w:line="360" w:lineRule="auto"/>
              <w:ind w:left="420" w:leftChars="200" w:right="420" w:rightChars="200"/>
              <w:rPr>
                <w:rFonts w:ascii="仿宋" w:hAnsi="仿宋" w:eastAsia="仿宋" w:cs="仿宋"/>
              </w:rPr>
            </w:pPr>
            <w:r>
              <w:rPr>
                <w:rFonts w:hint="eastAsia" w:ascii="仿宋" w:hAnsi="仿宋" w:eastAsia="仿宋" w:cs="仿宋"/>
                <w:sz w:val="24"/>
              </w:rPr>
              <w:t>第</w:t>
            </w:r>
            <w:r>
              <w:rPr>
                <w:rFonts w:hint="eastAsia" w:ascii="仿宋" w:hAnsi="仿宋" w:eastAsia="仿宋" w:cs="仿宋"/>
                <w:sz w:val="24"/>
                <w:u w:val="single"/>
              </w:rPr>
              <w:t xml:space="preserve">  </w:t>
            </w:r>
            <w:r>
              <w:rPr>
                <w:rFonts w:hint="eastAsia" w:ascii="仿宋" w:hAnsi="仿宋" w:eastAsia="仿宋" w:cs="仿宋"/>
                <w:sz w:val="24"/>
              </w:rPr>
              <w:t>页</w:t>
            </w:r>
          </w:p>
        </w:tc>
      </w:tr>
      <w:tr w14:paraId="43BA11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05" w:type="dxa"/>
            <w:vAlign w:val="center"/>
          </w:tcPr>
          <w:p w14:paraId="6F22D28C">
            <w:pPr>
              <w:pageBreakBefore w:val="0"/>
              <w:kinsoku/>
              <w:wordWrap/>
              <w:overflowPunct/>
              <w:topLinePunct w:val="0"/>
              <w:bidi w:val="0"/>
              <w:spacing w:line="360" w:lineRule="auto"/>
              <w:ind w:right="420" w:rightChars="200"/>
              <w:rPr>
                <w:rFonts w:ascii="仿宋" w:hAnsi="仿宋" w:eastAsia="仿宋" w:cs="仿宋"/>
                <w:sz w:val="24"/>
              </w:rPr>
            </w:pPr>
            <w:r>
              <w:rPr>
                <w:rFonts w:hint="eastAsia" w:ascii="仿宋" w:hAnsi="仿宋" w:eastAsia="仿宋" w:cs="仿宋"/>
                <w:sz w:val="24"/>
              </w:rPr>
              <w:t>2</w:t>
            </w:r>
          </w:p>
        </w:tc>
        <w:tc>
          <w:tcPr>
            <w:tcW w:w="2582" w:type="dxa"/>
            <w:vAlign w:val="center"/>
          </w:tcPr>
          <w:p w14:paraId="62592EE7">
            <w:pPr>
              <w:pageBreakBefore w:val="0"/>
              <w:kinsoku/>
              <w:wordWrap/>
              <w:overflowPunct/>
              <w:topLinePunct w:val="0"/>
              <w:bidi w:val="0"/>
              <w:spacing w:line="360" w:lineRule="auto"/>
              <w:ind w:left="420" w:leftChars="200" w:right="420" w:rightChars="200"/>
              <w:rPr>
                <w:rFonts w:ascii="仿宋" w:hAnsi="仿宋" w:eastAsia="仿宋" w:cs="仿宋"/>
                <w:sz w:val="24"/>
              </w:rPr>
            </w:pPr>
            <w:r>
              <w:rPr>
                <w:rFonts w:hint="eastAsia" w:ascii="仿宋" w:hAnsi="仿宋" w:eastAsia="仿宋" w:cs="仿宋"/>
                <w:sz w:val="24"/>
              </w:rPr>
              <w:t>响应文件中承诺的响应有效期不少于采购文件中载明的响应有效期。</w:t>
            </w:r>
          </w:p>
        </w:tc>
        <w:tc>
          <w:tcPr>
            <w:tcW w:w="3182" w:type="dxa"/>
            <w:vAlign w:val="center"/>
          </w:tcPr>
          <w:p w14:paraId="46DAC989">
            <w:pPr>
              <w:pageBreakBefore w:val="0"/>
              <w:kinsoku/>
              <w:wordWrap/>
              <w:overflowPunct/>
              <w:topLinePunct w:val="0"/>
              <w:bidi w:val="0"/>
              <w:spacing w:line="360" w:lineRule="auto"/>
              <w:ind w:left="420" w:leftChars="200" w:right="420" w:rightChars="200"/>
              <w:rPr>
                <w:rFonts w:ascii="仿宋" w:hAnsi="仿宋" w:eastAsia="仿宋" w:cs="仿宋"/>
                <w:sz w:val="24"/>
              </w:rPr>
            </w:pPr>
            <w:r>
              <w:rPr>
                <w:rFonts w:hint="eastAsia" w:ascii="仿宋" w:hAnsi="仿宋" w:eastAsia="仿宋" w:cs="仿宋"/>
                <w:sz w:val="24"/>
              </w:rPr>
              <w:t>响应承诺函及响应承诺函附件</w:t>
            </w:r>
          </w:p>
        </w:tc>
        <w:tc>
          <w:tcPr>
            <w:tcW w:w="1265" w:type="dxa"/>
            <w:vAlign w:val="center"/>
          </w:tcPr>
          <w:p w14:paraId="48640065">
            <w:pPr>
              <w:pageBreakBefore w:val="0"/>
              <w:kinsoku/>
              <w:wordWrap/>
              <w:overflowPunct/>
              <w:topLinePunct w:val="0"/>
              <w:bidi w:val="0"/>
              <w:spacing w:line="360" w:lineRule="auto"/>
              <w:ind w:left="420" w:leftChars="200" w:right="420" w:rightChars="200"/>
              <w:rPr>
                <w:rFonts w:ascii="仿宋" w:hAnsi="仿宋" w:eastAsia="仿宋" w:cs="仿宋"/>
                <w:sz w:val="24"/>
              </w:rPr>
            </w:pPr>
            <w:r>
              <w:rPr>
                <w:rFonts w:hint="eastAsia" w:ascii="仿宋" w:hAnsi="仿宋" w:eastAsia="仿宋" w:cs="仿宋"/>
                <w:sz w:val="24"/>
              </w:rPr>
              <w:t xml:space="preserve">□通过 </w:t>
            </w:r>
          </w:p>
          <w:p w14:paraId="474AE5E0">
            <w:pPr>
              <w:pageBreakBefore w:val="0"/>
              <w:kinsoku/>
              <w:wordWrap/>
              <w:overflowPunct/>
              <w:topLinePunct w:val="0"/>
              <w:bidi w:val="0"/>
              <w:spacing w:line="360" w:lineRule="auto"/>
              <w:ind w:left="420" w:leftChars="200" w:right="420" w:rightChars="200"/>
              <w:rPr>
                <w:rFonts w:ascii="仿宋" w:hAnsi="仿宋" w:eastAsia="仿宋" w:cs="仿宋"/>
                <w:sz w:val="24"/>
              </w:rPr>
            </w:pPr>
            <w:r>
              <w:rPr>
                <w:rFonts w:hint="eastAsia" w:ascii="仿宋" w:hAnsi="仿宋" w:eastAsia="仿宋" w:cs="仿宋"/>
                <w:sz w:val="24"/>
              </w:rPr>
              <w:t>□不通过</w:t>
            </w:r>
          </w:p>
        </w:tc>
        <w:tc>
          <w:tcPr>
            <w:tcW w:w="1848" w:type="dxa"/>
            <w:vAlign w:val="center"/>
          </w:tcPr>
          <w:p w14:paraId="74A27AF4">
            <w:pPr>
              <w:pageBreakBefore w:val="0"/>
              <w:kinsoku/>
              <w:wordWrap/>
              <w:overflowPunct/>
              <w:topLinePunct w:val="0"/>
              <w:bidi w:val="0"/>
              <w:spacing w:line="360" w:lineRule="auto"/>
              <w:ind w:left="420" w:leftChars="200" w:right="420" w:rightChars="200"/>
              <w:rPr>
                <w:rFonts w:ascii="仿宋" w:hAnsi="仿宋" w:eastAsia="仿宋" w:cs="仿宋"/>
                <w:sz w:val="24"/>
              </w:rPr>
            </w:pPr>
            <w:r>
              <w:rPr>
                <w:rFonts w:hint="eastAsia" w:ascii="仿宋" w:hAnsi="仿宋" w:eastAsia="仿宋" w:cs="仿宋"/>
                <w:sz w:val="24"/>
              </w:rPr>
              <w:t>见响应文件</w:t>
            </w:r>
          </w:p>
          <w:p w14:paraId="72EA824B">
            <w:pPr>
              <w:pStyle w:val="3"/>
              <w:pageBreakBefore w:val="0"/>
              <w:numPr>
                <w:ilvl w:val="0"/>
                <w:numId w:val="0"/>
              </w:numPr>
              <w:kinsoku/>
              <w:wordWrap/>
              <w:overflowPunct/>
              <w:topLinePunct w:val="0"/>
              <w:bidi w:val="0"/>
              <w:ind w:left="420" w:leftChars="200" w:right="420" w:rightChars="200"/>
              <w:jc w:val="both"/>
              <w:rPr>
                <w:rFonts w:ascii="仿宋" w:eastAsia="仿宋" w:cs="仿宋"/>
                <w:lang w:val="en-US"/>
              </w:rPr>
            </w:pPr>
            <w:r>
              <w:rPr>
                <w:rFonts w:hint="eastAsia" w:ascii="仿宋" w:eastAsia="仿宋" w:cs="仿宋"/>
                <w:b w:val="0"/>
                <w:bCs w:val="0"/>
                <w:sz w:val="24"/>
                <w:szCs w:val="24"/>
                <w:lang w:val="en-US"/>
              </w:rPr>
              <w:t>第</w:t>
            </w:r>
            <w:r>
              <w:rPr>
                <w:rFonts w:hint="eastAsia" w:ascii="仿宋" w:eastAsia="仿宋" w:cs="仿宋"/>
                <w:b w:val="0"/>
                <w:bCs w:val="0"/>
                <w:sz w:val="24"/>
                <w:szCs w:val="24"/>
                <w:u w:val="single"/>
                <w:lang w:val="en-US"/>
              </w:rPr>
              <w:t xml:space="preserve">  </w:t>
            </w:r>
            <w:r>
              <w:rPr>
                <w:rFonts w:hint="eastAsia" w:ascii="仿宋" w:eastAsia="仿宋" w:cs="仿宋"/>
                <w:b w:val="0"/>
                <w:bCs w:val="0"/>
                <w:sz w:val="24"/>
                <w:szCs w:val="24"/>
                <w:lang w:val="en-US"/>
              </w:rPr>
              <w:t>页</w:t>
            </w:r>
          </w:p>
        </w:tc>
      </w:tr>
      <w:tr w14:paraId="5E7315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05" w:type="dxa"/>
            <w:vAlign w:val="center"/>
          </w:tcPr>
          <w:p w14:paraId="47F4CA14">
            <w:pPr>
              <w:pageBreakBefore w:val="0"/>
              <w:kinsoku/>
              <w:wordWrap/>
              <w:overflowPunct/>
              <w:topLinePunct w:val="0"/>
              <w:bidi w:val="0"/>
              <w:spacing w:line="360" w:lineRule="auto"/>
              <w:ind w:right="420" w:rightChars="200"/>
              <w:rPr>
                <w:rFonts w:ascii="仿宋" w:hAnsi="仿宋" w:eastAsia="仿宋" w:cs="仿宋"/>
                <w:sz w:val="24"/>
              </w:rPr>
            </w:pPr>
            <w:r>
              <w:rPr>
                <w:rFonts w:hint="eastAsia" w:ascii="仿宋" w:hAnsi="仿宋" w:eastAsia="仿宋" w:cs="仿宋"/>
                <w:sz w:val="24"/>
              </w:rPr>
              <w:t>3</w:t>
            </w:r>
          </w:p>
        </w:tc>
        <w:tc>
          <w:tcPr>
            <w:tcW w:w="2582" w:type="dxa"/>
            <w:vAlign w:val="center"/>
          </w:tcPr>
          <w:p w14:paraId="4FDF1069">
            <w:pPr>
              <w:pageBreakBefore w:val="0"/>
              <w:kinsoku/>
              <w:wordWrap/>
              <w:overflowPunct/>
              <w:topLinePunct w:val="0"/>
              <w:bidi w:val="0"/>
              <w:spacing w:line="360" w:lineRule="auto"/>
              <w:ind w:left="420" w:leftChars="200" w:right="420" w:rightChars="200"/>
              <w:rPr>
                <w:rFonts w:ascii="仿宋" w:hAnsi="仿宋" w:eastAsia="仿宋" w:cs="仿宋"/>
                <w:sz w:val="24"/>
              </w:rPr>
            </w:pPr>
            <w:r>
              <w:rPr>
                <w:rFonts w:hint="eastAsia" w:ascii="仿宋" w:hAnsi="仿宋" w:eastAsia="仿宋" w:cs="仿宋"/>
                <w:sz w:val="24"/>
              </w:rPr>
              <w:t>响应文件满足采购文件的其它实质性要求。（“▲”系指实质性要求条款）。</w:t>
            </w:r>
          </w:p>
        </w:tc>
        <w:tc>
          <w:tcPr>
            <w:tcW w:w="3182" w:type="dxa"/>
            <w:vAlign w:val="center"/>
          </w:tcPr>
          <w:p w14:paraId="392E088F">
            <w:pPr>
              <w:pageBreakBefore w:val="0"/>
              <w:kinsoku/>
              <w:wordWrap/>
              <w:overflowPunct/>
              <w:topLinePunct w:val="0"/>
              <w:bidi w:val="0"/>
              <w:spacing w:line="360" w:lineRule="auto"/>
              <w:ind w:left="420" w:leftChars="200" w:right="420" w:rightChars="200"/>
              <w:rPr>
                <w:rFonts w:ascii="仿宋" w:hAnsi="仿宋" w:eastAsia="仿宋" w:cs="仿宋"/>
                <w:sz w:val="24"/>
              </w:rPr>
            </w:pPr>
            <w:r>
              <w:rPr>
                <w:rFonts w:hint="eastAsia" w:ascii="仿宋" w:hAnsi="仿宋" w:eastAsia="仿宋" w:cs="仿宋"/>
                <w:sz w:val="24"/>
              </w:rPr>
              <w:t>磋商文件其它实质性要求相应的材料（“▲” 系指实质性要求条款，磋商文件无其它实质性要求的，无需提供）</w:t>
            </w:r>
          </w:p>
        </w:tc>
        <w:tc>
          <w:tcPr>
            <w:tcW w:w="1265" w:type="dxa"/>
            <w:vAlign w:val="center"/>
          </w:tcPr>
          <w:p w14:paraId="1C681919">
            <w:pPr>
              <w:pageBreakBefore w:val="0"/>
              <w:kinsoku/>
              <w:wordWrap/>
              <w:overflowPunct/>
              <w:topLinePunct w:val="0"/>
              <w:bidi w:val="0"/>
              <w:spacing w:line="360" w:lineRule="auto"/>
              <w:ind w:left="420" w:leftChars="200" w:right="420" w:rightChars="200"/>
              <w:rPr>
                <w:rFonts w:ascii="仿宋" w:hAnsi="仿宋" w:eastAsia="仿宋" w:cs="仿宋"/>
                <w:sz w:val="24"/>
              </w:rPr>
            </w:pPr>
            <w:r>
              <w:rPr>
                <w:rFonts w:hint="eastAsia" w:ascii="仿宋" w:hAnsi="仿宋" w:eastAsia="仿宋" w:cs="仿宋"/>
                <w:sz w:val="24"/>
              </w:rPr>
              <w:t xml:space="preserve">□通过 </w:t>
            </w:r>
          </w:p>
          <w:p w14:paraId="3079B8BB">
            <w:pPr>
              <w:pageBreakBefore w:val="0"/>
              <w:kinsoku/>
              <w:wordWrap/>
              <w:overflowPunct/>
              <w:topLinePunct w:val="0"/>
              <w:bidi w:val="0"/>
              <w:spacing w:line="360" w:lineRule="auto"/>
              <w:ind w:left="420" w:leftChars="200" w:right="420" w:rightChars="200"/>
              <w:rPr>
                <w:rFonts w:ascii="仿宋" w:hAnsi="仿宋" w:eastAsia="仿宋" w:cs="仿宋"/>
                <w:sz w:val="24"/>
              </w:rPr>
            </w:pPr>
            <w:r>
              <w:rPr>
                <w:rFonts w:hint="eastAsia" w:ascii="仿宋" w:hAnsi="仿宋" w:eastAsia="仿宋" w:cs="仿宋"/>
                <w:sz w:val="24"/>
              </w:rPr>
              <w:t>□不通过</w:t>
            </w:r>
          </w:p>
        </w:tc>
        <w:tc>
          <w:tcPr>
            <w:tcW w:w="1848" w:type="dxa"/>
            <w:vAlign w:val="center"/>
          </w:tcPr>
          <w:p w14:paraId="4B7ADD50">
            <w:pPr>
              <w:pageBreakBefore w:val="0"/>
              <w:kinsoku/>
              <w:wordWrap/>
              <w:overflowPunct/>
              <w:topLinePunct w:val="0"/>
              <w:bidi w:val="0"/>
              <w:spacing w:line="360" w:lineRule="auto"/>
              <w:ind w:left="420" w:leftChars="200" w:right="420" w:rightChars="200"/>
              <w:rPr>
                <w:rFonts w:ascii="仿宋" w:hAnsi="仿宋" w:eastAsia="仿宋" w:cs="仿宋"/>
                <w:sz w:val="24"/>
              </w:rPr>
            </w:pPr>
            <w:r>
              <w:rPr>
                <w:rFonts w:hint="eastAsia" w:ascii="仿宋" w:hAnsi="仿宋" w:eastAsia="仿宋" w:cs="仿宋"/>
                <w:sz w:val="24"/>
              </w:rPr>
              <w:t>见响应文件</w:t>
            </w:r>
          </w:p>
          <w:p w14:paraId="47B59806">
            <w:pPr>
              <w:pageBreakBefore w:val="0"/>
              <w:kinsoku/>
              <w:wordWrap/>
              <w:overflowPunct/>
              <w:topLinePunct w:val="0"/>
              <w:bidi w:val="0"/>
              <w:spacing w:line="360" w:lineRule="auto"/>
              <w:ind w:left="420" w:leftChars="200" w:right="420" w:rightChars="200"/>
              <w:rPr>
                <w:rFonts w:ascii="仿宋" w:hAnsi="仿宋" w:eastAsia="仿宋" w:cs="仿宋"/>
              </w:rPr>
            </w:pPr>
            <w:r>
              <w:rPr>
                <w:rFonts w:hint="eastAsia" w:ascii="仿宋" w:hAnsi="仿宋" w:eastAsia="仿宋" w:cs="仿宋"/>
                <w:sz w:val="24"/>
              </w:rPr>
              <w:t>第</w:t>
            </w:r>
            <w:r>
              <w:rPr>
                <w:rFonts w:hint="eastAsia" w:ascii="仿宋" w:hAnsi="仿宋" w:eastAsia="仿宋" w:cs="仿宋"/>
                <w:sz w:val="24"/>
                <w:u w:val="single"/>
              </w:rPr>
              <w:t xml:space="preserve">  </w:t>
            </w:r>
            <w:r>
              <w:rPr>
                <w:rFonts w:hint="eastAsia" w:ascii="仿宋" w:hAnsi="仿宋" w:eastAsia="仿宋" w:cs="仿宋"/>
                <w:sz w:val="24"/>
              </w:rPr>
              <w:t>页</w:t>
            </w:r>
          </w:p>
        </w:tc>
      </w:tr>
      <w:tr w14:paraId="35FE4B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05" w:type="dxa"/>
            <w:vAlign w:val="center"/>
          </w:tcPr>
          <w:p w14:paraId="4B15865C">
            <w:pPr>
              <w:pageBreakBefore w:val="0"/>
              <w:kinsoku/>
              <w:wordWrap/>
              <w:overflowPunct/>
              <w:topLinePunct w:val="0"/>
              <w:bidi w:val="0"/>
              <w:spacing w:line="360" w:lineRule="auto"/>
              <w:ind w:left="420" w:leftChars="200" w:right="420" w:rightChars="200"/>
              <w:rPr>
                <w:rFonts w:ascii="仿宋" w:hAnsi="仿宋" w:eastAsia="仿宋" w:cs="仿宋"/>
                <w:sz w:val="24"/>
              </w:rPr>
            </w:pPr>
            <w:r>
              <w:rPr>
                <w:rFonts w:hint="eastAsia" w:ascii="仿宋" w:hAnsi="仿宋" w:eastAsia="仿宋" w:cs="仿宋"/>
                <w:sz w:val="24"/>
              </w:rPr>
              <w:t>4</w:t>
            </w:r>
          </w:p>
        </w:tc>
        <w:tc>
          <w:tcPr>
            <w:tcW w:w="2582" w:type="dxa"/>
            <w:vAlign w:val="center"/>
          </w:tcPr>
          <w:p w14:paraId="23DAFA6F">
            <w:pPr>
              <w:pageBreakBefore w:val="0"/>
              <w:kinsoku/>
              <w:wordWrap/>
              <w:overflowPunct/>
              <w:topLinePunct w:val="0"/>
              <w:bidi w:val="0"/>
              <w:spacing w:line="360" w:lineRule="auto"/>
              <w:ind w:left="420" w:leftChars="200" w:right="420" w:rightChars="200"/>
              <w:rPr>
                <w:rFonts w:ascii="仿宋" w:hAnsi="仿宋" w:eastAsia="仿宋" w:cs="仿宋"/>
                <w:sz w:val="24"/>
              </w:rPr>
            </w:pPr>
            <w:r>
              <w:rPr>
                <w:rFonts w:hint="eastAsia" w:ascii="仿宋" w:hAnsi="仿宋" w:eastAsia="仿宋" w:cs="仿宋"/>
                <w:sz w:val="24"/>
              </w:rPr>
              <w:t>响应文件没有采购文件中规定的其它无效响应条款的。</w:t>
            </w:r>
          </w:p>
        </w:tc>
        <w:tc>
          <w:tcPr>
            <w:tcW w:w="3182" w:type="dxa"/>
            <w:vAlign w:val="center"/>
          </w:tcPr>
          <w:p w14:paraId="71ED59B6">
            <w:pPr>
              <w:pageBreakBefore w:val="0"/>
              <w:kinsoku/>
              <w:wordWrap/>
              <w:overflowPunct/>
              <w:topLinePunct w:val="0"/>
              <w:bidi w:val="0"/>
              <w:spacing w:line="360" w:lineRule="auto"/>
              <w:ind w:left="420" w:leftChars="200" w:right="420" w:rightChars="200"/>
              <w:rPr>
                <w:rFonts w:ascii="仿宋" w:hAnsi="仿宋" w:eastAsia="仿宋" w:cs="仿宋"/>
                <w:sz w:val="24"/>
              </w:rPr>
            </w:pPr>
          </w:p>
        </w:tc>
        <w:tc>
          <w:tcPr>
            <w:tcW w:w="1265" w:type="dxa"/>
            <w:vAlign w:val="center"/>
          </w:tcPr>
          <w:p w14:paraId="0F59B4B9">
            <w:pPr>
              <w:pageBreakBefore w:val="0"/>
              <w:kinsoku/>
              <w:wordWrap/>
              <w:overflowPunct/>
              <w:topLinePunct w:val="0"/>
              <w:bidi w:val="0"/>
              <w:spacing w:line="360" w:lineRule="auto"/>
              <w:ind w:left="420" w:leftChars="200" w:right="420" w:rightChars="200"/>
              <w:rPr>
                <w:rFonts w:ascii="仿宋" w:hAnsi="仿宋" w:eastAsia="仿宋" w:cs="仿宋"/>
                <w:sz w:val="24"/>
              </w:rPr>
            </w:pPr>
            <w:r>
              <w:rPr>
                <w:rFonts w:hint="eastAsia" w:ascii="仿宋" w:hAnsi="仿宋" w:eastAsia="仿宋" w:cs="仿宋"/>
                <w:sz w:val="24"/>
              </w:rPr>
              <w:t xml:space="preserve">□通过 </w:t>
            </w:r>
          </w:p>
          <w:p w14:paraId="4A1B75C3">
            <w:pPr>
              <w:pageBreakBefore w:val="0"/>
              <w:kinsoku/>
              <w:wordWrap/>
              <w:overflowPunct/>
              <w:topLinePunct w:val="0"/>
              <w:bidi w:val="0"/>
              <w:spacing w:line="360" w:lineRule="auto"/>
              <w:ind w:left="420" w:leftChars="200" w:right="420" w:rightChars="200"/>
              <w:rPr>
                <w:rFonts w:ascii="仿宋" w:hAnsi="仿宋" w:eastAsia="仿宋" w:cs="仿宋"/>
                <w:sz w:val="24"/>
              </w:rPr>
            </w:pPr>
            <w:r>
              <w:rPr>
                <w:rFonts w:hint="eastAsia" w:ascii="仿宋" w:hAnsi="仿宋" w:eastAsia="仿宋" w:cs="仿宋"/>
                <w:sz w:val="24"/>
              </w:rPr>
              <w:t>□不通过</w:t>
            </w:r>
          </w:p>
        </w:tc>
        <w:tc>
          <w:tcPr>
            <w:tcW w:w="1848" w:type="dxa"/>
            <w:vAlign w:val="center"/>
          </w:tcPr>
          <w:p w14:paraId="0888ED39">
            <w:pPr>
              <w:pageBreakBefore w:val="0"/>
              <w:kinsoku/>
              <w:wordWrap/>
              <w:overflowPunct/>
              <w:topLinePunct w:val="0"/>
              <w:bidi w:val="0"/>
              <w:spacing w:line="360" w:lineRule="auto"/>
              <w:ind w:left="420" w:leftChars="200" w:right="420" w:rightChars="200"/>
              <w:rPr>
                <w:rFonts w:ascii="仿宋" w:hAnsi="仿宋" w:eastAsia="仿宋" w:cs="仿宋"/>
                <w:sz w:val="24"/>
              </w:rPr>
            </w:pPr>
            <w:r>
              <w:rPr>
                <w:rFonts w:hint="eastAsia" w:ascii="仿宋" w:hAnsi="仿宋" w:eastAsia="仿宋" w:cs="仿宋"/>
                <w:sz w:val="24"/>
              </w:rPr>
              <w:t>见响应文件</w:t>
            </w:r>
          </w:p>
          <w:p w14:paraId="49FDDD1A">
            <w:pPr>
              <w:pageBreakBefore w:val="0"/>
              <w:kinsoku/>
              <w:wordWrap/>
              <w:overflowPunct/>
              <w:topLinePunct w:val="0"/>
              <w:bidi w:val="0"/>
              <w:spacing w:line="360" w:lineRule="auto"/>
              <w:ind w:left="420" w:leftChars="200" w:right="420" w:rightChars="200"/>
              <w:rPr>
                <w:rFonts w:ascii="仿宋" w:hAnsi="仿宋" w:eastAsia="仿宋" w:cs="仿宋"/>
              </w:rPr>
            </w:pPr>
            <w:r>
              <w:rPr>
                <w:rFonts w:hint="eastAsia" w:ascii="仿宋" w:hAnsi="仿宋" w:eastAsia="仿宋" w:cs="仿宋"/>
                <w:sz w:val="24"/>
              </w:rPr>
              <w:t>第</w:t>
            </w:r>
            <w:r>
              <w:rPr>
                <w:rFonts w:hint="eastAsia" w:ascii="仿宋" w:hAnsi="仿宋" w:eastAsia="仿宋" w:cs="仿宋"/>
                <w:sz w:val="24"/>
                <w:u w:val="single"/>
              </w:rPr>
              <w:t xml:space="preserve">  </w:t>
            </w:r>
            <w:r>
              <w:rPr>
                <w:rFonts w:hint="eastAsia" w:ascii="仿宋" w:hAnsi="仿宋" w:eastAsia="仿宋" w:cs="仿宋"/>
                <w:sz w:val="24"/>
              </w:rPr>
              <w:t>页</w:t>
            </w:r>
          </w:p>
        </w:tc>
      </w:tr>
      <w:tr w14:paraId="59114A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05" w:type="dxa"/>
            <w:vAlign w:val="center"/>
          </w:tcPr>
          <w:p w14:paraId="16A0A57B">
            <w:pPr>
              <w:pageBreakBefore w:val="0"/>
              <w:kinsoku/>
              <w:wordWrap/>
              <w:overflowPunct/>
              <w:topLinePunct w:val="0"/>
              <w:bidi w:val="0"/>
              <w:spacing w:line="360" w:lineRule="auto"/>
              <w:ind w:left="420" w:leftChars="200" w:right="420" w:rightChars="200"/>
              <w:rPr>
                <w:rFonts w:ascii="仿宋" w:hAnsi="仿宋" w:eastAsia="仿宋" w:cs="仿宋"/>
                <w:sz w:val="24"/>
              </w:rPr>
            </w:pPr>
            <w:r>
              <w:rPr>
                <w:rFonts w:hint="eastAsia" w:ascii="仿宋" w:hAnsi="仿宋" w:eastAsia="仿宋" w:cs="仿宋"/>
                <w:sz w:val="24"/>
              </w:rPr>
              <w:t>5</w:t>
            </w:r>
          </w:p>
        </w:tc>
        <w:tc>
          <w:tcPr>
            <w:tcW w:w="2582" w:type="dxa"/>
            <w:vAlign w:val="center"/>
          </w:tcPr>
          <w:p w14:paraId="283A1240">
            <w:pPr>
              <w:pageBreakBefore w:val="0"/>
              <w:kinsoku/>
              <w:wordWrap/>
              <w:overflowPunct/>
              <w:topLinePunct w:val="0"/>
              <w:bidi w:val="0"/>
              <w:spacing w:line="360" w:lineRule="auto"/>
              <w:ind w:left="420" w:leftChars="200" w:right="420" w:rightChars="200"/>
              <w:rPr>
                <w:rFonts w:ascii="仿宋" w:hAnsi="仿宋" w:eastAsia="仿宋" w:cs="仿宋"/>
                <w:sz w:val="24"/>
              </w:rPr>
            </w:pPr>
            <w:r>
              <w:rPr>
                <w:rFonts w:hint="eastAsia" w:ascii="仿宋" w:hAnsi="仿宋" w:eastAsia="仿宋" w:cs="仿宋"/>
                <w:sz w:val="24"/>
              </w:rPr>
              <w:t>按有关法律、法规、规章不属于响应无效的。</w:t>
            </w:r>
          </w:p>
        </w:tc>
        <w:tc>
          <w:tcPr>
            <w:tcW w:w="3182" w:type="dxa"/>
            <w:vAlign w:val="center"/>
          </w:tcPr>
          <w:p w14:paraId="77D59939">
            <w:pPr>
              <w:pageBreakBefore w:val="0"/>
              <w:kinsoku/>
              <w:wordWrap/>
              <w:overflowPunct/>
              <w:topLinePunct w:val="0"/>
              <w:bidi w:val="0"/>
              <w:spacing w:line="360" w:lineRule="auto"/>
              <w:ind w:left="420" w:leftChars="200" w:right="420" w:rightChars="200"/>
              <w:rPr>
                <w:rFonts w:ascii="仿宋" w:hAnsi="仿宋" w:eastAsia="仿宋" w:cs="仿宋"/>
                <w:sz w:val="24"/>
              </w:rPr>
            </w:pPr>
          </w:p>
        </w:tc>
        <w:tc>
          <w:tcPr>
            <w:tcW w:w="1265" w:type="dxa"/>
            <w:vAlign w:val="center"/>
          </w:tcPr>
          <w:p w14:paraId="3DD90649">
            <w:pPr>
              <w:pageBreakBefore w:val="0"/>
              <w:kinsoku/>
              <w:wordWrap/>
              <w:overflowPunct/>
              <w:topLinePunct w:val="0"/>
              <w:bidi w:val="0"/>
              <w:spacing w:line="360" w:lineRule="auto"/>
              <w:ind w:left="420" w:leftChars="200" w:right="420" w:rightChars="200"/>
              <w:rPr>
                <w:rFonts w:ascii="仿宋" w:hAnsi="仿宋" w:eastAsia="仿宋" w:cs="仿宋"/>
                <w:sz w:val="24"/>
              </w:rPr>
            </w:pPr>
            <w:r>
              <w:rPr>
                <w:rFonts w:hint="eastAsia" w:ascii="仿宋" w:hAnsi="仿宋" w:eastAsia="仿宋" w:cs="仿宋"/>
                <w:sz w:val="24"/>
              </w:rPr>
              <w:t xml:space="preserve">□通过 </w:t>
            </w:r>
          </w:p>
          <w:p w14:paraId="74F3A263">
            <w:pPr>
              <w:pageBreakBefore w:val="0"/>
              <w:kinsoku/>
              <w:wordWrap/>
              <w:overflowPunct/>
              <w:topLinePunct w:val="0"/>
              <w:bidi w:val="0"/>
              <w:spacing w:line="360" w:lineRule="auto"/>
              <w:ind w:left="420" w:leftChars="200" w:right="420" w:rightChars="200"/>
              <w:rPr>
                <w:rFonts w:ascii="仿宋" w:hAnsi="仿宋" w:eastAsia="仿宋" w:cs="仿宋"/>
                <w:sz w:val="24"/>
              </w:rPr>
            </w:pPr>
            <w:r>
              <w:rPr>
                <w:rFonts w:hint="eastAsia" w:ascii="仿宋" w:hAnsi="仿宋" w:eastAsia="仿宋" w:cs="仿宋"/>
                <w:sz w:val="24"/>
              </w:rPr>
              <w:t>□不通过</w:t>
            </w:r>
          </w:p>
        </w:tc>
        <w:tc>
          <w:tcPr>
            <w:tcW w:w="1848" w:type="dxa"/>
            <w:vAlign w:val="center"/>
          </w:tcPr>
          <w:p w14:paraId="6DF472E3">
            <w:pPr>
              <w:pageBreakBefore w:val="0"/>
              <w:kinsoku/>
              <w:wordWrap/>
              <w:overflowPunct/>
              <w:topLinePunct w:val="0"/>
              <w:bidi w:val="0"/>
              <w:spacing w:line="360" w:lineRule="auto"/>
              <w:ind w:left="420" w:leftChars="200" w:right="420" w:rightChars="200"/>
              <w:rPr>
                <w:rFonts w:ascii="仿宋" w:hAnsi="仿宋" w:eastAsia="仿宋" w:cs="仿宋"/>
                <w:sz w:val="24"/>
              </w:rPr>
            </w:pPr>
            <w:r>
              <w:rPr>
                <w:rFonts w:hint="eastAsia" w:ascii="仿宋" w:hAnsi="仿宋" w:eastAsia="仿宋" w:cs="仿宋"/>
                <w:sz w:val="24"/>
              </w:rPr>
              <w:t>见响应文件</w:t>
            </w:r>
          </w:p>
          <w:p w14:paraId="286DAF5F">
            <w:pPr>
              <w:pageBreakBefore w:val="0"/>
              <w:kinsoku/>
              <w:wordWrap/>
              <w:overflowPunct/>
              <w:topLinePunct w:val="0"/>
              <w:bidi w:val="0"/>
              <w:spacing w:line="360" w:lineRule="auto"/>
              <w:ind w:left="420" w:leftChars="200" w:right="420" w:rightChars="200"/>
              <w:rPr>
                <w:rFonts w:ascii="仿宋" w:hAnsi="仿宋" w:eastAsia="仿宋" w:cs="仿宋"/>
                <w:sz w:val="24"/>
              </w:rPr>
            </w:pPr>
            <w:r>
              <w:rPr>
                <w:rFonts w:hint="eastAsia" w:ascii="仿宋" w:hAnsi="仿宋" w:eastAsia="仿宋" w:cs="仿宋"/>
                <w:sz w:val="24"/>
              </w:rPr>
              <w:t>第</w:t>
            </w:r>
            <w:r>
              <w:rPr>
                <w:rFonts w:hint="eastAsia" w:ascii="仿宋" w:hAnsi="仿宋" w:eastAsia="仿宋" w:cs="仿宋"/>
                <w:sz w:val="24"/>
                <w:u w:val="single"/>
              </w:rPr>
              <w:t xml:space="preserve">  </w:t>
            </w:r>
            <w:r>
              <w:rPr>
                <w:rFonts w:hint="eastAsia" w:ascii="仿宋" w:hAnsi="仿宋" w:eastAsia="仿宋" w:cs="仿宋"/>
                <w:sz w:val="24"/>
              </w:rPr>
              <w:t>页</w:t>
            </w:r>
          </w:p>
        </w:tc>
      </w:tr>
    </w:tbl>
    <w:p w14:paraId="06B43402">
      <w:pPr>
        <w:pageBreakBefore w:val="0"/>
        <w:kinsoku/>
        <w:wordWrap/>
        <w:overflowPunct/>
        <w:topLinePunct w:val="0"/>
        <w:bidi w:val="0"/>
        <w:snapToGrid w:val="0"/>
        <w:spacing w:line="360" w:lineRule="auto"/>
        <w:ind w:left="420" w:leftChars="200" w:right="420" w:rightChars="200"/>
        <w:jc w:val="left"/>
        <w:rPr>
          <w:rFonts w:ascii="仿宋" w:hAnsi="仿宋" w:eastAsia="仿宋" w:cs="仿宋"/>
          <w:b/>
          <w:sz w:val="32"/>
          <w:szCs w:val="32"/>
        </w:rPr>
      </w:pPr>
      <w:r>
        <w:rPr>
          <w:rFonts w:hint="eastAsia" w:ascii="仿宋" w:hAnsi="仿宋" w:eastAsia="仿宋" w:cs="仿宋"/>
          <w:b/>
          <w:sz w:val="24"/>
        </w:rPr>
        <w:t xml:space="preserve">备注：符合性自查表将作为供应商有效性审查的重要内容之一，供应商必须严格按照其内容及序列要求在响应文件中对应如实提供，对资格性证明文件的任何缺漏和不符合项将会直接导致响应无效！ </w:t>
      </w:r>
    </w:p>
    <w:p w14:paraId="11153B36">
      <w:pPr>
        <w:pStyle w:val="24"/>
        <w:pageBreakBefore w:val="0"/>
        <w:kinsoku/>
        <w:wordWrap/>
        <w:overflowPunct/>
        <w:topLinePunct w:val="0"/>
        <w:bidi w:val="0"/>
        <w:ind w:left="420" w:leftChars="200" w:right="420" w:rightChars="200" w:firstLine="0"/>
        <w:jc w:val="center"/>
        <w:rPr>
          <w:rFonts w:hint="eastAsia" w:ascii="宋体" w:eastAsia="宋体"/>
          <w:b/>
          <w:color w:val="000000"/>
          <w:sz w:val="28"/>
          <w:szCs w:val="28"/>
          <w:highlight w:val="none"/>
          <w:lang w:eastAsia="zh-CN"/>
        </w:rPr>
      </w:pPr>
    </w:p>
    <w:p w14:paraId="1EF4E6CC">
      <w:pPr>
        <w:pStyle w:val="24"/>
        <w:pageBreakBefore w:val="0"/>
        <w:kinsoku/>
        <w:wordWrap/>
        <w:overflowPunct/>
        <w:topLinePunct w:val="0"/>
        <w:bidi w:val="0"/>
        <w:ind w:left="420" w:leftChars="200" w:right="420" w:rightChars="200" w:firstLine="0"/>
        <w:jc w:val="center"/>
        <w:rPr>
          <w:rFonts w:hint="eastAsia" w:ascii="宋体" w:eastAsia="宋体"/>
          <w:b/>
          <w:color w:val="000000"/>
          <w:sz w:val="28"/>
          <w:szCs w:val="28"/>
          <w:highlight w:val="none"/>
          <w:lang w:eastAsia="zh-CN"/>
        </w:rPr>
      </w:pPr>
    </w:p>
    <w:p w14:paraId="2F43C687">
      <w:pPr>
        <w:pStyle w:val="24"/>
        <w:pageBreakBefore w:val="0"/>
        <w:kinsoku/>
        <w:wordWrap/>
        <w:overflowPunct/>
        <w:topLinePunct w:val="0"/>
        <w:bidi w:val="0"/>
        <w:ind w:left="420" w:leftChars="200" w:right="420" w:rightChars="200" w:firstLine="0"/>
        <w:jc w:val="center"/>
        <w:rPr>
          <w:rFonts w:hint="eastAsia" w:ascii="宋体" w:eastAsia="宋体"/>
          <w:b/>
          <w:color w:val="000000"/>
          <w:sz w:val="28"/>
          <w:szCs w:val="28"/>
          <w:highlight w:val="none"/>
          <w:lang w:eastAsia="zh-CN"/>
        </w:rPr>
      </w:pPr>
    </w:p>
    <w:p w14:paraId="77105E74">
      <w:pPr>
        <w:pStyle w:val="24"/>
        <w:pageBreakBefore w:val="0"/>
        <w:kinsoku/>
        <w:wordWrap/>
        <w:overflowPunct/>
        <w:topLinePunct w:val="0"/>
        <w:bidi w:val="0"/>
        <w:ind w:left="420" w:leftChars="200" w:right="420" w:rightChars="200" w:firstLine="0"/>
        <w:jc w:val="center"/>
        <w:rPr>
          <w:rFonts w:hint="eastAsia" w:ascii="宋体" w:eastAsia="宋体"/>
          <w:b/>
          <w:color w:val="000000"/>
          <w:sz w:val="28"/>
          <w:szCs w:val="28"/>
          <w:highlight w:val="none"/>
          <w:lang w:eastAsia="zh-CN"/>
        </w:rPr>
      </w:pPr>
    </w:p>
    <w:p w14:paraId="773174BF">
      <w:pPr>
        <w:pStyle w:val="24"/>
        <w:pageBreakBefore w:val="0"/>
        <w:kinsoku/>
        <w:wordWrap/>
        <w:overflowPunct/>
        <w:topLinePunct w:val="0"/>
        <w:bidi w:val="0"/>
        <w:ind w:left="420" w:leftChars="200" w:right="420" w:rightChars="200" w:firstLine="0"/>
        <w:jc w:val="center"/>
        <w:rPr>
          <w:rFonts w:hint="eastAsia" w:ascii="宋体" w:eastAsia="宋体"/>
          <w:b/>
          <w:color w:val="000000"/>
          <w:sz w:val="28"/>
          <w:szCs w:val="28"/>
          <w:highlight w:val="none"/>
          <w:lang w:eastAsia="zh-CN"/>
        </w:rPr>
      </w:pPr>
    </w:p>
    <w:p w14:paraId="49A184C6">
      <w:pPr>
        <w:pageBreakBefore w:val="0"/>
        <w:kinsoku/>
        <w:wordWrap/>
        <w:overflowPunct/>
        <w:topLinePunct w:val="0"/>
        <w:bidi w:val="0"/>
        <w:snapToGrid w:val="0"/>
        <w:spacing w:line="360" w:lineRule="auto"/>
        <w:ind w:left="420" w:leftChars="200" w:right="420" w:rightChars="200"/>
        <w:jc w:val="center"/>
        <w:outlineLvl w:val="0"/>
        <w:rPr>
          <w:rFonts w:hint="eastAsia" w:cs="宋体" w:asciiTheme="minorEastAsia" w:hAnsiTheme="minorEastAsia" w:eastAsiaTheme="minorEastAsia"/>
          <w:b/>
          <w:bCs/>
          <w:kern w:val="0"/>
          <w:sz w:val="28"/>
          <w:szCs w:val="28"/>
          <w:lang w:eastAsia="zh-CN"/>
        </w:rPr>
      </w:pPr>
    </w:p>
    <w:p w14:paraId="35A0DD46">
      <w:pPr>
        <w:pageBreakBefore w:val="0"/>
        <w:kinsoku/>
        <w:wordWrap/>
        <w:overflowPunct/>
        <w:topLinePunct w:val="0"/>
        <w:bidi w:val="0"/>
        <w:snapToGrid w:val="0"/>
        <w:spacing w:line="360" w:lineRule="auto"/>
        <w:ind w:left="420" w:leftChars="200" w:right="420" w:rightChars="200"/>
        <w:jc w:val="center"/>
        <w:outlineLvl w:val="0"/>
        <w:rPr>
          <w:rFonts w:hint="eastAsia" w:cs="宋体" w:asciiTheme="minorEastAsia" w:hAnsiTheme="minorEastAsia" w:eastAsiaTheme="minorEastAsia"/>
          <w:b/>
          <w:bCs/>
          <w:kern w:val="0"/>
          <w:sz w:val="28"/>
          <w:szCs w:val="28"/>
          <w:lang w:eastAsia="zh-CN"/>
        </w:rPr>
      </w:pPr>
    </w:p>
    <w:p w14:paraId="10AF300D">
      <w:pPr>
        <w:pageBreakBefore w:val="0"/>
        <w:kinsoku/>
        <w:wordWrap/>
        <w:overflowPunct/>
        <w:topLinePunct w:val="0"/>
        <w:bidi w:val="0"/>
        <w:snapToGrid w:val="0"/>
        <w:spacing w:line="360" w:lineRule="auto"/>
        <w:ind w:left="420" w:leftChars="200" w:right="420" w:rightChars="200"/>
        <w:jc w:val="center"/>
        <w:outlineLvl w:val="0"/>
        <w:rPr>
          <w:rFonts w:hint="eastAsia" w:cs="宋体" w:asciiTheme="minorEastAsia" w:hAnsiTheme="minorEastAsia" w:eastAsiaTheme="minorEastAsia"/>
          <w:b/>
          <w:bCs/>
          <w:kern w:val="0"/>
          <w:sz w:val="28"/>
          <w:szCs w:val="28"/>
          <w:lang w:eastAsia="zh-CN"/>
        </w:rPr>
      </w:pPr>
    </w:p>
    <w:p w14:paraId="5C6D14AE">
      <w:pPr>
        <w:pageBreakBefore w:val="0"/>
        <w:kinsoku/>
        <w:wordWrap/>
        <w:overflowPunct/>
        <w:topLinePunct w:val="0"/>
        <w:bidi w:val="0"/>
        <w:snapToGrid w:val="0"/>
        <w:spacing w:line="360" w:lineRule="auto"/>
        <w:ind w:left="420" w:leftChars="200" w:right="420" w:rightChars="200"/>
        <w:jc w:val="center"/>
        <w:outlineLvl w:val="0"/>
        <w:rPr>
          <w:rFonts w:hint="eastAsia" w:cs="宋体" w:asciiTheme="minorEastAsia" w:hAnsiTheme="minorEastAsia" w:eastAsiaTheme="minorEastAsia"/>
          <w:b/>
          <w:bCs/>
          <w:kern w:val="0"/>
          <w:sz w:val="28"/>
          <w:szCs w:val="28"/>
          <w:lang w:eastAsia="zh-CN"/>
        </w:rPr>
      </w:pPr>
    </w:p>
    <w:p w14:paraId="4FE67ABF">
      <w:pPr>
        <w:pageBreakBefore w:val="0"/>
        <w:kinsoku/>
        <w:wordWrap/>
        <w:overflowPunct/>
        <w:topLinePunct w:val="0"/>
        <w:bidi w:val="0"/>
        <w:snapToGrid w:val="0"/>
        <w:spacing w:line="360" w:lineRule="auto"/>
        <w:ind w:left="420" w:leftChars="200" w:right="420" w:rightChars="200"/>
        <w:jc w:val="center"/>
        <w:outlineLvl w:val="0"/>
        <w:rPr>
          <w:rFonts w:hint="eastAsia" w:cs="宋体" w:asciiTheme="minorEastAsia" w:hAnsiTheme="minorEastAsia" w:eastAsiaTheme="minorEastAsia"/>
          <w:b/>
          <w:bCs/>
          <w:kern w:val="0"/>
          <w:sz w:val="28"/>
          <w:szCs w:val="28"/>
          <w:lang w:eastAsia="zh-CN"/>
        </w:rPr>
      </w:pPr>
    </w:p>
    <w:p w14:paraId="31276510">
      <w:pPr>
        <w:pageBreakBefore w:val="0"/>
        <w:kinsoku/>
        <w:wordWrap/>
        <w:overflowPunct/>
        <w:topLinePunct w:val="0"/>
        <w:bidi w:val="0"/>
        <w:snapToGrid w:val="0"/>
        <w:spacing w:line="360" w:lineRule="auto"/>
        <w:ind w:left="420" w:leftChars="200" w:right="420" w:rightChars="200"/>
        <w:jc w:val="center"/>
        <w:outlineLvl w:val="0"/>
        <w:rPr>
          <w:rFonts w:hint="eastAsia" w:cs="宋体" w:asciiTheme="minorEastAsia" w:hAnsiTheme="minorEastAsia" w:eastAsiaTheme="minorEastAsia"/>
          <w:b/>
          <w:bCs/>
          <w:kern w:val="0"/>
          <w:sz w:val="28"/>
          <w:szCs w:val="28"/>
          <w:lang w:eastAsia="zh-CN"/>
        </w:rPr>
      </w:pPr>
    </w:p>
    <w:p w14:paraId="4FF06A94">
      <w:pPr>
        <w:pageBreakBefore w:val="0"/>
        <w:kinsoku/>
        <w:wordWrap/>
        <w:overflowPunct/>
        <w:topLinePunct w:val="0"/>
        <w:bidi w:val="0"/>
        <w:snapToGrid w:val="0"/>
        <w:spacing w:line="360" w:lineRule="auto"/>
        <w:ind w:left="420" w:leftChars="200" w:right="420" w:rightChars="200"/>
        <w:jc w:val="center"/>
        <w:outlineLvl w:val="0"/>
        <w:rPr>
          <w:rFonts w:ascii="仿宋" w:hAnsi="仿宋" w:eastAsia="仿宋" w:cs="仿宋"/>
          <w:b/>
          <w:kern w:val="0"/>
          <w:sz w:val="32"/>
          <w:szCs w:val="32"/>
        </w:rPr>
      </w:pPr>
      <w:r>
        <w:rPr>
          <w:rFonts w:hint="eastAsia" w:cs="宋体" w:asciiTheme="minorEastAsia" w:hAnsiTheme="minorEastAsia" w:eastAsiaTheme="minorEastAsia"/>
          <w:b/>
          <w:bCs/>
          <w:kern w:val="0"/>
          <w:sz w:val="28"/>
          <w:szCs w:val="28"/>
          <w:lang w:eastAsia="zh-CN"/>
        </w:rPr>
        <w:t>（三）</w:t>
      </w:r>
      <w:r>
        <w:rPr>
          <w:rFonts w:hint="eastAsia" w:ascii="仿宋" w:hAnsi="仿宋" w:eastAsia="仿宋" w:cs="仿宋"/>
          <w:b/>
          <w:kern w:val="0"/>
          <w:sz w:val="32"/>
          <w:szCs w:val="32"/>
        </w:rPr>
        <w:t>响应承诺</w:t>
      </w:r>
      <w:r>
        <w:rPr>
          <w:rFonts w:hint="eastAsia" w:ascii="仿宋" w:hAnsi="仿宋" w:eastAsia="仿宋" w:cs="仿宋"/>
          <w:b/>
          <w:sz w:val="32"/>
          <w:szCs w:val="32"/>
        </w:rPr>
        <w:t>函及</w:t>
      </w:r>
      <w:r>
        <w:rPr>
          <w:rFonts w:hint="eastAsia" w:ascii="仿宋" w:hAnsi="仿宋" w:eastAsia="仿宋" w:cs="仿宋"/>
          <w:b/>
          <w:kern w:val="0"/>
          <w:sz w:val="32"/>
          <w:szCs w:val="32"/>
        </w:rPr>
        <w:t>响应承诺</w:t>
      </w:r>
      <w:r>
        <w:rPr>
          <w:rFonts w:hint="eastAsia" w:ascii="仿宋" w:hAnsi="仿宋" w:eastAsia="仿宋" w:cs="仿宋"/>
          <w:b/>
          <w:sz w:val="32"/>
          <w:szCs w:val="32"/>
        </w:rPr>
        <w:t>函附件</w:t>
      </w:r>
    </w:p>
    <w:p w14:paraId="7FFE91AA">
      <w:pPr>
        <w:pageBreakBefore w:val="0"/>
        <w:kinsoku/>
        <w:wordWrap/>
        <w:overflowPunct/>
        <w:topLinePunct w:val="0"/>
        <w:bidi w:val="0"/>
        <w:snapToGrid w:val="0"/>
        <w:spacing w:line="360" w:lineRule="auto"/>
        <w:ind w:left="420" w:leftChars="200" w:right="420" w:rightChars="200"/>
        <w:jc w:val="center"/>
        <w:outlineLvl w:val="0"/>
        <w:rPr>
          <w:rFonts w:ascii="仿宋" w:hAnsi="仿宋" w:eastAsia="仿宋" w:cs="仿宋"/>
          <w:b/>
          <w:sz w:val="32"/>
          <w:szCs w:val="32"/>
        </w:rPr>
      </w:pPr>
      <w:r>
        <w:rPr>
          <w:rFonts w:hint="eastAsia" w:ascii="仿宋" w:hAnsi="仿宋" w:eastAsia="仿宋" w:cs="仿宋"/>
          <w:b/>
          <w:kern w:val="0"/>
          <w:sz w:val="32"/>
          <w:szCs w:val="32"/>
        </w:rPr>
        <w:t>响应承诺函</w:t>
      </w:r>
    </w:p>
    <w:p w14:paraId="63A07A20">
      <w:pPr>
        <w:pageBreakBefore w:val="0"/>
        <w:kinsoku/>
        <w:wordWrap/>
        <w:overflowPunct/>
        <w:topLinePunct w:val="0"/>
        <w:bidi w:val="0"/>
        <w:spacing w:line="360" w:lineRule="auto"/>
        <w:ind w:left="420" w:leftChars="200" w:right="420" w:right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（采购人）、（采购代理机构）：</w:t>
      </w:r>
    </w:p>
    <w:p w14:paraId="7DDF9B92">
      <w:pPr>
        <w:pageBreakBefore w:val="0"/>
        <w:kinsoku/>
        <w:wordWrap/>
        <w:overflowPunct/>
        <w:topLinePunct w:val="0"/>
        <w:bidi w:val="0"/>
        <w:spacing w:line="360" w:lineRule="auto"/>
        <w:ind w:left="420" w:leftChars="200" w:right="420" w:rightChars="200"/>
        <w:rPr>
          <w:rFonts w:cs="仿宋_GB2312" w:asciiTheme="minorEastAsia" w:hAnsiTheme="minorEastAsia" w:eastAsiaTheme="minorEastAsia"/>
          <w:sz w:val="24"/>
        </w:rPr>
      </w:pPr>
      <w:r>
        <w:rPr>
          <w:rFonts w:hint="eastAsia" w:cs="仿宋_GB2312" w:asciiTheme="minorEastAsia" w:hAnsiTheme="minorEastAsia" w:eastAsiaTheme="minorEastAsia"/>
          <w:kern w:val="0"/>
          <w:sz w:val="24"/>
          <w:u w:val="single"/>
          <w:lang w:val="zh-CN"/>
        </w:rPr>
        <w:t xml:space="preserve">                          </w:t>
      </w:r>
      <w:r>
        <w:rPr>
          <w:rFonts w:hint="eastAsia" w:cs="仿宋_GB2312" w:asciiTheme="minorEastAsia" w:hAnsiTheme="minorEastAsia" w:eastAsiaTheme="minorEastAsia"/>
          <w:sz w:val="24"/>
        </w:rPr>
        <w:t>(供应商全称)授权</w:t>
      </w:r>
      <w:r>
        <w:rPr>
          <w:rFonts w:hint="eastAsia" w:cs="仿宋_GB2312" w:asciiTheme="minorEastAsia" w:hAnsiTheme="minorEastAsia" w:eastAsiaTheme="minorEastAsia"/>
          <w:kern w:val="0"/>
          <w:sz w:val="24"/>
          <w:u w:val="single"/>
          <w:lang w:val="zh-CN"/>
        </w:rPr>
        <w:t xml:space="preserve">                      </w:t>
      </w:r>
      <w:r>
        <w:rPr>
          <w:rFonts w:hint="eastAsia" w:cs="仿宋_GB2312" w:asciiTheme="minorEastAsia" w:hAnsiTheme="minorEastAsia" w:eastAsiaTheme="minorEastAsia"/>
          <w:sz w:val="24"/>
        </w:rPr>
        <w:t>(全权代表姓名)</w:t>
      </w:r>
      <w:r>
        <w:rPr>
          <w:rFonts w:hint="eastAsia" w:cs="仿宋_GB2312" w:asciiTheme="minorEastAsia" w:hAnsiTheme="minorEastAsia" w:eastAsiaTheme="minorEastAsia"/>
          <w:kern w:val="0"/>
          <w:sz w:val="24"/>
          <w:u w:val="single"/>
          <w:lang w:val="zh-CN"/>
        </w:rPr>
        <w:t xml:space="preserve">          </w:t>
      </w:r>
      <w:r>
        <w:rPr>
          <w:rFonts w:hint="eastAsia" w:cs="仿宋_GB2312" w:asciiTheme="minorEastAsia" w:hAnsiTheme="minorEastAsia" w:eastAsiaTheme="minorEastAsia"/>
          <w:sz w:val="24"/>
        </w:rPr>
        <w:t>(职务、职称)为全权代表，参加贵方组织的（项目名称）【项目编号：（采购编号）】的有关活动，并对此项目进行响应。为此：</w:t>
      </w:r>
    </w:p>
    <w:p w14:paraId="2E2E96B9">
      <w:pPr>
        <w:pStyle w:val="108"/>
        <w:pageBreakBefore w:val="0"/>
        <w:numPr>
          <w:ilvl w:val="0"/>
          <w:numId w:val="13"/>
        </w:numPr>
        <w:kinsoku/>
        <w:wordWrap/>
        <w:overflowPunct/>
        <w:topLinePunct w:val="0"/>
        <w:bidi w:val="0"/>
        <w:snapToGrid w:val="0"/>
        <w:ind w:left="420" w:leftChars="200" w:right="420" w:rightChars="200" w:firstLineChars="0"/>
        <w:rPr>
          <w:rFonts w:cs="仿宋_GB2312" w:asciiTheme="minorEastAsia" w:hAnsiTheme="minorEastAsia" w:eastAsiaTheme="minorEastAsia"/>
        </w:rPr>
      </w:pPr>
      <w:r>
        <w:rPr>
          <w:rFonts w:hint="eastAsia" w:cs="仿宋_GB2312" w:asciiTheme="minorEastAsia" w:hAnsiTheme="minorEastAsia" w:eastAsiaTheme="minorEastAsia"/>
        </w:rPr>
        <w:t>我方承诺响应有效期从提交响应文件的截止之日起</w:t>
      </w:r>
      <w:r>
        <w:rPr>
          <w:rFonts w:hint="eastAsia" w:cs="仿宋_GB2312" w:asciiTheme="minorEastAsia" w:hAnsiTheme="minorEastAsia" w:eastAsiaTheme="minorEastAsia"/>
          <w:u w:val="single"/>
        </w:rPr>
        <w:t xml:space="preserve">     </w:t>
      </w:r>
      <w:r>
        <w:rPr>
          <w:rFonts w:hint="eastAsia" w:cs="仿宋_GB2312" w:asciiTheme="minorEastAsia" w:hAnsiTheme="minorEastAsia" w:eastAsiaTheme="minorEastAsia"/>
        </w:rPr>
        <w:t>天，</w:t>
      </w:r>
      <w:r>
        <w:rPr>
          <w:rFonts w:hint="eastAsia" w:cs="宋体" w:asciiTheme="minorEastAsia" w:hAnsiTheme="minorEastAsia" w:eastAsiaTheme="minorEastAsia"/>
        </w:rPr>
        <w:t>（不少于90天），</w:t>
      </w:r>
      <w:r>
        <w:rPr>
          <w:rFonts w:hint="eastAsia" w:cs="仿宋_GB2312" w:asciiTheme="minorEastAsia" w:hAnsiTheme="minorEastAsia" w:eastAsiaTheme="minorEastAsia"/>
        </w:rPr>
        <w:t>本响应文件在响应有效期满之前均具有约束力。</w:t>
      </w:r>
    </w:p>
    <w:p w14:paraId="472EB22E">
      <w:pPr>
        <w:pageBreakBefore w:val="0"/>
        <w:numPr>
          <w:ilvl w:val="0"/>
          <w:numId w:val="13"/>
        </w:numPr>
        <w:kinsoku/>
        <w:wordWrap/>
        <w:overflowPunct/>
        <w:topLinePunct w:val="0"/>
        <w:bidi w:val="0"/>
        <w:adjustRightInd/>
        <w:spacing w:line="360" w:lineRule="auto"/>
        <w:ind w:left="420" w:leftChars="200" w:right="420" w:right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提供</w:t>
      </w:r>
      <w:r>
        <w:rPr>
          <w:rFonts w:hint="eastAsia" w:cs="仿宋_GB2312" w:asciiTheme="minorEastAsia" w:hAnsiTheme="minorEastAsia" w:eastAsiaTheme="minorEastAsia"/>
          <w:bCs/>
          <w:kern w:val="44"/>
          <w:sz w:val="24"/>
        </w:rPr>
        <w:t>磋商文件中</w:t>
      </w:r>
      <w:r>
        <w:rPr>
          <w:rFonts w:hint="eastAsia" w:cs="仿宋_GB2312" w:asciiTheme="minorEastAsia" w:hAnsiTheme="minorEastAsia" w:eastAsiaTheme="minorEastAsia"/>
          <w:sz w:val="24"/>
        </w:rPr>
        <w:t>规定的全部响应文件。</w:t>
      </w:r>
    </w:p>
    <w:p w14:paraId="621BE7D5">
      <w:pPr>
        <w:pageBreakBefore w:val="0"/>
        <w:numPr>
          <w:ilvl w:val="0"/>
          <w:numId w:val="13"/>
        </w:numPr>
        <w:kinsoku/>
        <w:wordWrap/>
        <w:overflowPunct/>
        <w:topLinePunct w:val="0"/>
        <w:bidi w:val="0"/>
        <w:adjustRightInd/>
        <w:spacing w:line="360" w:lineRule="auto"/>
        <w:ind w:left="420" w:leftChars="200" w:right="420" w:rightChars="200"/>
        <w:rPr>
          <w:rFonts w:cs="仿宋_GB2312" w:asciiTheme="minorEastAsia" w:hAnsiTheme="minorEastAsia" w:eastAsiaTheme="minorEastAsia"/>
          <w:sz w:val="24"/>
        </w:rPr>
      </w:pPr>
      <w:r>
        <w:rPr>
          <w:rFonts w:hint="eastAsia" w:cs="宋体" w:asciiTheme="minorEastAsia" w:hAnsiTheme="minorEastAsia" w:eastAsiaTheme="minorEastAsia"/>
          <w:sz w:val="24"/>
        </w:rPr>
        <w:t>我方承诺除响应文件列出的偏离外，我方响应磋商文件的全部要求。</w:t>
      </w:r>
    </w:p>
    <w:p w14:paraId="2087D4CA">
      <w:pPr>
        <w:pageBreakBefore w:val="0"/>
        <w:numPr>
          <w:ilvl w:val="0"/>
          <w:numId w:val="13"/>
        </w:numPr>
        <w:kinsoku/>
        <w:wordWrap/>
        <w:overflowPunct/>
        <w:topLinePunct w:val="0"/>
        <w:bidi w:val="0"/>
        <w:adjustRightInd/>
        <w:spacing w:line="360" w:lineRule="auto"/>
        <w:ind w:left="420" w:leftChars="200" w:right="420" w:right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保证遵守磋商文件中的其他有关规定。</w:t>
      </w:r>
    </w:p>
    <w:p w14:paraId="3BE854CF">
      <w:pPr>
        <w:pageBreakBefore w:val="0"/>
        <w:numPr>
          <w:ilvl w:val="0"/>
          <w:numId w:val="13"/>
        </w:numPr>
        <w:kinsoku/>
        <w:wordWrap/>
        <w:overflowPunct/>
        <w:topLinePunct w:val="0"/>
        <w:bidi w:val="0"/>
        <w:adjustRightInd/>
        <w:spacing w:line="360" w:lineRule="auto"/>
        <w:ind w:left="420" w:leftChars="200" w:right="420" w:right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我方愿意向贵方提供任何与该项目响应有关的数据、情况和技术资料。若贵方需要，我方愿意提供我方作出的一切承诺的证明材料。</w:t>
      </w:r>
    </w:p>
    <w:p w14:paraId="7346582E">
      <w:pPr>
        <w:pageBreakBefore w:val="0"/>
        <w:numPr>
          <w:ilvl w:val="0"/>
          <w:numId w:val="13"/>
        </w:numPr>
        <w:kinsoku/>
        <w:wordWrap/>
        <w:overflowPunct/>
        <w:topLinePunct w:val="0"/>
        <w:bidi w:val="0"/>
        <w:adjustRightInd/>
        <w:spacing w:line="360" w:lineRule="auto"/>
        <w:ind w:left="420" w:leftChars="200" w:right="420" w:right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我方已详细阅读全部磋商文件，包括磋商文件“更正（延期）公告”（如果有）、参考资料及有关附件，确认无误。</w:t>
      </w:r>
    </w:p>
    <w:p w14:paraId="7916FA10">
      <w:pPr>
        <w:pageBreakBefore w:val="0"/>
        <w:numPr>
          <w:ilvl w:val="0"/>
          <w:numId w:val="13"/>
        </w:numPr>
        <w:kinsoku/>
        <w:wordWrap/>
        <w:overflowPunct/>
        <w:topLinePunct w:val="0"/>
        <w:bidi w:val="0"/>
        <w:adjustRightInd/>
        <w:spacing w:line="360" w:lineRule="auto"/>
        <w:ind w:left="420" w:leftChars="200" w:right="420" w:rightChars="200"/>
        <w:rPr>
          <w:rFonts w:cs="仿宋_GB2312" w:asciiTheme="minorEastAsia" w:hAnsiTheme="minorEastAsia" w:eastAsiaTheme="minorEastAsia"/>
          <w:sz w:val="24"/>
        </w:rPr>
      </w:pPr>
      <w:r>
        <w:rPr>
          <w:rFonts w:hint="eastAsia" w:cs="宋体" w:asciiTheme="minorEastAsia" w:hAnsiTheme="minorEastAsia" w:eastAsiaTheme="minorEastAsia"/>
          <w:sz w:val="24"/>
        </w:rPr>
        <w:t>如我方成交，我方承诺：</w:t>
      </w:r>
    </w:p>
    <w:p w14:paraId="11E7AE40">
      <w:pPr>
        <w:pageBreakBefore w:val="0"/>
        <w:kinsoku/>
        <w:wordWrap/>
        <w:overflowPunct/>
        <w:topLinePunct w:val="0"/>
        <w:bidi w:val="0"/>
        <w:snapToGrid w:val="0"/>
        <w:spacing w:line="360" w:lineRule="auto"/>
        <w:ind w:left="420" w:leftChars="200" w:right="420" w:rightChars="200"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 xml:space="preserve">7.1在收到成交通知书后，在成交通知书规定的期限内与你方签订合同； </w:t>
      </w:r>
    </w:p>
    <w:p w14:paraId="4CCE2608">
      <w:pPr>
        <w:pageBreakBefore w:val="0"/>
        <w:kinsoku/>
        <w:wordWrap/>
        <w:overflowPunct/>
        <w:topLinePunct w:val="0"/>
        <w:bidi w:val="0"/>
        <w:snapToGrid w:val="0"/>
        <w:spacing w:line="360" w:lineRule="auto"/>
        <w:ind w:left="420" w:leftChars="200" w:right="420" w:rightChars="200"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 xml:space="preserve">7.2在签订合同时不向你方提出附加条件； </w:t>
      </w:r>
    </w:p>
    <w:p w14:paraId="3090AED9">
      <w:pPr>
        <w:pageBreakBefore w:val="0"/>
        <w:kinsoku/>
        <w:wordWrap/>
        <w:overflowPunct/>
        <w:topLinePunct w:val="0"/>
        <w:bidi w:val="0"/>
        <w:snapToGrid w:val="0"/>
        <w:spacing w:line="360" w:lineRule="auto"/>
        <w:ind w:left="420" w:leftChars="200" w:right="420" w:rightChars="200"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 xml:space="preserve">7.3按照磋商文件要求提交履约保证金； </w:t>
      </w:r>
    </w:p>
    <w:p w14:paraId="412D84A5">
      <w:pPr>
        <w:pageBreakBefore w:val="0"/>
        <w:kinsoku/>
        <w:wordWrap/>
        <w:overflowPunct/>
        <w:topLinePunct w:val="0"/>
        <w:bidi w:val="0"/>
        <w:snapToGrid w:val="0"/>
        <w:spacing w:line="360" w:lineRule="auto"/>
        <w:ind w:left="420" w:leftChars="200" w:right="420" w:rightChars="200"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 xml:space="preserve">7.4在合同约定的期限内完成合同规定的全部义务。 </w:t>
      </w:r>
    </w:p>
    <w:p w14:paraId="17BE7E58">
      <w:pPr>
        <w:pageBreakBefore w:val="0"/>
        <w:kinsoku/>
        <w:wordWrap/>
        <w:overflowPunct/>
        <w:topLinePunct w:val="0"/>
        <w:bidi w:val="0"/>
        <w:snapToGrid w:val="0"/>
        <w:spacing w:line="360" w:lineRule="auto"/>
        <w:ind w:left="420" w:leftChars="200" w:right="420" w:rightChars="200"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7.5按照磋商文件的规定，在中标后向采购代理机构一次性支付招标代理服务费。</w:t>
      </w:r>
    </w:p>
    <w:p w14:paraId="09D1767F">
      <w:pPr>
        <w:pageBreakBefore w:val="0"/>
        <w:numPr>
          <w:ilvl w:val="0"/>
          <w:numId w:val="13"/>
        </w:numPr>
        <w:kinsoku/>
        <w:wordWrap/>
        <w:overflowPunct/>
        <w:topLinePunct w:val="0"/>
        <w:bidi w:val="0"/>
        <w:adjustRightInd/>
        <w:spacing w:line="360" w:lineRule="auto"/>
        <w:ind w:left="420" w:leftChars="200" w:right="420" w:rightChars="200"/>
        <w:rPr>
          <w:rFonts w:cs="宋体" w:asciiTheme="minorEastAsia" w:hAnsiTheme="minorEastAsia" w:eastAsiaTheme="minorEastAsia"/>
          <w:sz w:val="24"/>
        </w:rPr>
      </w:pPr>
      <w:r>
        <w:rPr>
          <w:rFonts w:hint="eastAsia" w:cs="宋体" w:asciiTheme="minorEastAsia" w:hAnsiTheme="minorEastAsia" w:eastAsiaTheme="minorEastAsia"/>
          <w:sz w:val="24"/>
        </w:rPr>
        <w:t>其他补充说明:                                        。</w:t>
      </w:r>
    </w:p>
    <w:p w14:paraId="1D986941">
      <w:pPr>
        <w:pageBreakBefore w:val="0"/>
        <w:kinsoku/>
        <w:wordWrap/>
        <w:overflowPunct/>
        <w:topLinePunct w:val="0"/>
        <w:autoSpaceDE w:val="0"/>
        <w:autoSpaceDN w:val="0"/>
        <w:bidi w:val="0"/>
        <w:spacing w:line="360" w:lineRule="auto"/>
        <w:ind w:left="420" w:leftChars="200" w:right="420" w:rightChars="200" w:firstLine="3960" w:firstLineChars="1650"/>
        <w:rPr>
          <w:rFonts w:cs="仿宋_GB2312" w:asciiTheme="minorEastAsia" w:hAnsiTheme="minorEastAsia" w:eastAsiaTheme="minorEastAsia"/>
          <w:kern w:val="0"/>
          <w:sz w:val="24"/>
          <w:lang w:val="zh-CN"/>
        </w:rPr>
      </w:pPr>
    </w:p>
    <w:p w14:paraId="751B6446">
      <w:pPr>
        <w:pageBreakBefore w:val="0"/>
        <w:kinsoku/>
        <w:wordWrap/>
        <w:overflowPunct/>
        <w:topLinePunct w:val="0"/>
        <w:bidi w:val="0"/>
        <w:spacing w:line="360" w:lineRule="auto"/>
        <w:ind w:left="420" w:leftChars="200" w:right="420" w:rightChars="200" w:firstLine="3600" w:firstLineChars="1500"/>
        <w:rPr>
          <w:rFonts w:cs="仿宋_GB2312" w:asciiTheme="minorEastAsia" w:hAnsiTheme="minorEastAsia" w:eastAsiaTheme="minorEastAsia"/>
          <w:sz w:val="24"/>
        </w:rPr>
      </w:pPr>
      <w:r>
        <w:rPr>
          <w:rFonts w:hint="eastAsia" w:cs="仿宋_GB2312" w:asciiTheme="minorEastAsia" w:hAnsiTheme="minorEastAsia" w:eastAsiaTheme="minorEastAsia"/>
          <w:sz w:val="24"/>
        </w:rPr>
        <w:t xml:space="preserve">供应商名称（电子签名）：                          </w:t>
      </w:r>
    </w:p>
    <w:p w14:paraId="189EA074">
      <w:pPr>
        <w:pageBreakBefore w:val="0"/>
        <w:kinsoku/>
        <w:wordWrap/>
        <w:overflowPunct/>
        <w:topLinePunct w:val="0"/>
        <w:bidi w:val="0"/>
        <w:spacing w:line="360" w:lineRule="auto"/>
        <w:ind w:left="420" w:leftChars="200" w:right="420" w:rightChars="200"/>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 xml:space="preserve">     日期：  年   月   日</w:t>
      </w:r>
    </w:p>
    <w:p w14:paraId="78781E1E">
      <w:pPr>
        <w:pageBreakBefore w:val="0"/>
        <w:kinsoku/>
        <w:wordWrap/>
        <w:overflowPunct/>
        <w:topLinePunct w:val="0"/>
        <w:bidi w:val="0"/>
        <w:spacing w:line="360" w:lineRule="auto"/>
        <w:ind w:left="420" w:leftChars="200" w:right="420" w:rightChars="200"/>
        <w:jc w:val="center"/>
        <w:rPr>
          <w:rFonts w:cs="宋体" w:asciiTheme="minorEastAsia" w:hAnsiTheme="minorEastAsia" w:eastAsiaTheme="minorEastAsia"/>
          <w:sz w:val="24"/>
        </w:rPr>
      </w:pPr>
    </w:p>
    <w:p w14:paraId="4A5DA774">
      <w:pPr>
        <w:pageBreakBefore w:val="0"/>
        <w:kinsoku/>
        <w:wordWrap/>
        <w:overflowPunct/>
        <w:topLinePunct w:val="0"/>
        <w:bidi w:val="0"/>
        <w:spacing w:line="360" w:lineRule="auto"/>
        <w:ind w:left="420" w:leftChars="200" w:right="420" w:rightChars="200"/>
        <w:jc w:val="center"/>
        <w:rPr>
          <w:rFonts w:cs="宋体" w:asciiTheme="minorEastAsia" w:hAnsiTheme="minorEastAsia" w:eastAsiaTheme="minorEastAsia"/>
          <w:sz w:val="24"/>
        </w:rPr>
      </w:pPr>
    </w:p>
    <w:p w14:paraId="77E0248A">
      <w:pPr>
        <w:pageBreakBefore w:val="0"/>
        <w:kinsoku/>
        <w:wordWrap/>
        <w:overflowPunct/>
        <w:topLinePunct w:val="0"/>
        <w:bidi w:val="0"/>
        <w:spacing w:line="360" w:lineRule="auto"/>
        <w:ind w:left="420" w:leftChars="200" w:right="420" w:rightChars="200"/>
        <w:rPr>
          <w:rFonts w:ascii="仿宋" w:hAnsi="仿宋" w:eastAsia="仿宋" w:cs="仿宋"/>
          <w:b/>
          <w:kern w:val="0"/>
          <w:sz w:val="32"/>
          <w:szCs w:val="32"/>
        </w:rPr>
      </w:pPr>
      <w:r>
        <w:rPr>
          <w:rFonts w:hint="eastAsia" w:cs="宋体" w:asciiTheme="minorEastAsia" w:hAnsiTheme="minorEastAsia" w:eastAsiaTheme="minorEastAsia"/>
          <w:sz w:val="24"/>
        </w:rPr>
        <w:t>注：按本格式和要求提供。</w:t>
      </w:r>
    </w:p>
    <w:p w14:paraId="2AE128DE">
      <w:pPr>
        <w:pageBreakBefore w:val="0"/>
        <w:kinsoku/>
        <w:wordWrap/>
        <w:overflowPunct/>
        <w:topLinePunct w:val="0"/>
        <w:bidi w:val="0"/>
        <w:spacing w:line="360" w:lineRule="auto"/>
        <w:ind w:left="420" w:leftChars="200" w:right="420" w:rightChars="200"/>
        <w:rPr>
          <w:rFonts w:ascii="仿宋" w:hAnsi="仿宋" w:eastAsia="仿宋" w:cs="仿宋"/>
          <w:b/>
          <w:sz w:val="32"/>
          <w:szCs w:val="32"/>
        </w:rPr>
      </w:pPr>
    </w:p>
    <w:p w14:paraId="213D26D4">
      <w:pPr>
        <w:pageBreakBefore w:val="0"/>
        <w:kinsoku/>
        <w:wordWrap/>
        <w:overflowPunct/>
        <w:topLinePunct w:val="0"/>
        <w:bidi w:val="0"/>
        <w:snapToGrid w:val="0"/>
        <w:spacing w:line="360" w:lineRule="auto"/>
        <w:ind w:left="420" w:leftChars="200" w:right="420" w:rightChars="200"/>
        <w:jc w:val="center"/>
        <w:outlineLvl w:val="0"/>
        <w:rPr>
          <w:rFonts w:hint="eastAsia" w:ascii="仿宋" w:hAnsi="仿宋" w:eastAsia="仿宋" w:cs="仿宋"/>
          <w:b/>
          <w:kern w:val="0"/>
          <w:sz w:val="32"/>
          <w:szCs w:val="32"/>
        </w:rPr>
      </w:pPr>
      <w:r>
        <w:rPr>
          <w:rFonts w:hint="eastAsia" w:ascii="仿宋" w:hAnsi="仿宋" w:eastAsia="仿宋" w:cs="仿宋"/>
          <w:b/>
          <w:kern w:val="0"/>
          <w:sz w:val="32"/>
          <w:szCs w:val="32"/>
        </w:rPr>
        <w:br w:type="page"/>
      </w:r>
    </w:p>
    <w:p w14:paraId="138A98A8">
      <w:pPr>
        <w:pageBreakBefore w:val="0"/>
        <w:kinsoku/>
        <w:wordWrap/>
        <w:overflowPunct/>
        <w:topLinePunct w:val="0"/>
        <w:bidi w:val="0"/>
        <w:snapToGrid w:val="0"/>
        <w:spacing w:line="360" w:lineRule="auto"/>
        <w:ind w:left="420" w:leftChars="200" w:right="420" w:rightChars="200"/>
        <w:jc w:val="center"/>
        <w:outlineLvl w:val="0"/>
        <w:rPr>
          <w:rFonts w:hint="eastAsia" w:ascii="仿宋" w:hAnsi="仿宋" w:eastAsia="仿宋" w:cs="仿宋"/>
          <w:b/>
          <w:kern w:val="0"/>
          <w:sz w:val="32"/>
          <w:szCs w:val="32"/>
        </w:rPr>
      </w:pPr>
    </w:p>
    <w:p w14:paraId="46A8C7DF">
      <w:pPr>
        <w:pageBreakBefore w:val="0"/>
        <w:kinsoku/>
        <w:wordWrap/>
        <w:overflowPunct/>
        <w:topLinePunct w:val="0"/>
        <w:bidi w:val="0"/>
        <w:snapToGrid w:val="0"/>
        <w:spacing w:line="360" w:lineRule="auto"/>
        <w:ind w:left="420" w:leftChars="200" w:right="420" w:rightChars="200"/>
        <w:jc w:val="center"/>
        <w:outlineLvl w:val="0"/>
        <w:rPr>
          <w:rFonts w:hint="eastAsia" w:ascii="仿宋" w:hAnsi="仿宋" w:eastAsia="仿宋" w:cs="仿宋"/>
          <w:b/>
          <w:kern w:val="0"/>
          <w:sz w:val="32"/>
          <w:szCs w:val="32"/>
        </w:rPr>
      </w:pPr>
      <w:r>
        <w:rPr>
          <w:rFonts w:hint="eastAsia" w:ascii="仿宋" w:hAnsi="仿宋" w:eastAsia="仿宋" w:cs="仿宋"/>
          <w:b/>
          <w:kern w:val="0"/>
          <w:sz w:val="32"/>
          <w:szCs w:val="32"/>
        </w:rPr>
        <w:t>响应承诺函附件</w:t>
      </w:r>
    </w:p>
    <w:p w14:paraId="12B2208B">
      <w:pPr>
        <w:pStyle w:val="72"/>
        <w:pageBreakBefore w:val="0"/>
        <w:kinsoku/>
        <w:wordWrap/>
        <w:overflowPunct/>
        <w:topLinePunct w:val="0"/>
        <w:bidi w:val="0"/>
        <w:ind w:left="420" w:leftChars="200" w:right="420" w:rightChars="200"/>
        <w:rPr>
          <w:rFonts w:hint="eastAsia" w:ascii="仿宋" w:hAnsi="仿宋" w:eastAsia="仿宋" w:cs="仿宋"/>
          <w:b/>
          <w:kern w:val="0"/>
          <w:sz w:val="32"/>
          <w:szCs w:val="32"/>
        </w:rPr>
      </w:pPr>
    </w:p>
    <w:p w14:paraId="27C54D0A">
      <w:pPr>
        <w:pStyle w:val="72"/>
        <w:pageBreakBefore w:val="0"/>
        <w:kinsoku/>
        <w:wordWrap/>
        <w:overflowPunct/>
        <w:topLinePunct w:val="0"/>
        <w:bidi w:val="0"/>
        <w:ind w:left="420" w:leftChars="200" w:right="420" w:rightChars="200"/>
        <w:rPr>
          <w:rFonts w:hint="eastAsia" w:ascii="仿宋" w:hAnsi="仿宋" w:eastAsia="仿宋" w:cs="仿宋"/>
          <w:b/>
          <w:kern w:val="0"/>
          <w:sz w:val="32"/>
          <w:szCs w:val="32"/>
          <w:lang w:val="zh-CN"/>
        </w:rPr>
      </w:pPr>
    </w:p>
    <w:tbl>
      <w:tblPr>
        <w:tblStyle w:val="60"/>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40"/>
        <w:gridCol w:w="3585"/>
        <w:gridCol w:w="3126"/>
        <w:gridCol w:w="1633"/>
      </w:tblGrid>
      <w:tr w14:paraId="470C694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9" w:hRule="atLeast"/>
        </w:trPr>
        <w:tc>
          <w:tcPr>
            <w:tcW w:w="840" w:type="dxa"/>
            <w:tcBorders>
              <w:top w:val="single" w:color="auto" w:sz="4" w:space="0"/>
              <w:left w:val="single" w:color="auto" w:sz="4" w:space="0"/>
              <w:bottom w:val="single" w:color="auto" w:sz="4" w:space="0"/>
              <w:right w:val="single" w:color="auto" w:sz="4" w:space="0"/>
            </w:tcBorders>
            <w:vAlign w:val="center"/>
          </w:tcPr>
          <w:p w14:paraId="445F5C44">
            <w:pPr>
              <w:pageBreakBefore w:val="0"/>
              <w:kinsoku/>
              <w:wordWrap/>
              <w:overflowPunct/>
              <w:topLinePunct w:val="0"/>
              <w:bidi w:val="0"/>
              <w:ind w:left="420" w:leftChars="200" w:right="420" w:rightChars="200"/>
              <w:jc w:val="center"/>
              <w:rPr>
                <w:rFonts w:ascii="仿宋" w:hAnsi="仿宋" w:eastAsia="仿宋" w:cs="仿宋"/>
                <w:kern w:val="0"/>
                <w:sz w:val="24"/>
              </w:rPr>
            </w:pPr>
            <w:r>
              <w:rPr>
                <w:rFonts w:hint="eastAsia" w:ascii="仿宋" w:hAnsi="仿宋" w:eastAsia="仿宋" w:cs="仿宋"/>
                <w:kern w:val="0"/>
                <w:sz w:val="24"/>
              </w:rPr>
              <w:t>序号</w:t>
            </w:r>
          </w:p>
        </w:tc>
        <w:tc>
          <w:tcPr>
            <w:tcW w:w="3585" w:type="dxa"/>
            <w:tcBorders>
              <w:top w:val="single" w:color="auto" w:sz="4" w:space="0"/>
              <w:left w:val="single" w:color="auto" w:sz="4" w:space="0"/>
              <w:bottom w:val="single" w:color="auto" w:sz="4" w:space="0"/>
              <w:right w:val="single" w:color="auto" w:sz="4" w:space="0"/>
            </w:tcBorders>
            <w:vAlign w:val="center"/>
          </w:tcPr>
          <w:p w14:paraId="37D84872">
            <w:pPr>
              <w:pageBreakBefore w:val="0"/>
              <w:kinsoku/>
              <w:wordWrap/>
              <w:overflowPunct/>
              <w:topLinePunct w:val="0"/>
              <w:bidi w:val="0"/>
              <w:ind w:left="420" w:leftChars="200" w:right="420" w:rightChars="200"/>
              <w:jc w:val="center"/>
              <w:rPr>
                <w:rFonts w:ascii="仿宋" w:hAnsi="仿宋" w:eastAsia="仿宋" w:cs="仿宋"/>
                <w:kern w:val="0"/>
                <w:sz w:val="24"/>
              </w:rPr>
            </w:pPr>
            <w:r>
              <w:rPr>
                <w:rFonts w:hint="eastAsia" w:ascii="仿宋" w:hAnsi="仿宋" w:eastAsia="仿宋" w:cs="仿宋"/>
                <w:kern w:val="0"/>
                <w:sz w:val="24"/>
              </w:rPr>
              <w:t>项 目 内 容</w:t>
            </w:r>
          </w:p>
        </w:tc>
        <w:tc>
          <w:tcPr>
            <w:tcW w:w="3126" w:type="dxa"/>
            <w:tcBorders>
              <w:top w:val="single" w:color="auto" w:sz="4" w:space="0"/>
              <w:left w:val="single" w:color="auto" w:sz="4" w:space="0"/>
              <w:bottom w:val="single" w:color="auto" w:sz="4" w:space="0"/>
              <w:right w:val="single" w:color="auto" w:sz="4" w:space="0"/>
            </w:tcBorders>
            <w:vAlign w:val="center"/>
          </w:tcPr>
          <w:p w14:paraId="08B629AB">
            <w:pPr>
              <w:pageBreakBefore w:val="0"/>
              <w:kinsoku/>
              <w:wordWrap/>
              <w:overflowPunct/>
              <w:topLinePunct w:val="0"/>
              <w:bidi w:val="0"/>
              <w:ind w:left="420" w:leftChars="200" w:right="420" w:rightChars="200"/>
              <w:jc w:val="center"/>
              <w:rPr>
                <w:rFonts w:ascii="仿宋" w:hAnsi="仿宋" w:eastAsia="仿宋" w:cs="仿宋"/>
                <w:kern w:val="0"/>
                <w:sz w:val="24"/>
              </w:rPr>
            </w:pPr>
            <w:r>
              <w:rPr>
                <w:rFonts w:hint="eastAsia" w:ascii="仿宋" w:hAnsi="仿宋" w:eastAsia="仿宋" w:cs="仿宋"/>
                <w:kern w:val="0"/>
                <w:sz w:val="24"/>
              </w:rPr>
              <w:t>交易承诺要求</w:t>
            </w:r>
          </w:p>
        </w:tc>
        <w:tc>
          <w:tcPr>
            <w:tcW w:w="1633" w:type="dxa"/>
            <w:tcBorders>
              <w:top w:val="single" w:color="auto" w:sz="4" w:space="0"/>
              <w:left w:val="single" w:color="auto" w:sz="4" w:space="0"/>
              <w:bottom w:val="single" w:color="auto" w:sz="4" w:space="0"/>
              <w:right w:val="single" w:color="auto" w:sz="4" w:space="0"/>
            </w:tcBorders>
            <w:vAlign w:val="center"/>
          </w:tcPr>
          <w:p w14:paraId="061DE63F">
            <w:pPr>
              <w:pageBreakBefore w:val="0"/>
              <w:kinsoku/>
              <w:wordWrap/>
              <w:overflowPunct/>
              <w:topLinePunct w:val="0"/>
              <w:bidi w:val="0"/>
              <w:ind w:left="420" w:leftChars="200" w:right="420" w:rightChars="200"/>
              <w:jc w:val="center"/>
              <w:rPr>
                <w:rFonts w:ascii="仿宋" w:hAnsi="仿宋" w:eastAsia="仿宋" w:cs="仿宋"/>
                <w:kern w:val="0"/>
                <w:sz w:val="24"/>
              </w:rPr>
            </w:pPr>
            <w:r>
              <w:rPr>
                <w:rFonts w:hint="eastAsia" w:ascii="仿宋" w:hAnsi="仿宋" w:eastAsia="仿宋" w:cs="仿宋"/>
                <w:kern w:val="0"/>
                <w:sz w:val="24"/>
              </w:rPr>
              <w:t>供应商响应</w:t>
            </w:r>
          </w:p>
        </w:tc>
      </w:tr>
      <w:tr w14:paraId="4519C21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0" w:hRule="atLeast"/>
        </w:trPr>
        <w:tc>
          <w:tcPr>
            <w:tcW w:w="840" w:type="dxa"/>
            <w:tcBorders>
              <w:top w:val="single" w:color="auto" w:sz="4" w:space="0"/>
              <w:left w:val="single" w:color="auto" w:sz="4" w:space="0"/>
              <w:bottom w:val="single" w:color="auto" w:sz="4" w:space="0"/>
              <w:right w:val="single" w:color="auto" w:sz="4" w:space="0"/>
            </w:tcBorders>
            <w:vAlign w:val="center"/>
          </w:tcPr>
          <w:p w14:paraId="39676288">
            <w:pPr>
              <w:pageBreakBefore w:val="0"/>
              <w:kinsoku/>
              <w:wordWrap/>
              <w:overflowPunct/>
              <w:topLinePunct w:val="0"/>
              <w:bidi w:val="0"/>
              <w:ind w:left="420" w:leftChars="200" w:right="420" w:rightChars="200"/>
              <w:jc w:val="center"/>
              <w:rPr>
                <w:rFonts w:ascii="仿宋" w:hAnsi="仿宋" w:eastAsia="仿宋" w:cs="仿宋"/>
                <w:kern w:val="0"/>
                <w:sz w:val="24"/>
              </w:rPr>
            </w:pPr>
            <w:r>
              <w:rPr>
                <w:rFonts w:hint="eastAsia" w:ascii="仿宋" w:hAnsi="仿宋" w:eastAsia="仿宋" w:cs="仿宋"/>
                <w:kern w:val="0"/>
                <w:sz w:val="24"/>
              </w:rPr>
              <w:t>1</w:t>
            </w:r>
          </w:p>
        </w:tc>
        <w:tc>
          <w:tcPr>
            <w:tcW w:w="3585" w:type="dxa"/>
            <w:tcBorders>
              <w:top w:val="single" w:color="auto" w:sz="4" w:space="0"/>
              <w:left w:val="single" w:color="auto" w:sz="4" w:space="0"/>
              <w:bottom w:val="single" w:color="auto" w:sz="4" w:space="0"/>
              <w:right w:val="single" w:color="auto" w:sz="4" w:space="0"/>
            </w:tcBorders>
            <w:vAlign w:val="center"/>
          </w:tcPr>
          <w:p w14:paraId="1970FA97">
            <w:pPr>
              <w:pageBreakBefore w:val="0"/>
              <w:kinsoku/>
              <w:wordWrap/>
              <w:overflowPunct/>
              <w:topLinePunct w:val="0"/>
              <w:bidi w:val="0"/>
              <w:ind w:left="420" w:leftChars="200" w:right="420" w:rightChars="200"/>
              <w:rPr>
                <w:rFonts w:ascii="仿宋" w:hAnsi="仿宋" w:eastAsia="仿宋" w:cs="仿宋"/>
                <w:kern w:val="0"/>
                <w:sz w:val="24"/>
              </w:rPr>
            </w:pPr>
            <w:r>
              <w:rPr>
                <w:rFonts w:hint="eastAsia" w:ascii="宋体" w:hAnsi="宋体" w:cs="宋体"/>
                <w:bCs/>
                <w:szCs w:val="21"/>
              </w:rPr>
              <w:t>项目负责人</w:t>
            </w:r>
          </w:p>
        </w:tc>
        <w:tc>
          <w:tcPr>
            <w:tcW w:w="3126" w:type="dxa"/>
            <w:tcBorders>
              <w:top w:val="single" w:color="auto" w:sz="4" w:space="0"/>
              <w:left w:val="single" w:color="auto" w:sz="4" w:space="0"/>
              <w:bottom w:val="single" w:color="auto" w:sz="4" w:space="0"/>
              <w:right w:val="single" w:color="auto" w:sz="4" w:space="0"/>
            </w:tcBorders>
            <w:vAlign w:val="center"/>
          </w:tcPr>
          <w:p w14:paraId="737BE6DF">
            <w:pPr>
              <w:pageBreakBefore w:val="0"/>
              <w:kinsoku/>
              <w:wordWrap/>
              <w:overflowPunct/>
              <w:topLinePunct w:val="0"/>
              <w:bidi w:val="0"/>
              <w:ind w:left="420" w:leftChars="200" w:right="420" w:rightChars="200"/>
              <w:rPr>
                <w:rFonts w:ascii="仿宋" w:hAnsi="仿宋" w:eastAsia="仿宋" w:cs="仿宋"/>
                <w:kern w:val="0"/>
                <w:sz w:val="24"/>
              </w:rPr>
            </w:pPr>
            <w:r>
              <w:rPr>
                <w:rFonts w:hint="eastAsia" w:ascii="宋体" w:hAnsi="宋体" w:cs="宋体"/>
                <w:bCs/>
                <w:szCs w:val="21"/>
              </w:rPr>
              <w:t>姓名</w:t>
            </w:r>
            <w:r>
              <w:rPr>
                <w:rFonts w:hint="eastAsia" w:ascii="宋体" w:hAnsi="宋体" w:cs="宋体"/>
                <w:bCs/>
                <w:szCs w:val="21"/>
                <w:u w:val="single"/>
              </w:rPr>
              <w:t xml:space="preserve">       </w:t>
            </w:r>
          </w:p>
        </w:tc>
        <w:tc>
          <w:tcPr>
            <w:tcW w:w="1633" w:type="dxa"/>
            <w:tcBorders>
              <w:top w:val="single" w:color="auto" w:sz="4" w:space="0"/>
              <w:left w:val="single" w:color="auto" w:sz="4" w:space="0"/>
              <w:bottom w:val="single" w:color="auto" w:sz="4" w:space="0"/>
              <w:right w:val="single" w:color="auto" w:sz="4" w:space="0"/>
            </w:tcBorders>
            <w:vAlign w:val="center"/>
          </w:tcPr>
          <w:p w14:paraId="514B673F">
            <w:pPr>
              <w:pageBreakBefore w:val="0"/>
              <w:kinsoku/>
              <w:wordWrap/>
              <w:overflowPunct/>
              <w:topLinePunct w:val="0"/>
              <w:bidi w:val="0"/>
              <w:ind w:left="420" w:leftChars="200" w:right="420" w:rightChars="200"/>
              <w:jc w:val="center"/>
              <w:rPr>
                <w:rFonts w:ascii="仿宋" w:hAnsi="仿宋" w:eastAsia="仿宋" w:cs="仿宋"/>
                <w:kern w:val="0"/>
                <w:sz w:val="24"/>
              </w:rPr>
            </w:pPr>
          </w:p>
        </w:tc>
      </w:tr>
      <w:tr w14:paraId="05C4C23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6" w:hRule="atLeast"/>
        </w:trPr>
        <w:tc>
          <w:tcPr>
            <w:tcW w:w="840" w:type="dxa"/>
            <w:tcBorders>
              <w:top w:val="single" w:color="auto" w:sz="4" w:space="0"/>
              <w:left w:val="single" w:color="auto" w:sz="4" w:space="0"/>
              <w:bottom w:val="single" w:color="auto" w:sz="4" w:space="0"/>
              <w:right w:val="single" w:color="auto" w:sz="4" w:space="0"/>
            </w:tcBorders>
            <w:vAlign w:val="center"/>
          </w:tcPr>
          <w:p w14:paraId="5299229B">
            <w:pPr>
              <w:pageBreakBefore w:val="0"/>
              <w:kinsoku/>
              <w:wordWrap/>
              <w:overflowPunct/>
              <w:topLinePunct w:val="0"/>
              <w:bidi w:val="0"/>
              <w:ind w:left="420" w:leftChars="200" w:right="420" w:rightChars="200"/>
              <w:jc w:val="center"/>
              <w:rPr>
                <w:rFonts w:ascii="仿宋" w:hAnsi="仿宋" w:eastAsia="仿宋" w:cs="仿宋"/>
                <w:kern w:val="0"/>
                <w:sz w:val="24"/>
              </w:rPr>
            </w:pPr>
            <w:r>
              <w:rPr>
                <w:rFonts w:hint="eastAsia" w:ascii="仿宋" w:hAnsi="仿宋" w:eastAsia="仿宋" w:cs="仿宋"/>
                <w:kern w:val="0"/>
                <w:sz w:val="24"/>
              </w:rPr>
              <w:t>2</w:t>
            </w:r>
          </w:p>
        </w:tc>
        <w:tc>
          <w:tcPr>
            <w:tcW w:w="3585" w:type="dxa"/>
            <w:tcBorders>
              <w:top w:val="single" w:color="auto" w:sz="4" w:space="0"/>
              <w:left w:val="single" w:color="auto" w:sz="4" w:space="0"/>
              <w:bottom w:val="single" w:color="auto" w:sz="4" w:space="0"/>
              <w:right w:val="single" w:color="auto" w:sz="4" w:space="0"/>
            </w:tcBorders>
            <w:vAlign w:val="center"/>
          </w:tcPr>
          <w:p w14:paraId="0A42F88D">
            <w:pPr>
              <w:pageBreakBefore w:val="0"/>
              <w:kinsoku/>
              <w:wordWrap/>
              <w:overflowPunct/>
              <w:topLinePunct w:val="0"/>
              <w:bidi w:val="0"/>
              <w:ind w:left="420" w:leftChars="200" w:right="420" w:rightChars="200"/>
              <w:rPr>
                <w:rFonts w:ascii="仿宋" w:hAnsi="仿宋" w:eastAsia="仿宋" w:cs="仿宋"/>
                <w:kern w:val="0"/>
                <w:sz w:val="24"/>
              </w:rPr>
            </w:pPr>
            <w:r>
              <w:rPr>
                <w:rFonts w:hint="eastAsia" w:ascii="宋体" w:hAnsi="宋体" w:cs="宋体"/>
                <w:bCs/>
                <w:szCs w:val="21"/>
              </w:rPr>
              <w:t>工期</w:t>
            </w:r>
          </w:p>
        </w:tc>
        <w:tc>
          <w:tcPr>
            <w:tcW w:w="3126" w:type="dxa"/>
            <w:tcBorders>
              <w:top w:val="single" w:color="auto" w:sz="4" w:space="0"/>
              <w:left w:val="single" w:color="auto" w:sz="4" w:space="0"/>
              <w:bottom w:val="single" w:color="auto" w:sz="4" w:space="0"/>
              <w:right w:val="single" w:color="auto" w:sz="4" w:space="0"/>
            </w:tcBorders>
            <w:vAlign w:val="center"/>
          </w:tcPr>
          <w:p w14:paraId="69072FE2">
            <w:pPr>
              <w:pageBreakBefore w:val="0"/>
              <w:kinsoku/>
              <w:wordWrap/>
              <w:overflowPunct/>
              <w:topLinePunct w:val="0"/>
              <w:bidi w:val="0"/>
              <w:ind w:left="420" w:leftChars="200" w:right="420" w:rightChars="200"/>
              <w:rPr>
                <w:rFonts w:ascii="仿宋" w:hAnsi="仿宋" w:eastAsia="仿宋" w:cs="仿宋"/>
                <w:kern w:val="0"/>
                <w:sz w:val="24"/>
              </w:rPr>
            </w:pPr>
            <w:r>
              <w:rPr>
                <w:rFonts w:hint="eastAsia" w:ascii="宋体" w:hAnsi="宋体" w:cs="宋体"/>
                <w:bCs/>
                <w:szCs w:val="21"/>
                <w:u w:val="single"/>
              </w:rPr>
              <w:t xml:space="preserve"> </w:t>
            </w:r>
            <w:r>
              <w:rPr>
                <w:rFonts w:hint="eastAsia" w:ascii="宋体" w:hAnsi="宋体" w:cs="宋体"/>
                <w:bCs/>
                <w:szCs w:val="21"/>
                <w:u w:val="single"/>
                <w:lang w:val="en-US" w:eastAsia="zh-CN"/>
              </w:rPr>
              <w:t>40</w:t>
            </w:r>
            <w:r>
              <w:rPr>
                <w:rFonts w:hint="eastAsia" w:ascii="宋体" w:hAnsi="宋体" w:cs="宋体"/>
                <w:bCs/>
                <w:szCs w:val="21"/>
                <w:u w:val="single"/>
              </w:rPr>
              <w:t xml:space="preserve"> 日历天</w:t>
            </w:r>
          </w:p>
        </w:tc>
        <w:tc>
          <w:tcPr>
            <w:tcW w:w="1633" w:type="dxa"/>
            <w:tcBorders>
              <w:top w:val="single" w:color="auto" w:sz="4" w:space="0"/>
              <w:left w:val="single" w:color="auto" w:sz="4" w:space="0"/>
              <w:bottom w:val="single" w:color="auto" w:sz="4" w:space="0"/>
              <w:right w:val="single" w:color="auto" w:sz="4" w:space="0"/>
            </w:tcBorders>
            <w:vAlign w:val="center"/>
          </w:tcPr>
          <w:p w14:paraId="215D546C">
            <w:pPr>
              <w:pageBreakBefore w:val="0"/>
              <w:kinsoku/>
              <w:wordWrap/>
              <w:overflowPunct/>
              <w:topLinePunct w:val="0"/>
              <w:bidi w:val="0"/>
              <w:ind w:left="420" w:leftChars="200" w:right="420" w:rightChars="200"/>
              <w:jc w:val="center"/>
              <w:rPr>
                <w:rFonts w:ascii="仿宋" w:hAnsi="仿宋" w:eastAsia="仿宋" w:cs="仿宋"/>
                <w:kern w:val="0"/>
                <w:sz w:val="24"/>
              </w:rPr>
            </w:pPr>
          </w:p>
        </w:tc>
      </w:tr>
      <w:tr w14:paraId="0B4B408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4" w:hRule="atLeast"/>
        </w:trPr>
        <w:tc>
          <w:tcPr>
            <w:tcW w:w="840" w:type="dxa"/>
            <w:tcBorders>
              <w:top w:val="single" w:color="auto" w:sz="4" w:space="0"/>
              <w:left w:val="single" w:color="auto" w:sz="4" w:space="0"/>
              <w:bottom w:val="single" w:color="auto" w:sz="4" w:space="0"/>
              <w:right w:val="single" w:color="auto" w:sz="4" w:space="0"/>
            </w:tcBorders>
            <w:vAlign w:val="center"/>
          </w:tcPr>
          <w:p w14:paraId="32EBE22A">
            <w:pPr>
              <w:pageBreakBefore w:val="0"/>
              <w:kinsoku/>
              <w:wordWrap/>
              <w:overflowPunct/>
              <w:topLinePunct w:val="0"/>
              <w:bidi w:val="0"/>
              <w:ind w:left="420" w:leftChars="200" w:right="420" w:rightChars="200"/>
              <w:jc w:val="center"/>
              <w:rPr>
                <w:rFonts w:ascii="仿宋" w:hAnsi="仿宋" w:eastAsia="仿宋" w:cs="仿宋"/>
                <w:kern w:val="0"/>
                <w:sz w:val="24"/>
              </w:rPr>
            </w:pPr>
            <w:r>
              <w:rPr>
                <w:rFonts w:hint="eastAsia" w:ascii="仿宋" w:hAnsi="仿宋" w:eastAsia="仿宋" w:cs="仿宋"/>
                <w:kern w:val="0"/>
                <w:sz w:val="24"/>
              </w:rPr>
              <w:t>3</w:t>
            </w:r>
          </w:p>
        </w:tc>
        <w:tc>
          <w:tcPr>
            <w:tcW w:w="3585" w:type="dxa"/>
            <w:tcBorders>
              <w:top w:val="single" w:color="auto" w:sz="4" w:space="0"/>
              <w:left w:val="single" w:color="auto" w:sz="4" w:space="0"/>
              <w:bottom w:val="single" w:color="auto" w:sz="4" w:space="0"/>
              <w:right w:val="single" w:color="auto" w:sz="4" w:space="0"/>
            </w:tcBorders>
            <w:vAlign w:val="center"/>
          </w:tcPr>
          <w:p w14:paraId="2204C1EB">
            <w:pPr>
              <w:pageBreakBefore w:val="0"/>
              <w:kinsoku/>
              <w:wordWrap/>
              <w:overflowPunct/>
              <w:topLinePunct w:val="0"/>
              <w:bidi w:val="0"/>
              <w:ind w:left="420" w:leftChars="200" w:right="420" w:rightChars="200"/>
              <w:rPr>
                <w:rFonts w:ascii="仿宋" w:hAnsi="仿宋" w:eastAsia="仿宋" w:cs="仿宋"/>
                <w:kern w:val="0"/>
                <w:sz w:val="24"/>
              </w:rPr>
            </w:pPr>
            <w:r>
              <w:rPr>
                <w:rFonts w:hint="eastAsia" w:ascii="宋体" w:hAnsi="宋体" w:cs="宋体"/>
                <w:szCs w:val="21"/>
              </w:rPr>
              <w:t>缺陷责任期</w:t>
            </w:r>
          </w:p>
        </w:tc>
        <w:tc>
          <w:tcPr>
            <w:tcW w:w="3126" w:type="dxa"/>
            <w:tcBorders>
              <w:top w:val="single" w:color="auto" w:sz="4" w:space="0"/>
              <w:left w:val="single" w:color="auto" w:sz="4" w:space="0"/>
              <w:bottom w:val="single" w:color="auto" w:sz="4" w:space="0"/>
              <w:right w:val="single" w:color="auto" w:sz="4" w:space="0"/>
            </w:tcBorders>
            <w:vAlign w:val="center"/>
          </w:tcPr>
          <w:p w14:paraId="1846F2EF">
            <w:pPr>
              <w:pageBreakBefore w:val="0"/>
              <w:kinsoku/>
              <w:wordWrap/>
              <w:overflowPunct/>
              <w:topLinePunct w:val="0"/>
              <w:bidi w:val="0"/>
              <w:ind w:left="420" w:leftChars="200" w:right="420" w:rightChars="200"/>
              <w:rPr>
                <w:rFonts w:ascii="仿宋" w:hAnsi="仿宋" w:eastAsia="仿宋" w:cs="仿宋"/>
                <w:kern w:val="0"/>
                <w:sz w:val="24"/>
              </w:rPr>
            </w:pPr>
            <w:r>
              <w:rPr>
                <w:rFonts w:hint="eastAsia" w:ascii="宋体" w:hAnsi="宋体" w:cs="宋体"/>
                <w:szCs w:val="21"/>
                <w:u w:val="single"/>
              </w:rPr>
              <w:t xml:space="preserve">      </w:t>
            </w:r>
            <w:r>
              <w:rPr>
                <w:rFonts w:hint="eastAsia" w:ascii="宋体" w:hAnsi="宋体" w:cs="宋体"/>
                <w:szCs w:val="21"/>
              </w:rPr>
              <w:t>年</w:t>
            </w:r>
          </w:p>
        </w:tc>
        <w:tc>
          <w:tcPr>
            <w:tcW w:w="1633" w:type="dxa"/>
            <w:tcBorders>
              <w:top w:val="single" w:color="auto" w:sz="4" w:space="0"/>
              <w:left w:val="single" w:color="auto" w:sz="4" w:space="0"/>
              <w:bottom w:val="single" w:color="auto" w:sz="4" w:space="0"/>
              <w:right w:val="single" w:color="auto" w:sz="4" w:space="0"/>
            </w:tcBorders>
            <w:vAlign w:val="center"/>
          </w:tcPr>
          <w:p w14:paraId="1BBD4F36">
            <w:pPr>
              <w:pageBreakBefore w:val="0"/>
              <w:kinsoku/>
              <w:wordWrap/>
              <w:overflowPunct/>
              <w:topLinePunct w:val="0"/>
              <w:bidi w:val="0"/>
              <w:ind w:left="420" w:leftChars="200" w:right="420" w:rightChars="200"/>
              <w:jc w:val="center"/>
              <w:rPr>
                <w:rFonts w:ascii="仿宋" w:hAnsi="仿宋" w:eastAsia="仿宋" w:cs="仿宋"/>
                <w:kern w:val="0"/>
                <w:sz w:val="24"/>
              </w:rPr>
            </w:pPr>
          </w:p>
        </w:tc>
      </w:tr>
      <w:tr w14:paraId="2820C7E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2" w:hRule="atLeast"/>
        </w:trPr>
        <w:tc>
          <w:tcPr>
            <w:tcW w:w="840" w:type="dxa"/>
            <w:tcBorders>
              <w:top w:val="single" w:color="auto" w:sz="4" w:space="0"/>
              <w:left w:val="single" w:color="auto" w:sz="4" w:space="0"/>
              <w:bottom w:val="single" w:color="auto" w:sz="4" w:space="0"/>
              <w:right w:val="single" w:color="auto" w:sz="4" w:space="0"/>
            </w:tcBorders>
            <w:vAlign w:val="center"/>
          </w:tcPr>
          <w:p w14:paraId="3D8E44F8">
            <w:pPr>
              <w:pageBreakBefore w:val="0"/>
              <w:kinsoku/>
              <w:wordWrap/>
              <w:overflowPunct/>
              <w:topLinePunct w:val="0"/>
              <w:bidi w:val="0"/>
              <w:ind w:left="420" w:leftChars="200" w:right="420" w:rightChars="200"/>
              <w:jc w:val="center"/>
              <w:rPr>
                <w:rFonts w:ascii="仿宋" w:hAnsi="仿宋" w:eastAsia="仿宋" w:cs="仿宋"/>
                <w:kern w:val="0"/>
                <w:sz w:val="24"/>
              </w:rPr>
            </w:pPr>
            <w:r>
              <w:rPr>
                <w:rFonts w:hint="eastAsia" w:ascii="仿宋" w:hAnsi="仿宋" w:eastAsia="仿宋" w:cs="仿宋"/>
                <w:kern w:val="0"/>
                <w:sz w:val="24"/>
              </w:rPr>
              <w:t>4</w:t>
            </w:r>
          </w:p>
        </w:tc>
        <w:tc>
          <w:tcPr>
            <w:tcW w:w="3585" w:type="dxa"/>
            <w:tcBorders>
              <w:top w:val="single" w:color="auto" w:sz="4" w:space="0"/>
              <w:left w:val="single" w:color="auto" w:sz="4" w:space="0"/>
              <w:bottom w:val="single" w:color="auto" w:sz="4" w:space="0"/>
              <w:right w:val="single" w:color="auto" w:sz="4" w:space="0"/>
            </w:tcBorders>
            <w:vAlign w:val="center"/>
          </w:tcPr>
          <w:p w14:paraId="389868DD">
            <w:pPr>
              <w:pageBreakBefore w:val="0"/>
              <w:kinsoku/>
              <w:wordWrap/>
              <w:overflowPunct/>
              <w:topLinePunct w:val="0"/>
              <w:bidi w:val="0"/>
              <w:ind w:left="420" w:leftChars="200" w:right="420" w:rightChars="200"/>
              <w:rPr>
                <w:rFonts w:ascii="仿宋" w:hAnsi="仿宋" w:eastAsia="仿宋" w:cs="仿宋"/>
                <w:kern w:val="0"/>
                <w:sz w:val="24"/>
              </w:rPr>
            </w:pPr>
            <w:r>
              <w:rPr>
                <w:rFonts w:hint="eastAsia" w:ascii="宋体" w:hAnsi="宋体" w:cs="宋体"/>
                <w:szCs w:val="21"/>
              </w:rPr>
              <w:t>分包</w:t>
            </w:r>
          </w:p>
        </w:tc>
        <w:tc>
          <w:tcPr>
            <w:tcW w:w="3126" w:type="dxa"/>
            <w:tcBorders>
              <w:top w:val="single" w:color="auto" w:sz="4" w:space="0"/>
              <w:left w:val="single" w:color="auto" w:sz="4" w:space="0"/>
              <w:bottom w:val="single" w:color="auto" w:sz="4" w:space="0"/>
              <w:right w:val="single" w:color="auto" w:sz="4" w:space="0"/>
            </w:tcBorders>
            <w:vAlign w:val="center"/>
          </w:tcPr>
          <w:p w14:paraId="24A8572F">
            <w:pPr>
              <w:pageBreakBefore w:val="0"/>
              <w:kinsoku/>
              <w:wordWrap/>
              <w:overflowPunct/>
              <w:topLinePunct w:val="0"/>
              <w:bidi w:val="0"/>
              <w:ind w:left="420" w:leftChars="200" w:right="420" w:rightChars="200"/>
              <w:rPr>
                <w:rFonts w:ascii="仿宋" w:hAnsi="仿宋" w:eastAsia="仿宋" w:cs="仿宋"/>
                <w:kern w:val="0"/>
                <w:sz w:val="24"/>
              </w:rPr>
            </w:pPr>
            <w:r>
              <w:rPr>
                <w:rFonts w:hint="eastAsia" w:ascii="宋体" w:hAnsi="宋体" w:cs="宋体"/>
                <w:szCs w:val="21"/>
              </w:rPr>
              <w:t>不允许</w:t>
            </w:r>
          </w:p>
        </w:tc>
        <w:tc>
          <w:tcPr>
            <w:tcW w:w="1633" w:type="dxa"/>
            <w:tcBorders>
              <w:top w:val="single" w:color="auto" w:sz="4" w:space="0"/>
              <w:left w:val="single" w:color="auto" w:sz="4" w:space="0"/>
              <w:bottom w:val="single" w:color="auto" w:sz="4" w:space="0"/>
              <w:right w:val="single" w:color="auto" w:sz="4" w:space="0"/>
            </w:tcBorders>
            <w:vAlign w:val="center"/>
          </w:tcPr>
          <w:p w14:paraId="09BB7776">
            <w:pPr>
              <w:pageBreakBefore w:val="0"/>
              <w:kinsoku/>
              <w:wordWrap/>
              <w:overflowPunct/>
              <w:topLinePunct w:val="0"/>
              <w:bidi w:val="0"/>
              <w:ind w:left="420" w:leftChars="200" w:right="420" w:rightChars="200"/>
              <w:jc w:val="center"/>
              <w:rPr>
                <w:rFonts w:ascii="仿宋" w:hAnsi="仿宋" w:eastAsia="仿宋" w:cs="仿宋"/>
                <w:kern w:val="0"/>
                <w:sz w:val="24"/>
              </w:rPr>
            </w:pPr>
          </w:p>
        </w:tc>
      </w:tr>
      <w:tr w14:paraId="35A282A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840" w:type="dxa"/>
            <w:tcBorders>
              <w:top w:val="single" w:color="auto" w:sz="4" w:space="0"/>
              <w:left w:val="single" w:color="auto" w:sz="4" w:space="0"/>
              <w:bottom w:val="single" w:color="auto" w:sz="4" w:space="0"/>
              <w:right w:val="single" w:color="auto" w:sz="4" w:space="0"/>
            </w:tcBorders>
            <w:vAlign w:val="center"/>
          </w:tcPr>
          <w:p w14:paraId="0161D88F">
            <w:pPr>
              <w:pageBreakBefore w:val="0"/>
              <w:kinsoku/>
              <w:wordWrap/>
              <w:overflowPunct/>
              <w:topLinePunct w:val="0"/>
              <w:bidi w:val="0"/>
              <w:ind w:left="420" w:leftChars="200" w:right="420" w:rightChars="200"/>
              <w:jc w:val="center"/>
              <w:rPr>
                <w:rFonts w:ascii="仿宋" w:hAnsi="仿宋" w:eastAsia="仿宋" w:cs="仿宋"/>
                <w:kern w:val="0"/>
                <w:sz w:val="24"/>
              </w:rPr>
            </w:pPr>
            <w:r>
              <w:rPr>
                <w:rFonts w:hint="eastAsia" w:ascii="仿宋" w:hAnsi="仿宋" w:eastAsia="仿宋" w:cs="仿宋"/>
                <w:kern w:val="0"/>
                <w:sz w:val="24"/>
              </w:rPr>
              <w:t>5</w:t>
            </w:r>
          </w:p>
        </w:tc>
        <w:tc>
          <w:tcPr>
            <w:tcW w:w="3585" w:type="dxa"/>
            <w:tcBorders>
              <w:top w:val="single" w:color="auto" w:sz="4" w:space="0"/>
              <w:left w:val="single" w:color="auto" w:sz="4" w:space="0"/>
              <w:bottom w:val="single" w:color="auto" w:sz="4" w:space="0"/>
              <w:right w:val="single" w:color="auto" w:sz="4" w:space="0"/>
            </w:tcBorders>
            <w:vAlign w:val="center"/>
          </w:tcPr>
          <w:p w14:paraId="4942EF84">
            <w:pPr>
              <w:pageBreakBefore w:val="0"/>
              <w:kinsoku/>
              <w:wordWrap/>
              <w:overflowPunct/>
              <w:topLinePunct w:val="0"/>
              <w:bidi w:val="0"/>
              <w:ind w:left="420" w:leftChars="200" w:right="420" w:rightChars="200"/>
              <w:rPr>
                <w:rFonts w:ascii="仿宋" w:hAnsi="仿宋" w:eastAsia="仿宋" w:cs="仿宋"/>
                <w:kern w:val="0"/>
                <w:sz w:val="24"/>
              </w:rPr>
            </w:pPr>
            <w:r>
              <w:rPr>
                <w:rFonts w:hint="eastAsia" w:ascii="宋体" w:hAnsi="宋体" w:cs="宋体"/>
                <w:szCs w:val="21"/>
              </w:rPr>
              <w:t>逾期完工违约金</w:t>
            </w:r>
          </w:p>
        </w:tc>
        <w:tc>
          <w:tcPr>
            <w:tcW w:w="3126" w:type="dxa"/>
            <w:tcBorders>
              <w:top w:val="single" w:color="auto" w:sz="4" w:space="0"/>
              <w:left w:val="single" w:color="auto" w:sz="4" w:space="0"/>
              <w:bottom w:val="single" w:color="auto" w:sz="4" w:space="0"/>
              <w:right w:val="single" w:color="auto" w:sz="4" w:space="0"/>
            </w:tcBorders>
            <w:vAlign w:val="center"/>
          </w:tcPr>
          <w:p w14:paraId="7FC4ABDE">
            <w:pPr>
              <w:pageBreakBefore w:val="0"/>
              <w:kinsoku/>
              <w:wordWrap/>
              <w:overflowPunct/>
              <w:topLinePunct w:val="0"/>
              <w:bidi w:val="0"/>
              <w:ind w:left="420" w:leftChars="200" w:right="420" w:rightChars="200"/>
              <w:rPr>
                <w:rFonts w:ascii="仿宋" w:hAnsi="仿宋" w:eastAsia="仿宋" w:cs="仿宋"/>
                <w:kern w:val="0"/>
                <w:sz w:val="24"/>
              </w:rPr>
            </w:pPr>
            <w:r>
              <w:rPr>
                <w:rFonts w:hint="eastAsia" w:ascii="宋体" w:hAnsi="宋体" w:cs="宋体"/>
                <w:szCs w:val="21"/>
                <w:u w:val="single"/>
              </w:rPr>
              <w:t xml:space="preserve"> </w:t>
            </w:r>
            <w:r>
              <w:rPr>
                <w:rFonts w:hint="eastAsia" w:ascii="宋体" w:hAnsi="宋体" w:cs="宋体"/>
                <w:szCs w:val="21"/>
                <w:u w:val="single"/>
                <w:lang w:val="en-US" w:eastAsia="zh-CN"/>
              </w:rPr>
              <w:t xml:space="preserve">   </w:t>
            </w:r>
            <w:r>
              <w:rPr>
                <w:rFonts w:hint="eastAsia" w:ascii="宋体" w:hAnsi="宋体" w:cs="宋体"/>
                <w:szCs w:val="21"/>
                <w:u w:val="single"/>
              </w:rPr>
              <w:t xml:space="preserve"> </w:t>
            </w:r>
            <w:r>
              <w:rPr>
                <w:rFonts w:hint="eastAsia" w:ascii="宋体" w:hAnsi="宋体" w:cs="宋体"/>
                <w:szCs w:val="21"/>
              </w:rPr>
              <w:t>元/天</w:t>
            </w:r>
          </w:p>
        </w:tc>
        <w:tc>
          <w:tcPr>
            <w:tcW w:w="1633" w:type="dxa"/>
            <w:tcBorders>
              <w:top w:val="single" w:color="auto" w:sz="4" w:space="0"/>
              <w:left w:val="single" w:color="auto" w:sz="4" w:space="0"/>
              <w:bottom w:val="single" w:color="auto" w:sz="4" w:space="0"/>
              <w:right w:val="single" w:color="auto" w:sz="4" w:space="0"/>
            </w:tcBorders>
            <w:vAlign w:val="center"/>
          </w:tcPr>
          <w:p w14:paraId="44207CE3">
            <w:pPr>
              <w:pageBreakBefore w:val="0"/>
              <w:kinsoku/>
              <w:wordWrap/>
              <w:overflowPunct/>
              <w:topLinePunct w:val="0"/>
              <w:bidi w:val="0"/>
              <w:ind w:left="420" w:leftChars="200" w:right="420" w:rightChars="200"/>
              <w:jc w:val="center"/>
              <w:rPr>
                <w:rFonts w:ascii="仿宋" w:hAnsi="仿宋" w:eastAsia="仿宋" w:cs="仿宋"/>
                <w:kern w:val="0"/>
                <w:sz w:val="24"/>
              </w:rPr>
            </w:pPr>
          </w:p>
        </w:tc>
      </w:tr>
      <w:tr w14:paraId="7517E78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3" w:hRule="atLeast"/>
        </w:trPr>
        <w:tc>
          <w:tcPr>
            <w:tcW w:w="840" w:type="dxa"/>
            <w:tcBorders>
              <w:top w:val="single" w:color="auto" w:sz="4" w:space="0"/>
              <w:left w:val="single" w:color="auto" w:sz="4" w:space="0"/>
              <w:bottom w:val="single" w:color="auto" w:sz="4" w:space="0"/>
              <w:right w:val="single" w:color="auto" w:sz="4" w:space="0"/>
            </w:tcBorders>
            <w:vAlign w:val="center"/>
          </w:tcPr>
          <w:p w14:paraId="59B606BD">
            <w:pPr>
              <w:pageBreakBefore w:val="0"/>
              <w:kinsoku/>
              <w:wordWrap/>
              <w:overflowPunct/>
              <w:topLinePunct w:val="0"/>
              <w:bidi w:val="0"/>
              <w:ind w:left="420" w:leftChars="200" w:right="420" w:rightChars="200"/>
              <w:jc w:val="center"/>
              <w:rPr>
                <w:rFonts w:ascii="仿宋" w:hAnsi="仿宋" w:eastAsia="仿宋" w:cs="仿宋"/>
                <w:kern w:val="0"/>
                <w:sz w:val="24"/>
              </w:rPr>
            </w:pPr>
            <w:r>
              <w:rPr>
                <w:rFonts w:hint="eastAsia" w:ascii="仿宋" w:hAnsi="仿宋" w:eastAsia="仿宋" w:cs="仿宋"/>
                <w:kern w:val="0"/>
                <w:sz w:val="24"/>
              </w:rPr>
              <w:t>6</w:t>
            </w:r>
          </w:p>
        </w:tc>
        <w:tc>
          <w:tcPr>
            <w:tcW w:w="3585" w:type="dxa"/>
            <w:tcBorders>
              <w:top w:val="single" w:color="auto" w:sz="4" w:space="0"/>
              <w:left w:val="single" w:color="auto" w:sz="4" w:space="0"/>
              <w:bottom w:val="single" w:color="auto" w:sz="4" w:space="0"/>
              <w:right w:val="single" w:color="auto" w:sz="4" w:space="0"/>
            </w:tcBorders>
            <w:vAlign w:val="center"/>
          </w:tcPr>
          <w:p w14:paraId="58C900CE">
            <w:pPr>
              <w:pageBreakBefore w:val="0"/>
              <w:kinsoku/>
              <w:wordWrap/>
              <w:overflowPunct/>
              <w:topLinePunct w:val="0"/>
              <w:bidi w:val="0"/>
              <w:ind w:left="420" w:leftChars="200" w:right="420" w:rightChars="200"/>
              <w:rPr>
                <w:rFonts w:ascii="仿宋" w:hAnsi="仿宋" w:eastAsia="仿宋" w:cs="仿宋"/>
                <w:kern w:val="0"/>
                <w:sz w:val="24"/>
              </w:rPr>
            </w:pPr>
            <w:r>
              <w:rPr>
                <w:rFonts w:hint="eastAsia" w:ascii="宋体" w:hAnsi="宋体" w:cs="宋体"/>
                <w:szCs w:val="21"/>
              </w:rPr>
              <w:t>逾期完工违约金限额</w:t>
            </w:r>
          </w:p>
        </w:tc>
        <w:tc>
          <w:tcPr>
            <w:tcW w:w="3126" w:type="dxa"/>
            <w:tcBorders>
              <w:top w:val="single" w:color="auto" w:sz="4" w:space="0"/>
              <w:left w:val="single" w:color="auto" w:sz="4" w:space="0"/>
              <w:bottom w:val="single" w:color="auto" w:sz="4" w:space="0"/>
              <w:right w:val="single" w:color="auto" w:sz="4" w:space="0"/>
            </w:tcBorders>
            <w:vAlign w:val="center"/>
          </w:tcPr>
          <w:p w14:paraId="63EE70DF">
            <w:pPr>
              <w:pageBreakBefore w:val="0"/>
              <w:kinsoku/>
              <w:wordWrap/>
              <w:overflowPunct/>
              <w:topLinePunct w:val="0"/>
              <w:bidi w:val="0"/>
              <w:ind w:left="420" w:leftChars="200" w:right="420" w:rightChars="200"/>
              <w:rPr>
                <w:rFonts w:ascii="仿宋" w:hAnsi="仿宋" w:eastAsia="仿宋" w:cs="仿宋"/>
                <w:kern w:val="0"/>
                <w:sz w:val="24"/>
              </w:rPr>
            </w:pPr>
            <w:r>
              <w:rPr>
                <w:rFonts w:hint="eastAsia" w:ascii="宋体" w:hAnsi="宋体" w:cs="宋体"/>
                <w:szCs w:val="21"/>
                <w:u w:val="single"/>
              </w:rPr>
              <w:t xml:space="preserve">  </w:t>
            </w:r>
            <w:r>
              <w:rPr>
                <w:rFonts w:hint="eastAsia" w:ascii="宋体" w:hAnsi="宋体" w:cs="宋体"/>
                <w:szCs w:val="21"/>
                <w:u w:val="single"/>
                <w:lang w:val="en-US" w:eastAsia="zh-CN"/>
              </w:rPr>
              <w:t xml:space="preserve">  </w:t>
            </w:r>
            <w:r>
              <w:rPr>
                <w:rFonts w:ascii="宋体" w:hAnsi="宋体" w:cs="宋体"/>
                <w:szCs w:val="21"/>
                <w:u w:val="single"/>
              </w:rPr>
              <w:t xml:space="preserve"> </w:t>
            </w:r>
            <w:r>
              <w:rPr>
                <w:rFonts w:hint="eastAsia" w:ascii="宋体" w:hAnsi="宋体" w:cs="宋体"/>
                <w:szCs w:val="21"/>
                <w:u w:val="single"/>
              </w:rPr>
              <w:t xml:space="preserve"> </w:t>
            </w:r>
            <w:r>
              <w:rPr>
                <w:rFonts w:hint="eastAsia" w:ascii="宋体" w:hAnsi="宋体" w:cs="宋体"/>
                <w:szCs w:val="21"/>
              </w:rPr>
              <w:t>%签约合同价（扣除预留金后）</w:t>
            </w:r>
          </w:p>
        </w:tc>
        <w:tc>
          <w:tcPr>
            <w:tcW w:w="1633" w:type="dxa"/>
            <w:tcBorders>
              <w:top w:val="single" w:color="auto" w:sz="4" w:space="0"/>
              <w:left w:val="single" w:color="auto" w:sz="4" w:space="0"/>
              <w:bottom w:val="single" w:color="auto" w:sz="4" w:space="0"/>
              <w:right w:val="single" w:color="auto" w:sz="4" w:space="0"/>
            </w:tcBorders>
            <w:vAlign w:val="center"/>
          </w:tcPr>
          <w:p w14:paraId="542CFFEC">
            <w:pPr>
              <w:pageBreakBefore w:val="0"/>
              <w:kinsoku/>
              <w:wordWrap/>
              <w:overflowPunct/>
              <w:topLinePunct w:val="0"/>
              <w:bidi w:val="0"/>
              <w:ind w:left="420" w:leftChars="200" w:right="420" w:rightChars="200"/>
              <w:jc w:val="center"/>
              <w:rPr>
                <w:rFonts w:ascii="仿宋" w:hAnsi="仿宋" w:eastAsia="仿宋" w:cs="仿宋"/>
                <w:kern w:val="0"/>
                <w:sz w:val="24"/>
              </w:rPr>
            </w:pPr>
          </w:p>
        </w:tc>
      </w:tr>
      <w:tr w14:paraId="3A057A0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4" w:hRule="atLeast"/>
        </w:trPr>
        <w:tc>
          <w:tcPr>
            <w:tcW w:w="840" w:type="dxa"/>
            <w:tcBorders>
              <w:top w:val="single" w:color="auto" w:sz="4" w:space="0"/>
              <w:left w:val="single" w:color="auto" w:sz="4" w:space="0"/>
              <w:bottom w:val="single" w:color="auto" w:sz="4" w:space="0"/>
              <w:right w:val="single" w:color="auto" w:sz="4" w:space="0"/>
            </w:tcBorders>
            <w:vAlign w:val="center"/>
          </w:tcPr>
          <w:p w14:paraId="0CA33427">
            <w:pPr>
              <w:pageBreakBefore w:val="0"/>
              <w:kinsoku/>
              <w:wordWrap/>
              <w:overflowPunct/>
              <w:topLinePunct w:val="0"/>
              <w:bidi w:val="0"/>
              <w:ind w:left="420" w:leftChars="200" w:right="420" w:rightChars="200"/>
              <w:jc w:val="center"/>
              <w:rPr>
                <w:rFonts w:ascii="仿宋" w:hAnsi="仿宋" w:eastAsia="仿宋" w:cs="仿宋"/>
                <w:kern w:val="0"/>
                <w:sz w:val="24"/>
              </w:rPr>
            </w:pPr>
            <w:r>
              <w:rPr>
                <w:rFonts w:hint="eastAsia" w:ascii="仿宋" w:hAnsi="仿宋" w:eastAsia="仿宋" w:cs="仿宋"/>
                <w:kern w:val="0"/>
                <w:sz w:val="24"/>
              </w:rPr>
              <w:t>7</w:t>
            </w:r>
          </w:p>
        </w:tc>
        <w:tc>
          <w:tcPr>
            <w:tcW w:w="3585" w:type="dxa"/>
            <w:tcBorders>
              <w:top w:val="single" w:color="auto" w:sz="4" w:space="0"/>
              <w:left w:val="single" w:color="auto" w:sz="4" w:space="0"/>
              <w:bottom w:val="single" w:color="auto" w:sz="4" w:space="0"/>
              <w:right w:val="single" w:color="auto" w:sz="4" w:space="0"/>
            </w:tcBorders>
            <w:vAlign w:val="center"/>
          </w:tcPr>
          <w:p w14:paraId="27E81B6A">
            <w:pPr>
              <w:pageBreakBefore w:val="0"/>
              <w:kinsoku/>
              <w:wordWrap/>
              <w:overflowPunct/>
              <w:topLinePunct w:val="0"/>
              <w:bidi w:val="0"/>
              <w:ind w:left="420" w:leftChars="200" w:right="420" w:rightChars="200"/>
              <w:rPr>
                <w:rFonts w:ascii="仿宋" w:hAnsi="仿宋" w:eastAsia="仿宋" w:cs="仿宋"/>
                <w:kern w:val="0"/>
                <w:sz w:val="24"/>
              </w:rPr>
            </w:pPr>
            <w:r>
              <w:rPr>
                <w:rFonts w:hint="eastAsia" w:ascii="宋体" w:hAnsi="宋体"/>
                <w:szCs w:val="21"/>
              </w:rPr>
              <w:t>价格调整的差额计算</w:t>
            </w:r>
          </w:p>
        </w:tc>
        <w:tc>
          <w:tcPr>
            <w:tcW w:w="3126" w:type="dxa"/>
            <w:tcBorders>
              <w:top w:val="single" w:color="auto" w:sz="4" w:space="0"/>
              <w:left w:val="single" w:color="auto" w:sz="4" w:space="0"/>
              <w:bottom w:val="single" w:color="auto" w:sz="4" w:space="0"/>
              <w:right w:val="single" w:color="auto" w:sz="4" w:space="0"/>
            </w:tcBorders>
            <w:vAlign w:val="center"/>
          </w:tcPr>
          <w:p w14:paraId="06833C01">
            <w:pPr>
              <w:pageBreakBefore w:val="0"/>
              <w:kinsoku/>
              <w:wordWrap/>
              <w:overflowPunct/>
              <w:topLinePunct w:val="0"/>
              <w:bidi w:val="0"/>
              <w:ind w:left="420" w:leftChars="200" w:right="420" w:rightChars="200"/>
              <w:rPr>
                <w:rFonts w:ascii="仿宋" w:hAnsi="仿宋" w:eastAsia="仿宋" w:cs="仿宋"/>
                <w:kern w:val="0"/>
                <w:sz w:val="24"/>
              </w:rPr>
            </w:pPr>
            <w:r>
              <w:rPr>
                <w:rFonts w:hint="eastAsia" w:ascii="宋体" w:hAnsi="宋体"/>
                <w:szCs w:val="21"/>
              </w:rPr>
              <w:t>采用造价信息调整价格差额</w:t>
            </w:r>
          </w:p>
        </w:tc>
        <w:tc>
          <w:tcPr>
            <w:tcW w:w="1633" w:type="dxa"/>
            <w:tcBorders>
              <w:top w:val="single" w:color="auto" w:sz="4" w:space="0"/>
              <w:left w:val="single" w:color="auto" w:sz="4" w:space="0"/>
              <w:bottom w:val="single" w:color="auto" w:sz="4" w:space="0"/>
              <w:right w:val="single" w:color="auto" w:sz="4" w:space="0"/>
            </w:tcBorders>
            <w:vAlign w:val="center"/>
          </w:tcPr>
          <w:p w14:paraId="6ACA600A">
            <w:pPr>
              <w:pageBreakBefore w:val="0"/>
              <w:kinsoku/>
              <w:wordWrap/>
              <w:overflowPunct/>
              <w:topLinePunct w:val="0"/>
              <w:bidi w:val="0"/>
              <w:ind w:left="420" w:leftChars="200" w:right="420" w:rightChars="200"/>
              <w:jc w:val="center"/>
              <w:rPr>
                <w:rFonts w:ascii="仿宋" w:hAnsi="仿宋" w:eastAsia="仿宋" w:cs="仿宋"/>
                <w:kern w:val="0"/>
                <w:sz w:val="24"/>
              </w:rPr>
            </w:pPr>
          </w:p>
        </w:tc>
      </w:tr>
      <w:tr w14:paraId="4F5419A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4" w:hRule="atLeast"/>
        </w:trPr>
        <w:tc>
          <w:tcPr>
            <w:tcW w:w="840" w:type="dxa"/>
            <w:tcBorders>
              <w:top w:val="single" w:color="auto" w:sz="4" w:space="0"/>
              <w:left w:val="single" w:color="auto" w:sz="4" w:space="0"/>
              <w:bottom w:val="single" w:color="auto" w:sz="4" w:space="0"/>
              <w:right w:val="single" w:color="auto" w:sz="4" w:space="0"/>
            </w:tcBorders>
            <w:vAlign w:val="center"/>
          </w:tcPr>
          <w:p w14:paraId="3CD29C69">
            <w:pPr>
              <w:pageBreakBefore w:val="0"/>
              <w:kinsoku/>
              <w:wordWrap/>
              <w:overflowPunct/>
              <w:topLinePunct w:val="0"/>
              <w:bidi w:val="0"/>
              <w:ind w:left="420" w:leftChars="200" w:right="420" w:rightChars="200"/>
              <w:jc w:val="center"/>
              <w:rPr>
                <w:rFonts w:ascii="仿宋" w:hAnsi="仿宋" w:eastAsia="仿宋" w:cs="仿宋"/>
                <w:kern w:val="0"/>
                <w:sz w:val="24"/>
              </w:rPr>
            </w:pPr>
            <w:r>
              <w:rPr>
                <w:rFonts w:hint="eastAsia" w:ascii="仿宋" w:hAnsi="仿宋" w:eastAsia="仿宋" w:cs="仿宋"/>
                <w:kern w:val="0"/>
                <w:sz w:val="24"/>
              </w:rPr>
              <w:t>8</w:t>
            </w:r>
          </w:p>
        </w:tc>
        <w:tc>
          <w:tcPr>
            <w:tcW w:w="3585" w:type="dxa"/>
            <w:tcBorders>
              <w:top w:val="single" w:color="auto" w:sz="4" w:space="0"/>
              <w:left w:val="single" w:color="auto" w:sz="4" w:space="0"/>
              <w:bottom w:val="single" w:color="auto" w:sz="4" w:space="0"/>
              <w:right w:val="single" w:color="auto" w:sz="4" w:space="0"/>
            </w:tcBorders>
            <w:vAlign w:val="center"/>
          </w:tcPr>
          <w:p w14:paraId="7F38FA79">
            <w:pPr>
              <w:pageBreakBefore w:val="0"/>
              <w:kinsoku/>
              <w:wordWrap/>
              <w:overflowPunct/>
              <w:topLinePunct w:val="0"/>
              <w:bidi w:val="0"/>
              <w:ind w:left="420" w:leftChars="200" w:right="420" w:rightChars="200"/>
              <w:rPr>
                <w:rFonts w:ascii="仿宋" w:hAnsi="仿宋" w:eastAsia="仿宋" w:cs="仿宋"/>
                <w:kern w:val="0"/>
                <w:sz w:val="24"/>
              </w:rPr>
            </w:pPr>
            <w:r>
              <w:rPr>
                <w:rFonts w:hint="eastAsia" w:ascii="宋体" w:hAnsi="宋体" w:cs="宋体"/>
                <w:szCs w:val="21"/>
              </w:rPr>
              <w:t xml:space="preserve">是否同意招标文件其他内容 </w:t>
            </w:r>
          </w:p>
        </w:tc>
        <w:tc>
          <w:tcPr>
            <w:tcW w:w="3126" w:type="dxa"/>
            <w:tcBorders>
              <w:top w:val="single" w:color="auto" w:sz="4" w:space="0"/>
              <w:left w:val="single" w:color="auto" w:sz="4" w:space="0"/>
              <w:bottom w:val="single" w:color="auto" w:sz="4" w:space="0"/>
              <w:right w:val="single" w:color="auto" w:sz="4" w:space="0"/>
            </w:tcBorders>
            <w:vAlign w:val="center"/>
          </w:tcPr>
          <w:p w14:paraId="29D2628D">
            <w:pPr>
              <w:pageBreakBefore w:val="0"/>
              <w:kinsoku/>
              <w:wordWrap/>
              <w:overflowPunct/>
              <w:topLinePunct w:val="0"/>
              <w:bidi w:val="0"/>
              <w:ind w:left="420" w:leftChars="200" w:right="420" w:rightChars="200"/>
              <w:rPr>
                <w:rFonts w:ascii="仿宋" w:hAnsi="仿宋" w:eastAsia="仿宋" w:cs="仿宋"/>
                <w:kern w:val="0"/>
                <w:sz w:val="24"/>
              </w:rPr>
            </w:pPr>
            <w:r>
              <w:rPr>
                <w:rFonts w:hint="eastAsia" w:ascii="宋体" w:hAnsi="宋体" w:cs="宋体"/>
                <w:szCs w:val="21"/>
              </w:rPr>
              <w:t>同意</w:t>
            </w:r>
          </w:p>
        </w:tc>
        <w:tc>
          <w:tcPr>
            <w:tcW w:w="1633" w:type="dxa"/>
            <w:tcBorders>
              <w:top w:val="single" w:color="auto" w:sz="4" w:space="0"/>
              <w:left w:val="single" w:color="auto" w:sz="4" w:space="0"/>
              <w:bottom w:val="single" w:color="auto" w:sz="4" w:space="0"/>
              <w:right w:val="single" w:color="auto" w:sz="4" w:space="0"/>
            </w:tcBorders>
            <w:vAlign w:val="center"/>
          </w:tcPr>
          <w:p w14:paraId="0E972826">
            <w:pPr>
              <w:pageBreakBefore w:val="0"/>
              <w:kinsoku/>
              <w:wordWrap/>
              <w:overflowPunct/>
              <w:topLinePunct w:val="0"/>
              <w:bidi w:val="0"/>
              <w:ind w:left="420" w:leftChars="200" w:right="420" w:rightChars="200"/>
              <w:jc w:val="center"/>
              <w:rPr>
                <w:rFonts w:ascii="仿宋" w:hAnsi="仿宋" w:eastAsia="仿宋" w:cs="仿宋"/>
                <w:kern w:val="0"/>
                <w:sz w:val="24"/>
              </w:rPr>
            </w:pPr>
          </w:p>
        </w:tc>
      </w:tr>
      <w:tr w14:paraId="31509FA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4" w:hRule="atLeast"/>
        </w:trPr>
        <w:tc>
          <w:tcPr>
            <w:tcW w:w="840" w:type="dxa"/>
            <w:tcBorders>
              <w:top w:val="single" w:color="auto" w:sz="4" w:space="0"/>
              <w:left w:val="single" w:color="auto" w:sz="4" w:space="0"/>
              <w:bottom w:val="single" w:color="auto" w:sz="4" w:space="0"/>
              <w:right w:val="single" w:color="auto" w:sz="4" w:space="0"/>
            </w:tcBorders>
            <w:vAlign w:val="center"/>
          </w:tcPr>
          <w:p w14:paraId="1B8A73E1">
            <w:pPr>
              <w:pageBreakBefore w:val="0"/>
              <w:kinsoku/>
              <w:wordWrap/>
              <w:overflowPunct/>
              <w:topLinePunct w:val="0"/>
              <w:bidi w:val="0"/>
              <w:ind w:left="420" w:leftChars="200" w:right="420" w:rightChars="200"/>
              <w:jc w:val="center"/>
              <w:rPr>
                <w:rFonts w:ascii="仿宋" w:hAnsi="仿宋" w:eastAsia="仿宋" w:cs="仿宋"/>
                <w:kern w:val="0"/>
                <w:sz w:val="24"/>
              </w:rPr>
            </w:pPr>
            <w:r>
              <w:rPr>
                <w:rFonts w:hint="eastAsia" w:ascii="仿宋" w:hAnsi="仿宋" w:eastAsia="仿宋" w:cs="仿宋"/>
                <w:kern w:val="0"/>
                <w:sz w:val="24"/>
              </w:rPr>
              <w:t>9</w:t>
            </w:r>
          </w:p>
        </w:tc>
        <w:tc>
          <w:tcPr>
            <w:tcW w:w="3585" w:type="dxa"/>
            <w:tcBorders>
              <w:top w:val="single" w:color="auto" w:sz="4" w:space="0"/>
              <w:left w:val="single" w:color="auto" w:sz="4" w:space="0"/>
              <w:bottom w:val="single" w:color="auto" w:sz="4" w:space="0"/>
              <w:right w:val="single" w:color="auto" w:sz="4" w:space="0"/>
            </w:tcBorders>
            <w:vAlign w:val="center"/>
          </w:tcPr>
          <w:p w14:paraId="47EFC00D">
            <w:pPr>
              <w:pageBreakBefore w:val="0"/>
              <w:kinsoku/>
              <w:wordWrap/>
              <w:overflowPunct/>
              <w:topLinePunct w:val="0"/>
              <w:bidi w:val="0"/>
              <w:ind w:left="420" w:leftChars="200" w:right="420" w:rightChars="200"/>
              <w:rPr>
                <w:rFonts w:ascii="仿宋" w:hAnsi="仿宋" w:eastAsia="仿宋" w:cs="仿宋"/>
                <w:kern w:val="0"/>
                <w:sz w:val="24"/>
              </w:rPr>
            </w:pPr>
            <w:r>
              <w:rPr>
                <w:rFonts w:hint="eastAsia" w:ascii="宋体" w:hAnsi="宋体" w:cs="宋体"/>
                <w:szCs w:val="21"/>
              </w:rPr>
              <w:t xml:space="preserve">是否同意和他协议条款 </w:t>
            </w:r>
          </w:p>
        </w:tc>
        <w:tc>
          <w:tcPr>
            <w:tcW w:w="3126" w:type="dxa"/>
            <w:tcBorders>
              <w:top w:val="single" w:color="auto" w:sz="4" w:space="0"/>
              <w:left w:val="single" w:color="auto" w:sz="4" w:space="0"/>
              <w:bottom w:val="single" w:color="auto" w:sz="4" w:space="0"/>
              <w:right w:val="single" w:color="auto" w:sz="4" w:space="0"/>
            </w:tcBorders>
            <w:vAlign w:val="center"/>
          </w:tcPr>
          <w:p w14:paraId="492F3AC7">
            <w:pPr>
              <w:pageBreakBefore w:val="0"/>
              <w:kinsoku/>
              <w:wordWrap/>
              <w:overflowPunct/>
              <w:topLinePunct w:val="0"/>
              <w:bidi w:val="0"/>
              <w:ind w:left="420" w:leftChars="200" w:right="420" w:rightChars="200"/>
              <w:rPr>
                <w:rFonts w:ascii="仿宋" w:hAnsi="仿宋" w:eastAsia="仿宋" w:cs="仿宋"/>
                <w:kern w:val="0"/>
                <w:sz w:val="24"/>
              </w:rPr>
            </w:pPr>
            <w:r>
              <w:rPr>
                <w:rFonts w:hint="eastAsia" w:ascii="宋体" w:hAnsi="宋体" w:cs="宋体"/>
                <w:szCs w:val="21"/>
              </w:rPr>
              <w:t>同意</w:t>
            </w:r>
          </w:p>
        </w:tc>
        <w:tc>
          <w:tcPr>
            <w:tcW w:w="1633" w:type="dxa"/>
            <w:tcBorders>
              <w:top w:val="single" w:color="auto" w:sz="4" w:space="0"/>
              <w:left w:val="single" w:color="auto" w:sz="4" w:space="0"/>
              <w:bottom w:val="single" w:color="auto" w:sz="4" w:space="0"/>
              <w:right w:val="single" w:color="auto" w:sz="4" w:space="0"/>
            </w:tcBorders>
            <w:vAlign w:val="center"/>
          </w:tcPr>
          <w:p w14:paraId="3C5C4834">
            <w:pPr>
              <w:pageBreakBefore w:val="0"/>
              <w:kinsoku/>
              <w:wordWrap/>
              <w:overflowPunct/>
              <w:topLinePunct w:val="0"/>
              <w:bidi w:val="0"/>
              <w:ind w:left="420" w:leftChars="200" w:right="420" w:rightChars="200"/>
              <w:jc w:val="center"/>
              <w:rPr>
                <w:rFonts w:ascii="仿宋" w:hAnsi="仿宋" w:eastAsia="仿宋" w:cs="仿宋"/>
                <w:kern w:val="0"/>
                <w:sz w:val="24"/>
              </w:rPr>
            </w:pPr>
          </w:p>
        </w:tc>
      </w:tr>
    </w:tbl>
    <w:p w14:paraId="604EC5E4">
      <w:pPr>
        <w:pageBreakBefore w:val="0"/>
        <w:kinsoku/>
        <w:wordWrap/>
        <w:overflowPunct/>
        <w:topLinePunct w:val="0"/>
        <w:bidi w:val="0"/>
        <w:ind w:left="420" w:leftChars="200" w:right="420" w:rightChars="200"/>
        <w:jc w:val="left"/>
        <w:rPr>
          <w:rFonts w:ascii="仿宋" w:hAnsi="仿宋" w:eastAsia="仿宋" w:cs="仿宋"/>
          <w:b/>
          <w:bCs/>
          <w:kern w:val="0"/>
          <w:sz w:val="24"/>
          <w:lang w:val="zh-CN"/>
        </w:rPr>
      </w:pPr>
      <w:r>
        <w:rPr>
          <w:rFonts w:hint="eastAsia" w:ascii="仿宋" w:hAnsi="仿宋" w:eastAsia="仿宋" w:cs="仿宋"/>
          <w:b/>
          <w:bCs/>
          <w:kern w:val="0"/>
          <w:sz w:val="24"/>
        </w:rPr>
        <w:t>注：“供应商响应”一栏中必须填写“同意”，否则其响应文件将被否决。</w:t>
      </w:r>
    </w:p>
    <w:p w14:paraId="7DADCC9A">
      <w:pPr>
        <w:pageBreakBefore w:val="0"/>
        <w:kinsoku/>
        <w:wordWrap/>
        <w:overflowPunct/>
        <w:topLinePunct w:val="0"/>
        <w:bidi w:val="0"/>
        <w:snapToGrid w:val="0"/>
        <w:spacing w:line="360" w:lineRule="auto"/>
        <w:ind w:left="420" w:leftChars="200" w:right="420" w:rightChars="200"/>
        <w:jc w:val="center"/>
        <w:outlineLvl w:val="0"/>
        <w:rPr>
          <w:rFonts w:ascii="仿宋" w:hAnsi="仿宋" w:eastAsia="仿宋" w:cs="仿宋"/>
          <w:b/>
          <w:kern w:val="0"/>
          <w:sz w:val="32"/>
          <w:szCs w:val="32"/>
          <w:lang w:val="zh-CN"/>
        </w:rPr>
      </w:pPr>
    </w:p>
    <w:p w14:paraId="3262A789">
      <w:pPr>
        <w:pageBreakBefore w:val="0"/>
        <w:kinsoku/>
        <w:wordWrap/>
        <w:overflowPunct/>
        <w:topLinePunct w:val="0"/>
        <w:bidi w:val="0"/>
        <w:snapToGrid w:val="0"/>
        <w:spacing w:line="360" w:lineRule="auto"/>
        <w:ind w:left="420" w:leftChars="200" w:right="420" w:rightChars="200" w:firstLine="4080" w:firstLineChars="1700"/>
        <w:rPr>
          <w:rFonts w:ascii="仿宋" w:hAnsi="仿宋" w:eastAsia="仿宋" w:cs="仿宋"/>
          <w:kern w:val="0"/>
          <w:sz w:val="24"/>
          <w:lang w:val="zh-CN"/>
        </w:rPr>
      </w:pPr>
      <w:r>
        <w:rPr>
          <w:rFonts w:hint="eastAsia" w:ascii="仿宋" w:hAnsi="仿宋" w:eastAsia="仿宋" w:cs="仿宋"/>
          <w:kern w:val="0"/>
          <w:sz w:val="24"/>
          <w:lang w:val="zh-CN"/>
        </w:rPr>
        <w:t>法定代表人或其授权委托人（签名或印章）：</w:t>
      </w:r>
    </w:p>
    <w:p w14:paraId="4F63746E">
      <w:pPr>
        <w:pageBreakBefore w:val="0"/>
        <w:kinsoku/>
        <w:wordWrap/>
        <w:overflowPunct/>
        <w:topLinePunct w:val="0"/>
        <w:bidi w:val="0"/>
        <w:snapToGrid w:val="0"/>
        <w:spacing w:line="360" w:lineRule="auto"/>
        <w:ind w:left="420" w:leftChars="200" w:right="420" w:rightChars="200" w:firstLine="4080" w:firstLineChars="1700"/>
        <w:rPr>
          <w:rFonts w:ascii="仿宋" w:hAnsi="仿宋" w:eastAsia="仿宋" w:cs="仿宋"/>
          <w:kern w:val="0"/>
          <w:sz w:val="24"/>
          <w:lang w:val="zh-CN"/>
        </w:rPr>
      </w:pPr>
      <w:r>
        <w:rPr>
          <w:rFonts w:hint="eastAsia" w:ascii="仿宋" w:hAnsi="仿宋" w:eastAsia="仿宋" w:cs="仿宋"/>
          <w:kern w:val="0"/>
          <w:sz w:val="24"/>
          <w:lang w:val="zh-CN"/>
        </w:rPr>
        <w:t>供应商（盖章）：</w:t>
      </w:r>
    </w:p>
    <w:p w14:paraId="32CD1F41">
      <w:pPr>
        <w:pageBreakBefore w:val="0"/>
        <w:kinsoku/>
        <w:wordWrap/>
        <w:overflowPunct/>
        <w:topLinePunct w:val="0"/>
        <w:bidi w:val="0"/>
        <w:snapToGrid w:val="0"/>
        <w:spacing w:line="360" w:lineRule="auto"/>
        <w:ind w:left="420" w:leftChars="200" w:right="420" w:rightChars="200"/>
        <w:rPr>
          <w:rFonts w:ascii="仿宋" w:hAnsi="仿宋" w:eastAsia="仿宋" w:cs="仿宋"/>
          <w:b/>
          <w:kern w:val="0"/>
          <w:sz w:val="32"/>
          <w:szCs w:val="32"/>
          <w:lang w:val="zh-CN"/>
        </w:rPr>
      </w:pPr>
      <w:r>
        <w:rPr>
          <w:rFonts w:hint="eastAsia" w:ascii="仿宋" w:hAnsi="仿宋" w:eastAsia="仿宋" w:cs="仿宋"/>
          <w:kern w:val="0"/>
          <w:sz w:val="24"/>
          <w:lang w:val="zh-CN"/>
        </w:rPr>
        <w:t xml:space="preserve">                                  日期：</w:t>
      </w:r>
    </w:p>
    <w:p w14:paraId="3C775732">
      <w:pPr>
        <w:pageBreakBefore w:val="0"/>
        <w:kinsoku/>
        <w:wordWrap/>
        <w:overflowPunct/>
        <w:topLinePunct w:val="0"/>
        <w:bidi w:val="0"/>
        <w:snapToGrid w:val="0"/>
        <w:spacing w:line="360" w:lineRule="auto"/>
        <w:ind w:left="420" w:leftChars="200" w:right="420" w:rightChars="200"/>
        <w:outlineLvl w:val="0"/>
        <w:rPr>
          <w:rFonts w:ascii="仿宋" w:hAnsi="仿宋" w:eastAsia="仿宋" w:cs="仿宋"/>
          <w:b/>
          <w:kern w:val="0"/>
          <w:sz w:val="32"/>
          <w:szCs w:val="32"/>
          <w:lang w:val="zh-CN"/>
        </w:rPr>
      </w:pPr>
    </w:p>
    <w:p w14:paraId="298D0C1F">
      <w:pPr>
        <w:pStyle w:val="58"/>
        <w:pageBreakBefore w:val="0"/>
        <w:kinsoku/>
        <w:wordWrap/>
        <w:overflowPunct/>
        <w:topLinePunct w:val="0"/>
        <w:bidi w:val="0"/>
        <w:ind w:left="420" w:leftChars="200" w:right="420" w:rightChars="200" w:firstLine="482"/>
        <w:rPr>
          <w:color w:val="000000"/>
          <w:highlight w:val="none"/>
        </w:rPr>
      </w:pPr>
    </w:p>
    <w:p w14:paraId="692B2E4D">
      <w:pPr>
        <w:pStyle w:val="58"/>
        <w:pageBreakBefore w:val="0"/>
        <w:kinsoku/>
        <w:wordWrap/>
        <w:overflowPunct/>
        <w:topLinePunct w:val="0"/>
        <w:bidi w:val="0"/>
        <w:ind w:left="420" w:leftChars="200" w:right="420" w:rightChars="200" w:firstLine="482"/>
        <w:rPr>
          <w:color w:val="000000"/>
          <w:highlight w:val="none"/>
        </w:rPr>
      </w:pPr>
    </w:p>
    <w:p w14:paraId="2C55AB5B">
      <w:pPr>
        <w:pStyle w:val="24"/>
        <w:pageBreakBefore w:val="0"/>
        <w:kinsoku/>
        <w:wordWrap/>
        <w:overflowPunct/>
        <w:topLinePunct w:val="0"/>
        <w:bidi w:val="0"/>
        <w:ind w:left="420" w:leftChars="200" w:right="420" w:rightChars="200" w:firstLine="0"/>
        <w:rPr>
          <w:rFonts w:hint="eastAsia" w:ascii="宋体" w:eastAsia="宋体"/>
          <w:b/>
          <w:color w:val="000000"/>
          <w:sz w:val="28"/>
          <w:szCs w:val="28"/>
          <w:highlight w:val="none"/>
        </w:rPr>
      </w:pPr>
    </w:p>
    <w:p w14:paraId="589E23F6">
      <w:pPr>
        <w:pageBreakBefore w:val="0"/>
        <w:kinsoku/>
        <w:wordWrap/>
        <w:overflowPunct/>
        <w:topLinePunct w:val="0"/>
        <w:bidi w:val="0"/>
        <w:ind w:left="420" w:leftChars="200" w:right="420" w:rightChars="200"/>
        <w:jc w:val="center"/>
        <w:rPr>
          <w:rFonts w:hint="eastAsia" w:ascii="宋体"/>
          <w:b/>
          <w:color w:val="000000"/>
          <w:sz w:val="28"/>
          <w:highlight w:val="none"/>
        </w:rPr>
      </w:pPr>
    </w:p>
    <w:p w14:paraId="4E217E32">
      <w:pPr>
        <w:pageBreakBefore w:val="0"/>
        <w:kinsoku/>
        <w:wordWrap/>
        <w:overflowPunct/>
        <w:topLinePunct w:val="0"/>
        <w:bidi w:val="0"/>
        <w:ind w:left="420" w:leftChars="200" w:right="420" w:rightChars="200"/>
        <w:jc w:val="center"/>
        <w:rPr>
          <w:rFonts w:hint="eastAsia" w:ascii="宋体"/>
          <w:b/>
          <w:color w:val="000000"/>
          <w:sz w:val="28"/>
          <w:highlight w:val="none"/>
        </w:rPr>
      </w:pPr>
    </w:p>
    <w:p w14:paraId="362FCFBD">
      <w:pPr>
        <w:pStyle w:val="72"/>
        <w:pageBreakBefore w:val="0"/>
        <w:kinsoku/>
        <w:wordWrap/>
        <w:overflowPunct/>
        <w:topLinePunct w:val="0"/>
        <w:bidi w:val="0"/>
        <w:ind w:left="420" w:leftChars="200" w:right="420" w:rightChars="200"/>
        <w:rPr>
          <w:rFonts w:hint="eastAsia" w:ascii="宋体"/>
          <w:b/>
          <w:color w:val="000000"/>
          <w:sz w:val="28"/>
          <w:highlight w:val="none"/>
        </w:rPr>
      </w:pPr>
    </w:p>
    <w:p w14:paraId="41A933FE">
      <w:pPr>
        <w:pStyle w:val="72"/>
        <w:pageBreakBefore w:val="0"/>
        <w:kinsoku/>
        <w:wordWrap/>
        <w:overflowPunct/>
        <w:topLinePunct w:val="0"/>
        <w:bidi w:val="0"/>
        <w:ind w:left="0" w:leftChars="0" w:right="420" w:rightChars="200" w:firstLine="0" w:firstLineChars="0"/>
        <w:rPr>
          <w:rFonts w:hint="eastAsia" w:ascii="宋体"/>
          <w:b/>
          <w:color w:val="000000"/>
          <w:sz w:val="28"/>
          <w:highlight w:val="none"/>
        </w:rPr>
      </w:pPr>
    </w:p>
    <w:p w14:paraId="042C8D33">
      <w:pPr>
        <w:pageBreakBefore w:val="0"/>
        <w:kinsoku/>
        <w:wordWrap/>
        <w:overflowPunct/>
        <w:topLinePunct w:val="0"/>
        <w:bidi w:val="0"/>
        <w:ind w:left="420" w:leftChars="200" w:right="420" w:rightChars="200"/>
        <w:jc w:val="center"/>
        <w:rPr>
          <w:rFonts w:hint="eastAsia" w:ascii="宋体"/>
          <w:b/>
          <w:color w:val="000000"/>
          <w:sz w:val="28"/>
          <w:szCs w:val="28"/>
          <w:highlight w:val="none"/>
        </w:rPr>
      </w:pPr>
      <w:r>
        <w:rPr>
          <w:rFonts w:hint="eastAsia" w:ascii="宋体"/>
          <w:b/>
          <w:color w:val="000000"/>
          <w:sz w:val="28"/>
          <w:szCs w:val="28"/>
          <w:highlight w:val="none"/>
          <w:lang w:eastAsia="zh-CN"/>
        </w:rPr>
        <w:t>（</w:t>
      </w:r>
      <w:r>
        <w:rPr>
          <w:rFonts w:hint="eastAsia" w:ascii="宋体"/>
          <w:b/>
          <w:color w:val="000000"/>
          <w:sz w:val="28"/>
          <w:szCs w:val="28"/>
          <w:highlight w:val="none"/>
          <w:lang w:val="en-US" w:eastAsia="zh-CN"/>
        </w:rPr>
        <w:t>四</w:t>
      </w:r>
      <w:r>
        <w:rPr>
          <w:rFonts w:hint="eastAsia" w:ascii="宋体"/>
          <w:b/>
          <w:color w:val="000000"/>
          <w:sz w:val="28"/>
          <w:szCs w:val="28"/>
          <w:highlight w:val="none"/>
          <w:lang w:eastAsia="zh-CN"/>
        </w:rPr>
        <w:t>）</w:t>
      </w:r>
      <w:r>
        <w:rPr>
          <w:rFonts w:hint="eastAsia" w:ascii="宋体"/>
          <w:b/>
          <w:color w:val="000000"/>
          <w:sz w:val="28"/>
          <w:szCs w:val="28"/>
          <w:highlight w:val="none"/>
        </w:rPr>
        <w:t>项目需求偏离表</w:t>
      </w:r>
    </w:p>
    <w:p w14:paraId="4232B152">
      <w:pPr>
        <w:pageBreakBefore w:val="0"/>
        <w:kinsoku/>
        <w:wordWrap/>
        <w:overflowPunct/>
        <w:topLinePunct w:val="0"/>
        <w:bidi w:val="0"/>
        <w:ind w:left="420" w:leftChars="200" w:right="420" w:rightChars="200"/>
        <w:rPr>
          <w:rFonts w:hint="eastAsia" w:ascii="宋体"/>
          <w:color w:val="000000"/>
          <w:szCs w:val="21"/>
          <w:highlight w:val="none"/>
        </w:rPr>
      </w:pPr>
    </w:p>
    <w:p w14:paraId="6B0F50EB">
      <w:pPr>
        <w:pageBreakBefore w:val="0"/>
        <w:kinsoku/>
        <w:wordWrap/>
        <w:overflowPunct/>
        <w:topLinePunct w:val="0"/>
        <w:bidi w:val="0"/>
        <w:ind w:left="420" w:leftChars="200" w:right="420" w:rightChars="200" w:firstLine="480" w:firstLineChars="200"/>
        <w:rPr>
          <w:rFonts w:hint="eastAsia" w:ascii="宋体"/>
          <w:color w:val="000000"/>
          <w:sz w:val="24"/>
          <w:szCs w:val="24"/>
          <w:highlight w:val="none"/>
        </w:rPr>
      </w:pPr>
      <w:r>
        <w:rPr>
          <w:color w:val="000000"/>
          <w:sz w:val="24"/>
          <w:szCs w:val="24"/>
          <w:highlight w:val="none"/>
        </w:rPr>
        <w:t>项目名称：</w:t>
      </w:r>
      <w:r>
        <w:rPr>
          <w:color w:val="000000"/>
          <w:sz w:val="24"/>
          <w:szCs w:val="24"/>
          <w:highlight w:val="none"/>
          <w:u w:val="single"/>
        </w:rPr>
        <w:t xml:space="preserve">                      </w:t>
      </w:r>
    </w:p>
    <w:tbl>
      <w:tblPr>
        <w:tblStyle w:val="6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
        <w:gridCol w:w="4766"/>
        <w:gridCol w:w="2228"/>
        <w:gridCol w:w="1218"/>
      </w:tblGrid>
      <w:tr w14:paraId="5B367C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4" w:hRule="exact"/>
          <w:jc w:val="center"/>
        </w:trPr>
        <w:tc>
          <w:tcPr>
            <w:tcW w:w="834" w:type="dxa"/>
            <w:noWrap w:val="0"/>
            <w:vAlign w:val="center"/>
          </w:tcPr>
          <w:p w14:paraId="1CFC7B5E">
            <w:pPr>
              <w:pageBreakBefore w:val="0"/>
              <w:kinsoku/>
              <w:wordWrap/>
              <w:overflowPunct/>
              <w:topLinePunct w:val="0"/>
              <w:bidi w:val="0"/>
              <w:ind w:left="420" w:leftChars="200" w:right="420" w:rightChars="200"/>
              <w:jc w:val="center"/>
              <w:rPr>
                <w:rFonts w:hint="eastAsia" w:ascii="宋体"/>
                <w:color w:val="000000"/>
                <w:sz w:val="24"/>
                <w:highlight w:val="none"/>
              </w:rPr>
            </w:pPr>
            <w:r>
              <w:rPr>
                <w:rFonts w:hint="eastAsia" w:ascii="宋体"/>
                <w:color w:val="000000"/>
                <w:sz w:val="24"/>
                <w:highlight w:val="none"/>
              </w:rPr>
              <w:t>序号</w:t>
            </w:r>
          </w:p>
        </w:tc>
        <w:tc>
          <w:tcPr>
            <w:tcW w:w="4766" w:type="dxa"/>
            <w:noWrap w:val="0"/>
            <w:vAlign w:val="center"/>
          </w:tcPr>
          <w:p w14:paraId="0C73F8D5">
            <w:pPr>
              <w:pageBreakBefore w:val="0"/>
              <w:kinsoku/>
              <w:wordWrap/>
              <w:overflowPunct/>
              <w:topLinePunct w:val="0"/>
              <w:bidi w:val="0"/>
              <w:ind w:left="420" w:leftChars="200" w:right="420" w:rightChars="200"/>
              <w:jc w:val="center"/>
              <w:rPr>
                <w:rFonts w:hint="eastAsia" w:ascii="宋体"/>
                <w:color w:val="000000"/>
                <w:sz w:val="24"/>
                <w:highlight w:val="none"/>
              </w:rPr>
            </w:pPr>
            <w:r>
              <w:rPr>
                <w:rFonts w:hint="eastAsia" w:ascii="宋体"/>
                <w:color w:val="000000"/>
                <w:sz w:val="24"/>
                <w:highlight w:val="none"/>
              </w:rPr>
              <w:t>采购文件的技术条款</w:t>
            </w:r>
          </w:p>
        </w:tc>
        <w:tc>
          <w:tcPr>
            <w:tcW w:w="2228" w:type="dxa"/>
            <w:noWrap w:val="0"/>
            <w:vAlign w:val="center"/>
          </w:tcPr>
          <w:p w14:paraId="1FE353E5">
            <w:pPr>
              <w:pageBreakBefore w:val="0"/>
              <w:kinsoku/>
              <w:wordWrap/>
              <w:overflowPunct/>
              <w:topLinePunct w:val="0"/>
              <w:bidi w:val="0"/>
              <w:ind w:left="420" w:leftChars="200" w:right="420" w:rightChars="200"/>
              <w:jc w:val="center"/>
              <w:rPr>
                <w:rFonts w:hint="eastAsia" w:ascii="宋体"/>
                <w:color w:val="000000"/>
                <w:sz w:val="24"/>
                <w:highlight w:val="none"/>
              </w:rPr>
            </w:pPr>
            <w:r>
              <w:rPr>
                <w:rFonts w:hint="eastAsia" w:ascii="宋体"/>
                <w:color w:val="000000"/>
                <w:sz w:val="24"/>
                <w:highlight w:val="none"/>
              </w:rPr>
              <w:t>响应文件响应</w:t>
            </w:r>
          </w:p>
        </w:tc>
        <w:tc>
          <w:tcPr>
            <w:tcW w:w="1218" w:type="dxa"/>
            <w:noWrap w:val="0"/>
            <w:vAlign w:val="center"/>
          </w:tcPr>
          <w:p w14:paraId="1CAFF9C6">
            <w:pPr>
              <w:pageBreakBefore w:val="0"/>
              <w:kinsoku/>
              <w:wordWrap/>
              <w:overflowPunct/>
              <w:topLinePunct w:val="0"/>
              <w:bidi w:val="0"/>
              <w:ind w:right="420" w:rightChars="200"/>
              <w:jc w:val="center"/>
              <w:rPr>
                <w:rFonts w:hint="eastAsia" w:ascii="宋体"/>
                <w:color w:val="000000"/>
                <w:sz w:val="24"/>
                <w:highlight w:val="none"/>
              </w:rPr>
            </w:pPr>
            <w:r>
              <w:rPr>
                <w:rFonts w:hint="eastAsia" w:ascii="宋体"/>
                <w:color w:val="000000"/>
                <w:sz w:val="24"/>
                <w:highlight w:val="none"/>
              </w:rPr>
              <w:t>偏离说明</w:t>
            </w:r>
          </w:p>
        </w:tc>
      </w:tr>
      <w:tr w14:paraId="076BB5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exact"/>
          <w:jc w:val="center"/>
        </w:trPr>
        <w:tc>
          <w:tcPr>
            <w:tcW w:w="834" w:type="dxa"/>
            <w:noWrap w:val="0"/>
            <w:vAlign w:val="center"/>
          </w:tcPr>
          <w:p w14:paraId="13076291">
            <w:pPr>
              <w:pageBreakBefore w:val="0"/>
              <w:kinsoku/>
              <w:wordWrap/>
              <w:overflowPunct/>
              <w:topLinePunct w:val="0"/>
              <w:bidi w:val="0"/>
              <w:ind w:left="420" w:leftChars="200" w:right="420" w:rightChars="200"/>
              <w:jc w:val="center"/>
              <w:rPr>
                <w:rFonts w:hint="eastAsia" w:ascii="宋体"/>
                <w:color w:val="000000"/>
                <w:sz w:val="24"/>
                <w:highlight w:val="none"/>
              </w:rPr>
            </w:pPr>
          </w:p>
        </w:tc>
        <w:tc>
          <w:tcPr>
            <w:tcW w:w="4766" w:type="dxa"/>
            <w:noWrap w:val="0"/>
            <w:vAlign w:val="center"/>
          </w:tcPr>
          <w:p w14:paraId="545F74D0">
            <w:pPr>
              <w:pageBreakBefore w:val="0"/>
              <w:kinsoku/>
              <w:wordWrap/>
              <w:overflowPunct/>
              <w:topLinePunct w:val="0"/>
              <w:bidi w:val="0"/>
              <w:ind w:left="420" w:leftChars="200" w:right="420" w:rightChars="200"/>
              <w:jc w:val="center"/>
              <w:rPr>
                <w:rFonts w:hint="eastAsia" w:ascii="宋体"/>
                <w:color w:val="000000"/>
                <w:sz w:val="24"/>
                <w:highlight w:val="none"/>
              </w:rPr>
            </w:pPr>
          </w:p>
        </w:tc>
        <w:tc>
          <w:tcPr>
            <w:tcW w:w="2228" w:type="dxa"/>
            <w:noWrap w:val="0"/>
            <w:vAlign w:val="center"/>
          </w:tcPr>
          <w:p w14:paraId="69AB1A07">
            <w:pPr>
              <w:pageBreakBefore w:val="0"/>
              <w:kinsoku/>
              <w:wordWrap/>
              <w:overflowPunct/>
              <w:topLinePunct w:val="0"/>
              <w:bidi w:val="0"/>
              <w:ind w:left="420" w:leftChars="200" w:right="420" w:rightChars="200"/>
              <w:jc w:val="center"/>
              <w:rPr>
                <w:rFonts w:hint="eastAsia" w:ascii="宋体"/>
                <w:color w:val="000000"/>
                <w:sz w:val="24"/>
                <w:highlight w:val="none"/>
              </w:rPr>
            </w:pPr>
          </w:p>
        </w:tc>
        <w:tc>
          <w:tcPr>
            <w:tcW w:w="1218" w:type="dxa"/>
            <w:noWrap w:val="0"/>
            <w:vAlign w:val="center"/>
          </w:tcPr>
          <w:p w14:paraId="66E79EE1">
            <w:pPr>
              <w:pageBreakBefore w:val="0"/>
              <w:kinsoku/>
              <w:wordWrap/>
              <w:overflowPunct/>
              <w:topLinePunct w:val="0"/>
              <w:bidi w:val="0"/>
              <w:ind w:left="420" w:leftChars="200" w:right="420" w:rightChars="200"/>
              <w:jc w:val="center"/>
              <w:rPr>
                <w:rFonts w:hint="eastAsia" w:ascii="宋体"/>
                <w:color w:val="000000"/>
                <w:sz w:val="24"/>
                <w:highlight w:val="none"/>
              </w:rPr>
            </w:pPr>
          </w:p>
        </w:tc>
      </w:tr>
      <w:tr w14:paraId="05B980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exact"/>
          <w:jc w:val="center"/>
        </w:trPr>
        <w:tc>
          <w:tcPr>
            <w:tcW w:w="834" w:type="dxa"/>
            <w:noWrap w:val="0"/>
            <w:vAlign w:val="center"/>
          </w:tcPr>
          <w:p w14:paraId="569469BC">
            <w:pPr>
              <w:pageBreakBefore w:val="0"/>
              <w:kinsoku/>
              <w:wordWrap/>
              <w:overflowPunct/>
              <w:topLinePunct w:val="0"/>
              <w:bidi w:val="0"/>
              <w:ind w:left="420" w:leftChars="200" w:right="420" w:rightChars="200"/>
              <w:jc w:val="center"/>
              <w:rPr>
                <w:rFonts w:hint="eastAsia" w:ascii="宋体"/>
                <w:color w:val="000000"/>
                <w:sz w:val="24"/>
                <w:highlight w:val="none"/>
              </w:rPr>
            </w:pPr>
          </w:p>
        </w:tc>
        <w:tc>
          <w:tcPr>
            <w:tcW w:w="4766" w:type="dxa"/>
            <w:noWrap w:val="0"/>
            <w:vAlign w:val="center"/>
          </w:tcPr>
          <w:p w14:paraId="0D6DACF5">
            <w:pPr>
              <w:pageBreakBefore w:val="0"/>
              <w:kinsoku/>
              <w:wordWrap/>
              <w:overflowPunct/>
              <w:topLinePunct w:val="0"/>
              <w:bidi w:val="0"/>
              <w:ind w:left="420" w:leftChars="200" w:right="420" w:rightChars="200"/>
              <w:jc w:val="center"/>
              <w:rPr>
                <w:rFonts w:hint="eastAsia" w:ascii="宋体"/>
                <w:color w:val="000000"/>
                <w:sz w:val="24"/>
                <w:highlight w:val="none"/>
              </w:rPr>
            </w:pPr>
          </w:p>
        </w:tc>
        <w:tc>
          <w:tcPr>
            <w:tcW w:w="2228" w:type="dxa"/>
            <w:noWrap w:val="0"/>
            <w:vAlign w:val="center"/>
          </w:tcPr>
          <w:p w14:paraId="014F5314">
            <w:pPr>
              <w:pageBreakBefore w:val="0"/>
              <w:kinsoku/>
              <w:wordWrap/>
              <w:overflowPunct/>
              <w:topLinePunct w:val="0"/>
              <w:bidi w:val="0"/>
              <w:ind w:left="420" w:leftChars="200" w:right="420" w:rightChars="200"/>
              <w:jc w:val="center"/>
              <w:rPr>
                <w:rFonts w:hint="eastAsia" w:ascii="宋体"/>
                <w:color w:val="000000"/>
                <w:sz w:val="24"/>
                <w:highlight w:val="none"/>
              </w:rPr>
            </w:pPr>
          </w:p>
        </w:tc>
        <w:tc>
          <w:tcPr>
            <w:tcW w:w="1218" w:type="dxa"/>
            <w:noWrap w:val="0"/>
            <w:vAlign w:val="center"/>
          </w:tcPr>
          <w:p w14:paraId="42512A21">
            <w:pPr>
              <w:pageBreakBefore w:val="0"/>
              <w:kinsoku/>
              <w:wordWrap/>
              <w:overflowPunct/>
              <w:topLinePunct w:val="0"/>
              <w:bidi w:val="0"/>
              <w:ind w:left="420" w:leftChars="200" w:right="420" w:rightChars="200"/>
              <w:jc w:val="center"/>
              <w:rPr>
                <w:rFonts w:hint="eastAsia" w:ascii="宋体"/>
                <w:color w:val="000000"/>
                <w:sz w:val="24"/>
                <w:highlight w:val="none"/>
              </w:rPr>
            </w:pPr>
          </w:p>
        </w:tc>
      </w:tr>
      <w:tr w14:paraId="442AD3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exact"/>
          <w:jc w:val="center"/>
        </w:trPr>
        <w:tc>
          <w:tcPr>
            <w:tcW w:w="834" w:type="dxa"/>
            <w:noWrap w:val="0"/>
            <w:vAlign w:val="center"/>
          </w:tcPr>
          <w:p w14:paraId="34A9CBEE">
            <w:pPr>
              <w:pageBreakBefore w:val="0"/>
              <w:kinsoku/>
              <w:wordWrap/>
              <w:overflowPunct/>
              <w:topLinePunct w:val="0"/>
              <w:bidi w:val="0"/>
              <w:ind w:left="420" w:leftChars="200" w:right="420" w:rightChars="200"/>
              <w:jc w:val="center"/>
              <w:rPr>
                <w:rFonts w:hint="eastAsia" w:ascii="宋体"/>
                <w:color w:val="000000"/>
                <w:sz w:val="24"/>
                <w:highlight w:val="none"/>
              </w:rPr>
            </w:pPr>
          </w:p>
        </w:tc>
        <w:tc>
          <w:tcPr>
            <w:tcW w:w="4766" w:type="dxa"/>
            <w:noWrap w:val="0"/>
            <w:vAlign w:val="center"/>
          </w:tcPr>
          <w:p w14:paraId="592366D0">
            <w:pPr>
              <w:pageBreakBefore w:val="0"/>
              <w:kinsoku/>
              <w:wordWrap/>
              <w:overflowPunct/>
              <w:topLinePunct w:val="0"/>
              <w:bidi w:val="0"/>
              <w:ind w:left="420" w:leftChars="200" w:right="420" w:rightChars="200"/>
              <w:jc w:val="center"/>
              <w:rPr>
                <w:rFonts w:hint="eastAsia" w:ascii="宋体"/>
                <w:color w:val="000000"/>
                <w:sz w:val="24"/>
                <w:highlight w:val="none"/>
              </w:rPr>
            </w:pPr>
          </w:p>
        </w:tc>
        <w:tc>
          <w:tcPr>
            <w:tcW w:w="2228" w:type="dxa"/>
            <w:noWrap w:val="0"/>
            <w:vAlign w:val="center"/>
          </w:tcPr>
          <w:p w14:paraId="68CE9949">
            <w:pPr>
              <w:pageBreakBefore w:val="0"/>
              <w:kinsoku/>
              <w:wordWrap/>
              <w:overflowPunct/>
              <w:topLinePunct w:val="0"/>
              <w:bidi w:val="0"/>
              <w:ind w:left="420" w:leftChars="200" w:right="420" w:rightChars="200"/>
              <w:jc w:val="center"/>
              <w:rPr>
                <w:rFonts w:hint="eastAsia" w:ascii="宋体"/>
                <w:color w:val="000000"/>
                <w:sz w:val="24"/>
                <w:highlight w:val="none"/>
              </w:rPr>
            </w:pPr>
          </w:p>
        </w:tc>
        <w:tc>
          <w:tcPr>
            <w:tcW w:w="1218" w:type="dxa"/>
            <w:noWrap w:val="0"/>
            <w:vAlign w:val="center"/>
          </w:tcPr>
          <w:p w14:paraId="2083D9C1">
            <w:pPr>
              <w:pageBreakBefore w:val="0"/>
              <w:kinsoku/>
              <w:wordWrap/>
              <w:overflowPunct/>
              <w:topLinePunct w:val="0"/>
              <w:bidi w:val="0"/>
              <w:ind w:left="420" w:leftChars="200" w:right="420" w:rightChars="200"/>
              <w:jc w:val="center"/>
              <w:rPr>
                <w:rFonts w:hint="eastAsia" w:ascii="宋体"/>
                <w:color w:val="000000"/>
                <w:sz w:val="24"/>
                <w:highlight w:val="none"/>
              </w:rPr>
            </w:pPr>
          </w:p>
        </w:tc>
      </w:tr>
      <w:tr w14:paraId="42780F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exact"/>
          <w:jc w:val="center"/>
        </w:trPr>
        <w:tc>
          <w:tcPr>
            <w:tcW w:w="834" w:type="dxa"/>
            <w:noWrap w:val="0"/>
            <w:vAlign w:val="center"/>
          </w:tcPr>
          <w:p w14:paraId="59F1C493">
            <w:pPr>
              <w:pageBreakBefore w:val="0"/>
              <w:kinsoku/>
              <w:wordWrap/>
              <w:overflowPunct/>
              <w:topLinePunct w:val="0"/>
              <w:bidi w:val="0"/>
              <w:ind w:left="420" w:leftChars="200" w:right="420" w:rightChars="200"/>
              <w:jc w:val="center"/>
              <w:rPr>
                <w:rFonts w:hint="eastAsia" w:ascii="宋体"/>
                <w:color w:val="000000"/>
                <w:sz w:val="24"/>
                <w:highlight w:val="none"/>
              </w:rPr>
            </w:pPr>
          </w:p>
        </w:tc>
        <w:tc>
          <w:tcPr>
            <w:tcW w:w="4766" w:type="dxa"/>
            <w:noWrap w:val="0"/>
            <w:vAlign w:val="center"/>
          </w:tcPr>
          <w:p w14:paraId="6B219FC3">
            <w:pPr>
              <w:pageBreakBefore w:val="0"/>
              <w:kinsoku/>
              <w:wordWrap/>
              <w:overflowPunct/>
              <w:topLinePunct w:val="0"/>
              <w:bidi w:val="0"/>
              <w:ind w:left="420" w:leftChars="200" w:right="420" w:rightChars="200"/>
              <w:jc w:val="center"/>
              <w:rPr>
                <w:rFonts w:hint="eastAsia" w:ascii="宋体"/>
                <w:color w:val="000000"/>
                <w:sz w:val="24"/>
                <w:highlight w:val="none"/>
              </w:rPr>
            </w:pPr>
          </w:p>
        </w:tc>
        <w:tc>
          <w:tcPr>
            <w:tcW w:w="2228" w:type="dxa"/>
            <w:noWrap w:val="0"/>
            <w:vAlign w:val="center"/>
          </w:tcPr>
          <w:p w14:paraId="52350380">
            <w:pPr>
              <w:pageBreakBefore w:val="0"/>
              <w:kinsoku/>
              <w:wordWrap/>
              <w:overflowPunct/>
              <w:topLinePunct w:val="0"/>
              <w:bidi w:val="0"/>
              <w:ind w:left="420" w:leftChars="200" w:right="420" w:rightChars="200"/>
              <w:jc w:val="center"/>
              <w:rPr>
                <w:rFonts w:hint="eastAsia" w:ascii="宋体"/>
                <w:color w:val="000000"/>
                <w:sz w:val="24"/>
                <w:highlight w:val="none"/>
              </w:rPr>
            </w:pPr>
          </w:p>
        </w:tc>
        <w:tc>
          <w:tcPr>
            <w:tcW w:w="1218" w:type="dxa"/>
            <w:noWrap w:val="0"/>
            <w:vAlign w:val="center"/>
          </w:tcPr>
          <w:p w14:paraId="3819B3F8">
            <w:pPr>
              <w:pageBreakBefore w:val="0"/>
              <w:kinsoku/>
              <w:wordWrap/>
              <w:overflowPunct/>
              <w:topLinePunct w:val="0"/>
              <w:bidi w:val="0"/>
              <w:ind w:left="420" w:leftChars="200" w:right="420" w:rightChars="200"/>
              <w:jc w:val="center"/>
              <w:rPr>
                <w:rFonts w:hint="eastAsia" w:ascii="宋体"/>
                <w:color w:val="000000"/>
                <w:sz w:val="24"/>
                <w:highlight w:val="none"/>
              </w:rPr>
            </w:pPr>
          </w:p>
        </w:tc>
      </w:tr>
      <w:tr w14:paraId="4F85FF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exact"/>
          <w:jc w:val="center"/>
        </w:trPr>
        <w:tc>
          <w:tcPr>
            <w:tcW w:w="834" w:type="dxa"/>
            <w:noWrap w:val="0"/>
            <w:vAlign w:val="center"/>
          </w:tcPr>
          <w:p w14:paraId="4073CC37">
            <w:pPr>
              <w:pageBreakBefore w:val="0"/>
              <w:kinsoku/>
              <w:wordWrap/>
              <w:overflowPunct/>
              <w:topLinePunct w:val="0"/>
              <w:bidi w:val="0"/>
              <w:ind w:left="420" w:leftChars="200" w:right="420" w:rightChars="200"/>
              <w:jc w:val="center"/>
              <w:rPr>
                <w:rFonts w:hint="eastAsia" w:ascii="宋体"/>
                <w:color w:val="000000"/>
                <w:sz w:val="24"/>
                <w:highlight w:val="none"/>
              </w:rPr>
            </w:pPr>
          </w:p>
        </w:tc>
        <w:tc>
          <w:tcPr>
            <w:tcW w:w="4766" w:type="dxa"/>
            <w:noWrap w:val="0"/>
            <w:vAlign w:val="center"/>
          </w:tcPr>
          <w:p w14:paraId="682159BA">
            <w:pPr>
              <w:pageBreakBefore w:val="0"/>
              <w:kinsoku/>
              <w:wordWrap/>
              <w:overflowPunct/>
              <w:topLinePunct w:val="0"/>
              <w:bidi w:val="0"/>
              <w:ind w:left="420" w:leftChars="200" w:right="420" w:rightChars="200"/>
              <w:jc w:val="center"/>
              <w:rPr>
                <w:rFonts w:hint="eastAsia" w:ascii="宋体"/>
                <w:color w:val="000000"/>
                <w:sz w:val="24"/>
                <w:highlight w:val="none"/>
              </w:rPr>
            </w:pPr>
          </w:p>
        </w:tc>
        <w:tc>
          <w:tcPr>
            <w:tcW w:w="2228" w:type="dxa"/>
            <w:noWrap w:val="0"/>
            <w:vAlign w:val="center"/>
          </w:tcPr>
          <w:p w14:paraId="4356E1B3">
            <w:pPr>
              <w:pageBreakBefore w:val="0"/>
              <w:kinsoku/>
              <w:wordWrap/>
              <w:overflowPunct/>
              <w:topLinePunct w:val="0"/>
              <w:bidi w:val="0"/>
              <w:ind w:left="420" w:leftChars="200" w:right="420" w:rightChars="200"/>
              <w:jc w:val="center"/>
              <w:rPr>
                <w:rFonts w:hint="eastAsia" w:ascii="宋体"/>
                <w:color w:val="000000"/>
                <w:sz w:val="24"/>
                <w:highlight w:val="none"/>
              </w:rPr>
            </w:pPr>
          </w:p>
        </w:tc>
        <w:tc>
          <w:tcPr>
            <w:tcW w:w="1218" w:type="dxa"/>
            <w:noWrap w:val="0"/>
            <w:vAlign w:val="center"/>
          </w:tcPr>
          <w:p w14:paraId="4E301044">
            <w:pPr>
              <w:pageBreakBefore w:val="0"/>
              <w:kinsoku/>
              <w:wordWrap/>
              <w:overflowPunct/>
              <w:topLinePunct w:val="0"/>
              <w:bidi w:val="0"/>
              <w:ind w:left="420" w:leftChars="200" w:right="420" w:rightChars="200"/>
              <w:jc w:val="center"/>
              <w:rPr>
                <w:rFonts w:hint="eastAsia" w:ascii="宋体"/>
                <w:color w:val="000000"/>
                <w:sz w:val="24"/>
                <w:highlight w:val="none"/>
              </w:rPr>
            </w:pPr>
          </w:p>
        </w:tc>
      </w:tr>
      <w:tr w14:paraId="43A107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exact"/>
          <w:jc w:val="center"/>
        </w:trPr>
        <w:tc>
          <w:tcPr>
            <w:tcW w:w="834" w:type="dxa"/>
            <w:noWrap w:val="0"/>
            <w:vAlign w:val="center"/>
          </w:tcPr>
          <w:p w14:paraId="5A4C1935">
            <w:pPr>
              <w:pageBreakBefore w:val="0"/>
              <w:kinsoku/>
              <w:wordWrap/>
              <w:overflowPunct/>
              <w:topLinePunct w:val="0"/>
              <w:bidi w:val="0"/>
              <w:ind w:left="420" w:leftChars="200" w:right="420" w:rightChars="200"/>
              <w:jc w:val="center"/>
              <w:rPr>
                <w:rFonts w:hint="eastAsia" w:ascii="宋体"/>
                <w:color w:val="000000"/>
                <w:sz w:val="24"/>
                <w:highlight w:val="none"/>
              </w:rPr>
            </w:pPr>
          </w:p>
        </w:tc>
        <w:tc>
          <w:tcPr>
            <w:tcW w:w="4766" w:type="dxa"/>
            <w:noWrap w:val="0"/>
            <w:vAlign w:val="center"/>
          </w:tcPr>
          <w:p w14:paraId="696159F8">
            <w:pPr>
              <w:pageBreakBefore w:val="0"/>
              <w:kinsoku/>
              <w:wordWrap/>
              <w:overflowPunct/>
              <w:topLinePunct w:val="0"/>
              <w:bidi w:val="0"/>
              <w:ind w:left="420" w:leftChars="200" w:right="420" w:rightChars="200"/>
              <w:jc w:val="center"/>
              <w:rPr>
                <w:rFonts w:hint="eastAsia" w:ascii="宋体"/>
                <w:color w:val="000000"/>
                <w:sz w:val="24"/>
                <w:highlight w:val="none"/>
              </w:rPr>
            </w:pPr>
          </w:p>
        </w:tc>
        <w:tc>
          <w:tcPr>
            <w:tcW w:w="2228" w:type="dxa"/>
            <w:noWrap w:val="0"/>
            <w:vAlign w:val="center"/>
          </w:tcPr>
          <w:p w14:paraId="52CDDEA0">
            <w:pPr>
              <w:pageBreakBefore w:val="0"/>
              <w:kinsoku/>
              <w:wordWrap/>
              <w:overflowPunct/>
              <w:topLinePunct w:val="0"/>
              <w:bidi w:val="0"/>
              <w:ind w:left="420" w:leftChars="200" w:right="420" w:rightChars="200"/>
              <w:jc w:val="center"/>
              <w:rPr>
                <w:rFonts w:hint="eastAsia" w:ascii="宋体"/>
                <w:color w:val="000000"/>
                <w:sz w:val="24"/>
                <w:highlight w:val="none"/>
              </w:rPr>
            </w:pPr>
          </w:p>
        </w:tc>
        <w:tc>
          <w:tcPr>
            <w:tcW w:w="1218" w:type="dxa"/>
            <w:noWrap w:val="0"/>
            <w:vAlign w:val="center"/>
          </w:tcPr>
          <w:p w14:paraId="48ED3430">
            <w:pPr>
              <w:pageBreakBefore w:val="0"/>
              <w:kinsoku/>
              <w:wordWrap/>
              <w:overflowPunct/>
              <w:topLinePunct w:val="0"/>
              <w:bidi w:val="0"/>
              <w:ind w:left="420" w:leftChars="200" w:right="420" w:rightChars="200"/>
              <w:jc w:val="center"/>
              <w:rPr>
                <w:rFonts w:hint="eastAsia" w:ascii="宋体"/>
                <w:color w:val="000000"/>
                <w:sz w:val="24"/>
                <w:highlight w:val="none"/>
              </w:rPr>
            </w:pPr>
          </w:p>
        </w:tc>
      </w:tr>
      <w:tr w14:paraId="1DF931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exact"/>
          <w:jc w:val="center"/>
        </w:trPr>
        <w:tc>
          <w:tcPr>
            <w:tcW w:w="834" w:type="dxa"/>
            <w:noWrap w:val="0"/>
            <w:vAlign w:val="center"/>
          </w:tcPr>
          <w:p w14:paraId="39CFA802">
            <w:pPr>
              <w:pageBreakBefore w:val="0"/>
              <w:kinsoku/>
              <w:wordWrap/>
              <w:overflowPunct/>
              <w:topLinePunct w:val="0"/>
              <w:bidi w:val="0"/>
              <w:ind w:left="420" w:leftChars="200" w:right="420" w:rightChars="200"/>
              <w:jc w:val="center"/>
              <w:rPr>
                <w:rFonts w:hint="eastAsia" w:ascii="宋体"/>
                <w:color w:val="000000"/>
                <w:sz w:val="24"/>
                <w:highlight w:val="none"/>
              </w:rPr>
            </w:pPr>
          </w:p>
        </w:tc>
        <w:tc>
          <w:tcPr>
            <w:tcW w:w="4766" w:type="dxa"/>
            <w:noWrap w:val="0"/>
            <w:vAlign w:val="center"/>
          </w:tcPr>
          <w:p w14:paraId="1A745967">
            <w:pPr>
              <w:pageBreakBefore w:val="0"/>
              <w:kinsoku/>
              <w:wordWrap/>
              <w:overflowPunct/>
              <w:topLinePunct w:val="0"/>
              <w:bidi w:val="0"/>
              <w:ind w:left="420" w:leftChars="200" w:right="420" w:rightChars="200"/>
              <w:jc w:val="center"/>
              <w:rPr>
                <w:rFonts w:hint="eastAsia" w:ascii="宋体"/>
                <w:color w:val="000000"/>
                <w:sz w:val="24"/>
                <w:highlight w:val="none"/>
              </w:rPr>
            </w:pPr>
          </w:p>
        </w:tc>
        <w:tc>
          <w:tcPr>
            <w:tcW w:w="2228" w:type="dxa"/>
            <w:noWrap w:val="0"/>
            <w:vAlign w:val="center"/>
          </w:tcPr>
          <w:p w14:paraId="5DB5538D">
            <w:pPr>
              <w:pageBreakBefore w:val="0"/>
              <w:kinsoku/>
              <w:wordWrap/>
              <w:overflowPunct/>
              <w:topLinePunct w:val="0"/>
              <w:bidi w:val="0"/>
              <w:ind w:left="420" w:leftChars="200" w:right="420" w:rightChars="200"/>
              <w:jc w:val="center"/>
              <w:rPr>
                <w:rFonts w:hint="eastAsia" w:ascii="宋体"/>
                <w:color w:val="000000"/>
                <w:sz w:val="24"/>
                <w:highlight w:val="none"/>
              </w:rPr>
            </w:pPr>
          </w:p>
        </w:tc>
        <w:tc>
          <w:tcPr>
            <w:tcW w:w="1218" w:type="dxa"/>
            <w:noWrap w:val="0"/>
            <w:vAlign w:val="center"/>
          </w:tcPr>
          <w:p w14:paraId="5E57B674">
            <w:pPr>
              <w:pageBreakBefore w:val="0"/>
              <w:kinsoku/>
              <w:wordWrap/>
              <w:overflowPunct/>
              <w:topLinePunct w:val="0"/>
              <w:bidi w:val="0"/>
              <w:ind w:left="420" w:leftChars="200" w:right="420" w:rightChars="200"/>
              <w:jc w:val="center"/>
              <w:rPr>
                <w:rFonts w:hint="eastAsia" w:ascii="宋体"/>
                <w:color w:val="000000"/>
                <w:sz w:val="24"/>
                <w:highlight w:val="none"/>
              </w:rPr>
            </w:pPr>
          </w:p>
        </w:tc>
      </w:tr>
      <w:tr w14:paraId="264F73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exact"/>
          <w:jc w:val="center"/>
        </w:trPr>
        <w:tc>
          <w:tcPr>
            <w:tcW w:w="834" w:type="dxa"/>
            <w:noWrap w:val="0"/>
            <w:vAlign w:val="center"/>
          </w:tcPr>
          <w:p w14:paraId="3A33774B">
            <w:pPr>
              <w:pageBreakBefore w:val="0"/>
              <w:kinsoku/>
              <w:wordWrap/>
              <w:overflowPunct/>
              <w:topLinePunct w:val="0"/>
              <w:bidi w:val="0"/>
              <w:ind w:left="420" w:leftChars="200" w:right="420" w:rightChars="200"/>
              <w:jc w:val="center"/>
              <w:rPr>
                <w:rFonts w:hint="eastAsia" w:ascii="宋体"/>
                <w:color w:val="000000"/>
                <w:sz w:val="24"/>
                <w:highlight w:val="none"/>
              </w:rPr>
            </w:pPr>
          </w:p>
        </w:tc>
        <w:tc>
          <w:tcPr>
            <w:tcW w:w="4766" w:type="dxa"/>
            <w:noWrap w:val="0"/>
            <w:vAlign w:val="center"/>
          </w:tcPr>
          <w:p w14:paraId="15BE89D2">
            <w:pPr>
              <w:pageBreakBefore w:val="0"/>
              <w:kinsoku/>
              <w:wordWrap/>
              <w:overflowPunct/>
              <w:topLinePunct w:val="0"/>
              <w:bidi w:val="0"/>
              <w:ind w:left="420" w:leftChars="200" w:right="420" w:rightChars="200"/>
              <w:jc w:val="center"/>
              <w:rPr>
                <w:rFonts w:hint="eastAsia" w:ascii="宋体"/>
                <w:color w:val="000000"/>
                <w:sz w:val="24"/>
                <w:highlight w:val="none"/>
              </w:rPr>
            </w:pPr>
          </w:p>
        </w:tc>
        <w:tc>
          <w:tcPr>
            <w:tcW w:w="2228" w:type="dxa"/>
            <w:noWrap w:val="0"/>
            <w:vAlign w:val="center"/>
          </w:tcPr>
          <w:p w14:paraId="528CFB39">
            <w:pPr>
              <w:pageBreakBefore w:val="0"/>
              <w:kinsoku/>
              <w:wordWrap/>
              <w:overflowPunct/>
              <w:topLinePunct w:val="0"/>
              <w:bidi w:val="0"/>
              <w:ind w:left="420" w:leftChars="200" w:right="420" w:rightChars="200"/>
              <w:jc w:val="center"/>
              <w:rPr>
                <w:rFonts w:hint="eastAsia" w:ascii="宋体"/>
                <w:color w:val="000000"/>
                <w:sz w:val="24"/>
                <w:highlight w:val="none"/>
              </w:rPr>
            </w:pPr>
          </w:p>
        </w:tc>
        <w:tc>
          <w:tcPr>
            <w:tcW w:w="1218" w:type="dxa"/>
            <w:noWrap w:val="0"/>
            <w:vAlign w:val="center"/>
          </w:tcPr>
          <w:p w14:paraId="2FDFC906">
            <w:pPr>
              <w:pageBreakBefore w:val="0"/>
              <w:kinsoku/>
              <w:wordWrap/>
              <w:overflowPunct/>
              <w:topLinePunct w:val="0"/>
              <w:bidi w:val="0"/>
              <w:ind w:left="420" w:leftChars="200" w:right="420" w:rightChars="200"/>
              <w:jc w:val="center"/>
              <w:rPr>
                <w:rFonts w:hint="eastAsia" w:ascii="宋体"/>
                <w:color w:val="000000"/>
                <w:sz w:val="24"/>
                <w:highlight w:val="none"/>
              </w:rPr>
            </w:pPr>
          </w:p>
        </w:tc>
      </w:tr>
      <w:tr w14:paraId="792316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exact"/>
          <w:jc w:val="center"/>
        </w:trPr>
        <w:tc>
          <w:tcPr>
            <w:tcW w:w="834" w:type="dxa"/>
            <w:noWrap w:val="0"/>
            <w:vAlign w:val="center"/>
          </w:tcPr>
          <w:p w14:paraId="4ADB8A2F">
            <w:pPr>
              <w:pageBreakBefore w:val="0"/>
              <w:kinsoku/>
              <w:wordWrap/>
              <w:overflowPunct/>
              <w:topLinePunct w:val="0"/>
              <w:bidi w:val="0"/>
              <w:ind w:left="420" w:leftChars="200" w:right="420" w:rightChars="200"/>
              <w:jc w:val="center"/>
              <w:rPr>
                <w:rFonts w:hint="eastAsia" w:ascii="宋体"/>
                <w:color w:val="000000"/>
                <w:sz w:val="24"/>
                <w:highlight w:val="none"/>
              </w:rPr>
            </w:pPr>
          </w:p>
        </w:tc>
        <w:tc>
          <w:tcPr>
            <w:tcW w:w="4766" w:type="dxa"/>
            <w:noWrap w:val="0"/>
            <w:vAlign w:val="center"/>
          </w:tcPr>
          <w:p w14:paraId="3C49937F">
            <w:pPr>
              <w:pageBreakBefore w:val="0"/>
              <w:kinsoku/>
              <w:wordWrap/>
              <w:overflowPunct/>
              <w:topLinePunct w:val="0"/>
              <w:bidi w:val="0"/>
              <w:ind w:left="420" w:leftChars="200" w:right="420" w:rightChars="200"/>
              <w:jc w:val="center"/>
              <w:rPr>
                <w:rFonts w:hint="eastAsia" w:ascii="宋体"/>
                <w:color w:val="000000"/>
                <w:sz w:val="24"/>
                <w:highlight w:val="none"/>
              </w:rPr>
            </w:pPr>
          </w:p>
        </w:tc>
        <w:tc>
          <w:tcPr>
            <w:tcW w:w="2228" w:type="dxa"/>
            <w:noWrap w:val="0"/>
            <w:vAlign w:val="center"/>
          </w:tcPr>
          <w:p w14:paraId="148F65DA">
            <w:pPr>
              <w:pageBreakBefore w:val="0"/>
              <w:kinsoku/>
              <w:wordWrap/>
              <w:overflowPunct/>
              <w:topLinePunct w:val="0"/>
              <w:bidi w:val="0"/>
              <w:ind w:left="420" w:leftChars="200" w:right="420" w:rightChars="200"/>
              <w:jc w:val="center"/>
              <w:rPr>
                <w:rFonts w:hint="eastAsia" w:ascii="宋体"/>
                <w:color w:val="000000"/>
                <w:sz w:val="24"/>
                <w:highlight w:val="none"/>
              </w:rPr>
            </w:pPr>
          </w:p>
        </w:tc>
        <w:tc>
          <w:tcPr>
            <w:tcW w:w="1218" w:type="dxa"/>
            <w:noWrap w:val="0"/>
            <w:vAlign w:val="center"/>
          </w:tcPr>
          <w:p w14:paraId="53BFA92C">
            <w:pPr>
              <w:pageBreakBefore w:val="0"/>
              <w:kinsoku/>
              <w:wordWrap/>
              <w:overflowPunct/>
              <w:topLinePunct w:val="0"/>
              <w:bidi w:val="0"/>
              <w:ind w:left="420" w:leftChars="200" w:right="420" w:rightChars="200"/>
              <w:jc w:val="center"/>
              <w:rPr>
                <w:rFonts w:hint="eastAsia" w:ascii="宋体"/>
                <w:color w:val="000000"/>
                <w:sz w:val="24"/>
                <w:highlight w:val="none"/>
              </w:rPr>
            </w:pPr>
          </w:p>
        </w:tc>
      </w:tr>
    </w:tbl>
    <w:p w14:paraId="5084C1F3">
      <w:pPr>
        <w:pageBreakBefore w:val="0"/>
        <w:kinsoku/>
        <w:wordWrap/>
        <w:overflowPunct/>
        <w:topLinePunct w:val="0"/>
        <w:bidi w:val="0"/>
        <w:ind w:left="420" w:leftChars="200" w:right="420" w:rightChars="200" w:firstLine="720" w:firstLineChars="300"/>
        <w:rPr>
          <w:rFonts w:hint="eastAsia" w:ascii="宋体"/>
          <w:color w:val="000000"/>
          <w:sz w:val="24"/>
          <w:highlight w:val="none"/>
        </w:rPr>
      </w:pPr>
      <w:r>
        <w:rPr>
          <w:rFonts w:hint="eastAsia" w:ascii="宋体"/>
          <w:color w:val="000000"/>
          <w:sz w:val="24"/>
          <w:highlight w:val="none"/>
        </w:rPr>
        <w:t>备注：此表根据“第</w:t>
      </w:r>
      <w:r>
        <w:rPr>
          <w:rFonts w:hint="eastAsia" w:ascii="宋体"/>
          <w:color w:val="000000"/>
          <w:sz w:val="24"/>
          <w:highlight w:val="none"/>
          <w:lang w:val="en-US" w:eastAsia="zh-CN"/>
        </w:rPr>
        <w:t>二</w:t>
      </w:r>
      <w:r>
        <w:rPr>
          <w:rFonts w:hint="eastAsia" w:ascii="宋体"/>
          <w:color w:val="000000"/>
          <w:sz w:val="24"/>
          <w:highlight w:val="none"/>
        </w:rPr>
        <w:t>部分项目需求”技术条款要求</w:t>
      </w:r>
      <w:r>
        <w:rPr>
          <w:rFonts w:hint="eastAsia" w:ascii="宋体"/>
          <w:color w:val="000000"/>
          <w:sz w:val="24"/>
          <w:highlight w:val="none"/>
          <w:lang w:val="en-US" w:eastAsia="zh-CN"/>
        </w:rPr>
        <w:t>逐行</w:t>
      </w:r>
      <w:r>
        <w:rPr>
          <w:rFonts w:hint="eastAsia" w:ascii="宋体"/>
          <w:color w:val="000000"/>
          <w:sz w:val="24"/>
          <w:highlight w:val="none"/>
        </w:rPr>
        <w:t>填写。</w:t>
      </w:r>
    </w:p>
    <w:p w14:paraId="535F61DE">
      <w:pPr>
        <w:pStyle w:val="24"/>
        <w:pageBreakBefore w:val="0"/>
        <w:kinsoku/>
        <w:wordWrap/>
        <w:overflowPunct/>
        <w:topLinePunct w:val="0"/>
        <w:bidi w:val="0"/>
        <w:spacing w:before="120" w:beforeLines="50" w:line="360" w:lineRule="exact"/>
        <w:ind w:left="420" w:leftChars="200" w:right="420" w:rightChars="200" w:firstLine="0"/>
        <w:rPr>
          <w:rFonts w:hint="eastAsia" w:eastAsia="宋体"/>
          <w:color w:val="000000"/>
          <w:szCs w:val="24"/>
          <w:highlight w:val="none"/>
        </w:rPr>
      </w:pPr>
    </w:p>
    <w:p w14:paraId="373B895C">
      <w:pPr>
        <w:pStyle w:val="24"/>
        <w:pageBreakBefore w:val="0"/>
        <w:kinsoku/>
        <w:wordWrap/>
        <w:overflowPunct/>
        <w:topLinePunct w:val="0"/>
        <w:bidi w:val="0"/>
        <w:spacing w:before="120" w:beforeLines="50" w:line="360" w:lineRule="exact"/>
        <w:ind w:left="420" w:leftChars="200" w:right="420" w:rightChars="200" w:firstLine="720" w:firstLineChars="300"/>
        <w:rPr>
          <w:rFonts w:eastAsia="宋体"/>
          <w:color w:val="000000"/>
          <w:szCs w:val="24"/>
          <w:highlight w:val="none"/>
        </w:rPr>
      </w:pPr>
      <w:r>
        <w:rPr>
          <w:rFonts w:hint="eastAsia" w:eastAsia="宋体"/>
          <w:color w:val="000000"/>
          <w:szCs w:val="24"/>
          <w:highlight w:val="none"/>
        </w:rPr>
        <w:t>供应商单位（盖公章）：</w:t>
      </w:r>
    </w:p>
    <w:p w14:paraId="5A688290">
      <w:pPr>
        <w:pStyle w:val="24"/>
        <w:pageBreakBefore w:val="0"/>
        <w:kinsoku/>
        <w:wordWrap/>
        <w:overflowPunct/>
        <w:topLinePunct w:val="0"/>
        <w:bidi w:val="0"/>
        <w:spacing w:before="120" w:beforeLines="50" w:line="360" w:lineRule="exact"/>
        <w:ind w:left="420" w:leftChars="200" w:right="420" w:rightChars="200" w:firstLine="720" w:firstLineChars="300"/>
        <w:rPr>
          <w:rFonts w:eastAsia="宋体"/>
          <w:color w:val="000000"/>
          <w:szCs w:val="24"/>
          <w:highlight w:val="none"/>
        </w:rPr>
      </w:pPr>
      <w:r>
        <w:rPr>
          <w:rFonts w:hint="eastAsia"/>
          <w:color w:val="000000"/>
          <w:highlight w:val="none"/>
        </w:rPr>
        <w:t>法定代表人或被授权代表人</w:t>
      </w:r>
      <w:r>
        <w:rPr>
          <w:rFonts w:hint="eastAsia" w:eastAsia="宋体"/>
          <w:color w:val="000000"/>
          <w:szCs w:val="24"/>
          <w:highlight w:val="none"/>
        </w:rPr>
        <w:t>（</w:t>
      </w:r>
      <w:r>
        <w:rPr>
          <w:rFonts w:eastAsia="宋体"/>
          <w:color w:val="000000"/>
          <w:highlight w:val="none"/>
        </w:rPr>
        <w:t>签字</w:t>
      </w:r>
      <w:r>
        <w:rPr>
          <w:rFonts w:hint="eastAsia" w:eastAsia="宋体"/>
          <w:color w:val="000000"/>
          <w:highlight w:val="none"/>
        </w:rPr>
        <w:t>或印章</w:t>
      </w:r>
      <w:r>
        <w:rPr>
          <w:rFonts w:hint="eastAsia" w:eastAsia="宋体"/>
          <w:color w:val="000000"/>
          <w:szCs w:val="24"/>
          <w:highlight w:val="none"/>
        </w:rPr>
        <w:t>）：</w:t>
      </w:r>
    </w:p>
    <w:p w14:paraId="3358506B">
      <w:pPr>
        <w:pageBreakBefore w:val="0"/>
        <w:kinsoku/>
        <w:wordWrap/>
        <w:overflowPunct/>
        <w:topLinePunct w:val="0"/>
        <w:bidi w:val="0"/>
        <w:spacing w:before="120" w:beforeLines="50"/>
        <w:ind w:left="420" w:leftChars="200" w:right="420" w:rightChars="200" w:firstLine="720" w:firstLineChars="300"/>
        <w:rPr>
          <w:rFonts w:hint="eastAsia" w:ascii="宋体"/>
          <w:color w:val="000000"/>
          <w:sz w:val="24"/>
          <w:highlight w:val="none"/>
          <w:u w:val="single"/>
        </w:rPr>
      </w:pPr>
      <w:r>
        <w:rPr>
          <w:rFonts w:hint="eastAsia"/>
          <w:color w:val="000000"/>
          <w:sz w:val="24"/>
          <w:szCs w:val="24"/>
          <w:highlight w:val="none"/>
        </w:rPr>
        <w:t>日</w:t>
      </w:r>
      <w:r>
        <w:rPr>
          <w:color w:val="000000"/>
          <w:sz w:val="24"/>
          <w:szCs w:val="24"/>
          <w:highlight w:val="none"/>
        </w:rPr>
        <w:t xml:space="preserve">      </w:t>
      </w:r>
      <w:r>
        <w:rPr>
          <w:rFonts w:hint="eastAsia"/>
          <w:color w:val="000000"/>
          <w:sz w:val="24"/>
          <w:szCs w:val="24"/>
          <w:highlight w:val="none"/>
        </w:rPr>
        <w:t>期：</w:t>
      </w:r>
    </w:p>
    <w:p w14:paraId="41610961">
      <w:pPr>
        <w:pStyle w:val="58"/>
        <w:pageBreakBefore w:val="0"/>
        <w:kinsoku/>
        <w:wordWrap/>
        <w:overflowPunct/>
        <w:topLinePunct w:val="0"/>
        <w:bidi w:val="0"/>
        <w:ind w:left="420" w:leftChars="200" w:right="420" w:rightChars="200" w:firstLine="482"/>
        <w:rPr>
          <w:color w:val="000000"/>
          <w:highlight w:val="none"/>
        </w:rPr>
      </w:pPr>
    </w:p>
    <w:p w14:paraId="672B0063">
      <w:pPr>
        <w:pStyle w:val="24"/>
        <w:pageBreakBefore w:val="0"/>
        <w:kinsoku/>
        <w:wordWrap/>
        <w:overflowPunct/>
        <w:topLinePunct w:val="0"/>
        <w:bidi w:val="0"/>
        <w:ind w:left="420" w:leftChars="200" w:right="420" w:rightChars="200" w:firstLine="0"/>
        <w:rPr>
          <w:rFonts w:hint="eastAsia" w:ascii="宋体" w:eastAsia="宋体"/>
          <w:b/>
          <w:color w:val="000000"/>
          <w:sz w:val="28"/>
          <w:szCs w:val="28"/>
          <w:highlight w:val="none"/>
        </w:rPr>
      </w:pPr>
      <w:r>
        <w:rPr>
          <w:rFonts w:eastAsia="宋体"/>
          <w:color w:val="000000"/>
          <w:highlight w:val="none"/>
        </w:rPr>
        <w:br w:type="page"/>
      </w:r>
    </w:p>
    <w:p w14:paraId="79F243BE">
      <w:pPr>
        <w:pageBreakBefore w:val="0"/>
        <w:kinsoku/>
        <w:wordWrap/>
        <w:overflowPunct/>
        <w:topLinePunct w:val="0"/>
        <w:bidi w:val="0"/>
        <w:ind w:left="420" w:leftChars="200" w:right="420" w:rightChars="200"/>
        <w:rPr>
          <w:rFonts w:hint="eastAsia" w:ascii="宋体"/>
          <w:b/>
          <w:color w:val="000000"/>
          <w:sz w:val="28"/>
          <w:highlight w:val="none"/>
        </w:rPr>
      </w:pPr>
    </w:p>
    <w:p w14:paraId="09B6E5FD">
      <w:pPr>
        <w:pageBreakBefore w:val="0"/>
        <w:kinsoku/>
        <w:wordWrap/>
        <w:overflowPunct/>
        <w:topLinePunct w:val="0"/>
        <w:bidi w:val="0"/>
        <w:ind w:left="420" w:leftChars="200" w:right="420" w:rightChars="200"/>
        <w:jc w:val="center"/>
        <w:rPr>
          <w:rFonts w:hint="eastAsia" w:ascii="宋体"/>
          <w:b/>
          <w:color w:val="000000"/>
          <w:sz w:val="28"/>
          <w:highlight w:val="none"/>
        </w:rPr>
      </w:pPr>
      <w:r>
        <w:rPr>
          <w:rFonts w:hint="eastAsia" w:ascii="宋体"/>
          <w:b/>
          <w:color w:val="000000"/>
          <w:sz w:val="28"/>
          <w:highlight w:val="none"/>
          <w:lang w:eastAsia="zh-CN"/>
        </w:rPr>
        <w:t>（</w:t>
      </w:r>
      <w:r>
        <w:rPr>
          <w:rFonts w:hint="eastAsia" w:ascii="宋体"/>
          <w:b/>
          <w:color w:val="000000"/>
          <w:sz w:val="28"/>
          <w:highlight w:val="none"/>
          <w:lang w:val="en-US" w:eastAsia="zh-CN"/>
        </w:rPr>
        <w:t>五</w:t>
      </w:r>
      <w:r>
        <w:rPr>
          <w:rFonts w:hint="eastAsia" w:ascii="宋体"/>
          <w:b/>
          <w:color w:val="000000"/>
          <w:sz w:val="28"/>
          <w:highlight w:val="none"/>
          <w:lang w:eastAsia="zh-CN"/>
        </w:rPr>
        <w:t>）</w:t>
      </w:r>
      <w:r>
        <w:rPr>
          <w:rFonts w:hint="eastAsia" w:ascii="宋体"/>
          <w:b/>
          <w:color w:val="000000"/>
          <w:sz w:val="28"/>
          <w:highlight w:val="none"/>
        </w:rPr>
        <w:t>商务条款偏离表</w:t>
      </w:r>
    </w:p>
    <w:p w14:paraId="0F5CB248">
      <w:pPr>
        <w:pageBreakBefore w:val="0"/>
        <w:kinsoku/>
        <w:wordWrap/>
        <w:overflowPunct/>
        <w:topLinePunct w:val="0"/>
        <w:bidi w:val="0"/>
        <w:ind w:left="420" w:leftChars="200" w:right="420" w:rightChars="200"/>
        <w:rPr>
          <w:rFonts w:hint="eastAsia" w:ascii="宋体"/>
          <w:color w:val="000000"/>
          <w:sz w:val="24"/>
          <w:szCs w:val="24"/>
          <w:highlight w:val="none"/>
        </w:rPr>
      </w:pPr>
    </w:p>
    <w:p w14:paraId="39AB3CD2">
      <w:pPr>
        <w:pageBreakBefore w:val="0"/>
        <w:kinsoku/>
        <w:wordWrap/>
        <w:overflowPunct/>
        <w:topLinePunct w:val="0"/>
        <w:bidi w:val="0"/>
        <w:ind w:left="420" w:leftChars="200" w:right="420" w:rightChars="200"/>
        <w:rPr>
          <w:rFonts w:hint="eastAsia" w:ascii="宋体"/>
          <w:color w:val="000000"/>
          <w:sz w:val="24"/>
          <w:highlight w:val="none"/>
        </w:rPr>
      </w:pPr>
      <w:r>
        <w:rPr>
          <w:rFonts w:hint="eastAsia" w:ascii="宋体"/>
          <w:color w:val="000000"/>
          <w:sz w:val="24"/>
          <w:szCs w:val="24"/>
          <w:highlight w:val="none"/>
        </w:rPr>
        <w:t>项目名称：</w:t>
      </w:r>
      <w:r>
        <w:rPr>
          <w:rFonts w:hint="eastAsia" w:ascii="宋体"/>
          <w:color w:val="000000"/>
          <w:sz w:val="24"/>
          <w:szCs w:val="24"/>
          <w:highlight w:val="none"/>
          <w:u w:val="single"/>
        </w:rPr>
        <w:t xml:space="preserve">             </w:t>
      </w:r>
      <w:r>
        <w:rPr>
          <w:rFonts w:hint="eastAsia" w:ascii="宋体"/>
          <w:color w:val="000000"/>
          <w:sz w:val="24"/>
          <w:szCs w:val="24"/>
          <w:highlight w:val="none"/>
        </w:rPr>
        <w:t xml:space="preserve">   </w:t>
      </w:r>
      <w:r>
        <w:rPr>
          <w:rFonts w:hint="eastAsia" w:ascii="宋体"/>
          <w:color w:val="000000"/>
          <w:szCs w:val="24"/>
          <w:highlight w:val="none"/>
        </w:rPr>
        <w:t xml:space="preserve">    </w:t>
      </w:r>
    </w:p>
    <w:tbl>
      <w:tblPr>
        <w:tblStyle w:val="6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2"/>
        <w:gridCol w:w="5033"/>
        <w:gridCol w:w="2025"/>
        <w:gridCol w:w="1538"/>
      </w:tblGrid>
      <w:tr w14:paraId="4F1DCA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72" w:type="dxa"/>
            <w:noWrap w:val="0"/>
            <w:vAlign w:val="center"/>
          </w:tcPr>
          <w:p w14:paraId="4C3C13D3">
            <w:pPr>
              <w:pageBreakBefore w:val="0"/>
              <w:kinsoku/>
              <w:wordWrap/>
              <w:overflowPunct/>
              <w:topLinePunct w:val="0"/>
              <w:bidi w:val="0"/>
              <w:ind w:left="420" w:leftChars="200" w:right="420" w:rightChars="200"/>
              <w:jc w:val="center"/>
              <w:rPr>
                <w:rFonts w:hint="eastAsia" w:ascii="宋体"/>
                <w:color w:val="000000"/>
                <w:sz w:val="24"/>
                <w:highlight w:val="none"/>
              </w:rPr>
            </w:pPr>
            <w:r>
              <w:rPr>
                <w:rFonts w:hint="eastAsia" w:ascii="宋体"/>
                <w:color w:val="000000"/>
                <w:sz w:val="24"/>
                <w:highlight w:val="none"/>
              </w:rPr>
              <w:t>序号</w:t>
            </w:r>
          </w:p>
        </w:tc>
        <w:tc>
          <w:tcPr>
            <w:tcW w:w="5033" w:type="dxa"/>
            <w:noWrap w:val="0"/>
            <w:vAlign w:val="center"/>
          </w:tcPr>
          <w:p w14:paraId="3D618641">
            <w:pPr>
              <w:pageBreakBefore w:val="0"/>
              <w:kinsoku/>
              <w:wordWrap/>
              <w:overflowPunct/>
              <w:topLinePunct w:val="0"/>
              <w:bidi w:val="0"/>
              <w:ind w:left="420" w:leftChars="200" w:right="420" w:rightChars="200"/>
              <w:jc w:val="center"/>
              <w:rPr>
                <w:rFonts w:hint="eastAsia" w:ascii="宋体"/>
                <w:color w:val="000000"/>
                <w:sz w:val="24"/>
                <w:highlight w:val="none"/>
              </w:rPr>
            </w:pPr>
            <w:r>
              <w:rPr>
                <w:rFonts w:hint="eastAsia" w:ascii="宋体"/>
                <w:color w:val="000000"/>
                <w:sz w:val="24"/>
                <w:highlight w:val="none"/>
              </w:rPr>
              <w:t>采购文件的商务条款</w:t>
            </w:r>
          </w:p>
        </w:tc>
        <w:tc>
          <w:tcPr>
            <w:tcW w:w="2025" w:type="dxa"/>
            <w:noWrap w:val="0"/>
            <w:vAlign w:val="center"/>
          </w:tcPr>
          <w:p w14:paraId="2C818E29">
            <w:pPr>
              <w:pageBreakBefore w:val="0"/>
              <w:kinsoku/>
              <w:wordWrap/>
              <w:overflowPunct/>
              <w:topLinePunct w:val="0"/>
              <w:bidi w:val="0"/>
              <w:ind w:left="420" w:leftChars="200" w:right="420" w:rightChars="200"/>
              <w:jc w:val="center"/>
              <w:rPr>
                <w:rFonts w:hint="eastAsia" w:ascii="宋体"/>
                <w:color w:val="000000"/>
                <w:sz w:val="24"/>
                <w:highlight w:val="none"/>
              </w:rPr>
            </w:pPr>
            <w:r>
              <w:rPr>
                <w:rFonts w:hint="eastAsia" w:ascii="宋体"/>
                <w:color w:val="000000"/>
                <w:sz w:val="24"/>
                <w:highlight w:val="none"/>
              </w:rPr>
              <w:t>响应文件响应</w:t>
            </w:r>
          </w:p>
        </w:tc>
        <w:tc>
          <w:tcPr>
            <w:tcW w:w="1538" w:type="dxa"/>
            <w:noWrap w:val="0"/>
            <w:vAlign w:val="center"/>
          </w:tcPr>
          <w:p w14:paraId="6F68A2FF">
            <w:pPr>
              <w:pageBreakBefore w:val="0"/>
              <w:kinsoku/>
              <w:wordWrap/>
              <w:overflowPunct/>
              <w:topLinePunct w:val="0"/>
              <w:bidi w:val="0"/>
              <w:ind w:left="420" w:leftChars="200" w:right="420" w:rightChars="200"/>
              <w:jc w:val="center"/>
              <w:rPr>
                <w:rFonts w:hint="eastAsia" w:ascii="宋体"/>
                <w:color w:val="000000"/>
                <w:sz w:val="24"/>
                <w:highlight w:val="none"/>
              </w:rPr>
            </w:pPr>
            <w:r>
              <w:rPr>
                <w:rFonts w:hint="eastAsia" w:ascii="宋体"/>
                <w:color w:val="000000"/>
                <w:sz w:val="24"/>
                <w:highlight w:val="none"/>
              </w:rPr>
              <w:t>偏离说明</w:t>
            </w:r>
          </w:p>
        </w:tc>
      </w:tr>
      <w:tr w14:paraId="68DE4D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72" w:type="dxa"/>
            <w:noWrap w:val="0"/>
            <w:vAlign w:val="center"/>
          </w:tcPr>
          <w:p w14:paraId="23E09525">
            <w:pPr>
              <w:pageBreakBefore w:val="0"/>
              <w:kinsoku/>
              <w:wordWrap/>
              <w:overflowPunct/>
              <w:topLinePunct w:val="0"/>
              <w:bidi w:val="0"/>
              <w:ind w:left="420" w:leftChars="200" w:right="420" w:rightChars="200"/>
              <w:jc w:val="center"/>
              <w:rPr>
                <w:rFonts w:hint="eastAsia" w:ascii="宋体"/>
                <w:color w:val="000000"/>
                <w:sz w:val="24"/>
                <w:highlight w:val="none"/>
              </w:rPr>
            </w:pPr>
          </w:p>
        </w:tc>
        <w:tc>
          <w:tcPr>
            <w:tcW w:w="5033" w:type="dxa"/>
            <w:noWrap w:val="0"/>
            <w:vAlign w:val="center"/>
          </w:tcPr>
          <w:p w14:paraId="421123FD">
            <w:pPr>
              <w:pageBreakBefore w:val="0"/>
              <w:kinsoku/>
              <w:wordWrap/>
              <w:overflowPunct/>
              <w:topLinePunct w:val="0"/>
              <w:bidi w:val="0"/>
              <w:spacing w:line="400" w:lineRule="exact"/>
              <w:ind w:left="420" w:leftChars="200" w:right="420" w:rightChars="200"/>
              <w:jc w:val="left"/>
              <w:rPr>
                <w:rFonts w:hint="eastAsia" w:ascii="宋体"/>
                <w:color w:val="000000"/>
                <w:sz w:val="24"/>
                <w:highlight w:val="none"/>
              </w:rPr>
            </w:pPr>
          </w:p>
        </w:tc>
        <w:tc>
          <w:tcPr>
            <w:tcW w:w="2025" w:type="dxa"/>
            <w:noWrap w:val="0"/>
            <w:vAlign w:val="center"/>
          </w:tcPr>
          <w:p w14:paraId="15B24D2C">
            <w:pPr>
              <w:pageBreakBefore w:val="0"/>
              <w:kinsoku/>
              <w:wordWrap/>
              <w:overflowPunct/>
              <w:topLinePunct w:val="0"/>
              <w:bidi w:val="0"/>
              <w:ind w:left="420" w:leftChars="200" w:right="420" w:rightChars="200"/>
              <w:jc w:val="center"/>
              <w:rPr>
                <w:rFonts w:hint="eastAsia" w:ascii="宋体"/>
                <w:color w:val="000000"/>
                <w:sz w:val="24"/>
                <w:highlight w:val="none"/>
              </w:rPr>
            </w:pPr>
          </w:p>
        </w:tc>
        <w:tc>
          <w:tcPr>
            <w:tcW w:w="1538" w:type="dxa"/>
            <w:noWrap w:val="0"/>
            <w:vAlign w:val="center"/>
          </w:tcPr>
          <w:p w14:paraId="52C2C78E">
            <w:pPr>
              <w:pageBreakBefore w:val="0"/>
              <w:kinsoku/>
              <w:wordWrap/>
              <w:overflowPunct/>
              <w:topLinePunct w:val="0"/>
              <w:bidi w:val="0"/>
              <w:ind w:left="420" w:leftChars="200" w:right="420" w:rightChars="200"/>
              <w:jc w:val="center"/>
              <w:rPr>
                <w:rFonts w:hint="eastAsia" w:ascii="宋体"/>
                <w:color w:val="000000"/>
                <w:sz w:val="24"/>
                <w:highlight w:val="none"/>
              </w:rPr>
            </w:pPr>
          </w:p>
        </w:tc>
      </w:tr>
      <w:tr w14:paraId="07EEE7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72" w:type="dxa"/>
            <w:noWrap w:val="0"/>
            <w:vAlign w:val="center"/>
          </w:tcPr>
          <w:p w14:paraId="7DC9126F">
            <w:pPr>
              <w:pageBreakBefore w:val="0"/>
              <w:kinsoku/>
              <w:wordWrap/>
              <w:overflowPunct/>
              <w:topLinePunct w:val="0"/>
              <w:bidi w:val="0"/>
              <w:ind w:left="420" w:leftChars="200" w:right="420" w:rightChars="200"/>
              <w:jc w:val="center"/>
              <w:rPr>
                <w:rFonts w:hint="eastAsia" w:ascii="宋体"/>
                <w:color w:val="000000"/>
                <w:sz w:val="24"/>
                <w:highlight w:val="none"/>
              </w:rPr>
            </w:pPr>
          </w:p>
        </w:tc>
        <w:tc>
          <w:tcPr>
            <w:tcW w:w="5033" w:type="dxa"/>
            <w:noWrap w:val="0"/>
            <w:vAlign w:val="center"/>
          </w:tcPr>
          <w:p w14:paraId="0A6029AF">
            <w:pPr>
              <w:pageBreakBefore w:val="0"/>
              <w:kinsoku/>
              <w:wordWrap/>
              <w:overflowPunct/>
              <w:topLinePunct w:val="0"/>
              <w:bidi w:val="0"/>
              <w:spacing w:line="400" w:lineRule="exact"/>
              <w:ind w:left="420" w:leftChars="200" w:right="420" w:rightChars="200"/>
              <w:jc w:val="left"/>
              <w:rPr>
                <w:rFonts w:hint="eastAsia" w:ascii="宋体"/>
                <w:color w:val="000000"/>
                <w:sz w:val="24"/>
                <w:highlight w:val="none"/>
              </w:rPr>
            </w:pPr>
          </w:p>
        </w:tc>
        <w:tc>
          <w:tcPr>
            <w:tcW w:w="2025" w:type="dxa"/>
            <w:noWrap w:val="0"/>
            <w:vAlign w:val="center"/>
          </w:tcPr>
          <w:p w14:paraId="7262BAAA">
            <w:pPr>
              <w:pageBreakBefore w:val="0"/>
              <w:kinsoku/>
              <w:wordWrap/>
              <w:overflowPunct/>
              <w:topLinePunct w:val="0"/>
              <w:bidi w:val="0"/>
              <w:ind w:left="420" w:leftChars="200" w:right="420" w:rightChars="200"/>
              <w:jc w:val="center"/>
              <w:rPr>
                <w:rFonts w:hint="eastAsia" w:ascii="宋体"/>
                <w:color w:val="000000"/>
                <w:sz w:val="24"/>
                <w:highlight w:val="none"/>
              </w:rPr>
            </w:pPr>
          </w:p>
        </w:tc>
        <w:tc>
          <w:tcPr>
            <w:tcW w:w="1538" w:type="dxa"/>
            <w:noWrap w:val="0"/>
            <w:vAlign w:val="center"/>
          </w:tcPr>
          <w:p w14:paraId="7A327E84">
            <w:pPr>
              <w:pageBreakBefore w:val="0"/>
              <w:kinsoku/>
              <w:wordWrap/>
              <w:overflowPunct/>
              <w:topLinePunct w:val="0"/>
              <w:bidi w:val="0"/>
              <w:ind w:left="420" w:leftChars="200" w:right="420" w:rightChars="200"/>
              <w:jc w:val="center"/>
              <w:rPr>
                <w:rFonts w:hint="eastAsia" w:ascii="宋体"/>
                <w:color w:val="000000"/>
                <w:sz w:val="24"/>
                <w:highlight w:val="none"/>
              </w:rPr>
            </w:pPr>
          </w:p>
        </w:tc>
      </w:tr>
      <w:tr w14:paraId="393A64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72" w:type="dxa"/>
            <w:noWrap w:val="0"/>
            <w:vAlign w:val="center"/>
          </w:tcPr>
          <w:p w14:paraId="6703208B">
            <w:pPr>
              <w:pageBreakBefore w:val="0"/>
              <w:kinsoku/>
              <w:wordWrap/>
              <w:overflowPunct/>
              <w:topLinePunct w:val="0"/>
              <w:bidi w:val="0"/>
              <w:ind w:left="420" w:leftChars="200" w:right="420" w:rightChars="200"/>
              <w:jc w:val="center"/>
              <w:rPr>
                <w:rFonts w:hint="eastAsia" w:ascii="宋体"/>
                <w:color w:val="000000"/>
                <w:sz w:val="24"/>
                <w:highlight w:val="none"/>
              </w:rPr>
            </w:pPr>
          </w:p>
        </w:tc>
        <w:tc>
          <w:tcPr>
            <w:tcW w:w="5033" w:type="dxa"/>
            <w:noWrap w:val="0"/>
            <w:vAlign w:val="center"/>
          </w:tcPr>
          <w:p w14:paraId="2EA1F192">
            <w:pPr>
              <w:pageBreakBefore w:val="0"/>
              <w:kinsoku/>
              <w:wordWrap/>
              <w:overflowPunct/>
              <w:topLinePunct w:val="0"/>
              <w:bidi w:val="0"/>
              <w:spacing w:line="400" w:lineRule="exact"/>
              <w:ind w:left="420" w:leftChars="200" w:right="420" w:rightChars="200"/>
              <w:jc w:val="left"/>
              <w:rPr>
                <w:rFonts w:hint="eastAsia" w:ascii="宋体"/>
                <w:color w:val="000000"/>
                <w:sz w:val="24"/>
                <w:highlight w:val="none"/>
              </w:rPr>
            </w:pPr>
          </w:p>
        </w:tc>
        <w:tc>
          <w:tcPr>
            <w:tcW w:w="2025" w:type="dxa"/>
            <w:noWrap w:val="0"/>
            <w:vAlign w:val="center"/>
          </w:tcPr>
          <w:p w14:paraId="224E897C">
            <w:pPr>
              <w:pageBreakBefore w:val="0"/>
              <w:kinsoku/>
              <w:wordWrap/>
              <w:overflowPunct/>
              <w:topLinePunct w:val="0"/>
              <w:bidi w:val="0"/>
              <w:ind w:left="420" w:leftChars="200" w:right="420" w:rightChars="200"/>
              <w:jc w:val="center"/>
              <w:rPr>
                <w:rFonts w:hint="eastAsia" w:ascii="宋体"/>
                <w:color w:val="000000"/>
                <w:sz w:val="24"/>
                <w:highlight w:val="none"/>
              </w:rPr>
            </w:pPr>
          </w:p>
        </w:tc>
        <w:tc>
          <w:tcPr>
            <w:tcW w:w="1538" w:type="dxa"/>
            <w:noWrap w:val="0"/>
            <w:vAlign w:val="center"/>
          </w:tcPr>
          <w:p w14:paraId="565AB022">
            <w:pPr>
              <w:pageBreakBefore w:val="0"/>
              <w:kinsoku/>
              <w:wordWrap/>
              <w:overflowPunct/>
              <w:topLinePunct w:val="0"/>
              <w:bidi w:val="0"/>
              <w:ind w:left="420" w:leftChars="200" w:right="420" w:rightChars="200"/>
              <w:jc w:val="center"/>
              <w:rPr>
                <w:rFonts w:hint="eastAsia" w:ascii="宋体"/>
                <w:color w:val="000000"/>
                <w:sz w:val="24"/>
                <w:highlight w:val="none"/>
              </w:rPr>
            </w:pPr>
          </w:p>
        </w:tc>
      </w:tr>
      <w:tr w14:paraId="5B31A2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72" w:type="dxa"/>
            <w:noWrap w:val="0"/>
            <w:vAlign w:val="center"/>
          </w:tcPr>
          <w:p w14:paraId="6EC63B99">
            <w:pPr>
              <w:pageBreakBefore w:val="0"/>
              <w:kinsoku/>
              <w:wordWrap/>
              <w:overflowPunct/>
              <w:topLinePunct w:val="0"/>
              <w:bidi w:val="0"/>
              <w:ind w:left="420" w:leftChars="200" w:right="420" w:rightChars="200"/>
              <w:jc w:val="center"/>
              <w:rPr>
                <w:rFonts w:hint="eastAsia" w:ascii="宋体"/>
                <w:color w:val="000000"/>
                <w:sz w:val="24"/>
                <w:highlight w:val="none"/>
              </w:rPr>
            </w:pPr>
          </w:p>
        </w:tc>
        <w:tc>
          <w:tcPr>
            <w:tcW w:w="5033" w:type="dxa"/>
            <w:noWrap w:val="0"/>
            <w:vAlign w:val="center"/>
          </w:tcPr>
          <w:p w14:paraId="280F217E">
            <w:pPr>
              <w:pageBreakBefore w:val="0"/>
              <w:kinsoku/>
              <w:wordWrap/>
              <w:overflowPunct/>
              <w:topLinePunct w:val="0"/>
              <w:bidi w:val="0"/>
              <w:spacing w:line="400" w:lineRule="exact"/>
              <w:ind w:left="420" w:leftChars="200" w:right="420" w:rightChars="200"/>
              <w:jc w:val="left"/>
              <w:rPr>
                <w:rFonts w:hint="eastAsia" w:ascii="宋体"/>
                <w:color w:val="000000"/>
                <w:sz w:val="24"/>
                <w:highlight w:val="none"/>
              </w:rPr>
            </w:pPr>
          </w:p>
        </w:tc>
        <w:tc>
          <w:tcPr>
            <w:tcW w:w="2025" w:type="dxa"/>
            <w:noWrap w:val="0"/>
            <w:vAlign w:val="center"/>
          </w:tcPr>
          <w:p w14:paraId="1D467540">
            <w:pPr>
              <w:pageBreakBefore w:val="0"/>
              <w:kinsoku/>
              <w:wordWrap/>
              <w:overflowPunct/>
              <w:topLinePunct w:val="0"/>
              <w:bidi w:val="0"/>
              <w:ind w:left="420" w:leftChars="200" w:right="420" w:rightChars="200"/>
              <w:jc w:val="center"/>
              <w:rPr>
                <w:rFonts w:hint="eastAsia" w:ascii="宋体"/>
                <w:color w:val="000000"/>
                <w:sz w:val="24"/>
                <w:highlight w:val="none"/>
              </w:rPr>
            </w:pPr>
          </w:p>
        </w:tc>
        <w:tc>
          <w:tcPr>
            <w:tcW w:w="1538" w:type="dxa"/>
            <w:noWrap w:val="0"/>
            <w:vAlign w:val="center"/>
          </w:tcPr>
          <w:p w14:paraId="6E2455E4">
            <w:pPr>
              <w:pageBreakBefore w:val="0"/>
              <w:kinsoku/>
              <w:wordWrap/>
              <w:overflowPunct/>
              <w:topLinePunct w:val="0"/>
              <w:bidi w:val="0"/>
              <w:ind w:left="420" w:leftChars="200" w:right="420" w:rightChars="200"/>
              <w:jc w:val="center"/>
              <w:rPr>
                <w:rFonts w:hint="eastAsia" w:ascii="宋体"/>
                <w:color w:val="000000"/>
                <w:sz w:val="24"/>
                <w:highlight w:val="none"/>
              </w:rPr>
            </w:pPr>
          </w:p>
        </w:tc>
      </w:tr>
      <w:tr w14:paraId="5D1A3C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72" w:type="dxa"/>
            <w:noWrap w:val="0"/>
            <w:vAlign w:val="center"/>
          </w:tcPr>
          <w:p w14:paraId="6AC5C185">
            <w:pPr>
              <w:pageBreakBefore w:val="0"/>
              <w:kinsoku/>
              <w:wordWrap/>
              <w:overflowPunct/>
              <w:topLinePunct w:val="0"/>
              <w:bidi w:val="0"/>
              <w:ind w:left="420" w:leftChars="200" w:right="420" w:rightChars="200"/>
              <w:jc w:val="center"/>
              <w:rPr>
                <w:rFonts w:hint="eastAsia" w:ascii="宋体"/>
                <w:color w:val="000000"/>
                <w:sz w:val="24"/>
                <w:highlight w:val="none"/>
              </w:rPr>
            </w:pPr>
          </w:p>
        </w:tc>
        <w:tc>
          <w:tcPr>
            <w:tcW w:w="5033" w:type="dxa"/>
            <w:noWrap w:val="0"/>
            <w:vAlign w:val="center"/>
          </w:tcPr>
          <w:p w14:paraId="0403E728">
            <w:pPr>
              <w:pageBreakBefore w:val="0"/>
              <w:kinsoku/>
              <w:wordWrap/>
              <w:overflowPunct/>
              <w:topLinePunct w:val="0"/>
              <w:bidi w:val="0"/>
              <w:spacing w:line="400" w:lineRule="exact"/>
              <w:ind w:left="420" w:leftChars="200" w:right="420" w:rightChars="200"/>
              <w:jc w:val="left"/>
              <w:rPr>
                <w:rFonts w:hint="eastAsia" w:ascii="宋体"/>
                <w:color w:val="000000"/>
                <w:sz w:val="24"/>
                <w:highlight w:val="none"/>
              </w:rPr>
            </w:pPr>
          </w:p>
        </w:tc>
        <w:tc>
          <w:tcPr>
            <w:tcW w:w="2025" w:type="dxa"/>
            <w:noWrap w:val="0"/>
            <w:vAlign w:val="center"/>
          </w:tcPr>
          <w:p w14:paraId="4801BA1F">
            <w:pPr>
              <w:pageBreakBefore w:val="0"/>
              <w:kinsoku/>
              <w:wordWrap/>
              <w:overflowPunct/>
              <w:topLinePunct w:val="0"/>
              <w:bidi w:val="0"/>
              <w:ind w:left="420" w:leftChars="200" w:right="420" w:rightChars="200"/>
              <w:jc w:val="center"/>
              <w:rPr>
                <w:rFonts w:hint="eastAsia" w:ascii="宋体"/>
                <w:color w:val="000000"/>
                <w:sz w:val="24"/>
                <w:highlight w:val="none"/>
              </w:rPr>
            </w:pPr>
          </w:p>
        </w:tc>
        <w:tc>
          <w:tcPr>
            <w:tcW w:w="1538" w:type="dxa"/>
            <w:noWrap w:val="0"/>
            <w:vAlign w:val="center"/>
          </w:tcPr>
          <w:p w14:paraId="0DBF3F6E">
            <w:pPr>
              <w:pageBreakBefore w:val="0"/>
              <w:kinsoku/>
              <w:wordWrap/>
              <w:overflowPunct/>
              <w:topLinePunct w:val="0"/>
              <w:bidi w:val="0"/>
              <w:ind w:left="420" w:leftChars="200" w:right="420" w:rightChars="200"/>
              <w:jc w:val="center"/>
              <w:rPr>
                <w:rFonts w:hint="eastAsia" w:ascii="宋体"/>
                <w:color w:val="000000"/>
                <w:sz w:val="24"/>
                <w:highlight w:val="none"/>
              </w:rPr>
            </w:pPr>
          </w:p>
        </w:tc>
      </w:tr>
      <w:tr w14:paraId="6EF4D4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72" w:type="dxa"/>
            <w:noWrap w:val="0"/>
            <w:vAlign w:val="center"/>
          </w:tcPr>
          <w:p w14:paraId="139E9484">
            <w:pPr>
              <w:pageBreakBefore w:val="0"/>
              <w:kinsoku/>
              <w:wordWrap/>
              <w:overflowPunct/>
              <w:topLinePunct w:val="0"/>
              <w:bidi w:val="0"/>
              <w:ind w:left="420" w:leftChars="200" w:right="420" w:rightChars="200"/>
              <w:jc w:val="center"/>
              <w:rPr>
                <w:rFonts w:hint="eastAsia" w:ascii="宋体"/>
                <w:color w:val="000000"/>
                <w:sz w:val="24"/>
                <w:highlight w:val="none"/>
              </w:rPr>
            </w:pPr>
          </w:p>
        </w:tc>
        <w:tc>
          <w:tcPr>
            <w:tcW w:w="5033" w:type="dxa"/>
            <w:noWrap w:val="0"/>
            <w:vAlign w:val="center"/>
          </w:tcPr>
          <w:p w14:paraId="43F3C4D3">
            <w:pPr>
              <w:pageBreakBefore w:val="0"/>
              <w:kinsoku/>
              <w:wordWrap/>
              <w:overflowPunct/>
              <w:topLinePunct w:val="0"/>
              <w:bidi w:val="0"/>
              <w:spacing w:line="400" w:lineRule="exact"/>
              <w:ind w:left="420" w:leftChars="200" w:right="420" w:rightChars="200"/>
              <w:jc w:val="left"/>
              <w:rPr>
                <w:rFonts w:hint="eastAsia" w:ascii="宋体"/>
                <w:color w:val="000000"/>
                <w:sz w:val="24"/>
                <w:highlight w:val="none"/>
              </w:rPr>
            </w:pPr>
          </w:p>
        </w:tc>
        <w:tc>
          <w:tcPr>
            <w:tcW w:w="2025" w:type="dxa"/>
            <w:noWrap w:val="0"/>
            <w:vAlign w:val="center"/>
          </w:tcPr>
          <w:p w14:paraId="70FBE7EF">
            <w:pPr>
              <w:pageBreakBefore w:val="0"/>
              <w:kinsoku/>
              <w:wordWrap/>
              <w:overflowPunct/>
              <w:topLinePunct w:val="0"/>
              <w:bidi w:val="0"/>
              <w:ind w:left="420" w:leftChars="200" w:right="420" w:rightChars="200"/>
              <w:jc w:val="center"/>
              <w:rPr>
                <w:rFonts w:hint="eastAsia" w:ascii="宋体"/>
                <w:color w:val="000000"/>
                <w:sz w:val="24"/>
                <w:highlight w:val="none"/>
              </w:rPr>
            </w:pPr>
          </w:p>
        </w:tc>
        <w:tc>
          <w:tcPr>
            <w:tcW w:w="1538" w:type="dxa"/>
            <w:noWrap w:val="0"/>
            <w:vAlign w:val="center"/>
          </w:tcPr>
          <w:p w14:paraId="79462BDA">
            <w:pPr>
              <w:pageBreakBefore w:val="0"/>
              <w:kinsoku/>
              <w:wordWrap/>
              <w:overflowPunct/>
              <w:topLinePunct w:val="0"/>
              <w:bidi w:val="0"/>
              <w:ind w:left="420" w:leftChars="200" w:right="420" w:rightChars="200"/>
              <w:jc w:val="center"/>
              <w:rPr>
                <w:rFonts w:hint="eastAsia" w:ascii="宋体"/>
                <w:color w:val="000000"/>
                <w:sz w:val="24"/>
                <w:highlight w:val="none"/>
              </w:rPr>
            </w:pPr>
          </w:p>
        </w:tc>
      </w:tr>
    </w:tbl>
    <w:p w14:paraId="1FC9EA88">
      <w:pPr>
        <w:pageBreakBefore w:val="0"/>
        <w:kinsoku/>
        <w:wordWrap/>
        <w:overflowPunct/>
        <w:topLinePunct w:val="0"/>
        <w:bidi w:val="0"/>
        <w:ind w:left="420" w:leftChars="200" w:right="420" w:rightChars="200"/>
        <w:rPr>
          <w:rFonts w:hint="eastAsia" w:ascii="宋体"/>
          <w:color w:val="000000"/>
          <w:sz w:val="24"/>
          <w:highlight w:val="none"/>
        </w:rPr>
      </w:pPr>
      <w:r>
        <w:rPr>
          <w:rFonts w:hint="eastAsia" w:ascii="宋体"/>
          <w:color w:val="000000"/>
          <w:sz w:val="24"/>
          <w:highlight w:val="none"/>
        </w:rPr>
        <w:t>备注：此表根据“第</w:t>
      </w:r>
      <w:r>
        <w:rPr>
          <w:rFonts w:hint="eastAsia" w:ascii="宋体"/>
          <w:color w:val="000000"/>
          <w:sz w:val="24"/>
          <w:highlight w:val="none"/>
          <w:lang w:val="en-US" w:eastAsia="zh-CN"/>
        </w:rPr>
        <w:t>二</w:t>
      </w:r>
      <w:r>
        <w:rPr>
          <w:rFonts w:hint="eastAsia" w:ascii="宋体"/>
          <w:color w:val="000000"/>
          <w:sz w:val="24"/>
          <w:highlight w:val="none"/>
        </w:rPr>
        <w:t>部分项目需求”商务条款要求</w:t>
      </w:r>
      <w:r>
        <w:rPr>
          <w:rFonts w:hint="eastAsia" w:ascii="宋体"/>
          <w:color w:val="000000"/>
          <w:sz w:val="24"/>
          <w:highlight w:val="none"/>
          <w:lang w:val="en-US" w:eastAsia="zh-CN"/>
        </w:rPr>
        <w:t>逐行</w:t>
      </w:r>
      <w:r>
        <w:rPr>
          <w:rFonts w:hint="eastAsia" w:ascii="宋体"/>
          <w:color w:val="000000"/>
          <w:sz w:val="24"/>
          <w:highlight w:val="none"/>
        </w:rPr>
        <w:t>填写。</w:t>
      </w:r>
    </w:p>
    <w:p w14:paraId="3BF8D988">
      <w:pPr>
        <w:pageBreakBefore w:val="0"/>
        <w:kinsoku/>
        <w:wordWrap/>
        <w:overflowPunct/>
        <w:topLinePunct w:val="0"/>
        <w:bidi w:val="0"/>
        <w:ind w:left="420" w:leftChars="200" w:right="420" w:rightChars="200"/>
        <w:rPr>
          <w:rFonts w:hint="eastAsia" w:ascii="宋体"/>
          <w:color w:val="000000"/>
          <w:sz w:val="24"/>
          <w:highlight w:val="none"/>
        </w:rPr>
      </w:pPr>
    </w:p>
    <w:p w14:paraId="03114268">
      <w:pPr>
        <w:pStyle w:val="24"/>
        <w:pageBreakBefore w:val="0"/>
        <w:kinsoku/>
        <w:wordWrap/>
        <w:overflowPunct/>
        <w:topLinePunct w:val="0"/>
        <w:bidi w:val="0"/>
        <w:spacing w:before="120" w:beforeLines="50" w:line="360" w:lineRule="exact"/>
        <w:ind w:left="420" w:leftChars="200" w:right="420" w:rightChars="200" w:firstLine="0"/>
        <w:rPr>
          <w:rFonts w:eastAsia="宋体"/>
          <w:color w:val="000000"/>
          <w:szCs w:val="24"/>
          <w:highlight w:val="none"/>
        </w:rPr>
      </w:pPr>
      <w:r>
        <w:rPr>
          <w:rFonts w:hint="eastAsia" w:eastAsia="宋体"/>
          <w:color w:val="000000"/>
          <w:szCs w:val="24"/>
          <w:highlight w:val="none"/>
        </w:rPr>
        <w:t>供应商单位（盖公章）：</w:t>
      </w:r>
    </w:p>
    <w:p w14:paraId="01AE639F">
      <w:pPr>
        <w:pStyle w:val="24"/>
        <w:pageBreakBefore w:val="0"/>
        <w:kinsoku/>
        <w:wordWrap/>
        <w:overflowPunct/>
        <w:topLinePunct w:val="0"/>
        <w:bidi w:val="0"/>
        <w:spacing w:before="120" w:beforeLines="50" w:line="360" w:lineRule="exact"/>
        <w:ind w:left="420" w:leftChars="200" w:right="420" w:rightChars="200" w:firstLine="0"/>
        <w:rPr>
          <w:rFonts w:eastAsia="宋体"/>
          <w:color w:val="000000"/>
          <w:szCs w:val="24"/>
          <w:highlight w:val="none"/>
        </w:rPr>
      </w:pPr>
      <w:r>
        <w:rPr>
          <w:rFonts w:hint="eastAsia"/>
          <w:color w:val="000000"/>
          <w:highlight w:val="none"/>
        </w:rPr>
        <w:t>法定代表人或被授权代表人</w:t>
      </w:r>
      <w:r>
        <w:rPr>
          <w:rFonts w:hint="eastAsia" w:eastAsia="宋体"/>
          <w:color w:val="000000"/>
          <w:szCs w:val="24"/>
          <w:highlight w:val="none"/>
        </w:rPr>
        <w:t>（</w:t>
      </w:r>
      <w:r>
        <w:rPr>
          <w:rFonts w:eastAsia="宋体"/>
          <w:color w:val="000000"/>
          <w:highlight w:val="none"/>
        </w:rPr>
        <w:t>签字</w:t>
      </w:r>
      <w:r>
        <w:rPr>
          <w:rFonts w:hint="eastAsia" w:eastAsia="宋体"/>
          <w:color w:val="000000"/>
          <w:highlight w:val="none"/>
        </w:rPr>
        <w:t>或印章</w:t>
      </w:r>
      <w:r>
        <w:rPr>
          <w:rFonts w:hint="eastAsia" w:eastAsia="宋体"/>
          <w:color w:val="000000"/>
          <w:szCs w:val="24"/>
          <w:highlight w:val="none"/>
        </w:rPr>
        <w:t>）：</w:t>
      </w:r>
    </w:p>
    <w:p w14:paraId="776E0E58">
      <w:pPr>
        <w:pageBreakBefore w:val="0"/>
        <w:kinsoku/>
        <w:wordWrap/>
        <w:overflowPunct/>
        <w:topLinePunct w:val="0"/>
        <w:bidi w:val="0"/>
        <w:spacing w:before="120" w:beforeLines="50"/>
        <w:ind w:left="420" w:leftChars="200" w:right="420" w:rightChars="200"/>
        <w:rPr>
          <w:rFonts w:hint="eastAsia"/>
          <w:color w:val="000000"/>
          <w:sz w:val="24"/>
          <w:szCs w:val="24"/>
          <w:highlight w:val="none"/>
        </w:rPr>
      </w:pPr>
      <w:r>
        <w:rPr>
          <w:rFonts w:hint="eastAsia"/>
          <w:color w:val="000000"/>
          <w:sz w:val="24"/>
          <w:szCs w:val="24"/>
          <w:highlight w:val="none"/>
        </w:rPr>
        <w:t>日</w:t>
      </w:r>
      <w:r>
        <w:rPr>
          <w:color w:val="000000"/>
          <w:sz w:val="24"/>
          <w:szCs w:val="24"/>
          <w:highlight w:val="none"/>
        </w:rPr>
        <w:t xml:space="preserve">      </w:t>
      </w:r>
      <w:r>
        <w:rPr>
          <w:rFonts w:hint="eastAsia"/>
          <w:color w:val="000000"/>
          <w:sz w:val="24"/>
          <w:szCs w:val="24"/>
          <w:highlight w:val="none"/>
        </w:rPr>
        <w:t>期：</w:t>
      </w:r>
    </w:p>
    <w:p w14:paraId="42E0D5CF">
      <w:pPr>
        <w:pStyle w:val="24"/>
        <w:pageBreakBefore w:val="0"/>
        <w:kinsoku/>
        <w:wordWrap/>
        <w:overflowPunct/>
        <w:topLinePunct w:val="0"/>
        <w:bidi w:val="0"/>
        <w:ind w:left="420" w:leftChars="200" w:right="420" w:rightChars="200" w:firstLine="0"/>
        <w:rPr>
          <w:rFonts w:hint="eastAsia" w:ascii="宋体" w:eastAsia="宋体"/>
          <w:b/>
          <w:color w:val="000000"/>
          <w:sz w:val="28"/>
          <w:szCs w:val="28"/>
          <w:highlight w:val="none"/>
        </w:rPr>
      </w:pPr>
      <w:r>
        <w:rPr>
          <w:rFonts w:hint="eastAsia"/>
          <w:color w:val="000000"/>
          <w:szCs w:val="24"/>
          <w:highlight w:val="none"/>
        </w:rPr>
        <w:br w:type="page"/>
      </w:r>
    </w:p>
    <w:p w14:paraId="43BF8C0C">
      <w:pPr>
        <w:pStyle w:val="24"/>
        <w:pageBreakBefore w:val="0"/>
        <w:kinsoku/>
        <w:wordWrap/>
        <w:overflowPunct/>
        <w:topLinePunct w:val="0"/>
        <w:bidi w:val="0"/>
        <w:ind w:left="420" w:leftChars="200" w:right="420" w:rightChars="200" w:firstLine="0"/>
        <w:jc w:val="center"/>
        <w:outlineLvl w:val="0"/>
        <w:rPr>
          <w:rFonts w:hint="eastAsia" w:ascii="宋体" w:eastAsia="宋体"/>
          <w:b/>
          <w:color w:val="000000"/>
          <w:sz w:val="28"/>
          <w:szCs w:val="28"/>
          <w:highlight w:val="none"/>
        </w:rPr>
      </w:pPr>
      <w:bookmarkStart w:id="978" w:name="_Toc8485"/>
      <w:r>
        <w:rPr>
          <w:rFonts w:hint="eastAsia" w:ascii="宋体" w:eastAsia="宋体"/>
          <w:b/>
          <w:color w:val="000000"/>
          <w:sz w:val="28"/>
          <w:szCs w:val="28"/>
          <w:highlight w:val="none"/>
          <w:lang w:eastAsia="zh-CN"/>
        </w:rPr>
        <w:t>（</w:t>
      </w:r>
      <w:r>
        <w:rPr>
          <w:rFonts w:hint="eastAsia"/>
          <w:b/>
          <w:color w:val="000000"/>
          <w:sz w:val="28"/>
          <w:szCs w:val="28"/>
          <w:highlight w:val="none"/>
          <w:lang w:val="en-US" w:eastAsia="zh-CN"/>
        </w:rPr>
        <w:t>六</w:t>
      </w:r>
      <w:r>
        <w:rPr>
          <w:rFonts w:hint="eastAsia" w:ascii="宋体" w:eastAsia="宋体"/>
          <w:b/>
          <w:color w:val="000000"/>
          <w:sz w:val="28"/>
          <w:szCs w:val="28"/>
          <w:highlight w:val="none"/>
          <w:lang w:eastAsia="zh-CN"/>
        </w:rPr>
        <w:t>）</w:t>
      </w:r>
      <w:r>
        <w:rPr>
          <w:rFonts w:hint="eastAsia" w:ascii="宋体" w:eastAsia="宋体"/>
          <w:b/>
          <w:color w:val="000000"/>
          <w:sz w:val="28"/>
          <w:szCs w:val="28"/>
          <w:highlight w:val="none"/>
        </w:rPr>
        <w:t>法定代表人授权委托书或法定代表人身份证明</w:t>
      </w:r>
      <w:bookmarkEnd w:id="978"/>
    </w:p>
    <w:p w14:paraId="51ACD890">
      <w:pPr>
        <w:pStyle w:val="24"/>
        <w:pageBreakBefore w:val="0"/>
        <w:kinsoku/>
        <w:wordWrap/>
        <w:overflowPunct/>
        <w:topLinePunct w:val="0"/>
        <w:bidi w:val="0"/>
        <w:ind w:left="420" w:leftChars="200" w:right="420" w:rightChars="200" w:firstLine="0"/>
        <w:outlineLvl w:val="9"/>
        <w:rPr>
          <w:rFonts w:hint="eastAsia" w:ascii="宋体" w:eastAsia="宋体"/>
          <w:b/>
          <w:color w:val="000000"/>
          <w:sz w:val="28"/>
          <w:szCs w:val="28"/>
          <w:highlight w:val="none"/>
        </w:rPr>
      </w:pPr>
    </w:p>
    <w:p w14:paraId="0F6F3947">
      <w:pPr>
        <w:pStyle w:val="24"/>
        <w:pageBreakBefore w:val="0"/>
        <w:kinsoku/>
        <w:wordWrap/>
        <w:overflowPunct/>
        <w:topLinePunct w:val="0"/>
        <w:bidi w:val="0"/>
        <w:ind w:left="420" w:leftChars="200" w:right="420" w:rightChars="200" w:firstLine="3654" w:firstLineChars="1300"/>
        <w:outlineLvl w:val="0"/>
        <w:rPr>
          <w:rFonts w:hint="eastAsia" w:ascii="宋体" w:eastAsia="宋体"/>
          <w:b/>
          <w:color w:val="000000"/>
          <w:sz w:val="28"/>
          <w:highlight w:val="none"/>
        </w:rPr>
      </w:pPr>
      <w:bookmarkStart w:id="979" w:name="_Toc19549"/>
      <w:r>
        <w:rPr>
          <w:rFonts w:hint="eastAsia" w:ascii="宋体" w:eastAsia="宋体"/>
          <w:b/>
          <w:color w:val="000000"/>
          <w:sz w:val="28"/>
          <w:highlight w:val="none"/>
        </w:rPr>
        <w:t>法定代表人授权书</w:t>
      </w:r>
      <w:bookmarkEnd w:id="979"/>
    </w:p>
    <w:p w14:paraId="73BF56F0">
      <w:pPr>
        <w:pStyle w:val="24"/>
        <w:pageBreakBefore w:val="0"/>
        <w:kinsoku/>
        <w:wordWrap/>
        <w:overflowPunct/>
        <w:topLinePunct w:val="0"/>
        <w:bidi w:val="0"/>
        <w:ind w:left="420" w:leftChars="200" w:right="420" w:rightChars="200" w:firstLine="0"/>
        <w:jc w:val="center"/>
        <w:rPr>
          <w:rFonts w:hint="eastAsia" w:ascii="宋体" w:eastAsia="宋体"/>
          <w:color w:val="000000"/>
          <w:highlight w:val="none"/>
        </w:rPr>
      </w:pPr>
    </w:p>
    <w:p w14:paraId="76B510EC">
      <w:pPr>
        <w:pStyle w:val="24"/>
        <w:pageBreakBefore w:val="0"/>
        <w:kinsoku/>
        <w:wordWrap/>
        <w:overflowPunct/>
        <w:topLinePunct w:val="0"/>
        <w:bidi w:val="0"/>
        <w:spacing w:line="440" w:lineRule="exact"/>
        <w:ind w:left="420" w:leftChars="200" w:right="420" w:rightChars="200" w:firstLine="0"/>
        <w:rPr>
          <w:rFonts w:hint="eastAsia" w:ascii="宋体" w:eastAsia="宋体"/>
          <w:color w:val="000000"/>
          <w:highlight w:val="none"/>
        </w:rPr>
      </w:pPr>
      <w:r>
        <w:rPr>
          <w:rFonts w:hint="eastAsia" w:ascii="宋体" w:eastAsia="宋体"/>
          <w:color w:val="000000"/>
          <w:highlight w:val="none"/>
          <w:u w:val="single"/>
        </w:rPr>
        <w:t xml:space="preserve">  致 （</w:t>
      </w:r>
      <w:r>
        <w:rPr>
          <w:rFonts w:hint="eastAsia" w:ascii="宋体" w:eastAsia="宋体"/>
          <w:i/>
          <w:color w:val="000000"/>
          <w:highlight w:val="none"/>
          <w:u w:val="single"/>
        </w:rPr>
        <w:t>采购人</w:t>
      </w:r>
      <w:r>
        <w:rPr>
          <w:rFonts w:hint="eastAsia" w:ascii="宋体" w:eastAsia="宋体"/>
          <w:color w:val="000000"/>
          <w:highlight w:val="none"/>
          <w:u w:val="single"/>
        </w:rPr>
        <w:t xml:space="preserve">）          </w:t>
      </w:r>
      <w:r>
        <w:rPr>
          <w:rFonts w:hint="eastAsia" w:ascii="宋体" w:eastAsia="宋体"/>
          <w:color w:val="000000"/>
          <w:highlight w:val="none"/>
        </w:rPr>
        <w:t>：</w:t>
      </w:r>
    </w:p>
    <w:p w14:paraId="1B8F5D98">
      <w:pPr>
        <w:pStyle w:val="24"/>
        <w:pageBreakBefore w:val="0"/>
        <w:kinsoku/>
        <w:wordWrap/>
        <w:overflowPunct/>
        <w:topLinePunct w:val="0"/>
        <w:bidi w:val="0"/>
        <w:spacing w:before="120" w:beforeLines="50" w:line="440" w:lineRule="exact"/>
        <w:ind w:left="420" w:leftChars="200" w:right="420" w:rightChars="200" w:firstLineChars="200"/>
        <w:rPr>
          <w:rFonts w:hint="eastAsia" w:ascii="宋体" w:eastAsia="宋体"/>
          <w:color w:val="000000"/>
          <w:highlight w:val="none"/>
        </w:rPr>
      </w:pPr>
      <w:r>
        <w:rPr>
          <w:rFonts w:hint="eastAsia" w:ascii="宋体" w:eastAsia="宋体"/>
          <w:color w:val="000000"/>
          <w:highlight w:val="none"/>
          <w:u w:val="single"/>
        </w:rPr>
        <w:t xml:space="preserve">    （</w:t>
      </w:r>
      <w:r>
        <w:rPr>
          <w:rFonts w:hint="eastAsia" w:ascii="宋体" w:eastAsia="宋体"/>
          <w:i/>
          <w:color w:val="000000"/>
          <w:highlight w:val="none"/>
          <w:u w:val="single"/>
        </w:rPr>
        <w:t>供应商全称</w:t>
      </w:r>
      <w:r>
        <w:rPr>
          <w:rFonts w:hint="eastAsia" w:ascii="宋体" w:eastAsia="宋体"/>
          <w:color w:val="000000"/>
          <w:highlight w:val="none"/>
          <w:u w:val="single"/>
        </w:rPr>
        <w:t xml:space="preserve">）   </w:t>
      </w:r>
      <w:r>
        <w:rPr>
          <w:rFonts w:hint="eastAsia" w:ascii="宋体" w:eastAsia="宋体"/>
          <w:color w:val="000000"/>
          <w:highlight w:val="none"/>
        </w:rPr>
        <w:t>法定代表人</w:t>
      </w:r>
      <w:r>
        <w:rPr>
          <w:rFonts w:hint="eastAsia" w:ascii="宋体" w:eastAsia="宋体"/>
          <w:color w:val="000000"/>
          <w:highlight w:val="none"/>
          <w:u w:val="single"/>
        </w:rPr>
        <w:t xml:space="preserve">  </w:t>
      </w:r>
      <w:r>
        <w:rPr>
          <w:rFonts w:hint="eastAsia" w:ascii="宋体" w:eastAsia="宋体"/>
          <w:i/>
          <w:color w:val="000000"/>
          <w:highlight w:val="none"/>
          <w:u w:val="single"/>
        </w:rPr>
        <w:t>（姓名、职务）</w:t>
      </w:r>
      <w:r>
        <w:rPr>
          <w:rFonts w:hint="eastAsia" w:ascii="宋体" w:eastAsia="宋体"/>
          <w:color w:val="000000"/>
          <w:highlight w:val="none"/>
          <w:u w:val="single"/>
        </w:rPr>
        <w:t xml:space="preserve">  </w:t>
      </w:r>
      <w:r>
        <w:rPr>
          <w:rFonts w:hint="eastAsia" w:ascii="宋体" w:eastAsia="宋体"/>
          <w:color w:val="000000"/>
          <w:highlight w:val="none"/>
        </w:rPr>
        <w:t>授权</w:t>
      </w:r>
      <w:r>
        <w:rPr>
          <w:rFonts w:hint="eastAsia" w:ascii="宋体" w:eastAsia="宋体"/>
          <w:color w:val="000000"/>
          <w:highlight w:val="none"/>
          <w:u w:val="single"/>
        </w:rPr>
        <w:t xml:space="preserve">  （</w:t>
      </w:r>
      <w:r>
        <w:rPr>
          <w:rFonts w:hint="eastAsia" w:ascii="宋体" w:eastAsia="宋体"/>
          <w:i/>
          <w:color w:val="000000"/>
          <w:highlight w:val="none"/>
          <w:u w:val="single"/>
        </w:rPr>
        <w:t>被授权代表姓名</w:t>
      </w:r>
      <w:r>
        <w:rPr>
          <w:rFonts w:hint="eastAsia" w:ascii="宋体" w:eastAsia="宋体"/>
          <w:color w:val="000000"/>
          <w:highlight w:val="none"/>
          <w:u w:val="single"/>
        </w:rPr>
        <w:t xml:space="preserve">）   </w:t>
      </w:r>
      <w:r>
        <w:rPr>
          <w:rFonts w:hint="eastAsia" w:ascii="宋体" w:eastAsia="宋体"/>
          <w:color w:val="000000"/>
          <w:highlight w:val="none"/>
        </w:rPr>
        <w:t>为本公司合法代理人，参加</w:t>
      </w:r>
      <w:r>
        <w:rPr>
          <w:rFonts w:hint="eastAsia" w:ascii="宋体" w:eastAsia="宋体"/>
          <w:i/>
          <w:color w:val="000000"/>
          <w:highlight w:val="none"/>
          <w:u w:val="single"/>
        </w:rPr>
        <w:t>（项目编号）</w:t>
      </w:r>
      <w:r>
        <w:rPr>
          <w:rFonts w:hint="eastAsia" w:ascii="宋体" w:eastAsia="宋体"/>
          <w:color w:val="000000"/>
          <w:highlight w:val="none"/>
          <w:u w:val="single"/>
        </w:rPr>
        <w:t xml:space="preserve"> (</w:t>
      </w:r>
      <w:r>
        <w:rPr>
          <w:rFonts w:hint="eastAsia" w:ascii="宋体" w:eastAsia="宋体"/>
          <w:i/>
          <w:color w:val="000000"/>
          <w:highlight w:val="none"/>
          <w:u w:val="single"/>
        </w:rPr>
        <w:t>项目名称</w:t>
      </w:r>
      <w:r>
        <w:rPr>
          <w:rFonts w:hint="eastAsia" w:ascii="宋体" w:eastAsia="宋体"/>
          <w:color w:val="000000"/>
          <w:highlight w:val="none"/>
          <w:u w:val="single"/>
        </w:rPr>
        <w:t xml:space="preserve">)   </w:t>
      </w:r>
      <w:r>
        <w:rPr>
          <w:rFonts w:hint="eastAsia" w:ascii="宋体" w:eastAsia="宋体"/>
          <w:color w:val="000000"/>
          <w:highlight w:val="none"/>
        </w:rPr>
        <w:t>项目的采购活动，代表本公司处理采购活动中的一切事宜。</w:t>
      </w:r>
    </w:p>
    <w:p w14:paraId="20B431BC">
      <w:pPr>
        <w:pStyle w:val="24"/>
        <w:pageBreakBefore w:val="0"/>
        <w:kinsoku/>
        <w:wordWrap/>
        <w:overflowPunct/>
        <w:topLinePunct w:val="0"/>
        <w:bidi w:val="0"/>
        <w:spacing w:before="120" w:beforeLines="50" w:line="440" w:lineRule="exact"/>
        <w:ind w:left="420" w:leftChars="200" w:right="420" w:rightChars="200" w:firstLine="0"/>
        <w:rPr>
          <w:rFonts w:hint="eastAsia" w:ascii="宋体" w:eastAsia="宋体"/>
          <w:color w:val="000000"/>
          <w:highlight w:val="none"/>
          <w:u w:val="single"/>
        </w:rPr>
      </w:pPr>
      <w:r>
        <w:rPr>
          <w:rFonts w:hint="eastAsia" w:ascii="宋体" w:eastAsia="宋体"/>
          <w:color w:val="000000"/>
          <w:highlight w:val="none"/>
        </w:rPr>
        <w:t xml:space="preserve">     本授权书于</w:t>
      </w:r>
      <w:r>
        <w:rPr>
          <w:rFonts w:hint="eastAsia" w:ascii="宋体" w:eastAsia="宋体"/>
          <w:color w:val="000000"/>
          <w:highlight w:val="none"/>
          <w:u w:val="single"/>
        </w:rPr>
        <w:t xml:space="preserve">     年   月    日</w:t>
      </w:r>
      <w:r>
        <w:rPr>
          <w:rFonts w:hint="eastAsia" w:ascii="宋体" w:eastAsia="宋体"/>
          <w:color w:val="000000"/>
          <w:highlight w:val="none"/>
        </w:rPr>
        <w:t>签字生效,特此声明。</w:t>
      </w:r>
    </w:p>
    <w:p w14:paraId="47D5CEC3">
      <w:pPr>
        <w:pStyle w:val="24"/>
        <w:pageBreakBefore w:val="0"/>
        <w:kinsoku/>
        <w:wordWrap/>
        <w:overflowPunct/>
        <w:topLinePunct w:val="0"/>
        <w:bidi w:val="0"/>
        <w:spacing w:line="440" w:lineRule="exact"/>
        <w:ind w:left="420" w:leftChars="200" w:right="420" w:rightChars="200" w:firstLine="0"/>
        <w:rPr>
          <w:rFonts w:hint="eastAsia" w:ascii="宋体" w:eastAsia="宋体"/>
          <w:color w:val="000000"/>
          <w:highlight w:val="none"/>
        </w:rPr>
      </w:pPr>
    </w:p>
    <w:p w14:paraId="2D991603">
      <w:pPr>
        <w:pStyle w:val="24"/>
        <w:pageBreakBefore w:val="0"/>
        <w:kinsoku/>
        <w:wordWrap/>
        <w:overflowPunct/>
        <w:topLinePunct w:val="0"/>
        <w:bidi w:val="0"/>
        <w:spacing w:line="440" w:lineRule="exact"/>
        <w:ind w:left="420" w:leftChars="200" w:right="420" w:rightChars="200" w:firstLine="0"/>
        <w:rPr>
          <w:rFonts w:hint="eastAsia" w:ascii="宋体" w:eastAsia="宋体"/>
          <w:color w:val="000000"/>
          <w:highlight w:val="none"/>
        </w:rPr>
      </w:pPr>
      <w:r>
        <w:rPr>
          <w:rFonts w:hint="eastAsia" w:ascii="宋体" w:eastAsia="宋体"/>
          <w:color w:val="000000"/>
          <w:highlight w:val="none"/>
        </w:rPr>
        <w:t xml:space="preserve">                                          法定代表人（</w:t>
      </w:r>
      <w:r>
        <w:rPr>
          <w:rFonts w:eastAsia="宋体"/>
          <w:color w:val="000000"/>
          <w:highlight w:val="none"/>
        </w:rPr>
        <w:t>签字</w:t>
      </w:r>
      <w:r>
        <w:rPr>
          <w:rFonts w:hint="eastAsia" w:eastAsia="宋体"/>
          <w:color w:val="000000"/>
          <w:highlight w:val="none"/>
        </w:rPr>
        <w:t>或印章</w:t>
      </w:r>
      <w:r>
        <w:rPr>
          <w:rFonts w:hint="eastAsia" w:ascii="宋体" w:eastAsia="宋体"/>
          <w:color w:val="000000"/>
          <w:highlight w:val="none"/>
        </w:rPr>
        <w:t>）：</w:t>
      </w:r>
    </w:p>
    <w:p w14:paraId="7FD4737F">
      <w:pPr>
        <w:pStyle w:val="24"/>
        <w:pageBreakBefore w:val="0"/>
        <w:kinsoku/>
        <w:wordWrap/>
        <w:overflowPunct/>
        <w:topLinePunct w:val="0"/>
        <w:bidi w:val="0"/>
        <w:spacing w:line="440" w:lineRule="exact"/>
        <w:ind w:left="420" w:leftChars="200" w:right="420" w:rightChars="200" w:firstLine="0"/>
        <w:rPr>
          <w:rFonts w:hint="eastAsia" w:ascii="宋体" w:eastAsia="宋体"/>
          <w:color w:val="000000"/>
          <w:highlight w:val="none"/>
        </w:rPr>
      </w:pPr>
      <w:r>
        <w:rPr>
          <w:rFonts w:hint="eastAsia" w:ascii="宋体" w:eastAsia="宋体"/>
          <w:color w:val="000000"/>
          <w:highlight w:val="none"/>
        </w:rPr>
        <w:t xml:space="preserve">                                          供应商单位（公章）：</w:t>
      </w:r>
    </w:p>
    <w:p w14:paraId="7E2D06D0">
      <w:pPr>
        <w:pStyle w:val="24"/>
        <w:pageBreakBefore w:val="0"/>
        <w:kinsoku/>
        <w:wordWrap/>
        <w:overflowPunct/>
        <w:topLinePunct w:val="0"/>
        <w:bidi w:val="0"/>
        <w:spacing w:line="440" w:lineRule="exact"/>
        <w:ind w:left="420" w:leftChars="200" w:right="420" w:rightChars="200" w:firstLine="0"/>
        <w:rPr>
          <w:rFonts w:hint="eastAsia" w:ascii="宋体" w:eastAsia="宋体"/>
          <w:color w:val="000000"/>
          <w:highlight w:val="none"/>
        </w:rPr>
      </w:pPr>
      <w:r>
        <w:rPr>
          <w:rFonts w:hint="eastAsia" w:ascii="宋体" w:eastAsia="宋体"/>
          <w:color w:val="000000"/>
          <w:highlight w:val="none"/>
        </w:rPr>
        <w:t xml:space="preserve">                                          日  期：</w:t>
      </w:r>
    </w:p>
    <w:p w14:paraId="7413065C">
      <w:pPr>
        <w:pStyle w:val="24"/>
        <w:pageBreakBefore w:val="0"/>
        <w:kinsoku/>
        <w:wordWrap/>
        <w:overflowPunct/>
        <w:topLinePunct w:val="0"/>
        <w:bidi w:val="0"/>
        <w:spacing w:line="400" w:lineRule="exact"/>
        <w:ind w:left="420" w:leftChars="200" w:right="420" w:rightChars="200" w:firstLine="0"/>
        <w:rPr>
          <w:rFonts w:hint="eastAsia" w:ascii="宋体" w:eastAsia="宋体"/>
          <w:color w:val="000000"/>
          <w:highlight w:val="none"/>
        </w:rPr>
      </w:pPr>
    </w:p>
    <w:p w14:paraId="33129D95">
      <w:pPr>
        <w:pStyle w:val="24"/>
        <w:pageBreakBefore w:val="0"/>
        <w:kinsoku/>
        <w:wordWrap/>
        <w:overflowPunct/>
        <w:topLinePunct w:val="0"/>
        <w:bidi w:val="0"/>
        <w:spacing w:line="400" w:lineRule="exact"/>
        <w:ind w:left="420" w:leftChars="200" w:right="420" w:rightChars="200" w:firstLine="0"/>
        <w:rPr>
          <w:rFonts w:hint="eastAsia" w:ascii="宋体" w:eastAsia="宋体"/>
          <w:color w:val="000000"/>
          <w:highlight w:val="none"/>
        </w:rPr>
      </w:pPr>
      <w:r>
        <w:rPr>
          <w:rFonts w:hint="eastAsia" w:ascii="宋体" w:eastAsia="宋体"/>
          <w:color w:val="000000"/>
          <w:highlight w:val="none"/>
        </w:rPr>
        <w:t>附：</w:t>
      </w:r>
    </w:p>
    <w:p w14:paraId="22143E2C">
      <w:pPr>
        <w:pStyle w:val="24"/>
        <w:pageBreakBefore w:val="0"/>
        <w:kinsoku/>
        <w:wordWrap/>
        <w:overflowPunct/>
        <w:topLinePunct w:val="0"/>
        <w:bidi w:val="0"/>
        <w:spacing w:line="400" w:lineRule="exact"/>
        <w:ind w:left="420" w:leftChars="200" w:right="420" w:rightChars="200" w:firstLine="235"/>
        <w:rPr>
          <w:rFonts w:hint="eastAsia" w:ascii="宋体" w:eastAsia="宋体"/>
          <w:color w:val="000000"/>
          <w:highlight w:val="none"/>
        </w:rPr>
      </w:pPr>
      <w:r>
        <w:rPr>
          <w:rFonts w:hint="eastAsia" w:ascii="宋体" w:eastAsia="宋体"/>
          <w:color w:val="000000"/>
          <w:highlight w:val="none"/>
        </w:rPr>
        <w:t>被授权代表（</w:t>
      </w:r>
      <w:r>
        <w:rPr>
          <w:rFonts w:eastAsia="宋体"/>
          <w:color w:val="000000"/>
          <w:highlight w:val="none"/>
        </w:rPr>
        <w:t>签字</w:t>
      </w:r>
      <w:r>
        <w:rPr>
          <w:rFonts w:hint="eastAsia" w:eastAsia="宋体"/>
          <w:color w:val="000000"/>
          <w:highlight w:val="none"/>
        </w:rPr>
        <w:t>或印章</w:t>
      </w:r>
      <w:r>
        <w:rPr>
          <w:rFonts w:hint="eastAsia" w:ascii="宋体" w:eastAsia="宋体"/>
          <w:color w:val="000000"/>
          <w:highlight w:val="none"/>
        </w:rPr>
        <w:t>）：</w:t>
      </w:r>
    </w:p>
    <w:p w14:paraId="17BBDCB8">
      <w:pPr>
        <w:pStyle w:val="24"/>
        <w:pageBreakBefore w:val="0"/>
        <w:kinsoku/>
        <w:wordWrap/>
        <w:overflowPunct/>
        <w:topLinePunct w:val="0"/>
        <w:bidi w:val="0"/>
        <w:spacing w:line="400" w:lineRule="exact"/>
        <w:ind w:left="420" w:leftChars="200" w:right="420" w:rightChars="200" w:firstLine="0"/>
        <w:rPr>
          <w:rFonts w:hint="eastAsia" w:ascii="宋体" w:eastAsia="宋体"/>
          <w:color w:val="000000"/>
          <w:highlight w:val="none"/>
        </w:rPr>
      </w:pPr>
      <w:r>
        <w:rPr>
          <w:rFonts w:hint="eastAsia" w:ascii="宋体" w:eastAsia="宋体"/>
          <w:color w:val="000000"/>
          <w:highlight w:val="none"/>
        </w:rPr>
        <w:t xml:space="preserve">  电        话：</w:t>
      </w:r>
    </w:p>
    <w:p w14:paraId="1CF8BF75">
      <w:pPr>
        <w:pStyle w:val="24"/>
        <w:pageBreakBefore w:val="0"/>
        <w:kinsoku/>
        <w:wordWrap/>
        <w:overflowPunct/>
        <w:topLinePunct w:val="0"/>
        <w:bidi w:val="0"/>
        <w:spacing w:line="400" w:lineRule="exact"/>
        <w:ind w:left="420" w:leftChars="200" w:right="420" w:rightChars="200" w:firstLine="0"/>
        <w:rPr>
          <w:rFonts w:hint="eastAsia" w:ascii="宋体" w:eastAsia="宋体"/>
          <w:color w:val="000000"/>
          <w:highlight w:val="none"/>
        </w:rPr>
      </w:pPr>
    </w:p>
    <w:p w14:paraId="5FD0DE00">
      <w:pPr>
        <w:pStyle w:val="24"/>
        <w:pageBreakBefore w:val="0"/>
        <w:kinsoku/>
        <w:wordWrap/>
        <w:overflowPunct/>
        <w:topLinePunct w:val="0"/>
        <w:bidi w:val="0"/>
        <w:spacing w:line="400" w:lineRule="exact"/>
        <w:ind w:left="420" w:leftChars="200" w:right="420" w:rightChars="200" w:firstLine="0"/>
        <w:rPr>
          <w:rFonts w:hint="eastAsia" w:ascii="宋体" w:eastAsia="宋体"/>
          <w:b/>
          <w:color w:val="000000"/>
          <w:highlight w:val="none"/>
        </w:rPr>
      </w:pPr>
      <w:r>
        <w:rPr>
          <w:rFonts w:hint="eastAsia" w:ascii="宋体" w:eastAsia="宋体"/>
          <w:b/>
          <w:color w:val="000000"/>
          <w:highlight w:val="none"/>
        </w:rPr>
        <w:t>附：法定代表人、被授权代表身份证复印件。</w:t>
      </w:r>
    </w:p>
    <w:p w14:paraId="097822B4">
      <w:pPr>
        <w:pStyle w:val="24"/>
        <w:pageBreakBefore w:val="0"/>
        <w:kinsoku/>
        <w:wordWrap/>
        <w:overflowPunct/>
        <w:topLinePunct w:val="0"/>
        <w:bidi w:val="0"/>
        <w:spacing w:line="400" w:lineRule="exact"/>
        <w:ind w:left="420" w:leftChars="200" w:right="420" w:rightChars="200" w:firstLine="0"/>
        <w:rPr>
          <w:rFonts w:hint="eastAsia" w:ascii="宋体" w:eastAsia="宋体"/>
          <w:b/>
          <w:color w:val="000000"/>
          <w:highlight w:val="none"/>
        </w:rPr>
      </w:pPr>
    </w:p>
    <w:p w14:paraId="4F93B3C2">
      <w:pPr>
        <w:pStyle w:val="24"/>
        <w:pageBreakBefore w:val="0"/>
        <w:kinsoku/>
        <w:wordWrap/>
        <w:overflowPunct/>
        <w:topLinePunct w:val="0"/>
        <w:bidi w:val="0"/>
        <w:spacing w:line="400" w:lineRule="exact"/>
        <w:ind w:left="420" w:leftChars="200" w:right="420" w:rightChars="200" w:firstLine="0"/>
        <w:rPr>
          <w:rFonts w:hint="eastAsia" w:ascii="宋体" w:eastAsia="宋体"/>
          <w:b/>
          <w:color w:val="000000"/>
          <w:highlight w:val="none"/>
        </w:rPr>
      </w:pPr>
      <w:r>
        <w:rPr>
          <w:rFonts w:hint="eastAsia" w:ascii="宋体" w:eastAsia="宋体"/>
          <w:b/>
          <w:color w:val="000000"/>
          <w:highlight w:val="none"/>
        </w:rPr>
        <w:t>备注：如法定代表人参加磋商采购活动，并签署响应文件的，此表无需提供，仅提供法定代表人身份证即可。</w:t>
      </w:r>
    </w:p>
    <w:p w14:paraId="097942A9">
      <w:pPr>
        <w:pStyle w:val="24"/>
        <w:pageBreakBefore w:val="0"/>
        <w:kinsoku/>
        <w:wordWrap/>
        <w:overflowPunct/>
        <w:topLinePunct w:val="0"/>
        <w:bidi w:val="0"/>
        <w:spacing w:line="400" w:lineRule="exact"/>
        <w:ind w:left="420" w:leftChars="200" w:right="420" w:rightChars="200" w:firstLine="0"/>
        <w:rPr>
          <w:rFonts w:hint="eastAsia" w:ascii="宋体" w:eastAsia="宋体"/>
          <w:b/>
          <w:color w:val="000000"/>
          <w:highlight w:val="none"/>
        </w:rPr>
      </w:pPr>
    </w:p>
    <w:p w14:paraId="67A5D7D4">
      <w:pPr>
        <w:pageBreakBefore w:val="0"/>
        <w:kinsoku/>
        <w:wordWrap/>
        <w:overflowPunct/>
        <w:topLinePunct w:val="0"/>
        <w:bidi w:val="0"/>
        <w:ind w:left="420" w:leftChars="200" w:right="420" w:rightChars="200"/>
        <w:rPr>
          <w:rFonts w:hint="eastAsia" w:ascii="宋体"/>
          <w:b/>
          <w:color w:val="000000"/>
          <w:sz w:val="28"/>
          <w:highlight w:val="none"/>
        </w:rPr>
      </w:pPr>
      <w:r>
        <w:rPr>
          <w:color w:val="000000"/>
          <w:highlight w:val="none"/>
        </w:rPr>
        <w:br w:type="page"/>
      </w:r>
    </w:p>
    <w:p w14:paraId="7A7C3E93">
      <w:pPr>
        <w:pageBreakBefore w:val="0"/>
        <w:kinsoku/>
        <w:wordWrap/>
        <w:overflowPunct/>
        <w:topLinePunct w:val="0"/>
        <w:bidi w:val="0"/>
        <w:ind w:left="420" w:leftChars="200" w:right="420" w:rightChars="200"/>
        <w:rPr>
          <w:rFonts w:hint="eastAsia" w:ascii="宋体"/>
          <w:b/>
          <w:color w:val="000000"/>
          <w:sz w:val="28"/>
          <w:highlight w:val="none"/>
        </w:rPr>
      </w:pPr>
    </w:p>
    <w:p w14:paraId="00573320">
      <w:pPr>
        <w:pageBreakBefore w:val="0"/>
        <w:kinsoku/>
        <w:wordWrap/>
        <w:overflowPunct/>
        <w:topLinePunct w:val="0"/>
        <w:bidi w:val="0"/>
        <w:snapToGrid w:val="0"/>
        <w:spacing w:line="360" w:lineRule="auto"/>
        <w:ind w:left="420" w:leftChars="200" w:right="420" w:rightChars="200"/>
        <w:jc w:val="center"/>
        <w:rPr>
          <w:rFonts w:ascii="仿宋" w:hAnsi="仿宋" w:eastAsia="仿宋" w:cs="仿宋"/>
          <w:b/>
          <w:kern w:val="0"/>
          <w:sz w:val="32"/>
          <w:szCs w:val="32"/>
          <w:lang w:val="zh-CN"/>
        </w:rPr>
      </w:pPr>
      <w:r>
        <w:rPr>
          <w:rFonts w:hint="eastAsia" w:ascii="仿宋" w:hAnsi="仿宋" w:eastAsia="仿宋" w:cs="仿宋"/>
          <w:b/>
          <w:kern w:val="0"/>
          <w:sz w:val="32"/>
          <w:szCs w:val="32"/>
          <w:lang w:val="zh-CN"/>
        </w:rPr>
        <w:t>（</w:t>
      </w:r>
      <w:r>
        <w:rPr>
          <w:rFonts w:hint="eastAsia" w:ascii="仿宋" w:hAnsi="仿宋" w:eastAsia="仿宋" w:cs="仿宋"/>
          <w:b/>
          <w:kern w:val="0"/>
          <w:sz w:val="32"/>
          <w:szCs w:val="32"/>
          <w:lang w:eastAsia="zh-CN"/>
        </w:rPr>
        <w:t>七</w:t>
      </w:r>
      <w:r>
        <w:rPr>
          <w:rFonts w:hint="eastAsia" w:ascii="仿宋" w:hAnsi="仿宋" w:eastAsia="仿宋" w:cs="仿宋"/>
          <w:b/>
          <w:kern w:val="0"/>
          <w:sz w:val="32"/>
          <w:szCs w:val="32"/>
        </w:rPr>
        <w:t>）</w:t>
      </w:r>
      <w:r>
        <w:rPr>
          <w:rFonts w:hint="eastAsia" w:ascii="仿宋" w:hAnsi="仿宋" w:eastAsia="仿宋" w:cs="仿宋"/>
          <w:b/>
          <w:kern w:val="0"/>
          <w:sz w:val="32"/>
          <w:szCs w:val="32"/>
          <w:lang w:val="zh-CN"/>
        </w:rPr>
        <w:t>供应商基本情况表</w:t>
      </w:r>
    </w:p>
    <w:tbl>
      <w:tblPr>
        <w:tblStyle w:val="60"/>
        <w:tblW w:w="98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92"/>
        <w:gridCol w:w="1136"/>
        <w:gridCol w:w="1261"/>
        <w:gridCol w:w="1786"/>
        <w:gridCol w:w="1200"/>
        <w:gridCol w:w="1852"/>
      </w:tblGrid>
      <w:tr w14:paraId="0EB735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592" w:type="dxa"/>
            <w:vAlign w:val="center"/>
          </w:tcPr>
          <w:p w14:paraId="0C8F8A91">
            <w:pPr>
              <w:pageBreakBefore w:val="0"/>
              <w:kinsoku/>
              <w:wordWrap/>
              <w:overflowPunct/>
              <w:topLinePunct w:val="0"/>
              <w:bidi w:val="0"/>
              <w:snapToGrid w:val="0"/>
              <w:spacing w:line="360" w:lineRule="auto"/>
              <w:ind w:right="420" w:rightChars="200"/>
              <w:jc w:val="left"/>
              <w:rPr>
                <w:rFonts w:ascii="仿宋" w:hAnsi="仿宋" w:eastAsia="仿宋" w:cs="仿宋"/>
                <w:kern w:val="0"/>
                <w:sz w:val="24"/>
                <w:lang w:val="zh-CN"/>
              </w:rPr>
            </w:pPr>
            <w:r>
              <w:rPr>
                <w:rFonts w:hint="eastAsia" w:ascii="仿宋" w:hAnsi="仿宋" w:eastAsia="仿宋" w:cs="仿宋"/>
                <w:kern w:val="0"/>
                <w:sz w:val="24"/>
                <w:lang w:val="zh-CN"/>
              </w:rPr>
              <w:t>供应商名称</w:t>
            </w:r>
          </w:p>
        </w:tc>
        <w:tc>
          <w:tcPr>
            <w:tcW w:w="7235" w:type="dxa"/>
            <w:gridSpan w:val="5"/>
            <w:vAlign w:val="center"/>
          </w:tcPr>
          <w:p w14:paraId="753D572B">
            <w:pPr>
              <w:pageBreakBefore w:val="0"/>
              <w:kinsoku/>
              <w:wordWrap/>
              <w:overflowPunct/>
              <w:topLinePunct w:val="0"/>
              <w:bidi w:val="0"/>
              <w:snapToGrid w:val="0"/>
              <w:spacing w:line="360" w:lineRule="auto"/>
              <w:ind w:left="420" w:leftChars="200" w:right="420" w:rightChars="200"/>
              <w:jc w:val="left"/>
              <w:rPr>
                <w:rFonts w:ascii="仿宋" w:hAnsi="仿宋" w:eastAsia="仿宋" w:cs="仿宋"/>
                <w:kern w:val="0"/>
                <w:sz w:val="24"/>
                <w:lang w:val="zh-CN"/>
              </w:rPr>
            </w:pPr>
          </w:p>
        </w:tc>
      </w:tr>
      <w:tr w14:paraId="77C2DA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592" w:type="dxa"/>
            <w:vAlign w:val="center"/>
          </w:tcPr>
          <w:p w14:paraId="22631506">
            <w:pPr>
              <w:pageBreakBefore w:val="0"/>
              <w:kinsoku/>
              <w:wordWrap/>
              <w:overflowPunct/>
              <w:topLinePunct w:val="0"/>
              <w:bidi w:val="0"/>
              <w:snapToGrid w:val="0"/>
              <w:spacing w:line="360" w:lineRule="auto"/>
              <w:ind w:right="420" w:rightChars="200"/>
              <w:jc w:val="left"/>
              <w:rPr>
                <w:rFonts w:ascii="仿宋" w:hAnsi="仿宋" w:eastAsia="仿宋" w:cs="仿宋"/>
                <w:kern w:val="0"/>
                <w:sz w:val="24"/>
                <w:lang w:val="zh-CN"/>
              </w:rPr>
            </w:pPr>
            <w:r>
              <w:rPr>
                <w:rFonts w:hint="eastAsia" w:ascii="仿宋" w:hAnsi="仿宋" w:eastAsia="仿宋" w:cs="仿宋"/>
                <w:kern w:val="0"/>
                <w:sz w:val="24"/>
                <w:lang w:val="zh-CN"/>
              </w:rPr>
              <w:t>注册地址</w:t>
            </w:r>
          </w:p>
        </w:tc>
        <w:tc>
          <w:tcPr>
            <w:tcW w:w="2397" w:type="dxa"/>
            <w:gridSpan w:val="2"/>
            <w:vAlign w:val="center"/>
          </w:tcPr>
          <w:p w14:paraId="6DD162C3">
            <w:pPr>
              <w:pageBreakBefore w:val="0"/>
              <w:kinsoku/>
              <w:wordWrap/>
              <w:overflowPunct/>
              <w:topLinePunct w:val="0"/>
              <w:bidi w:val="0"/>
              <w:snapToGrid w:val="0"/>
              <w:spacing w:line="360" w:lineRule="auto"/>
              <w:ind w:left="420" w:leftChars="200" w:right="420" w:rightChars="200"/>
              <w:jc w:val="left"/>
              <w:rPr>
                <w:rFonts w:ascii="仿宋" w:hAnsi="仿宋" w:eastAsia="仿宋" w:cs="仿宋"/>
                <w:kern w:val="0"/>
                <w:sz w:val="24"/>
                <w:lang w:val="zh-CN"/>
              </w:rPr>
            </w:pPr>
          </w:p>
        </w:tc>
        <w:tc>
          <w:tcPr>
            <w:tcW w:w="1786" w:type="dxa"/>
            <w:vAlign w:val="center"/>
          </w:tcPr>
          <w:p w14:paraId="69517ECA">
            <w:pPr>
              <w:pageBreakBefore w:val="0"/>
              <w:kinsoku/>
              <w:wordWrap/>
              <w:overflowPunct/>
              <w:topLinePunct w:val="0"/>
              <w:bidi w:val="0"/>
              <w:snapToGrid w:val="0"/>
              <w:spacing w:line="360" w:lineRule="auto"/>
              <w:ind w:right="420" w:rightChars="200"/>
              <w:jc w:val="left"/>
              <w:rPr>
                <w:rFonts w:ascii="仿宋" w:hAnsi="仿宋" w:eastAsia="仿宋" w:cs="仿宋"/>
                <w:kern w:val="0"/>
                <w:sz w:val="24"/>
                <w:lang w:val="zh-CN"/>
              </w:rPr>
            </w:pPr>
            <w:r>
              <w:rPr>
                <w:rFonts w:hint="eastAsia" w:ascii="仿宋" w:hAnsi="仿宋" w:eastAsia="仿宋" w:cs="仿宋"/>
                <w:kern w:val="0"/>
                <w:sz w:val="24"/>
                <w:lang w:val="zh-CN"/>
              </w:rPr>
              <w:t>成立时间</w:t>
            </w:r>
          </w:p>
        </w:tc>
        <w:tc>
          <w:tcPr>
            <w:tcW w:w="3052" w:type="dxa"/>
            <w:gridSpan w:val="2"/>
            <w:vAlign w:val="center"/>
          </w:tcPr>
          <w:p w14:paraId="71282557">
            <w:pPr>
              <w:pageBreakBefore w:val="0"/>
              <w:kinsoku/>
              <w:wordWrap/>
              <w:overflowPunct/>
              <w:topLinePunct w:val="0"/>
              <w:bidi w:val="0"/>
              <w:snapToGrid w:val="0"/>
              <w:spacing w:line="360" w:lineRule="auto"/>
              <w:ind w:left="420" w:leftChars="200" w:right="420" w:rightChars="200"/>
              <w:jc w:val="left"/>
              <w:rPr>
                <w:rFonts w:ascii="仿宋" w:hAnsi="仿宋" w:eastAsia="仿宋" w:cs="仿宋"/>
                <w:kern w:val="0"/>
                <w:sz w:val="24"/>
                <w:lang w:val="zh-CN"/>
              </w:rPr>
            </w:pPr>
          </w:p>
        </w:tc>
      </w:tr>
      <w:tr w14:paraId="6BEB61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592" w:type="dxa"/>
            <w:vAlign w:val="center"/>
          </w:tcPr>
          <w:p w14:paraId="460A6F27">
            <w:pPr>
              <w:pageBreakBefore w:val="0"/>
              <w:kinsoku/>
              <w:wordWrap/>
              <w:overflowPunct/>
              <w:topLinePunct w:val="0"/>
              <w:bidi w:val="0"/>
              <w:snapToGrid w:val="0"/>
              <w:spacing w:line="360" w:lineRule="auto"/>
              <w:ind w:right="420" w:rightChars="200"/>
              <w:jc w:val="left"/>
              <w:rPr>
                <w:rFonts w:ascii="仿宋" w:hAnsi="仿宋" w:eastAsia="仿宋" w:cs="仿宋"/>
                <w:kern w:val="0"/>
                <w:sz w:val="24"/>
                <w:lang w:val="zh-CN"/>
              </w:rPr>
            </w:pPr>
            <w:r>
              <w:rPr>
                <w:rFonts w:hint="eastAsia" w:ascii="仿宋" w:hAnsi="仿宋" w:eastAsia="仿宋" w:cs="仿宋"/>
                <w:kern w:val="0"/>
                <w:sz w:val="24"/>
                <w:lang w:val="zh-CN"/>
              </w:rPr>
              <w:t>统一信用代码</w:t>
            </w:r>
          </w:p>
        </w:tc>
        <w:tc>
          <w:tcPr>
            <w:tcW w:w="2397" w:type="dxa"/>
            <w:gridSpan w:val="2"/>
            <w:vAlign w:val="center"/>
          </w:tcPr>
          <w:p w14:paraId="15E82FF1">
            <w:pPr>
              <w:pageBreakBefore w:val="0"/>
              <w:kinsoku/>
              <w:wordWrap/>
              <w:overflowPunct/>
              <w:topLinePunct w:val="0"/>
              <w:bidi w:val="0"/>
              <w:snapToGrid w:val="0"/>
              <w:spacing w:line="360" w:lineRule="auto"/>
              <w:ind w:left="420" w:leftChars="200" w:right="420" w:rightChars="200"/>
              <w:jc w:val="left"/>
              <w:rPr>
                <w:rFonts w:ascii="仿宋" w:hAnsi="仿宋" w:eastAsia="仿宋" w:cs="仿宋"/>
                <w:kern w:val="0"/>
                <w:sz w:val="24"/>
                <w:lang w:val="zh-CN"/>
              </w:rPr>
            </w:pPr>
          </w:p>
        </w:tc>
        <w:tc>
          <w:tcPr>
            <w:tcW w:w="1786" w:type="dxa"/>
            <w:vAlign w:val="center"/>
          </w:tcPr>
          <w:p w14:paraId="66B07121">
            <w:pPr>
              <w:pageBreakBefore w:val="0"/>
              <w:kinsoku/>
              <w:wordWrap/>
              <w:overflowPunct/>
              <w:topLinePunct w:val="0"/>
              <w:bidi w:val="0"/>
              <w:snapToGrid w:val="0"/>
              <w:spacing w:line="360" w:lineRule="auto"/>
              <w:ind w:right="420" w:rightChars="200"/>
              <w:jc w:val="left"/>
              <w:rPr>
                <w:rFonts w:ascii="仿宋" w:hAnsi="仿宋" w:eastAsia="仿宋" w:cs="仿宋"/>
                <w:kern w:val="0"/>
                <w:sz w:val="24"/>
                <w:lang w:val="zh-CN"/>
              </w:rPr>
            </w:pPr>
            <w:r>
              <w:rPr>
                <w:rFonts w:hint="eastAsia" w:ascii="仿宋" w:hAnsi="仿宋" w:eastAsia="仿宋" w:cs="仿宋"/>
                <w:kern w:val="0"/>
                <w:sz w:val="24"/>
                <w:lang w:val="zh-CN"/>
              </w:rPr>
              <w:t>注册资金</w:t>
            </w:r>
          </w:p>
        </w:tc>
        <w:tc>
          <w:tcPr>
            <w:tcW w:w="3052" w:type="dxa"/>
            <w:gridSpan w:val="2"/>
            <w:vAlign w:val="center"/>
          </w:tcPr>
          <w:p w14:paraId="3E71461F">
            <w:pPr>
              <w:pageBreakBefore w:val="0"/>
              <w:kinsoku/>
              <w:wordWrap/>
              <w:overflowPunct/>
              <w:topLinePunct w:val="0"/>
              <w:bidi w:val="0"/>
              <w:snapToGrid w:val="0"/>
              <w:spacing w:line="360" w:lineRule="auto"/>
              <w:ind w:left="420" w:leftChars="200" w:right="420" w:rightChars="200"/>
              <w:jc w:val="left"/>
              <w:rPr>
                <w:rFonts w:ascii="仿宋" w:hAnsi="仿宋" w:eastAsia="仿宋" w:cs="仿宋"/>
                <w:kern w:val="0"/>
                <w:sz w:val="24"/>
                <w:lang w:val="zh-CN"/>
              </w:rPr>
            </w:pPr>
          </w:p>
        </w:tc>
      </w:tr>
      <w:tr w14:paraId="09FED0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592" w:type="dxa"/>
            <w:vAlign w:val="center"/>
          </w:tcPr>
          <w:p w14:paraId="67E19A10">
            <w:pPr>
              <w:pageBreakBefore w:val="0"/>
              <w:kinsoku/>
              <w:wordWrap/>
              <w:overflowPunct/>
              <w:topLinePunct w:val="0"/>
              <w:bidi w:val="0"/>
              <w:snapToGrid w:val="0"/>
              <w:spacing w:line="360" w:lineRule="auto"/>
              <w:ind w:right="420" w:rightChars="200"/>
              <w:jc w:val="left"/>
              <w:rPr>
                <w:rFonts w:ascii="仿宋" w:hAnsi="仿宋" w:eastAsia="仿宋" w:cs="仿宋"/>
                <w:kern w:val="0"/>
                <w:sz w:val="24"/>
                <w:lang w:val="zh-CN"/>
              </w:rPr>
            </w:pPr>
            <w:r>
              <w:rPr>
                <w:rFonts w:hint="eastAsia" w:ascii="仿宋" w:hAnsi="仿宋" w:eastAsia="仿宋" w:cs="仿宋"/>
                <w:kern w:val="0"/>
                <w:sz w:val="24"/>
                <w:lang w:val="zh-CN"/>
              </w:rPr>
              <w:t>供应商联系人姓名</w:t>
            </w:r>
          </w:p>
        </w:tc>
        <w:tc>
          <w:tcPr>
            <w:tcW w:w="1136" w:type="dxa"/>
            <w:vAlign w:val="center"/>
          </w:tcPr>
          <w:p w14:paraId="210D0540">
            <w:pPr>
              <w:pageBreakBefore w:val="0"/>
              <w:kinsoku/>
              <w:wordWrap/>
              <w:overflowPunct/>
              <w:topLinePunct w:val="0"/>
              <w:bidi w:val="0"/>
              <w:snapToGrid w:val="0"/>
              <w:spacing w:line="360" w:lineRule="auto"/>
              <w:ind w:left="420" w:leftChars="200" w:right="420" w:rightChars="200"/>
              <w:jc w:val="left"/>
              <w:rPr>
                <w:rFonts w:ascii="仿宋" w:hAnsi="仿宋" w:eastAsia="仿宋" w:cs="仿宋"/>
                <w:kern w:val="0"/>
                <w:sz w:val="24"/>
                <w:lang w:val="zh-CN"/>
              </w:rPr>
            </w:pPr>
          </w:p>
        </w:tc>
        <w:tc>
          <w:tcPr>
            <w:tcW w:w="1261" w:type="dxa"/>
            <w:vAlign w:val="center"/>
          </w:tcPr>
          <w:p w14:paraId="087461D4">
            <w:pPr>
              <w:pageBreakBefore w:val="0"/>
              <w:kinsoku/>
              <w:wordWrap/>
              <w:overflowPunct/>
              <w:topLinePunct w:val="0"/>
              <w:bidi w:val="0"/>
              <w:snapToGrid w:val="0"/>
              <w:spacing w:line="360" w:lineRule="auto"/>
              <w:ind w:right="420" w:rightChars="200"/>
              <w:jc w:val="left"/>
              <w:rPr>
                <w:rFonts w:ascii="仿宋" w:hAnsi="仿宋" w:eastAsia="仿宋" w:cs="仿宋"/>
                <w:kern w:val="0"/>
                <w:sz w:val="24"/>
                <w:lang w:val="zh-CN"/>
              </w:rPr>
            </w:pPr>
            <w:r>
              <w:rPr>
                <w:rFonts w:hint="eastAsia" w:ascii="仿宋" w:hAnsi="仿宋" w:eastAsia="仿宋" w:cs="仿宋"/>
                <w:kern w:val="0"/>
                <w:sz w:val="24"/>
                <w:lang w:val="zh-CN"/>
              </w:rPr>
              <w:t>电话</w:t>
            </w:r>
          </w:p>
        </w:tc>
        <w:tc>
          <w:tcPr>
            <w:tcW w:w="1786" w:type="dxa"/>
            <w:vAlign w:val="center"/>
          </w:tcPr>
          <w:p w14:paraId="1DD1A21F">
            <w:pPr>
              <w:pageBreakBefore w:val="0"/>
              <w:kinsoku/>
              <w:wordWrap/>
              <w:overflowPunct/>
              <w:topLinePunct w:val="0"/>
              <w:bidi w:val="0"/>
              <w:snapToGrid w:val="0"/>
              <w:spacing w:line="360" w:lineRule="auto"/>
              <w:ind w:left="420" w:leftChars="200" w:right="420" w:rightChars="200"/>
              <w:jc w:val="left"/>
              <w:rPr>
                <w:rFonts w:ascii="仿宋" w:hAnsi="仿宋" w:eastAsia="仿宋" w:cs="仿宋"/>
                <w:kern w:val="0"/>
                <w:sz w:val="24"/>
                <w:lang w:val="zh-CN"/>
              </w:rPr>
            </w:pPr>
          </w:p>
        </w:tc>
        <w:tc>
          <w:tcPr>
            <w:tcW w:w="1200" w:type="dxa"/>
            <w:vAlign w:val="center"/>
          </w:tcPr>
          <w:p w14:paraId="2EFFAC04">
            <w:pPr>
              <w:pageBreakBefore w:val="0"/>
              <w:kinsoku/>
              <w:wordWrap/>
              <w:overflowPunct/>
              <w:topLinePunct w:val="0"/>
              <w:bidi w:val="0"/>
              <w:snapToGrid w:val="0"/>
              <w:spacing w:line="360" w:lineRule="auto"/>
              <w:ind w:right="420" w:rightChars="200"/>
              <w:jc w:val="left"/>
              <w:rPr>
                <w:rFonts w:ascii="仿宋" w:hAnsi="仿宋" w:eastAsia="仿宋" w:cs="仿宋"/>
                <w:kern w:val="0"/>
                <w:sz w:val="24"/>
                <w:lang w:val="zh-CN"/>
              </w:rPr>
            </w:pPr>
            <w:r>
              <w:rPr>
                <w:rFonts w:hint="eastAsia" w:ascii="仿宋" w:hAnsi="仿宋" w:eastAsia="仿宋" w:cs="仿宋"/>
                <w:kern w:val="0"/>
                <w:sz w:val="24"/>
                <w:lang w:val="zh-CN"/>
              </w:rPr>
              <w:t>手机</w:t>
            </w:r>
          </w:p>
        </w:tc>
        <w:tc>
          <w:tcPr>
            <w:tcW w:w="1852" w:type="dxa"/>
            <w:vAlign w:val="center"/>
          </w:tcPr>
          <w:p w14:paraId="37D1A01C">
            <w:pPr>
              <w:pageBreakBefore w:val="0"/>
              <w:kinsoku/>
              <w:wordWrap/>
              <w:overflowPunct/>
              <w:topLinePunct w:val="0"/>
              <w:bidi w:val="0"/>
              <w:snapToGrid w:val="0"/>
              <w:spacing w:line="360" w:lineRule="auto"/>
              <w:ind w:left="420" w:leftChars="200" w:right="420" w:rightChars="200"/>
              <w:jc w:val="left"/>
              <w:rPr>
                <w:rFonts w:ascii="仿宋" w:hAnsi="仿宋" w:eastAsia="仿宋" w:cs="仿宋"/>
                <w:kern w:val="0"/>
                <w:sz w:val="24"/>
                <w:lang w:val="zh-CN"/>
              </w:rPr>
            </w:pPr>
          </w:p>
        </w:tc>
      </w:tr>
      <w:tr w14:paraId="17BA06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592" w:type="dxa"/>
            <w:vAlign w:val="center"/>
          </w:tcPr>
          <w:p w14:paraId="203BCAD4">
            <w:pPr>
              <w:pageBreakBefore w:val="0"/>
              <w:kinsoku/>
              <w:wordWrap/>
              <w:overflowPunct/>
              <w:topLinePunct w:val="0"/>
              <w:bidi w:val="0"/>
              <w:snapToGrid w:val="0"/>
              <w:spacing w:line="360" w:lineRule="auto"/>
              <w:ind w:right="420" w:rightChars="200"/>
              <w:jc w:val="left"/>
              <w:rPr>
                <w:rFonts w:ascii="仿宋" w:hAnsi="仿宋" w:eastAsia="仿宋" w:cs="仿宋"/>
                <w:kern w:val="0"/>
                <w:sz w:val="24"/>
                <w:lang w:val="zh-CN"/>
              </w:rPr>
            </w:pPr>
            <w:r>
              <w:rPr>
                <w:rFonts w:hint="eastAsia" w:ascii="仿宋" w:hAnsi="仿宋" w:eastAsia="仿宋" w:cs="仿宋"/>
                <w:kern w:val="0"/>
                <w:sz w:val="24"/>
                <w:lang w:val="zh-CN"/>
              </w:rPr>
              <w:t>法定代表人姓名</w:t>
            </w:r>
          </w:p>
        </w:tc>
        <w:tc>
          <w:tcPr>
            <w:tcW w:w="1136" w:type="dxa"/>
            <w:vAlign w:val="center"/>
          </w:tcPr>
          <w:p w14:paraId="22FFD6D1">
            <w:pPr>
              <w:pageBreakBefore w:val="0"/>
              <w:kinsoku/>
              <w:wordWrap/>
              <w:overflowPunct/>
              <w:topLinePunct w:val="0"/>
              <w:bidi w:val="0"/>
              <w:snapToGrid w:val="0"/>
              <w:spacing w:line="360" w:lineRule="auto"/>
              <w:ind w:left="420" w:leftChars="200" w:right="420" w:rightChars="200"/>
              <w:jc w:val="left"/>
              <w:rPr>
                <w:rFonts w:ascii="仿宋" w:hAnsi="仿宋" w:eastAsia="仿宋" w:cs="仿宋"/>
                <w:kern w:val="0"/>
                <w:sz w:val="24"/>
                <w:lang w:val="zh-CN"/>
              </w:rPr>
            </w:pPr>
          </w:p>
        </w:tc>
        <w:tc>
          <w:tcPr>
            <w:tcW w:w="1261" w:type="dxa"/>
            <w:vAlign w:val="center"/>
          </w:tcPr>
          <w:p w14:paraId="00C96CF6">
            <w:pPr>
              <w:pageBreakBefore w:val="0"/>
              <w:kinsoku/>
              <w:wordWrap/>
              <w:overflowPunct/>
              <w:topLinePunct w:val="0"/>
              <w:bidi w:val="0"/>
              <w:snapToGrid w:val="0"/>
              <w:spacing w:line="360" w:lineRule="auto"/>
              <w:ind w:right="420" w:rightChars="200"/>
              <w:jc w:val="left"/>
              <w:rPr>
                <w:rFonts w:ascii="仿宋" w:hAnsi="仿宋" w:eastAsia="仿宋" w:cs="仿宋"/>
                <w:kern w:val="0"/>
                <w:sz w:val="24"/>
                <w:lang w:val="zh-CN"/>
              </w:rPr>
            </w:pPr>
            <w:r>
              <w:rPr>
                <w:rFonts w:hint="eastAsia" w:ascii="仿宋" w:hAnsi="仿宋" w:eastAsia="仿宋" w:cs="仿宋"/>
                <w:kern w:val="0"/>
                <w:sz w:val="24"/>
                <w:lang w:val="zh-CN"/>
              </w:rPr>
              <w:t>电话</w:t>
            </w:r>
          </w:p>
        </w:tc>
        <w:tc>
          <w:tcPr>
            <w:tcW w:w="1786" w:type="dxa"/>
            <w:vAlign w:val="center"/>
          </w:tcPr>
          <w:p w14:paraId="6829F08B">
            <w:pPr>
              <w:pageBreakBefore w:val="0"/>
              <w:kinsoku/>
              <w:wordWrap/>
              <w:overflowPunct/>
              <w:topLinePunct w:val="0"/>
              <w:bidi w:val="0"/>
              <w:snapToGrid w:val="0"/>
              <w:spacing w:line="360" w:lineRule="auto"/>
              <w:ind w:left="420" w:leftChars="200" w:right="420" w:rightChars="200"/>
              <w:jc w:val="left"/>
              <w:rPr>
                <w:rFonts w:ascii="仿宋" w:hAnsi="仿宋" w:eastAsia="仿宋" w:cs="仿宋"/>
                <w:kern w:val="0"/>
                <w:sz w:val="24"/>
                <w:lang w:val="zh-CN"/>
              </w:rPr>
            </w:pPr>
          </w:p>
        </w:tc>
        <w:tc>
          <w:tcPr>
            <w:tcW w:w="1200" w:type="dxa"/>
            <w:vAlign w:val="center"/>
          </w:tcPr>
          <w:p w14:paraId="49A16152">
            <w:pPr>
              <w:pageBreakBefore w:val="0"/>
              <w:kinsoku/>
              <w:wordWrap/>
              <w:overflowPunct/>
              <w:topLinePunct w:val="0"/>
              <w:bidi w:val="0"/>
              <w:snapToGrid w:val="0"/>
              <w:spacing w:line="360" w:lineRule="auto"/>
              <w:ind w:right="420" w:rightChars="200"/>
              <w:jc w:val="left"/>
              <w:rPr>
                <w:rFonts w:ascii="仿宋" w:hAnsi="仿宋" w:eastAsia="仿宋" w:cs="仿宋"/>
                <w:kern w:val="0"/>
                <w:sz w:val="24"/>
                <w:lang w:val="zh-CN"/>
              </w:rPr>
            </w:pPr>
            <w:r>
              <w:rPr>
                <w:rFonts w:hint="eastAsia" w:ascii="仿宋" w:hAnsi="仿宋" w:eastAsia="仿宋" w:cs="仿宋"/>
                <w:kern w:val="0"/>
                <w:sz w:val="24"/>
                <w:lang w:val="zh-CN"/>
              </w:rPr>
              <w:t>手机</w:t>
            </w:r>
          </w:p>
        </w:tc>
        <w:tc>
          <w:tcPr>
            <w:tcW w:w="1852" w:type="dxa"/>
            <w:vAlign w:val="center"/>
          </w:tcPr>
          <w:p w14:paraId="7DFEBD27">
            <w:pPr>
              <w:pageBreakBefore w:val="0"/>
              <w:kinsoku/>
              <w:wordWrap/>
              <w:overflowPunct/>
              <w:topLinePunct w:val="0"/>
              <w:bidi w:val="0"/>
              <w:snapToGrid w:val="0"/>
              <w:spacing w:line="360" w:lineRule="auto"/>
              <w:ind w:left="420" w:leftChars="200" w:right="420" w:rightChars="200"/>
              <w:jc w:val="left"/>
              <w:rPr>
                <w:rFonts w:ascii="仿宋" w:hAnsi="仿宋" w:eastAsia="仿宋" w:cs="仿宋"/>
                <w:kern w:val="0"/>
                <w:sz w:val="24"/>
                <w:lang w:val="zh-CN"/>
              </w:rPr>
            </w:pPr>
          </w:p>
        </w:tc>
      </w:tr>
      <w:tr w14:paraId="7D0D20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592" w:type="dxa"/>
            <w:vAlign w:val="center"/>
          </w:tcPr>
          <w:p w14:paraId="7EF99AFC">
            <w:pPr>
              <w:pageBreakBefore w:val="0"/>
              <w:kinsoku/>
              <w:wordWrap/>
              <w:overflowPunct/>
              <w:topLinePunct w:val="0"/>
              <w:bidi w:val="0"/>
              <w:snapToGrid w:val="0"/>
              <w:spacing w:line="360" w:lineRule="auto"/>
              <w:ind w:right="420" w:rightChars="200"/>
              <w:jc w:val="left"/>
              <w:rPr>
                <w:rFonts w:ascii="仿宋" w:hAnsi="仿宋" w:eastAsia="仿宋" w:cs="仿宋"/>
                <w:kern w:val="0"/>
                <w:sz w:val="24"/>
                <w:lang w:val="zh-CN"/>
              </w:rPr>
            </w:pPr>
            <w:r>
              <w:rPr>
                <w:rFonts w:hint="eastAsia" w:ascii="仿宋" w:hAnsi="仿宋" w:eastAsia="仿宋" w:cs="仿宋"/>
                <w:kern w:val="0"/>
                <w:sz w:val="24"/>
                <w:lang w:val="zh-CN"/>
              </w:rPr>
              <w:t>项目负责人姓名</w:t>
            </w:r>
          </w:p>
        </w:tc>
        <w:tc>
          <w:tcPr>
            <w:tcW w:w="1136" w:type="dxa"/>
            <w:vAlign w:val="center"/>
          </w:tcPr>
          <w:p w14:paraId="0B800735">
            <w:pPr>
              <w:pageBreakBefore w:val="0"/>
              <w:kinsoku/>
              <w:wordWrap/>
              <w:overflowPunct/>
              <w:topLinePunct w:val="0"/>
              <w:bidi w:val="0"/>
              <w:snapToGrid w:val="0"/>
              <w:spacing w:line="360" w:lineRule="auto"/>
              <w:ind w:left="420" w:leftChars="200" w:right="420" w:rightChars="200"/>
              <w:jc w:val="left"/>
              <w:rPr>
                <w:rFonts w:ascii="仿宋" w:hAnsi="仿宋" w:eastAsia="仿宋" w:cs="仿宋"/>
                <w:kern w:val="0"/>
                <w:sz w:val="24"/>
                <w:lang w:val="zh-CN"/>
              </w:rPr>
            </w:pPr>
          </w:p>
        </w:tc>
        <w:tc>
          <w:tcPr>
            <w:tcW w:w="1261" w:type="dxa"/>
            <w:vAlign w:val="center"/>
          </w:tcPr>
          <w:p w14:paraId="6BCA9D6A">
            <w:pPr>
              <w:pageBreakBefore w:val="0"/>
              <w:kinsoku/>
              <w:wordWrap/>
              <w:overflowPunct/>
              <w:topLinePunct w:val="0"/>
              <w:bidi w:val="0"/>
              <w:snapToGrid w:val="0"/>
              <w:spacing w:line="360" w:lineRule="auto"/>
              <w:ind w:right="420" w:rightChars="200"/>
              <w:jc w:val="left"/>
              <w:rPr>
                <w:rFonts w:ascii="仿宋" w:hAnsi="仿宋" w:eastAsia="仿宋" w:cs="仿宋"/>
                <w:kern w:val="0"/>
                <w:sz w:val="24"/>
                <w:lang w:val="zh-CN"/>
              </w:rPr>
            </w:pPr>
            <w:r>
              <w:rPr>
                <w:rFonts w:hint="eastAsia" w:ascii="仿宋" w:hAnsi="仿宋" w:eastAsia="仿宋" w:cs="仿宋"/>
                <w:kern w:val="0"/>
                <w:sz w:val="24"/>
                <w:lang w:val="zh-CN"/>
              </w:rPr>
              <w:t>电话</w:t>
            </w:r>
          </w:p>
        </w:tc>
        <w:tc>
          <w:tcPr>
            <w:tcW w:w="1786" w:type="dxa"/>
            <w:vAlign w:val="center"/>
          </w:tcPr>
          <w:p w14:paraId="233C050E">
            <w:pPr>
              <w:pageBreakBefore w:val="0"/>
              <w:kinsoku/>
              <w:wordWrap/>
              <w:overflowPunct/>
              <w:topLinePunct w:val="0"/>
              <w:bidi w:val="0"/>
              <w:snapToGrid w:val="0"/>
              <w:spacing w:line="360" w:lineRule="auto"/>
              <w:ind w:left="420" w:leftChars="200" w:right="420" w:rightChars="200"/>
              <w:jc w:val="left"/>
              <w:rPr>
                <w:rFonts w:ascii="仿宋" w:hAnsi="仿宋" w:eastAsia="仿宋" w:cs="仿宋"/>
                <w:kern w:val="0"/>
                <w:sz w:val="24"/>
                <w:lang w:val="zh-CN"/>
              </w:rPr>
            </w:pPr>
          </w:p>
        </w:tc>
        <w:tc>
          <w:tcPr>
            <w:tcW w:w="1200" w:type="dxa"/>
            <w:vAlign w:val="center"/>
          </w:tcPr>
          <w:p w14:paraId="72074CF1">
            <w:pPr>
              <w:pageBreakBefore w:val="0"/>
              <w:kinsoku/>
              <w:wordWrap/>
              <w:overflowPunct/>
              <w:topLinePunct w:val="0"/>
              <w:bidi w:val="0"/>
              <w:snapToGrid w:val="0"/>
              <w:spacing w:line="360" w:lineRule="auto"/>
              <w:ind w:right="420" w:rightChars="200"/>
              <w:jc w:val="left"/>
              <w:rPr>
                <w:rFonts w:ascii="仿宋" w:hAnsi="仿宋" w:eastAsia="仿宋" w:cs="仿宋"/>
                <w:kern w:val="0"/>
                <w:sz w:val="24"/>
                <w:lang w:val="zh-CN"/>
              </w:rPr>
            </w:pPr>
            <w:r>
              <w:rPr>
                <w:rFonts w:hint="eastAsia" w:ascii="仿宋" w:hAnsi="仿宋" w:eastAsia="仿宋" w:cs="仿宋"/>
                <w:kern w:val="0"/>
                <w:sz w:val="24"/>
                <w:lang w:val="zh-CN"/>
              </w:rPr>
              <w:t>技术职称</w:t>
            </w:r>
          </w:p>
        </w:tc>
        <w:tc>
          <w:tcPr>
            <w:tcW w:w="1852" w:type="dxa"/>
            <w:vAlign w:val="center"/>
          </w:tcPr>
          <w:p w14:paraId="5E9FAF65">
            <w:pPr>
              <w:pageBreakBefore w:val="0"/>
              <w:kinsoku/>
              <w:wordWrap/>
              <w:overflowPunct/>
              <w:topLinePunct w:val="0"/>
              <w:bidi w:val="0"/>
              <w:snapToGrid w:val="0"/>
              <w:spacing w:line="360" w:lineRule="auto"/>
              <w:ind w:left="420" w:leftChars="200" w:right="420" w:rightChars="200"/>
              <w:jc w:val="left"/>
              <w:rPr>
                <w:rFonts w:ascii="仿宋" w:hAnsi="仿宋" w:eastAsia="仿宋" w:cs="仿宋"/>
                <w:kern w:val="0"/>
                <w:sz w:val="24"/>
                <w:lang w:val="zh-CN"/>
              </w:rPr>
            </w:pPr>
          </w:p>
        </w:tc>
      </w:tr>
      <w:tr w14:paraId="3A4715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592" w:type="dxa"/>
            <w:vMerge w:val="restart"/>
            <w:vAlign w:val="center"/>
          </w:tcPr>
          <w:p w14:paraId="50CF4E02">
            <w:pPr>
              <w:pageBreakBefore w:val="0"/>
              <w:kinsoku/>
              <w:wordWrap/>
              <w:overflowPunct/>
              <w:topLinePunct w:val="0"/>
              <w:bidi w:val="0"/>
              <w:snapToGrid w:val="0"/>
              <w:spacing w:line="360" w:lineRule="auto"/>
              <w:ind w:right="420" w:rightChars="200"/>
              <w:jc w:val="left"/>
              <w:rPr>
                <w:rFonts w:ascii="仿宋" w:hAnsi="仿宋" w:eastAsia="仿宋" w:cs="仿宋"/>
                <w:kern w:val="0"/>
                <w:sz w:val="24"/>
                <w:lang w:val="zh-CN"/>
              </w:rPr>
            </w:pPr>
            <w:r>
              <w:rPr>
                <w:rFonts w:hint="eastAsia" w:ascii="仿宋" w:hAnsi="仿宋" w:eastAsia="仿宋" w:cs="仿宋"/>
                <w:kern w:val="0"/>
                <w:sz w:val="24"/>
                <w:lang w:val="zh-CN"/>
              </w:rPr>
              <w:t>员工总人数：</w:t>
            </w:r>
          </w:p>
        </w:tc>
        <w:tc>
          <w:tcPr>
            <w:tcW w:w="1136" w:type="dxa"/>
            <w:vMerge w:val="restart"/>
            <w:vAlign w:val="center"/>
          </w:tcPr>
          <w:p w14:paraId="402498FB">
            <w:pPr>
              <w:pageBreakBefore w:val="0"/>
              <w:kinsoku/>
              <w:wordWrap/>
              <w:overflowPunct/>
              <w:topLinePunct w:val="0"/>
              <w:bidi w:val="0"/>
              <w:snapToGrid w:val="0"/>
              <w:spacing w:line="360" w:lineRule="auto"/>
              <w:ind w:left="420" w:leftChars="200" w:right="420" w:rightChars="200"/>
              <w:jc w:val="left"/>
              <w:rPr>
                <w:rFonts w:ascii="仿宋" w:hAnsi="仿宋" w:eastAsia="仿宋" w:cs="仿宋"/>
                <w:kern w:val="0"/>
                <w:sz w:val="24"/>
                <w:lang w:val="zh-CN"/>
              </w:rPr>
            </w:pPr>
          </w:p>
        </w:tc>
        <w:tc>
          <w:tcPr>
            <w:tcW w:w="1261" w:type="dxa"/>
            <w:vMerge w:val="restart"/>
            <w:vAlign w:val="center"/>
          </w:tcPr>
          <w:p w14:paraId="733B9E38">
            <w:pPr>
              <w:pageBreakBefore w:val="0"/>
              <w:kinsoku/>
              <w:wordWrap/>
              <w:overflowPunct/>
              <w:topLinePunct w:val="0"/>
              <w:bidi w:val="0"/>
              <w:snapToGrid w:val="0"/>
              <w:spacing w:line="360" w:lineRule="auto"/>
              <w:ind w:left="420" w:leftChars="200" w:right="420" w:rightChars="200"/>
              <w:jc w:val="left"/>
              <w:rPr>
                <w:rFonts w:ascii="仿宋" w:hAnsi="仿宋" w:eastAsia="仿宋" w:cs="仿宋"/>
                <w:kern w:val="0"/>
                <w:sz w:val="24"/>
                <w:lang w:val="zh-CN"/>
              </w:rPr>
            </w:pPr>
            <w:r>
              <w:rPr>
                <w:rFonts w:hint="eastAsia" w:ascii="仿宋" w:hAnsi="仿宋" w:eastAsia="仿宋" w:cs="仿宋"/>
                <w:kern w:val="0"/>
                <w:sz w:val="24"/>
                <w:lang w:val="zh-CN"/>
              </w:rPr>
              <w:t>其中</w:t>
            </w:r>
          </w:p>
        </w:tc>
        <w:tc>
          <w:tcPr>
            <w:tcW w:w="1786" w:type="dxa"/>
            <w:vAlign w:val="center"/>
          </w:tcPr>
          <w:p w14:paraId="36793F50">
            <w:pPr>
              <w:pageBreakBefore w:val="0"/>
              <w:kinsoku/>
              <w:wordWrap/>
              <w:overflowPunct/>
              <w:topLinePunct w:val="0"/>
              <w:bidi w:val="0"/>
              <w:snapToGrid w:val="0"/>
              <w:spacing w:line="360" w:lineRule="auto"/>
              <w:ind w:right="420" w:rightChars="200"/>
              <w:jc w:val="left"/>
              <w:rPr>
                <w:rFonts w:ascii="仿宋" w:hAnsi="仿宋" w:eastAsia="仿宋" w:cs="仿宋"/>
                <w:kern w:val="0"/>
                <w:sz w:val="24"/>
                <w:lang w:val="zh-CN"/>
              </w:rPr>
            </w:pPr>
            <w:r>
              <w:rPr>
                <w:rFonts w:hint="eastAsia" w:ascii="仿宋" w:hAnsi="仿宋" w:eastAsia="仿宋" w:cs="仿宋"/>
                <w:kern w:val="0"/>
                <w:sz w:val="24"/>
                <w:lang w:val="zh-CN"/>
              </w:rPr>
              <w:t>高级职称</w:t>
            </w:r>
          </w:p>
        </w:tc>
        <w:tc>
          <w:tcPr>
            <w:tcW w:w="3052" w:type="dxa"/>
            <w:gridSpan w:val="2"/>
            <w:vAlign w:val="center"/>
          </w:tcPr>
          <w:p w14:paraId="788E65C4">
            <w:pPr>
              <w:pageBreakBefore w:val="0"/>
              <w:kinsoku/>
              <w:wordWrap/>
              <w:overflowPunct/>
              <w:topLinePunct w:val="0"/>
              <w:bidi w:val="0"/>
              <w:snapToGrid w:val="0"/>
              <w:spacing w:line="360" w:lineRule="auto"/>
              <w:ind w:left="420" w:leftChars="200" w:right="420" w:rightChars="200"/>
              <w:jc w:val="left"/>
              <w:rPr>
                <w:rFonts w:ascii="仿宋" w:hAnsi="仿宋" w:eastAsia="仿宋" w:cs="仿宋"/>
                <w:kern w:val="0"/>
                <w:sz w:val="24"/>
                <w:lang w:val="zh-CN"/>
              </w:rPr>
            </w:pPr>
          </w:p>
        </w:tc>
      </w:tr>
      <w:tr w14:paraId="6AF25D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592" w:type="dxa"/>
            <w:vMerge w:val="continue"/>
            <w:vAlign w:val="center"/>
          </w:tcPr>
          <w:p w14:paraId="394D7B53">
            <w:pPr>
              <w:pageBreakBefore w:val="0"/>
              <w:kinsoku/>
              <w:wordWrap/>
              <w:overflowPunct/>
              <w:topLinePunct w:val="0"/>
              <w:bidi w:val="0"/>
              <w:snapToGrid w:val="0"/>
              <w:spacing w:line="360" w:lineRule="auto"/>
              <w:ind w:left="420" w:leftChars="200" w:right="420" w:rightChars="200"/>
              <w:jc w:val="left"/>
              <w:rPr>
                <w:rFonts w:ascii="仿宋" w:hAnsi="仿宋" w:eastAsia="仿宋" w:cs="仿宋"/>
                <w:kern w:val="0"/>
                <w:sz w:val="24"/>
                <w:lang w:val="zh-CN"/>
              </w:rPr>
            </w:pPr>
          </w:p>
        </w:tc>
        <w:tc>
          <w:tcPr>
            <w:tcW w:w="1136" w:type="dxa"/>
            <w:vMerge w:val="continue"/>
            <w:vAlign w:val="center"/>
          </w:tcPr>
          <w:p w14:paraId="710C7D6A">
            <w:pPr>
              <w:pageBreakBefore w:val="0"/>
              <w:kinsoku/>
              <w:wordWrap/>
              <w:overflowPunct/>
              <w:topLinePunct w:val="0"/>
              <w:bidi w:val="0"/>
              <w:snapToGrid w:val="0"/>
              <w:spacing w:line="360" w:lineRule="auto"/>
              <w:ind w:left="420" w:leftChars="200" w:right="420" w:rightChars="200"/>
              <w:jc w:val="left"/>
              <w:rPr>
                <w:rFonts w:ascii="仿宋" w:hAnsi="仿宋" w:eastAsia="仿宋" w:cs="仿宋"/>
                <w:kern w:val="0"/>
                <w:sz w:val="24"/>
                <w:lang w:val="zh-CN"/>
              </w:rPr>
            </w:pPr>
          </w:p>
        </w:tc>
        <w:tc>
          <w:tcPr>
            <w:tcW w:w="1261" w:type="dxa"/>
            <w:vMerge w:val="continue"/>
            <w:vAlign w:val="center"/>
          </w:tcPr>
          <w:p w14:paraId="57A6E81A">
            <w:pPr>
              <w:pageBreakBefore w:val="0"/>
              <w:kinsoku/>
              <w:wordWrap/>
              <w:overflowPunct/>
              <w:topLinePunct w:val="0"/>
              <w:bidi w:val="0"/>
              <w:snapToGrid w:val="0"/>
              <w:spacing w:line="360" w:lineRule="auto"/>
              <w:ind w:left="420" w:leftChars="200" w:right="420" w:rightChars="200"/>
              <w:jc w:val="left"/>
              <w:rPr>
                <w:rFonts w:ascii="仿宋" w:hAnsi="仿宋" w:eastAsia="仿宋" w:cs="仿宋"/>
                <w:kern w:val="0"/>
                <w:sz w:val="24"/>
                <w:lang w:val="zh-CN"/>
              </w:rPr>
            </w:pPr>
          </w:p>
        </w:tc>
        <w:tc>
          <w:tcPr>
            <w:tcW w:w="1786" w:type="dxa"/>
            <w:vAlign w:val="center"/>
          </w:tcPr>
          <w:p w14:paraId="05E75259">
            <w:pPr>
              <w:pageBreakBefore w:val="0"/>
              <w:kinsoku/>
              <w:wordWrap/>
              <w:overflowPunct/>
              <w:topLinePunct w:val="0"/>
              <w:bidi w:val="0"/>
              <w:snapToGrid w:val="0"/>
              <w:spacing w:line="360" w:lineRule="auto"/>
              <w:ind w:right="420" w:rightChars="200"/>
              <w:jc w:val="left"/>
              <w:rPr>
                <w:rFonts w:ascii="仿宋" w:hAnsi="仿宋" w:eastAsia="仿宋" w:cs="仿宋"/>
                <w:kern w:val="0"/>
                <w:sz w:val="24"/>
                <w:lang w:val="zh-CN"/>
              </w:rPr>
            </w:pPr>
            <w:r>
              <w:rPr>
                <w:rFonts w:hint="eastAsia" w:ascii="仿宋" w:hAnsi="仿宋" w:eastAsia="仿宋" w:cs="仿宋"/>
                <w:kern w:val="0"/>
                <w:sz w:val="24"/>
                <w:lang w:val="zh-CN"/>
              </w:rPr>
              <w:t>中级职称</w:t>
            </w:r>
          </w:p>
        </w:tc>
        <w:tc>
          <w:tcPr>
            <w:tcW w:w="3052" w:type="dxa"/>
            <w:gridSpan w:val="2"/>
            <w:vAlign w:val="center"/>
          </w:tcPr>
          <w:p w14:paraId="4564E163">
            <w:pPr>
              <w:pageBreakBefore w:val="0"/>
              <w:kinsoku/>
              <w:wordWrap/>
              <w:overflowPunct/>
              <w:topLinePunct w:val="0"/>
              <w:bidi w:val="0"/>
              <w:snapToGrid w:val="0"/>
              <w:spacing w:line="360" w:lineRule="auto"/>
              <w:ind w:left="420" w:leftChars="200" w:right="420" w:rightChars="200"/>
              <w:jc w:val="left"/>
              <w:rPr>
                <w:rFonts w:ascii="仿宋" w:hAnsi="仿宋" w:eastAsia="仿宋" w:cs="仿宋"/>
                <w:kern w:val="0"/>
                <w:sz w:val="24"/>
                <w:lang w:val="zh-CN"/>
              </w:rPr>
            </w:pPr>
          </w:p>
        </w:tc>
      </w:tr>
      <w:tr w14:paraId="1BDF95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592" w:type="dxa"/>
            <w:vMerge w:val="continue"/>
            <w:vAlign w:val="center"/>
          </w:tcPr>
          <w:p w14:paraId="5F4AB7F3">
            <w:pPr>
              <w:pageBreakBefore w:val="0"/>
              <w:kinsoku/>
              <w:wordWrap/>
              <w:overflowPunct/>
              <w:topLinePunct w:val="0"/>
              <w:bidi w:val="0"/>
              <w:snapToGrid w:val="0"/>
              <w:spacing w:line="360" w:lineRule="auto"/>
              <w:ind w:left="420" w:leftChars="200" w:right="420" w:rightChars="200"/>
              <w:jc w:val="left"/>
              <w:rPr>
                <w:rFonts w:ascii="仿宋" w:hAnsi="仿宋" w:eastAsia="仿宋" w:cs="仿宋"/>
                <w:kern w:val="0"/>
                <w:sz w:val="24"/>
                <w:lang w:val="zh-CN"/>
              </w:rPr>
            </w:pPr>
          </w:p>
        </w:tc>
        <w:tc>
          <w:tcPr>
            <w:tcW w:w="1136" w:type="dxa"/>
            <w:vMerge w:val="continue"/>
            <w:vAlign w:val="center"/>
          </w:tcPr>
          <w:p w14:paraId="1BA518C6">
            <w:pPr>
              <w:pageBreakBefore w:val="0"/>
              <w:kinsoku/>
              <w:wordWrap/>
              <w:overflowPunct/>
              <w:topLinePunct w:val="0"/>
              <w:bidi w:val="0"/>
              <w:snapToGrid w:val="0"/>
              <w:spacing w:line="360" w:lineRule="auto"/>
              <w:ind w:left="420" w:leftChars="200" w:right="420" w:rightChars="200"/>
              <w:jc w:val="left"/>
              <w:rPr>
                <w:rFonts w:ascii="仿宋" w:hAnsi="仿宋" w:eastAsia="仿宋" w:cs="仿宋"/>
                <w:kern w:val="0"/>
                <w:sz w:val="24"/>
                <w:lang w:val="zh-CN"/>
              </w:rPr>
            </w:pPr>
          </w:p>
        </w:tc>
        <w:tc>
          <w:tcPr>
            <w:tcW w:w="1261" w:type="dxa"/>
            <w:vMerge w:val="continue"/>
            <w:vAlign w:val="center"/>
          </w:tcPr>
          <w:p w14:paraId="73681D01">
            <w:pPr>
              <w:pageBreakBefore w:val="0"/>
              <w:kinsoku/>
              <w:wordWrap/>
              <w:overflowPunct/>
              <w:topLinePunct w:val="0"/>
              <w:bidi w:val="0"/>
              <w:snapToGrid w:val="0"/>
              <w:spacing w:line="360" w:lineRule="auto"/>
              <w:ind w:left="420" w:leftChars="200" w:right="420" w:rightChars="200"/>
              <w:jc w:val="left"/>
              <w:rPr>
                <w:rFonts w:ascii="仿宋" w:hAnsi="仿宋" w:eastAsia="仿宋" w:cs="仿宋"/>
                <w:kern w:val="0"/>
                <w:sz w:val="24"/>
                <w:lang w:val="zh-CN"/>
              </w:rPr>
            </w:pPr>
          </w:p>
        </w:tc>
        <w:tc>
          <w:tcPr>
            <w:tcW w:w="1786" w:type="dxa"/>
            <w:vAlign w:val="center"/>
          </w:tcPr>
          <w:p w14:paraId="010C82C6">
            <w:pPr>
              <w:pageBreakBefore w:val="0"/>
              <w:kinsoku/>
              <w:wordWrap/>
              <w:overflowPunct/>
              <w:topLinePunct w:val="0"/>
              <w:bidi w:val="0"/>
              <w:snapToGrid w:val="0"/>
              <w:spacing w:line="360" w:lineRule="auto"/>
              <w:ind w:right="420" w:rightChars="200"/>
              <w:jc w:val="left"/>
              <w:rPr>
                <w:rFonts w:ascii="仿宋" w:hAnsi="仿宋" w:eastAsia="仿宋" w:cs="仿宋"/>
                <w:kern w:val="0"/>
                <w:sz w:val="24"/>
                <w:lang w:val="zh-CN"/>
              </w:rPr>
            </w:pPr>
            <w:r>
              <w:rPr>
                <w:rFonts w:hint="eastAsia" w:ascii="仿宋" w:hAnsi="仿宋" w:eastAsia="仿宋" w:cs="仿宋"/>
                <w:kern w:val="0"/>
                <w:sz w:val="24"/>
                <w:lang w:val="zh-CN"/>
              </w:rPr>
              <w:t>各类注册人员</w:t>
            </w:r>
          </w:p>
        </w:tc>
        <w:tc>
          <w:tcPr>
            <w:tcW w:w="3052" w:type="dxa"/>
            <w:gridSpan w:val="2"/>
            <w:vAlign w:val="center"/>
          </w:tcPr>
          <w:p w14:paraId="65F12D57">
            <w:pPr>
              <w:pageBreakBefore w:val="0"/>
              <w:kinsoku/>
              <w:wordWrap/>
              <w:overflowPunct/>
              <w:topLinePunct w:val="0"/>
              <w:bidi w:val="0"/>
              <w:snapToGrid w:val="0"/>
              <w:spacing w:line="360" w:lineRule="auto"/>
              <w:ind w:left="420" w:leftChars="200" w:right="420" w:rightChars="200"/>
              <w:jc w:val="left"/>
              <w:rPr>
                <w:rFonts w:ascii="仿宋" w:hAnsi="仿宋" w:eastAsia="仿宋" w:cs="仿宋"/>
                <w:kern w:val="0"/>
                <w:sz w:val="24"/>
                <w:lang w:val="zh-CN"/>
              </w:rPr>
            </w:pPr>
          </w:p>
        </w:tc>
      </w:tr>
      <w:tr w14:paraId="4150FB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592" w:type="dxa"/>
            <w:vAlign w:val="center"/>
          </w:tcPr>
          <w:p w14:paraId="56963D80">
            <w:pPr>
              <w:pageBreakBefore w:val="0"/>
              <w:kinsoku/>
              <w:wordWrap/>
              <w:overflowPunct/>
              <w:topLinePunct w:val="0"/>
              <w:bidi w:val="0"/>
              <w:snapToGrid w:val="0"/>
              <w:spacing w:line="360" w:lineRule="auto"/>
              <w:ind w:left="420" w:leftChars="200" w:right="420" w:rightChars="200"/>
              <w:jc w:val="left"/>
              <w:rPr>
                <w:rFonts w:ascii="仿宋" w:hAnsi="仿宋" w:eastAsia="仿宋" w:cs="仿宋"/>
                <w:kern w:val="0"/>
                <w:sz w:val="24"/>
                <w:lang w:val="zh-CN"/>
              </w:rPr>
            </w:pPr>
            <w:r>
              <w:rPr>
                <w:rFonts w:hint="eastAsia" w:ascii="仿宋" w:hAnsi="仿宋" w:eastAsia="仿宋" w:cs="仿宋"/>
                <w:kern w:val="0"/>
                <w:sz w:val="24"/>
                <w:lang w:val="zh-CN"/>
              </w:rPr>
              <w:t>基本账户开户银行</w:t>
            </w:r>
          </w:p>
        </w:tc>
        <w:tc>
          <w:tcPr>
            <w:tcW w:w="7235" w:type="dxa"/>
            <w:gridSpan w:val="5"/>
            <w:vAlign w:val="center"/>
          </w:tcPr>
          <w:p w14:paraId="220FB1E7">
            <w:pPr>
              <w:pageBreakBefore w:val="0"/>
              <w:kinsoku/>
              <w:wordWrap/>
              <w:overflowPunct/>
              <w:topLinePunct w:val="0"/>
              <w:bidi w:val="0"/>
              <w:snapToGrid w:val="0"/>
              <w:spacing w:line="360" w:lineRule="auto"/>
              <w:ind w:left="420" w:leftChars="200" w:right="420" w:rightChars="200"/>
              <w:jc w:val="left"/>
              <w:rPr>
                <w:rFonts w:ascii="仿宋" w:hAnsi="仿宋" w:eastAsia="仿宋" w:cs="仿宋"/>
                <w:kern w:val="0"/>
                <w:sz w:val="24"/>
                <w:lang w:val="zh-CN"/>
              </w:rPr>
            </w:pPr>
          </w:p>
        </w:tc>
      </w:tr>
      <w:tr w14:paraId="1BB33D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592" w:type="dxa"/>
            <w:vAlign w:val="center"/>
          </w:tcPr>
          <w:p w14:paraId="4739FEC1">
            <w:pPr>
              <w:pageBreakBefore w:val="0"/>
              <w:kinsoku/>
              <w:wordWrap/>
              <w:overflowPunct/>
              <w:topLinePunct w:val="0"/>
              <w:bidi w:val="0"/>
              <w:snapToGrid w:val="0"/>
              <w:spacing w:line="360" w:lineRule="auto"/>
              <w:ind w:left="420" w:leftChars="200" w:right="420" w:rightChars="200"/>
              <w:jc w:val="left"/>
              <w:rPr>
                <w:rFonts w:ascii="仿宋" w:hAnsi="仿宋" w:eastAsia="仿宋" w:cs="仿宋"/>
                <w:kern w:val="0"/>
                <w:sz w:val="24"/>
                <w:lang w:val="zh-CN"/>
              </w:rPr>
            </w:pPr>
            <w:r>
              <w:rPr>
                <w:rFonts w:hint="eastAsia" w:ascii="仿宋" w:hAnsi="仿宋" w:eastAsia="仿宋" w:cs="仿宋"/>
                <w:kern w:val="0"/>
                <w:sz w:val="24"/>
                <w:lang w:val="zh-CN"/>
              </w:rPr>
              <w:t>基本账户账号</w:t>
            </w:r>
          </w:p>
        </w:tc>
        <w:tc>
          <w:tcPr>
            <w:tcW w:w="7235" w:type="dxa"/>
            <w:gridSpan w:val="5"/>
            <w:vAlign w:val="center"/>
          </w:tcPr>
          <w:p w14:paraId="4BA9CEA9">
            <w:pPr>
              <w:pageBreakBefore w:val="0"/>
              <w:kinsoku/>
              <w:wordWrap/>
              <w:overflowPunct/>
              <w:topLinePunct w:val="0"/>
              <w:bidi w:val="0"/>
              <w:snapToGrid w:val="0"/>
              <w:spacing w:line="360" w:lineRule="auto"/>
              <w:ind w:left="420" w:leftChars="200" w:right="420" w:rightChars="200"/>
              <w:jc w:val="left"/>
              <w:rPr>
                <w:rFonts w:ascii="仿宋" w:hAnsi="仿宋" w:eastAsia="仿宋" w:cs="仿宋"/>
                <w:kern w:val="0"/>
                <w:sz w:val="24"/>
                <w:lang w:val="zh-CN"/>
              </w:rPr>
            </w:pPr>
          </w:p>
        </w:tc>
      </w:tr>
      <w:tr w14:paraId="035C65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6" w:hRule="atLeast"/>
          <w:jc w:val="center"/>
        </w:trPr>
        <w:tc>
          <w:tcPr>
            <w:tcW w:w="2592" w:type="dxa"/>
            <w:vAlign w:val="center"/>
          </w:tcPr>
          <w:p w14:paraId="2092B8BF">
            <w:pPr>
              <w:pageBreakBefore w:val="0"/>
              <w:kinsoku/>
              <w:wordWrap/>
              <w:overflowPunct/>
              <w:topLinePunct w:val="0"/>
              <w:bidi w:val="0"/>
              <w:snapToGrid w:val="0"/>
              <w:spacing w:line="360" w:lineRule="auto"/>
              <w:ind w:left="420" w:leftChars="200" w:right="420" w:rightChars="200"/>
              <w:jc w:val="left"/>
              <w:rPr>
                <w:rFonts w:ascii="仿宋" w:hAnsi="仿宋" w:eastAsia="仿宋" w:cs="仿宋"/>
                <w:kern w:val="0"/>
                <w:sz w:val="24"/>
                <w:lang w:val="zh-CN"/>
              </w:rPr>
            </w:pPr>
            <w:r>
              <w:rPr>
                <w:rFonts w:hint="eastAsia" w:ascii="仿宋" w:hAnsi="仿宋" w:eastAsia="仿宋" w:cs="仿宋"/>
                <w:kern w:val="0"/>
                <w:sz w:val="24"/>
                <w:lang w:val="zh-CN"/>
              </w:rPr>
              <w:t>经营范围</w:t>
            </w:r>
          </w:p>
        </w:tc>
        <w:tc>
          <w:tcPr>
            <w:tcW w:w="7235" w:type="dxa"/>
            <w:gridSpan w:val="5"/>
            <w:vAlign w:val="center"/>
          </w:tcPr>
          <w:p w14:paraId="7C7E064A">
            <w:pPr>
              <w:pageBreakBefore w:val="0"/>
              <w:kinsoku/>
              <w:wordWrap/>
              <w:overflowPunct/>
              <w:topLinePunct w:val="0"/>
              <w:bidi w:val="0"/>
              <w:snapToGrid w:val="0"/>
              <w:spacing w:line="360" w:lineRule="auto"/>
              <w:ind w:left="420" w:leftChars="200" w:right="420" w:rightChars="200"/>
              <w:jc w:val="left"/>
              <w:rPr>
                <w:rFonts w:ascii="仿宋" w:hAnsi="仿宋" w:eastAsia="仿宋" w:cs="仿宋"/>
                <w:kern w:val="0"/>
                <w:sz w:val="24"/>
                <w:lang w:val="zh-CN"/>
              </w:rPr>
            </w:pPr>
          </w:p>
        </w:tc>
      </w:tr>
      <w:tr w14:paraId="32594B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2592" w:type="dxa"/>
            <w:vAlign w:val="center"/>
          </w:tcPr>
          <w:p w14:paraId="31126DC2">
            <w:pPr>
              <w:pageBreakBefore w:val="0"/>
              <w:kinsoku/>
              <w:wordWrap/>
              <w:overflowPunct/>
              <w:topLinePunct w:val="0"/>
              <w:bidi w:val="0"/>
              <w:snapToGrid w:val="0"/>
              <w:spacing w:line="360" w:lineRule="auto"/>
              <w:ind w:left="420" w:leftChars="200" w:right="420" w:rightChars="200"/>
              <w:jc w:val="left"/>
              <w:rPr>
                <w:rFonts w:ascii="仿宋" w:hAnsi="仿宋" w:eastAsia="仿宋" w:cs="仿宋"/>
                <w:kern w:val="0"/>
                <w:sz w:val="24"/>
                <w:lang w:val="zh-CN"/>
              </w:rPr>
            </w:pPr>
            <w:r>
              <w:rPr>
                <w:rFonts w:hint="eastAsia" w:ascii="仿宋" w:hAnsi="仿宋" w:eastAsia="仿宋" w:cs="仿宋"/>
                <w:kern w:val="0"/>
                <w:sz w:val="24"/>
                <w:lang w:val="zh-CN"/>
              </w:rPr>
              <w:t>备注</w:t>
            </w:r>
          </w:p>
        </w:tc>
        <w:tc>
          <w:tcPr>
            <w:tcW w:w="7235" w:type="dxa"/>
            <w:gridSpan w:val="5"/>
            <w:vAlign w:val="center"/>
          </w:tcPr>
          <w:p w14:paraId="60B72384">
            <w:pPr>
              <w:pageBreakBefore w:val="0"/>
              <w:kinsoku/>
              <w:wordWrap/>
              <w:overflowPunct/>
              <w:topLinePunct w:val="0"/>
              <w:bidi w:val="0"/>
              <w:snapToGrid w:val="0"/>
              <w:spacing w:line="360" w:lineRule="auto"/>
              <w:ind w:left="420" w:leftChars="200" w:right="420" w:rightChars="200"/>
              <w:jc w:val="left"/>
              <w:rPr>
                <w:rFonts w:ascii="仿宋" w:hAnsi="仿宋" w:eastAsia="仿宋" w:cs="仿宋"/>
                <w:kern w:val="0"/>
                <w:sz w:val="24"/>
                <w:lang w:val="zh-CN"/>
              </w:rPr>
            </w:pPr>
          </w:p>
        </w:tc>
      </w:tr>
    </w:tbl>
    <w:p w14:paraId="51083B82">
      <w:pPr>
        <w:pageBreakBefore w:val="0"/>
        <w:kinsoku/>
        <w:wordWrap/>
        <w:overflowPunct/>
        <w:topLinePunct w:val="0"/>
        <w:bidi w:val="0"/>
        <w:snapToGrid w:val="0"/>
        <w:spacing w:line="360" w:lineRule="auto"/>
        <w:ind w:left="420" w:leftChars="200" w:right="420" w:rightChars="200" w:firstLine="482" w:firstLineChars="200"/>
        <w:jc w:val="left"/>
        <w:rPr>
          <w:rFonts w:ascii="仿宋" w:hAnsi="仿宋" w:eastAsia="仿宋" w:cs="仿宋"/>
          <w:b/>
          <w:bCs/>
          <w:kern w:val="0"/>
          <w:sz w:val="24"/>
          <w:lang w:val="zh-CN"/>
        </w:rPr>
      </w:pPr>
      <w:r>
        <w:rPr>
          <w:rFonts w:hint="eastAsia" w:ascii="仿宋" w:hAnsi="仿宋" w:eastAsia="仿宋" w:cs="仿宋"/>
          <w:b/>
          <w:bCs/>
          <w:kern w:val="0"/>
          <w:sz w:val="24"/>
          <w:lang w:val="zh-CN"/>
        </w:rPr>
        <w:t>兹证明上述声明是真实、正确的，并提供了全部能提供的资料和数据，我们同意遵照贵方要求出示有关证明文件。</w:t>
      </w:r>
    </w:p>
    <w:p w14:paraId="53CFF8EC">
      <w:pPr>
        <w:pageBreakBefore w:val="0"/>
        <w:kinsoku/>
        <w:wordWrap/>
        <w:overflowPunct/>
        <w:topLinePunct w:val="0"/>
        <w:bidi w:val="0"/>
        <w:snapToGrid w:val="0"/>
        <w:spacing w:line="360" w:lineRule="auto"/>
        <w:ind w:left="420" w:leftChars="200" w:right="420" w:rightChars="200"/>
        <w:rPr>
          <w:rFonts w:ascii="仿宋" w:hAnsi="仿宋" w:eastAsia="仿宋" w:cs="仿宋"/>
          <w:kern w:val="0"/>
          <w:sz w:val="24"/>
          <w:lang w:val="zh-CN"/>
        </w:rPr>
      </w:pPr>
    </w:p>
    <w:p w14:paraId="78C3ADE6">
      <w:pPr>
        <w:pStyle w:val="635"/>
        <w:pageBreakBefore w:val="0"/>
        <w:kinsoku/>
        <w:wordWrap/>
        <w:overflowPunct/>
        <w:topLinePunct w:val="0"/>
        <w:bidi w:val="0"/>
        <w:spacing w:line="360" w:lineRule="auto"/>
        <w:ind w:left="420" w:leftChars="200" w:right="420" w:rightChars="200" w:firstLine="560"/>
        <w:rPr>
          <w:rFonts w:ascii="仿宋" w:hAnsi="仿宋" w:eastAsia="仿宋" w:cs="仿宋"/>
          <w:lang w:val="zh-CN"/>
        </w:rPr>
      </w:pPr>
    </w:p>
    <w:p w14:paraId="0AB65E07">
      <w:pPr>
        <w:pageBreakBefore w:val="0"/>
        <w:kinsoku/>
        <w:wordWrap/>
        <w:overflowPunct/>
        <w:topLinePunct w:val="0"/>
        <w:bidi w:val="0"/>
        <w:snapToGrid w:val="0"/>
        <w:spacing w:line="360" w:lineRule="auto"/>
        <w:ind w:left="420" w:leftChars="200" w:right="420" w:rightChars="200" w:firstLine="4080" w:firstLineChars="1700"/>
        <w:rPr>
          <w:rFonts w:ascii="仿宋" w:hAnsi="仿宋" w:eastAsia="仿宋" w:cs="仿宋"/>
          <w:kern w:val="0"/>
          <w:sz w:val="24"/>
          <w:lang w:val="zh-CN"/>
        </w:rPr>
      </w:pPr>
      <w:r>
        <w:rPr>
          <w:rFonts w:hint="eastAsia" w:ascii="仿宋" w:hAnsi="仿宋" w:eastAsia="仿宋" w:cs="仿宋"/>
          <w:kern w:val="0"/>
          <w:sz w:val="24"/>
          <w:lang w:val="zh-CN"/>
        </w:rPr>
        <w:t>法定代表人或其授权委托人（签名或印章）：</w:t>
      </w:r>
    </w:p>
    <w:p w14:paraId="67DEB220">
      <w:pPr>
        <w:pageBreakBefore w:val="0"/>
        <w:kinsoku/>
        <w:wordWrap/>
        <w:overflowPunct/>
        <w:topLinePunct w:val="0"/>
        <w:bidi w:val="0"/>
        <w:snapToGrid w:val="0"/>
        <w:spacing w:line="360" w:lineRule="auto"/>
        <w:ind w:left="420" w:leftChars="200" w:right="420" w:rightChars="200" w:firstLine="4080" w:firstLineChars="1700"/>
        <w:rPr>
          <w:rFonts w:ascii="仿宋" w:hAnsi="仿宋" w:eastAsia="仿宋" w:cs="仿宋"/>
          <w:kern w:val="0"/>
          <w:sz w:val="24"/>
          <w:lang w:val="zh-CN"/>
        </w:rPr>
      </w:pPr>
      <w:r>
        <w:rPr>
          <w:rFonts w:hint="eastAsia" w:ascii="仿宋" w:hAnsi="仿宋" w:eastAsia="仿宋" w:cs="仿宋"/>
          <w:kern w:val="0"/>
          <w:sz w:val="24"/>
          <w:lang w:val="zh-CN"/>
        </w:rPr>
        <w:t>供应商（盖章）：</w:t>
      </w:r>
    </w:p>
    <w:p w14:paraId="6EBF1569">
      <w:pPr>
        <w:pageBreakBefore w:val="0"/>
        <w:kinsoku/>
        <w:wordWrap/>
        <w:overflowPunct/>
        <w:topLinePunct w:val="0"/>
        <w:bidi w:val="0"/>
        <w:snapToGrid w:val="0"/>
        <w:spacing w:line="360" w:lineRule="auto"/>
        <w:ind w:left="420" w:leftChars="200" w:right="420" w:rightChars="200"/>
        <w:rPr>
          <w:rFonts w:ascii="仿宋" w:hAnsi="仿宋" w:eastAsia="仿宋" w:cs="仿宋"/>
          <w:kern w:val="0"/>
          <w:sz w:val="24"/>
          <w:lang w:val="zh-CN"/>
        </w:rPr>
      </w:pPr>
      <w:r>
        <w:rPr>
          <w:rFonts w:hint="eastAsia" w:ascii="仿宋" w:hAnsi="仿宋" w:eastAsia="仿宋" w:cs="仿宋"/>
          <w:kern w:val="0"/>
          <w:sz w:val="24"/>
          <w:lang w:val="zh-CN"/>
        </w:rPr>
        <w:t xml:space="preserve">                                  日期：</w:t>
      </w:r>
    </w:p>
    <w:p w14:paraId="3E54AF52">
      <w:pPr>
        <w:keepNext/>
        <w:keepLines/>
        <w:pageBreakBefore w:val="0"/>
        <w:kinsoku/>
        <w:wordWrap/>
        <w:overflowPunct/>
        <w:topLinePunct w:val="0"/>
        <w:bidi w:val="0"/>
        <w:spacing w:line="480" w:lineRule="auto"/>
        <w:ind w:left="420" w:leftChars="200" w:right="420" w:rightChars="200"/>
        <w:outlineLvl w:val="2"/>
        <w:rPr>
          <w:b/>
          <w:bCs/>
          <w:sz w:val="28"/>
          <w:szCs w:val="28"/>
        </w:rPr>
      </w:pPr>
    </w:p>
    <w:p w14:paraId="6109DAF9">
      <w:pPr>
        <w:pStyle w:val="41"/>
        <w:pageBreakBefore w:val="0"/>
        <w:kinsoku/>
        <w:wordWrap/>
        <w:overflowPunct/>
        <w:topLinePunct w:val="0"/>
        <w:bidi w:val="0"/>
        <w:ind w:right="420" w:rightChars="200"/>
        <w:rPr>
          <w:b/>
          <w:bCs/>
          <w:sz w:val="28"/>
          <w:szCs w:val="28"/>
        </w:rPr>
      </w:pPr>
    </w:p>
    <w:p w14:paraId="56722A39">
      <w:pPr>
        <w:pageBreakBefore w:val="0"/>
        <w:kinsoku/>
        <w:wordWrap/>
        <w:overflowPunct/>
        <w:topLinePunct w:val="0"/>
        <w:bidi w:val="0"/>
        <w:ind w:left="420" w:leftChars="200" w:right="420" w:rightChars="200"/>
      </w:pPr>
    </w:p>
    <w:p w14:paraId="4CEC3310">
      <w:pPr>
        <w:keepNext/>
        <w:keepLines/>
        <w:pageBreakBefore w:val="0"/>
        <w:kinsoku/>
        <w:wordWrap/>
        <w:overflowPunct/>
        <w:topLinePunct w:val="0"/>
        <w:bidi w:val="0"/>
        <w:spacing w:line="480" w:lineRule="auto"/>
        <w:ind w:left="420" w:leftChars="200" w:right="420" w:rightChars="200" w:firstLine="2530" w:firstLineChars="900"/>
        <w:outlineLvl w:val="2"/>
        <w:rPr>
          <w:b/>
          <w:bCs/>
          <w:sz w:val="28"/>
          <w:szCs w:val="28"/>
        </w:rPr>
      </w:pPr>
      <w:r>
        <w:rPr>
          <w:rFonts w:hint="eastAsia"/>
          <w:b/>
          <w:bCs/>
          <w:sz w:val="28"/>
          <w:szCs w:val="28"/>
        </w:rPr>
        <w:t>（</w:t>
      </w:r>
      <w:r>
        <w:rPr>
          <w:rFonts w:hint="eastAsia"/>
          <w:b/>
          <w:bCs/>
          <w:sz w:val="28"/>
          <w:szCs w:val="28"/>
          <w:lang w:eastAsia="zh-CN"/>
        </w:rPr>
        <w:t>八</w:t>
      </w:r>
      <w:r>
        <w:rPr>
          <w:rFonts w:hint="eastAsia"/>
          <w:b/>
          <w:bCs/>
          <w:sz w:val="28"/>
          <w:szCs w:val="28"/>
        </w:rPr>
        <w:t>）拟派</w:t>
      </w:r>
      <w:r>
        <w:rPr>
          <w:b/>
          <w:bCs/>
          <w:sz w:val="28"/>
          <w:szCs w:val="28"/>
        </w:rPr>
        <w:t>项目</w:t>
      </w:r>
      <w:r>
        <w:rPr>
          <w:rFonts w:hint="eastAsia"/>
          <w:b/>
          <w:bCs/>
          <w:sz w:val="28"/>
          <w:szCs w:val="28"/>
        </w:rPr>
        <w:t>负责人</w:t>
      </w:r>
      <w:r>
        <w:rPr>
          <w:rFonts w:hint="eastAsia" w:ascii="宋体" w:hAnsi="宋体" w:cs="宋体"/>
          <w:b/>
          <w:bCs/>
          <w:snapToGrid w:val="0"/>
          <w:sz w:val="28"/>
          <w:szCs w:val="28"/>
        </w:rPr>
        <w:t>资历表</w:t>
      </w:r>
    </w:p>
    <w:tbl>
      <w:tblPr>
        <w:tblStyle w:val="60"/>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1124"/>
        <w:gridCol w:w="539"/>
        <w:gridCol w:w="816"/>
        <w:gridCol w:w="288"/>
        <w:gridCol w:w="708"/>
        <w:gridCol w:w="1248"/>
        <w:gridCol w:w="892"/>
        <w:gridCol w:w="1473"/>
        <w:gridCol w:w="2008"/>
      </w:tblGrid>
      <w:tr w14:paraId="1D2BD0D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63" w:hRule="atLeast"/>
          <w:jc w:val="center"/>
        </w:trPr>
        <w:tc>
          <w:tcPr>
            <w:tcW w:w="1663" w:type="dxa"/>
            <w:gridSpan w:val="2"/>
            <w:tcMar>
              <w:top w:w="113" w:type="dxa"/>
              <w:left w:w="113" w:type="dxa"/>
              <w:bottom w:w="113" w:type="dxa"/>
              <w:right w:w="113" w:type="dxa"/>
            </w:tcMar>
            <w:vAlign w:val="center"/>
          </w:tcPr>
          <w:p w14:paraId="33A9C65D">
            <w:pPr>
              <w:pageBreakBefore w:val="0"/>
              <w:shd w:val="clear" w:color="auto" w:fill="FFFFFF"/>
              <w:kinsoku/>
              <w:wordWrap/>
              <w:overflowPunct/>
              <w:topLinePunct w:val="0"/>
              <w:bidi w:val="0"/>
              <w:snapToGrid w:val="0"/>
              <w:ind w:left="420" w:leftChars="200" w:right="420" w:rightChars="200"/>
              <w:jc w:val="center"/>
              <w:rPr>
                <w:snapToGrid w:val="0"/>
                <w:szCs w:val="21"/>
              </w:rPr>
            </w:pPr>
            <w:r>
              <w:rPr>
                <w:rFonts w:hint="eastAsia"/>
                <w:snapToGrid w:val="0"/>
                <w:szCs w:val="21"/>
              </w:rPr>
              <w:t>姓</w:t>
            </w:r>
            <w:r>
              <w:rPr>
                <w:snapToGrid w:val="0"/>
                <w:szCs w:val="21"/>
              </w:rPr>
              <w:t xml:space="preserve">    </w:t>
            </w:r>
            <w:r>
              <w:rPr>
                <w:rFonts w:hint="eastAsia"/>
                <w:snapToGrid w:val="0"/>
                <w:szCs w:val="21"/>
              </w:rPr>
              <w:t>名</w:t>
            </w:r>
          </w:p>
        </w:tc>
        <w:tc>
          <w:tcPr>
            <w:tcW w:w="1104" w:type="dxa"/>
            <w:gridSpan w:val="2"/>
            <w:tcMar>
              <w:top w:w="113" w:type="dxa"/>
              <w:left w:w="113" w:type="dxa"/>
              <w:bottom w:w="113" w:type="dxa"/>
              <w:right w:w="113" w:type="dxa"/>
            </w:tcMar>
            <w:vAlign w:val="center"/>
          </w:tcPr>
          <w:p w14:paraId="5C1A1E7B">
            <w:pPr>
              <w:pageBreakBefore w:val="0"/>
              <w:shd w:val="clear" w:color="auto" w:fill="FFFFFF"/>
              <w:kinsoku/>
              <w:wordWrap/>
              <w:overflowPunct/>
              <w:topLinePunct w:val="0"/>
              <w:bidi w:val="0"/>
              <w:snapToGrid w:val="0"/>
              <w:ind w:left="420" w:leftChars="200" w:right="420" w:rightChars="200"/>
              <w:jc w:val="center"/>
              <w:rPr>
                <w:snapToGrid w:val="0"/>
                <w:szCs w:val="21"/>
              </w:rPr>
            </w:pPr>
          </w:p>
        </w:tc>
        <w:tc>
          <w:tcPr>
            <w:tcW w:w="708" w:type="dxa"/>
            <w:tcMar>
              <w:top w:w="113" w:type="dxa"/>
              <w:left w:w="113" w:type="dxa"/>
              <w:bottom w:w="113" w:type="dxa"/>
              <w:right w:w="113" w:type="dxa"/>
            </w:tcMar>
            <w:vAlign w:val="center"/>
          </w:tcPr>
          <w:p w14:paraId="09FE8C6D">
            <w:pPr>
              <w:pageBreakBefore w:val="0"/>
              <w:shd w:val="clear" w:color="auto" w:fill="FFFFFF"/>
              <w:kinsoku/>
              <w:wordWrap/>
              <w:overflowPunct/>
              <w:topLinePunct w:val="0"/>
              <w:bidi w:val="0"/>
              <w:snapToGrid w:val="0"/>
              <w:ind w:right="420" w:rightChars="200"/>
              <w:jc w:val="both"/>
              <w:rPr>
                <w:snapToGrid w:val="0"/>
                <w:szCs w:val="21"/>
              </w:rPr>
            </w:pPr>
            <w:r>
              <w:rPr>
                <w:rFonts w:hint="eastAsia"/>
                <w:snapToGrid w:val="0"/>
                <w:szCs w:val="21"/>
              </w:rPr>
              <w:t>年龄</w:t>
            </w:r>
          </w:p>
        </w:tc>
        <w:tc>
          <w:tcPr>
            <w:tcW w:w="1248" w:type="dxa"/>
            <w:tcMar>
              <w:top w:w="113" w:type="dxa"/>
              <w:left w:w="113" w:type="dxa"/>
              <w:bottom w:w="113" w:type="dxa"/>
              <w:right w:w="113" w:type="dxa"/>
            </w:tcMar>
            <w:vAlign w:val="center"/>
          </w:tcPr>
          <w:p w14:paraId="5A21F7CC">
            <w:pPr>
              <w:pageBreakBefore w:val="0"/>
              <w:shd w:val="clear" w:color="auto" w:fill="FFFFFF"/>
              <w:kinsoku/>
              <w:wordWrap/>
              <w:overflowPunct/>
              <w:topLinePunct w:val="0"/>
              <w:bidi w:val="0"/>
              <w:snapToGrid w:val="0"/>
              <w:ind w:left="420" w:leftChars="200" w:right="420" w:rightChars="200"/>
              <w:jc w:val="center"/>
              <w:rPr>
                <w:snapToGrid w:val="0"/>
                <w:szCs w:val="21"/>
              </w:rPr>
            </w:pPr>
          </w:p>
        </w:tc>
        <w:tc>
          <w:tcPr>
            <w:tcW w:w="2365" w:type="dxa"/>
            <w:gridSpan w:val="2"/>
            <w:tcMar>
              <w:top w:w="113" w:type="dxa"/>
              <w:left w:w="113" w:type="dxa"/>
              <w:bottom w:w="113" w:type="dxa"/>
              <w:right w:w="113" w:type="dxa"/>
            </w:tcMar>
            <w:vAlign w:val="center"/>
          </w:tcPr>
          <w:p w14:paraId="719775D9">
            <w:pPr>
              <w:pageBreakBefore w:val="0"/>
              <w:shd w:val="clear" w:color="auto" w:fill="FFFFFF"/>
              <w:kinsoku/>
              <w:wordWrap/>
              <w:overflowPunct/>
              <w:topLinePunct w:val="0"/>
              <w:bidi w:val="0"/>
              <w:snapToGrid w:val="0"/>
              <w:ind w:left="420" w:leftChars="200" w:right="420" w:rightChars="200"/>
              <w:jc w:val="center"/>
              <w:rPr>
                <w:snapToGrid w:val="0"/>
                <w:szCs w:val="21"/>
              </w:rPr>
            </w:pPr>
            <w:r>
              <w:rPr>
                <w:rFonts w:hint="eastAsia"/>
                <w:snapToGrid w:val="0"/>
                <w:szCs w:val="21"/>
              </w:rPr>
              <w:t>学</w:t>
            </w:r>
            <w:r>
              <w:rPr>
                <w:snapToGrid w:val="0"/>
                <w:szCs w:val="21"/>
              </w:rPr>
              <w:t xml:space="preserve">    </w:t>
            </w:r>
            <w:r>
              <w:rPr>
                <w:rFonts w:hint="eastAsia"/>
                <w:snapToGrid w:val="0"/>
                <w:szCs w:val="21"/>
              </w:rPr>
              <w:t>历</w:t>
            </w:r>
          </w:p>
        </w:tc>
        <w:tc>
          <w:tcPr>
            <w:tcW w:w="2008" w:type="dxa"/>
            <w:tcMar>
              <w:top w:w="113" w:type="dxa"/>
              <w:left w:w="113" w:type="dxa"/>
              <w:bottom w:w="113" w:type="dxa"/>
              <w:right w:w="113" w:type="dxa"/>
            </w:tcMar>
            <w:vAlign w:val="center"/>
          </w:tcPr>
          <w:p w14:paraId="276FCE95">
            <w:pPr>
              <w:pageBreakBefore w:val="0"/>
              <w:shd w:val="clear" w:color="auto" w:fill="FFFFFF"/>
              <w:kinsoku/>
              <w:wordWrap/>
              <w:overflowPunct/>
              <w:topLinePunct w:val="0"/>
              <w:bidi w:val="0"/>
              <w:snapToGrid w:val="0"/>
              <w:ind w:left="420" w:leftChars="200" w:right="420" w:rightChars="200"/>
              <w:jc w:val="center"/>
              <w:rPr>
                <w:snapToGrid w:val="0"/>
                <w:szCs w:val="21"/>
              </w:rPr>
            </w:pPr>
          </w:p>
        </w:tc>
      </w:tr>
      <w:tr w14:paraId="3163EB7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08" w:hRule="atLeast"/>
          <w:jc w:val="center"/>
        </w:trPr>
        <w:tc>
          <w:tcPr>
            <w:tcW w:w="1663" w:type="dxa"/>
            <w:gridSpan w:val="2"/>
            <w:tcMar>
              <w:top w:w="113" w:type="dxa"/>
              <w:left w:w="113" w:type="dxa"/>
              <w:bottom w:w="113" w:type="dxa"/>
              <w:right w:w="113" w:type="dxa"/>
            </w:tcMar>
            <w:vAlign w:val="center"/>
          </w:tcPr>
          <w:p w14:paraId="3D7A3152">
            <w:pPr>
              <w:pageBreakBefore w:val="0"/>
              <w:shd w:val="clear" w:color="auto" w:fill="FFFFFF"/>
              <w:kinsoku/>
              <w:wordWrap/>
              <w:overflowPunct/>
              <w:topLinePunct w:val="0"/>
              <w:bidi w:val="0"/>
              <w:snapToGrid w:val="0"/>
              <w:ind w:left="420" w:leftChars="200" w:right="420" w:rightChars="200"/>
              <w:jc w:val="center"/>
              <w:rPr>
                <w:snapToGrid w:val="0"/>
                <w:szCs w:val="21"/>
              </w:rPr>
            </w:pPr>
            <w:r>
              <w:rPr>
                <w:rFonts w:hint="eastAsia"/>
                <w:snapToGrid w:val="0"/>
                <w:szCs w:val="21"/>
              </w:rPr>
              <w:t>执业资格</w:t>
            </w:r>
          </w:p>
        </w:tc>
        <w:tc>
          <w:tcPr>
            <w:tcW w:w="3060" w:type="dxa"/>
            <w:gridSpan w:val="4"/>
            <w:tcMar>
              <w:top w:w="113" w:type="dxa"/>
              <w:left w:w="113" w:type="dxa"/>
              <w:bottom w:w="113" w:type="dxa"/>
              <w:right w:w="113" w:type="dxa"/>
            </w:tcMar>
            <w:vAlign w:val="center"/>
          </w:tcPr>
          <w:p w14:paraId="535560A7">
            <w:pPr>
              <w:pageBreakBefore w:val="0"/>
              <w:shd w:val="clear" w:color="auto" w:fill="FFFFFF"/>
              <w:kinsoku/>
              <w:wordWrap/>
              <w:overflowPunct/>
              <w:topLinePunct w:val="0"/>
              <w:bidi w:val="0"/>
              <w:snapToGrid w:val="0"/>
              <w:ind w:left="420" w:leftChars="200" w:right="420" w:rightChars="200"/>
              <w:jc w:val="center"/>
              <w:rPr>
                <w:snapToGrid w:val="0"/>
                <w:szCs w:val="21"/>
              </w:rPr>
            </w:pPr>
          </w:p>
        </w:tc>
        <w:tc>
          <w:tcPr>
            <w:tcW w:w="2365" w:type="dxa"/>
            <w:gridSpan w:val="2"/>
            <w:tcMar>
              <w:top w:w="113" w:type="dxa"/>
              <w:left w:w="113" w:type="dxa"/>
              <w:bottom w:w="113" w:type="dxa"/>
              <w:right w:w="113" w:type="dxa"/>
            </w:tcMar>
            <w:vAlign w:val="center"/>
          </w:tcPr>
          <w:p w14:paraId="00DF5A3C">
            <w:pPr>
              <w:pageBreakBefore w:val="0"/>
              <w:shd w:val="clear" w:color="auto" w:fill="FFFFFF"/>
              <w:kinsoku/>
              <w:wordWrap/>
              <w:overflowPunct/>
              <w:topLinePunct w:val="0"/>
              <w:bidi w:val="0"/>
              <w:snapToGrid w:val="0"/>
              <w:ind w:right="420" w:rightChars="200"/>
              <w:jc w:val="both"/>
              <w:rPr>
                <w:snapToGrid w:val="0"/>
                <w:szCs w:val="21"/>
              </w:rPr>
            </w:pPr>
            <w:r>
              <w:rPr>
                <w:rFonts w:hint="eastAsia"/>
                <w:snapToGrid w:val="0"/>
                <w:szCs w:val="21"/>
              </w:rPr>
              <w:t>安全生产考核合格证书</w:t>
            </w:r>
          </w:p>
        </w:tc>
        <w:tc>
          <w:tcPr>
            <w:tcW w:w="2008" w:type="dxa"/>
            <w:tcMar>
              <w:top w:w="113" w:type="dxa"/>
              <w:left w:w="113" w:type="dxa"/>
              <w:bottom w:w="113" w:type="dxa"/>
              <w:right w:w="113" w:type="dxa"/>
            </w:tcMar>
            <w:vAlign w:val="center"/>
          </w:tcPr>
          <w:p w14:paraId="26C2DE90">
            <w:pPr>
              <w:pageBreakBefore w:val="0"/>
              <w:shd w:val="clear" w:color="auto" w:fill="FFFFFF"/>
              <w:kinsoku/>
              <w:wordWrap/>
              <w:overflowPunct/>
              <w:topLinePunct w:val="0"/>
              <w:bidi w:val="0"/>
              <w:snapToGrid w:val="0"/>
              <w:ind w:left="420" w:leftChars="200" w:right="420" w:rightChars="200"/>
              <w:jc w:val="center"/>
              <w:rPr>
                <w:snapToGrid w:val="0"/>
                <w:szCs w:val="21"/>
              </w:rPr>
            </w:pPr>
          </w:p>
        </w:tc>
      </w:tr>
      <w:tr w14:paraId="5DC90BF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63" w:hRule="atLeast"/>
          <w:jc w:val="center"/>
        </w:trPr>
        <w:tc>
          <w:tcPr>
            <w:tcW w:w="1663" w:type="dxa"/>
            <w:gridSpan w:val="2"/>
            <w:tcMar>
              <w:top w:w="113" w:type="dxa"/>
              <w:left w:w="113" w:type="dxa"/>
              <w:bottom w:w="113" w:type="dxa"/>
              <w:right w:w="113" w:type="dxa"/>
            </w:tcMar>
            <w:vAlign w:val="center"/>
          </w:tcPr>
          <w:p w14:paraId="49640DD3">
            <w:pPr>
              <w:pageBreakBefore w:val="0"/>
              <w:shd w:val="clear" w:color="auto" w:fill="FFFFFF"/>
              <w:kinsoku/>
              <w:wordWrap/>
              <w:overflowPunct/>
              <w:topLinePunct w:val="0"/>
              <w:bidi w:val="0"/>
              <w:snapToGrid w:val="0"/>
              <w:ind w:left="420" w:leftChars="200" w:right="420" w:rightChars="200"/>
              <w:jc w:val="center"/>
              <w:rPr>
                <w:snapToGrid w:val="0"/>
                <w:szCs w:val="21"/>
              </w:rPr>
            </w:pPr>
            <w:r>
              <w:rPr>
                <w:rFonts w:hint="eastAsia"/>
                <w:snapToGrid w:val="0"/>
                <w:szCs w:val="21"/>
              </w:rPr>
              <w:t>职</w:t>
            </w:r>
            <w:r>
              <w:rPr>
                <w:snapToGrid w:val="0"/>
                <w:szCs w:val="21"/>
              </w:rPr>
              <w:t xml:space="preserve">    </w:t>
            </w:r>
            <w:r>
              <w:rPr>
                <w:rFonts w:hint="eastAsia"/>
                <w:snapToGrid w:val="0"/>
                <w:szCs w:val="21"/>
              </w:rPr>
              <w:t>称</w:t>
            </w:r>
          </w:p>
        </w:tc>
        <w:tc>
          <w:tcPr>
            <w:tcW w:w="1104" w:type="dxa"/>
            <w:gridSpan w:val="2"/>
            <w:tcMar>
              <w:top w:w="113" w:type="dxa"/>
              <w:left w:w="113" w:type="dxa"/>
              <w:bottom w:w="113" w:type="dxa"/>
              <w:right w:w="113" w:type="dxa"/>
            </w:tcMar>
            <w:vAlign w:val="center"/>
          </w:tcPr>
          <w:p w14:paraId="4007CA20">
            <w:pPr>
              <w:pageBreakBefore w:val="0"/>
              <w:shd w:val="clear" w:color="auto" w:fill="FFFFFF"/>
              <w:kinsoku/>
              <w:wordWrap/>
              <w:overflowPunct/>
              <w:topLinePunct w:val="0"/>
              <w:bidi w:val="0"/>
              <w:snapToGrid w:val="0"/>
              <w:ind w:left="420" w:leftChars="200" w:right="420" w:rightChars="200"/>
              <w:jc w:val="center"/>
              <w:rPr>
                <w:snapToGrid w:val="0"/>
                <w:szCs w:val="21"/>
              </w:rPr>
            </w:pPr>
          </w:p>
        </w:tc>
        <w:tc>
          <w:tcPr>
            <w:tcW w:w="708" w:type="dxa"/>
            <w:tcMar>
              <w:top w:w="113" w:type="dxa"/>
              <w:left w:w="113" w:type="dxa"/>
              <w:bottom w:w="113" w:type="dxa"/>
              <w:right w:w="113" w:type="dxa"/>
            </w:tcMar>
            <w:vAlign w:val="center"/>
          </w:tcPr>
          <w:p w14:paraId="65646E74">
            <w:pPr>
              <w:pageBreakBefore w:val="0"/>
              <w:shd w:val="clear" w:color="auto" w:fill="FFFFFF"/>
              <w:kinsoku/>
              <w:wordWrap/>
              <w:overflowPunct/>
              <w:topLinePunct w:val="0"/>
              <w:bidi w:val="0"/>
              <w:snapToGrid w:val="0"/>
              <w:ind w:right="420" w:rightChars="200"/>
              <w:jc w:val="both"/>
              <w:rPr>
                <w:snapToGrid w:val="0"/>
                <w:szCs w:val="21"/>
              </w:rPr>
            </w:pPr>
            <w:r>
              <w:rPr>
                <w:rFonts w:hint="eastAsia"/>
                <w:snapToGrid w:val="0"/>
                <w:szCs w:val="21"/>
              </w:rPr>
              <w:t>职务</w:t>
            </w:r>
          </w:p>
        </w:tc>
        <w:tc>
          <w:tcPr>
            <w:tcW w:w="1248" w:type="dxa"/>
            <w:tcMar>
              <w:top w:w="113" w:type="dxa"/>
              <w:left w:w="113" w:type="dxa"/>
              <w:bottom w:w="113" w:type="dxa"/>
              <w:right w:w="113" w:type="dxa"/>
            </w:tcMar>
            <w:vAlign w:val="center"/>
          </w:tcPr>
          <w:p w14:paraId="2C820BBE">
            <w:pPr>
              <w:pageBreakBefore w:val="0"/>
              <w:shd w:val="clear" w:color="auto" w:fill="FFFFFF"/>
              <w:kinsoku/>
              <w:wordWrap/>
              <w:overflowPunct/>
              <w:topLinePunct w:val="0"/>
              <w:bidi w:val="0"/>
              <w:snapToGrid w:val="0"/>
              <w:ind w:left="420" w:leftChars="200" w:right="420" w:rightChars="200"/>
              <w:jc w:val="center"/>
              <w:rPr>
                <w:snapToGrid w:val="0"/>
                <w:szCs w:val="21"/>
              </w:rPr>
            </w:pPr>
          </w:p>
        </w:tc>
        <w:tc>
          <w:tcPr>
            <w:tcW w:w="2365" w:type="dxa"/>
            <w:gridSpan w:val="2"/>
            <w:tcMar>
              <w:top w:w="113" w:type="dxa"/>
              <w:left w:w="113" w:type="dxa"/>
              <w:bottom w:w="113" w:type="dxa"/>
              <w:right w:w="113" w:type="dxa"/>
            </w:tcMar>
            <w:vAlign w:val="center"/>
          </w:tcPr>
          <w:p w14:paraId="1FCD2212">
            <w:pPr>
              <w:pageBreakBefore w:val="0"/>
              <w:shd w:val="clear" w:color="auto" w:fill="FFFFFF"/>
              <w:kinsoku/>
              <w:wordWrap/>
              <w:overflowPunct/>
              <w:topLinePunct w:val="0"/>
              <w:bidi w:val="0"/>
              <w:snapToGrid w:val="0"/>
              <w:ind w:right="420" w:rightChars="200"/>
              <w:jc w:val="both"/>
              <w:rPr>
                <w:snapToGrid w:val="0"/>
                <w:szCs w:val="21"/>
              </w:rPr>
            </w:pPr>
            <w:r>
              <w:rPr>
                <w:rFonts w:hint="eastAsia"/>
                <w:snapToGrid w:val="0"/>
                <w:szCs w:val="21"/>
              </w:rPr>
              <w:t>拟在本合同任职</w:t>
            </w:r>
          </w:p>
        </w:tc>
        <w:tc>
          <w:tcPr>
            <w:tcW w:w="2008" w:type="dxa"/>
            <w:tcMar>
              <w:top w:w="113" w:type="dxa"/>
              <w:left w:w="113" w:type="dxa"/>
              <w:bottom w:w="113" w:type="dxa"/>
              <w:right w:w="113" w:type="dxa"/>
            </w:tcMar>
            <w:vAlign w:val="center"/>
          </w:tcPr>
          <w:p w14:paraId="607843C4">
            <w:pPr>
              <w:pageBreakBefore w:val="0"/>
              <w:shd w:val="clear" w:color="auto" w:fill="FFFFFF"/>
              <w:kinsoku/>
              <w:wordWrap/>
              <w:overflowPunct/>
              <w:topLinePunct w:val="0"/>
              <w:bidi w:val="0"/>
              <w:snapToGrid w:val="0"/>
              <w:ind w:left="420" w:leftChars="200" w:right="420" w:rightChars="200"/>
              <w:jc w:val="center"/>
              <w:rPr>
                <w:snapToGrid w:val="0"/>
                <w:szCs w:val="21"/>
              </w:rPr>
            </w:pPr>
          </w:p>
        </w:tc>
      </w:tr>
      <w:tr w14:paraId="5443419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63" w:hRule="atLeast"/>
          <w:jc w:val="center"/>
        </w:trPr>
        <w:tc>
          <w:tcPr>
            <w:tcW w:w="1663" w:type="dxa"/>
            <w:gridSpan w:val="2"/>
            <w:tcMar>
              <w:top w:w="113" w:type="dxa"/>
              <w:left w:w="113" w:type="dxa"/>
              <w:bottom w:w="113" w:type="dxa"/>
              <w:right w:w="113" w:type="dxa"/>
            </w:tcMar>
            <w:vAlign w:val="center"/>
          </w:tcPr>
          <w:p w14:paraId="2A4278CA">
            <w:pPr>
              <w:pageBreakBefore w:val="0"/>
              <w:shd w:val="clear" w:color="auto" w:fill="FFFFFF"/>
              <w:kinsoku/>
              <w:wordWrap/>
              <w:overflowPunct/>
              <w:topLinePunct w:val="0"/>
              <w:bidi w:val="0"/>
              <w:snapToGrid w:val="0"/>
              <w:ind w:left="420" w:leftChars="200" w:right="420" w:rightChars="200"/>
              <w:jc w:val="center"/>
              <w:rPr>
                <w:snapToGrid w:val="0"/>
                <w:szCs w:val="21"/>
              </w:rPr>
            </w:pPr>
            <w:r>
              <w:rPr>
                <w:rFonts w:hint="eastAsia"/>
                <w:snapToGrid w:val="0"/>
                <w:szCs w:val="21"/>
              </w:rPr>
              <w:t>毕业学校</w:t>
            </w:r>
          </w:p>
        </w:tc>
        <w:tc>
          <w:tcPr>
            <w:tcW w:w="7433" w:type="dxa"/>
            <w:gridSpan w:val="7"/>
            <w:tcMar>
              <w:top w:w="113" w:type="dxa"/>
              <w:left w:w="113" w:type="dxa"/>
              <w:bottom w:w="113" w:type="dxa"/>
              <w:right w:w="113" w:type="dxa"/>
            </w:tcMar>
            <w:vAlign w:val="center"/>
          </w:tcPr>
          <w:p w14:paraId="58D9BD9C">
            <w:pPr>
              <w:pageBreakBefore w:val="0"/>
              <w:shd w:val="clear" w:color="auto" w:fill="FFFFFF"/>
              <w:kinsoku/>
              <w:wordWrap/>
              <w:overflowPunct/>
              <w:topLinePunct w:val="0"/>
              <w:bidi w:val="0"/>
              <w:snapToGrid w:val="0"/>
              <w:ind w:left="420" w:leftChars="200" w:right="420" w:rightChars="200"/>
              <w:rPr>
                <w:snapToGrid w:val="0"/>
                <w:szCs w:val="21"/>
              </w:rPr>
            </w:pPr>
            <w:r>
              <w:rPr>
                <w:rFonts w:hint="eastAsia"/>
                <w:snapToGrid w:val="0"/>
                <w:szCs w:val="21"/>
                <w:u w:val="single"/>
              </w:rPr>
              <w:t xml:space="preserve">      </w:t>
            </w:r>
            <w:r>
              <w:rPr>
                <w:rFonts w:hint="eastAsia"/>
                <w:snapToGrid w:val="0"/>
                <w:szCs w:val="21"/>
              </w:rPr>
              <w:t>年毕业于</w:t>
            </w:r>
            <w:r>
              <w:rPr>
                <w:snapToGrid w:val="0"/>
                <w:szCs w:val="21"/>
                <w:u w:val="single"/>
              </w:rPr>
              <w:t xml:space="preserve">                 </w:t>
            </w:r>
            <w:r>
              <w:rPr>
                <w:rFonts w:hint="eastAsia"/>
                <w:snapToGrid w:val="0"/>
                <w:szCs w:val="21"/>
              </w:rPr>
              <w:t>学校</w:t>
            </w:r>
            <w:r>
              <w:rPr>
                <w:snapToGrid w:val="0"/>
                <w:szCs w:val="21"/>
                <w:u w:val="single"/>
              </w:rPr>
              <w:t xml:space="preserve">      </w:t>
            </w:r>
            <w:r>
              <w:rPr>
                <w:rFonts w:hint="eastAsia"/>
                <w:snapToGrid w:val="0"/>
                <w:szCs w:val="21"/>
                <w:u w:val="single"/>
              </w:rPr>
              <w:t xml:space="preserve"> </w:t>
            </w:r>
            <w:r>
              <w:rPr>
                <w:snapToGrid w:val="0"/>
                <w:szCs w:val="21"/>
                <w:u w:val="single"/>
              </w:rPr>
              <w:t xml:space="preserve">   </w:t>
            </w:r>
            <w:r>
              <w:rPr>
                <w:rFonts w:hint="eastAsia"/>
                <w:snapToGrid w:val="0"/>
                <w:szCs w:val="21"/>
              </w:rPr>
              <w:t>专业</w:t>
            </w:r>
          </w:p>
        </w:tc>
      </w:tr>
      <w:tr w14:paraId="109C291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63" w:hRule="atLeast"/>
          <w:jc w:val="center"/>
        </w:trPr>
        <w:tc>
          <w:tcPr>
            <w:tcW w:w="9096" w:type="dxa"/>
            <w:gridSpan w:val="9"/>
            <w:tcMar>
              <w:top w:w="113" w:type="dxa"/>
              <w:left w:w="113" w:type="dxa"/>
              <w:bottom w:w="113" w:type="dxa"/>
              <w:right w:w="113" w:type="dxa"/>
            </w:tcMar>
            <w:vAlign w:val="center"/>
          </w:tcPr>
          <w:p w14:paraId="01F4D6B6">
            <w:pPr>
              <w:pageBreakBefore w:val="0"/>
              <w:shd w:val="clear" w:color="auto" w:fill="FFFFFF"/>
              <w:kinsoku/>
              <w:wordWrap/>
              <w:overflowPunct/>
              <w:topLinePunct w:val="0"/>
              <w:bidi w:val="0"/>
              <w:snapToGrid w:val="0"/>
              <w:ind w:left="420" w:leftChars="200" w:right="420" w:rightChars="200"/>
              <w:jc w:val="center"/>
              <w:rPr>
                <w:snapToGrid w:val="0"/>
                <w:szCs w:val="21"/>
              </w:rPr>
            </w:pPr>
            <w:r>
              <w:rPr>
                <w:rFonts w:hint="eastAsia"/>
                <w:snapToGrid w:val="0"/>
                <w:szCs w:val="21"/>
              </w:rPr>
              <w:t>主要施工管理经历</w:t>
            </w:r>
          </w:p>
        </w:tc>
      </w:tr>
      <w:tr w14:paraId="48D4D74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63" w:hRule="atLeast"/>
          <w:jc w:val="center"/>
        </w:trPr>
        <w:tc>
          <w:tcPr>
            <w:tcW w:w="1124" w:type="dxa"/>
            <w:tcMar>
              <w:top w:w="113" w:type="dxa"/>
              <w:left w:w="113" w:type="dxa"/>
              <w:bottom w:w="113" w:type="dxa"/>
              <w:right w:w="113" w:type="dxa"/>
            </w:tcMar>
            <w:vAlign w:val="center"/>
          </w:tcPr>
          <w:p w14:paraId="64358407">
            <w:pPr>
              <w:pageBreakBefore w:val="0"/>
              <w:shd w:val="clear" w:color="auto" w:fill="FFFFFF"/>
              <w:kinsoku/>
              <w:wordWrap/>
              <w:overflowPunct/>
              <w:topLinePunct w:val="0"/>
              <w:bidi w:val="0"/>
              <w:snapToGrid w:val="0"/>
              <w:ind w:left="420" w:leftChars="200" w:right="420" w:rightChars="200"/>
              <w:jc w:val="center"/>
              <w:rPr>
                <w:snapToGrid w:val="0"/>
                <w:szCs w:val="21"/>
              </w:rPr>
            </w:pPr>
            <w:r>
              <w:rPr>
                <w:rFonts w:hint="eastAsia"/>
                <w:snapToGrid w:val="0"/>
                <w:szCs w:val="21"/>
              </w:rPr>
              <w:t>时间</w:t>
            </w:r>
          </w:p>
        </w:tc>
        <w:tc>
          <w:tcPr>
            <w:tcW w:w="4491" w:type="dxa"/>
            <w:gridSpan w:val="6"/>
            <w:tcMar>
              <w:top w:w="113" w:type="dxa"/>
              <w:left w:w="113" w:type="dxa"/>
              <w:bottom w:w="113" w:type="dxa"/>
              <w:right w:w="113" w:type="dxa"/>
            </w:tcMar>
            <w:vAlign w:val="center"/>
          </w:tcPr>
          <w:p w14:paraId="4061E7E5">
            <w:pPr>
              <w:pageBreakBefore w:val="0"/>
              <w:shd w:val="clear" w:color="auto" w:fill="FFFFFF"/>
              <w:kinsoku/>
              <w:wordWrap/>
              <w:overflowPunct/>
              <w:topLinePunct w:val="0"/>
              <w:bidi w:val="0"/>
              <w:snapToGrid w:val="0"/>
              <w:ind w:left="420" w:leftChars="200" w:right="420" w:rightChars="200"/>
              <w:jc w:val="center"/>
              <w:rPr>
                <w:snapToGrid w:val="0"/>
                <w:szCs w:val="21"/>
              </w:rPr>
            </w:pPr>
            <w:r>
              <w:rPr>
                <w:rFonts w:hint="eastAsia"/>
                <w:snapToGrid w:val="0"/>
                <w:szCs w:val="21"/>
              </w:rPr>
              <w:t>参加过的类似项目</w:t>
            </w:r>
          </w:p>
        </w:tc>
        <w:tc>
          <w:tcPr>
            <w:tcW w:w="1473" w:type="dxa"/>
            <w:tcMar>
              <w:top w:w="113" w:type="dxa"/>
              <w:left w:w="113" w:type="dxa"/>
              <w:bottom w:w="113" w:type="dxa"/>
              <w:right w:w="113" w:type="dxa"/>
            </w:tcMar>
            <w:vAlign w:val="center"/>
          </w:tcPr>
          <w:p w14:paraId="65CBEBAC">
            <w:pPr>
              <w:pageBreakBefore w:val="0"/>
              <w:shd w:val="clear" w:color="auto" w:fill="FFFFFF"/>
              <w:kinsoku/>
              <w:wordWrap/>
              <w:overflowPunct/>
              <w:topLinePunct w:val="0"/>
              <w:bidi w:val="0"/>
              <w:snapToGrid w:val="0"/>
              <w:ind w:left="420" w:leftChars="200" w:right="420" w:rightChars="200"/>
              <w:jc w:val="center"/>
              <w:rPr>
                <w:snapToGrid w:val="0"/>
                <w:szCs w:val="21"/>
              </w:rPr>
            </w:pPr>
            <w:r>
              <w:rPr>
                <w:rFonts w:hint="eastAsia"/>
                <w:snapToGrid w:val="0"/>
                <w:szCs w:val="21"/>
              </w:rPr>
              <w:t>担任职务</w:t>
            </w:r>
          </w:p>
        </w:tc>
        <w:tc>
          <w:tcPr>
            <w:tcW w:w="2008" w:type="dxa"/>
            <w:tcMar>
              <w:top w:w="113" w:type="dxa"/>
              <w:left w:w="113" w:type="dxa"/>
              <w:bottom w:w="113" w:type="dxa"/>
              <w:right w:w="113" w:type="dxa"/>
            </w:tcMar>
            <w:vAlign w:val="center"/>
          </w:tcPr>
          <w:p w14:paraId="35BD4D32">
            <w:pPr>
              <w:pageBreakBefore w:val="0"/>
              <w:shd w:val="clear" w:color="auto" w:fill="FFFFFF"/>
              <w:kinsoku/>
              <w:wordWrap/>
              <w:overflowPunct/>
              <w:topLinePunct w:val="0"/>
              <w:bidi w:val="0"/>
              <w:snapToGrid w:val="0"/>
              <w:ind w:left="420" w:leftChars="200" w:right="420" w:rightChars="200"/>
              <w:jc w:val="center"/>
              <w:rPr>
                <w:snapToGrid w:val="0"/>
                <w:szCs w:val="21"/>
              </w:rPr>
            </w:pPr>
            <w:r>
              <w:rPr>
                <w:rFonts w:hint="eastAsia"/>
                <w:snapToGrid w:val="0"/>
                <w:szCs w:val="21"/>
              </w:rPr>
              <w:t>发包人及联系电话</w:t>
            </w:r>
          </w:p>
        </w:tc>
      </w:tr>
      <w:tr w14:paraId="7FE23B1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63" w:hRule="atLeast"/>
          <w:jc w:val="center"/>
        </w:trPr>
        <w:tc>
          <w:tcPr>
            <w:tcW w:w="1124" w:type="dxa"/>
            <w:tcMar>
              <w:top w:w="113" w:type="dxa"/>
              <w:left w:w="113" w:type="dxa"/>
              <w:bottom w:w="113" w:type="dxa"/>
              <w:right w:w="113" w:type="dxa"/>
            </w:tcMar>
            <w:vAlign w:val="center"/>
          </w:tcPr>
          <w:p w14:paraId="5B46E525">
            <w:pPr>
              <w:pageBreakBefore w:val="0"/>
              <w:shd w:val="clear" w:color="auto" w:fill="FFFFFF"/>
              <w:kinsoku/>
              <w:wordWrap/>
              <w:overflowPunct/>
              <w:topLinePunct w:val="0"/>
              <w:bidi w:val="0"/>
              <w:snapToGrid w:val="0"/>
              <w:ind w:left="420" w:leftChars="200" w:right="420" w:rightChars="200"/>
              <w:jc w:val="center"/>
              <w:rPr>
                <w:snapToGrid w:val="0"/>
                <w:szCs w:val="21"/>
              </w:rPr>
            </w:pPr>
          </w:p>
        </w:tc>
        <w:tc>
          <w:tcPr>
            <w:tcW w:w="4491" w:type="dxa"/>
            <w:gridSpan w:val="6"/>
            <w:tcMar>
              <w:top w:w="113" w:type="dxa"/>
              <w:left w:w="113" w:type="dxa"/>
              <w:bottom w:w="113" w:type="dxa"/>
              <w:right w:w="113" w:type="dxa"/>
            </w:tcMar>
            <w:vAlign w:val="center"/>
          </w:tcPr>
          <w:p w14:paraId="2F8BDDEF">
            <w:pPr>
              <w:pageBreakBefore w:val="0"/>
              <w:shd w:val="clear" w:color="auto" w:fill="FFFFFF"/>
              <w:kinsoku/>
              <w:wordWrap/>
              <w:overflowPunct/>
              <w:topLinePunct w:val="0"/>
              <w:bidi w:val="0"/>
              <w:snapToGrid w:val="0"/>
              <w:ind w:left="420" w:leftChars="200" w:right="420" w:rightChars="200"/>
              <w:jc w:val="center"/>
              <w:rPr>
                <w:snapToGrid w:val="0"/>
                <w:szCs w:val="21"/>
              </w:rPr>
            </w:pPr>
          </w:p>
        </w:tc>
        <w:tc>
          <w:tcPr>
            <w:tcW w:w="1473" w:type="dxa"/>
            <w:tcMar>
              <w:top w:w="113" w:type="dxa"/>
              <w:left w:w="113" w:type="dxa"/>
              <w:bottom w:w="113" w:type="dxa"/>
              <w:right w:w="113" w:type="dxa"/>
            </w:tcMar>
            <w:vAlign w:val="center"/>
          </w:tcPr>
          <w:p w14:paraId="0E2D912C">
            <w:pPr>
              <w:pageBreakBefore w:val="0"/>
              <w:shd w:val="clear" w:color="auto" w:fill="FFFFFF"/>
              <w:kinsoku/>
              <w:wordWrap/>
              <w:overflowPunct/>
              <w:topLinePunct w:val="0"/>
              <w:bidi w:val="0"/>
              <w:snapToGrid w:val="0"/>
              <w:ind w:left="420" w:leftChars="200" w:right="420" w:rightChars="200"/>
              <w:jc w:val="center"/>
              <w:rPr>
                <w:snapToGrid w:val="0"/>
                <w:szCs w:val="21"/>
              </w:rPr>
            </w:pPr>
          </w:p>
        </w:tc>
        <w:tc>
          <w:tcPr>
            <w:tcW w:w="2008" w:type="dxa"/>
            <w:tcMar>
              <w:top w:w="113" w:type="dxa"/>
              <w:left w:w="113" w:type="dxa"/>
              <w:bottom w:w="113" w:type="dxa"/>
              <w:right w:w="113" w:type="dxa"/>
            </w:tcMar>
            <w:vAlign w:val="center"/>
          </w:tcPr>
          <w:p w14:paraId="7B7F5044">
            <w:pPr>
              <w:pageBreakBefore w:val="0"/>
              <w:shd w:val="clear" w:color="auto" w:fill="FFFFFF"/>
              <w:kinsoku/>
              <w:wordWrap/>
              <w:overflowPunct/>
              <w:topLinePunct w:val="0"/>
              <w:bidi w:val="0"/>
              <w:snapToGrid w:val="0"/>
              <w:ind w:left="420" w:leftChars="200" w:right="420" w:rightChars="200"/>
              <w:jc w:val="center"/>
              <w:rPr>
                <w:snapToGrid w:val="0"/>
                <w:szCs w:val="21"/>
              </w:rPr>
            </w:pPr>
          </w:p>
        </w:tc>
      </w:tr>
      <w:tr w14:paraId="386194C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63" w:hRule="atLeast"/>
          <w:jc w:val="center"/>
        </w:trPr>
        <w:tc>
          <w:tcPr>
            <w:tcW w:w="1124" w:type="dxa"/>
            <w:tcMar>
              <w:top w:w="113" w:type="dxa"/>
              <w:left w:w="113" w:type="dxa"/>
              <w:bottom w:w="113" w:type="dxa"/>
              <w:right w:w="113" w:type="dxa"/>
            </w:tcMar>
            <w:vAlign w:val="center"/>
          </w:tcPr>
          <w:p w14:paraId="23516192">
            <w:pPr>
              <w:pageBreakBefore w:val="0"/>
              <w:shd w:val="clear" w:color="auto" w:fill="FFFFFF"/>
              <w:kinsoku/>
              <w:wordWrap/>
              <w:overflowPunct/>
              <w:topLinePunct w:val="0"/>
              <w:bidi w:val="0"/>
              <w:snapToGrid w:val="0"/>
              <w:ind w:left="420" w:leftChars="200" w:right="420" w:rightChars="200"/>
              <w:jc w:val="center"/>
              <w:rPr>
                <w:snapToGrid w:val="0"/>
                <w:szCs w:val="21"/>
              </w:rPr>
            </w:pPr>
          </w:p>
        </w:tc>
        <w:tc>
          <w:tcPr>
            <w:tcW w:w="4491" w:type="dxa"/>
            <w:gridSpan w:val="6"/>
            <w:tcMar>
              <w:top w:w="113" w:type="dxa"/>
              <w:left w:w="113" w:type="dxa"/>
              <w:bottom w:w="113" w:type="dxa"/>
              <w:right w:w="113" w:type="dxa"/>
            </w:tcMar>
            <w:vAlign w:val="center"/>
          </w:tcPr>
          <w:p w14:paraId="25B7C25F">
            <w:pPr>
              <w:pageBreakBefore w:val="0"/>
              <w:shd w:val="clear" w:color="auto" w:fill="FFFFFF"/>
              <w:kinsoku/>
              <w:wordWrap/>
              <w:overflowPunct/>
              <w:topLinePunct w:val="0"/>
              <w:bidi w:val="0"/>
              <w:snapToGrid w:val="0"/>
              <w:ind w:left="420" w:leftChars="200" w:right="420" w:rightChars="200"/>
              <w:jc w:val="center"/>
              <w:rPr>
                <w:snapToGrid w:val="0"/>
                <w:szCs w:val="21"/>
              </w:rPr>
            </w:pPr>
          </w:p>
        </w:tc>
        <w:tc>
          <w:tcPr>
            <w:tcW w:w="1473" w:type="dxa"/>
            <w:tcMar>
              <w:top w:w="113" w:type="dxa"/>
              <w:left w:w="113" w:type="dxa"/>
              <w:bottom w:w="113" w:type="dxa"/>
              <w:right w:w="113" w:type="dxa"/>
            </w:tcMar>
            <w:vAlign w:val="center"/>
          </w:tcPr>
          <w:p w14:paraId="32E16362">
            <w:pPr>
              <w:pageBreakBefore w:val="0"/>
              <w:shd w:val="clear" w:color="auto" w:fill="FFFFFF"/>
              <w:kinsoku/>
              <w:wordWrap/>
              <w:overflowPunct/>
              <w:topLinePunct w:val="0"/>
              <w:bidi w:val="0"/>
              <w:snapToGrid w:val="0"/>
              <w:ind w:left="420" w:leftChars="200" w:right="420" w:rightChars="200"/>
              <w:jc w:val="center"/>
              <w:rPr>
                <w:snapToGrid w:val="0"/>
                <w:szCs w:val="21"/>
              </w:rPr>
            </w:pPr>
          </w:p>
        </w:tc>
        <w:tc>
          <w:tcPr>
            <w:tcW w:w="2008" w:type="dxa"/>
            <w:tcMar>
              <w:top w:w="113" w:type="dxa"/>
              <w:left w:w="113" w:type="dxa"/>
              <w:bottom w:w="113" w:type="dxa"/>
              <w:right w:w="113" w:type="dxa"/>
            </w:tcMar>
            <w:vAlign w:val="center"/>
          </w:tcPr>
          <w:p w14:paraId="43050F55">
            <w:pPr>
              <w:pageBreakBefore w:val="0"/>
              <w:shd w:val="clear" w:color="auto" w:fill="FFFFFF"/>
              <w:kinsoku/>
              <w:wordWrap/>
              <w:overflowPunct/>
              <w:topLinePunct w:val="0"/>
              <w:bidi w:val="0"/>
              <w:snapToGrid w:val="0"/>
              <w:ind w:left="420" w:leftChars="200" w:right="420" w:rightChars="200"/>
              <w:jc w:val="center"/>
              <w:rPr>
                <w:snapToGrid w:val="0"/>
                <w:szCs w:val="21"/>
              </w:rPr>
            </w:pPr>
          </w:p>
        </w:tc>
      </w:tr>
      <w:tr w14:paraId="267F1F0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63" w:hRule="atLeast"/>
          <w:jc w:val="center"/>
        </w:trPr>
        <w:tc>
          <w:tcPr>
            <w:tcW w:w="1124" w:type="dxa"/>
            <w:tcMar>
              <w:top w:w="113" w:type="dxa"/>
              <w:left w:w="113" w:type="dxa"/>
              <w:bottom w:w="113" w:type="dxa"/>
              <w:right w:w="113" w:type="dxa"/>
            </w:tcMar>
            <w:vAlign w:val="center"/>
          </w:tcPr>
          <w:p w14:paraId="1A160BD0">
            <w:pPr>
              <w:pageBreakBefore w:val="0"/>
              <w:shd w:val="clear" w:color="auto" w:fill="FFFFFF"/>
              <w:kinsoku/>
              <w:wordWrap/>
              <w:overflowPunct/>
              <w:topLinePunct w:val="0"/>
              <w:bidi w:val="0"/>
              <w:snapToGrid w:val="0"/>
              <w:ind w:left="420" w:leftChars="200" w:right="420" w:rightChars="200"/>
              <w:jc w:val="center"/>
              <w:rPr>
                <w:snapToGrid w:val="0"/>
                <w:szCs w:val="21"/>
              </w:rPr>
            </w:pPr>
          </w:p>
        </w:tc>
        <w:tc>
          <w:tcPr>
            <w:tcW w:w="4491" w:type="dxa"/>
            <w:gridSpan w:val="6"/>
            <w:tcMar>
              <w:top w:w="113" w:type="dxa"/>
              <w:left w:w="113" w:type="dxa"/>
              <w:bottom w:w="113" w:type="dxa"/>
              <w:right w:w="113" w:type="dxa"/>
            </w:tcMar>
            <w:vAlign w:val="center"/>
          </w:tcPr>
          <w:p w14:paraId="05EF066C">
            <w:pPr>
              <w:pageBreakBefore w:val="0"/>
              <w:shd w:val="clear" w:color="auto" w:fill="FFFFFF"/>
              <w:kinsoku/>
              <w:wordWrap/>
              <w:overflowPunct/>
              <w:topLinePunct w:val="0"/>
              <w:bidi w:val="0"/>
              <w:snapToGrid w:val="0"/>
              <w:ind w:left="420" w:leftChars="200" w:right="420" w:rightChars="200"/>
              <w:jc w:val="center"/>
              <w:rPr>
                <w:snapToGrid w:val="0"/>
                <w:szCs w:val="21"/>
              </w:rPr>
            </w:pPr>
          </w:p>
        </w:tc>
        <w:tc>
          <w:tcPr>
            <w:tcW w:w="1473" w:type="dxa"/>
            <w:tcMar>
              <w:top w:w="113" w:type="dxa"/>
              <w:left w:w="113" w:type="dxa"/>
              <w:bottom w:w="113" w:type="dxa"/>
              <w:right w:w="113" w:type="dxa"/>
            </w:tcMar>
            <w:vAlign w:val="center"/>
          </w:tcPr>
          <w:p w14:paraId="18D437F0">
            <w:pPr>
              <w:pageBreakBefore w:val="0"/>
              <w:shd w:val="clear" w:color="auto" w:fill="FFFFFF"/>
              <w:kinsoku/>
              <w:wordWrap/>
              <w:overflowPunct/>
              <w:topLinePunct w:val="0"/>
              <w:bidi w:val="0"/>
              <w:snapToGrid w:val="0"/>
              <w:ind w:left="420" w:leftChars="200" w:right="420" w:rightChars="200"/>
              <w:jc w:val="center"/>
              <w:rPr>
                <w:snapToGrid w:val="0"/>
                <w:szCs w:val="21"/>
              </w:rPr>
            </w:pPr>
          </w:p>
        </w:tc>
        <w:tc>
          <w:tcPr>
            <w:tcW w:w="2008" w:type="dxa"/>
            <w:tcMar>
              <w:top w:w="113" w:type="dxa"/>
              <w:left w:w="113" w:type="dxa"/>
              <w:bottom w:w="113" w:type="dxa"/>
              <w:right w:w="113" w:type="dxa"/>
            </w:tcMar>
            <w:vAlign w:val="center"/>
          </w:tcPr>
          <w:p w14:paraId="5A62DEE5">
            <w:pPr>
              <w:pageBreakBefore w:val="0"/>
              <w:shd w:val="clear" w:color="auto" w:fill="FFFFFF"/>
              <w:kinsoku/>
              <w:wordWrap/>
              <w:overflowPunct/>
              <w:topLinePunct w:val="0"/>
              <w:bidi w:val="0"/>
              <w:snapToGrid w:val="0"/>
              <w:ind w:left="420" w:leftChars="200" w:right="420" w:rightChars="200"/>
              <w:jc w:val="center"/>
              <w:rPr>
                <w:snapToGrid w:val="0"/>
                <w:szCs w:val="21"/>
              </w:rPr>
            </w:pPr>
          </w:p>
        </w:tc>
      </w:tr>
      <w:tr w14:paraId="286EE14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63" w:hRule="atLeast"/>
          <w:jc w:val="center"/>
        </w:trPr>
        <w:tc>
          <w:tcPr>
            <w:tcW w:w="1124" w:type="dxa"/>
            <w:tcMar>
              <w:top w:w="113" w:type="dxa"/>
              <w:left w:w="113" w:type="dxa"/>
              <w:bottom w:w="113" w:type="dxa"/>
              <w:right w:w="113" w:type="dxa"/>
            </w:tcMar>
            <w:vAlign w:val="center"/>
          </w:tcPr>
          <w:p w14:paraId="169BF333">
            <w:pPr>
              <w:pageBreakBefore w:val="0"/>
              <w:shd w:val="clear" w:color="auto" w:fill="FFFFFF"/>
              <w:kinsoku/>
              <w:wordWrap/>
              <w:overflowPunct/>
              <w:topLinePunct w:val="0"/>
              <w:bidi w:val="0"/>
              <w:snapToGrid w:val="0"/>
              <w:ind w:left="420" w:leftChars="200" w:right="420" w:rightChars="200"/>
              <w:jc w:val="center"/>
              <w:rPr>
                <w:snapToGrid w:val="0"/>
                <w:szCs w:val="21"/>
              </w:rPr>
            </w:pPr>
          </w:p>
        </w:tc>
        <w:tc>
          <w:tcPr>
            <w:tcW w:w="4491" w:type="dxa"/>
            <w:gridSpan w:val="6"/>
            <w:tcMar>
              <w:top w:w="113" w:type="dxa"/>
              <w:left w:w="113" w:type="dxa"/>
              <w:bottom w:w="113" w:type="dxa"/>
              <w:right w:w="113" w:type="dxa"/>
            </w:tcMar>
            <w:vAlign w:val="center"/>
          </w:tcPr>
          <w:p w14:paraId="20812B65">
            <w:pPr>
              <w:pageBreakBefore w:val="0"/>
              <w:shd w:val="clear" w:color="auto" w:fill="FFFFFF"/>
              <w:kinsoku/>
              <w:wordWrap/>
              <w:overflowPunct/>
              <w:topLinePunct w:val="0"/>
              <w:bidi w:val="0"/>
              <w:snapToGrid w:val="0"/>
              <w:ind w:left="420" w:leftChars="200" w:right="420" w:rightChars="200"/>
              <w:jc w:val="center"/>
              <w:rPr>
                <w:snapToGrid w:val="0"/>
                <w:szCs w:val="21"/>
              </w:rPr>
            </w:pPr>
          </w:p>
        </w:tc>
        <w:tc>
          <w:tcPr>
            <w:tcW w:w="1473" w:type="dxa"/>
            <w:tcMar>
              <w:top w:w="113" w:type="dxa"/>
              <w:left w:w="113" w:type="dxa"/>
              <w:bottom w:w="113" w:type="dxa"/>
              <w:right w:w="113" w:type="dxa"/>
            </w:tcMar>
            <w:vAlign w:val="center"/>
          </w:tcPr>
          <w:p w14:paraId="5AB72712">
            <w:pPr>
              <w:pageBreakBefore w:val="0"/>
              <w:shd w:val="clear" w:color="auto" w:fill="FFFFFF"/>
              <w:kinsoku/>
              <w:wordWrap/>
              <w:overflowPunct/>
              <w:topLinePunct w:val="0"/>
              <w:bidi w:val="0"/>
              <w:snapToGrid w:val="0"/>
              <w:ind w:left="420" w:leftChars="200" w:right="420" w:rightChars="200"/>
              <w:jc w:val="center"/>
              <w:rPr>
                <w:snapToGrid w:val="0"/>
                <w:szCs w:val="21"/>
              </w:rPr>
            </w:pPr>
          </w:p>
        </w:tc>
        <w:tc>
          <w:tcPr>
            <w:tcW w:w="2008" w:type="dxa"/>
            <w:tcMar>
              <w:top w:w="113" w:type="dxa"/>
              <w:left w:w="113" w:type="dxa"/>
              <w:bottom w:w="113" w:type="dxa"/>
              <w:right w:w="113" w:type="dxa"/>
            </w:tcMar>
            <w:vAlign w:val="center"/>
          </w:tcPr>
          <w:p w14:paraId="1AA1B5EE">
            <w:pPr>
              <w:pageBreakBefore w:val="0"/>
              <w:shd w:val="clear" w:color="auto" w:fill="FFFFFF"/>
              <w:kinsoku/>
              <w:wordWrap/>
              <w:overflowPunct/>
              <w:topLinePunct w:val="0"/>
              <w:bidi w:val="0"/>
              <w:snapToGrid w:val="0"/>
              <w:ind w:left="420" w:leftChars="200" w:right="420" w:rightChars="200"/>
              <w:jc w:val="center"/>
              <w:rPr>
                <w:snapToGrid w:val="0"/>
                <w:szCs w:val="21"/>
              </w:rPr>
            </w:pPr>
          </w:p>
        </w:tc>
      </w:tr>
      <w:tr w14:paraId="1259C38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63" w:hRule="atLeast"/>
          <w:jc w:val="center"/>
        </w:trPr>
        <w:tc>
          <w:tcPr>
            <w:tcW w:w="1124" w:type="dxa"/>
            <w:tcMar>
              <w:top w:w="113" w:type="dxa"/>
              <w:left w:w="113" w:type="dxa"/>
              <w:bottom w:w="113" w:type="dxa"/>
              <w:right w:w="113" w:type="dxa"/>
            </w:tcMar>
            <w:vAlign w:val="center"/>
          </w:tcPr>
          <w:p w14:paraId="7B10FF38">
            <w:pPr>
              <w:pageBreakBefore w:val="0"/>
              <w:shd w:val="clear" w:color="auto" w:fill="FFFFFF"/>
              <w:kinsoku/>
              <w:wordWrap/>
              <w:overflowPunct/>
              <w:topLinePunct w:val="0"/>
              <w:bidi w:val="0"/>
              <w:snapToGrid w:val="0"/>
              <w:ind w:left="420" w:leftChars="200" w:right="420" w:rightChars="200"/>
              <w:jc w:val="center"/>
              <w:rPr>
                <w:snapToGrid w:val="0"/>
                <w:szCs w:val="21"/>
              </w:rPr>
            </w:pPr>
          </w:p>
        </w:tc>
        <w:tc>
          <w:tcPr>
            <w:tcW w:w="4491" w:type="dxa"/>
            <w:gridSpan w:val="6"/>
            <w:tcMar>
              <w:top w:w="113" w:type="dxa"/>
              <w:left w:w="113" w:type="dxa"/>
              <w:bottom w:w="113" w:type="dxa"/>
              <w:right w:w="113" w:type="dxa"/>
            </w:tcMar>
            <w:vAlign w:val="center"/>
          </w:tcPr>
          <w:p w14:paraId="35BA7CB7">
            <w:pPr>
              <w:pageBreakBefore w:val="0"/>
              <w:shd w:val="clear" w:color="auto" w:fill="FFFFFF"/>
              <w:kinsoku/>
              <w:wordWrap/>
              <w:overflowPunct/>
              <w:topLinePunct w:val="0"/>
              <w:bidi w:val="0"/>
              <w:snapToGrid w:val="0"/>
              <w:ind w:left="420" w:leftChars="200" w:right="420" w:rightChars="200"/>
              <w:jc w:val="center"/>
              <w:rPr>
                <w:snapToGrid w:val="0"/>
                <w:szCs w:val="21"/>
              </w:rPr>
            </w:pPr>
          </w:p>
        </w:tc>
        <w:tc>
          <w:tcPr>
            <w:tcW w:w="1473" w:type="dxa"/>
            <w:tcMar>
              <w:top w:w="113" w:type="dxa"/>
              <w:left w:w="113" w:type="dxa"/>
              <w:bottom w:w="113" w:type="dxa"/>
              <w:right w:w="113" w:type="dxa"/>
            </w:tcMar>
            <w:vAlign w:val="center"/>
          </w:tcPr>
          <w:p w14:paraId="797719EA">
            <w:pPr>
              <w:pageBreakBefore w:val="0"/>
              <w:shd w:val="clear" w:color="auto" w:fill="FFFFFF"/>
              <w:kinsoku/>
              <w:wordWrap/>
              <w:overflowPunct/>
              <w:topLinePunct w:val="0"/>
              <w:bidi w:val="0"/>
              <w:snapToGrid w:val="0"/>
              <w:ind w:left="420" w:leftChars="200" w:right="420" w:rightChars="200"/>
              <w:jc w:val="center"/>
              <w:rPr>
                <w:snapToGrid w:val="0"/>
                <w:szCs w:val="21"/>
              </w:rPr>
            </w:pPr>
          </w:p>
        </w:tc>
        <w:tc>
          <w:tcPr>
            <w:tcW w:w="2008" w:type="dxa"/>
            <w:tcMar>
              <w:top w:w="113" w:type="dxa"/>
              <w:left w:w="113" w:type="dxa"/>
              <w:bottom w:w="113" w:type="dxa"/>
              <w:right w:w="113" w:type="dxa"/>
            </w:tcMar>
            <w:vAlign w:val="center"/>
          </w:tcPr>
          <w:p w14:paraId="2DD8A224">
            <w:pPr>
              <w:pageBreakBefore w:val="0"/>
              <w:shd w:val="clear" w:color="auto" w:fill="FFFFFF"/>
              <w:kinsoku/>
              <w:wordWrap/>
              <w:overflowPunct/>
              <w:topLinePunct w:val="0"/>
              <w:bidi w:val="0"/>
              <w:snapToGrid w:val="0"/>
              <w:ind w:left="420" w:leftChars="200" w:right="420" w:rightChars="200"/>
              <w:jc w:val="center"/>
              <w:rPr>
                <w:snapToGrid w:val="0"/>
                <w:szCs w:val="21"/>
              </w:rPr>
            </w:pPr>
          </w:p>
        </w:tc>
      </w:tr>
      <w:tr w14:paraId="09D652E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63" w:hRule="atLeast"/>
          <w:jc w:val="center"/>
        </w:trPr>
        <w:tc>
          <w:tcPr>
            <w:tcW w:w="1124" w:type="dxa"/>
            <w:tcMar>
              <w:top w:w="113" w:type="dxa"/>
              <w:left w:w="113" w:type="dxa"/>
              <w:bottom w:w="113" w:type="dxa"/>
              <w:right w:w="113" w:type="dxa"/>
            </w:tcMar>
            <w:vAlign w:val="center"/>
          </w:tcPr>
          <w:p w14:paraId="4623FF1A">
            <w:pPr>
              <w:pageBreakBefore w:val="0"/>
              <w:shd w:val="clear" w:color="auto" w:fill="FFFFFF"/>
              <w:kinsoku/>
              <w:wordWrap/>
              <w:overflowPunct/>
              <w:topLinePunct w:val="0"/>
              <w:bidi w:val="0"/>
              <w:snapToGrid w:val="0"/>
              <w:ind w:left="420" w:leftChars="200" w:right="420" w:rightChars="200"/>
              <w:jc w:val="center"/>
              <w:rPr>
                <w:snapToGrid w:val="0"/>
                <w:szCs w:val="21"/>
              </w:rPr>
            </w:pPr>
          </w:p>
        </w:tc>
        <w:tc>
          <w:tcPr>
            <w:tcW w:w="4491" w:type="dxa"/>
            <w:gridSpan w:val="6"/>
            <w:tcMar>
              <w:top w:w="113" w:type="dxa"/>
              <w:left w:w="113" w:type="dxa"/>
              <w:bottom w:w="113" w:type="dxa"/>
              <w:right w:w="113" w:type="dxa"/>
            </w:tcMar>
            <w:vAlign w:val="center"/>
          </w:tcPr>
          <w:p w14:paraId="583FB3EF">
            <w:pPr>
              <w:pageBreakBefore w:val="0"/>
              <w:shd w:val="clear" w:color="auto" w:fill="FFFFFF"/>
              <w:kinsoku/>
              <w:wordWrap/>
              <w:overflowPunct/>
              <w:topLinePunct w:val="0"/>
              <w:bidi w:val="0"/>
              <w:snapToGrid w:val="0"/>
              <w:ind w:left="420" w:leftChars="200" w:right="420" w:rightChars="200"/>
              <w:jc w:val="center"/>
              <w:rPr>
                <w:snapToGrid w:val="0"/>
                <w:szCs w:val="21"/>
              </w:rPr>
            </w:pPr>
          </w:p>
        </w:tc>
        <w:tc>
          <w:tcPr>
            <w:tcW w:w="1473" w:type="dxa"/>
            <w:tcMar>
              <w:top w:w="113" w:type="dxa"/>
              <w:left w:w="113" w:type="dxa"/>
              <w:bottom w:w="113" w:type="dxa"/>
              <w:right w:w="113" w:type="dxa"/>
            </w:tcMar>
            <w:vAlign w:val="center"/>
          </w:tcPr>
          <w:p w14:paraId="68D665BF">
            <w:pPr>
              <w:pageBreakBefore w:val="0"/>
              <w:shd w:val="clear" w:color="auto" w:fill="FFFFFF"/>
              <w:kinsoku/>
              <w:wordWrap/>
              <w:overflowPunct/>
              <w:topLinePunct w:val="0"/>
              <w:bidi w:val="0"/>
              <w:snapToGrid w:val="0"/>
              <w:ind w:left="420" w:leftChars="200" w:right="420" w:rightChars="200"/>
              <w:jc w:val="center"/>
              <w:rPr>
                <w:snapToGrid w:val="0"/>
                <w:szCs w:val="21"/>
              </w:rPr>
            </w:pPr>
          </w:p>
        </w:tc>
        <w:tc>
          <w:tcPr>
            <w:tcW w:w="2008" w:type="dxa"/>
            <w:tcMar>
              <w:top w:w="113" w:type="dxa"/>
              <w:left w:w="113" w:type="dxa"/>
              <w:bottom w:w="113" w:type="dxa"/>
              <w:right w:w="113" w:type="dxa"/>
            </w:tcMar>
            <w:vAlign w:val="center"/>
          </w:tcPr>
          <w:p w14:paraId="0B1B1F08">
            <w:pPr>
              <w:pageBreakBefore w:val="0"/>
              <w:shd w:val="clear" w:color="auto" w:fill="FFFFFF"/>
              <w:kinsoku/>
              <w:wordWrap/>
              <w:overflowPunct/>
              <w:topLinePunct w:val="0"/>
              <w:bidi w:val="0"/>
              <w:snapToGrid w:val="0"/>
              <w:ind w:left="420" w:leftChars="200" w:right="420" w:rightChars="200"/>
              <w:jc w:val="center"/>
              <w:rPr>
                <w:snapToGrid w:val="0"/>
                <w:szCs w:val="21"/>
              </w:rPr>
            </w:pPr>
          </w:p>
        </w:tc>
      </w:tr>
      <w:tr w14:paraId="3015C16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63" w:hRule="atLeast"/>
          <w:jc w:val="center"/>
        </w:trPr>
        <w:tc>
          <w:tcPr>
            <w:tcW w:w="2479" w:type="dxa"/>
            <w:gridSpan w:val="3"/>
            <w:tcMar>
              <w:top w:w="113" w:type="dxa"/>
              <w:left w:w="113" w:type="dxa"/>
              <w:bottom w:w="113" w:type="dxa"/>
              <w:right w:w="113" w:type="dxa"/>
            </w:tcMar>
            <w:vAlign w:val="center"/>
          </w:tcPr>
          <w:p w14:paraId="469CB2B2">
            <w:pPr>
              <w:pageBreakBefore w:val="0"/>
              <w:kinsoku/>
              <w:wordWrap/>
              <w:overflowPunct/>
              <w:topLinePunct w:val="0"/>
              <w:bidi w:val="0"/>
              <w:snapToGrid w:val="0"/>
              <w:spacing w:line="264" w:lineRule="auto"/>
              <w:ind w:left="420" w:leftChars="200" w:right="420" w:rightChars="200"/>
              <w:jc w:val="center"/>
              <w:rPr>
                <w:szCs w:val="21"/>
              </w:rPr>
            </w:pPr>
            <w:r>
              <w:rPr>
                <w:rFonts w:hint="eastAsia"/>
                <w:szCs w:val="21"/>
              </w:rPr>
              <w:t>说明在</w:t>
            </w:r>
            <w:r>
              <w:rPr>
                <w:szCs w:val="21"/>
              </w:rPr>
              <w:t>岗情况</w:t>
            </w:r>
          </w:p>
        </w:tc>
        <w:tc>
          <w:tcPr>
            <w:tcW w:w="6617" w:type="dxa"/>
            <w:gridSpan w:val="6"/>
            <w:tcMar>
              <w:top w:w="113" w:type="dxa"/>
              <w:left w:w="113" w:type="dxa"/>
              <w:bottom w:w="113" w:type="dxa"/>
              <w:right w:w="113" w:type="dxa"/>
            </w:tcMar>
            <w:vAlign w:val="center"/>
          </w:tcPr>
          <w:p w14:paraId="5E3E8416">
            <w:pPr>
              <w:pageBreakBefore w:val="0"/>
              <w:kinsoku/>
              <w:wordWrap/>
              <w:overflowPunct/>
              <w:topLinePunct w:val="0"/>
              <w:bidi w:val="0"/>
              <w:snapToGrid w:val="0"/>
              <w:spacing w:line="264" w:lineRule="auto"/>
              <w:ind w:right="420" w:rightChars="200"/>
              <w:rPr>
                <w:szCs w:val="21"/>
              </w:rPr>
            </w:pPr>
            <w:r>
              <w:rPr>
                <w:rFonts w:hint="eastAsia"/>
                <w:szCs w:val="21"/>
              </w:rPr>
              <w:sym w:font="Wingdings 2" w:char="00A3"/>
            </w:r>
            <w:r>
              <w:rPr>
                <w:szCs w:val="21"/>
              </w:rPr>
              <w:t>目前未在其他项目上任职，现从事工作为：</w:t>
            </w:r>
            <w:r>
              <w:rPr>
                <w:szCs w:val="21"/>
                <w:u w:val="single"/>
              </w:rPr>
              <w:t xml:space="preserve">    </w:t>
            </w:r>
            <w:r>
              <w:rPr>
                <w:rFonts w:hint="eastAsia"/>
                <w:szCs w:val="21"/>
                <w:u w:val="single"/>
              </w:rPr>
              <w:t xml:space="preserve"> </w:t>
            </w:r>
            <w:r>
              <w:rPr>
                <w:szCs w:val="21"/>
                <w:u w:val="single"/>
              </w:rPr>
              <w:t xml:space="preserve">       </w:t>
            </w:r>
            <w:r>
              <w:rPr>
                <w:rFonts w:hint="eastAsia"/>
                <w:szCs w:val="21"/>
              </w:rPr>
              <w:t>。</w:t>
            </w:r>
          </w:p>
          <w:p w14:paraId="470B25CD">
            <w:pPr>
              <w:pageBreakBefore w:val="0"/>
              <w:kinsoku/>
              <w:wordWrap/>
              <w:overflowPunct/>
              <w:topLinePunct w:val="0"/>
              <w:bidi w:val="0"/>
              <w:snapToGrid w:val="0"/>
              <w:spacing w:line="264" w:lineRule="auto"/>
              <w:ind w:right="420" w:rightChars="200"/>
              <w:rPr>
                <w:szCs w:val="21"/>
              </w:rPr>
            </w:pPr>
            <w:r>
              <w:rPr>
                <w:rFonts w:hint="eastAsia"/>
                <w:szCs w:val="21"/>
              </w:rPr>
              <w:sym w:font="Wingdings 2" w:char="00A3"/>
            </w:r>
            <w:r>
              <w:rPr>
                <w:szCs w:val="21"/>
              </w:rPr>
              <w:t>目前虽在其他项目上任职，但本项目中标后能够从该项目撤离，目前任职项目：</w:t>
            </w:r>
            <w:r>
              <w:rPr>
                <w:szCs w:val="21"/>
                <w:u w:val="single"/>
              </w:rPr>
              <w:t xml:space="preserve"> </w:t>
            </w:r>
            <w:r>
              <w:rPr>
                <w:rFonts w:hint="eastAsia"/>
                <w:szCs w:val="21"/>
                <w:u w:val="single"/>
              </w:rPr>
              <w:t xml:space="preserve"> </w:t>
            </w:r>
            <w:r>
              <w:rPr>
                <w:szCs w:val="21"/>
                <w:u w:val="single"/>
              </w:rPr>
              <w:t xml:space="preserve">           </w:t>
            </w:r>
            <w:r>
              <w:rPr>
                <w:szCs w:val="21"/>
              </w:rPr>
              <w:t>，担任职位：</w:t>
            </w:r>
            <w:r>
              <w:rPr>
                <w:szCs w:val="21"/>
                <w:u w:val="single"/>
              </w:rPr>
              <w:t xml:space="preserve">           </w:t>
            </w:r>
            <w:r>
              <w:rPr>
                <w:szCs w:val="21"/>
              </w:rPr>
              <w:t>。</w:t>
            </w:r>
          </w:p>
        </w:tc>
      </w:tr>
      <w:tr w14:paraId="2AF34F4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968" w:hRule="atLeast"/>
          <w:jc w:val="center"/>
        </w:trPr>
        <w:tc>
          <w:tcPr>
            <w:tcW w:w="2479" w:type="dxa"/>
            <w:gridSpan w:val="3"/>
            <w:tcMar>
              <w:top w:w="113" w:type="dxa"/>
              <w:left w:w="113" w:type="dxa"/>
              <w:bottom w:w="113" w:type="dxa"/>
              <w:right w:w="113" w:type="dxa"/>
            </w:tcMar>
            <w:vAlign w:val="center"/>
          </w:tcPr>
          <w:p w14:paraId="0C3A17DE">
            <w:pPr>
              <w:pageBreakBefore w:val="0"/>
              <w:shd w:val="clear" w:color="auto" w:fill="FFFFFF"/>
              <w:kinsoku/>
              <w:wordWrap/>
              <w:overflowPunct/>
              <w:topLinePunct w:val="0"/>
              <w:bidi w:val="0"/>
              <w:snapToGrid w:val="0"/>
              <w:ind w:left="420" w:leftChars="200" w:right="420" w:rightChars="200"/>
              <w:jc w:val="center"/>
              <w:rPr>
                <w:snapToGrid w:val="0"/>
                <w:szCs w:val="21"/>
              </w:rPr>
            </w:pPr>
            <w:r>
              <w:rPr>
                <w:rFonts w:hint="eastAsia"/>
                <w:snapToGrid w:val="0"/>
                <w:szCs w:val="21"/>
              </w:rPr>
              <w:t>备    注</w:t>
            </w:r>
          </w:p>
        </w:tc>
        <w:tc>
          <w:tcPr>
            <w:tcW w:w="6617" w:type="dxa"/>
            <w:gridSpan w:val="6"/>
            <w:tcMar>
              <w:top w:w="113" w:type="dxa"/>
              <w:left w:w="113" w:type="dxa"/>
              <w:bottom w:w="113" w:type="dxa"/>
              <w:right w:w="113" w:type="dxa"/>
            </w:tcMar>
            <w:vAlign w:val="center"/>
          </w:tcPr>
          <w:p w14:paraId="110C49D5">
            <w:pPr>
              <w:pageBreakBefore w:val="0"/>
              <w:shd w:val="clear" w:color="auto" w:fill="FFFFFF"/>
              <w:kinsoku/>
              <w:wordWrap/>
              <w:overflowPunct/>
              <w:topLinePunct w:val="0"/>
              <w:bidi w:val="0"/>
              <w:snapToGrid w:val="0"/>
              <w:ind w:left="420" w:leftChars="200" w:right="420" w:rightChars="200"/>
              <w:jc w:val="center"/>
              <w:rPr>
                <w:snapToGrid w:val="0"/>
                <w:szCs w:val="21"/>
              </w:rPr>
            </w:pPr>
          </w:p>
        </w:tc>
      </w:tr>
    </w:tbl>
    <w:p w14:paraId="69AECCB5">
      <w:pPr>
        <w:pStyle w:val="41"/>
        <w:pageBreakBefore w:val="0"/>
        <w:kinsoku/>
        <w:wordWrap/>
        <w:overflowPunct/>
        <w:topLinePunct w:val="0"/>
        <w:bidi w:val="0"/>
        <w:ind w:left="420" w:leftChars="200" w:right="420" w:rightChars="200"/>
        <w:rPr>
          <w:lang w:val="zh-CN"/>
        </w:rPr>
      </w:pPr>
    </w:p>
    <w:p w14:paraId="04EFA1C7">
      <w:pPr>
        <w:pageBreakBefore w:val="0"/>
        <w:kinsoku/>
        <w:wordWrap/>
        <w:overflowPunct/>
        <w:topLinePunct w:val="0"/>
        <w:bidi w:val="0"/>
        <w:snapToGrid w:val="0"/>
        <w:spacing w:line="360" w:lineRule="auto"/>
        <w:ind w:left="420" w:leftChars="200" w:right="420" w:rightChars="200" w:firstLine="482" w:firstLineChars="200"/>
        <w:rPr>
          <w:rFonts w:ascii="仿宋" w:hAnsi="仿宋" w:eastAsia="仿宋" w:cs="仿宋"/>
          <w:lang w:val="zh-CN"/>
        </w:rPr>
      </w:pPr>
      <w:r>
        <w:rPr>
          <w:rFonts w:hint="eastAsia" w:ascii="仿宋" w:hAnsi="仿宋" w:eastAsia="仿宋" w:cs="仿宋"/>
          <w:b/>
          <w:bCs/>
          <w:kern w:val="0"/>
          <w:sz w:val="24"/>
          <w:lang w:val="zh-CN"/>
        </w:rPr>
        <w:t>兹证明上述声明是真实、正确的，并提供了全部能提供的资料和数据，我们同意遵照贵方要求出示有关证明文件。</w:t>
      </w:r>
    </w:p>
    <w:p w14:paraId="27343F2C">
      <w:pPr>
        <w:pageBreakBefore w:val="0"/>
        <w:kinsoku/>
        <w:wordWrap/>
        <w:overflowPunct/>
        <w:topLinePunct w:val="0"/>
        <w:bidi w:val="0"/>
        <w:snapToGrid w:val="0"/>
        <w:spacing w:line="360" w:lineRule="auto"/>
        <w:ind w:left="420" w:leftChars="200" w:right="420" w:rightChars="200" w:firstLine="4080" w:firstLineChars="1700"/>
        <w:rPr>
          <w:rFonts w:ascii="仿宋" w:hAnsi="仿宋" w:eastAsia="仿宋" w:cs="仿宋"/>
          <w:kern w:val="0"/>
          <w:sz w:val="24"/>
          <w:lang w:val="zh-CN"/>
        </w:rPr>
      </w:pPr>
      <w:r>
        <w:rPr>
          <w:rFonts w:hint="eastAsia" w:ascii="仿宋" w:hAnsi="仿宋" w:eastAsia="仿宋" w:cs="仿宋"/>
          <w:kern w:val="0"/>
          <w:sz w:val="24"/>
          <w:lang w:val="zh-CN"/>
        </w:rPr>
        <w:t>法定代表人或其授权委托人（签名或印章）：</w:t>
      </w:r>
    </w:p>
    <w:p w14:paraId="19E762D0">
      <w:pPr>
        <w:pageBreakBefore w:val="0"/>
        <w:kinsoku/>
        <w:wordWrap/>
        <w:overflowPunct/>
        <w:topLinePunct w:val="0"/>
        <w:bidi w:val="0"/>
        <w:snapToGrid w:val="0"/>
        <w:spacing w:line="360" w:lineRule="auto"/>
        <w:ind w:left="420" w:leftChars="200" w:right="420" w:rightChars="200" w:firstLine="4080" w:firstLineChars="1700"/>
        <w:rPr>
          <w:rFonts w:ascii="仿宋" w:hAnsi="仿宋" w:eastAsia="仿宋" w:cs="仿宋"/>
          <w:kern w:val="0"/>
          <w:sz w:val="24"/>
          <w:lang w:val="zh-CN"/>
        </w:rPr>
      </w:pPr>
      <w:r>
        <w:rPr>
          <w:rFonts w:hint="eastAsia" w:ascii="仿宋" w:hAnsi="仿宋" w:eastAsia="仿宋" w:cs="仿宋"/>
          <w:kern w:val="0"/>
          <w:sz w:val="24"/>
          <w:lang w:val="zh-CN"/>
        </w:rPr>
        <w:t>供应商（盖章）：</w:t>
      </w:r>
    </w:p>
    <w:p w14:paraId="218CE5DA">
      <w:pPr>
        <w:pageBreakBefore w:val="0"/>
        <w:kinsoku/>
        <w:wordWrap/>
        <w:overflowPunct/>
        <w:topLinePunct w:val="0"/>
        <w:bidi w:val="0"/>
        <w:snapToGrid w:val="0"/>
        <w:spacing w:line="360" w:lineRule="auto"/>
        <w:ind w:left="420" w:leftChars="200" w:right="420" w:rightChars="200"/>
        <w:rPr>
          <w:rFonts w:ascii="仿宋" w:hAnsi="仿宋" w:eastAsia="仿宋" w:cs="仿宋"/>
          <w:kern w:val="0"/>
          <w:sz w:val="24"/>
          <w:lang w:val="zh-CN"/>
        </w:rPr>
      </w:pPr>
      <w:r>
        <w:rPr>
          <w:rFonts w:hint="eastAsia" w:ascii="仿宋" w:hAnsi="仿宋" w:eastAsia="仿宋" w:cs="仿宋"/>
          <w:kern w:val="0"/>
          <w:sz w:val="24"/>
          <w:lang w:val="zh-CN"/>
        </w:rPr>
        <w:t xml:space="preserve">                                  日期：</w:t>
      </w:r>
    </w:p>
    <w:p w14:paraId="2D37F854">
      <w:pPr>
        <w:pageBreakBefore w:val="0"/>
        <w:kinsoku/>
        <w:wordWrap/>
        <w:overflowPunct/>
        <w:topLinePunct w:val="0"/>
        <w:bidi w:val="0"/>
        <w:ind w:right="420" w:rightChars="200"/>
        <w:jc w:val="both"/>
        <w:rPr>
          <w:rFonts w:hint="eastAsia" w:ascii="宋体"/>
          <w:b/>
          <w:color w:val="000000"/>
          <w:sz w:val="28"/>
          <w:highlight w:val="none"/>
          <w:lang w:eastAsia="zh-CN"/>
        </w:rPr>
      </w:pPr>
    </w:p>
    <w:p w14:paraId="5F51DA67">
      <w:pPr>
        <w:pageBreakBefore w:val="0"/>
        <w:kinsoku/>
        <w:wordWrap/>
        <w:overflowPunct/>
        <w:topLinePunct w:val="0"/>
        <w:bidi w:val="0"/>
        <w:ind w:right="420" w:rightChars="200"/>
        <w:jc w:val="both"/>
        <w:rPr>
          <w:rFonts w:hint="eastAsia" w:ascii="宋体"/>
          <w:b/>
          <w:color w:val="000000"/>
          <w:sz w:val="28"/>
          <w:highlight w:val="none"/>
          <w:lang w:eastAsia="zh-CN"/>
        </w:rPr>
      </w:pPr>
    </w:p>
    <w:p w14:paraId="3ADBF0B9">
      <w:pPr>
        <w:pageBreakBefore w:val="0"/>
        <w:kinsoku/>
        <w:wordWrap/>
        <w:overflowPunct/>
        <w:topLinePunct w:val="0"/>
        <w:bidi w:val="0"/>
        <w:ind w:left="420" w:leftChars="200" w:right="420" w:rightChars="200"/>
        <w:jc w:val="center"/>
        <w:rPr>
          <w:rFonts w:hint="eastAsia" w:ascii="宋体"/>
          <w:b/>
          <w:color w:val="000000"/>
          <w:sz w:val="28"/>
          <w:highlight w:val="none"/>
          <w:lang w:eastAsia="zh-CN"/>
        </w:rPr>
      </w:pPr>
    </w:p>
    <w:p w14:paraId="681F7940">
      <w:pPr>
        <w:pageBreakBefore w:val="0"/>
        <w:kinsoku/>
        <w:wordWrap/>
        <w:overflowPunct/>
        <w:topLinePunct w:val="0"/>
        <w:bidi w:val="0"/>
        <w:ind w:left="420" w:leftChars="200" w:right="420" w:rightChars="200"/>
        <w:jc w:val="center"/>
        <w:rPr>
          <w:rFonts w:hint="eastAsia" w:ascii="宋体"/>
          <w:b/>
          <w:color w:val="000000"/>
          <w:sz w:val="28"/>
          <w:highlight w:val="none"/>
        </w:rPr>
      </w:pPr>
      <w:r>
        <w:rPr>
          <w:rFonts w:hint="eastAsia" w:ascii="宋体"/>
          <w:b/>
          <w:color w:val="000000"/>
          <w:sz w:val="28"/>
          <w:highlight w:val="none"/>
          <w:lang w:eastAsia="zh-CN"/>
        </w:rPr>
        <w:t>（</w:t>
      </w:r>
      <w:r>
        <w:rPr>
          <w:rFonts w:hint="eastAsia" w:ascii="宋体"/>
          <w:b/>
          <w:color w:val="000000"/>
          <w:sz w:val="28"/>
          <w:highlight w:val="none"/>
          <w:lang w:val="en-US" w:eastAsia="zh-CN"/>
        </w:rPr>
        <w:t>九</w:t>
      </w:r>
      <w:r>
        <w:rPr>
          <w:rFonts w:hint="eastAsia" w:ascii="宋体"/>
          <w:b/>
          <w:color w:val="000000"/>
          <w:sz w:val="28"/>
          <w:highlight w:val="none"/>
          <w:lang w:eastAsia="zh-CN"/>
        </w:rPr>
        <w:t>）</w:t>
      </w:r>
      <w:r>
        <w:rPr>
          <w:rFonts w:hint="eastAsia" w:ascii="宋体"/>
          <w:b/>
          <w:color w:val="000000"/>
          <w:sz w:val="28"/>
          <w:highlight w:val="none"/>
          <w:lang w:val="en-US" w:eastAsia="zh-CN"/>
        </w:rPr>
        <w:t>评审标准相应的商务技术资料</w:t>
      </w:r>
    </w:p>
    <w:p w14:paraId="2447812A">
      <w:pPr>
        <w:pageBreakBefore w:val="0"/>
        <w:kinsoku/>
        <w:wordWrap/>
        <w:overflowPunct/>
        <w:topLinePunct w:val="0"/>
        <w:bidi w:val="0"/>
        <w:spacing w:line="360" w:lineRule="exact"/>
        <w:ind w:left="420" w:leftChars="200" w:right="420" w:rightChars="200"/>
        <w:rPr>
          <w:rFonts w:hint="eastAsia" w:ascii="宋体"/>
          <w:color w:val="000000"/>
          <w:sz w:val="24"/>
          <w:szCs w:val="24"/>
          <w:highlight w:val="none"/>
        </w:rPr>
      </w:pPr>
    </w:p>
    <w:p w14:paraId="719DB386">
      <w:pPr>
        <w:pageBreakBefore w:val="0"/>
        <w:kinsoku/>
        <w:wordWrap/>
        <w:overflowPunct/>
        <w:topLinePunct w:val="0"/>
        <w:bidi w:val="0"/>
        <w:spacing w:line="360" w:lineRule="exact"/>
        <w:ind w:left="420" w:leftChars="200" w:right="420" w:rightChars="200"/>
        <w:rPr>
          <w:rFonts w:hint="eastAsia"/>
          <w:bCs/>
          <w:color w:val="000000"/>
          <w:sz w:val="24"/>
          <w:szCs w:val="24"/>
          <w:highlight w:val="none"/>
        </w:rPr>
      </w:pPr>
    </w:p>
    <w:p w14:paraId="3D7380C3">
      <w:pPr>
        <w:pageBreakBefore w:val="0"/>
        <w:kinsoku/>
        <w:wordWrap/>
        <w:overflowPunct/>
        <w:topLinePunct w:val="0"/>
        <w:bidi w:val="0"/>
        <w:spacing w:line="360" w:lineRule="exact"/>
        <w:ind w:left="420" w:leftChars="200" w:right="420" w:rightChars="200"/>
        <w:rPr>
          <w:rFonts w:hint="eastAsia" w:ascii="宋体"/>
          <w:b/>
          <w:color w:val="000000"/>
          <w:sz w:val="24"/>
          <w:szCs w:val="24"/>
          <w:highlight w:val="none"/>
        </w:rPr>
      </w:pPr>
      <w:r>
        <w:rPr>
          <w:rFonts w:hint="eastAsia" w:ascii="宋体"/>
          <w:color w:val="000000"/>
          <w:sz w:val="24"/>
          <w:szCs w:val="24"/>
          <w:highlight w:val="none"/>
        </w:rPr>
        <w:t>（根据采购文件</w:t>
      </w:r>
      <w:r>
        <w:rPr>
          <w:rFonts w:hint="eastAsia" w:ascii="宋体"/>
          <w:color w:val="000000"/>
          <w:sz w:val="24"/>
          <w:szCs w:val="24"/>
          <w:highlight w:val="none"/>
          <w:lang w:val="en-US" w:eastAsia="zh-CN"/>
        </w:rPr>
        <w:t>评审标准</w:t>
      </w:r>
      <w:r>
        <w:rPr>
          <w:rFonts w:hint="eastAsia" w:ascii="宋体"/>
          <w:color w:val="000000"/>
          <w:sz w:val="24"/>
          <w:szCs w:val="24"/>
          <w:highlight w:val="none"/>
        </w:rPr>
        <w:t>要求提供，格式自拟）</w:t>
      </w:r>
    </w:p>
    <w:p w14:paraId="449AB899">
      <w:pPr>
        <w:pageBreakBefore w:val="0"/>
        <w:kinsoku/>
        <w:wordWrap/>
        <w:overflowPunct/>
        <w:topLinePunct w:val="0"/>
        <w:bidi w:val="0"/>
        <w:spacing w:line="360" w:lineRule="exact"/>
        <w:ind w:left="420" w:leftChars="200" w:right="420" w:rightChars="200"/>
        <w:rPr>
          <w:rFonts w:hint="eastAsia" w:ascii="宋体"/>
          <w:b/>
          <w:color w:val="000000"/>
          <w:sz w:val="28"/>
          <w:highlight w:val="none"/>
        </w:rPr>
      </w:pPr>
      <w:r>
        <w:rPr>
          <w:rFonts w:hint="eastAsia"/>
          <w:color w:val="000000"/>
          <w:szCs w:val="24"/>
          <w:highlight w:val="none"/>
        </w:rPr>
        <w:br w:type="page"/>
      </w:r>
    </w:p>
    <w:p w14:paraId="39596C29">
      <w:pPr>
        <w:pageBreakBefore w:val="0"/>
        <w:kinsoku/>
        <w:wordWrap/>
        <w:overflowPunct/>
        <w:topLinePunct w:val="0"/>
        <w:bidi w:val="0"/>
        <w:ind w:left="420" w:leftChars="200" w:right="420" w:rightChars="200"/>
        <w:jc w:val="center"/>
        <w:rPr>
          <w:rFonts w:hint="eastAsia" w:ascii="宋体"/>
          <w:b/>
          <w:color w:val="000000"/>
          <w:sz w:val="28"/>
          <w:highlight w:val="none"/>
          <w:lang w:val="zh-CN"/>
        </w:rPr>
      </w:pPr>
      <w:r>
        <w:rPr>
          <w:rFonts w:hint="eastAsia" w:ascii="宋体"/>
          <w:b/>
          <w:color w:val="000000"/>
          <w:sz w:val="28"/>
          <w:highlight w:val="none"/>
          <w:lang w:val="zh-CN"/>
        </w:rPr>
        <w:t>（</w:t>
      </w:r>
      <w:r>
        <w:rPr>
          <w:rFonts w:hint="eastAsia" w:ascii="宋体"/>
          <w:b/>
          <w:color w:val="000000"/>
          <w:sz w:val="28"/>
          <w:highlight w:val="none"/>
          <w:lang w:val="en-US" w:eastAsia="zh-CN"/>
        </w:rPr>
        <w:t>十</w:t>
      </w:r>
      <w:r>
        <w:rPr>
          <w:rFonts w:hint="eastAsia" w:ascii="宋体"/>
          <w:b/>
          <w:color w:val="000000"/>
          <w:sz w:val="28"/>
          <w:highlight w:val="none"/>
          <w:lang w:val="zh-CN"/>
        </w:rPr>
        <w:t>）政府采购供应商廉洁自律承诺书</w:t>
      </w:r>
    </w:p>
    <w:p w14:paraId="64049D05">
      <w:pPr>
        <w:pageBreakBefore w:val="0"/>
        <w:kinsoku/>
        <w:wordWrap/>
        <w:overflowPunct/>
        <w:topLinePunct w:val="0"/>
        <w:bidi w:val="0"/>
        <w:snapToGrid w:val="0"/>
        <w:spacing w:line="360" w:lineRule="auto"/>
        <w:ind w:left="420" w:leftChars="200" w:right="420" w:rightChars="200"/>
        <w:rPr>
          <w:rFonts w:hint="eastAsia" w:ascii="宋体" w:hAnsi="宋体" w:cs="宋体"/>
          <w:color w:val="000000"/>
          <w:sz w:val="24"/>
          <w:szCs w:val="24"/>
          <w:highlight w:val="none"/>
        </w:rPr>
      </w:pPr>
    </w:p>
    <w:p w14:paraId="06AC7460">
      <w:pPr>
        <w:pageBreakBefore w:val="0"/>
        <w:kinsoku/>
        <w:wordWrap/>
        <w:overflowPunct/>
        <w:topLinePunct w:val="0"/>
        <w:bidi w:val="0"/>
        <w:snapToGrid w:val="0"/>
        <w:spacing w:line="360" w:lineRule="auto"/>
        <w:ind w:left="420" w:leftChars="200" w:right="420" w:rightChars="200"/>
        <w:rPr>
          <w:rFonts w:hint="eastAsia" w:ascii="宋体" w:hAnsi="宋体" w:cs="宋体"/>
          <w:color w:val="000000"/>
          <w:kern w:val="0"/>
          <w:sz w:val="24"/>
          <w:szCs w:val="24"/>
          <w:highlight w:val="none"/>
        </w:rPr>
      </w:pPr>
      <w:r>
        <w:rPr>
          <w:rFonts w:hint="eastAsia" w:ascii="宋体" w:hAnsi="宋体" w:cs="宋体"/>
          <w:color w:val="000000"/>
          <w:sz w:val="24"/>
          <w:szCs w:val="24"/>
          <w:highlight w:val="none"/>
          <w:u w:val="single"/>
        </w:rPr>
        <w:t xml:space="preserve">（采购人）   </w:t>
      </w:r>
      <w:r>
        <w:rPr>
          <w:rFonts w:hint="eastAsia" w:ascii="宋体" w:hAnsi="宋体" w:cs="宋体"/>
          <w:color w:val="000000"/>
          <w:kern w:val="0"/>
          <w:sz w:val="24"/>
          <w:szCs w:val="24"/>
          <w:highlight w:val="none"/>
          <w:lang w:val="zh-CN"/>
        </w:rPr>
        <w:t>：</w:t>
      </w:r>
    </w:p>
    <w:p w14:paraId="1CEC9B89">
      <w:pPr>
        <w:pageBreakBefore w:val="0"/>
        <w:kinsoku/>
        <w:wordWrap/>
        <w:overflowPunct/>
        <w:topLinePunct w:val="0"/>
        <w:autoSpaceDE w:val="0"/>
        <w:autoSpaceDN w:val="0"/>
        <w:bidi w:val="0"/>
        <w:spacing w:line="360" w:lineRule="auto"/>
        <w:ind w:left="420" w:leftChars="200" w:right="420" w:rightChars="200" w:firstLine="480" w:firstLineChars="200"/>
        <w:rPr>
          <w:rFonts w:hint="eastAsia" w:ascii="宋体" w:hAnsi="宋体" w:cs="宋体"/>
          <w:color w:val="000000"/>
          <w:kern w:val="0"/>
          <w:sz w:val="24"/>
          <w:szCs w:val="24"/>
          <w:highlight w:val="none"/>
          <w:lang w:val="zh-CN"/>
        </w:rPr>
      </w:pPr>
      <w:r>
        <w:rPr>
          <w:rFonts w:hint="eastAsia" w:ascii="宋体" w:hAnsi="宋体" w:cs="宋体"/>
          <w:color w:val="000000"/>
          <w:kern w:val="0"/>
          <w:sz w:val="24"/>
          <w:szCs w:val="24"/>
          <w:highlight w:val="none"/>
          <w:lang w:val="zh-CN"/>
        </w:rPr>
        <w:t>我单位响应你</w:t>
      </w:r>
      <w:r>
        <w:rPr>
          <w:rFonts w:hint="eastAsia" w:ascii="宋体" w:hAnsi="宋体" w:cs="宋体"/>
          <w:color w:val="000000"/>
          <w:sz w:val="24"/>
          <w:szCs w:val="24"/>
          <w:highlight w:val="none"/>
        </w:rPr>
        <w:t>单位</w:t>
      </w:r>
      <w:r>
        <w:rPr>
          <w:rFonts w:hint="eastAsia" w:ascii="宋体" w:hAnsi="宋体" w:cs="宋体"/>
          <w:color w:val="000000"/>
          <w:kern w:val="0"/>
          <w:sz w:val="24"/>
          <w:szCs w:val="24"/>
          <w:highlight w:val="none"/>
          <w:lang w:val="zh-CN"/>
        </w:rPr>
        <w:t>项目要求参加采购活动。在这次采购活动过程中和获得成交后，我们将严格遵守国家法律法规要求，并郑重承诺：</w:t>
      </w:r>
    </w:p>
    <w:p w14:paraId="41F778FF">
      <w:pPr>
        <w:pageBreakBefore w:val="0"/>
        <w:kinsoku/>
        <w:wordWrap/>
        <w:overflowPunct/>
        <w:topLinePunct w:val="0"/>
        <w:autoSpaceDE w:val="0"/>
        <w:autoSpaceDN w:val="0"/>
        <w:bidi w:val="0"/>
        <w:spacing w:line="360" w:lineRule="auto"/>
        <w:ind w:left="420" w:leftChars="200" w:right="420" w:rightChars="200" w:firstLine="480" w:firstLineChars="200"/>
        <w:rPr>
          <w:rFonts w:hint="eastAsia" w:ascii="宋体" w:hAnsi="宋体" w:cs="宋体"/>
          <w:color w:val="000000"/>
          <w:kern w:val="0"/>
          <w:sz w:val="24"/>
          <w:szCs w:val="24"/>
          <w:highlight w:val="none"/>
          <w:lang w:val="zh-CN"/>
        </w:rPr>
      </w:pPr>
      <w:r>
        <w:rPr>
          <w:rFonts w:hint="eastAsia" w:ascii="宋体" w:hAnsi="宋体" w:cs="宋体"/>
          <w:color w:val="000000"/>
          <w:kern w:val="0"/>
          <w:sz w:val="24"/>
          <w:szCs w:val="24"/>
          <w:highlight w:val="none"/>
          <w:lang w:val="zh-CN"/>
        </w:rPr>
        <w:t xml:space="preserve">一、不向项目有关人员及部门赠送礼金礼物、有价证券、回扣以及中介费、介绍费、咨询费等好处费； </w:t>
      </w:r>
    </w:p>
    <w:p w14:paraId="35DE89A7">
      <w:pPr>
        <w:pageBreakBefore w:val="0"/>
        <w:kinsoku/>
        <w:wordWrap/>
        <w:overflowPunct/>
        <w:topLinePunct w:val="0"/>
        <w:autoSpaceDE w:val="0"/>
        <w:autoSpaceDN w:val="0"/>
        <w:bidi w:val="0"/>
        <w:spacing w:line="360" w:lineRule="auto"/>
        <w:ind w:left="420" w:leftChars="200" w:right="420" w:rightChars="200" w:firstLine="480" w:firstLineChars="200"/>
        <w:rPr>
          <w:rFonts w:hint="eastAsia" w:ascii="宋体" w:hAnsi="宋体" w:cs="宋体"/>
          <w:color w:val="000000"/>
          <w:kern w:val="0"/>
          <w:sz w:val="24"/>
          <w:szCs w:val="24"/>
          <w:highlight w:val="none"/>
          <w:lang w:val="zh-CN"/>
        </w:rPr>
      </w:pPr>
      <w:r>
        <w:rPr>
          <w:rFonts w:hint="eastAsia" w:ascii="宋体" w:hAnsi="宋体" w:cs="宋体"/>
          <w:color w:val="000000"/>
          <w:kern w:val="0"/>
          <w:sz w:val="24"/>
          <w:szCs w:val="24"/>
          <w:highlight w:val="none"/>
          <w:lang w:val="zh-CN"/>
        </w:rPr>
        <w:t xml:space="preserve">二、不为项目有关人员及部门报销应由你方单位或个人支付的费用； </w:t>
      </w:r>
    </w:p>
    <w:p w14:paraId="7F547518">
      <w:pPr>
        <w:pageBreakBefore w:val="0"/>
        <w:kinsoku/>
        <w:wordWrap/>
        <w:overflowPunct/>
        <w:topLinePunct w:val="0"/>
        <w:autoSpaceDE w:val="0"/>
        <w:autoSpaceDN w:val="0"/>
        <w:bidi w:val="0"/>
        <w:spacing w:line="360" w:lineRule="auto"/>
        <w:ind w:left="420" w:leftChars="200" w:right="420" w:rightChars="200" w:firstLine="480" w:firstLineChars="200"/>
        <w:rPr>
          <w:rFonts w:hint="eastAsia" w:ascii="宋体" w:hAnsi="宋体" w:cs="宋体"/>
          <w:color w:val="000000"/>
          <w:kern w:val="0"/>
          <w:sz w:val="24"/>
          <w:szCs w:val="24"/>
          <w:highlight w:val="none"/>
          <w:lang w:val="zh-CN"/>
        </w:rPr>
      </w:pPr>
      <w:r>
        <w:rPr>
          <w:rFonts w:hint="eastAsia" w:ascii="宋体" w:hAnsi="宋体" w:cs="宋体"/>
          <w:color w:val="000000"/>
          <w:kern w:val="0"/>
          <w:sz w:val="24"/>
          <w:szCs w:val="24"/>
          <w:highlight w:val="none"/>
          <w:lang w:val="zh-CN"/>
        </w:rPr>
        <w:t xml:space="preserve">三、不向项目有关人员及部门提供有可能影响公正的宴请和健身娱乐等活动； </w:t>
      </w:r>
    </w:p>
    <w:p w14:paraId="3C026367">
      <w:pPr>
        <w:pageBreakBefore w:val="0"/>
        <w:kinsoku/>
        <w:wordWrap/>
        <w:overflowPunct/>
        <w:topLinePunct w:val="0"/>
        <w:autoSpaceDE w:val="0"/>
        <w:autoSpaceDN w:val="0"/>
        <w:bidi w:val="0"/>
        <w:spacing w:line="360" w:lineRule="auto"/>
        <w:ind w:left="420" w:leftChars="200" w:right="420" w:rightChars="200" w:firstLine="480" w:firstLineChars="200"/>
        <w:rPr>
          <w:rFonts w:hint="eastAsia" w:ascii="宋体" w:hAnsi="宋体" w:cs="宋体"/>
          <w:color w:val="000000"/>
          <w:kern w:val="0"/>
          <w:sz w:val="24"/>
          <w:szCs w:val="24"/>
          <w:highlight w:val="none"/>
          <w:lang w:val="zh-CN"/>
        </w:rPr>
      </w:pPr>
      <w:r>
        <w:rPr>
          <w:rFonts w:hint="eastAsia" w:ascii="宋体" w:hAnsi="宋体" w:cs="宋体"/>
          <w:color w:val="000000"/>
          <w:kern w:val="0"/>
          <w:sz w:val="24"/>
          <w:szCs w:val="24"/>
          <w:highlight w:val="none"/>
          <w:lang w:val="zh-CN"/>
        </w:rPr>
        <w:t>四、不为项目有关人员及部门出国（境）、旅游等提供方便；</w:t>
      </w:r>
    </w:p>
    <w:p w14:paraId="591CD178">
      <w:pPr>
        <w:pageBreakBefore w:val="0"/>
        <w:kinsoku/>
        <w:wordWrap/>
        <w:overflowPunct/>
        <w:topLinePunct w:val="0"/>
        <w:autoSpaceDE w:val="0"/>
        <w:autoSpaceDN w:val="0"/>
        <w:bidi w:val="0"/>
        <w:spacing w:line="360" w:lineRule="auto"/>
        <w:ind w:left="420" w:leftChars="200" w:right="420" w:rightChars="200"/>
        <w:rPr>
          <w:rFonts w:hint="eastAsia" w:ascii="宋体" w:hAnsi="宋体" w:cs="宋体"/>
          <w:color w:val="000000"/>
          <w:kern w:val="0"/>
          <w:sz w:val="24"/>
          <w:szCs w:val="24"/>
          <w:highlight w:val="none"/>
          <w:lang w:val="zh-CN"/>
        </w:rPr>
      </w:pPr>
      <w:r>
        <w:rPr>
          <w:rFonts w:hint="eastAsia" w:ascii="宋体" w:hAnsi="宋体" w:cs="宋体"/>
          <w:color w:val="000000"/>
          <w:kern w:val="0"/>
          <w:sz w:val="24"/>
          <w:szCs w:val="24"/>
          <w:highlight w:val="none"/>
          <w:lang w:val="zh-CN"/>
        </w:rPr>
        <w:t>五、不为项目有关人员个人装修住房、婚丧嫁娶、配偶子女工作安排等提供</w:t>
      </w:r>
    </w:p>
    <w:p w14:paraId="73CE48B5">
      <w:pPr>
        <w:pageBreakBefore w:val="0"/>
        <w:kinsoku/>
        <w:wordWrap/>
        <w:overflowPunct/>
        <w:topLinePunct w:val="0"/>
        <w:autoSpaceDE w:val="0"/>
        <w:autoSpaceDN w:val="0"/>
        <w:bidi w:val="0"/>
        <w:spacing w:line="360" w:lineRule="auto"/>
        <w:ind w:left="420" w:leftChars="200" w:right="420" w:rightChars="200"/>
        <w:rPr>
          <w:rFonts w:hint="eastAsia" w:ascii="宋体" w:hAnsi="宋体" w:cs="宋体"/>
          <w:color w:val="000000"/>
          <w:kern w:val="0"/>
          <w:sz w:val="24"/>
          <w:szCs w:val="24"/>
          <w:highlight w:val="none"/>
          <w:lang w:val="zh-CN"/>
        </w:rPr>
      </w:pPr>
      <w:r>
        <w:rPr>
          <w:rFonts w:hint="eastAsia" w:ascii="宋体" w:hAnsi="宋体" w:cs="宋体"/>
          <w:color w:val="000000"/>
          <w:kern w:val="0"/>
          <w:sz w:val="24"/>
          <w:szCs w:val="24"/>
          <w:highlight w:val="none"/>
          <w:lang w:val="zh-CN"/>
        </w:rPr>
        <w:t>好处；</w:t>
      </w:r>
    </w:p>
    <w:p w14:paraId="522E6A62">
      <w:pPr>
        <w:pageBreakBefore w:val="0"/>
        <w:kinsoku/>
        <w:wordWrap/>
        <w:overflowPunct/>
        <w:topLinePunct w:val="0"/>
        <w:autoSpaceDE w:val="0"/>
        <w:autoSpaceDN w:val="0"/>
        <w:bidi w:val="0"/>
        <w:spacing w:line="360" w:lineRule="auto"/>
        <w:ind w:left="420" w:leftChars="200" w:right="420" w:rightChars="200" w:firstLine="480" w:firstLineChars="200"/>
        <w:rPr>
          <w:rFonts w:hint="eastAsia" w:ascii="宋体" w:hAnsi="宋体" w:cs="宋体"/>
          <w:color w:val="000000"/>
          <w:kern w:val="0"/>
          <w:sz w:val="24"/>
          <w:szCs w:val="24"/>
          <w:highlight w:val="none"/>
          <w:lang w:val="zh-CN"/>
        </w:rPr>
      </w:pPr>
      <w:r>
        <w:rPr>
          <w:rFonts w:hint="eastAsia" w:ascii="宋体" w:hAnsi="宋体" w:cs="宋体"/>
          <w:color w:val="000000"/>
          <w:kern w:val="0"/>
          <w:sz w:val="24"/>
          <w:szCs w:val="24"/>
          <w:highlight w:val="none"/>
          <w:lang w:val="zh-CN"/>
        </w:rPr>
        <w:t>六、严格遵守《中华人民共和国政府采购法》《</w:t>
      </w:r>
      <w:r>
        <w:rPr>
          <w:rFonts w:hint="eastAsia" w:ascii="宋体" w:hAnsi="宋体" w:cs="宋体"/>
          <w:color w:val="000000"/>
          <w:sz w:val="24"/>
          <w:szCs w:val="24"/>
          <w:highlight w:val="none"/>
          <w:lang w:val="zh-CN"/>
        </w:rPr>
        <w:t>中华人民共和国</w:t>
      </w:r>
      <w:r>
        <w:rPr>
          <w:rFonts w:hint="eastAsia" w:ascii="宋体" w:hAnsi="宋体" w:cs="宋体"/>
          <w:color w:val="000000"/>
          <w:kern w:val="0"/>
          <w:sz w:val="24"/>
          <w:szCs w:val="24"/>
          <w:highlight w:val="none"/>
          <w:lang w:val="zh-CN"/>
        </w:rPr>
        <w:t xml:space="preserve">政府采购法实施条例》《中华人民共和国民法典》等法律法规，诚实守信，合法经营，坚决抵制各种违法违纪行为。 </w:t>
      </w:r>
    </w:p>
    <w:p w14:paraId="16E59163">
      <w:pPr>
        <w:pageBreakBefore w:val="0"/>
        <w:kinsoku/>
        <w:wordWrap/>
        <w:overflowPunct/>
        <w:topLinePunct w:val="0"/>
        <w:autoSpaceDE w:val="0"/>
        <w:autoSpaceDN w:val="0"/>
        <w:bidi w:val="0"/>
        <w:spacing w:line="360" w:lineRule="auto"/>
        <w:ind w:left="420" w:leftChars="200" w:right="420" w:rightChars="200" w:firstLine="480" w:firstLineChars="200"/>
        <w:rPr>
          <w:rFonts w:hint="eastAsia" w:ascii="宋体" w:hAnsi="宋体" w:cs="宋体"/>
          <w:color w:val="000000"/>
          <w:kern w:val="0"/>
          <w:sz w:val="24"/>
          <w:szCs w:val="24"/>
          <w:highlight w:val="none"/>
          <w:lang w:val="zh-CN"/>
        </w:rPr>
      </w:pPr>
      <w:r>
        <w:rPr>
          <w:rFonts w:hint="eastAsia" w:ascii="宋体" w:hAnsi="宋体" w:cs="宋体"/>
          <w:color w:val="000000"/>
          <w:kern w:val="0"/>
          <w:sz w:val="24"/>
          <w:szCs w:val="24"/>
          <w:highlight w:val="none"/>
          <w:lang w:val="zh-CN"/>
        </w:rPr>
        <w:t>如违反上述承诺，你</w:t>
      </w:r>
      <w:r>
        <w:rPr>
          <w:rFonts w:hint="eastAsia" w:ascii="宋体" w:hAnsi="宋体" w:cs="宋体"/>
          <w:color w:val="000000"/>
          <w:sz w:val="24"/>
          <w:szCs w:val="24"/>
          <w:highlight w:val="none"/>
        </w:rPr>
        <w:t>单位</w:t>
      </w:r>
      <w:r>
        <w:rPr>
          <w:rFonts w:hint="eastAsia" w:ascii="宋体" w:hAnsi="宋体" w:cs="宋体"/>
          <w:color w:val="000000"/>
          <w:kern w:val="0"/>
          <w:sz w:val="24"/>
          <w:szCs w:val="24"/>
          <w:highlight w:val="none"/>
          <w:lang w:val="zh-CN"/>
        </w:rPr>
        <w:t>有权立即取消我单位参加采购活动、成交或在建项目的建设资格，有权拒绝我单位在一定时期内进入你</w:t>
      </w:r>
      <w:r>
        <w:rPr>
          <w:rFonts w:hint="eastAsia" w:ascii="宋体" w:hAnsi="宋体" w:cs="宋体"/>
          <w:color w:val="000000"/>
          <w:sz w:val="24"/>
          <w:szCs w:val="24"/>
          <w:highlight w:val="none"/>
        </w:rPr>
        <w:t>单位</w:t>
      </w:r>
      <w:r>
        <w:rPr>
          <w:rFonts w:hint="eastAsia" w:ascii="宋体" w:hAnsi="宋体" w:cs="宋体"/>
          <w:color w:val="000000"/>
          <w:kern w:val="0"/>
          <w:sz w:val="24"/>
          <w:szCs w:val="24"/>
          <w:highlight w:val="none"/>
          <w:lang w:val="zh-CN"/>
        </w:rPr>
        <w:t>进行项目建设或其他经营活动，并通报市财政局。由此引起的相应损失均由我单位承担。</w:t>
      </w:r>
    </w:p>
    <w:p w14:paraId="0BD68140">
      <w:pPr>
        <w:pageBreakBefore w:val="0"/>
        <w:kinsoku/>
        <w:wordWrap/>
        <w:overflowPunct/>
        <w:topLinePunct w:val="0"/>
        <w:autoSpaceDE w:val="0"/>
        <w:autoSpaceDN w:val="0"/>
        <w:bidi w:val="0"/>
        <w:spacing w:line="360" w:lineRule="auto"/>
        <w:ind w:left="420" w:leftChars="200" w:right="420" w:rightChars="200"/>
        <w:jc w:val="left"/>
        <w:rPr>
          <w:rFonts w:hint="eastAsia" w:ascii="宋体" w:hAnsi="宋体" w:cs="宋体"/>
          <w:color w:val="000000"/>
          <w:kern w:val="0"/>
          <w:sz w:val="24"/>
          <w:szCs w:val="24"/>
          <w:highlight w:val="none"/>
          <w:lang w:val="zh-CN"/>
        </w:rPr>
      </w:pPr>
    </w:p>
    <w:p w14:paraId="6F7BD696">
      <w:pPr>
        <w:pageBreakBefore w:val="0"/>
        <w:kinsoku/>
        <w:wordWrap/>
        <w:overflowPunct/>
        <w:topLinePunct w:val="0"/>
        <w:autoSpaceDE w:val="0"/>
        <w:autoSpaceDN w:val="0"/>
        <w:bidi w:val="0"/>
        <w:spacing w:line="360" w:lineRule="auto"/>
        <w:ind w:left="420" w:leftChars="200" w:right="420" w:rightChars="200"/>
        <w:jc w:val="left"/>
        <w:rPr>
          <w:rFonts w:hint="eastAsia" w:ascii="宋体" w:hAnsi="宋体" w:cs="宋体"/>
          <w:color w:val="000000"/>
          <w:kern w:val="0"/>
          <w:sz w:val="24"/>
          <w:szCs w:val="24"/>
          <w:highlight w:val="none"/>
          <w:lang w:val="zh-CN"/>
        </w:rPr>
      </w:pPr>
    </w:p>
    <w:p w14:paraId="64DC5F6C">
      <w:pPr>
        <w:pStyle w:val="24"/>
        <w:pageBreakBefore w:val="0"/>
        <w:kinsoku/>
        <w:wordWrap/>
        <w:overflowPunct/>
        <w:topLinePunct w:val="0"/>
        <w:bidi w:val="0"/>
        <w:spacing w:before="120" w:beforeLines="50" w:line="360" w:lineRule="exact"/>
        <w:ind w:left="420" w:leftChars="200" w:right="420" w:rightChars="200" w:firstLine="3180" w:firstLineChars="1325"/>
        <w:rPr>
          <w:rFonts w:eastAsia="宋体"/>
          <w:color w:val="000000"/>
          <w:szCs w:val="24"/>
          <w:highlight w:val="none"/>
        </w:rPr>
      </w:pPr>
      <w:r>
        <w:rPr>
          <w:rFonts w:hint="eastAsia" w:eastAsia="宋体"/>
          <w:color w:val="000000"/>
          <w:szCs w:val="24"/>
          <w:highlight w:val="none"/>
        </w:rPr>
        <w:t>供应商单位（盖公章）：</w:t>
      </w:r>
    </w:p>
    <w:p w14:paraId="3F621E19">
      <w:pPr>
        <w:pStyle w:val="24"/>
        <w:pageBreakBefore w:val="0"/>
        <w:kinsoku/>
        <w:wordWrap/>
        <w:overflowPunct/>
        <w:topLinePunct w:val="0"/>
        <w:bidi w:val="0"/>
        <w:spacing w:before="120" w:beforeLines="50" w:line="360" w:lineRule="exact"/>
        <w:ind w:left="420" w:leftChars="200" w:right="420" w:rightChars="200" w:firstLine="3180" w:firstLineChars="1325"/>
        <w:rPr>
          <w:rFonts w:eastAsia="宋体"/>
          <w:color w:val="000000"/>
          <w:szCs w:val="24"/>
          <w:highlight w:val="none"/>
        </w:rPr>
      </w:pPr>
      <w:r>
        <w:rPr>
          <w:rFonts w:hint="eastAsia"/>
          <w:color w:val="000000"/>
          <w:highlight w:val="none"/>
        </w:rPr>
        <w:t>法定代表人或被授权代表人</w:t>
      </w:r>
      <w:r>
        <w:rPr>
          <w:rFonts w:hint="eastAsia" w:eastAsia="宋体"/>
          <w:color w:val="000000"/>
          <w:szCs w:val="24"/>
          <w:highlight w:val="none"/>
        </w:rPr>
        <w:t>（</w:t>
      </w:r>
      <w:r>
        <w:rPr>
          <w:rFonts w:eastAsia="宋体"/>
          <w:color w:val="000000"/>
          <w:highlight w:val="none"/>
        </w:rPr>
        <w:t>签字</w:t>
      </w:r>
      <w:r>
        <w:rPr>
          <w:rFonts w:hint="eastAsia" w:eastAsia="宋体"/>
          <w:color w:val="000000"/>
          <w:highlight w:val="none"/>
        </w:rPr>
        <w:t>或印章</w:t>
      </w:r>
      <w:r>
        <w:rPr>
          <w:rFonts w:hint="eastAsia" w:eastAsia="宋体"/>
          <w:color w:val="000000"/>
          <w:szCs w:val="24"/>
          <w:highlight w:val="none"/>
        </w:rPr>
        <w:t>）：</w:t>
      </w:r>
    </w:p>
    <w:p w14:paraId="16769A71">
      <w:pPr>
        <w:pageBreakBefore w:val="0"/>
        <w:kinsoku/>
        <w:wordWrap/>
        <w:overflowPunct/>
        <w:topLinePunct w:val="0"/>
        <w:bidi w:val="0"/>
        <w:spacing w:line="600" w:lineRule="exact"/>
        <w:ind w:left="420" w:leftChars="200" w:right="420" w:rightChars="200" w:firstLine="3180" w:firstLineChars="1325"/>
        <w:rPr>
          <w:rFonts w:hint="eastAsia"/>
          <w:color w:val="000000"/>
          <w:sz w:val="24"/>
          <w:szCs w:val="24"/>
          <w:highlight w:val="none"/>
        </w:rPr>
      </w:pPr>
      <w:r>
        <w:rPr>
          <w:rFonts w:hint="eastAsia"/>
          <w:color w:val="000000"/>
          <w:sz w:val="24"/>
          <w:szCs w:val="24"/>
          <w:highlight w:val="none"/>
        </w:rPr>
        <w:t>日</w:t>
      </w:r>
      <w:r>
        <w:rPr>
          <w:color w:val="000000"/>
          <w:sz w:val="24"/>
          <w:szCs w:val="24"/>
          <w:highlight w:val="none"/>
        </w:rPr>
        <w:t xml:space="preserve">      </w:t>
      </w:r>
      <w:r>
        <w:rPr>
          <w:rFonts w:hint="eastAsia"/>
          <w:color w:val="000000"/>
          <w:sz w:val="24"/>
          <w:szCs w:val="24"/>
          <w:highlight w:val="none"/>
        </w:rPr>
        <w:t>期：</w:t>
      </w:r>
    </w:p>
    <w:p w14:paraId="72D501CB">
      <w:pPr>
        <w:pageBreakBefore w:val="0"/>
        <w:kinsoku/>
        <w:wordWrap/>
        <w:overflowPunct/>
        <w:topLinePunct w:val="0"/>
        <w:bidi w:val="0"/>
        <w:spacing w:line="360" w:lineRule="exact"/>
        <w:ind w:left="420" w:leftChars="200" w:right="420" w:rightChars="200"/>
        <w:rPr>
          <w:rFonts w:hint="eastAsia"/>
          <w:bCs/>
          <w:color w:val="000000"/>
          <w:sz w:val="24"/>
          <w:szCs w:val="24"/>
          <w:highlight w:val="none"/>
        </w:rPr>
      </w:pPr>
      <w:r>
        <w:rPr>
          <w:rFonts w:hint="eastAsia"/>
          <w:color w:val="000000"/>
          <w:szCs w:val="24"/>
          <w:highlight w:val="none"/>
        </w:rPr>
        <w:br w:type="page"/>
      </w:r>
    </w:p>
    <w:p w14:paraId="4222F7CF">
      <w:pPr>
        <w:pageBreakBefore w:val="0"/>
        <w:kinsoku/>
        <w:wordWrap/>
        <w:overflowPunct/>
        <w:topLinePunct w:val="0"/>
        <w:bidi w:val="0"/>
        <w:spacing w:line="360" w:lineRule="exact"/>
        <w:ind w:left="420" w:leftChars="200" w:right="420" w:rightChars="200"/>
        <w:rPr>
          <w:rFonts w:hint="eastAsia"/>
          <w:bCs/>
          <w:color w:val="000000"/>
          <w:sz w:val="24"/>
          <w:szCs w:val="24"/>
          <w:highlight w:val="none"/>
        </w:rPr>
      </w:pPr>
    </w:p>
    <w:p w14:paraId="3223F03F">
      <w:pPr>
        <w:pageBreakBefore w:val="0"/>
        <w:kinsoku/>
        <w:wordWrap/>
        <w:overflowPunct/>
        <w:topLinePunct w:val="0"/>
        <w:bidi w:val="0"/>
        <w:spacing w:line="360" w:lineRule="exact"/>
        <w:ind w:left="420" w:leftChars="200" w:right="420" w:rightChars="200"/>
        <w:rPr>
          <w:rFonts w:hint="eastAsia"/>
          <w:bCs/>
          <w:color w:val="000000"/>
          <w:sz w:val="24"/>
          <w:szCs w:val="24"/>
          <w:highlight w:val="none"/>
        </w:rPr>
      </w:pPr>
    </w:p>
    <w:p w14:paraId="06053041">
      <w:pPr>
        <w:pageBreakBefore w:val="0"/>
        <w:kinsoku/>
        <w:wordWrap/>
        <w:overflowPunct/>
        <w:topLinePunct w:val="0"/>
        <w:bidi w:val="0"/>
        <w:ind w:left="420" w:leftChars="200" w:right="420" w:rightChars="200"/>
        <w:jc w:val="center"/>
        <w:rPr>
          <w:rFonts w:hint="eastAsia" w:ascii="宋体"/>
          <w:b/>
          <w:color w:val="000000"/>
          <w:sz w:val="28"/>
          <w:highlight w:val="none"/>
        </w:rPr>
      </w:pPr>
      <w:r>
        <w:rPr>
          <w:rFonts w:hint="eastAsia" w:ascii="宋体"/>
          <w:b/>
          <w:color w:val="000000"/>
          <w:sz w:val="28"/>
          <w:highlight w:val="none"/>
          <w:lang w:eastAsia="zh-CN"/>
        </w:rPr>
        <w:t>（</w:t>
      </w:r>
      <w:r>
        <w:rPr>
          <w:rFonts w:hint="eastAsia" w:ascii="宋体"/>
          <w:b/>
          <w:color w:val="000000"/>
          <w:sz w:val="28"/>
          <w:highlight w:val="none"/>
          <w:lang w:val="en-US" w:eastAsia="zh-CN"/>
        </w:rPr>
        <w:t>十一</w:t>
      </w:r>
      <w:r>
        <w:rPr>
          <w:rFonts w:hint="eastAsia" w:ascii="宋体"/>
          <w:b/>
          <w:color w:val="000000"/>
          <w:sz w:val="28"/>
          <w:highlight w:val="none"/>
          <w:lang w:eastAsia="zh-CN"/>
        </w:rPr>
        <w:t>）</w:t>
      </w:r>
      <w:r>
        <w:rPr>
          <w:rFonts w:hint="eastAsia" w:ascii="宋体"/>
          <w:b/>
          <w:color w:val="000000"/>
          <w:sz w:val="28"/>
          <w:highlight w:val="none"/>
        </w:rPr>
        <w:t>采购文件要求的或供应商认为需要提供的其他资料</w:t>
      </w:r>
    </w:p>
    <w:p w14:paraId="622AF35A">
      <w:pPr>
        <w:pageBreakBefore w:val="0"/>
        <w:kinsoku/>
        <w:wordWrap/>
        <w:overflowPunct/>
        <w:topLinePunct w:val="0"/>
        <w:bidi w:val="0"/>
        <w:spacing w:line="600" w:lineRule="exact"/>
        <w:ind w:left="420" w:leftChars="200" w:right="420" w:rightChars="200"/>
        <w:rPr>
          <w:rFonts w:hint="eastAsia"/>
          <w:b/>
          <w:color w:val="000000"/>
          <w:sz w:val="28"/>
          <w:szCs w:val="28"/>
          <w:highlight w:val="none"/>
        </w:rPr>
      </w:pPr>
      <w:r>
        <w:rPr>
          <w:rFonts w:hint="eastAsia"/>
          <w:color w:val="000000"/>
          <w:szCs w:val="24"/>
          <w:highlight w:val="none"/>
        </w:rPr>
        <w:br w:type="page"/>
      </w:r>
      <w:r>
        <w:rPr>
          <w:rFonts w:hint="eastAsia"/>
          <w:b/>
          <w:color w:val="000000"/>
          <w:sz w:val="28"/>
          <w:szCs w:val="28"/>
          <w:highlight w:val="none"/>
        </w:rPr>
        <w:t>报价文件</w:t>
      </w:r>
    </w:p>
    <w:p w14:paraId="1D366CA5">
      <w:pPr>
        <w:pStyle w:val="24"/>
        <w:pageBreakBefore w:val="0"/>
        <w:kinsoku/>
        <w:wordWrap/>
        <w:overflowPunct/>
        <w:topLinePunct w:val="0"/>
        <w:bidi w:val="0"/>
        <w:ind w:left="0" w:leftChars="0" w:right="420" w:rightChars="200" w:firstLine="0" w:firstLineChars="0"/>
        <w:rPr>
          <w:rFonts w:hint="eastAsia" w:ascii="宋体" w:eastAsia="宋体"/>
          <w:color w:val="000000"/>
          <w:highlight w:val="none"/>
        </w:rPr>
      </w:pPr>
    </w:p>
    <w:p w14:paraId="4D5F130F">
      <w:pPr>
        <w:pStyle w:val="118"/>
        <w:keepNext w:val="0"/>
        <w:pageBreakBefore w:val="0"/>
        <w:tabs>
          <w:tab w:val="clear" w:pos="720"/>
        </w:tabs>
        <w:kinsoku/>
        <w:wordWrap/>
        <w:overflowPunct/>
        <w:topLinePunct w:val="0"/>
        <w:bidi w:val="0"/>
        <w:snapToGrid w:val="0"/>
        <w:spacing w:before="120" w:after="120"/>
        <w:ind w:left="420" w:leftChars="200" w:right="420" w:rightChars="200" w:firstLine="643"/>
        <w:outlineLvl w:val="9"/>
        <w:rPr>
          <w:rFonts w:ascii="仿宋" w:hAnsi="仿宋" w:eastAsia="仿宋" w:cs="仿宋"/>
          <w:color w:val="auto"/>
          <w:kern w:val="2"/>
          <w:sz w:val="32"/>
          <w:szCs w:val="32"/>
        </w:rPr>
      </w:pPr>
      <w:r>
        <w:rPr>
          <w:rFonts w:hint="eastAsia" w:cs="宋体" w:asciiTheme="minorEastAsia" w:hAnsiTheme="minorEastAsia" w:eastAsiaTheme="minorEastAsia"/>
          <w:b/>
          <w:bCs/>
          <w:kern w:val="0"/>
          <w:sz w:val="28"/>
          <w:szCs w:val="28"/>
          <w:lang w:eastAsia="zh-CN"/>
        </w:rPr>
        <w:t>（一）</w:t>
      </w:r>
      <w:r>
        <w:rPr>
          <w:rFonts w:hint="eastAsia" w:ascii="仿宋" w:hAnsi="仿宋" w:eastAsia="仿宋" w:cs="仿宋"/>
          <w:color w:val="auto"/>
          <w:kern w:val="2"/>
          <w:sz w:val="32"/>
          <w:szCs w:val="32"/>
        </w:rPr>
        <w:t>报价一览表（初次报价）</w:t>
      </w:r>
    </w:p>
    <w:p w14:paraId="75103C8A">
      <w:pPr>
        <w:pageBreakBefore w:val="0"/>
        <w:tabs>
          <w:tab w:val="left" w:pos="1494"/>
        </w:tabs>
        <w:kinsoku/>
        <w:wordWrap/>
        <w:overflowPunct/>
        <w:topLinePunct w:val="0"/>
        <w:bidi w:val="0"/>
        <w:spacing w:line="400" w:lineRule="exact"/>
        <w:ind w:left="420" w:leftChars="200" w:right="420" w:rightChars="200"/>
        <w:jc w:val="center"/>
        <w:rPr>
          <w:rFonts w:eastAsia="宋体"/>
          <w:b/>
          <w:color w:val="000000"/>
          <w:sz w:val="32"/>
          <w:szCs w:val="32"/>
        </w:rPr>
      </w:pPr>
      <w:r>
        <w:rPr>
          <w:rFonts w:hint="eastAsia" w:eastAsia="宋体"/>
          <w:b/>
          <w:color w:val="000000"/>
          <w:sz w:val="32"/>
          <w:szCs w:val="32"/>
        </w:rPr>
        <w:t>初次报价表</w:t>
      </w:r>
    </w:p>
    <w:p w14:paraId="6AEB5A28">
      <w:pPr>
        <w:pageBreakBefore w:val="0"/>
        <w:tabs>
          <w:tab w:val="left" w:pos="1494"/>
        </w:tabs>
        <w:kinsoku/>
        <w:wordWrap/>
        <w:overflowPunct/>
        <w:topLinePunct w:val="0"/>
        <w:bidi w:val="0"/>
        <w:spacing w:line="400" w:lineRule="exact"/>
        <w:ind w:left="420" w:leftChars="200" w:right="420" w:rightChars="200"/>
        <w:rPr>
          <w:rFonts w:eastAsia="宋体"/>
          <w:color w:val="000000"/>
        </w:rPr>
      </w:pPr>
    </w:p>
    <w:p w14:paraId="028BA838">
      <w:pPr>
        <w:pageBreakBefore w:val="0"/>
        <w:tabs>
          <w:tab w:val="left" w:pos="1494"/>
        </w:tabs>
        <w:kinsoku/>
        <w:wordWrap/>
        <w:overflowPunct/>
        <w:topLinePunct w:val="0"/>
        <w:bidi w:val="0"/>
        <w:spacing w:line="400" w:lineRule="exact"/>
        <w:ind w:left="420" w:leftChars="200" w:right="420" w:rightChars="200"/>
        <w:rPr>
          <w:rFonts w:eastAsia="宋体"/>
          <w:color w:val="000000"/>
          <w:szCs w:val="22"/>
        </w:rPr>
      </w:pPr>
      <w:r>
        <w:rPr>
          <w:rFonts w:hint="eastAsia" w:eastAsia="宋体"/>
          <w:color w:val="000000"/>
          <w:szCs w:val="22"/>
        </w:rPr>
        <w:t>项目编号：</w:t>
      </w:r>
      <w:r>
        <w:rPr>
          <w:rFonts w:hint="eastAsia"/>
          <w:color w:val="000000"/>
          <w:szCs w:val="22"/>
          <w:lang w:val="en-US" w:eastAsia="zh-CN"/>
        </w:rPr>
        <w:t xml:space="preserve">    </w:t>
      </w:r>
      <w:r>
        <w:rPr>
          <w:rFonts w:hint="eastAsia" w:eastAsia="宋体"/>
          <w:color w:val="000000"/>
          <w:szCs w:val="22"/>
        </w:rPr>
        <w:t>项目名称：</w:t>
      </w:r>
      <w:r>
        <w:rPr>
          <w:rFonts w:hint="eastAsia"/>
          <w:color w:val="000000"/>
          <w:szCs w:val="22"/>
          <w:lang w:val="en-US" w:eastAsia="zh-CN"/>
        </w:rPr>
        <w:t xml:space="preserve">                                                 </w:t>
      </w:r>
      <w:r>
        <w:rPr>
          <w:rFonts w:hint="eastAsia" w:eastAsia="宋体"/>
          <w:color w:val="000000"/>
          <w:szCs w:val="22"/>
        </w:rPr>
        <w:t>单位：人民币元</w:t>
      </w:r>
    </w:p>
    <w:tbl>
      <w:tblPr>
        <w:tblStyle w:val="60"/>
        <w:tblW w:w="10042" w:type="dxa"/>
        <w:tblInd w:w="0" w:type="dxa"/>
        <w:tblLayout w:type="fixed"/>
        <w:tblCellMar>
          <w:top w:w="0" w:type="dxa"/>
          <w:left w:w="0" w:type="dxa"/>
          <w:bottom w:w="0" w:type="dxa"/>
          <w:right w:w="0" w:type="dxa"/>
        </w:tblCellMar>
      </w:tblPr>
      <w:tblGrid>
        <w:gridCol w:w="695"/>
        <w:gridCol w:w="1265"/>
        <w:gridCol w:w="1595"/>
        <w:gridCol w:w="1800"/>
        <w:gridCol w:w="1666"/>
        <w:gridCol w:w="3021"/>
      </w:tblGrid>
      <w:tr w14:paraId="7FEC0244">
        <w:tblPrEx>
          <w:tblCellMar>
            <w:top w:w="0" w:type="dxa"/>
            <w:left w:w="0" w:type="dxa"/>
            <w:bottom w:w="0" w:type="dxa"/>
            <w:right w:w="0" w:type="dxa"/>
          </w:tblCellMar>
        </w:tblPrEx>
        <w:trPr>
          <w:trHeight w:val="737" w:hRule="atLeast"/>
        </w:trPr>
        <w:tc>
          <w:tcPr>
            <w:tcW w:w="69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623C27AB">
            <w:pPr>
              <w:keepNext w:val="0"/>
              <w:keepLines w:val="0"/>
              <w:pageBreakBefore w:val="0"/>
              <w:widowControl/>
              <w:suppressLineNumbers w:val="0"/>
              <w:tabs>
                <w:tab w:val="left" w:pos="1494"/>
              </w:tabs>
              <w:kinsoku/>
              <w:wordWrap/>
              <w:overflowPunct/>
              <w:topLinePunct w:val="0"/>
              <w:bidi w:val="0"/>
              <w:spacing w:before="0" w:beforeAutospacing="0" w:after="0" w:afterAutospacing="0"/>
              <w:ind w:right="420" w:rightChars="200"/>
              <w:jc w:val="both"/>
              <w:textAlignment w:val="center"/>
              <w:rPr>
                <w:rFonts w:eastAsia="宋体"/>
                <w:color w:val="000000"/>
                <w:kern w:val="2"/>
                <w:szCs w:val="22"/>
              </w:rPr>
            </w:pPr>
            <w:r>
              <w:rPr>
                <w:rFonts w:hint="eastAsia" w:eastAsia="宋体"/>
                <w:color w:val="000000"/>
                <w:kern w:val="2"/>
                <w:szCs w:val="22"/>
              </w:rPr>
              <w:t>序号</w:t>
            </w:r>
          </w:p>
        </w:tc>
        <w:tc>
          <w:tcPr>
            <w:tcW w:w="2860" w:type="dxa"/>
            <w:gridSpan w:val="2"/>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3F2AA963">
            <w:pPr>
              <w:keepNext w:val="0"/>
              <w:keepLines w:val="0"/>
              <w:pageBreakBefore w:val="0"/>
              <w:widowControl/>
              <w:suppressLineNumbers w:val="0"/>
              <w:tabs>
                <w:tab w:val="left" w:pos="1494"/>
              </w:tabs>
              <w:kinsoku/>
              <w:wordWrap/>
              <w:overflowPunct/>
              <w:topLinePunct w:val="0"/>
              <w:bidi w:val="0"/>
              <w:spacing w:before="0" w:beforeAutospacing="0" w:after="0" w:afterAutospacing="0"/>
              <w:ind w:left="420" w:leftChars="200" w:right="420" w:rightChars="200"/>
              <w:jc w:val="center"/>
              <w:textAlignment w:val="center"/>
              <w:rPr>
                <w:rFonts w:eastAsia="宋体"/>
                <w:color w:val="000000"/>
                <w:kern w:val="2"/>
                <w:szCs w:val="22"/>
              </w:rPr>
            </w:pPr>
            <w:r>
              <w:rPr>
                <w:rFonts w:hint="eastAsia" w:eastAsia="宋体"/>
                <w:color w:val="000000"/>
                <w:kern w:val="2"/>
                <w:szCs w:val="22"/>
              </w:rPr>
              <w:t>项目名称</w:t>
            </w:r>
          </w:p>
        </w:tc>
        <w:tc>
          <w:tcPr>
            <w:tcW w:w="180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02B17323">
            <w:pPr>
              <w:keepNext w:val="0"/>
              <w:keepLines w:val="0"/>
              <w:pageBreakBefore w:val="0"/>
              <w:widowControl/>
              <w:suppressLineNumbers w:val="0"/>
              <w:tabs>
                <w:tab w:val="left" w:pos="1494"/>
              </w:tabs>
              <w:kinsoku/>
              <w:wordWrap/>
              <w:overflowPunct/>
              <w:topLinePunct w:val="0"/>
              <w:bidi w:val="0"/>
              <w:spacing w:before="0" w:beforeAutospacing="0" w:after="0" w:afterAutospacing="0"/>
              <w:ind w:left="420" w:leftChars="200" w:right="420" w:rightChars="200"/>
              <w:jc w:val="center"/>
              <w:textAlignment w:val="center"/>
              <w:rPr>
                <w:rFonts w:eastAsia="宋体"/>
                <w:color w:val="000000"/>
                <w:kern w:val="2"/>
                <w:szCs w:val="22"/>
              </w:rPr>
            </w:pPr>
            <w:r>
              <w:rPr>
                <w:rFonts w:hint="eastAsia" w:eastAsia="宋体"/>
                <w:color w:val="000000"/>
                <w:kern w:val="2"/>
                <w:szCs w:val="22"/>
                <w:lang w:eastAsia="zh-CN"/>
              </w:rPr>
              <w:t>下浮率</w:t>
            </w:r>
            <w:r>
              <w:rPr>
                <w:rFonts w:hint="eastAsia" w:eastAsia="宋体"/>
                <w:color w:val="000000"/>
                <w:kern w:val="2"/>
                <w:szCs w:val="22"/>
              </w:rPr>
              <w:t>（</w:t>
            </w:r>
            <w:r>
              <w:rPr>
                <w:rFonts w:hint="eastAsia" w:eastAsia="宋体"/>
                <w:color w:val="000000"/>
                <w:kern w:val="2"/>
                <w:szCs w:val="22"/>
                <w:lang w:val="en-US" w:eastAsia="zh-CN"/>
              </w:rPr>
              <w:t>%</w:t>
            </w:r>
            <w:r>
              <w:rPr>
                <w:rFonts w:hint="eastAsia" w:eastAsia="宋体"/>
                <w:color w:val="000000"/>
                <w:kern w:val="2"/>
                <w:szCs w:val="22"/>
              </w:rPr>
              <w:t>）</w:t>
            </w:r>
          </w:p>
        </w:tc>
        <w:tc>
          <w:tcPr>
            <w:tcW w:w="166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0EA55E15">
            <w:pPr>
              <w:keepNext w:val="0"/>
              <w:keepLines w:val="0"/>
              <w:pageBreakBefore w:val="0"/>
              <w:widowControl/>
              <w:suppressLineNumbers w:val="0"/>
              <w:tabs>
                <w:tab w:val="left" w:pos="1494"/>
              </w:tabs>
              <w:kinsoku/>
              <w:wordWrap/>
              <w:overflowPunct/>
              <w:topLinePunct w:val="0"/>
              <w:bidi w:val="0"/>
              <w:spacing w:before="0" w:beforeAutospacing="0" w:after="0" w:afterAutospacing="0"/>
              <w:ind w:left="420" w:leftChars="200" w:right="420" w:rightChars="200"/>
              <w:jc w:val="center"/>
              <w:textAlignment w:val="center"/>
              <w:rPr>
                <w:rFonts w:hint="eastAsia" w:eastAsia="宋体"/>
                <w:color w:val="000000"/>
                <w:kern w:val="2"/>
                <w:szCs w:val="22"/>
              </w:rPr>
            </w:pPr>
            <w:r>
              <w:rPr>
                <w:rFonts w:hint="eastAsia" w:eastAsia="宋体"/>
                <w:color w:val="000000"/>
                <w:kern w:val="2"/>
                <w:szCs w:val="22"/>
              </w:rPr>
              <w:t>总报价（元）</w:t>
            </w:r>
          </w:p>
        </w:tc>
        <w:tc>
          <w:tcPr>
            <w:tcW w:w="302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66DC2834">
            <w:pPr>
              <w:keepNext w:val="0"/>
              <w:keepLines w:val="0"/>
              <w:pageBreakBefore w:val="0"/>
              <w:widowControl/>
              <w:suppressLineNumbers w:val="0"/>
              <w:tabs>
                <w:tab w:val="left" w:pos="1494"/>
              </w:tabs>
              <w:kinsoku/>
              <w:wordWrap/>
              <w:overflowPunct/>
              <w:topLinePunct w:val="0"/>
              <w:bidi w:val="0"/>
              <w:spacing w:before="0" w:beforeAutospacing="0" w:after="0" w:afterAutospacing="0"/>
              <w:ind w:left="420" w:leftChars="200" w:right="420" w:rightChars="200"/>
              <w:jc w:val="center"/>
              <w:textAlignment w:val="center"/>
              <w:rPr>
                <w:rFonts w:eastAsia="宋体"/>
                <w:color w:val="000000"/>
                <w:kern w:val="2"/>
                <w:szCs w:val="22"/>
              </w:rPr>
            </w:pPr>
            <w:r>
              <w:rPr>
                <w:rFonts w:hint="eastAsia" w:eastAsia="宋体"/>
                <w:color w:val="000000"/>
                <w:kern w:val="2"/>
                <w:szCs w:val="22"/>
              </w:rPr>
              <w:t>备注</w:t>
            </w:r>
          </w:p>
        </w:tc>
      </w:tr>
      <w:tr w14:paraId="4EC47E32">
        <w:tblPrEx>
          <w:tblCellMar>
            <w:top w:w="0" w:type="dxa"/>
            <w:left w:w="0" w:type="dxa"/>
            <w:bottom w:w="0" w:type="dxa"/>
            <w:right w:w="0" w:type="dxa"/>
          </w:tblCellMar>
        </w:tblPrEx>
        <w:trPr>
          <w:trHeight w:val="737" w:hRule="atLeast"/>
        </w:trPr>
        <w:tc>
          <w:tcPr>
            <w:tcW w:w="69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7E12A3EE">
            <w:pPr>
              <w:keepNext w:val="0"/>
              <w:keepLines w:val="0"/>
              <w:pageBreakBefore w:val="0"/>
              <w:widowControl/>
              <w:suppressLineNumbers w:val="0"/>
              <w:tabs>
                <w:tab w:val="left" w:pos="1494"/>
              </w:tabs>
              <w:kinsoku/>
              <w:wordWrap/>
              <w:overflowPunct/>
              <w:topLinePunct w:val="0"/>
              <w:bidi w:val="0"/>
              <w:spacing w:before="0" w:beforeAutospacing="0" w:after="0" w:afterAutospacing="0"/>
              <w:ind w:left="420" w:leftChars="200" w:right="420" w:rightChars="200"/>
              <w:jc w:val="center"/>
              <w:textAlignment w:val="bottom"/>
              <w:rPr>
                <w:rFonts w:eastAsia="宋体"/>
                <w:color w:val="000000"/>
                <w:kern w:val="2"/>
                <w:szCs w:val="22"/>
              </w:rPr>
            </w:pPr>
            <w:r>
              <w:rPr>
                <w:rFonts w:hint="eastAsia"/>
                <w:kern w:val="2"/>
                <w:szCs w:val="22"/>
              </w:rPr>
              <w:t>1</w:t>
            </w:r>
          </w:p>
        </w:tc>
        <w:tc>
          <w:tcPr>
            <w:tcW w:w="2860" w:type="dxa"/>
            <w:gridSpan w:val="2"/>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37684D9B">
            <w:pPr>
              <w:keepNext w:val="0"/>
              <w:keepLines w:val="0"/>
              <w:pageBreakBefore w:val="0"/>
              <w:widowControl/>
              <w:suppressLineNumbers w:val="0"/>
              <w:tabs>
                <w:tab w:val="left" w:pos="1494"/>
              </w:tabs>
              <w:kinsoku/>
              <w:wordWrap/>
              <w:overflowPunct/>
              <w:topLinePunct w:val="0"/>
              <w:bidi w:val="0"/>
              <w:spacing w:before="0" w:beforeAutospacing="0" w:after="0" w:afterAutospacing="0"/>
              <w:ind w:left="420" w:leftChars="200" w:right="420" w:rightChars="200"/>
              <w:jc w:val="center"/>
              <w:textAlignment w:val="bottom"/>
              <w:rPr>
                <w:rFonts w:eastAsia="宋体"/>
                <w:color w:val="000000"/>
                <w:kern w:val="2"/>
                <w:szCs w:val="22"/>
              </w:rPr>
            </w:pPr>
          </w:p>
        </w:tc>
        <w:tc>
          <w:tcPr>
            <w:tcW w:w="180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35FC5410">
            <w:pPr>
              <w:keepNext w:val="0"/>
              <w:keepLines w:val="0"/>
              <w:pageBreakBefore w:val="0"/>
              <w:widowControl/>
              <w:suppressLineNumbers w:val="0"/>
              <w:tabs>
                <w:tab w:val="left" w:pos="1494"/>
              </w:tabs>
              <w:kinsoku/>
              <w:wordWrap/>
              <w:overflowPunct/>
              <w:topLinePunct w:val="0"/>
              <w:bidi w:val="0"/>
              <w:spacing w:before="0" w:beforeAutospacing="0" w:after="0" w:afterAutospacing="0"/>
              <w:ind w:left="420" w:leftChars="200" w:right="420" w:rightChars="200"/>
              <w:jc w:val="center"/>
              <w:textAlignment w:val="bottom"/>
              <w:rPr>
                <w:rFonts w:eastAsia="宋体"/>
                <w:color w:val="000000"/>
                <w:kern w:val="2"/>
                <w:szCs w:val="22"/>
              </w:rPr>
            </w:pPr>
          </w:p>
        </w:tc>
        <w:tc>
          <w:tcPr>
            <w:tcW w:w="166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1481C548">
            <w:pPr>
              <w:keepNext w:val="0"/>
              <w:keepLines w:val="0"/>
              <w:pageBreakBefore w:val="0"/>
              <w:widowControl w:val="0"/>
              <w:suppressLineNumbers w:val="0"/>
              <w:tabs>
                <w:tab w:val="left" w:pos="1494"/>
              </w:tabs>
              <w:kinsoku/>
              <w:wordWrap/>
              <w:overflowPunct/>
              <w:topLinePunct w:val="0"/>
              <w:bidi w:val="0"/>
              <w:spacing w:before="0" w:beforeAutospacing="0" w:after="0" w:afterAutospacing="0" w:line="360" w:lineRule="exact"/>
              <w:ind w:left="420" w:leftChars="200" w:right="420" w:rightChars="200"/>
              <w:rPr>
                <w:rFonts w:hint="eastAsia" w:eastAsia="宋体"/>
                <w:kern w:val="2"/>
                <w:szCs w:val="22"/>
              </w:rPr>
            </w:pPr>
          </w:p>
        </w:tc>
        <w:tc>
          <w:tcPr>
            <w:tcW w:w="302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2ADA82BC">
            <w:pPr>
              <w:keepNext w:val="0"/>
              <w:keepLines w:val="0"/>
              <w:pageBreakBefore w:val="0"/>
              <w:widowControl w:val="0"/>
              <w:suppressLineNumbers w:val="0"/>
              <w:tabs>
                <w:tab w:val="left" w:pos="1494"/>
              </w:tabs>
              <w:kinsoku/>
              <w:wordWrap/>
              <w:overflowPunct/>
              <w:topLinePunct w:val="0"/>
              <w:bidi w:val="0"/>
              <w:spacing w:before="0" w:beforeAutospacing="0" w:after="0" w:afterAutospacing="0" w:line="360" w:lineRule="exact"/>
              <w:ind w:right="420" w:rightChars="200"/>
              <w:rPr>
                <w:rFonts w:eastAsia="宋体"/>
                <w:color w:val="000000"/>
                <w:kern w:val="2"/>
                <w:szCs w:val="22"/>
              </w:rPr>
            </w:pPr>
            <w:r>
              <w:rPr>
                <w:rFonts w:hint="eastAsia" w:ascii="宋体" w:hAnsi="宋体" w:eastAsia="宋体" w:cs="宋体"/>
                <w:color w:val="auto"/>
                <w:szCs w:val="21"/>
                <w:highlight w:val="none"/>
                <w:lang w:val="en-US" w:eastAsia="zh-CN"/>
              </w:rPr>
              <w:t>最高限价</w:t>
            </w:r>
            <w:r>
              <w:rPr>
                <w:rFonts w:hint="eastAsia" w:ascii="宋体" w:hAnsi="宋体" w:cs="宋体"/>
                <w:color w:val="auto"/>
                <w:szCs w:val="21"/>
                <w:highlight w:val="none"/>
                <w:lang w:val="en-US" w:eastAsia="zh-CN"/>
              </w:rPr>
              <w:t>916852元</w:t>
            </w:r>
            <w:r>
              <w:rPr>
                <w:rFonts w:hint="eastAsia" w:ascii="宋体" w:hAnsi="宋体" w:eastAsia="宋体" w:cs="宋体"/>
                <w:color w:val="auto"/>
                <w:szCs w:val="21"/>
                <w:highlight w:val="none"/>
                <w:lang w:val="en-US" w:eastAsia="zh-CN"/>
              </w:rPr>
              <w:t>，超过最高限价的报价为无效报价</w:t>
            </w:r>
          </w:p>
        </w:tc>
      </w:tr>
      <w:tr w14:paraId="2F0676AA">
        <w:tblPrEx>
          <w:tblCellMar>
            <w:top w:w="0" w:type="dxa"/>
            <w:left w:w="0" w:type="dxa"/>
            <w:bottom w:w="0" w:type="dxa"/>
            <w:right w:w="0" w:type="dxa"/>
          </w:tblCellMar>
        </w:tblPrEx>
        <w:trPr>
          <w:trHeight w:val="737" w:hRule="atLeast"/>
        </w:trPr>
        <w:tc>
          <w:tcPr>
            <w:tcW w:w="10042" w:type="dxa"/>
            <w:gridSpan w:val="6"/>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432B1E9E">
            <w:pPr>
              <w:keepNext w:val="0"/>
              <w:keepLines w:val="0"/>
              <w:pageBreakBefore w:val="0"/>
              <w:widowControl/>
              <w:suppressLineNumbers w:val="0"/>
              <w:tabs>
                <w:tab w:val="left" w:pos="1494"/>
              </w:tabs>
              <w:kinsoku/>
              <w:wordWrap/>
              <w:overflowPunct/>
              <w:topLinePunct w:val="0"/>
              <w:bidi w:val="0"/>
              <w:spacing w:before="0" w:beforeAutospacing="0" w:after="0" w:afterAutospacing="0"/>
              <w:ind w:left="420" w:leftChars="200" w:right="420" w:rightChars="200" w:firstLine="210" w:firstLineChars="100"/>
              <w:textAlignment w:val="bottom"/>
              <w:rPr>
                <w:rFonts w:eastAsia="宋体"/>
                <w:color w:val="000000"/>
                <w:kern w:val="2"/>
                <w:szCs w:val="22"/>
              </w:rPr>
            </w:pPr>
            <w:r>
              <w:rPr>
                <w:rFonts w:hint="eastAsia"/>
                <w:color w:val="000000"/>
                <w:kern w:val="2"/>
              </w:rPr>
              <w:t xml:space="preserve">报价大写： </w:t>
            </w:r>
            <w:r>
              <w:rPr>
                <w:rFonts w:hint="eastAsia"/>
                <w:color w:val="000000"/>
                <w:kern w:val="2"/>
                <w:lang w:val="en-US" w:eastAsia="zh-CN"/>
              </w:rPr>
              <w:t xml:space="preserve">    </w:t>
            </w:r>
            <w:r>
              <w:rPr>
                <w:rFonts w:hint="eastAsia"/>
                <w:color w:val="000000"/>
                <w:kern w:val="2"/>
              </w:rPr>
              <w:t>元整（小写：</w:t>
            </w:r>
            <w:r>
              <w:rPr>
                <w:rFonts w:hint="eastAsia"/>
                <w:color w:val="000000"/>
                <w:kern w:val="2"/>
                <w:lang w:val="en-US" w:eastAsia="zh-CN"/>
              </w:rPr>
              <w:t xml:space="preserve">    </w:t>
            </w:r>
            <w:r>
              <w:rPr>
                <w:rFonts w:hint="eastAsia"/>
                <w:color w:val="000000"/>
                <w:kern w:val="2"/>
              </w:rPr>
              <w:t>￥</w:t>
            </w:r>
            <w:r>
              <w:rPr>
                <w:rFonts w:hint="eastAsia"/>
                <w:color w:val="000000"/>
                <w:kern w:val="2"/>
                <w:lang w:val="en-US" w:eastAsia="zh-CN"/>
              </w:rPr>
              <w:t xml:space="preserve">            </w:t>
            </w:r>
            <w:r>
              <w:rPr>
                <w:rFonts w:hint="eastAsia"/>
                <w:color w:val="000000"/>
                <w:kern w:val="2"/>
              </w:rPr>
              <w:t xml:space="preserve">） </w:t>
            </w:r>
          </w:p>
        </w:tc>
      </w:tr>
      <w:tr w14:paraId="55BC99A8">
        <w:tblPrEx>
          <w:tblCellMar>
            <w:top w:w="0" w:type="dxa"/>
            <w:left w:w="0" w:type="dxa"/>
            <w:bottom w:w="0" w:type="dxa"/>
            <w:right w:w="0" w:type="dxa"/>
          </w:tblCellMar>
        </w:tblPrEx>
        <w:trPr>
          <w:trHeight w:val="737" w:hRule="atLeast"/>
        </w:trPr>
        <w:tc>
          <w:tcPr>
            <w:tcW w:w="1960" w:type="dxa"/>
            <w:gridSpan w:val="2"/>
            <w:tcBorders>
              <w:top w:val="single" w:color="000000" w:sz="4" w:space="0"/>
              <w:left w:val="single" w:color="000000" w:sz="4" w:space="0"/>
              <w:bottom w:val="single" w:color="000000" w:sz="4" w:space="0"/>
              <w:right w:val="single" w:color="auto" w:sz="4" w:space="0"/>
            </w:tcBorders>
            <w:tcMar>
              <w:top w:w="10" w:type="dxa"/>
              <w:left w:w="10" w:type="dxa"/>
              <w:right w:w="10" w:type="dxa"/>
            </w:tcMar>
            <w:vAlign w:val="center"/>
          </w:tcPr>
          <w:p w14:paraId="172234E5">
            <w:pPr>
              <w:keepNext w:val="0"/>
              <w:keepLines w:val="0"/>
              <w:pageBreakBefore w:val="0"/>
              <w:widowControl/>
              <w:suppressLineNumbers w:val="0"/>
              <w:tabs>
                <w:tab w:val="left" w:pos="1494"/>
              </w:tabs>
              <w:kinsoku/>
              <w:wordWrap/>
              <w:overflowPunct/>
              <w:topLinePunct w:val="0"/>
              <w:bidi w:val="0"/>
              <w:spacing w:before="0" w:beforeAutospacing="0" w:after="0" w:afterAutospacing="0"/>
              <w:ind w:left="420" w:leftChars="200" w:right="420" w:rightChars="200" w:firstLine="210" w:firstLineChars="100"/>
              <w:textAlignment w:val="bottom"/>
              <w:rPr>
                <w:rFonts w:eastAsia="宋体"/>
                <w:color w:val="000000"/>
                <w:kern w:val="2"/>
                <w:szCs w:val="22"/>
              </w:rPr>
            </w:pPr>
            <w:r>
              <w:rPr>
                <w:rFonts w:hint="eastAsia" w:eastAsia="宋体"/>
                <w:color w:val="000000"/>
                <w:kern w:val="2"/>
                <w:szCs w:val="22"/>
              </w:rPr>
              <w:t>质量目标</w:t>
            </w:r>
          </w:p>
        </w:tc>
        <w:tc>
          <w:tcPr>
            <w:tcW w:w="8082" w:type="dxa"/>
            <w:gridSpan w:val="4"/>
            <w:tcBorders>
              <w:top w:val="single" w:color="000000" w:sz="4" w:space="0"/>
              <w:left w:val="single" w:color="auto" w:sz="4" w:space="0"/>
              <w:bottom w:val="single" w:color="000000" w:sz="4" w:space="0"/>
              <w:right w:val="single" w:color="000000" w:sz="4" w:space="0"/>
            </w:tcBorders>
            <w:tcMar>
              <w:top w:w="10" w:type="dxa"/>
              <w:left w:w="10" w:type="dxa"/>
              <w:right w:w="10" w:type="dxa"/>
            </w:tcMar>
            <w:vAlign w:val="center"/>
          </w:tcPr>
          <w:p w14:paraId="367CE987">
            <w:pPr>
              <w:keepNext w:val="0"/>
              <w:keepLines w:val="0"/>
              <w:pageBreakBefore w:val="0"/>
              <w:widowControl/>
              <w:suppressLineNumbers w:val="0"/>
              <w:tabs>
                <w:tab w:val="left" w:pos="1494"/>
              </w:tabs>
              <w:kinsoku/>
              <w:wordWrap/>
              <w:overflowPunct/>
              <w:topLinePunct w:val="0"/>
              <w:bidi w:val="0"/>
              <w:spacing w:before="0" w:beforeAutospacing="0" w:after="0" w:afterAutospacing="0"/>
              <w:ind w:left="420" w:leftChars="200" w:right="420" w:rightChars="200"/>
              <w:jc w:val="center"/>
              <w:textAlignment w:val="bottom"/>
              <w:rPr>
                <w:rFonts w:eastAsia="宋体"/>
                <w:color w:val="000000"/>
                <w:kern w:val="2"/>
                <w:szCs w:val="22"/>
              </w:rPr>
            </w:pPr>
          </w:p>
        </w:tc>
      </w:tr>
      <w:tr w14:paraId="1166A638">
        <w:tblPrEx>
          <w:tblCellMar>
            <w:top w:w="0" w:type="dxa"/>
            <w:left w:w="0" w:type="dxa"/>
            <w:bottom w:w="0" w:type="dxa"/>
            <w:right w:w="0" w:type="dxa"/>
          </w:tblCellMar>
        </w:tblPrEx>
        <w:trPr>
          <w:trHeight w:val="737" w:hRule="atLeast"/>
        </w:trPr>
        <w:tc>
          <w:tcPr>
            <w:tcW w:w="1960" w:type="dxa"/>
            <w:gridSpan w:val="2"/>
            <w:tcBorders>
              <w:top w:val="single" w:color="000000" w:sz="4" w:space="0"/>
              <w:left w:val="single" w:color="000000" w:sz="4" w:space="0"/>
              <w:bottom w:val="single" w:color="000000" w:sz="4" w:space="0"/>
              <w:right w:val="single" w:color="auto" w:sz="4" w:space="0"/>
            </w:tcBorders>
            <w:tcMar>
              <w:top w:w="10" w:type="dxa"/>
              <w:left w:w="10" w:type="dxa"/>
              <w:right w:w="10" w:type="dxa"/>
            </w:tcMar>
            <w:vAlign w:val="center"/>
          </w:tcPr>
          <w:p w14:paraId="7865B955">
            <w:pPr>
              <w:keepNext w:val="0"/>
              <w:keepLines w:val="0"/>
              <w:pageBreakBefore w:val="0"/>
              <w:widowControl/>
              <w:suppressLineNumbers w:val="0"/>
              <w:tabs>
                <w:tab w:val="left" w:pos="1494"/>
              </w:tabs>
              <w:kinsoku/>
              <w:wordWrap/>
              <w:overflowPunct/>
              <w:topLinePunct w:val="0"/>
              <w:bidi w:val="0"/>
              <w:spacing w:before="0" w:beforeAutospacing="0" w:after="0" w:afterAutospacing="0"/>
              <w:ind w:left="420" w:leftChars="200" w:right="420" w:rightChars="200" w:firstLine="210" w:firstLineChars="100"/>
              <w:textAlignment w:val="bottom"/>
              <w:rPr>
                <w:color w:val="000000"/>
                <w:kern w:val="2"/>
              </w:rPr>
            </w:pPr>
            <w:r>
              <w:rPr>
                <w:rFonts w:hint="eastAsia"/>
                <w:color w:val="000000"/>
                <w:kern w:val="2"/>
              </w:rPr>
              <w:t>工期目标</w:t>
            </w:r>
          </w:p>
        </w:tc>
        <w:tc>
          <w:tcPr>
            <w:tcW w:w="8082" w:type="dxa"/>
            <w:gridSpan w:val="4"/>
            <w:tcBorders>
              <w:top w:val="single" w:color="000000" w:sz="4" w:space="0"/>
              <w:left w:val="single" w:color="auto" w:sz="4" w:space="0"/>
              <w:bottom w:val="single" w:color="000000" w:sz="4" w:space="0"/>
              <w:right w:val="single" w:color="000000" w:sz="4" w:space="0"/>
            </w:tcBorders>
            <w:tcMar>
              <w:top w:w="10" w:type="dxa"/>
              <w:left w:w="10" w:type="dxa"/>
              <w:right w:w="10" w:type="dxa"/>
            </w:tcMar>
            <w:vAlign w:val="center"/>
          </w:tcPr>
          <w:p w14:paraId="18A9BFBF">
            <w:pPr>
              <w:keepNext w:val="0"/>
              <w:keepLines w:val="0"/>
              <w:pageBreakBefore w:val="0"/>
              <w:widowControl/>
              <w:suppressLineNumbers w:val="0"/>
              <w:tabs>
                <w:tab w:val="left" w:pos="1494"/>
              </w:tabs>
              <w:kinsoku/>
              <w:wordWrap/>
              <w:overflowPunct/>
              <w:topLinePunct w:val="0"/>
              <w:bidi w:val="0"/>
              <w:spacing w:before="0" w:beforeAutospacing="0" w:after="0" w:afterAutospacing="0"/>
              <w:ind w:left="420" w:leftChars="200" w:right="420" w:rightChars="200"/>
              <w:jc w:val="center"/>
              <w:textAlignment w:val="bottom"/>
              <w:rPr>
                <w:rFonts w:eastAsia="宋体"/>
                <w:color w:val="000000"/>
                <w:kern w:val="2"/>
                <w:szCs w:val="22"/>
              </w:rPr>
            </w:pPr>
          </w:p>
        </w:tc>
      </w:tr>
      <w:tr w14:paraId="56247674">
        <w:tblPrEx>
          <w:tblCellMar>
            <w:top w:w="0" w:type="dxa"/>
            <w:left w:w="0" w:type="dxa"/>
            <w:bottom w:w="0" w:type="dxa"/>
            <w:right w:w="0" w:type="dxa"/>
          </w:tblCellMar>
        </w:tblPrEx>
        <w:trPr>
          <w:trHeight w:val="737" w:hRule="atLeast"/>
        </w:trPr>
        <w:tc>
          <w:tcPr>
            <w:tcW w:w="1960" w:type="dxa"/>
            <w:gridSpan w:val="2"/>
            <w:tcBorders>
              <w:top w:val="single" w:color="000000" w:sz="4" w:space="0"/>
              <w:left w:val="single" w:color="000000" w:sz="4" w:space="0"/>
              <w:bottom w:val="single" w:color="000000" w:sz="4" w:space="0"/>
              <w:right w:val="single" w:color="auto" w:sz="4" w:space="0"/>
            </w:tcBorders>
            <w:tcMar>
              <w:top w:w="10" w:type="dxa"/>
              <w:left w:w="10" w:type="dxa"/>
              <w:right w:w="10" w:type="dxa"/>
            </w:tcMar>
            <w:vAlign w:val="center"/>
          </w:tcPr>
          <w:p w14:paraId="212DF204">
            <w:pPr>
              <w:keepNext w:val="0"/>
              <w:keepLines w:val="0"/>
              <w:pageBreakBefore w:val="0"/>
              <w:widowControl/>
              <w:suppressLineNumbers w:val="0"/>
              <w:tabs>
                <w:tab w:val="left" w:pos="1494"/>
              </w:tabs>
              <w:kinsoku/>
              <w:wordWrap/>
              <w:overflowPunct/>
              <w:topLinePunct w:val="0"/>
              <w:bidi w:val="0"/>
              <w:spacing w:before="0" w:beforeAutospacing="0" w:after="0" w:afterAutospacing="0"/>
              <w:ind w:left="420" w:leftChars="200" w:right="420" w:rightChars="200" w:firstLine="210" w:firstLineChars="100"/>
              <w:textAlignment w:val="bottom"/>
              <w:rPr>
                <w:color w:val="000000"/>
                <w:kern w:val="2"/>
              </w:rPr>
            </w:pPr>
            <w:r>
              <w:rPr>
                <w:rFonts w:hint="eastAsia"/>
                <w:color w:val="000000"/>
                <w:kern w:val="2"/>
              </w:rPr>
              <w:t>投标声明</w:t>
            </w:r>
          </w:p>
        </w:tc>
        <w:tc>
          <w:tcPr>
            <w:tcW w:w="8082" w:type="dxa"/>
            <w:gridSpan w:val="4"/>
            <w:tcBorders>
              <w:top w:val="single" w:color="000000" w:sz="4" w:space="0"/>
              <w:left w:val="single" w:color="auto" w:sz="4" w:space="0"/>
              <w:bottom w:val="single" w:color="000000" w:sz="4" w:space="0"/>
              <w:right w:val="single" w:color="000000" w:sz="4" w:space="0"/>
            </w:tcBorders>
            <w:tcMar>
              <w:top w:w="10" w:type="dxa"/>
              <w:left w:w="10" w:type="dxa"/>
              <w:right w:w="10" w:type="dxa"/>
            </w:tcMar>
            <w:vAlign w:val="center"/>
          </w:tcPr>
          <w:p w14:paraId="775812A6">
            <w:pPr>
              <w:keepNext w:val="0"/>
              <w:keepLines w:val="0"/>
              <w:pageBreakBefore w:val="0"/>
              <w:widowControl/>
              <w:suppressLineNumbers w:val="0"/>
              <w:tabs>
                <w:tab w:val="left" w:pos="1494"/>
              </w:tabs>
              <w:kinsoku/>
              <w:wordWrap/>
              <w:overflowPunct/>
              <w:topLinePunct w:val="0"/>
              <w:bidi w:val="0"/>
              <w:spacing w:before="0" w:beforeAutospacing="0" w:after="0" w:afterAutospacing="0"/>
              <w:ind w:left="420" w:leftChars="200" w:right="420" w:rightChars="200"/>
              <w:jc w:val="center"/>
              <w:textAlignment w:val="bottom"/>
              <w:rPr>
                <w:rFonts w:eastAsia="宋体"/>
                <w:color w:val="000000"/>
                <w:kern w:val="2"/>
                <w:szCs w:val="22"/>
              </w:rPr>
            </w:pPr>
          </w:p>
        </w:tc>
      </w:tr>
    </w:tbl>
    <w:p w14:paraId="55BE06D5">
      <w:pPr>
        <w:pageBreakBefore w:val="0"/>
        <w:widowControl w:val="0"/>
        <w:tabs>
          <w:tab w:val="left" w:pos="1494"/>
        </w:tabs>
        <w:kinsoku/>
        <w:wordWrap/>
        <w:overflowPunct/>
        <w:topLinePunct w:val="0"/>
        <w:bidi w:val="0"/>
        <w:ind w:left="420" w:leftChars="200" w:right="420" w:rightChars="200"/>
        <w:jc w:val="both"/>
        <w:rPr>
          <w:rFonts w:eastAsia="宋体"/>
          <w:szCs w:val="22"/>
        </w:rPr>
      </w:pPr>
      <w:r>
        <w:rPr>
          <w:rFonts w:hint="eastAsia" w:eastAsia="宋体"/>
          <w:kern w:val="2"/>
          <w:szCs w:val="22"/>
        </w:rPr>
        <w:t>注：1、报价包含深化设计、运输、施工、安装调试、检验检测、保险、安全文明施工费、保修、风险、管理费、利润及税金、政策性文件规定及为完成本次项目合同实施过程中不可预见费用等的一切费用。</w:t>
      </w:r>
    </w:p>
    <w:p w14:paraId="13D524F3">
      <w:pPr>
        <w:pageBreakBefore w:val="0"/>
        <w:tabs>
          <w:tab w:val="left" w:pos="1494"/>
        </w:tabs>
        <w:kinsoku/>
        <w:wordWrap/>
        <w:overflowPunct/>
        <w:topLinePunct w:val="0"/>
        <w:bidi w:val="0"/>
        <w:ind w:left="420" w:leftChars="200" w:right="420" w:rightChars="200"/>
        <w:jc w:val="both"/>
        <w:rPr>
          <w:rFonts w:eastAsia="宋体"/>
          <w:szCs w:val="22"/>
        </w:rPr>
      </w:pPr>
    </w:p>
    <w:p w14:paraId="53B272FB">
      <w:pPr>
        <w:pageBreakBefore w:val="0"/>
        <w:widowControl w:val="0"/>
        <w:tabs>
          <w:tab w:val="left" w:pos="1494"/>
        </w:tabs>
        <w:kinsoku/>
        <w:wordWrap/>
        <w:overflowPunct/>
        <w:topLinePunct w:val="0"/>
        <w:bidi w:val="0"/>
        <w:ind w:left="420" w:leftChars="200" w:right="420" w:rightChars="200" w:firstLine="210" w:firstLineChars="100"/>
        <w:jc w:val="both"/>
        <w:rPr>
          <w:rFonts w:hint="eastAsia" w:ascii="Times New Roman" w:hAnsi="Times New Roman" w:eastAsia="宋体" w:cs="Times New Roman"/>
          <w:kern w:val="2"/>
          <w:szCs w:val="22"/>
        </w:rPr>
      </w:pPr>
      <w:r>
        <w:rPr>
          <w:rFonts w:hint="eastAsia" w:ascii="Times New Roman" w:hAnsi="Times New Roman" w:cs="Times New Roman"/>
          <w:kern w:val="2"/>
          <w:szCs w:val="22"/>
          <w:lang w:val="en-US" w:eastAsia="zh-CN"/>
        </w:rPr>
        <w:t>2</w:t>
      </w:r>
      <w:r>
        <w:rPr>
          <w:rFonts w:hint="eastAsia" w:ascii="Times New Roman" w:hAnsi="Times New Roman" w:eastAsia="宋体" w:cs="Times New Roman"/>
          <w:kern w:val="2"/>
          <w:szCs w:val="22"/>
        </w:rPr>
        <w:t>、报价一经涂改，应在涂改处加盖单位公章或者由法定代表人或授权代表签字或盖章，否则其投标作无效标处理。2、符合磋商文件中列明的可享受中小企业扶持政策的供应商，请填写中小企业声明函。注：供应商提供的中小企业声明函内容不实的，属于提供虚假材料谋取中标、成交，依照《中华人民共和国政府采购法》等国家有关规定追究相应责任。</w:t>
      </w:r>
    </w:p>
    <w:p w14:paraId="6CF11832">
      <w:pPr>
        <w:pageBreakBefore w:val="0"/>
        <w:tabs>
          <w:tab w:val="left" w:pos="1494"/>
        </w:tabs>
        <w:kinsoku/>
        <w:wordWrap/>
        <w:overflowPunct/>
        <w:topLinePunct w:val="0"/>
        <w:bidi w:val="0"/>
        <w:ind w:left="420" w:leftChars="200" w:right="420" w:rightChars="200"/>
        <w:jc w:val="both"/>
        <w:rPr>
          <w:rFonts w:eastAsia="宋体"/>
          <w:szCs w:val="22"/>
        </w:rPr>
      </w:pPr>
    </w:p>
    <w:p w14:paraId="38BCAA1E">
      <w:pPr>
        <w:pageBreakBefore w:val="0"/>
        <w:tabs>
          <w:tab w:val="left" w:pos="1494"/>
        </w:tabs>
        <w:kinsoku/>
        <w:wordWrap/>
        <w:overflowPunct/>
        <w:topLinePunct w:val="0"/>
        <w:bidi w:val="0"/>
        <w:ind w:left="420" w:leftChars="200" w:right="420" w:rightChars="200"/>
        <w:jc w:val="both"/>
        <w:rPr>
          <w:rFonts w:eastAsia="宋体"/>
          <w:b/>
          <w:sz w:val="36"/>
        </w:rPr>
      </w:pPr>
    </w:p>
    <w:p w14:paraId="004478A7">
      <w:pPr>
        <w:pageBreakBefore w:val="0"/>
        <w:tabs>
          <w:tab w:val="left" w:pos="1494"/>
        </w:tabs>
        <w:kinsoku/>
        <w:wordWrap/>
        <w:overflowPunct/>
        <w:topLinePunct w:val="0"/>
        <w:bidi w:val="0"/>
        <w:ind w:left="420" w:leftChars="200" w:right="420" w:rightChars="200"/>
        <w:jc w:val="center"/>
        <w:rPr>
          <w:rFonts w:eastAsia="宋体"/>
          <w:b/>
          <w:sz w:val="36"/>
        </w:rPr>
      </w:pPr>
    </w:p>
    <w:p w14:paraId="2582E11F">
      <w:pPr>
        <w:pageBreakBefore w:val="0"/>
        <w:tabs>
          <w:tab w:val="left" w:pos="1494"/>
        </w:tabs>
        <w:kinsoku/>
        <w:wordWrap/>
        <w:overflowPunct/>
        <w:topLinePunct w:val="0"/>
        <w:bidi w:val="0"/>
        <w:ind w:left="420" w:leftChars="200" w:right="420" w:rightChars="200"/>
        <w:jc w:val="center"/>
        <w:rPr>
          <w:rFonts w:eastAsia="宋体"/>
          <w:b/>
          <w:sz w:val="36"/>
        </w:rPr>
      </w:pPr>
    </w:p>
    <w:p w14:paraId="6B53B7A5">
      <w:pPr>
        <w:pageBreakBefore w:val="0"/>
        <w:tabs>
          <w:tab w:val="left" w:pos="1494"/>
        </w:tabs>
        <w:kinsoku/>
        <w:wordWrap/>
        <w:overflowPunct/>
        <w:topLinePunct w:val="0"/>
        <w:bidi w:val="0"/>
        <w:spacing w:line="720" w:lineRule="auto"/>
        <w:ind w:left="420" w:leftChars="200" w:right="420" w:rightChars="200" w:firstLine="105" w:firstLineChars="50"/>
        <w:jc w:val="center"/>
        <w:rPr>
          <w:u w:val="single"/>
        </w:rPr>
      </w:pPr>
      <w:r>
        <w:rPr>
          <w:rFonts w:hint="eastAsia" w:eastAsia="宋体"/>
          <w:color w:val="000000"/>
        </w:rPr>
        <w:t xml:space="preserve">                  </w:t>
      </w:r>
      <w:r>
        <w:rPr>
          <w:rFonts w:hint="eastAsia"/>
        </w:rPr>
        <w:t>供应商盖章（盖单位公章）：</w:t>
      </w:r>
    </w:p>
    <w:p w14:paraId="1B4104D9">
      <w:pPr>
        <w:pageBreakBefore w:val="0"/>
        <w:tabs>
          <w:tab w:val="left" w:pos="1494"/>
        </w:tabs>
        <w:kinsoku/>
        <w:wordWrap/>
        <w:overflowPunct/>
        <w:topLinePunct w:val="0"/>
        <w:bidi w:val="0"/>
        <w:spacing w:line="720" w:lineRule="auto"/>
        <w:ind w:left="420" w:leftChars="200" w:right="420" w:rightChars="200"/>
        <w:rPr>
          <w:rFonts w:ascii="仿宋" w:hAnsi="仿宋" w:eastAsia="仿宋" w:cs="仿宋"/>
          <w:b w:val="0"/>
          <w:kern w:val="2"/>
          <w:sz w:val="24"/>
          <w:szCs w:val="24"/>
        </w:rPr>
      </w:pPr>
      <w:r>
        <w:rPr>
          <w:rFonts w:hint="eastAsia"/>
        </w:rPr>
        <w:t xml:space="preserve">                                         日  期：    年   月   日</w:t>
      </w:r>
    </w:p>
    <w:p w14:paraId="7224BDAA">
      <w:pPr>
        <w:pageBreakBefore w:val="0"/>
        <w:kinsoku/>
        <w:wordWrap/>
        <w:overflowPunct/>
        <w:topLinePunct w:val="0"/>
        <w:bidi w:val="0"/>
        <w:ind w:left="420" w:leftChars="200" w:right="420" w:rightChars="200"/>
        <w:rPr>
          <w:rFonts w:hint="eastAsia" w:eastAsia="宋体"/>
          <w:color w:val="000000"/>
          <w:highlight w:val="none"/>
        </w:rPr>
      </w:pPr>
    </w:p>
    <w:p w14:paraId="5B75437F">
      <w:pPr>
        <w:pStyle w:val="22"/>
        <w:pageBreakBefore w:val="0"/>
        <w:kinsoku/>
        <w:wordWrap/>
        <w:overflowPunct/>
        <w:topLinePunct w:val="0"/>
        <w:bidi w:val="0"/>
        <w:ind w:left="420" w:leftChars="200" w:right="420" w:rightChars="200"/>
        <w:rPr>
          <w:rFonts w:hint="eastAsia" w:ascii="宋体" w:eastAsia="宋体"/>
          <w:b/>
          <w:color w:val="000000"/>
          <w:sz w:val="28"/>
          <w:highlight w:val="none"/>
          <w:lang w:eastAsia="zh-CN"/>
        </w:rPr>
      </w:pPr>
      <w:r>
        <w:rPr>
          <w:rFonts w:hint="eastAsia" w:ascii="宋体" w:eastAsia="宋体"/>
          <w:b/>
          <w:color w:val="000000"/>
          <w:sz w:val="28"/>
          <w:highlight w:val="none"/>
          <w:lang w:eastAsia="zh-CN"/>
        </w:rPr>
        <w:br w:type="page"/>
      </w:r>
    </w:p>
    <w:p w14:paraId="2073CD7C">
      <w:pPr>
        <w:pStyle w:val="22"/>
        <w:pageBreakBefore w:val="0"/>
        <w:kinsoku/>
        <w:wordWrap/>
        <w:overflowPunct/>
        <w:topLinePunct w:val="0"/>
        <w:bidi w:val="0"/>
        <w:ind w:left="420" w:leftChars="200" w:right="420" w:rightChars="200"/>
        <w:jc w:val="center"/>
        <w:rPr>
          <w:rFonts w:hint="eastAsia" w:ascii="宋体" w:eastAsia="宋体"/>
          <w:b/>
          <w:color w:val="000000"/>
          <w:sz w:val="28"/>
          <w:highlight w:val="none"/>
          <w:lang w:eastAsia="zh-CN"/>
        </w:rPr>
      </w:pPr>
    </w:p>
    <w:p w14:paraId="0613B334">
      <w:pPr>
        <w:pStyle w:val="22"/>
        <w:pageBreakBefore w:val="0"/>
        <w:kinsoku/>
        <w:wordWrap/>
        <w:overflowPunct/>
        <w:topLinePunct w:val="0"/>
        <w:bidi w:val="0"/>
        <w:ind w:left="420" w:leftChars="200" w:right="420" w:rightChars="200"/>
        <w:jc w:val="center"/>
        <w:rPr>
          <w:rFonts w:hint="eastAsia" w:ascii="宋体" w:eastAsia="宋体"/>
          <w:b/>
          <w:color w:val="000000"/>
          <w:sz w:val="28"/>
          <w:highlight w:val="none"/>
          <w:lang w:eastAsia="zh-CN"/>
        </w:rPr>
      </w:pPr>
    </w:p>
    <w:p w14:paraId="2007FBFE">
      <w:pPr>
        <w:pStyle w:val="22"/>
        <w:pageBreakBefore w:val="0"/>
        <w:kinsoku/>
        <w:wordWrap/>
        <w:overflowPunct/>
        <w:topLinePunct w:val="0"/>
        <w:bidi w:val="0"/>
        <w:ind w:left="420" w:leftChars="200" w:right="420" w:rightChars="200"/>
        <w:jc w:val="center"/>
        <w:rPr>
          <w:rFonts w:hint="eastAsia"/>
          <w:color w:val="000000"/>
          <w:highlight w:val="none"/>
        </w:rPr>
      </w:pPr>
      <w:r>
        <w:rPr>
          <w:rFonts w:hint="eastAsia" w:ascii="宋体" w:eastAsia="宋体"/>
          <w:b/>
          <w:color w:val="000000"/>
          <w:sz w:val="28"/>
          <w:highlight w:val="none"/>
          <w:lang w:eastAsia="zh-CN"/>
        </w:rPr>
        <w:t>（</w:t>
      </w:r>
      <w:r>
        <w:rPr>
          <w:rFonts w:hint="eastAsia" w:ascii="宋体" w:eastAsia="宋体"/>
          <w:b/>
          <w:color w:val="000000"/>
          <w:sz w:val="28"/>
          <w:highlight w:val="none"/>
          <w:lang w:val="en-US" w:eastAsia="zh-CN"/>
        </w:rPr>
        <w:t>二</w:t>
      </w:r>
      <w:r>
        <w:rPr>
          <w:rFonts w:hint="eastAsia" w:ascii="宋体" w:eastAsia="宋体"/>
          <w:b/>
          <w:color w:val="000000"/>
          <w:sz w:val="28"/>
          <w:highlight w:val="none"/>
          <w:lang w:eastAsia="zh-CN"/>
        </w:rPr>
        <w:t>）</w:t>
      </w:r>
      <w:r>
        <w:rPr>
          <w:rFonts w:hint="eastAsia" w:ascii="宋体" w:eastAsia="宋体"/>
          <w:b/>
          <w:color w:val="000000"/>
          <w:sz w:val="28"/>
          <w:highlight w:val="none"/>
          <w:lang w:val="en-US" w:eastAsia="zh-CN"/>
        </w:rPr>
        <w:t>已标价的工程量清单</w:t>
      </w:r>
      <w:r>
        <w:rPr>
          <w:rFonts w:hint="eastAsia" w:ascii="宋体" w:eastAsia="宋体"/>
          <w:color w:val="000000"/>
          <w:highlight w:val="none"/>
        </w:rPr>
        <w:br w:type="page"/>
      </w:r>
    </w:p>
    <w:p w14:paraId="36C9C637">
      <w:pPr>
        <w:pageBreakBefore w:val="0"/>
        <w:kinsoku/>
        <w:wordWrap/>
        <w:overflowPunct/>
        <w:topLinePunct w:val="0"/>
        <w:bidi w:val="0"/>
        <w:spacing w:line="400" w:lineRule="exact"/>
        <w:ind w:left="420" w:leftChars="200" w:right="420" w:rightChars="200"/>
        <w:rPr>
          <w:rFonts w:hint="eastAsia" w:ascii="宋体"/>
          <w:b/>
          <w:color w:val="000000"/>
          <w:sz w:val="28"/>
          <w:highlight w:val="none"/>
        </w:rPr>
      </w:pPr>
    </w:p>
    <w:p w14:paraId="31589CAE">
      <w:pPr>
        <w:pageBreakBefore w:val="0"/>
        <w:kinsoku/>
        <w:wordWrap/>
        <w:overflowPunct/>
        <w:topLinePunct w:val="0"/>
        <w:bidi w:val="0"/>
        <w:spacing w:before="240" w:beforeLines="100" w:after="240" w:afterLines="100"/>
        <w:ind w:left="420" w:leftChars="200" w:right="420" w:rightChars="200"/>
        <w:jc w:val="center"/>
        <w:rPr>
          <w:rFonts w:hint="eastAsia" w:ascii="宋体"/>
          <w:b/>
          <w:color w:val="000000"/>
          <w:sz w:val="28"/>
          <w:szCs w:val="22"/>
          <w:highlight w:val="none"/>
        </w:rPr>
      </w:pPr>
      <w:bookmarkStart w:id="980" w:name="_Toc23742"/>
      <w:r>
        <w:rPr>
          <w:rFonts w:hint="eastAsia" w:ascii="宋体"/>
          <w:b/>
          <w:color w:val="000000"/>
          <w:sz w:val="28"/>
          <w:highlight w:val="none"/>
        </w:rPr>
        <w:t>（</w:t>
      </w:r>
      <w:r>
        <w:rPr>
          <w:rFonts w:hint="eastAsia" w:ascii="宋体"/>
          <w:b/>
          <w:color w:val="000000"/>
          <w:sz w:val="28"/>
          <w:highlight w:val="none"/>
          <w:lang w:val="en-US" w:eastAsia="zh-CN"/>
        </w:rPr>
        <w:t>三</w:t>
      </w:r>
      <w:r>
        <w:rPr>
          <w:rFonts w:hint="eastAsia" w:ascii="宋体"/>
          <w:b/>
          <w:color w:val="000000"/>
          <w:sz w:val="28"/>
          <w:highlight w:val="none"/>
        </w:rPr>
        <w:t>）</w:t>
      </w:r>
      <w:r>
        <w:rPr>
          <w:rFonts w:hint="eastAsia" w:ascii="宋体"/>
          <w:b/>
          <w:color w:val="000000"/>
          <w:sz w:val="28"/>
          <w:szCs w:val="22"/>
          <w:highlight w:val="none"/>
        </w:rPr>
        <w:t>中小企业声明函</w:t>
      </w:r>
    </w:p>
    <w:p w14:paraId="17318AD9">
      <w:pPr>
        <w:pageBreakBefore w:val="0"/>
        <w:kinsoku/>
        <w:wordWrap/>
        <w:overflowPunct/>
        <w:topLinePunct w:val="0"/>
        <w:bidi w:val="0"/>
        <w:spacing w:line="440" w:lineRule="exact"/>
        <w:ind w:left="420" w:leftChars="200" w:right="420" w:rightChars="200" w:firstLine="420" w:firstLineChars="200"/>
        <w:rPr>
          <w:color w:val="000000"/>
          <w:highlight w:val="none"/>
        </w:rPr>
      </w:pPr>
      <w:r>
        <w:rPr>
          <w:color w:val="000000"/>
          <w:highlight w:val="none"/>
        </w:rPr>
        <w:t>本公司郑重声明，根据《政府采购促进中小企业发展管理办法》（财库﹝2020﹞46 号）的规定，本公司参加</w:t>
      </w:r>
      <w:r>
        <w:rPr>
          <w:color w:val="000000"/>
          <w:highlight w:val="none"/>
          <w:u w:val="single"/>
        </w:rPr>
        <w:t>（单位名称）（项目名称）</w:t>
      </w:r>
      <w:r>
        <w:rPr>
          <w:color w:val="000000"/>
          <w:highlight w:val="none"/>
        </w:rPr>
        <w:t>采购活动，</w:t>
      </w:r>
      <w:r>
        <w:rPr>
          <w:rFonts w:hint="eastAsia"/>
          <w:color w:val="000000"/>
          <w:highlight w:val="none"/>
        </w:rPr>
        <w:t>工程的施工单位全部为符合政策要求的中小企业</w:t>
      </w:r>
      <w:r>
        <w:rPr>
          <w:color w:val="000000"/>
          <w:highlight w:val="none"/>
        </w:rPr>
        <w:t>。相关企业的具体情况如下：</w:t>
      </w:r>
    </w:p>
    <w:p w14:paraId="5097F425">
      <w:pPr>
        <w:pageBreakBefore w:val="0"/>
        <w:kinsoku/>
        <w:wordWrap/>
        <w:overflowPunct/>
        <w:topLinePunct w:val="0"/>
        <w:bidi w:val="0"/>
        <w:spacing w:line="440" w:lineRule="exact"/>
        <w:ind w:left="420" w:leftChars="200" w:right="420" w:rightChars="200" w:firstLine="420" w:firstLineChars="200"/>
        <w:rPr>
          <w:color w:val="000000"/>
          <w:highlight w:val="none"/>
        </w:rPr>
      </w:pPr>
      <w:r>
        <w:rPr>
          <w:color w:val="000000"/>
          <w:highlight w:val="none"/>
        </w:rPr>
        <w:t>1.</w:t>
      </w:r>
      <w:r>
        <w:rPr>
          <w:color w:val="000000"/>
          <w:highlight w:val="none"/>
          <w:u w:val="single"/>
        </w:rPr>
        <w:t>（</w:t>
      </w:r>
      <w:r>
        <w:rPr>
          <w:rFonts w:hint="eastAsia"/>
          <w:color w:val="000000"/>
          <w:szCs w:val="22"/>
          <w:highlight w:val="none"/>
          <w:u w:val="single"/>
          <w:lang w:eastAsia="zh-CN"/>
        </w:rPr>
        <w:t>宁海县一市镇中心学校塑胶跑道等维修工程</w:t>
      </w:r>
      <w:r>
        <w:rPr>
          <w:color w:val="000000"/>
          <w:szCs w:val="22"/>
          <w:highlight w:val="none"/>
          <w:u w:val="single"/>
        </w:rPr>
        <w:t>）</w:t>
      </w:r>
      <w:r>
        <w:rPr>
          <w:color w:val="000000"/>
          <w:highlight w:val="none"/>
        </w:rPr>
        <w:t>，属于</w:t>
      </w:r>
      <w:r>
        <w:rPr>
          <w:b/>
          <w:bCs/>
          <w:color w:val="000000"/>
          <w:highlight w:val="none"/>
          <w:u w:val="single"/>
        </w:rPr>
        <w:t>（</w:t>
      </w:r>
      <w:r>
        <w:rPr>
          <w:rFonts w:hint="eastAsia"/>
          <w:b/>
          <w:bCs/>
          <w:color w:val="000000"/>
          <w:highlight w:val="none"/>
          <w:u w:val="single"/>
        </w:rPr>
        <w:t>建筑业</w:t>
      </w:r>
      <w:r>
        <w:rPr>
          <w:b/>
          <w:bCs/>
          <w:color w:val="000000"/>
          <w:highlight w:val="none"/>
          <w:u w:val="single"/>
        </w:rPr>
        <w:t>）</w:t>
      </w:r>
      <w:r>
        <w:rPr>
          <w:color w:val="000000"/>
          <w:highlight w:val="none"/>
        </w:rPr>
        <w:t>；承接企业为</w:t>
      </w:r>
      <w:r>
        <w:rPr>
          <w:color w:val="000000"/>
          <w:highlight w:val="none"/>
          <w:u w:val="single"/>
        </w:rPr>
        <w:t>（企业名称）</w:t>
      </w:r>
      <w:r>
        <w:rPr>
          <w:color w:val="000000"/>
          <w:highlight w:val="none"/>
        </w:rPr>
        <w:t>，从业人员</w:t>
      </w:r>
      <w:r>
        <w:rPr>
          <w:color w:val="000000"/>
          <w:highlight w:val="none"/>
          <w:u w:val="single"/>
        </w:rPr>
        <w:t>   </w:t>
      </w:r>
      <w:r>
        <w:rPr>
          <w:rFonts w:hint="eastAsia"/>
          <w:color w:val="000000"/>
          <w:highlight w:val="none"/>
          <w:u w:val="single"/>
        </w:rPr>
        <w:t xml:space="preserve"> </w:t>
      </w:r>
      <w:r>
        <w:rPr>
          <w:color w:val="000000"/>
          <w:highlight w:val="none"/>
          <w:u w:val="single"/>
        </w:rPr>
        <w:t>人</w:t>
      </w:r>
      <w:r>
        <w:rPr>
          <w:color w:val="000000"/>
          <w:highlight w:val="none"/>
        </w:rPr>
        <w:t>，营业收入为 </w:t>
      </w:r>
      <w:r>
        <w:rPr>
          <w:color w:val="000000"/>
          <w:highlight w:val="none"/>
          <w:u w:val="single"/>
        </w:rPr>
        <w:t>  </w:t>
      </w:r>
      <w:r>
        <w:rPr>
          <w:rFonts w:hint="eastAsia"/>
          <w:color w:val="000000"/>
          <w:highlight w:val="none"/>
          <w:u w:val="single"/>
        </w:rPr>
        <w:t xml:space="preserve"> </w:t>
      </w:r>
      <w:r>
        <w:rPr>
          <w:color w:val="000000"/>
          <w:highlight w:val="none"/>
          <w:u w:val="single"/>
        </w:rPr>
        <w:t>万元</w:t>
      </w:r>
      <w:r>
        <w:rPr>
          <w:color w:val="000000"/>
          <w:highlight w:val="none"/>
        </w:rPr>
        <w:t>，资产总额为</w:t>
      </w:r>
      <w:r>
        <w:rPr>
          <w:color w:val="000000"/>
          <w:highlight w:val="none"/>
          <w:u w:val="single"/>
        </w:rPr>
        <w:t>   </w:t>
      </w:r>
      <w:r>
        <w:rPr>
          <w:rFonts w:hint="eastAsia"/>
          <w:color w:val="000000"/>
          <w:highlight w:val="none"/>
          <w:u w:val="single"/>
        </w:rPr>
        <w:t xml:space="preserve"> </w:t>
      </w:r>
      <w:r>
        <w:rPr>
          <w:color w:val="000000"/>
          <w:highlight w:val="none"/>
          <w:u w:val="single"/>
        </w:rPr>
        <w:t>万元</w:t>
      </w:r>
      <w:r>
        <w:rPr>
          <w:color w:val="000000"/>
          <w:highlight w:val="none"/>
        </w:rPr>
        <w:t>，属于</w:t>
      </w:r>
      <w:r>
        <w:rPr>
          <w:color w:val="000000"/>
          <w:highlight w:val="none"/>
          <w:u w:val="single"/>
        </w:rPr>
        <w:t>（中型企业、小型企业、微型企业）</w:t>
      </w:r>
      <w:r>
        <w:rPr>
          <w:color w:val="000000"/>
          <w:highlight w:val="none"/>
        </w:rPr>
        <w:t>；</w:t>
      </w:r>
    </w:p>
    <w:p w14:paraId="3ED4B9A1">
      <w:pPr>
        <w:pageBreakBefore w:val="0"/>
        <w:kinsoku/>
        <w:wordWrap/>
        <w:overflowPunct/>
        <w:topLinePunct w:val="0"/>
        <w:bidi w:val="0"/>
        <w:spacing w:line="440" w:lineRule="exact"/>
        <w:ind w:left="420" w:leftChars="200" w:right="420" w:rightChars="200" w:firstLine="420" w:firstLineChars="200"/>
        <w:rPr>
          <w:color w:val="000000"/>
          <w:highlight w:val="none"/>
        </w:rPr>
      </w:pPr>
      <w:r>
        <w:rPr>
          <w:color w:val="000000"/>
          <w:highlight w:val="none"/>
        </w:rPr>
        <w:t>以上企业，不属于大企业的分支机构，不存在控股股东为大企业的情形，也不存在与大企业的负责人为同一人的情形。</w:t>
      </w:r>
    </w:p>
    <w:p w14:paraId="118E53FC">
      <w:pPr>
        <w:pageBreakBefore w:val="0"/>
        <w:kinsoku/>
        <w:wordWrap/>
        <w:overflowPunct/>
        <w:topLinePunct w:val="0"/>
        <w:bidi w:val="0"/>
        <w:spacing w:line="440" w:lineRule="exact"/>
        <w:ind w:left="420" w:leftChars="200" w:right="420" w:rightChars="200" w:firstLine="420" w:firstLineChars="200"/>
        <w:rPr>
          <w:color w:val="000000"/>
          <w:highlight w:val="none"/>
        </w:rPr>
      </w:pPr>
      <w:r>
        <w:rPr>
          <w:color w:val="000000"/>
          <w:highlight w:val="none"/>
        </w:rPr>
        <w:t>本企业对上述声明内容的真实性负责。如有虚假，将依法承担相应责任。</w:t>
      </w:r>
    </w:p>
    <w:p w14:paraId="3C30D488">
      <w:pPr>
        <w:pageBreakBefore w:val="0"/>
        <w:kinsoku/>
        <w:wordWrap/>
        <w:overflowPunct/>
        <w:topLinePunct w:val="0"/>
        <w:bidi w:val="0"/>
        <w:spacing w:line="440" w:lineRule="exact"/>
        <w:ind w:left="420" w:leftChars="200" w:right="420" w:rightChars="200" w:firstLine="4515" w:firstLineChars="2150"/>
        <w:rPr>
          <w:color w:val="000000"/>
          <w:highlight w:val="none"/>
        </w:rPr>
      </w:pPr>
      <w:r>
        <w:rPr>
          <w:color w:val="000000"/>
          <w:highlight w:val="none"/>
        </w:rPr>
        <w:t>企业名称（盖章）：</w:t>
      </w:r>
    </w:p>
    <w:p w14:paraId="2FC2BB36">
      <w:pPr>
        <w:pageBreakBefore w:val="0"/>
        <w:kinsoku/>
        <w:wordWrap/>
        <w:overflowPunct/>
        <w:topLinePunct w:val="0"/>
        <w:bidi w:val="0"/>
        <w:spacing w:line="440" w:lineRule="exact"/>
        <w:ind w:left="420" w:leftChars="200" w:right="420" w:rightChars="200" w:firstLine="4515" w:firstLineChars="2150"/>
        <w:rPr>
          <w:color w:val="000000"/>
          <w:highlight w:val="none"/>
        </w:rPr>
      </w:pPr>
      <w:r>
        <w:rPr>
          <w:color w:val="000000"/>
          <w:highlight w:val="none"/>
        </w:rPr>
        <w:t>日 期：</w:t>
      </w:r>
    </w:p>
    <w:p w14:paraId="33377D02">
      <w:pPr>
        <w:pageBreakBefore w:val="0"/>
        <w:kinsoku/>
        <w:wordWrap/>
        <w:overflowPunct/>
        <w:topLinePunct w:val="0"/>
        <w:bidi w:val="0"/>
        <w:spacing w:line="360" w:lineRule="auto"/>
        <w:ind w:left="420" w:leftChars="200" w:right="420" w:rightChars="200"/>
        <w:rPr>
          <w:rFonts w:hint="eastAsia"/>
          <w:color w:val="000000"/>
          <w:highlight w:val="none"/>
        </w:rPr>
      </w:pPr>
    </w:p>
    <w:p w14:paraId="2B511FD9">
      <w:pPr>
        <w:pageBreakBefore w:val="0"/>
        <w:kinsoku/>
        <w:wordWrap/>
        <w:overflowPunct/>
        <w:topLinePunct w:val="0"/>
        <w:bidi w:val="0"/>
        <w:spacing w:line="360" w:lineRule="auto"/>
        <w:ind w:left="420" w:leftChars="200" w:right="420" w:rightChars="200"/>
        <w:rPr>
          <w:rFonts w:hint="eastAsia"/>
          <w:color w:val="000000"/>
          <w:highlight w:val="none"/>
        </w:rPr>
      </w:pPr>
      <w:r>
        <w:rPr>
          <w:rFonts w:hint="eastAsia"/>
          <w:color w:val="000000"/>
          <w:highlight w:val="none"/>
        </w:rPr>
        <w:t>注：</w:t>
      </w:r>
    </w:p>
    <w:p w14:paraId="6EC1507B">
      <w:pPr>
        <w:pageBreakBefore w:val="0"/>
        <w:kinsoku/>
        <w:wordWrap/>
        <w:overflowPunct/>
        <w:topLinePunct w:val="0"/>
        <w:bidi w:val="0"/>
        <w:spacing w:line="360" w:lineRule="auto"/>
        <w:ind w:left="420" w:leftChars="200" w:right="420" w:rightChars="200"/>
        <w:rPr>
          <w:rFonts w:hint="eastAsia"/>
          <w:color w:val="000000"/>
          <w:highlight w:val="none"/>
        </w:rPr>
      </w:pPr>
      <w:r>
        <w:rPr>
          <w:rFonts w:hint="eastAsia"/>
          <w:color w:val="000000"/>
          <w:highlight w:val="none"/>
        </w:rPr>
        <w:t>1）从业人员、营业收入、资产总额填报上一年度数据。无上一年度数据的新成立企业可不填报。</w:t>
      </w:r>
    </w:p>
    <w:p w14:paraId="451630AF">
      <w:pPr>
        <w:pageBreakBefore w:val="0"/>
        <w:kinsoku/>
        <w:wordWrap/>
        <w:overflowPunct/>
        <w:topLinePunct w:val="0"/>
        <w:bidi w:val="0"/>
        <w:spacing w:line="360" w:lineRule="auto"/>
        <w:ind w:left="420" w:leftChars="200" w:right="420" w:rightChars="200"/>
        <w:rPr>
          <w:rFonts w:hint="eastAsia"/>
          <w:color w:val="000000"/>
          <w:highlight w:val="none"/>
        </w:rPr>
      </w:pPr>
      <w:r>
        <w:rPr>
          <w:rFonts w:hint="eastAsia"/>
          <w:color w:val="000000"/>
          <w:highlight w:val="none"/>
        </w:rPr>
        <w:t>2）中小企业划型标准按工信部联企业〔2011〕300号文件，</w:t>
      </w:r>
      <w:r>
        <w:rPr>
          <w:rFonts w:hint="eastAsia"/>
          <w:b/>
          <w:bCs/>
          <w:color w:val="000000"/>
          <w:highlight w:val="none"/>
        </w:rPr>
        <w:t>中标单位的《中小企业</w:t>
      </w:r>
      <w:r>
        <w:rPr>
          <w:b/>
          <w:bCs/>
          <w:color w:val="000000"/>
          <w:highlight w:val="none"/>
        </w:rPr>
        <w:t>声明函</w:t>
      </w:r>
      <w:r>
        <w:rPr>
          <w:rFonts w:hint="eastAsia"/>
          <w:b/>
          <w:bCs/>
          <w:color w:val="000000"/>
          <w:highlight w:val="none"/>
        </w:rPr>
        <w:t>》将公示，提供虚假资料者责任自负。</w:t>
      </w:r>
    </w:p>
    <w:p w14:paraId="57204531">
      <w:pPr>
        <w:pageBreakBefore w:val="0"/>
        <w:kinsoku/>
        <w:wordWrap/>
        <w:overflowPunct/>
        <w:topLinePunct w:val="0"/>
        <w:bidi w:val="0"/>
        <w:spacing w:line="360" w:lineRule="auto"/>
        <w:ind w:left="420" w:leftChars="200" w:right="420" w:rightChars="200"/>
        <w:rPr>
          <w:rFonts w:hint="eastAsia" w:ascii="宋体" w:hAnsi="宋体" w:cs="宋体"/>
          <w:color w:val="000000"/>
          <w:szCs w:val="21"/>
          <w:highlight w:val="none"/>
        </w:rPr>
      </w:pPr>
      <w:r>
        <w:rPr>
          <w:rFonts w:hint="eastAsia"/>
          <w:color w:val="000000"/>
          <w:highlight w:val="none"/>
        </w:rPr>
        <w:t>3）本项目为专门面向中小企业采购，必须提供符合要求的《中小企业声明函》，</w:t>
      </w:r>
      <w:r>
        <w:rPr>
          <w:rFonts w:hint="eastAsia" w:ascii="宋体" w:hAnsi="宋体" w:cs="宋体"/>
          <w:color w:val="000000"/>
          <w:szCs w:val="21"/>
          <w:highlight w:val="none"/>
        </w:rPr>
        <w:t>残疾人福利性单位或监狱企业视同小微企业。</w:t>
      </w:r>
    </w:p>
    <w:p w14:paraId="7245A954">
      <w:pPr>
        <w:pStyle w:val="635"/>
        <w:pageBreakBefore w:val="0"/>
        <w:kinsoku/>
        <w:wordWrap/>
        <w:overflowPunct/>
        <w:topLinePunct w:val="0"/>
        <w:bidi w:val="0"/>
        <w:ind w:left="420" w:leftChars="200" w:right="420" w:rightChars="200"/>
        <w:rPr>
          <w:rFonts w:hint="eastAsia" w:ascii="宋体"/>
          <w:b/>
          <w:color w:val="000000"/>
          <w:sz w:val="28"/>
          <w:highlight w:val="none"/>
        </w:rPr>
      </w:pPr>
    </w:p>
    <w:tbl>
      <w:tblPr>
        <w:tblStyle w:val="60"/>
        <w:tblW w:w="0" w:type="auto"/>
        <w:jc w:val="center"/>
        <w:tblLayout w:type="fixed"/>
        <w:tblCellMar>
          <w:top w:w="0" w:type="dxa"/>
          <w:left w:w="108" w:type="dxa"/>
          <w:bottom w:w="0" w:type="dxa"/>
          <w:right w:w="108" w:type="dxa"/>
        </w:tblCellMar>
      </w:tblPr>
      <w:tblGrid>
        <w:gridCol w:w="2113"/>
        <w:gridCol w:w="1369"/>
        <w:gridCol w:w="709"/>
        <w:gridCol w:w="1125"/>
        <w:gridCol w:w="1701"/>
        <w:gridCol w:w="1426"/>
        <w:gridCol w:w="992"/>
      </w:tblGrid>
      <w:tr w14:paraId="043A012D">
        <w:tblPrEx>
          <w:tblCellMar>
            <w:top w:w="0" w:type="dxa"/>
            <w:left w:w="108" w:type="dxa"/>
            <w:bottom w:w="0" w:type="dxa"/>
            <w:right w:w="108" w:type="dxa"/>
          </w:tblCellMar>
        </w:tblPrEx>
        <w:trPr>
          <w:trHeight w:val="977" w:hRule="exact"/>
          <w:jc w:val="center"/>
        </w:trPr>
        <w:tc>
          <w:tcPr>
            <w:tcW w:w="2113" w:type="dxa"/>
            <w:tcBorders>
              <w:top w:val="single" w:color="auto" w:sz="4" w:space="0"/>
              <w:left w:val="nil"/>
              <w:bottom w:val="single" w:color="auto" w:sz="4" w:space="0"/>
              <w:right w:val="single" w:color="auto" w:sz="4" w:space="0"/>
            </w:tcBorders>
            <w:noWrap w:val="0"/>
            <w:vAlign w:val="center"/>
          </w:tcPr>
          <w:p w14:paraId="1A339E67">
            <w:pPr>
              <w:pageBreakBefore w:val="0"/>
              <w:widowControl/>
              <w:kinsoku/>
              <w:wordWrap/>
              <w:overflowPunct/>
              <w:topLinePunct w:val="0"/>
              <w:bidi w:val="0"/>
              <w:spacing w:line="240" w:lineRule="exact"/>
              <w:ind w:left="420" w:leftChars="200" w:right="420" w:rightChars="200"/>
              <w:jc w:val="center"/>
              <w:rPr>
                <w:rFonts w:ascii="宋体" w:hAnsi="宋体" w:cs="宋体"/>
                <w:b/>
                <w:bCs/>
                <w:color w:val="000000"/>
                <w:kern w:val="0"/>
                <w:sz w:val="18"/>
                <w:szCs w:val="21"/>
                <w:highlight w:val="none"/>
              </w:rPr>
            </w:pPr>
            <w:r>
              <w:rPr>
                <w:rFonts w:hint="eastAsia" w:ascii="宋体" w:hAnsi="宋体" w:cs="宋体"/>
                <w:b/>
                <w:bCs/>
                <w:color w:val="000000"/>
                <w:kern w:val="0"/>
                <w:sz w:val="18"/>
                <w:szCs w:val="21"/>
                <w:highlight w:val="none"/>
              </w:rPr>
              <w:t>行业名称</w:t>
            </w:r>
          </w:p>
        </w:tc>
        <w:tc>
          <w:tcPr>
            <w:tcW w:w="1369" w:type="dxa"/>
            <w:tcBorders>
              <w:top w:val="single" w:color="auto" w:sz="4" w:space="0"/>
              <w:left w:val="nil"/>
              <w:bottom w:val="single" w:color="auto" w:sz="4" w:space="0"/>
              <w:right w:val="single" w:color="auto" w:sz="4" w:space="0"/>
            </w:tcBorders>
            <w:noWrap w:val="0"/>
            <w:vAlign w:val="center"/>
          </w:tcPr>
          <w:p w14:paraId="48257D38">
            <w:pPr>
              <w:pageBreakBefore w:val="0"/>
              <w:widowControl/>
              <w:kinsoku/>
              <w:wordWrap/>
              <w:overflowPunct/>
              <w:topLinePunct w:val="0"/>
              <w:bidi w:val="0"/>
              <w:ind w:left="420" w:leftChars="200" w:right="420" w:rightChars="200"/>
              <w:jc w:val="center"/>
              <w:rPr>
                <w:rFonts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指标名称</w:t>
            </w:r>
          </w:p>
        </w:tc>
        <w:tc>
          <w:tcPr>
            <w:tcW w:w="709" w:type="dxa"/>
            <w:tcBorders>
              <w:top w:val="single" w:color="auto" w:sz="4" w:space="0"/>
              <w:left w:val="nil"/>
              <w:bottom w:val="single" w:color="auto" w:sz="4" w:space="0"/>
              <w:right w:val="single" w:color="auto" w:sz="4" w:space="0"/>
            </w:tcBorders>
            <w:noWrap w:val="0"/>
            <w:vAlign w:val="center"/>
          </w:tcPr>
          <w:p w14:paraId="1C7122EB">
            <w:pPr>
              <w:pageBreakBefore w:val="0"/>
              <w:widowControl/>
              <w:kinsoku/>
              <w:wordWrap/>
              <w:overflowPunct/>
              <w:topLinePunct w:val="0"/>
              <w:bidi w:val="0"/>
              <w:ind w:right="420" w:rightChars="200"/>
              <w:jc w:val="both"/>
              <w:rPr>
                <w:rFonts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计量</w:t>
            </w:r>
            <w:r>
              <w:rPr>
                <w:rFonts w:hint="eastAsia" w:ascii="宋体" w:hAnsi="宋体" w:cs="宋体"/>
                <w:b/>
                <w:bCs/>
                <w:color w:val="000000"/>
                <w:kern w:val="0"/>
                <w:sz w:val="18"/>
                <w:szCs w:val="18"/>
                <w:highlight w:val="none"/>
              </w:rPr>
              <w:br w:type="textWrapping"/>
            </w:r>
            <w:r>
              <w:rPr>
                <w:rFonts w:hint="eastAsia" w:ascii="宋体" w:hAnsi="宋体" w:cs="宋体"/>
                <w:b/>
                <w:bCs/>
                <w:color w:val="000000"/>
                <w:kern w:val="0"/>
                <w:sz w:val="18"/>
                <w:szCs w:val="18"/>
                <w:highlight w:val="none"/>
              </w:rPr>
              <w:t>单位</w:t>
            </w:r>
          </w:p>
        </w:tc>
        <w:tc>
          <w:tcPr>
            <w:tcW w:w="1125" w:type="dxa"/>
            <w:tcBorders>
              <w:top w:val="single" w:color="auto" w:sz="4" w:space="0"/>
              <w:left w:val="nil"/>
              <w:bottom w:val="single" w:color="auto" w:sz="4" w:space="0"/>
              <w:right w:val="single" w:color="auto" w:sz="4" w:space="0"/>
            </w:tcBorders>
            <w:noWrap w:val="0"/>
            <w:vAlign w:val="center"/>
          </w:tcPr>
          <w:p w14:paraId="11AC776A">
            <w:pPr>
              <w:pageBreakBefore w:val="0"/>
              <w:widowControl/>
              <w:kinsoku/>
              <w:wordWrap/>
              <w:overflowPunct/>
              <w:topLinePunct w:val="0"/>
              <w:bidi w:val="0"/>
              <w:ind w:left="420" w:leftChars="200" w:right="420" w:rightChars="200"/>
              <w:jc w:val="center"/>
              <w:rPr>
                <w:rFonts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大型</w:t>
            </w:r>
          </w:p>
        </w:tc>
        <w:tc>
          <w:tcPr>
            <w:tcW w:w="1701" w:type="dxa"/>
            <w:tcBorders>
              <w:top w:val="single" w:color="auto" w:sz="4" w:space="0"/>
              <w:left w:val="nil"/>
              <w:bottom w:val="single" w:color="auto" w:sz="4" w:space="0"/>
              <w:right w:val="single" w:color="auto" w:sz="4" w:space="0"/>
            </w:tcBorders>
            <w:noWrap w:val="0"/>
            <w:vAlign w:val="center"/>
          </w:tcPr>
          <w:p w14:paraId="4C129D85">
            <w:pPr>
              <w:pageBreakBefore w:val="0"/>
              <w:widowControl/>
              <w:kinsoku/>
              <w:wordWrap/>
              <w:overflowPunct/>
              <w:topLinePunct w:val="0"/>
              <w:bidi w:val="0"/>
              <w:ind w:left="420" w:leftChars="200" w:right="420" w:rightChars="200"/>
              <w:jc w:val="center"/>
              <w:rPr>
                <w:rFonts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中型</w:t>
            </w:r>
          </w:p>
        </w:tc>
        <w:tc>
          <w:tcPr>
            <w:tcW w:w="1426" w:type="dxa"/>
            <w:tcBorders>
              <w:top w:val="single" w:color="auto" w:sz="4" w:space="0"/>
              <w:left w:val="nil"/>
              <w:bottom w:val="single" w:color="auto" w:sz="4" w:space="0"/>
              <w:right w:val="single" w:color="auto" w:sz="4" w:space="0"/>
            </w:tcBorders>
            <w:noWrap w:val="0"/>
            <w:vAlign w:val="center"/>
          </w:tcPr>
          <w:p w14:paraId="0BC62030">
            <w:pPr>
              <w:pageBreakBefore w:val="0"/>
              <w:widowControl/>
              <w:kinsoku/>
              <w:wordWrap/>
              <w:overflowPunct/>
              <w:topLinePunct w:val="0"/>
              <w:bidi w:val="0"/>
              <w:ind w:left="420" w:leftChars="200" w:right="420" w:rightChars="200"/>
              <w:jc w:val="center"/>
              <w:rPr>
                <w:rFonts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小型</w:t>
            </w:r>
          </w:p>
        </w:tc>
        <w:tc>
          <w:tcPr>
            <w:tcW w:w="992" w:type="dxa"/>
            <w:tcBorders>
              <w:top w:val="single" w:color="auto" w:sz="4" w:space="0"/>
              <w:left w:val="nil"/>
              <w:bottom w:val="single" w:color="auto" w:sz="4" w:space="0"/>
              <w:right w:val="nil"/>
            </w:tcBorders>
            <w:noWrap w:val="0"/>
            <w:vAlign w:val="center"/>
          </w:tcPr>
          <w:p w14:paraId="174E7338">
            <w:pPr>
              <w:pageBreakBefore w:val="0"/>
              <w:widowControl/>
              <w:kinsoku/>
              <w:wordWrap/>
              <w:overflowPunct/>
              <w:topLinePunct w:val="0"/>
              <w:bidi w:val="0"/>
              <w:ind w:left="420" w:leftChars="200" w:right="420" w:rightChars="200"/>
              <w:jc w:val="center"/>
              <w:rPr>
                <w:rFonts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微型</w:t>
            </w:r>
          </w:p>
        </w:tc>
      </w:tr>
      <w:tr w14:paraId="3158A47F">
        <w:tblPrEx>
          <w:tblCellMar>
            <w:top w:w="0" w:type="dxa"/>
            <w:left w:w="108" w:type="dxa"/>
            <w:bottom w:w="0" w:type="dxa"/>
            <w:right w:w="108" w:type="dxa"/>
          </w:tblCellMar>
        </w:tblPrEx>
        <w:trPr>
          <w:trHeight w:val="1522" w:hRule="exact"/>
          <w:jc w:val="center"/>
        </w:trPr>
        <w:tc>
          <w:tcPr>
            <w:tcW w:w="2113" w:type="dxa"/>
            <w:vMerge w:val="restart"/>
            <w:tcBorders>
              <w:top w:val="nil"/>
              <w:left w:val="nil"/>
              <w:bottom w:val="single" w:color="auto" w:sz="4" w:space="0"/>
              <w:right w:val="single" w:color="auto" w:sz="4" w:space="0"/>
            </w:tcBorders>
            <w:noWrap w:val="0"/>
            <w:vAlign w:val="center"/>
          </w:tcPr>
          <w:p w14:paraId="0D5E4DE7">
            <w:pPr>
              <w:pageBreakBefore w:val="0"/>
              <w:widowControl/>
              <w:kinsoku/>
              <w:wordWrap/>
              <w:overflowPunct/>
              <w:topLinePunct w:val="0"/>
              <w:bidi w:val="0"/>
              <w:spacing w:line="240" w:lineRule="exact"/>
              <w:ind w:left="420" w:leftChars="200" w:right="420" w:rightChars="200"/>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建筑业</w:t>
            </w:r>
          </w:p>
        </w:tc>
        <w:tc>
          <w:tcPr>
            <w:tcW w:w="1369" w:type="dxa"/>
            <w:tcBorders>
              <w:top w:val="nil"/>
              <w:left w:val="nil"/>
              <w:bottom w:val="nil"/>
              <w:right w:val="single" w:color="auto" w:sz="4" w:space="0"/>
            </w:tcBorders>
            <w:noWrap w:val="0"/>
            <w:vAlign w:val="center"/>
          </w:tcPr>
          <w:p w14:paraId="2AD2C20B">
            <w:pPr>
              <w:pageBreakBefore w:val="0"/>
              <w:widowControl/>
              <w:kinsoku/>
              <w:wordWrap/>
              <w:overflowPunct/>
              <w:topLinePunct w:val="0"/>
              <w:bidi w:val="0"/>
              <w:ind w:left="420" w:leftChars="200" w:right="420" w:rightChars="200"/>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营业收入(Y)</w:t>
            </w:r>
          </w:p>
        </w:tc>
        <w:tc>
          <w:tcPr>
            <w:tcW w:w="709" w:type="dxa"/>
            <w:tcBorders>
              <w:top w:val="nil"/>
              <w:left w:val="nil"/>
              <w:bottom w:val="nil"/>
              <w:right w:val="single" w:color="auto" w:sz="4" w:space="0"/>
            </w:tcBorders>
            <w:noWrap w:val="0"/>
            <w:vAlign w:val="center"/>
          </w:tcPr>
          <w:p w14:paraId="46C7D238">
            <w:pPr>
              <w:pageBreakBefore w:val="0"/>
              <w:widowControl/>
              <w:kinsoku/>
              <w:wordWrap/>
              <w:overflowPunct/>
              <w:topLinePunct w:val="0"/>
              <w:bidi w:val="0"/>
              <w:ind w:right="420" w:rightChars="200"/>
              <w:jc w:val="both"/>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万元</w:t>
            </w:r>
          </w:p>
        </w:tc>
        <w:tc>
          <w:tcPr>
            <w:tcW w:w="1125" w:type="dxa"/>
            <w:tcBorders>
              <w:top w:val="nil"/>
              <w:left w:val="nil"/>
              <w:bottom w:val="nil"/>
              <w:right w:val="single" w:color="auto" w:sz="4" w:space="0"/>
            </w:tcBorders>
            <w:noWrap w:val="0"/>
            <w:vAlign w:val="center"/>
          </w:tcPr>
          <w:p w14:paraId="619F3A25">
            <w:pPr>
              <w:pageBreakBefore w:val="0"/>
              <w:widowControl/>
              <w:kinsoku/>
              <w:wordWrap/>
              <w:overflowPunct/>
              <w:topLinePunct w:val="0"/>
              <w:bidi w:val="0"/>
              <w:ind w:left="420" w:leftChars="200" w:right="420" w:rightChars="200"/>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Y≥80000</w:t>
            </w:r>
          </w:p>
        </w:tc>
        <w:tc>
          <w:tcPr>
            <w:tcW w:w="1701" w:type="dxa"/>
            <w:tcBorders>
              <w:top w:val="nil"/>
              <w:left w:val="nil"/>
              <w:bottom w:val="nil"/>
              <w:right w:val="single" w:color="auto" w:sz="4" w:space="0"/>
            </w:tcBorders>
            <w:noWrap w:val="0"/>
            <w:vAlign w:val="center"/>
          </w:tcPr>
          <w:p w14:paraId="69F6CAE0">
            <w:pPr>
              <w:pageBreakBefore w:val="0"/>
              <w:widowControl/>
              <w:kinsoku/>
              <w:wordWrap/>
              <w:overflowPunct/>
              <w:topLinePunct w:val="0"/>
              <w:bidi w:val="0"/>
              <w:ind w:left="420" w:leftChars="200" w:right="420" w:rightChars="200"/>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6000≤Y＜80000</w:t>
            </w:r>
          </w:p>
        </w:tc>
        <w:tc>
          <w:tcPr>
            <w:tcW w:w="1426" w:type="dxa"/>
            <w:tcBorders>
              <w:top w:val="nil"/>
              <w:left w:val="nil"/>
              <w:bottom w:val="nil"/>
              <w:right w:val="single" w:color="auto" w:sz="4" w:space="0"/>
            </w:tcBorders>
            <w:noWrap w:val="0"/>
            <w:vAlign w:val="center"/>
          </w:tcPr>
          <w:p w14:paraId="5EC51ADD">
            <w:pPr>
              <w:pageBreakBefore w:val="0"/>
              <w:widowControl/>
              <w:kinsoku/>
              <w:wordWrap/>
              <w:overflowPunct/>
              <w:topLinePunct w:val="0"/>
              <w:bidi w:val="0"/>
              <w:ind w:left="420" w:leftChars="200" w:right="420" w:rightChars="200"/>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 xml:space="preserve"> 300≤Y＜6000</w:t>
            </w:r>
          </w:p>
        </w:tc>
        <w:tc>
          <w:tcPr>
            <w:tcW w:w="992" w:type="dxa"/>
            <w:tcBorders>
              <w:top w:val="nil"/>
              <w:left w:val="nil"/>
              <w:bottom w:val="nil"/>
              <w:right w:val="nil"/>
            </w:tcBorders>
            <w:noWrap w:val="0"/>
            <w:vAlign w:val="center"/>
          </w:tcPr>
          <w:p w14:paraId="18913B91">
            <w:pPr>
              <w:pageBreakBefore w:val="0"/>
              <w:widowControl/>
              <w:kinsoku/>
              <w:wordWrap/>
              <w:overflowPunct/>
              <w:topLinePunct w:val="0"/>
              <w:bidi w:val="0"/>
              <w:ind w:left="420" w:leftChars="200" w:right="420" w:rightChars="200"/>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Y＜300</w:t>
            </w:r>
          </w:p>
        </w:tc>
      </w:tr>
      <w:tr w14:paraId="3609F51A">
        <w:tblPrEx>
          <w:tblCellMar>
            <w:top w:w="0" w:type="dxa"/>
            <w:left w:w="108" w:type="dxa"/>
            <w:bottom w:w="0" w:type="dxa"/>
            <w:right w:w="108" w:type="dxa"/>
          </w:tblCellMar>
        </w:tblPrEx>
        <w:trPr>
          <w:trHeight w:val="1961" w:hRule="exact"/>
          <w:jc w:val="center"/>
        </w:trPr>
        <w:tc>
          <w:tcPr>
            <w:tcW w:w="2113" w:type="dxa"/>
            <w:vMerge w:val="continue"/>
            <w:tcBorders>
              <w:top w:val="nil"/>
              <w:left w:val="nil"/>
              <w:bottom w:val="single" w:color="auto" w:sz="4" w:space="0"/>
              <w:right w:val="single" w:color="auto" w:sz="4" w:space="0"/>
            </w:tcBorders>
            <w:noWrap w:val="0"/>
            <w:vAlign w:val="center"/>
          </w:tcPr>
          <w:p w14:paraId="63B784D6">
            <w:pPr>
              <w:pageBreakBefore w:val="0"/>
              <w:widowControl/>
              <w:kinsoku/>
              <w:wordWrap/>
              <w:overflowPunct/>
              <w:topLinePunct w:val="0"/>
              <w:bidi w:val="0"/>
              <w:ind w:left="420" w:leftChars="200" w:right="420" w:rightChars="200"/>
              <w:jc w:val="left"/>
              <w:rPr>
                <w:rFonts w:ascii="宋体" w:hAnsi="宋体" w:cs="宋体"/>
                <w:color w:val="000000"/>
                <w:kern w:val="0"/>
                <w:sz w:val="18"/>
                <w:szCs w:val="18"/>
                <w:highlight w:val="none"/>
              </w:rPr>
            </w:pPr>
          </w:p>
        </w:tc>
        <w:tc>
          <w:tcPr>
            <w:tcW w:w="1369" w:type="dxa"/>
            <w:tcBorders>
              <w:top w:val="nil"/>
              <w:left w:val="nil"/>
              <w:bottom w:val="single" w:color="auto" w:sz="4" w:space="0"/>
              <w:right w:val="single" w:color="auto" w:sz="4" w:space="0"/>
            </w:tcBorders>
            <w:noWrap w:val="0"/>
            <w:vAlign w:val="center"/>
          </w:tcPr>
          <w:p w14:paraId="348DE9F4">
            <w:pPr>
              <w:pageBreakBefore w:val="0"/>
              <w:widowControl/>
              <w:kinsoku/>
              <w:wordWrap/>
              <w:overflowPunct/>
              <w:topLinePunct w:val="0"/>
              <w:bidi w:val="0"/>
              <w:spacing w:line="240" w:lineRule="exact"/>
              <w:ind w:left="420" w:leftChars="200" w:right="420" w:rightChars="200"/>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资产总额(Z)</w:t>
            </w:r>
          </w:p>
        </w:tc>
        <w:tc>
          <w:tcPr>
            <w:tcW w:w="709" w:type="dxa"/>
            <w:tcBorders>
              <w:top w:val="nil"/>
              <w:left w:val="nil"/>
              <w:bottom w:val="single" w:color="auto" w:sz="4" w:space="0"/>
              <w:right w:val="single" w:color="auto" w:sz="4" w:space="0"/>
            </w:tcBorders>
            <w:noWrap w:val="0"/>
            <w:vAlign w:val="center"/>
          </w:tcPr>
          <w:p w14:paraId="25AD1971">
            <w:pPr>
              <w:pageBreakBefore w:val="0"/>
              <w:widowControl/>
              <w:kinsoku/>
              <w:wordWrap/>
              <w:overflowPunct/>
              <w:topLinePunct w:val="0"/>
              <w:bidi w:val="0"/>
              <w:ind w:right="420" w:rightChars="200"/>
              <w:jc w:val="both"/>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万元</w:t>
            </w:r>
          </w:p>
        </w:tc>
        <w:tc>
          <w:tcPr>
            <w:tcW w:w="1125" w:type="dxa"/>
            <w:tcBorders>
              <w:top w:val="nil"/>
              <w:left w:val="nil"/>
              <w:bottom w:val="single" w:color="auto" w:sz="4" w:space="0"/>
              <w:right w:val="single" w:color="auto" w:sz="4" w:space="0"/>
            </w:tcBorders>
            <w:noWrap w:val="0"/>
            <w:vAlign w:val="center"/>
          </w:tcPr>
          <w:p w14:paraId="6C168AA2">
            <w:pPr>
              <w:pageBreakBefore w:val="0"/>
              <w:widowControl/>
              <w:kinsoku/>
              <w:wordWrap/>
              <w:overflowPunct/>
              <w:topLinePunct w:val="0"/>
              <w:bidi w:val="0"/>
              <w:ind w:left="420" w:leftChars="200" w:right="420" w:rightChars="200"/>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Z≥80000</w:t>
            </w:r>
          </w:p>
        </w:tc>
        <w:tc>
          <w:tcPr>
            <w:tcW w:w="1701" w:type="dxa"/>
            <w:tcBorders>
              <w:top w:val="nil"/>
              <w:left w:val="nil"/>
              <w:bottom w:val="single" w:color="auto" w:sz="4" w:space="0"/>
              <w:right w:val="single" w:color="auto" w:sz="4" w:space="0"/>
            </w:tcBorders>
            <w:noWrap w:val="0"/>
            <w:vAlign w:val="center"/>
          </w:tcPr>
          <w:p w14:paraId="3C938984">
            <w:pPr>
              <w:pageBreakBefore w:val="0"/>
              <w:widowControl/>
              <w:kinsoku/>
              <w:wordWrap/>
              <w:overflowPunct/>
              <w:topLinePunct w:val="0"/>
              <w:bidi w:val="0"/>
              <w:ind w:left="420" w:leftChars="200" w:right="420" w:rightChars="200"/>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5000≤Z＜80000</w:t>
            </w:r>
          </w:p>
        </w:tc>
        <w:tc>
          <w:tcPr>
            <w:tcW w:w="1426" w:type="dxa"/>
            <w:tcBorders>
              <w:top w:val="nil"/>
              <w:left w:val="nil"/>
              <w:bottom w:val="single" w:color="auto" w:sz="4" w:space="0"/>
              <w:right w:val="single" w:color="auto" w:sz="4" w:space="0"/>
            </w:tcBorders>
            <w:noWrap w:val="0"/>
            <w:vAlign w:val="center"/>
          </w:tcPr>
          <w:p w14:paraId="61ECF83B">
            <w:pPr>
              <w:pageBreakBefore w:val="0"/>
              <w:widowControl/>
              <w:kinsoku/>
              <w:wordWrap/>
              <w:overflowPunct/>
              <w:topLinePunct w:val="0"/>
              <w:bidi w:val="0"/>
              <w:ind w:left="420" w:leftChars="200" w:right="420" w:rightChars="200"/>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 xml:space="preserve"> 300≤Z＜5000</w:t>
            </w:r>
          </w:p>
        </w:tc>
        <w:tc>
          <w:tcPr>
            <w:tcW w:w="992" w:type="dxa"/>
            <w:tcBorders>
              <w:top w:val="nil"/>
              <w:left w:val="nil"/>
              <w:bottom w:val="single" w:color="auto" w:sz="4" w:space="0"/>
              <w:right w:val="nil"/>
            </w:tcBorders>
            <w:noWrap w:val="0"/>
            <w:vAlign w:val="center"/>
          </w:tcPr>
          <w:p w14:paraId="77254D59">
            <w:pPr>
              <w:pageBreakBefore w:val="0"/>
              <w:widowControl/>
              <w:kinsoku/>
              <w:wordWrap/>
              <w:overflowPunct/>
              <w:topLinePunct w:val="0"/>
              <w:bidi w:val="0"/>
              <w:ind w:left="420" w:leftChars="200" w:right="420" w:rightChars="200"/>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Z＜300</w:t>
            </w:r>
          </w:p>
        </w:tc>
      </w:tr>
    </w:tbl>
    <w:p w14:paraId="72C92FCD">
      <w:pPr>
        <w:pStyle w:val="635"/>
        <w:pageBreakBefore w:val="0"/>
        <w:kinsoku/>
        <w:wordWrap/>
        <w:overflowPunct/>
        <w:topLinePunct w:val="0"/>
        <w:bidi w:val="0"/>
        <w:ind w:left="420" w:leftChars="200" w:right="420" w:rightChars="200"/>
        <w:rPr>
          <w:rFonts w:hint="eastAsia" w:ascii="宋体"/>
          <w:b/>
          <w:color w:val="000000"/>
          <w:sz w:val="28"/>
          <w:highlight w:val="none"/>
        </w:rPr>
      </w:pPr>
      <w:r>
        <w:rPr>
          <w:rFonts w:hint="eastAsia" w:ascii="宋体"/>
          <w:b/>
          <w:color w:val="000000"/>
          <w:sz w:val="28"/>
          <w:highlight w:val="none"/>
        </w:rPr>
        <w:br w:type="page"/>
      </w:r>
    </w:p>
    <w:p w14:paraId="700372C1">
      <w:pPr>
        <w:pageBreakBefore w:val="0"/>
        <w:kinsoku/>
        <w:wordWrap/>
        <w:overflowPunct/>
        <w:topLinePunct w:val="0"/>
        <w:bidi w:val="0"/>
        <w:ind w:left="420" w:leftChars="200" w:right="420" w:rightChars="200"/>
        <w:rPr>
          <w:rFonts w:hint="eastAsia"/>
          <w:color w:val="000000"/>
          <w:highlight w:val="none"/>
        </w:rPr>
      </w:pPr>
    </w:p>
    <w:p w14:paraId="46A2FE3A">
      <w:pPr>
        <w:pageBreakBefore w:val="0"/>
        <w:kinsoku/>
        <w:wordWrap/>
        <w:overflowPunct/>
        <w:topLinePunct w:val="0"/>
        <w:bidi w:val="0"/>
        <w:ind w:left="420" w:leftChars="200" w:right="420" w:rightChars="200"/>
        <w:jc w:val="center"/>
        <w:rPr>
          <w:rFonts w:hint="eastAsia"/>
          <w:b/>
          <w:color w:val="000000"/>
          <w:kern w:val="2"/>
          <w:sz w:val="28"/>
          <w:szCs w:val="28"/>
          <w:highlight w:val="none"/>
          <w:lang w:val="en-US" w:eastAsia="zh-CN" w:bidi="ar-SA"/>
        </w:rPr>
      </w:pPr>
    </w:p>
    <w:p w14:paraId="509E0AE7">
      <w:pPr>
        <w:pageBreakBefore w:val="0"/>
        <w:kinsoku/>
        <w:wordWrap/>
        <w:overflowPunct/>
        <w:topLinePunct w:val="0"/>
        <w:bidi w:val="0"/>
        <w:ind w:left="420" w:leftChars="200" w:right="420" w:rightChars="200"/>
        <w:jc w:val="center"/>
        <w:rPr>
          <w:color w:val="000000"/>
          <w:sz w:val="32"/>
          <w:szCs w:val="32"/>
          <w:highlight w:val="none"/>
        </w:rPr>
      </w:pPr>
      <w:r>
        <w:rPr>
          <w:rFonts w:hint="eastAsia"/>
          <w:b/>
          <w:color w:val="000000"/>
          <w:kern w:val="2"/>
          <w:sz w:val="28"/>
          <w:szCs w:val="28"/>
          <w:highlight w:val="none"/>
          <w:lang w:val="en-US" w:eastAsia="zh-CN" w:bidi="ar-SA"/>
        </w:rPr>
        <w:t>残疾人福利性单位声明函（如适用）</w:t>
      </w:r>
    </w:p>
    <w:p w14:paraId="664C8EFC">
      <w:pPr>
        <w:pageBreakBefore w:val="0"/>
        <w:kinsoku/>
        <w:wordWrap/>
        <w:overflowPunct/>
        <w:topLinePunct w:val="0"/>
        <w:bidi w:val="0"/>
        <w:spacing w:line="380" w:lineRule="exact"/>
        <w:ind w:left="420" w:leftChars="200" w:right="420" w:rightChars="200" w:firstLine="420" w:firstLineChars="200"/>
        <w:rPr>
          <w:rFonts w:hint="eastAsia"/>
          <w:color w:val="000000"/>
          <w:highlight w:val="none"/>
        </w:rPr>
      </w:pPr>
    </w:p>
    <w:p w14:paraId="402D720D">
      <w:pPr>
        <w:pageBreakBefore w:val="0"/>
        <w:kinsoku/>
        <w:wordWrap/>
        <w:overflowPunct/>
        <w:topLinePunct w:val="0"/>
        <w:bidi w:val="0"/>
        <w:spacing w:line="440" w:lineRule="exact"/>
        <w:ind w:left="420" w:leftChars="200" w:right="420" w:rightChars="200" w:firstLine="630" w:firstLineChars="300"/>
        <w:rPr>
          <w:rFonts w:hint="eastAsia"/>
          <w:color w:val="000000"/>
          <w:highlight w:val="none"/>
        </w:rPr>
      </w:pPr>
      <w:r>
        <w:rPr>
          <w:rFonts w:hint="eastAsia"/>
          <w:color w:val="000000"/>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5307ECF8">
      <w:pPr>
        <w:pageBreakBefore w:val="0"/>
        <w:kinsoku/>
        <w:wordWrap/>
        <w:overflowPunct/>
        <w:topLinePunct w:val="0"/>
        <w:bidi w:val="0"/>
        <w:spacing w:line="440" w:lineRule="exact"/>
        <w:ind w:left="420" w:leftChars="200" w:right="420" w:rightChars="200" w:firstLine="420" w:firstLineChars="200"/>
        <w:rPr>
          <w:rFonts w:hint="eastAsia"/>
          <w:color w:val="000000"/>
          <w:highlight w:val="none"/>
        </w:rPr>
      </w:pPr>
      <w:r>
        <w:rPr>
          <w:rFonts w:hint="eastAsia"/>
          <w:color w:val="000000"/>
          <w:highlight w:val="none"/>
        </w:rPr>
        <w:t>本单位对上述声明的真实性负责。如有虚假，将依法承担相应责任。</w:t>
      </w:r>
    </w:p>
    <w:p w14:paraId="0702151F">
      <w:pPr>
        <w:pStyle w:val="635"/>
        <w:pageBreakBefore w:val="0"/>
        <w:kinsoku/>
        <w:wordWrap/>
        <w:overflowPunct/>
        <w:topLinePunct w:val="0"/>
        <w:bidi w:val="0"/>
        <w:ind w:left="420" w:leftChars="200" w:right="420" w:rightChars="200"/>
        <w:rPr>
          <w:rFonts w:hint="eastAsia"/>
          <w:color w:val="000000"/>
          <w:highlight w:val="none"/>
        </w:rPr>
      </w:pPr>
    </w:p>
    <w:p w14:paraId="73DAD2CB">
      <w:pPr>
        <w:pageBreakBefore w:val="0"/>
        <w:tabs>
          <w:tab w:val="left" w:pos="4860"/>
        </w:tabs>
        <w:kinsoku/>
        <w:wordWrap/>
        <w:overflowPunct/>
        <w:topLinePunct w:val="0"/>
        <w:bidi w:val="0"/>
        <w:spacing w:line="440" w:lineRule="exact"/>
        <w:ind w:left="420" w:leftChars="200" w:right="420" w:rightChars="200" w:firstLine="420" w:firstLineChars="200"/>
        <w:jc w:val="center"/>
        <w:rPr>
          <w:rFonts w:hint="eastAsia"/>
          <w:color w:val="000000"/>
          <w:highlight w:val="none"/>
        </w:rPr>
      </w:pPr>
      <w:r>
        <w:rPr>
          <w:rFonts w:hint="eastAsia"/>
          <w:color w:val="000000"/>
          <w:highlight w:val="none"/>
        </w:rPr>
        <w:t xml:space="preserve">                          企业名称（盖章）：</w:t>
      </w:r>
    </w:p>
    <w:p w14:paraId="5C17910F">
      <w:pPr>
        <w:pageBreakBefore w:val="0"/>
        <w:tabs>
          <w:tab w:val="left" w:pos="4860"/>
        </w:tabs>
        <w:kinsoku/>
        <w:wordWrap/>
        <w:overflowPunct/>
        <w:topLinePunct w:val="0"/>
        <w:bidi w:val="0"/>
        <w:spacing w:line="440" w:lineRule="exact"/>
        <w:ind w:left="420" w:leftChars="200" w:right="420" w:rightChars="200" w:firstLine="420" w:firstLineChars="200"/>
        <w:jc w:val="center"/>
        <w:rPr>
          <w:rFonts w:hint="eastAsia"/>
          <w:color w:val="000000"/>
          <w:highlight w:val="none"/>
        </w:rPr>
      </w:pPr>
      <w:r>
        <w:rPr>
          <w:rFonts w:hint="eastAsia"/>
          <w:color w:val="000000"/>
          <w:highlight w:val="none"/>
        </w:rPr>
        <w:t xml:space="preserve">                  日  期：</w:t>
      </w:r>
    </w:p>
    <w:p w14:paraId="75EC7E71">
      <w:pPr>
        <w:pageBreakBefore w:val="0"/>
        <w:kinsoku/>
        <w:wordWrap/>
        <w:overflowPunct/>
        <w:topLinePunct w:val="0"/>
        <w:bidi w:val="0"/>
        <w:spacing w:line="600" w:lineRule="exact"/>
        <w:ind w:left="420" w:leftChars="200" w:right="420" w:rightChars="200"/>
        <w:jc w:val="center"/>
        <w:outlineLvl w:val="9"/>
        <w:rPr>
          <w:rFonts w:hint="eastAsia" w:ascii="宋体"/>
          <w:b/>
          <w:color w:val="000000"/>
          <w:sz w:val="28"/>
          <w:highlight w:val="none"/>
        </w:rPr>
      </w:pPr>
    </w:p>
    <w:p w14:paraId="6194E9B7">
      <w:pPr>
        <w:pStyle w:val="635"/>
        <w:pageBreakBefore w:val="0"/>
        <w:kinsoku/>
        <w:wordWrap/>
        <w:overflowPunct/>
        <w:topLinePunct w:val="0"/>
        <w:bidi w:val="0"/>
        <w:ind w:left="420" w:leftChars="200" w:right="420" w:rightChars="200"/>
        <w:rPr>
          <w:rFonts w:hint="eastAsia"/>
          <w:color w:val="000000"/>
          <w:highlight w:val="none"/>
        </w:rPr>
      </w:pPr>
    </w:p>
    <w:p w14:paraId="34BA0CD6">
      <w:pPr>
        <w:pStyle w:val="5"/>
        <w:pageBreakBefore w:val="0"/>
        <w:kinsoku/>
        <w:wordWrap/>
        <w:overflowPunct/>
        <w:topLinePunct w:val="0"/>
        <w:bidi w:val="0"/>
        <w:ind w:left="420" w:leftChars="200" w:right="420" w:rightChars="200" w:firstLine="0" w:firstLineChars="0"/>
        <w:jc w:val="center"/>
        <w:rPr>
          <w:rFonts w:hint="eastAsia"/>
          <w:b/>
          <w:color w:val="000000"/>
          <w:sz w:val="28"/>
          <w:szCs w:val="28"/>
          <w:highlight w:val="none"/>
          <w:lang w:val="en-US" w:eastAsia="zh-CN"/>
        </w:rPr>
      </w:pPr>
    </w:p>
    <w:p w14:paraId="2277886C">
      <w:pPr>
        <w:pStyle w:val="5"/>
        <w:pageBreakBefore w:val="0"/>
        <w:kinsoku/>
        <w:wordWrap/>
        <w:overflowPunct/>
        <w:topLinePunct w:val="0"/>
        <w:bidi w:val="0"/>
        <w:ind w:left="420" w:leftChars="200" w:right="420" w:rightChars="200" w:firstLine="0" w:firstLineChars="0"/>
        <w:jc w:val="center"/>
        <w:rPr>
          <w:rFonts w:hint="eastAsia"/>
          <w:b/>
          <w:color w:val="000000"/>
          <w:sz w:val="28"/>
          <w:szCs w:val="28"/>
          <w:highlight w:val="none"/>
          <w:lang w:val="en-US" w:eastAsia="zh-CN"/>
        </w:rPr>
      </w:pPr>
    </w:p>
    <w:p w14:paraId="1ED7849E">
      <w:pPr>
        <w:pStyle w:val="5"/>
        <w:pageBreakBefore w:val="0"/>
        <w:kinsoku/>
        <w:wordWrap/>
        <w:overflowPunct/>
        <w:topLinePunct w:val="0"/>
        <w:bidi w:val="0"/>
        <w:ind w:left="420" w:leftChars="200" w:right="420" w:rightChars="200" w:firstLine="0" w:firstLineChars="0"/>
        <w:jc w:val="center"/>
        <w:rPr>
          <w:rFonts w:hint="eastAsia"/>
          <w:b/>
          <w:color w:val="000000"/>
          <w:kern w:val="2"/>
          <w:sz w:val="28"/>
          <w:szCs w:val="28"/>
          <w:highlight w:val="none"/>
          <w:lang w:val="en-US" w:eastAsia="zh-CN" w:bidi="ar-SA"/>
        </w:rPr>
      </w:pPr>
      <w:r>
        <w:rPr>
          <w:rFonts w:hint="eastAsia"/>
          <w:b/>
          <w:color w:val="000000"/>
          <w:sz w:val="28"/>
          <w:szCs w:val="28"/>
          <w:highlight w:val="none"/>
          <w:lang w:val="en-US" w:eastAsia="zh-CN"/>
        </w:rPr>
        <w:t>监狱企业的证明文件</w:t>
      </w:r>
      <w:r>
        <w:rPr>
          <w:rFonts w:hint="eastAsia"/>
          <w:b/>
          <w:color w:val="000000"/>
          <w:kern w:val="2"/>
          <w:sz w:val="28"/>
          <w:szCs w:val="28"/>
          <w:highlight w:val="none"/>
          <w:lang w:val="en-US" w:eastAsia="zh-CN" w:bidi="ar-SA"/>
        </w:rPr>
        <w:t>（如适用）</w:t>
      </w:r>
    </w:p>
    <w:p w14:paraId="1142135D">
      <w:pPr>
        <w:pStyle w:val="5"/>
        <w:pageBreakBefore w:val="0"/>
        <w:kinsoku/>
        <w:wordWrap/>
        <w:overflowPunct/>
        <w:topLinePunct w:val="0"/>
        <w:bidi w:val="0"/>
        <w:ind w:left="420" w:leftChars="200" w:right="420" w:rightChars="200" w:firstLine="0" w:firstLineChars="0"/>
        <w:jc w:val="center"/>
        <w:rPr>
          <w:rFonts w:hint="eastAsia"/>
          <w:b/>
          <w:color w:val="000000"/>
          <w:kern w:val="2"/>
          <w:sz w:val="28"/>
          <w:szCs w:val="28"/>
          <w:highlight w:val="none"/>
          <w:lang w:val="en-US" w:eastAsia="zh-CN" w:bidi="ar-SA"/>
        </w:rPr>
      </w:pPr>
    </w:p>
    <w:p w14:paraId="16B891E8">
      <w:pPr>
        <w:pStyle w:val="5"/>
        <w:pageBreakBefore w:val="0"/>
        <w:kinsoku/>
        <w:wordWrap/>
        <w:overflowPunct/>
        <w:topLinePunct w:val="0"/>
        <w:bidi w:val="0"/>
        <w:ind w:left="420" w:leftChars="200" w:right="420" w:rightChars="200" w:firstLine="0" w:firstLineChars="0"/>
        <w:jc w:val="both"/>
        <w:rPr>
          <w:rFonts w:hint="eastAsia"/>
          <w:b w:val="0"/>
          <w:bCs/>
          <w:color w:val="000000"/>
          <w:kern w:val="2"/>
          <w:sz w:val="21"/>
          <w:szCs w:val="21"/>
          <w:highlight w:val="none"/>
          <w:lang w:val="en-US" w:eastAsia="zh-CN" w:bidi="ar-SA"/>
        </w:rPr>
      </w:pPr>
    </w:p>
    <w:p w14:paraId="5C2C1EFD">
      <w:pPr>
        <w:pStyle w:val="5"/>
        <w:pageBreakBefore w:val="0"/>
        <w:kinsoku/>
        <w:wordWrap/>
        <w:overflowPunct/>
        <w:topLinePunct w:val="0"/>
        <w:bidi w:val="0"/>
        <w:ind w:left="420" w:leftChars="200" w:right="420" w:rightChars="200" w:firstLine="0" w:firstLineChars="0"/>
        <w:jc w:val="both"/>
        <w:rPr>
          <w:rFonts w:hint="eastAsia"/>
          <w:b w:val="0"/>
          <w:bCs/>
          <w:color w:val="000000"/>
          <w:kern w:val="2"/>
          <w:sz w:val="21"/>
          <w:szCs w:val="21"/>
          <w:highlight w:val="none"/>
          <w:lang w:val="en-US" w:eastAsia="zh-CN" w:bidi="ar-SA"/>
        </w:rPr>
      </w:pPr>
    </w:p>
    <w:p w14:paraId="573DB174">
      <w:pPr>
        <w:pageBreakBefore w:val="0"/>
        <w:kinsoku/>
        <w:wordWrap/>
        <w:overflowPunct/>
        <w:topLinePunct w:val="0"/>
        <w:bidi w:val="0"/>
        <w:spacing w:line="580" w:lineRule="exact"/>
        <w:ind w:left="420" w:leftChars="200" w:right="420" w:rightChars="200"/>
        <w:jc w:val="center"/>
        <w:outlineLvl w:val="0"/>
        <w:rPr>
          <w:rFonts w:hint="eastAsia"/>
          <w:b w:val="0"/>
          <w:bCs/>
          <w:color w:val="000000"/>
          <w:kern w:val="2"/>
          <w:sz w:val="21"/>
          <w:szCs w:val="21"/>
          <w:highlight w:val="none"/>
          <w:lang w:val="en-US" w:eastAsia="zh-CN" w:bidi="ar-SA"/>
        </w:rPr>
      </w:pPr>
      <w:r>
        <w:rPr>
          <w:rFonts w:hint="eastAsia"/>
          <w:b w:val="0"/>
          <w:bCs/>
          <w:color w:val="000000"/>
          <w:kern w:val="2"/>
          <w:sz w:val="21"/>
          <w:szCs w:val="21"/>
          <w:highlight w:val="none"/>
          <w:lang w:val="en-US" w:eastAsia="zh-CN" w:bidi="ar-SA"/>
        </w:rPr>
        <w:t>注：残疾人福利性单位和监狱企业按规定提供上述资料，如果不是，请不要填写。</w:t>
      </w:r>
    </w:p>
    <w:p w14:paraId="28238161">
      <w:pPr>
        <w:pageBreakBefore w:val="0"/>
        <w:kinsoku/>
        <w:wordWrap/>
        <w:overflowPunct/>
        <w:topLinePunct w:val="0"/>
        <w:bidi w:val="0"/>
        <w:spacing w:line="580" w:lineRule="exact"/>
        <w:ind w:left="420" w:leftChars="200" w:right="420" w:rightChars="200"/>
        <w:jc w:val="center"/>
        <w:outlineLvl w:val="0"/>
        <w:rPr>
          <w:rFonts w:hint="eastAsia"/>
          <w:b w:val="0"/>
          <w:bCs/>
          <w:color w:val="000000"/>
          <w:kern w:val="2"/>
          <w:sz w:val="21"/>
          <w:szCs w:val="21"/>
          <w:highlight w:val="none"/>
          <w:lang w:val="en-US" w:eastAsia="zh-CN" w:bidi="ar-SA"/>
        </w:rPr>
      </w:pPr>
    </w:p>
    <w:p w14:paraId="4BEDA77B">
      <w:pPr>
        <w:pageBreakBefore w:val="0"/>
        <w:kinsoku/>
        <w:wordWrap/>
        <w:overflowPunct/>
        <w:topLinePunct w:val="0"/>
        <w:bidi w:val="0"/>
        <w:spacing w:line="580" w:lineRule="exact"/>
        <w:ind w:left="420" w:leftChars="200" w:right="420" w:rightChars="200"/>
        <w:jc w:val="center"/>
        <w:outlineLvl w:val="0"/>
        <w:rPr>
          <w:rFonts w:hint="eastAsia"/>
          <w:b w:val="0"/>
          <w:bCs/>
          <w:color w:val="000000"/>
          <w:kern w:val="2"/>
          <w:sz w:val="21"/>
          <w:szCs w:val="21"/>
          <w:highlight w:val="none"/>
          <w:lang w:val="en-US" w:eastAsia="zh-CN" w:bidi="ar-SA"/>
        </w:rPr>
      </w:pPr>
    </w:p>
    <w:p w14:paraId="19A1577C">
      <w:pPr>
        <w:pageBreakBefore w:val="0"/>
        <w:kinsoku/>
        <w:wordWrap/>
        <w:overflowPunct/>
        <w:topLinePunct w:val="0"/>
        <w:bidi w:val="0"/>
        <w:spacing w:line="580" w:lineRule="exact"/>
        <w:ind w:left="420" w:leftChars="200" w:right="420" w:rightChars="200"/>
        <w:jc w:val="center"/>
        <w:outlineLvl w:val="0"/>
        <w:rPr>
          <w:rFonts w:hint="eastAsia"/>
          <w:b w:val="0"/>
          <w:bCs/>
          <w:color w:val="000000"/>
          <w:kern w:val="2"/>
          <w:sz w:val="21"/>
          <w:szCs w:val="21"/>
          <w:highlight w:val="none"/>
          <w:lang w:val="en-US" w:eastAsia="zh-CN" w:bidi="ar-SA"/>
        </w:rPr>
      </w:pPr>
    </w:p>
    <w:p w14:paraId="71D2CFA7">
      <w:pPr>
        <w:pageBreakBefore w:val="0"/>
        <w:kinsoku/>
        <w:wordWrap/>
        <w:overflowPunct/>
        <w:topLinePunct w:val="0"/>
        <w:bidi w:val="0"/>
        <w:spacing w:line="580" w:lineRule="exact"/>
        <w:ind w:left="420" w:leftChars="200" w:right="420" w:rightChars="200"/>
        <w:jc w:val="center"/>
        <w:outlineLvl w:val="0"/>
        <w:rPr>
          <w:rFonts w:hint="eastAsia"/>
          <w:b w:val="0"/>
          <w:bCs/>
          <w:color w:val="000000"/>
          <w:kern w:val="2"/>
          <w:sz w:val="21"/>
          <w:szCs w:val="21"/>
          <w:highlight w:val="none"/>
          <w:lang w:val="en-US" w:eastAsia="zh-CN" w:bidi="ar-SA"/>
        </w:rPr>
      </w:pPr>
    </w:p>
    <w:p w14:paraId="3DE17533">
      <w:pPr>
        <w:pageBreakBefore w:val="0"/>
        <w:kinsoku/>
        <w:wordWrap/>
        <w:overflowPunct/>
        <w:topLinePunct w:val="0"/>
        <w:bidi w:val="0"/>
        <w:spacing w:line="580" w:lineRule="exact"/>
        <w:ind w:left="420" w:leftChars="200" w:right="420" w:rightChars="200"/>
        <w:jc w:val="center"/>
        <w:outlineLvl w:val="0"/>
        <w:rPr>
          <w:rFonts w:hint="eastAsia"/>
          <w:b w:val="0"/>
          <w:bCs/>
          <w:color w:val="000000"/>
          <w:kern w:val="2"/>
          <w:sz w:val="21"/>
          <w:szCs w:val="21"/>
          <w:highlight w:val="none"/>
          <w:lang w:val="en-US" w:eastAsia="zh-CN" w:bidi="ar-SA"/>
        </w:rPr>
      </w:pPr>
    </w:p>
    <w:p w14:paraId="20B7C90B">
      <w:pPr>
        <w:pageBreakBefore w:val="0"/>
        <w:kinsoku/>
        <w:wordWrap/>
        <w:overflowPunct/>
        <w:topLinePunct w:val="0"/>
        <w:bidi w:val="0"/>
        <w:spacing w:line="580" w:lineRule="exact"/>
        <w:ind w:left="420" w:leftChars="200" w:right="420" w:rightChars="200"/>
        <w:jc w:val="center"/>
        <w:outlineLvl w:val="0"/>
        <w:rPr>
          <w:rFonts w:hint="eastAsia"/>
          <w:b w:val="0"/>
          <w:bCs/>
          <w:color w:val="000000"/>
          <w:kern w:val="2"/>
          <w:sz w:val="21"/>
          <w:szCs w:val="21"/>
          <w:highlight w:val="none"/>
          <w:lang w:val="en-US" w:eastAsia="zh-CN" w:bidi="ar-SA"/>
        </w:rPr>
      </w:pPr>
    </w:p>
    <w:p w14:paraId="021FEE2F">
      <w:pPr>
        <w:pageBreakBefore w:val="0"/>
        <w:kinsoku/>
        <w:wordWrap/>
        <w:overflowPunct/>
        <w:topLinePunct w:val="0"/>
        <w:bidi w:val="0"/>
        <w:spacing w:line="580" w:lineRule="exact"/>
        <w:ind w:left="420" w:leftChars="200" w:right="420" w:rightChars="200"/>
        <w:jc w:val="center"/>
        <w:outlineLvl w:val="0"/>
        <w:rPr>
          <w:rFonts w:hint="eastAsia"/>
          <w:b w:val="0"/>
          <w:bCs/>
          <w:color w:val="000000"/>
          <w:kern w:val="2"/>
          <w:sz w:val="21"/>
          <w:szCs w:val="21"/>
          <w:highlight w:val="none"/>
          <w:lang w:val="en-US" w:eastAsia="zh-CN" w:bidi="ar-SA"/>
        </w:rPr>
      </w:pPr>
    </w:p>
    <w:p w14:paraId="28661B79">
      <w:pPr>
        <w:pageBreakBefore w:val="0"/>
        <w:kinsoku/>
        <w:wordWrap/>
        <w:overflowPunct/>
        <w:topLinePunct w:val="0"/>
        <w:bidi w:val="0"/>
        <w:spacing w:line="580" w:lineRule="exact"/>
        <w:ind w:left="420" w:leftChars="200" w:right="420" w:rightChars="200"/>
        <w:jc w:val="center"/>
        <w:outlineLvl w:val="0"/>
        <w:rPr>
          <w:rFonts w:hint="eastAsia" w:ascii="宋体"/>
          <w:b/>
          <w:color w:val="000000"/>
          <w:sz w:val="28"/>
          <w:highlight w:val="none"/>
          <w:lang w:eastAsia="zh-CN"/>
        </w:rPr>
      </w:pPr>
    </w:p>
    <w:p w14:paraId="171D210E">
      <w:pPr>
        <w:pageBreakBefore w:val="0"/>
        <w:kinsoku/>
        <w:wordWrap/>
        <w:overflowPunct/>
        <w:topLinePunct w:val="0"/>
        <w:bidi w:val="0"/>
        <w:spacing w:line="580" w:lineRule="exact"/>
        <w:ind w:left="420" w:leftChars="200" w:right="420" w:rightChars="200"/>
        <w:jc w:val="center"/>
        <w:outlineLvl w:val="0"/>
        <w:rPr>
          <w:rFonts w:hint="eastAsia" w:ascii="宋体"/>
          <w:b/>
          <w:color w:val="000000"/>
          <w:sz w:val="28"/>
          <w:highlight w:val="none"/>
          <w:lang w:eastAsia="zh-CN"/>
        </w:rPr>
      </w:pPr>
    </w:p>
    <w:p w14:paraId="659B9FA3">
      <w:pPr>
        <w:pageBreakBefore w:val="0"/>
        <w:kinsoku/>
        <w:wordWrap/>
        <w:overflowPunct/>
        <w:topLinePunct w:val="0"/>
        <w:bidi w:val="0"/>
        <w:spacing w:line="580" w:lineRule="exact"/>
        <w:ind w:right="420" w:rightChars="200"/>
        <w:jc w:val="both"/>
        <w:outlineLvl w:val="0"/>
        <w:rPr>
          <w:rFonts w:hint="eastAsia" w:ascii="宋体" w:eastAsia="宋体"/>
          <w:b/>
          <w:color w:val="000000"/>
          <w:sz w:val="28"/>
          <w:highlight w:val="none"/>
          <w:lang w:eastAsia="zh-CN"/>
        </w:rPr>
      </w:pPr>
    </w:p>
    <w:p w14:paraId="6279876B">
      <w:pPr>
        <w:pageBreakBefore w:val="0"/>
        <w:kinsoku/>
        <w:wordWrap/>
        <w:overflowPunct/>
        <w:topLinePunct w:val="0"/>
        <w:bidi w:val="0"/>
        <w:spacing w:line="580" w:lineRule="exact"/>
        <w:ind w:left="420" w:leftChars="200" w:right="420" w:rightChars="200"/>
        <w:jc w:val="center"/>
        <w:outlineLvl w:val="0"/>
        <w:rPr>
          <w:rFonts w:ascii="宋体"/>
          <w:b/>
          <w:color w:val="000000"/>
          <w:sz w:val="28"/>
          <w:highlight w:val="none"/>
        </w:rPr>
      </w:pPr>
      <w:r>
        <w:rPr>
          <w:rFonts w:hint="eastAsia" w:ascii="宋体"/>
          <w:b/>
          <w:color w:val="000000"/>
          <w:sz w:val="28"/>
          <w:highlight w:val="none"/>
          <w:lang w:eastAsia="zh-CN"/>
        </w:rPr>
        <w:t>（</w:t>
      </w:r>
      <w:r>
        <w:rPr>
          <w:rFonts w:hint="eastAsia" w:ascii="宋体"/>
          <w:b/>
          <w:color w:val="000000"/>
          <w:sz w:val="28"/>
          <w:highlight w:val="none"/>
          <w:lang w:val="en-US" w:eastAsia="zh-CN"/>
        </w:rPr>
        <w:t>四</w:t>
      </w:r>
      <w:r>
        <w:rPr>
          <w:rFonts w:hint="eastAsia" w:ascii="宋体"/>
          <w:b/>
          <w:color w:val="000000"/>
          <w:sz w:val="28"/>
          <w:highlight w:val="none"/>
          <w:lang w:eastAsia="zh-CN"/>
        </w:rPr>
        <w:t>）</w:t>
      </w:r>
      <w:r>
        <w:rPr>
          <w:rFonts w:ascii="宋体"/>
          <w:b/>
          <w:color w:val="000000"/>
          <w:sz w:val="28"/>
          <w:highlight w:val="none"/>
        </w:rPr>
        <w:t>政府采购供应商基础信息登记表</w:t>
      </w:r>
      <w:bookmarkEnd w:id="980"/>
    </w:p>
    <w:p w14:paraId="5ACBF59A">
      <w:pPr>
        <w:pStyle w:val="55"/>
        <w:pageBreakBefore w:val="0"/>
        <w:kinsoku/>
        <w:wordWrap/>
        <w:overflowPunct/>
        <w:topLinePunct w:val="0"/>
        <w:bidi w:val="0"/>
        <w:spacing w:line="320" w:lineRule="exact"/>
        <w:ind w:left="420" w:leftChars="200" w:right="420" w:rightChars="200"/>
        <w:rPr>
          <w:rFonts w:ascii="ˎ̥" w:hAnsi="ˎ̥"/>
          <w:color w:val="000000"/>
          <w:sz w:val="26"/>
          <w:szCs w:val="26"/>
          <w:highlight w:val="none"/>
        </w:rPr>
      </w:pPr>
    </w:p>
    <w:tbl>
      <w:tblPr>
        <w:tblStyle w:val="60"/>
        <w:tblW w:w="0" w:type="auto"/>
        <w:tblCellSpacing w:w="0"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5055"/>
        <w:gridCol w:w="3994"/>
      </w:tblGrid>
      <w:tr w14:paraId="6629FA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67" w:hRule="atLeast"/>
          <w:tblCellSpacing w:w="0" w:type="dxa"/>
        </w:trPr>
        <w:tc>
          <w:tcPr>
            <w:tcW w:w="5055" w:type="dxa"/>
            <w:noWrap w:val="0"/>
            <w:vAlign w:val="center"/>
          </w:tcPr>
          <w:p w14:paraId="28DB2477">
            <w:pPr>
              <w:pageBreakBefore w:val="0"/>
              <w:kinsoku/>
              <w:wordWrap/>
              <w:overflowPunct/>
              <w:topLinePunct w:val="0"/>
              <w:bidi w:val="0"/>
              <w:ind w:left="420" w:leftChars="200" w:right="420" w:rightChars="200"/>
              <w:jc w:val="center"/>
              <w:rPr>
                <w:rFonts w:ascii="宋体" w:hAnsi="宋体"/>
                <w:bCs/>
                <w:color w:val="000000"/>
                <w:szCs w:val="21"/>
                <w:highlight w:val="none"/>
              </w:rPr>
            </w:pPr>
            <w:r>
              <w:rPr>
                <w:rFonts w:ascii="宋体" w:hAnsi="宋体"/>
                <w:bCs/>
                <w:color w:val="000000"/>
                <w:szCs w:val="21"/>
                <w:highlight w:val="none"/>
              </w:rPr>
              <w:t>投标项目编号</w:t>
            </w:r>
          </w:p>
        </w:tc>
        <w:tc>
          <w:tcPr>
            <w:tcW w:w="3994" w:type="dxa"/>
            <w:noWrap w:val="0"/>
            <w:vAlign w:val="center"/>
          </w:tcPr>
          <w:p w14:paraId="44BA79F2">
            <w:pPr>
              <w:pageBreakBefore w:val="0"/>
              <w:kinsoku/>
              <w:wordWrap/>
              <w:overflowPunct/>
              <w:topLinePunct w:val="0"/>
              <w:bidi w:val="0"/>
              <w:ind w:left="420" w:leftChars="200" w:right="420" w:rightChars="200"/>
              <w:jc w:val="center"/>
              <w:rPr>
                <w:rFonts w:ascii="宋体" w:hAnsi="宋体"/>
                <w:bCs/>
                <w:color w:val="000000"/>
                <w:szCs w:val="21"/>
                <w:highlight w:val="none"/>
              </w:rPr>
            </w:pPr>
          </w:p>
        </w:tc>
      </w:tr>
      <w:tr w14:paraId="638DEA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67" w:hRule="atLeast"/>
          <w:tblCellSpacing w:w="0" w:type="dxa"/>
        </w:trPr>
        <w:tc>
          <w:tcPr>
            <w:tcW w:w="5055" w:type="dxa"/>
            <w:noWrap w:val="0"/>
            <w:vAlign w:val="center"/>
          </w:tcPr>
          <w:p w14:paraId="08C67494">
            <w:pPr>
              <w:pageBreakBefore w:val="0"/>
              <w:kinsoku/>
              <w:wordWrap/>
              <w:overflowPunct/>
              <w:topLinePunct w:val="0"/>
              <w:bidi w:val="0"/>
              <w:ind w:left="420" w:leftChars="200" w:right="420" w:rightChars="200"/>
              <w:jc w:val="center"/>
              <w:rPr>
                <w:rFonts w:ascii="宋体" w:hAnsi="宋体"/>
                <w:bCs/>
                <w:color w:val="000000"/>
                <w:szCs w:val="21"/>
                <w:highlight w:val="none"/>
              </w:rPr>
            </w:pPr>
            <w:r>
              <w:rPr>
                <w:rFonts w:ascii="宋体" w:hAnsi="宋体"/>
                <w:bCs/>
                <w:color w:val="000000"/>
                <w:szCs w:val="21"/>
                <w:highlight w:val="none"/>
              </w:rPr>
              <w:t>投标项目名称</w:t>
            </w:r>
          </w:p>
        </w:tc>
        <w:tc>
          <w:tcPr>
            <w:tcW w:w="3994" w:type="dxa"/>
            <w:noWrap w:val="0"/>
            <w:vAlign w:val="center"/>
          </w:tcPr>
          <w:p w14:paraId="55709F5B">
            <w:pPr>
              <w:pageBreakBefore w:val="0"/>
              <w:kinsoku/>
              <w:wordWrap/>
              <w:overflowPunct/>
              <w:topLinePunct w:val="0"/>
              <w:bidi w:val="0"/>
              <w:ind w:left="420" w:leftChars="200" w:right="420" w:rightChars="200"/>
              <w:jc w:val="center"/>
              <w:rPr>
                <w:rFonts w:ascii="宋体" w:hAnsi="宋体"/>
                <w:bCs/>
                <w:color w:val="000000"/>
                <w:szCs w:val="21"/>
                <w:highlight w:val="none"/>
              </w:rPr>
            </w:pPr>
          </w:p>
        </w:tc>
      </w:tr>
      <w:tr w14:paraId="4CF05A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67" w:hRule="atLeast"/>
          <w:tblCellSpacing w:w="0" w:type="dxa"/>
        </w:trPr>
        <w:tc>
          <w:tcPr>
            <w:tcW w:w="5055" w:type="dxa"/>
            <w:noWrap w:val="0"/>
            <w:vAlign w:val="center"/>
          </w:tcPr>
          <w:p w14:paraId="56CF513D">
            <w:pPr>
              <w:pageBreakBefore w:val="0"/>
              <w:kinsoku/>
              <w:wordWrap/>
              <w:overflowPunct/>
              <w:topLinePunct w:val="0"/>
              <w:bidi w:val="0"/>
              <w:ind w:left="420" w:leftChars="200" w:right="420" w:rightChars="200"/>
              <w:jc w:val="center"/>
              <w:rPr>
                <w:rFonts w:ascii="宋体" w:hAnsi="宋体"/>
                <w:bCs/>
                <w:color w:val="000000"/>
                <w:szCs w:val="21"/>
                <w:highlight w:val="none"/>
              </w:rPr>
            </w:pPr>
            <w:r>
              <w:rPr>
                <w:rFonts w:ascii="宋体" w:hAnsi="宋体"/>
                <w:bCs/>
                <w:color w:val="000000"/>
                <w:szCs w:val="21"/>
                <w:highlight w:val="none"/>
              </w:rPr>
              <w:t>投标子包号</w:t>
            </w:r>
          </w:p>
        </w:tc>
        <w:tc>
          <w:tcPr>
            <w:tcW w:w="3994" w:type="dxa"/>
            <w:noWrap w:val="0"/>
            <w:vAlign w:val="center"/>
          </w:tcPr>
          <w:p w14:paraId="2ED5C0FC">
            <w:pPr>
              <w:pageBreakBefore w:val="0"/>
              <w:kinsoku/>
              <w:wordWrap/>
              <w:overflowPunct/>
              <w:topLinePunct w:val="0"/>
              <w:bidi w:val="0"/>
              <w:ind w:left="420" w:leftChars="200" w:right="420" w:rightChars="200"/>
              <w:jc w:val="center"/>
              <w:rPr>
                <w:rFonts w:ascii="宋体" w:hAnsi="宋体"/>
                <w:bCs/>
                <w:color w:val="000000"/>
                <w:szCs w:val="21"/>
                <w:highlight w:val="none"/>
              </w:rPr>
            </w:pPr>
          </w:p>
        </w:tc>
      </w:tr>
      <w:tr w14:paraId="748764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67" w:hRule="atLeast"/>
          <w:tblCellSpacing w:w="0" w:type="dxa"/>
        </w:trPr>
        <w:tc>
          <w:tcPr>
            <w:tcW w:w="5055" w:type="dxa"/>
            <w:noWrap w:val="0"/>
            <w:vAlign w:val="center"/>
          </w:tcPr>
          <w:p w14:paraId="0F6E8E16">
            <w:pPr>
              <w:pageBreakBefore w:val="0"/>
              <w:kinsoku/>
              <w:wordWrap/>
              <w:overflowPunct/>
              <w:topLinePunct w:val="0"/>
              <w:bidi w:val="0"/>
              <w:ind w:left="420" w:leftChars="200" w:right="420" w:rightChars="200"/>
              <w:jc w:val="center"/>
              <w:rPr>
                <w:rFonts w:ascii="宋体" w:hAnsi="宋体"/>
                <w:bCs/>
                <w:color w:val="000000"/>
                <w:szCs w:val="21"/>
                <w:highlight w:val="none"/>
              </w:rPr>
            </w:pPr>
            <w:r>
              <w:rPr>
                <w:rFonts w:ascii="宋体" w:hAnsi="宋体"/>
                <w:bCs/>
                <w:color w:val="000000"/>
                <w:szCs w:val="21"/>
                <w:highlight w:val="none"/>
              </w:rPr>
              <w:t>投标金额（万元）</w:t>
            </w:r>
          </w:p>
        </w:tc>
        <w:tc>
          <w:tcPr>
            <w:tcW w:w="3994" w:type="dxa"/>
            <w:noWrap w:val="0"/>
            <w:vAlign w:val="center"/>
          </w:tcPr>
          <w:p w14:paraId="41D8E25A">
            <w:pPr>
              <w:pageBreakBefore w:val="0"/>
              <w:kinsoku/>
              <w:wordWrap/>
              <w:overflowPunct/>
              <w:topLinePunct w:val="0"/>
              <w:bidi w:val="0"/>
              <w:ind w:left="420" w:leftChars="200" w:right="420" w:rightChars="200"/>
              <w:jc w:val="center"/>
              <w:rPr>
                <w:rFonts w:hint="eastAsia" w:ascii="宋体" w:hAnsi="宋体"/>
                <w:bCs/>
                <w:color w:val="000000"/>
                <w:szCs w:val="21"/>
                <w:highlight w:val="none"/>
              </w:rPr>
            </w:pPr>
          </w:p>
        </w:tc>
      </w:tr>
      <w:tr w14:paraId="5079FC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67" w:hRule="atLeast"/>
          <w:tblCellSpacing w:w="0" w:type="dxa"/>
        </w:trPr>
        <w:tc>
          <w:tcPr>
            <w:tcW w:w="5055" w:type="dxa"/>
            <w:noWrap w:val="0"/>
            <w:vAlign w:val="center"/>
          </w:tcPr>
          <w:p w14:paraId="43CBC61B">
            <w:pPr>
              <w:pageBreakBefore w:val="0"/>
              <w:kinsoku/>
              <w:wordWrap/>
              <w:overflowPunct/>
              <w:topLinePunct w:val="0"/>
              <w:bidi w:val="0"/>
              <w:ind w:left="420" w:leftChars="200" w:right="420" w:rightChars="200"/>
              <w:jc w:val="center"/>
              <w:rPr>
                <w:rFonts w:ascii="宋体" w:hAnsi="宋体"/>
                <w:bCs/>
                <w:color w:val="000000"/>
                <w:szCs w:val="21"/>
                <w:highlight w:val="none"/>
              </w:rPr>
            </w:pPr>
            <w:r>
              <w:rPr>
                <w:rFonts w:ascii="宋体" w:hAnsi="宋体"/>
                <w:bCs/>
                <w:color w:val="000000"/>
                <w:szCs w:val="21"/>
                <w:highlight w:val="none"/>
              </w:rPr>
              <w:t>投标单位名称</w:t>
            </w:r>
          </w:p>
        </w:tc>
        <w:tc>
          <w:tcPr>
            <w:tcW w:w="3994" w:type="dxa"/>
            <w:noWrap w:val="0"/>
            <w:vAlign w:val="center"/>
          </w:tcPr>
          <w:p w14:paraId="1F6BC699">
            <w:pPr>
              <w:pageBreakBefore w:val="0"/>
              <w:kinsoku/>
              <w:wordWrap/>
              <w:overflowPunct/>
              <w:topLinePunct w:val="0"/>
              <w:bidi w:val="0"/>
              <w:ind w:left="420" w:leftChars="200" w:right="420" w:rightChars="200"/>
              <w:jc w:val="center"/>
              <w:rPr>
                <w:rFonts w:ascii="宋体" w:hAnsi="宋体"/>
                <w:bCs/>
                <w:color w:val="000000"/>
                <w:szCs w:val="21"/>
                <w:highlight w:val="none"/>
              </w:rPr>
            </w:pPr>
          </w:p>
        </w:tc>
      </w:tr>
      <w:tr w14:paraId="4FBBBE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67" w:hRule="atLeast"/>
          <w:tblCellSpacing w:w="0" w:type="dxa"/>
        </w:trPr>
        <w:tc>
          <w:tcPr>
            <w:tcW w:w="5055" w:type="dxa"/>
            <w:noWrap w:val="0"/>
            <w:vAlign w:val="center"/>
          </w:tcPr>
          <w:p w14:paraId="4D922D69">
            <w:pPr>
              <w:pageBreakBefore w:val="0"/>
              <w:kinsoku/>
              <w:wordWrap/>
              <w:overflowPunct/>
              <w:topLinePunct w:val="0"/>
              <w:bidi w:val="0"/>
              <w:ind w:left="420" w:leftChars="200" w:right="420" w:rightChars="200"/>
              <w:jc w:val="center"/>
              <w:rPr>
                <w:rFonts w:ascii="宋体" w:hAnsi="宋体"/>
                <w:bCs/>
                <w:color w:val="000000"/>
                <w:szCs w:val="21"/>
                <w:highlight w:val="none"/>
              </w:rPr>
            </w:pPr>
            <w:r>
              <w:rPr>
                <w:rFonts w:ascii="宋体" w:hAnsi="宋体"/>
                <w:bCs/>
                <w:color w:val="000000"/>
                <w:szCs w:val="21"/>
                <w:highlight w:val="none"/>
              </w:rPr>
              <w:t>是否国内企业</w:t>
            </w:r>
          </w:p>
        </w:tc>
        <w:tc>
          <w:tcPr>
            <w:tcW w:w="3994" w:type="dxa"/>
            <w:noWrap w:val="0"/>
            <w:vAlign w:val="center"/>
          </w:tcPr>
          <w:p w14:paraId="49A3F9F4">
            <w:pPr>
              <w:pageBreakBefore w:val="0"/>
              <w:kinsoku/>
              <w:wordWrap/>
              <w:overflowPunct/>
              <w:topLinePunct w:val="0"/>
              <w:bidi w:val="0"/>
              <w:ind w:left="420" w:leftChars="200" w:right="420" w:rightChars="200"/>
              <w:jc w:val="center"/>
              <w:rPr>
                <w:rFonts w:ascii="宋体" w:hAnsi="宋体"/>
                <w:bCs/>
                <w:color w:val="000000"/>
                <w:szCs w:val="21"/>
                <w:highlight w:val="none"/>
              </w:rPr>
            </w:pPr>
          </w:p>
        </w:tc>
      </w:tr>
      <w:tr w14:paraId="7C56B7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67" w:hRule="atLeast"/>
          <w:tblCellSpacing w:w="0" w:type="dxa"/>
        </w:trPr>
        <w:tc>
          <w:tcPr>
            <w:tcW w:w="5055" w:type="dxa"/>
            <w:noWrap w:val="0"/>
            <w:vAlign w:val="center"/>
          </w:tcPr>
          <w:p w14:paraId="1A2857BA">
            <w:pPr>
              <w:pageBreakBefore w:val="0"/>
              <w:kinsoku/>
              <w:wordWrap/>
              <w:overflowPunct/>
              <w:topLinePunct w:val="0"/>
              <w:bidi w:val="0"/>
              <w:ind w:left="420" w:leftChars="200" w:right="420" w:rightChars="200"/>
              <w:jc w:val="center"/>
              <w:rPr>
                <w:rFonts w:ascii="宋体" w:hAnsi="宋体"/>
                <w:bCs/>
                <w:color w:val="000000"/>
                <w:szCs w:val="21"/>
                <w:highlight w:val="none"/>
              </w:rPr>
            </w:pPr>
            <w:r>
              <w:rPr>
                <w:rFonts w:ascii="宋体" w:hAnsi="宋体"/>
                <w:bCs/>
                <w:color w:val="000000"/>
                <w:szCs w:val="21"/>
                <w:highlight w:val="none"/>
              </w:rPr>
              <w:t>是否宁波企业</w:t>
            </w:r>
          </w:p>
        </w:tc>
        <w:tc>
          <w:tcPr>
            <w:tcW w:w="3994" w:type="dxa"/>
            <w:noWrap w:val="0"/>
            <w:vAlign w:val="center"/>
          </w:tcPr>
          <w:p w14:paraId="25AA8973">
            <w:pPr>
              <w:pageBreakBefore w:val="0"/>
              <w:kinsoku/>
              <w:wordWrap/>
              <w:overflowPunct/>
              <w:topLinePunct w:val="0"/>
              <w:bidi w:val="0"/>
              <w:ind w:left="420" w:leftChars="200" w:right="420" w:rightChars="200"/>
              <w:jc w:val="center"/>
              <w:rPr>
                <w:rFonts w:ascii="宋体" w:hAnsi="宋体"/>
                <w:bCs/>
                <w:color w:val="000000"/>
                <w:szCs w:val="21"/>
                <w:highlight w:val="none"/>
              </w:rPr>
            </w:pPr>
          </w:p>
        </w:tc>
      </w:tr>
      <w:tr w14:paraId="02ECEC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67" w:hRule="atLeast"/>
          <w:tblCellSpacing w:w="0" w:type="dxa"/>
        </w:trPr>
        <w:tc>
          <w:tcPr>
            <w:tcW w:w="5055" w:type="dxa"/>
            <w:noWrap w:val="0"/>
            <w:vAlign w:val="center"/>
          </w:tcPr>
          <w:p w14:paraId="33C37BAC">
            <w:pPr>
              <w:pageBreakBefore w:val="0"/>
              <w:kinsoku/>
              <w:wordWrap/>
              <w:overflowPunct/>
              <w:topLinePunct w:val="0"/>
              <w:bidi w:val="0"/>
              <w:ind w:left="420" w:leftChars="200" w:right="420" w:rightChars="200"/>
              <w:jc w:val="center"/>
              <w:rPr>
                <w:rFonts w:ascii="宋体" w:hAnsi="宋体"/>
                <w:bCs/>
                <w:color w:val="000000"/>
                <w:szCs w:val="21"/>
                <w:highlight w:val="none"/>
              </w:rPr>
            </w:pPr>
            <w:r>
              <w:rPr>
                <w:rFonts w:ascii="宋体" w:hAnsi="宋体"/>
                <w:bCs/>
                <w:color w:val="000000"/>
                <w:szCs w:val="21"/>
                <w:highlight w:val="none"/>
              </w:rPr>
              <w:t>企业划分标准类型（中型、小型、微型）</w:t>
            </w:r>
          </w:p>
        </w:tc>
        <w:tc>
          <w:tcPr>
            <w:tcW w:w="3994" w:type="dxa"/>
            <w:noWrap w:val="0"/>
            <w:vAlign w:val="center"/>
          </w:tcPr>
          <w:p w14:paraId="411EF98D">
            <w:pPr>
              <w:pageBreakBefore w:val="0"/>
              <w:kinsoku/>
              <w:wordWrap/>
              <w:overflowPunct/>
              <w:topLinePunct w:val="0"/>
              <w:bidi w:val="0"/>
              <w:ind w:left="420" w:leftChars="200" w:right="420" w:rightChars="200"/>
              <w:jc w:val="center"/>
              <w:rPr>
                <w:rFonts w:ascii="宋体" w:hAnsi="宋体"/>
                <w:bCs/>
                <w:color w:val="000000"/>
                <w:szCs w:val="21"/>
                <w:highlight w:val="none"/>
              </w:rPr>
            </w:pPr>
          </w:p>
        </w:tc>
      </w:tr>
      <w:tr w14:paraId="360787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67" w:hRule="atLeast"/>
          <w:tblCellSpacing w:w="0" w:type="dxa"/>
        </w:trPr>
        <w:tc>
          <w:tcPr>
            <w:tcW w:w="5055" w:type="dxa"/>
            <w:noWrap w:val="0"/>
            <w:vAlign w:val="center"/>
          </w:tcPr>
          <w:p w14:paraId="5A9275C6">
            <w:pPr>
              <w:pageBreakBefore w:val="0"/>
              <w:kinsoku/>
              <w:wordWrap/>
              <w:overflowPunct/>
              <w:topLinePunct w:val="0"/>
              <w:bidi w:val="0"/>
              <w:ind w:left="420" w:leftChars="200" w:right="420" w:rightChars="200"/>
              <w:jc w:val="center"/>
              <w:rPr>
                <w:rFonts w:ascii="宋体" w:hAnsi="宋体"/>
                <w:bCs/>
                <w:color w:val="000000"/>
                <w:szCs w:val="21"/>
                <w:highlight w:val="none"/>
              </w:rPr>
            </w:pPr>
            <w:r>
              <w:rPr>
                <w:rFonts w:ascii="宋体" w:hAnsi="宋体"/>
                <w:bCs/>
                <w:color w:val="000000"/>
                <w:szCs w:val="21"/>
                <w:highlight w:val="none"/>
              </w:rPr>
              <w:t>提供的货物是否本企业制造</w:t>
            </w:r>
          </w:p>
        </w:tc>
        <w:tc>
          <w:tcPr>
            <w:tcW w:w="3994" w:type="dxa"/>
            <w:noWrap w:val="0"/>
            <w:vAlign w:val="center"/>
          </w:tcPr>
          <w:p w14:paraId="2316B4B6">
            <w:pPr>
              <w:pageBreakBefore w:val="0"/>
              <w:kinsoku/>
              <w:wordWrap/>
              <w:overflowPunct/>
              <w:topLinePunct w:val="0"/>
              <w:bidi w:val="0"/>
              <w:ind w:left="420" w:leftChars="200" w:right="420" w:rightChars="200"/>
              <w:jc w:val="center"/>
              <w:rPr>
                <w:rFonts w:hint="eastAsia" w:ascii="宋体" w:hAnsi="宋体"/>
                <w:bCs/>
                <w:color w:val="000000"/>
                <w:szCs w:val="21"/>
                <w:highlight w:val="none"/>
              </w:rPr>
            </w:pPr>
            <w:r>
              <w:rPr>
                <w:rFonts w:hint="eastAsia" w:ascii="宋体" w:hAnsi="宋体"/>
                <w:bCs/>
                <w:color w:val="000000"/>
                <w:szCs w:val="21"/>
                <w:highlight w:val="none"/>
              </w:rPr>
              <w:t>/</w:t>
            </w:r>
          </w:p>
        </w:tc>
      </w:tr>
      <w:tr w14:paraId="035CAA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67" w:hRule="atLeast"/>
          <w:tblCellSpacing w:w="0" w:type="dxa"/>
        </w:trPr>
        <w:tc>
          <w:tcPr>
            <w:tcW w:w="5055" w:type="dxa"/>
            <w:noWrap w:val="0"/>
            <w:vAlign w:val="center"/>
          </w:tcPr>
          <w:p w14:paraId="14480E63">
            <w:pPr>
              <w:pageBreakBefore w:val="0"/>
              <w:kinsoku/>
              <w:wordWrap/>
              <w:overflowPunct/>
              <w:topLinePunct w:val="0"/>
              <w:bidi w:val="0"/>
              <w:ind w:left="420" w:leftChars="200" w:right="420" w:rightChars="200"/>
              <w:jc w:val="center"/>
              <w:rPr>
                <w:rFonts w:ascii="宋体" w:hAnsi="宋体"/>
                <w:bCs/>
                <w:color w:val="000000"/>
                <w:szCs w:val="21"/>
                <w:highlight w:val="none"/>
              </w:rPr>
            </w:pPr>
            <w:r>
              <w:rPr>
                <w:rFonts w:ascii="宋体" w:hAnsi="宋体"/>
                <w:bCs/>
                <w:color w:val="000000"/>
                <w:szCs w:val="21"/>
                <w:highlight w:val="none"/>
              </w:rPr>
              <w:t>货物原产地是否是中国境内</w:t>
            </w:r>
          </w:p>
        </w:tc>
        <w:tc>
          <w:tcPr>
            <w:tcW w:w="3994" w:type="dxa"/>
            <w:noWrap w:val="0"/>
            <w:vAlign w:val="center"/>
          </w:tcPr>
          <w:p w14:paraId="3D3E1260">
            <w:pPr>
              <w:pageBreakBefore w:val="0"/>
              <w:kinsoku/>
              <w:wordWrap/>
              <w:overflowPunct/>
              <w:topLinePunct w:val="0"/>
              <w:bidi w:val="0"/>
              <w:ind w:left="420" w:leftChars="200" w:right="420" w:rightChars="200"/>
              <w:jc w:val="center"/>
              <w:rPr>
                <w:rFonts w:hint="eastAsia" w:ascii="宋体" w:hAnsi="宋体"/>
                <w:bCs/>
                <w:color w:val="000000"/>
                <w:szCs w:val="21"/>
                <w:highlight w:val="none"/>
              </w:rPr>
            </w:pPr>
            <w:r>
              <w:rPr>
                <w:rFonts w:hint="eastAsia" w:ascii="宋体" w:hAnsi="宋体"/>
                <w:bCs/>
                <w:color w:val="000000"/>
                <w:szCs w:val="21"/>
                <w:highlight w:val="none"/>
              </w:rPr>
              <w:t>/</w:t>
            </w:r>
          </w:p>
        </w:tc>
      </w:tr>
      <w:tr w14:paraId="5E0EC4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67" w:hRule="atLeast"/>
          <w:tblCellSpacing w:w="0" w:type="dxa"/>
        </w:trPr>
        <w:tc>
          <w:tcPr>
            <w:tcW w:w="5055" w:type="dxa"/>
            <w:noWrap w:val="0"/>
            <w:vAlign w:val="center"/>
          </w:tcPr>
          <w:p w14:paraId="6908029F">
            <w:pPr>
              <w:pageBreakBefore w:val="0"/>
              <w:kinsoku/>
              <w:wordWrap/>
              <w:overflowPunct/>
              <w:topLinePunct w:val="0"/>
              <w:bidi w:val="0"/>
              <w:ind w:left="420" w:leftChars="200" w:right="420" w:rightChars="200"/>
              <w:jc w:val="center"/>
              <w:rPr>
                <w:rFonts w:ascii="宋体" w:hAnsi="宋体"/>
                <w:bCs/>
                <w:color w:val="000000"/>
                <w:szCs w:val="21"/>
                <w:highlight w:val="none"/>
              </w:rPr>
            </w:pPr>
            <w:r>
              <w:rPr>
                <w:rFonts w:ascii="宋体" w:hAnsi="宋体"/>
                <w:bCs/>
                <w:color w:val="000000"/>
                <w:szCs w:val="21"/>
                <w:highlight w:val="none"/>
              </w:rPr>
              <w:t>货物原产地是否是宁波</w:t>
            </w:r>
          </w:p>
        </w:tc>
        <w:tc>
          <w:tcPr>
            <w:tcW w:w="3994" w:type="dxa"/>
            <w:noWrap w:val="0"/>
            <w:vAlign w:val="center"/>
          </w:tcPr>
          <w:p w14:paraId="12D8CB14">
            <w:pPr>
              <w:pageBreakBefore w:val="0"/>
              <w:kinsoku/>
              <w:wordWrap/>
              <w:overflowPunct/>
              <w:topLinePunct w:val="0"/>
              <w:bidi w:val="0"/>
              <w:ind w:left="420" w:leftChars="200" w:right="420" w:rightChars="200"/>
              <w:jc w:val="center"/>
              <w:rPr>
                <w:rFonts w:hint="eastAsia" w:ascii="宋体" w:hAnsi="宋体"/>
                <w:bCs/>
                <w:color w:val="000000"/>
                <w:szCs w:val="21"/>
                <w:highlight w:val="none"/>
              </w:rPr>
            </w:pPr>
            <w:r>
              <w:rPr>
                <w:rFonts w:hint="eastAsia" w:ascii="宋体" w:hAnsi="宋体"/>
                <w:bCs/>
                <w:color w:val="000000"/>
                <w:szCs w:val="21"/>
                <w:highlight w:val="none"/>
              </w:rPr>
              <w:t>/</w:t>
            </w:r>
          </w:p>
        </w:tc>
      </w:tr>
      <w:tr w14:paraId="5A14A6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67" w:hRule="atLeast"/>
          <w:tblCellSpacing w:w="0" w:type="dxa"/>
        </w:trPr>
        <w:tc>
          <w:tcPr>
            <w:tcW w:w="5055" w:type="dxa"/>
            <w:noWrap w:val="0"/>
            <w:vAlign w:val="center"/>
          </w:tcPr>
          <w:p w14:paraId="0ABFC59A">
            <w:pPr>
              <w:pageBreakBefore w:val="0"/>
              <w:kinsoku/>
              <w:wordWrap/>
              <w:overflowPunct/>
              <w:topLinePunct w:val="0"/>
              <w:bidi w:val="0"/>
              <w:ind w:left="420" w:leftChars="200" w:right="420" w:rightChars="200"/>
              <w:jc w:val="center"/>
              <w:rPr>
                <w:rFonts w:ascii="宋体" w:hAnsi="宋体"/>
                <w:bCs/>
                <w:color w:val="000000"/>
                <w:szCs w:val="21"/>
                <w:highlight w:val="none"/>
              </w:rPr>
            </w:pPr>
            <w:r>
              <w:rPr>
                <w:rFonts w:ascii="宋体" w:hAnsi="宋体"/>
                <w:bCs/>
                <w:color w:val="000000"/>
                <w:szCs w:val="21"/>
                <w:highlight w:val="none"/>
              </w:rPr>
              <w:t>提供的货物是否是节能清单产品</w:t>
            </w:r>
          </w:p>
        </w:tc>
        <w:tc>
          <w:tcPr>
            <w:tcW w:w="3994" w:type="dxa"/>
            <w:noWrap w:val="0"/>
            <w:vAlign w:val="center"/>
          </w:tcPr>
          <w:p w14:paraId="38A1C7FC">
            <w:pPr>
              <w:pageBreakBefore w:val="0"/>
              <w:kinsoku/>
              <w:wordWrap/>
              <w:overflowPunct/>
              <w:topLinePunct w:val="0"/>
              <w:bidi w:val="0"/>
              <w:ind w:left="420" w:leftChars="200" w:right="420" w:rightChars="200"/>
              <w:jc w:val="center"/>
              <w:rPr>
                <w:rFonts w:hint="eastAsia" w:ascii="宋体" w:hAnsi="宋体"/>
                <w:bCs/>
                <w:color w:val="000000"/>
                <w:szCs w:val="21"/>
                <w:highlight w:val="none"/>
              </w:rPr>
            </w:pPr>
            <w:r>
              <w:rPr>
                <w:rFonts w:hint="eastAsia" w:ascii="宋体" w:hAnsi="宋体"/>
                <w:bCs/>
                <w:color w:val="000000"/>
                <w:szCs w:val="21"/>
                <w:highlight w:val="none"/>
              </w:rPr>
              <w:t>/</w:t>
            </w:r>
          </w:p>
        </w:tc>
      </w:tr>
      <w:tr w14:paraId="274823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67" w:hRule="atLeast"/>
          <w:tblCellSpacing w:w="0" w:type="dxa"/>
        </w:trPr>
        <w:tc>
          <w:tcPr>
            <w:tcW w:w="5055" w:type="dxa"/>
            <w:noWrap w:val="0"/>
            <w:vAlign w:val="center"/>
          </w:tcPr>
          <w:p w14:paraId="62C10E47">
            <w:pPr>
              <w:pageBreakBefore w:val="0"/>
              <w:kinsoku/>
              <w:wordWrap/>
              <w:overflowPunct/>
              <w:topLinePunct w:val="0"/>
              <w:bidi w:val="0"/>
              <w:ind w:left="420" w:leftChars="200" w:right="420" w:rightChars="200"/>
              <w:jc w:val="center"/>
              <w:rPr>
                <w:rFonts w:ascii="宋体" w:hAnsi="宋体"/>
                <w:bCs/>
                <w:color w:val="000000"/>
                <w:szCs w:val="21"/>
                <w:highlight w:val="none"/>
              </w:rPr>
            </w:pPr>
            <w:r>
              <w:rPr>
                <w:rFonts w:ascii="宋体" w:hAnsi="宋体"/>
                <w:bCs/>
                <w:color w:val="000000"/>
                <w:szCs w:val="21"/>
                <w:highlight w:val="none"/>
              </w:rPr>
              <w:t>提供的货物是否是环境标志清单产品</w:t>
            </w:r>
          </w:p>
        </w:tc>
        <w:tc>
          <w:tcPr>
            <w:tcW w:w="3994" w:type="dxa"/>
            <w:noWrap w:val="0"/>
            <w:vAlign w:val="center"/>
          </w:tcPr>
          <w:p w14:paraId="2184D548">
            <w:pPr>
              <w:pageBreakBefore w:val="0"/>
              <w:kinsoku/>
              <w:wordWrap/>
              <w:overflowPunct/>
              <w:topLinePunct w:val="0"/>
              <w:bidi w:val="0"/>
              <w:ind w:left="420" w:leftChars="200" w:right="420" w:rightChars="200"/>
              <w:jc w:val="center"/>
              <w:rPr>
                <w:rFonts w:hint="eastAsia" w:ascii="宋体" w:hAnsi="宋体"/>
                <w:bCs/>
                <w:color w:val="000000"/>
                <w:szCs w:val="21"/>
                <w:highlight w:val="none"/>
              </w:rPr>
            </w:pPr>
            <w:r>
              <w:rPr>
                <w:rFonts w:hint="eastAsia" w:ascii="宋体" w:hAnsi="宋体"/>
                <w:bCs/>
                <w:color w:val="000000"/>
                <w:szCs w:val="21"/>
                <w:highlight w:val="none"/>
              </w:rPr>
              <w:t>/</w:t>
            </w:r>
          </w:p>
        </w:tc>
      </w:tr>
      <w:tr w14:paraId="472C32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67" w:hRule="atLeast"/>
          <w:tblCellSpacing w:w="0" w:type="dxa"/>
        </w:trPr>
        <w:tc>
          <w:tcPr>
            <w:tcW w:w="5055" w:type="dxa"/>
            <w:noWrap w:val="0"/>
            <w:vAlign w:val="center"/>
          </w:tcPr>
          <w:p w14:paraId="4DFD648D">
            <w:pPr>
              <w:pageBreakBefore w:val="0"/>
              <w:kinsoku/>
              <w:wordWrap/>
              <w:overflowPunct/>
              <w:topLinePunct w:val="0"/>
              <w:bidi w:val="0"/>
              <w:ind w:left="420" w:leftChars="200" w:right="420" w:rightChars="200"/>
              <w:jc w:val="center"/>
              <w:rPr>
                <w:rFonts w:ascii="宋体" w:hAnsi="宋体"/>
                <w:bCs/>
                <w:color w:val="000000"/>
                <w:szCs w:val="21"/>
                <w:highlight w:val="none"/>
              </w:rPr>
            </w:pPr>
            <w:r>
              <w:rPr>
                <w:rFonts w:ascii="宋体" w:hAnsi="宋体"/>
                <w:bCs/>
                <w:color w:val="000000"/>
                <w:szCs w:val="21"/>
                <w:highlight w:val="none"/>
              </w:rPr>
              <w:t>承担的工程或服务是否本企业提供</w:t>
            </w:r>
          </w:p>
        </w:tc>
        <w:tc>
          <w:tcPr>
            <w:tcW w:w="3994" w:type="dxa"/>
            <w:noWrap w:val="0"/>
            <w:vAlign w:val="center"/>
          </w:tcPr>
          <w:p w14:paraId="23AA91A9">
            <w:pPr>
              <w:pageBreakBefore w:val="0"/>
              <w:kinsoku/>
              <w:wordWrap/>
              <w:overflowPunct/>
              <w:topLinePunct w:val="0"/>
              <w:bidi w:val="0"/>
              <w:ind w:left="420" w:leftChars="200" w:right="420" w:rightChars="200"/>
              <w:jc w:val="center"/>
              <w:rPr>
                <w:rFonts w:ascii="宋体" w:hAnsi="宋体"/>
                <w:bCs/>
                <w:color w:val="000000"/>
                <w:szCs w:val="21"/>
                <w:highlight w:val="none"/>
              </w:rPr>
            </w:pPr>
          </w:p>
        </w:tc>
      </w:tr>
    </w:tbl>
    <w:p w14:paraId="4CC3113A">
      <w:pPr>
        <w:pStyle w:val="55"/>
        <w:pageBreakBefore w:val="0"/>
        <w:kinsoku/>
        <w:wordWrap/>
        <w:overflowPunct/>
        <w:topLinePunct w:val="0"/>
        <w:bidi w:val="0"/>
        <w:ind w:left="420" w:leftChars="200" w:right="420" w:rightChars="200"/>
        <w:rPr>
          <w:rFonts w:hint="eastAsia" w:ascii="ˎ̥" w:hAnsi="ˎ̥"/>
          <w:color w:val="000000"/>
          <w:sz w:val="26"/>
          <w:szCs w:val="26"/>
          <w:highlight w:val="none"/>
        </w:rPr>
      </w:pPr>
    </w:p>
    <w:p w14:paraId="4782B50C">
      <w:pPr>
        <w:pStyle w:val="24"/>
        <w:pageBreakBefore w:val="0"/>
        <w:kinsoku/>
        <w:wordWrap/>
        <w:overflowPunct/>
        <w:topLinePunct w:val="0"/>
        <w:bidi w:val="0"/>
        <w:spacing w:before="120" w:beforeLines="50" w:line="360" w:lineRule="exact"/>
        <w:ind w:left="420" w:leftChars="200" w:right="420" w:rightChars="200" w:firstLine="0"/>
        <w:rPr>
          <w:rFonts w:eastAsia="宋体"/>
          <w:color w:val="000000"/>
          <w:szCs w:val="24"/>
          <w:highlight w:val="none"/>
        </w:rPr>
      </w:pPr>
      <w:r>
        <w:rPr>
          <w:rFonts w:hint="eastAsia" w:eastAsia="宋体"/>
          <w:color w:val="000000"/>
          <w:szCs w:val="24"/>
          <w:highlight w:val="none"/>
        </w:rPr>
        <w:t>供应商单位（盖公章）：</w:t>
      </w:r>
    </w:p>
    <w:p w14:paraId="7E8381BF">
      <w:pPr>
        <w:pageBreakBefore w:val="0"/>
        <w:kinsoku/>
        <w:wordWrap/>
        <w:overflowPunct/>
        <w:topLinePunct w:val="0"/>
        <w:bidi w:val="0"/>
        <w:spacing w:line="400" w:lineRule="exact"/>
        <w:ind w:left="420" w:leftChars="200" w:right="420" w:rightChars="200" w:firstLine="6720" w:firstLineChars="2800"/>
        <w:rPr>
          <w:rFonts w:hint="eastAsia"/>
          <w:color w:val="000000"/>
          <w:sz w:val="24"/>
          <w:highlight w:val="none"/>
        </w:rPr>
      </w:pPr>
      <w:r>
        <w:rPr>
          <w:rFonts w:hint="eastAsia"/>
          <w:color w:val="000000"/>
          <w:sz w:val="24"/>
          <w:szCs w:val="24"/>
          <w:highlight w:val="none"/>
        </w:rPr>
        <w:t>日</w:t>
      </w:r>
      <w:r>
        <w:rPr>
          <w:color w:val="000000"/>
          <w:sz w:val="24"/>
          <w:szCs w:val="24"/>
          <w:highlight w:val="none"/>
        </w:rPr>
        <w:t xml:space="preserve">    </w:t>
      </w:r>
      <w:r>
        <w:rPr>
          <w:rFonts w:hint="eastAsia"/>
          <w:color w:val="000000"/>
          <w:sz w:val="24"/>
          <w:szCs w:val="24"/>
          <w:highlight w:val="none"/>
        </w:rPr>
        <w:t>期：</w:t>
      </w:r>
    </w:p>
    <w:p w14:paraId="62E6F094">
      <w:pPr>
        <w:pStyle w:val="24"/>
        <w:pageBreakBefore w:val="0"/>
        <w:kinsoku/>
        <w:wordWrap/>
        <w:overflowPunct/>
        <w:topLinePunct w:val="0"/>
        <w:bidi w:val="0"/>
        <w:spacing w:line="400" w:lineRule="exact"/>
        <w:ind w:left="420" w:leftChars="200" w:right="420" w:rightChars="200" w:firstLine="0"/>
        <w:rPr>
          <w:rFonts w:hint="eastAsia" w:ascii="宋体" w:eastAsia="宋体"/>
          <w:color w:val="000000"/>
          <w:highlight w:val="none"/>
        </w:rPr>
        <w:sectPr>
          <w:footerReference r:id="rId5" w:type="default"/>
          <w:pgSz w:w="11907" w:h="16840"/>
          <w:pgMar w:top="1021" w:right="851" w:bottom="851" w:left="1134" w:header="720" w:footer="720" w:gutter="0"/>
          <w:cols w:space="720" w:num="1"/>
          <w:docGrid w:linePitch="285" w:charSpace="0"/>
        </w:sectPr>
      </w:pPr>
    </w:p>
    <w:p w14:paraId="46A47B8F">
      <w:pPr>
        <w:pageBreakBefore w:val="0"/>
        <w:kinsoku/>
        <w:wordWrap/>
        <w:overflowPunct/>
        <w:topLinePunct w:val="0"/>
        <w:bidi w:val="0"/>
        <w:spacing w:line="360" w:lineRule="auto"/>
        <w:ind w:left="420" w:leftChars="200" w:right="420" w:rightChars="200" w:firstLine="2168" w:firstLineChars="600"/>
        <w:jc w:val="both"/>
        <w:outlineLvl w:val="0"/>
        <w:rPr>
          <w:rFonts w:hint="eastAsia" w:ascii="仿宋" w:hAnsi="仿宋" w:eastAsia="仿宋" w:cs="仿宋"/>
          <w:b/>
          <w:sz w:val="36"/>
          <w:szCs w:val="20"/>
        </w:rPr>
      </w:pPr>
    </w:p>
    <w:p w14:paraId="1256E2CB">
      <w:pPr>
        <w:pageBreakBefore w:val="0"/>
        <w:kinsoku/>
        <w:wordWrap/>
        <w:overflowPunct/>
        <w:topLinePunct w:val="0"/>
        <w:bidi w:val="0"/>
        <w:spacing w:line="360" w:lineRule="auto"/>
        <w:ind w:left="420" w:leftChars="200" w:right="420" w:rightChars="200" w:firstLine="2168" w:firstLineChars="600"/>
        <w:jc w:val="both"/>
        <w:outlineLvl w:val="0"/>
        <w:rPr>
          <w:rFonts w:hint="eastAsia" w:ascii="仿宋" w:hAnsi="仿宋" w:eastAsia="仿宋" w:cs="仿宋"/>
          <w:b/>
          <w:sz w:val="36"/>
          <w:szCs w:val="20"/>
        </w:rPr>
      </w:pPr>
    </w:p>
    <w:p w14:paraId="605E7E1B">
      <w:pPr>
        <w:pageBreakBefore w:val="0"/>
        <w:kinsoku/>
        <w:wordWrap/>
        <w:overflowPunct/>
        <w:topLinePunct w:val="0"/>
        <w:bidi w:val="0"/>
        <w:spacing w:line="360" w:lineRule="auto"/>
        <w:ind w:left="420" w:leftChars="200" w:right="420" w:rightChars="200" w:firstLine="2168" w:firstLineChars="600"/>
        <w:jc w:val="both"/>
        <w:outlineLvl w:val="0"/>
        <w:rPr>
          <w:rFonts w:ascii="仿宋" w:hAnsi="仿宋" w:eastAsia="仿宋" w:cs="仿宋"/>
          <w:b/>
          <w:sz w:val="36"/>
          <w:szCs w:val="20"/>
        </w:rPr>
      </w:pPr>
      <w:r>
        <w:rPr>
          <w:rFonts w:hint="eastAsia" w:ascii="仿宋" w:hAnsi="仿宋" w:eastAsia="仿宋" w:cs="仿宋"/>
          <w:b/>
          <w:sz w:val="36"/>
          <w:szCs w:val="20"/>
        </w:rPr>
        <w:t xml:space="preserve">  图纸详见附件</w:t>
      </w:r>
    </w:p>
    <w:p w14:paraId="719E7597">
      <w:pPr>
        <w:pageBreakBefore w:val="0"/>
        <w:kinsoku/>
        <w:wordWrap/>
        <w:overflowPunct/>
        <w:topLinePunct w:val="0"/>
        <w:bidi w:val="0"/>
        <w:spacing w:line="360" w:lineRule="auto"/>
        <w:ind w:left="420" w:leftChars="200" w:right="420" w:rightChars="200" w:firstLine="723" w:firstLineChars="200"/>
        <w:outlineLvl w:val="0"/>
        <w:rPr>
          <w:rFonts w:ascii="仿宋" w:hAnsi="仿宋" w:eastAsia="仿宋" w:cs="仿宋"/>
          <w:b/>
          <w:sz w:val="36"/>
          <w:szCs w:val="20"/>
        </w:rPr>
      </w:pPr>
    </w:p>
    <w:p w14:paraId="0D9B7175">
      <w:pPr>
        <w:pageBreakBefore w:val="0"/>
        <w:kinsoku/>
        <w:wordWrap/>
        <w:overflowPunct/>
        <w:topLinePunct w:val="0"/>
        <w:bidi w:val="0"/>
        <w:spacing w:line="360" w:lineRule="auto"/>
        <w:ind w:left="420" w:leftChars="200" w:right="420" w:rightChars="200" w:firstLine="723" w:firstLineChars="200"/>
        <w:outlineLvl w:val="0"/>
        <w:rPr>
          <w:rFonts w:ascii="仿宋" w:hAnsi="仿宋" w:eastAsia="仿宋" w:cs="仿宋"/>
          <w:b/>
          <w:sz w:val="36"/>
          <w:szCs w:val="20"/>
        </w:rPr>
      </w:pPr>
    </w:p>
    <w:p w14:paraId="2713F8BC">
      <w:pPr>
        <w:pageBreakBefore w:val="0"/>
        <w:kinsoku/>
        <w:wordWrap/>
        <w:overflowPunct/>
        <w:topLinePunct w:val="0"/>
        <w:bidi w:val="0"/>
        <w:spacing w:line="360" w:lineRule="auto"/>
        <w:ind w:left="420" w:leftChars="200" w:right="420" w:rightChars="200" w:firstLine="723" w:firstLineChars="200"/>
        <w:outlineLvl w:val="0"/>
        <w:rPr>
          <w:rFonts w:ascii="仿宋" w:hAnsi="仿宋" w:eastAsia="仿宋" w:cs="仿宋"/>
          <w:b/>
          <w:sz w:val="36"/>
          <w:szCs w:val="20"/>
        </w:rPr>
      </w:pPr>
    </w:p>
    <w:p w14:paraId="4CB97327">
      <w:pPr>
        <w:pageBreakBefore w:val="0"/>
        <w:kinsoku/>
        <w:wordWrap/>
        <w:overflowPunct/>
        <w:topLinePunct w:val="0"/>
        <w:bidi w:val="0"/>
        <w:spacing w:line="360" w:lineRule="auto"/>
        <w:ind w:left="420" w:leftChars="200" w:right="420" w:rightChars="200" w:firstLine="723" w:firstLineChars="200"/>
        <w:outlineLvl w:val="0"/>
        <w:rPr>
          <w:rFonts w:ascii="仿宋" w:hAnsi="仿宋" w:eastAsia="仿宋" w:cs="仿宋"/>
          <w:b/>
          <w:sz w:val="36"/>
          <w:szCs w:val="20"/>
        </w:rPr>
      </w:pPr>
    </w:p>
    <w:p w14:paraId="2C62BC14">
      <w:pPr>
        <w:pageBreakBefore w:val="0"/>
        <w:kinsoku/>
        <w:wordWrap/>
        <w:overflowPunct/>
        <w:topLinePunct w:val="0"/>
        <w:bidi w:val="0"/>
        <w:spacing w:line="360" w:lineRule="auto"/>
        <w:ind w:left="420" w:leftChars="200" w:right="420" w:rightChars="200" w:firstLine="723" w:firstLineChars="200"/>
        <w:outlineLvl w:val="0"/>
        <w:rPr>
          <w:rFonts w:ascii="仿宋" w:hAnsi="仿宋" w:eastAsia="仿宋" w:cs="仿宋"/>
          <w:b/>
          <w:sz w:val="36"/>
          <w:szCs w:val="20"/>
        </w:rPr>
      </w:pPr>
    </w:p>
    <w:p w14:paraId="072499AA">
      <w:pPr>
        <w:pageBreakBefore w:val="0"/>
        <w:kinsoku/>
        <w:wordWrap/>
        <w:overflowPunct/>
        <w:topLinePunct w:val="0"/>
        <w:bidi w:val="0"/>
        <w:spacing w:line="360" w:lineRule="auto"/>
        <w:ind w:left="420" w:leftChars="200" w:right="420" w:rightChars="200" w:firstLine="723" w:firstLineChars="200"/>
        <w:outlineLvl w:val="0"/>
        <w:rPr>
          <w:rFonts w:ascii="仿宋" w:hAnsi="仿宋" w:eastAsia="仿宋" w:cs="仿宋"/>
          <w:b/>
          <w:sz w:val="36"/>
          <w:szCs w:val="20"/>
        </w:rPr>
      </w:pPr>
    </w:p>
    <w:p w14:paraId="6BAA9873">
      <w:pPr>
        <w:pageBreakBefore w:val="0"/>
        <w:kinsoku/>
        <w:wordWrap/>
        <w:overflowPunct/>
        <w:topLinePunct w:val="0"/>
        <w:bidi w:val="0"/>
        <w:spacing w:line="360" w:lineRule="auto"/>
        <w:ind w:left="420" w:leftChars="200" w:right="420" w:rightChars="200" w:firstLine="723" w:firstLineChars="200"/>
        <w:outlineLvl w:val="0"/>
        <w:rPr>
          <w:rFonts w:hint="eastAsia" w:ascii="仿宋" w:hAnsi="仿宋" w:eastAsia="仿宋" w:cs="仿宋"/>
          <w:b/>
          <w:sz w:val="36"/>
          <w:szCs w:val="20"/>
        </w:rPr>
      </w:pPr>
      <w:r>
        <w:rPr>
          <w:rFonts w:hint="eastAsia" w:ascii="仿宋" w:hAnsi="仿宋" w:eastAsia="仿宋" w:cs="仿宋"/>
          <w:b/>
          <w:sz w:val="36"/>
          <w:szCs w:val="20"/>
        </w:rPr>
        <w:br w:type="page"/>
      </w:r>
    </w:p>
    <w:bookmarkEnd w:id="972"/>
    <w:bookmarkEnd w:id="973"/>
    <w:bookmarkEnd w:id="974"/>
    <w:p w14:paraId="77D7C960">
      <w:pPr>
        <w:pageBreakBefore w:val="0"/>
        <w:kinsoku/>
        <w:wordWrap/>
        <w:overflowPunct/>
        <w:topLinePunct w:val="0"/>
        <w:bidi w:val="0"/>
        <w:ind w:left="420" w:leftChars="200" w:right="420" w:rightChars="200" w:firstLine="2891" w:firstLineChars="900"/>
        <w:rPr>
          <w:rFonts w:asciiTheme="minorEastAsia" w:hAnsiTheme="minorEastAsia" w:eastAsiaTheme="minorEastAsia"/>
          <w:b/>
          <w:bCs/>
          <w:sz w:val="32"/>
          <w:szCs w:val="32"/>
        </w:rPr>
      </w:pPr>
      <w:bookmarkStart w:id="981" w:name="_Toc6811"/>
      <w:r>
        <w:rPr>
          <w:rFonts w:hint="eastAsia" w:asciiTheme="minorEastAsia" w:hAnsiTheme="minorEastAsia" w:eastAsiaTheme="minorEastAsia"/>
          <w:b/>
          <w:bCs/>
          <w:sz w:val="32"/>
          <w:szCs w:val="32"/>
        </w:rPr>
        <w:t>业务专用章使用说明函</w:t>
      </w:r>
      <w:bookmarkEnd w:id="981"/>
    </w:p>
    <w:p w14:paraId="1627438C">
      <w:pPr>
        <w:pageBreakBefore w:val="0"/>
        <w:kinsoku/>
        <w:wordWrap/>
        <w:overflowPunct/>
        <w:topLinePunct w:val="0"/>
        <w:autoSpaceDE w:val="0"/>
        <w:autoSpaceDN w:val="0"/>
        <w:bidi w:val="0"/>
        <w:ind w:left="420" w:leftChars="200" w:right="420" w:rightChars="200"/>
        <w:jc w:val="center"/>
        <w:rPr>
          <w:rFonts w:asciiTheme="minorEastAsia" w:hAnsiTheme="minorEastAsia" w:eastAsiaTheme="minorEastAsia"/>
          <w:b/>
          <w:bCs/>
          <w:sz w:val="32"/>
          <w:szCs w:val="32"/>
        </w:rPr>
      </w:pPr>
    </w:p>
    <w:p w14:paraId="5ACBD770">
      <w:pPr>
        <w:pageBreakBefore w:val="0"/>
        <w:kinsoku/>
        <w:wordWrap/>
        <w:overflowPunct/>
        <w:topLinePunct w:val="0"/>
        <w:bidi w:val="0"/>
        <w:spacing w:line="360" w:lineRule="auto"/>
        <w:ind w:left="420" w:leftChars="200" w:right="420" w:rightChars="200"/>
        <w:rPr>
          <w:rFonts w:asciiTheme="minorEastAsia" w:hAnsiTheme="minorEastAsia" w:eastAsiaTheme="minorEastAsia"/>
          <w:sz w:val="24"/>
        </w:rPr>
      </w:pPr>
      <w:r>
        <w:rPr>
          <w:rFonts w:hint="eastAsia" w:cs="仿宋_GB2312" w:asciiTheme="minorEastAsia" w:hAnsiTheme="minorEastAsia" w:eastAsiaTheme="minorEastAsia"/>
          <w:sz w:val="24"/>
        </w:rPr>
        <w:t>（采购人）、（采购代理机构）：</w:t>
      </w:r>
    </w:p>
    <w:p w14:paraId="25F12C34">
      <w:pPr>
        <w:pageBreakBefore w:val="0"/>
        <w:kinsoku/>
        <w:wordWrap/>
        <w:overflowPunct/>
        <w:topLinePunct w:val="0"/>
        <w:bidi w:val="0"/>
        <w:spacing w:line="360" w:lineRule="auto"/>
        <w:ind w:left="420" w:leftChars="200" w:right="420" w:rightChars="200" w:firstLine="480" w:firstLineChars="200"/>
        <w:rPr>
          <w:rFonts w:cs="宋体" w:asciiTheme="minorEastAsia" w:hAnsiTheme="minorEastAsia" w:eastAsiaTheme="minorEastAsia"/>
          <w:sz w:val="24"/>
        </w:rPr>
      </w:pPr>
      <w:r>
        <w:rPr>
          <w:rFonts w:hint="eastAsia" w:cs="仿宋_GB2312" w:asciiTheme="minorEastAsia" w:hAnsiTheme="minorEastAsia" w:eastAsiaTheme="minorEastAsia"/>
          <w:kern w:val="0"/>
          <w:sz w:val="24"/>
          <w:lang w:val="zh-CN"/>
        </w:rPr>
        <w:t>我方</w:t>
      </w:r>
      <w:r>
        <w:rPr>
          <w:rFonts w:hint="eastAsia" w:cs="仿宋_GB2312" w:asciiTheme="minorEastAsia" w:hAnsiTheme="minorEastAsia" w:eastAsiaTheme="minorEastAsia"/>
          <w:kern w:val="0"/>
          <w:sz w:val="24"/>
          <w:u w:val="single"/>
          <w:lang w:val="zh-CN"/>
        </w:rPr>
        <w:t xml:space="preserve">                         </w:t>
      </w:r>
      <w:r>
        <w:rPr>
          <w:rFonts w:hint="eastAsia" w:cs="仿宋_GB2312" w:asciiTheme="minorEastAsia" w:hAnsiTheme="minorEastAsia" w:eastAsiaTheme="minorEastAsia"/>
          <w:sz w:val="24"/>
        </w:rPr>
        <w:t>(供应商全称)</w:t>
      </w:r>
      <w:r>
        <w:rPr>
          <w:rFonts w:hint="eastAsia" w:asciiTheme="minorEastAsia" w:hAnsiTheme="minorEastAsia" w:eastAsiaTheme="minorEastAsia"/>
          <w:sz w:val="24"/>
        </w:rPr>
        <w:t>是中华人民共和国依法登记注册的合法企业，</w:t>
      </w:r>
      <w:r>
        <w:rPr>
          <w:rFonts w:hint="eastAsia" w:cs="宋体" w:asciiTheme="minorEastAsia" w:hAnsiTheme="minorEastAsia" w:eastAsiaTheme="minorEastAsia"/>
          <w:bCs/>
          <w:sz w:val="24"/>
        </w:rPr>
        <w:t>在参加</w:t>
      </w:r>
      <w:r>
        <w:rPr>
          <w:rFonts w:hint="eastAsia" w:cs="仿宋_GB2312" w:asciiTheme="minorEastAsia" w:hAnsiTheme="minorEastAsia" w:eastAsiaTheme="minorEastAsia"/>
          <w:sz w:val="24"/>
        </w:rPr>
        <w:t>贵方组织的（项目名称）【项目编号：（采购编号）】</w:t>
      </w:r>
      <w:r>
        <w:rPr>
          <w:rFonts w:hint="eastAsia" w:cs="宋体" w:asciiTheme="minorEastAsia" w:hAnsiTheme="minorEastAsia" w:eastAsiaTheme="minorEastAsia"/>
          <w:bCs/>
          <w:sz w:val="24"/>
        </w:rPr>
        <w:t>采购活动中作如下说明：</w:t>
      </w:r>
      <w:r>
        <w:rPr>
          <w:rFonts w:hint="eastAsia" w:cs="宋体" w:asciiTheme="minorEastAsia" w:hAnsiTheme="minorEastAsia" w:eastAsiaTheme="minorEastAsia"/>
          <w:sz w:val="24"/>
        </w:rPr>
        <w:t>我方所使用的“</w:t>
      </w:r>
      <w:r>
        <w:rPr>
          <w:rFonts w:hint="eastAsia" w:cs="仿宋_GB2312" w:asciiTheme="minorEastAsia" w:hAnsiTheme="minorEastAsia" w:eastAsiaTheme="minorEastAsia"/>
          <w:sz w:val="24"/>
        </w:rPr>
        <w:t>XX</w:t>
      </w:r>
      <w:r>
        <w:rPr>
          <w:rFonts w:hint="eastAsia" w:cs="宋体" w:asciiTheme="minorEastAsia" w:hAnsiTheme="minorEastAsia" w:eastAsiaTheme="minorEastAsia"/>
          <w:sz w:val="24"/>
        </w:rPr>
        <w:t>专用章”与法定名称章具有同等的法律效力，对使用“</w:t>
      </w:r>
      <w:r>
        <w:rPr>
          <w:rFonts w:hint="eastAsia" w:cs="仿宋_GB2312" w:asciiTheme="minorEastAsia" w:hAnsiTheme="minorEastAsia" w:eastAsiaTheme="minorEastAsia"/>
          <w:sz w:val="24"/>
        </w:rPr>
        <w:t>XX</w:t>
      </w:r>
      <w:r>
        <w:rPr>
          <w:rFonts w:hint="eastAsia" w:cs="宋体" w:asciiTheme="minorEastAsia" w:hAnsiTheme="minorEastAsia" w:eastAsiaTheme="minorEastAsia"/>
          <w:sz w:val="24"/>
        </w:rPr>
        <w:t xml:space="preserve">专用章”的行为予以完全承认，并愿意承担相应责任。   </w:t>
      </w:r>
    </w:p>
    <w:p w14:paraId="061AE8B2">
      <w:pPr>
        <w:pageBreakBefore w:val="0"/>
        <w:kinsoku/>
        <w:wordWrap/>
        <w:overflowPunct/>
        <w:topLinePunct w:val="0"/>
        <w:bidi w:val="0"/>
        <w:spacing w:line="360" w:lineRule="auto"/>
        <w:ind w:left="420" w:leftChars="200" w:right="420" w:rightChars="200"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特此说明。</w:t>
      </w:r>
    </w:p>
    <w:p w14:paraId="2F81D2E8">
      <w:pPr>
        <w:pageBreakBefore w:val="0"/>
        <w:kinsoku/>
        <w:wordWrap/>
        <w:overflowPunct/>
        <w:topLinePunct w:val="0"/>
        <w:bidi w:val="0"/>
        <w:spacing w:line="360" w:lineRule="auto"/>
        <w:ind w:left="420" w:leftChars="200" w:right="420" w:rightChars="200" w:firstLine="494"/>
        <w:rPr>
          <w:rFonts w:cs="宋体" w:asciiTheme="minorEastAsia" w:hAnsiTheme="minorEastAsia" w:eastAsiaTheme="minorEastAsia"/>
          <w:sz w:val="24"/>
        </w:rPr>
      </w:pPr>
    </w:p>
    <w:p w14:paraId="692C54AE">
      <w:pPr>
        <w:pageBreakBefore w:val="0"/>
        <w:kinsoku/>
        <w:wordWrap/>
        <w:overflowPunct/>
        <w:topLinePunct w:val="0"/>
        <w:bidi w:val="0"/>
        <w:spacing w:line="360" w:lineRule="auto"/>
        <w:ind w:left="420" w:leftChars="200" w:right="420" w:rightChars="200" w:firstLine="494"/>
        <w:rPr>
          <w:rFonts w:cs="宋体" w:asciiTheme="minorEastAsia" w:hAnsiTheme="minorEastAsia" w:eastAsiaTheme="minorEastAsia"/>
          <w:sz w:val="24"/>
        </w:rPr>
      </w:pPr>
    </w:p>
    <w:p w14:paraId="63FDB45A">
      <w:pPr>
        <w:pageBreakBefore w:val="0"/>
        <w:kinsoku/>
        <w:wordWrap/>
        <w:overflowPunct/>
        <w:topLinePunct w:val="0"/>
        <w:bidi w:val="0"/>
        <w:spacing w:line="360" w:lineRule="auto"/>
        <w:ind w:left="420" w:leftChars="200" w:right="420" w:rightChars="200" w:firstLine="494"/>
        <w:rPr>
          <w:rFonts w:cs="宋体" w:asciiTheme="minorEastAsia" w:hAnsiTheme="minorEastAsia" w:eastAsiaTheme="minorEastAsia"/>
          <w:sz w:val="24"/>
        </w:rPr>
      </w:pPr>
    </w:p>
    <w:p w14:paraId="7D318FF0">
      <w:pPr>
        <w:pageBreakBefore w:val="0"/>
        <w:kinsoku/>
        <w:wordWrap/>
        <w:overflowPunct/>
        <w:topLinePunct w:val="0"/>
        <w:bidi w:val="0"/>
        <w:spacing w:line="360" w:lineRule="auto"/>
        <w:ind w:left="420" w:leftChars="200" w:right="420" w:rightChars="200" w:firstLine="494"/>
        <w:rPr>
          <w:rFonts w:cs="宋体" w:asciiTheme="minorEastAsia" w:hAnsiTheme="minorEastAsia" w:eastAsiaTheme="minorEastAsia"/>
          <w:sz w:val="24"/>
        </w:rPr>
      </w:pPr>
    </w:p>
    <w:p w14:paraId="3E3B9364">
      <w:pPr>
        <w:pageBreakBefore w:val="0"/>
        <w:kinsoku/>
        <w:wordWrap/>
        <w:overflowPunct/>
        <w:topLinePunct w:val="0"/>
        <w:bidi w:val="0"/>
        <w:spacing w:line="360" w:lineRule="auto"/>
        <w:ind w:left="420" w:leftChars="200" w:right="420" w:rightChars="200" w:firstLine="4080" w:firstLineChars="1700"/>
        <w:rPr>
          <w:rFonts w:cs="宋体" w:asciiTheme="minorEastAsia" w:hAnsiTheme="minorEastAsia" w:eastAsiaTheme="minorEastAsia"/>
          <w:sz w:val="24"/>
        </w:rPr>
      </w:pPr>
      <w:r>
        <w:rPr>
          <w:rFonts w:hint="eastAsia" w:cs="宋体" w:asciiTheme="minorEastAsia" w:hAnsiTheme="minorEastAsia" w:eastAsiaTheme="minorEastAsia"/>
          <w:sz w:val="24"/>
        </w:rPr>
        <w:t>供应商（法定名称章）：</w:t>
      </w:r>
    </w:p>
    <w:p w14:paraId="3764AAFC">
      <w:pPr>
        <w:pageBreakBefore w:val="0"/>
        <w:kinsoku/>
        <w:wordWrap/>
        <w:overflowPunct/>
        <w:topLinePunct w:val="0"/>
        <w:bidi w:val="0"/>
        <w:spacing w:line="360" w:lineRule="auto"/>
        <w:ind w:left="420" w:leftChars="200" w:right="420" w:rightChars="200" w:firstLine="4080" w:firstLineChars="1700"/>
        <w:rPr>
          <w:rFonts w:cs="宋体" w:asciiTheme="minorEastAsia" w:hAnsiTheme="minorEastAsia" w:eastAsiaTheme="minorEastAsia"/>
          <w:sz w:val="24"/>
        </w:rPr>
      </w:pPr>
      <w:r>
        <w:rPr>
          <w:rFonts w:hint="eastAsia" w:cs="宋体" w:asciiTheme="minorEastAsia" w:hAnsiTheme="minorEastAsia" w:eastAsiaTheme="minorEastAsia"/>
          <w:sz w:val="24"/>
        </w:rPr>
        <w:t>日期：       年     月     日</w:t>
      </w:r>
    </w:p>
    <w:p w14:paraId="0DF3E53B">
      <w:pPr>
        <w:pageBreakBefore w:val="0"/>
        <w:kinsoku/>
        <w:wordWrap/>
        <w:overflowPunct/>
        <w:topLinePunct w:val="0"/>
        <w:bidi w:val="0"/>
        <w:ind w:left="420" w:leftChars="200" w:right="420" w:rightChars="200"/>
        <w:rPr>
          <w:rFonts w:cs="宋体" w:asciiTheme="minorEastAsia" w:hAnsiTheme="minorEastAsia" w:eastAsiaTheme="minorEastAsia"/>
          <w:sz w:val="24"/>
        </w:rPr>
      </w:pPr>
      <w:r>
        <w:rPr>
          <w:rFonts w:hint="eastAsia" w:cs="宋体" w:asciiTheme="minorEastAsia" w:hAnsiTheme="minorEastAsia" w:eastAsiaTheme="minorEastAsia"/>
          <w:b/>
          <w:bCs/>
          <w:sz w:val="24"/>
        </w:rPr>
        <w:t>附：</w:t>
      </w:r>
    </w:p>
    <w:p w14:paraId="0D02C79E">
      <w:pPr>
        <w:pageBreakBefore w:val="0"/>
        <w:kinsoku/>
        <w:wordWrap/>
        <w:overflowPunct/>
        <w:topLinePunct w:val="0"/>
        <w:bidi w:val="0"/>
        <w:spacing w:line="360" w:lineRule="auto"/>
        <w:ind w:left="420" w:leftChars="200" w:right="420" w:rightChars="200"/>
        <w:rPr>
          <w:rFonts w:asciiTheme="minorEastAsia" w:hAnsiTheme="minorEastAsia" w:eastAsiaTheme="minorEastAsia"/>
          <w:bCs/>
          <w:sz w:val="24"/>
        </w:rPr>
      </w:pPr>
      <w:r>
        <w:rPr>
          <w:rFonts w:asciiTheme="minorEastAsia" w:hAnsiTheme="minorEastAsia" w:eastAsiaTheme="minorEastAsia"/>
        </w:rPr>
        <mc:AlternateContent>
          <mc:Choice Requires="wps">
            <w:drawing>
              <wp:anchor distT="0" distB="0" distL="114300" distR="114300" simplePos="0" relativeHeight="251660288" behindDoc="1" locked="0" layoutInCell="1" allowOverlap="1">
                <wp:simplePos x="0" y="0"/>
                <wp:positionH relativeFrom="column">
                  <wp:posOffset>3034030</wp:posOffset>
                </wp:positionH>
                <wp:positionV relativeFrom="paragraph">
                  <wp:posOffset>356235</wp:posOffset>
                </wp:positionV>
                <wp:extent cx="2704465" cy="2253615"/>
                <wp:effectExtent l="13970" t="7620" r="5715" b="5715"/>
                <wp:wrapNone/>
                <wp:docPr id="18" name="矩形 18"/>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38.9pt;margin-top:28.05pt;height:177.45pt;width:212.95pt;z-index:-251656192;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uZsmJTQCAAByBAAADgAAAGRycy9lMm9Eb2MueG1srVTB&#10;jtMwEL0j8Q+W7zRtaLts1HS1alWEtMBKCx/gOk5jYXvM2G1afgaJGx/B5yB+g4nTLd2Fwx7IwfJ4&#10;xs/z3sxkdrW3hu0UBg2u5KPBkDPlJFTabUr+8cPqxSvOQhSuEgacKvlBBX41f/5s1vpC5dCAqRQy&#10;AnGhaH3Jmxh9kWVBNsqKMACvHDlrQCsimbjJKhQtoVuT5cPhNGsBK48gVQh0uuyd/IiITwGEutZS&#10;LUFurXKxR0VlRCRKodE+8HnKtq6VjO/rOqjITMmJaUwrPUL7dbdm85koNih8o+UxBfGUFB5xskI7&#10;evQEtRRRsC3qv6CslggB6jiQYLOeSFKEWIyGj7S5a4RXiQtJHfxJ9PD/YOW73S0yXVEnUN2dsFTx&#10;X1+///zxjdEBqdP6UFDQnb/Fjl/wNyA/BeZg0Qi3UdeI0DZKVJTTqIvPHlzojEBX2bp9CxVhi22E&#10;JNS+RtsBkgRsn+pxONVD7SOTdJhfDMfj6YQzSb48n7ycjibpDVHcX/cY4msFlnWbkiMVPMGL3U2I&#10;XTqiuA9J6YPR1UobkwzcrBcG2U5Qc6zSd0QP52HGsbbkl5N8kpAf+MI5xDB9/4KwOtLMGG2JxnmQ&#10;cUfBOo16rddQHUgvhL5VaVBp0wB+4aylNi15+LwVqDgzbxxpfjkaj7u+TsZ4cpGTgeee9blHOElQ&#10;JY+c9dtF7Gdh61FvGnpplDg6uKY61Top2NWwz+qYLLViEvY4Nl2vn9sp6s+vYv4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9ZAPP9gAAAAKAQAADwAAAAAAAAABACAAAAAiAAAAZHJzL2Rvd25yZXYu&#10;eG1sUEsBAhQAFAAAAAgAh07iQLmbJiU0AgAAcgQAAA4AAAAAAAAAAQAgAAAAJwEAAGRycy9lMm9E&#10;b2MueG1sUEsFBgAAAAAGAAYAWQEAAM0FAAAAAA==&#10;">
                <v:fill on="t" focussize="0,0"/>
                <v:stroke color="#000000" miterlimit="2" joinstyle="miter"/>
                <v:imagedata o:title=""/>
                <o:lock v:ext="edit" aspectratio="f"/>
              </v:rect>
            </w:pict>
          </mc:Fallback>
        </mc:AlternateContent>
      </w:r>
      <w:r>
        <w:rPr>
          <w:rFonts w:asciiTheme="minorEastAsia" w:hAnsiTheme="minorEastAsia" w:eastAsiaTheme="minorEastAsia"/>
        </w:rPr>
        <mc:AlternateContent>
          <mc:Choice Requires="wps">
            <w:drawing>
              <wp:anchor distT="0" distB="0" distL="114300" distR="114300" simplePos="0" relativeHeight="251659264" behindDoc="1" locked="0" layoutInCell="1" allowOverlap="1">
                <wp:simplePos x="0" y="0"/>
                <wp:positionH relativeFrom="column">
                  <wp:posOffset>-91440</wp:posOffset>
                </wp:positionH>
                <wp:positionV relativeFrom="paragraph">
                  <wp:posOffset>384810</wp:posOffset>
                </wp:positionV>
                <wp:extent cx="2647950" cy="2253615"/>
                <wp:effectExtent l="12700" t="7620" r="6350" b="5715"/>
                <wp:wrapNone/>
                <wp:docPr id="1" name="矩形 1"/>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7.2pt;margin-top:30.3pt;height:177.45pt;width:208.5pt;z-index:-251657216;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Y9QhvDECAABwBAAADgAAAGRycy9lMm9Eb2MueG1srVTB&#10;jtMwEL0j8Q+W7zRtaLu0arpatSpCWmClhQ9wHaexsD1m7DYtP4PEjY/gcxC/wcRpS3fhsAdyiDyZ&#10;8fN7b8aZXe+tYTuFQYMr+KDX50w5CaV2m4J//LB68YqzEIUrhQGnCn5QgV/Pnz+bNX6qcqjBlAoZ&#10;gbgwbXzB6xj9NMuCrJUVoQdeOUpWgFZECnGTlSgaQrcmy/v9cdYAlh5BqhDo67JL8iMiPgUQqkpL&#10;tQS5tcrFDhWVEZEkhVr7wOeJbVUpGd9XVVCRmYKT0pjedAit1+07m8/EdIPC11oeKYinUHikyQrt&#10;6NAz1FJEwbao/4KyWiIEqGJPgs06IckRUjHoP/LmvhZeJS1kdfBn08P/g5XvdnfIdEmTwJkTlhr+&#10;6+v3nz++sUHrTePDlEru/R226oK/BfkpMAeLWriNukGEplaiJEapPnuwoQ0CbWXr5i2UBC22EZJN&#10;+wptC0gGsH3qxuHcDbWPTNLHfDy8moyoUZJyeT56OR6MWk6ZmJ62ewzxtQLL2kXBkdqd4MXuNsSu&#10;9FSS6IPR5UobkwLcrBcG2U7QaKzSc0QPl2XGsabgk1E+SsgPcuESop+ef0FYHenGGG1JxmWRcSTm&#10;5FHn9RrKA/mF0A0qXVNa1IBfOGtoSAsePm8FKs7MG0eeTwbDYTvVKRiOrnIK8DKzvswIJwmq4JGz&#10;brmI3U3YetSbmk4aJI0ObqhPlU4Otvw6VkeyNIipB8dL0076ZZyq/vwo5r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GYxHptgAAAAKAQAADwAAAAAAAAABACAAAAAiAAAAZHJzL2Rvd25yZXYueG1s&#10;UEsBAhQAFAAAAAgAh07iQGPUIbwxAgAAcAQAAA4AAAAAAAAAAQAgAAAAJwEAAGRycy9lMm9Eb2Mu&#10;eG1sUEsFBgAAAAAGAAYAWQEAAMoFAAAAAA==&#10;">
                <v:fill on="t" focussize="0,0"/>
                <v:stroke color="#000000" miterlimit="2" joinstyle="miter"/>
                <v:imagedata o:title=""/>
                <o:lock v:ext="edit" aspectratio="f"/>
              </v:rect>
            </w:pict>
          </mc:Fallback>
        </mc:AlternateContent>
      </w:r>
      <w:r>
        <w:rPr>
          <w:rFonts w:hint="eastAsia" w:cs="宋体" w:asciiTheme="minorEastAsia" w:hAnsiTheme="minorEastAsia" w:eastAsiaTheme="minorEastAsia"/>
          <w:sz w:val="24"/>
        </w:rPr>
        <w:t>供应商法定名称章（印模）                供应商“</w:t>
      </w:r>
      <w:r>
        <w:rPr>
          <w:rFonts w:hint="eastAsia" w:cs="仿宋_GB2312" w:asciiTheme="minorEastAsia" w:hAnsiTheme="minorEastAsia" w:eastAsiaTheme="minorEastAsia"/>
          <w:sz w:val="24"/>
        </w:rPr>
        <w:t>XX</w:t>
      </w:r>
      <w:r>
        <w:rPr>
          <w:rFonts w:hint="eastAsia" w:cs="宋体" w:asciiTheme="minorEastAsia" w:hAnsiTheme="minorEastAsia" w:eastAsiaTheme="minorEastAsia"/>
          <w:sz w:val="24"/>
        </w:rPr>
        <w:t>专用章”（印模）</w:t>
      </w:r>
    </w:p>
    <w:p w14:paraId="3FE4EC14">
      <w:pPr>
        <w:pageBreakBefore w:val="0"/>
        <w:widowControl/>
        <w:kinsoku/>
        <w:wordWrap/>
        <w:overflowPunct/>
        <w:topLinePunct w:val="0"/>
        <w:bidi w:val="0"/>
        <w:spacing w:line="360" w:lineRule="auto"/>
        <w:ind w:left="420" w:leftChars="200" w:right="420" w:rightChars="200" w:firstLine="480" w:firstLineChars="200"/>
        <w:jc w:val="left"/>
        <w:rPr>
          <w:rFonts w:cs="宋体" w:asciiTheme="minorEastAsia" w:hAnsiTheme="minorEastAsia" w:eastAsiaTheme="minorEastAsia"/>
          <w:kern w:val="0"/>
          <w:sz w:val="24"/>
        </w:rPr>
      </w:pPr>
    </w:p>
    <w:p w14:paraId="7F2EF933">
      <w:pPr>
        <w:pageBreakBefore w:val="0"/>
        <w:kinsoku/>
        <w:wordWrap/>
        <w:overflowPunct/>
        <w:topLinePunct w:val="0"/>
        <w:bidi w:val="0"/>
        <w:snapToGrid w:val="0"/>
        <w:spacing w:line="360" w:lineRule="auto"/>
        <w:ind w:left="420" w:leftChars="200" w:right="420" w:rightChars="200"/>
        <w:jc w:val="center"/>
        <w:rPr>
          <w:rFonts w:cs="仿宋_GB2312" w:asciiTheme="minorEastAsia" w:hAnsiTheme="minorEastAsia" w:eastAsiaTheme="minorEastAsia"/>
          <w:b/>
          <w:sz w:val="24"/>
        </w:rPr>
      </w:pPr>
    </w:p>
    <w:p w14:paraId="447581D4">
      <w:pPr>
        <w:pageBreakBefore w:val="0"/>
        <w:widowControl/>
        <w:kinsoku/>
        <w:wordWrap/>
        <w:overflowPunct/>
        <w:topLinePunct w:val="0"/>
        <w:bidi w:val="0"/>
        <w:adjustRightInd/>
        <w:ind w:left="420" w:leftChars="200" w:right="420" w:rightChars="200"/>
        <w:jc w:val="left"/>
        <w:rPr>
          <w:rFonts w:cs="仿宋_GB2312" w:asciiTheme="minorEastAsia" w:hAnsiTheme="minorEastAsia" w:eastAsiaTheme="minorEastAsia"/>
          <w:b/>
          <w:sz w:val="24"/>
        </w:rPr>
      </w:pPr>
    </w:p>
    <w:sectPr>
      <w:headerReference r:id="rId7" w:type="first"/>
      <w:footerReference r:id="rId9" w:type="first"/>
      <w:headerReference r:id="rId6" w:type="default"/>
      <w:footerReference r:id="rId8" w:type="default"/>
      <w:pgSz w:w="11906" w:h="16838"/>
      <w:pgMar w:top="779" w:right="1418" w:bottom="468" w:left="1418" w:header="851" w:footer="992" w:gutter="0"/>
      <w:pgNumType w:fmt="decimal"/>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Light">
    <w:panose1 w:val="020B0502040204020203"/>
    <w:charset w:val="86"/>
    <w:family w:val="swiss"/>
    <w:pitch w:val="default"/>
    <w:sig w:usb0="80000287" w:usb1="2ACF0010" w:usb2="00000016" w:usb3="00000000" w:csb0="0004001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FHLHE E+ Futura Bk">
    <w:altName w:val="宋体"/>
    <w:panose1 w:val="00000000000000000000"/>
    <w:charset w:val="86"/>
    <w:family w:val="swiss"/>
    <w:pitch w:val="default"/>
    <w:sig w:usb0="00000000" w:usb1="00000000" w:usb2="00000010" w:usb3="00000000" w:csb0="00040000" w:csb1="00000000"/>
  </w:font>
  <w:font w:name="新宋体">
    <w:panose1 w:val="02010609030101010101"/>
    <w:charset w:val="86"/>
    <w:family w:val="modern"/>
    <w:pitch w:val="default"/>
    <w:sig w:usb0="00000283" w:usb1="288F0000" w:usb2="00000006" w:usb3="00000000" w:csb0="00040001" w:csb1="00000000"/>
  </w:font>
  <w:font w:name="Helvetica">
    <w:panose1 w:val="020B0504020202030204"/>
    <w:charset w:val="00"/>
    <w:family w:val="swiss"/>
    <w:pitch w:val="default"/>
    <w:sig w:usb0="00000007" w:usb1="00000000" w:usb2="00000000" w:usb3="00000000" w:csb0="00000093" w:csb1="00000000"/>
  </w:font>
  <w:font w:name="Arial Narrow">
    <w:altName w:val="Arial"/>
    <w:panose1 w:val="020B0606020202030204"/>
    <w:charset w:val="00"/>
    <w:family w:val="swiss"/>
    <w:pitch w:val="default"/>
    <w:sig w:usb0="00000000" w:usb1="00000000" w:usb2="00000000" w:usb3="00000000" w:csb0="2000009F" w:csb1="DFD7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auto"/>
    <w:pitch w:val="default"/>
    <w:sig w:usb0="80001AFF" w:usb1="0000396B" w:usb2="00000000" w:usb3="00000000" w:csb0="200000BF" w:csb1="D7F7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Arial (W1)">
    <w:altName w:val="Arial"/>
    <w:panose1 w:val="00000000000000000000"/>
    <w:charset w:val="00"/>
    <w:family w:val="swiss"/>
    <w:pitch w:val="default"/>
    <w:sig w:usb0="00000000" w:usb1="00000000" w:usb2="00000008" w:usb3="00000000" w:csb0="000001FF"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swiss"/>
    <w:pitch w:val="default"/>
    <w:sig w:usb0="00000000" w:usb1="00000000" w:usb2="00000000" w:usb3="00000000" w:csb0="00000001" w:csb1="00000000"/>
  </w:font>
  <w:font w:name="Futura Hv">
    <w:altName w:val="Segoe Print"/>
    <w:panose1 w:val="00000000000000000000"/>
    <w:charset w:val="00"/>
    <w:family w:val="swiss"/>
    <w:pitch w:val="default"/>
    <w:sig w:usb0="00000000" w:usb1="00000000" w:usb2="00000000" w:usb3="00000000" w:csb0="000001FB"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幼圆">
    <w:altName w:val="宋体"/>
    <w:panose1 w:val="02010509060101010101"/>
    <w:charset w:val="86"/>
    <w:family w:val="modern"/>
    <w:pitch w:val="default"/>
    <w:sig w:usb0="00000000" w:usb1="00000000" w:usb2="00000000" w:usb3="00000000" w:csb0="00040000" w:csb1="00000000"/>
  </w:font>
  <w:font w:name="Aldine401 BT">
    <w:altName w:val="Segoe Print"/>
    <w:panose1 w:val="00000000000000000000"/>
    <w:charset w:val="00"/>
    <w:family w:val="roman"/>
    <w:pitch w:val="default"/>
    <w:sig w:usb0="00000000" w:usb1="00000000" w:usb2="00000000" w:usb3="00000000" w:csb0="00000011" w:csb1="00000000"/>
  </w:font>
  <w:font w:name="Century Gothic">
    <w:altName w:val="Segoe Print"/>
    <w:panose1 w:val="020B0502020202020204"/>
    <w:charset w:val="00"/>
    <w:family w:val="swiss"/>
    <w:pitch w:val="default"/>
    <w:sig w:usb0="00000000" w:usb1="00000000" w:usb2="00000000" w:usb3="00000000" w:csb0="2000009F" w:csb1="DFD70000"/>
  </w:font>
  <w:font w:name="ˎ̥">
    <w:altName w:val="Times New Roman"/>
    <w:panose1 w:val="00000000000000000000"/>
    <w:charset w:val="00"/>
    <w:family w:val="roman"/>
    <w:pitch w:val="default"/>
    <w:sig w:usb0="00000000" w:usb1="00000000" w:usb2="00000000" w:usb3="00000000" w:csb0="00040001" w:csb1="00000000"/>
  </w:font>
  <w:font w:name="MS Sans Serif">
    <w:altName w:val="Courier New"/>
    <w:panose1 w:val="00000000000000000000"/>
    <w:charset w:val="00"/>
    <w:family w:val="swiss"/>
    <w:pitch w:val="default"/>
    <w:sig w:usb0="00000000" w:usb1="00000000" w:usb2="00000000" w:usb3="00000000" w:csb0="00000001" w:csb1="00000000"/>
  </w:font>
  <w:font w:name="华文中宋">
    <w:altName w:val="宋体"/>
    <w:panose1 w:val="02010600040101010101"/>
    <w:charset w:val="86"/>
    <w:family w:val="auto"/>
    <w:pitch w:val="default"/>
    <w:sig w:usb0="00000000" w:usb1="00000000" w:usb2="00000000" w:usb3="00000000" w:csb0="0004009F" w:csb1="DFD70000"/>
  </w:font>
  <w:font w:name="创艺简标宋">
    <w:altName w:val="黑体"/>
    <w:panose1 w:val="00000000000000000000"/>
    <w:charset w:val="86"/>
    <w:family w:val="auto"/>
    <w:pitch w:val="default"/>
    <w:sig w:usb0="00000000" w:usb1="00000000" w:usb2="00000010" w:usb3="00000000" w:csb0="00040000" w:csb1="00000000"/>
  </w:font>
  <w:font w:name="MS Gothic">
    <w:panose1 w:val="020B0609070205080204"/>
    <w:charset w:val="80"/>
    <w:family w:val="modern"/>
    <w:pitch w:val="default"/>
    <w:sig w:usb0="E00002FF" w:usb1="6AC7FDFB" w:usb2="08000012" w:usb3="00000000" w:csb0="4002009F" w:csb1="DFD70000"/>
  </w:font>
  <w:font w:name="MS Mincho">
    <w:altName w:val="Yu Gothic UI"/>
    <w:panose1 w:val="02020609040205080304"/>
    <w:charset w:val="80"/>
    <w:family w:val="modern"/>
    <w:pitch w:val="default"/>
    <w:sig w:usb0="00000000" w:usb1="00000000" w:usb2="00000012" w:usb3="00000000" w:csb0="4002009F" w:csb1="DFD70000"/>
  </w:font>
  <w:font w:name="Yu Gothic UI">
    <w:panose1 w:val="020B0500000000000000"/>
    <w:charset w:val="80"/>
    <w:family w:val="auto"/>
    <w:pitch w:val="default"/>
    <w:sig w:usb0="E00002FF" w:usb1="2AC7FDFF" w:usb2="00000016" w:usb3="00000000" w:csb0="2002009F" w:csb1="00000000"/>
  </w:font>
  <w:font w:name="_5b8b_4f53">
    <w:altName w:val="Times New Roman"/>
    <w:panose1 w:val="00000000000000000000"/>
    <w:charset w:val="00"/>
    <w:family w:val="roman"/>
    <w:pitch w:val="default"/>
    <w:sig w:usb0="00000000" w:usb1="00000000" w:usb2="00000000" w:usb3="00000000" w:csb0="00040001" w:csb1="00000000"/>
  </w:font>
  <w:font w:name="MingLiU_HKSCS">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Wingdings 2">
    <w:altName w:val="Wingdings"/>
    <w:panose1 w:val="05020102010507070707"/>
    <w:charset w:val="02"/>
    <w:family w:val="roman"/>
    <w:pitch w:val="default"/>
    <w:sig w:usb0="00000000" w:usb1="00000000" w:usb2="00000000" w:usb3="00000000" w:csb0="80000000" w:csb1="00000000"/>
  </w:font>
  <w:font w:name="Kingsoft UE">
    <w:altName w:val="Segoe Prin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593038">
    <w:pPr>
      <w:pStyle w:val="38"/>
      <w:jc w:val="right"/>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16205" cy="278765"/>
              <wp:effectExtent l="0" t="0" r="0" b="0"/>
              <wp:wrapNone/>
              <wp:docPr id="3" name="文本框 3"/>
              <wp:cNvGraphicFramePr/>
              <a:graphic xmlns:a="http://schemas.openxmlformats.org/drawingml/2006/main">
                <a:graphicData uri="http://schemas.microsoft.com/office/word/2010/wordprocessingShape">
                  <wps:wsp>
                    <wps:cNvSpPr txBox="1"/>
                    <wps:spPr>
                      <a:xfrm>
                        <a:off x="0" y="0"/>
                        <a:ext cx="116205" cy="278765"/>
                      </a:xfrm>
                      <a:prstGeom prst="rect">
                        <a:avLst/>
                      </a:prstGeom>
                      <a:noFill/>
                      <a:ln>
                        <a:noFill/>
                      </a:ln>
                    </wps:spPr>
                    <wps:txbx>
                      <w:txbxContent>
                        <w:p w14:paraId="34E904D3">
                          <w:pPr>
                            <w:pStyle w:val="38"/>
                            <w:rPr>
                              <w:rFonts w:hint="eastAsia"/>
                            </w:rPr>
                          </w:pPr>
                          <w:r>
                            <w:rPr>
                              <w:rFonts w:hint="eastAsia"/>
                            </w:rPr>
                            <w:fldChar w:fldCharType="begin"/>
                          </w:r>
                          <w:r>
                            <w:rPr>
                              <w:rFonts w:hint="eastAsia"/>
                            </w:rPr>
                            <w:instrText xml:space="preserve"> PAGE  \* MERGEFORMAT </w:instrText>
                          </w:r>
                          <w:r>
                            <w:rPr>
                              <w:rFonts w:hint="eastAsia"/>
                            </w:rPr>
                            <w:fldChar w:fldCharType="separate"/>
                          </w:r>
                          <w:r>
                            <w:t>12</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21.95pt;width:9.15pt;mso-position-horizontal:center;mso-position-horizontal-relative:margin;mso-wrap-style:none;z-index:251661312;mso-width-relative:page;mso-height-relative:page;" filled="f" stroked="f" coordsize="21600,21600" o:gfxdata="UEsDBAoAAAAAAIdO4kAAAAAAAAAAAAAAAAAEAAAAZHJzL1BLAwQUAAAACACHTuJAW42PWdEAAAAD&#10;AQAADwAAAGRycy9kb3ducmV2LnhtbE2PwU7DMBBE70j8g7WVuFGnFEEIcXqoxIUbBVXito23cVR7&#10;Hdlumvw9Lhe4rDSa0czbejM5K0YKsfesYLUsQBC3XvfcKfj6fLsvQcSErNF6JgUzRdg0tzc1Vtpf&#10;+IPGXepELuFYoQKT0lBJGVtDDuPSD8TZO/rgMGUZOqkDXnK5s/KhKJ6kw57zgsGBtoba0+7sFDxP&#10;e09DpC19H8c2mH4u7fus1N1iVbyCSDSlvzBc8TM6NJnp4M+so7AK8iPp9169cg3ioOBx/QKyqeV/&#10;9uYHUEsDBBQAAAAIAIdO4kDCqNWkzQEAAJcDAAAOAAAAZHJzL2Uyb0RvYy54bWytU0tu2zAQ3Rfo&#10;HQjua8kO4gSC5aCFkSBA0RZIewCaIi0C/IFDW/IF2ht01U33PZfP0SElOZ9usuiGGs4M38x7M1rd&#10;9EaTgwignK3pfFZSIix3jbK7mn77evvumhKIzDZMOytqehRAb9Zv36w6X4mFa51uRCAIYqHqfE3b&#10;GH1VFMBbYRjMnBcWg9IFwyJew65oAusQ3ehiUZbLonOh8cFxAYDezRCkI2J4DaCTUnGxcXxvhI0D&#10;ahCaRaQErfJA17lbKQWPn6UEEYmuKTKN+cQiaG/TWaxXrNoF5lvFxxbYa1p4wckwZbHoGWrDIiP7&#10;oP6BMooHB07GGXemGIhkRZDFvHyhzUPLvMhcUGrwZ9Hh/8HyT4cvgaimpheUWGZw4KefP06//px+&#10;fycXSZ7OQ4VZDx7zYv/B9bg0kx/QmVj3Mpj0RT4E4yju8Syu6CPh6dF8uSgvKeEYWlxdXy0vE0rx&#10;+NgHiHfCGZKMmgacXZaUHT5CHFKnlFTLululdZ6fts8ciJk8Rep86DBZsd/2I52ta47IpsOx19Ti&#10;llOi7y2qmjZkMsJkbCdj74PatXmFUj3w7/cRm8i9pQoD7FgY55XZjbuVFuLpPWc9/k/rv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FuNj1nRAAAAAwEAAA8AAAAAAAAAAQAgAAAAIgAAAGRycy9kb3du&#10;cmV2LnhtbFBLAQIUABQAAAAIAIdO4kDCqNWkzQEAAJcDAAAOAAAAAAAAAAEAIAAAACABAABkcnMv&#10;ZTJvRG9jLnhtbFBLBQYAAAAABgAGAFkBAABfBQAAAAA=&#10;">
              <v:fill on="f" focussize="0,0"/>
              <v:stroke on="f"/>
              <v:imagedata o:title=""/>
              <o:lock v:ext="edit" aspectratio="f"/>
              <v:textbox inset="0mm,0mm,0mm,0mm" style="mso-fit-shape-to-text:t;">
                <w:txbxContent>
                  <w:p w14:paraId="34E904D3">
                    <w:pPr>
                      <w:pStyle w:val="38"/>
                      <w:rPr>
                        <w:rFonts w:hint="eastAsia"/>
                      </w:rPr>
                    </w:pPr>
                    <w:r>
                      <w:rPr>
                        <w:rFonts w:hint="eastAsia"/>
                      </w:rPr>
                      <w:fldChar w:fldCharType="begin"/>
                    </w:r>
                    <w:r>
                      <w:rPr>
                        <w:rFonts w:hint="eastAsia"/>
                      </w:rPr>
                      <w:instrText xml:space="preserve"> PAGE  \* MERGEFORMAT </w:instrText>
                    </w:r>
                    <w:r>
                      <w:rPr>
                        <w:rFonts w:hint="eastAsia"/>
                      </w:rPr>
                      <w:fldChar w:fldCharType="separate"/>
                    </w:r>
                    <w:r>
                      <w:t>12</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16FF9E">
    <w:pPr>
      <w:pStyle w:val="38"/>
      <w:framePr w:wrap="around" w:vAnchor="text" w:hAnchor="margin" w:xAlign="center" w:y="1"/>
      <w:rPr>
        <w:rStyle w:val="64"/>
      </w:rPr>
    </w:pPr>
    <w:r>
      <w:fldChar w:fldCharType="begin"/>
    </w:r>
    <w:r>
      <w:rPr>
        <w:rStyle w:val="64"/>
      </w:rPr>
      <w:instrText xml:space="preserve">PAGE  </w:instrText>
    </w:r>
    <w:r>
      <w:fldChar w:fldCharType="separate"/>
    </w:r>
    <w:r>
      <w:rPr>
        <w:rStyle w:val="64"/>
      </w:rPr>
      <w:t>18</w:t>
    </w:r>
    <w:r>
      <w:fldChar w:fldCharType="end"/>
    </w:r>
  </w:p>
  <w:p w14:paraId="0D2A7E8C">
    <w:pPr>
      <w:pStyle w:val="38"/>
      <w:rPr>
        <w:rFonts w:hint="eastAsi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F29B6E">
    <w:pPr>
      <w:pStyle w:val="38"/>
      <w:jc w:val="center"/>
      <w:rPr>
        <w:rFonts w:ascii="仿宋_GB2312" w:eastAsia="仿宋_GB2312"/>
        <w:szCs w:val="24"/>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E9E41C8">
                          <w:pPr>
                            <w:pStyle w:val="38"/>
                          </w:pPr>
                          <w:r>
                            <w:fldChar w:fldCharType="begin"/>
                          </w:r>
                          <w:r>
                            <w:instrText xml:space="preserve"> PAGE  \* MERGEFORMAT </w:instrText>
                          </w:r>
                          <w:r>
                            <w:fldChar w:fldCharType="separate"/>
                          </w:r>
                          <w:r>
                            <w:t>15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3E9E41C8">
                    <w:pPr>
                      <w:pStyle w:val="38"/>
                    </w:pPr>
                    <w:r>
                      <w:fldChar w:fldCharType="begin"/>
                    </w:r>
                    <w:r>
                      <w:instrText xml:space="preserve"> PAGE  \* MERGEFORMAT </w:instrText>
                    </w:r>
                    <w:r>
                      <w:fldChar w:fldCharType="separate"/>
                    </w:r>
                    <w:r>
                      <w:t>15</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788041">
    <w:pPr>
      <w:pStyle w:val="38"/>
      <w:jc w:val="center"/>
      <w:rPr>
        <w:rFonts w:ascii="仿宋_GB2312" w:eastAsia="仿宋_GB2312"/>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FBEBC40">
                          <w:pPr>
                            <w:pStyle w:val="38"/>
                          </w:pPr>
                          <w:r>
                            <w:fldChar w:fldCharType="begin"/>
                          </w:r>
                          <w:r>
                            <w:instrText xml:space="preserve"> PAGE  \* MERGEFORMAT </w:instrText>
                          </w:r>
                          <w:r>
                            <w:fldChar w:fldCharType="separate"/>
                          </w:r>
                          <w:r>
                            <w:t>14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14:paraId="3FBEBC40">
                    <w:pPr>
                      <w:pStyle w:val="38"/>
                    </w:pPr>
                    <w:r>
                      <w:fldChar w:fldCharType="begin"/>
                    </w:r>
                    <w:r>
                      <w:instrText xml:space="preserve"> PAGE  \* MERGEFORMAT </w:instrText>
                    </w:r>
                    <w:r>
                      <w:fldChar w:fldCharType="separate"/>
                    </w:r>
                    <w:r>
                      <w:t>14</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F93355">
    <w:pPr>
      <w:pStyle w:val="39"/>
      <w:pBdr>
        <w:bottom w:val="none" w:color="auto" w:sz="0" w:space="0"/>
      </w:pBd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2CEBF1">
    <w:pPr>
      <w:pStyle w:val="39"/>
      <w:pBdr>
        <w:bottom w:val="none" w:color="auto" w:sz="0" w:space="1"/>
      </w:pBdr>
      <w:jc w:val="right"/>
      <w:rPr>
        <w:rFonts w:eastAsia="仿宋_GB231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AB3AFF">
    <w:pPr>
      <w:pStyle w:val="39"/>
      <w:jc w:val="right"/>
      <w:rPr>
        <w:rFonts w:eastAsia="仿宋_GB2312"/>
      </w:rPr>
    </w:pPr>
    <w:r>
      <w:rPr>
        <w:rFonts w:hint="eastAsia" w:eastAsia="仿宋_GB2312"/>
      </w:rPr>
      <w:t>政府采购竞争性磋商文件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475F454"/>
    <w:multiLevelType w:val="singleLevel"/>
    <w:tmpl w:val="C475F454"/>
    <w:lvl w:ilvl="0" w:tentative="0">
      <w:start w:val="3"/>
      <w:numFmt w:val="chineseCounting"/>
      <w:suff w:val="space"/>
      <w:lvlText w:val="第%1部分"/>
      <w:lvlJc w:val="left"/>
      <w:rPr>
        <w:rFonts w:hint="eastAsia"/>
      </w:rPr>
    </w:lvl>
  </w:abstractNum>
  <w:abstractNum w:abstractNumId="1">
    <w:nsid w:val="F253D834"/>
    <w:multiLevelType w:val="singleLevel"/>
    <w:tmpl w:val="F253D834"/>
    <w:lvl w:ilvl="0" w:tentative="0">
      <w:start w:val="2"/>
      <w:numFmt w:val="chineseCounting"/>
      <w:suff w:val="nothing"/>
      <w:lvlText w:val="（%1）"/>
      <w:lvlJc w:val="left"/>
      <w:rPr>
        <w:rFonts w:hint="eastAsia"/>
      </w:rPr>
    </w:lvl>
  </w:abstractNum>
  <w:abstractNum w:abstractNumId="2">
    <w:nsid w:val="FC95EBCD"/>
    <w:multiLevelType w:val="singleLevel"/>
    <w:tmpl w:val="FC95EBCD"/>
    <w:lvl w:ilvl="0" w:tentative="0">
      <w:start w:val="1"/>
      <w:numFmt w:val="decimal"/>
      <w:suff w:val="nothing"/>
      <w:lvlText w:val="（%1）"/>
      <w:lvlJc w:val="left"/>
    </w:lvl>
  </w:abstractNum>
  <w:abstractNum w:abstractNumId="3">
    <w:nsid w:val="FFFFFF81"/>
    <w:multiLevelType w:val="singleLevel"/>
    <w:tmpl w:val="FFFFFF81"/>
    <w:lvl w:ilvl="0" w:tentative="0">
      <w:start w:val="1"/>
      <w:numFmt w:val="bullet"/>
      <w:pStyle w:val="14"/>
      <w:lvlText w:val=""/>
      <w:lvlJc w:val="left"/>
      <w:pPr>
        <w:tabs>
          <w:tab w:val="left" w:pos="1440"/>
        </w:tabs>
        <w:ind w:left="1440" w:hanging="360"/>
      </w:pPr>
      <w:rPr>
        <w:rFonts w:hint="default" w:ascii="Symbol" w:hAnsi="Symbol" w:eastAsia="Symbol"/>
      </w:rPr>
    </w:lvl>
  </w:abstractNum>
  <w:abstractNum w:abstractNumId="4">
    <w:nsid w:val="00000007"/>
    <w:multiLevelType w:val="multilevel"/>
    <w:tmpl w:val="00000007"/>
    <w:lvl w:ilvl="0" w:tentative="0">
      <w:start w:val="1"/>
      <w:numFmt w:val="bullet"/>
      <w:pStyle w:val="104"/>
      <w:lvlText w:val=""/>
      <w:lvlJc w:val="left"/>
      <w:pPr>
        <w:tabs>
          <w:tab w:val="left" w:pos="840"/>
        </w:tabs>
        <w:ind w:left="840" w:hanging="420"/>
      </w:pPr>
      <w:rPr>
        <w:rFonts w:hint="default" w:ascii="Wingdings" w:hAnsi="Wingdings"/>
      </w:rPr>
    </w:lvl>
    <w:lvl w:ilvl="1" w:tentative="0">
      <w:start w:val="1"/>
      <w:numFmt w:val="bullet"/>
      <w:pStyle w:val="87"/>
      <w:lvlText w:val=""/>
      <w:lvlJc w:val="left"/>
      <w:pPr>
        <w:tabs>
          <w:tab w:val="left" w:pos="1260"/>
        </w:tabs>
        <w:ind w:left="1260" w:hanging="420"/>
      </w:pPr>
      <w:rPr>
        <w:rFonts w:hint="default" w:ascii="Wingdings" w:hAnsi="Wingdings"/>
      </w:rPr>
    </w:lvl>
    <w:lvl w:ilvl="2" w:tentative="0">
      <w:start w:val="1"/>
      <w:numFmt w:val="bullet"/>
      <w:pStyle w:val="343"/>
      <w:lvlText w:val=""/>
      <w:lvlJc w:val="left"/>
      <w:pPr>
        <w:tabs>
          <w:tab w:val="left" w:pos="1680"/>
        </w:tabs>
        <w:ind w:left="1680" w:hanging="420"/>
      </w:pPr>
      <w:rPr>
        <w:rFonts w:hint="default" w:ascii="Wingdings" w:hAnsi="Wingdings"/>
      </w:rPr>
    </w:lvl>
    <w:lvl w:ilvl="3" w:tentative="0">
      <w:start w:val="1"/>
      <w:numFmt w:val="bullet"/>
      <w:pStyle w:val="176"/>
      <w:lvlText w:val=""/>
      <w:lvlJc w:val="left"/>
      <w:pPr>
        <w:tabs>
          <w:tab w:val="left" w:pos="2100"/>
        </w:tabs>
        <w:ind w:left="2100" w:hanging="420"/>
      </w:pPr>
      <w:rPr>
        <w:rFonts w:hint="default" w:ascii="Wingdings" w:hAnsi="Wingdings"/>
      </w:rPr>
    </w:lvl>
    <w:lvl w:ilvl="4" w:tentative="0">
      <w:start w:val="1"/>
      <w:numFmt w:val="bullet"/>
      <w:pStyle w:val="412"/>
      <w:lvlText w:val=""/>
      <w:lvlJc w:val="left"/>
      <w:pPr>
        <w:tabs>
          <w:tab w:val="left" w:pos="2520"/>
        </w:tabs>
        <w:ind w:left="2520" w:hanging="420"/>
      </w:pPr>
      <w:rPr>
        <w:rFonts w:hint="default" w:ascii="Wingdings" w:hAnsi="Wingdings"/>
      </w:rPr>
    </w:lvl>
    <w:lvl w:ilvl="5" w:tentative="0">
      <w:start w:val="1"/>
      <w:numFmt w:val="bullet"/>
      <w:pStyle w:val="174"/>
      <w:lvlText w:val=""/>
      <w:lvlJc w:val="left"/>
      <w:pPr>
        <w:tabs>
          <w:tab w:val="left" w:pos="2940"/>
        </w:tabs>
        <w:ind w:left="2940" w:hanging="420"/>
      </w:pPr>
      <w:rPr>
        <w:rFonts w:hint="default" w:ascii="Wingdings" w:hAnsi="Wingdings"/>
      </w:rPr>
    </w:lvl>
    <w:lvl w:ilvl="6" w:tentative="0">
      <w:start w:val="1"/>
      <w:numFmt w:val="bullet"/>
      <w:pStyle w:val="401"/>
      <w:lvlText w:val=""/>
      <w:lvlJc w:val="left"/>
      <w:pPr>
        <w:tabs>
          <w:tab w:val="left" w:pos="3360"/>
        </w:tabs>
        <w:ind w:left="3360" w:hanging="420"/>
      </w:pPr>
      <w:rPr>
        <w:rFonts w:hint="default" w:ascii="Wingdings" w:hAnsi="Wingdings"/>
      </w:rPr>
    </w:lvl>
    <w:lvl w:ilvl="7" w:tentative="0">
      <w:start w:val="1"/>
      <w:numFmt w:val="bullet"/>
      <w:pStyle w:val="281"/>
      <w:lvlText w:val=""/>
      <w:lvlJc w:val="left"/>
      <w:pPr>
        <w:tabs>
          <w:tab w:val="left" w:pos="3780"/>
        </w:tabs>
        <w:ind w:left="3780" w:hanging="420"/>
      </w:pPr>
      <w:rPr>
        <w:rFonts w:hint="default" w:ascii="Wingdings" w:hAnsi="Wingdings"/>
      </w:rPr>
    </w:lvl>
    <w:lvl w:ilvl="8" w:tentative="0">
      <w:start w:val="1"/>
      <w:numFmt w:val="bullet"/>
      <w:pStyle w:val="374"/>
      <w:lvlText w:val=""/>
      <w:lvlJc w:val="left"/>
      <w:pPr>
        <w:tabs>
          <w:tab w:val="left" w:pos="4200"/>
        </w:tabs>
        <w:ind w:left="4200" w:hanging="420"/>
      </w:pPr>
      <w:rPr>
        <w:rFonts w:hint="default" w:ascii="Wingdings" w:hAnsi="Wingdings"/>
      </w:rPr>
    </w:lvl>
  </w:abstractNum>
  <w:abstractNum w:abstractNumId="5">
    <w:nsid w:val="0000000A"/>
    <w:multiLevelType w:val="multilevel"/>
    <w:tmpl w:val="0000000A"/>
    <w:lvl w:ilvl="0" w:tentative="0">
      <w:start w:val="1"/>
      <w:numFmt w:val="decimal"/>
      <w:pStyle w:val="3"/>
      <w:lvlText w:val="%1"/>
      <w:lvlJc w:val="left"/>
      <w:pPr>
        <w:tabs>
          <w:tab w:val="left" w:pos="432"/>
        </w:tabs>
        <w:ind w:left="432" w:hanging="432"/>
      </w:pPr>
      <w:rPr>
        <w:lang w:val="en-US"/>
      </w:rPr>
    </w:lvl>
    <w:lvl w:ilvl="1" w:tentative="0">
      <w:start w:val="1"/>
      <w:numFmt w:val="decimal"/>
      <w:lvlText w:val="%1.%2"/>
      <w:lvlJc w:val="left"/>
      <w:pPr>
        <w:tabs>
          <w:tab w:val="left" w:pos="860"/>
        </w:tabs>
        <w:ind w:left="860"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6">
    <w:nsid w:val="11744E57"/>
    <w:multiLevelType w:val="multilevel"/>
    <w:tmpl w:val="11744E57"/>
    <w:lvl w:ilvl="0" w:tentative="0">
      <w:start w:val="1"/>
      <w:numFmt w:val="decimal"/>
      <w:pStyle w:val="2"/>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pStyle w:val="4"/>
      <w:lvlText w:val="%1.%2.%3"/>
      <w:lvlJc w:val="left"/>
      <w:pPr>
        <w:tabs>
          <w:tab w:val="left" w:pos="900"/>
        </w:tabs>
        <w:ind w:left="900" w:hanging="720"/>
      </w:pPr>
    </w:lvl>
    <w:lvl w:ilvl="3" w:tentative="0">
      <w:start w:val="1"/>
      <w:numFmt w:val="decimal"/>
      <w:pStyle w:val="6"/>
      <w:lvlText w:val="%1.%2.%3.%4"/>
      <w:lvlJc w:val="left"/>
      <w:pPr>
        <w:tabs>
          <w:tab w:val="left" w:pos="864"/>
        </w:tabs>
        <w:ind w:left="864" w:hanging="864"/>
      </w:pPr>
    </w:lvl>
    <w:lvl w:ilvl="4" w:tentative="0">
      <w:start w:val="1"/>
      <w:numFmt w:val="decimal"/>
      <w:pStyle w:val="7"/>
      <w:lvlText w:val="%1.%2.%3.%4.%5"/>
      <w:lvlJc w:val="left"/>
      <w:pPr>
        <w:tabs>
          <w:tab w:val="left" w:pos="1008"/>
        </w:tabs>
        <w:ind w:left="1008" w:hanging="1008"/>
      </w:pPr>
    </w:lvl>
    <w:lvl w:ilvl="5" w:tentative="0">
      <w:start w:val="1"/>
      <w:numFmt w:val="decimal"/>
      <w:pStyle w:val="8"/>
      <w:lvlText w:val="%1.%2.%3.%4.%5.%6"/>
      <w:lvlJc w:val="left"/>
      <w:pPr>
        <w:tabs>
          <w:tab w:val="left" w:pos="1152"/>
        </w:tabs>
        <w:ind w:left="1152" w:hanging="1152"/>
      </w:pPr>
    </w:lvl>
    <w:lvl w:ilvl="6" w:tentative="0">
      <w:start w:val="1"/>
      <w:numFmt w:val="decimal"/>
      <w:pStyle w:val="9"/>
      <w:lvlText w:val="%1.%2.%3.%4.%5.%6.%7"/>
      <w:lvlJc w:val="left"/>
      <w:pPr>
        <w:tabs>
          <w:tab w:val="left" w:pos="1296"/>
        </w:tabs>
        <w:ind w:left="1296" w:hanging="1296"/>
      </w:pPr>
    </w:lvl>
    <w:lvl w:ilvl="7" w:tentative="0">
      <w:start w:val="1"/>
      <w:numFmt w:val="decimal"/>
      <w:pStyle w:val="10"/>
      <w:lvlText w:val="%1.%2.%3.%4.%5.%6.%7.%8"/>
      <w:lvlJc w:val="left"/>
      <w:pPr>
        <w:tabs>
          <w:tab w:val="left" w:pos="1440"/>
        </w:tabs>
        <w:ind w:left="1440" w:hanging="1440"/>
      </w:pPr>
    </w:lvl>
    <w:lvl w:ilvl="8" w:tentative="0">
      <w:start w:val="1"/>
      <w:numFmt w:val="decimal"/>
      <w:pStyle w:val="11"/>
      <w:lvlText w:val="%1.%2.%3.%4.%5.%6.%7.%8.%9"/>
      <w:lvlJc w:val="left"/>
      <w:pPr>
        <w:tabs>
          <w:tab w:val="left" w:pos="1584"/>
        </w:tabs>
        <w:ind w:left="1584" w:hanging="1584"/>
      </w:pPr>
    </w:lvl>
  </w:abstractNum>
  <w:abstractNum w:abstractNumId="7">
    <w:nsid w:val="4760AE1D"/>
    <w:multiLevelType w:val="singleLevel"/>
    <w:tmpl w:val="4760AE1D"/>
    <w:lvl w:ilvl="0" w:tentative="0">
      <w:start w:val="1"/>
      <w:numFmt w:val="decimal"/>
      <w:suff w:val="nothing"/>
      <w:lvlText w:val="（%1）"/>
      <w:lvlJc w:val="left"/>
    </w:lvl>
  </w:abstractNum>
  <w:abstractNum w:abstractNumId="8">
    <w:nsid w:val="4E8212DA"/>
    <w:multiLevelType w:val="singleLevel"/>
    <w:tmpl w:val="4E8212DA"/>
    <w:lvl w:ilvl="0" w:tentative="0">
      <w:start w:val="1"/>
      <w:numFmt w:val="decimal"/>
      <w:lvlText w:val="%1、"/>
      <w:lvlJc w:val="left"/>
      <w:pPr>
        <w:tabs>
          <w:tab w:val="left" w:pos="840"/>
        </w:tabs>
        <w:ind w:left="840" w:hanging="360"/>
      </w:pPr>
      <w:rPr>
        <w:rFonts w:hint="default"/>
      </w:rPr>
    </w:lvl>
  </w:abstractNum>
  <w:abstractNum w:abstractNumId="9">
    <w:nsid w:val="576C9FBA"/>
    <w:multiLevelType w:val="singleLevel"/>
    <w:tmpl w:val="576C9FBA"/>
    <w:lvl w:ilvl="0" w:tentative="0">
      <w:start w:val="2"/>
      <w:numFmt w:val="decimal"/>
      <w:suff w:val="nothing"/>
      <w:lvlText w:val="%1、"/>
      <w:lvlJc w:val="left"/>
    </w:lvl>
  </w:abstractNum>
  <w:abstractNum w:abstractNumId="10">
    <w:nsid w:val="578B3BD2"/>
    <w:multiLevelType w:val="multilevel"/>
    <w:tmpl w:val="578B3BD2"/>
    <w:lvl w:ilvl="0" w:tentative="0">
      <w:start w:val="1"/>
      <w:numFmt w:val="decimal"/>
      <w:pStyle w:val="415"/>
      <w:lvlText w:val="%1"/>
      <w:lvlJc w:val="left"/>
      <w:pPr>
        <w:tabs>
          <w:tab w:val="left" w:pos="480"/>
        </w:tabs>
        <w:ind w:left="480" w:hanging="480"/>
      </w:pPr>
      <w:rPr>
        <w:rFonts w:hint="eastAsia"/>
        <w:sz w:val="44"/>
        <w:szCs w:val="44"/>
      </w:rPr>
    </w:lvl>
    <w:lvl w:ilvl="1" w:tentative="0">
      <w:start w:val="1"/>
      <w:numFmt w:val="decimal"/>
      <w:pStyle w:val="336"/>
      <w:lvlText w:val="%1.%2"/>
      <w:lvlJc w:val="left"/>
      <w:pPr>
        <w:tabs>
          <w:tab w:val="left" w:pos="480"/>
        </w:tabs>
        <w:ind w:left="480" w:hanging="480"/>
      </w:pPr>
      <w:rPr>
        <w:rFonts w:hint="default"/>
        <w:sz w:val="32"/>
        <w:szCs w:val="32"/>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620"/>
        </w:tabs>
        <w:ind w:left="1620" w:hanging="720"/>
      </w:pPr>
      <w:rPr>
        <w:rFonts w:hint="default"/>
      </w:rPr>
    </w:lvl>
    <w:lvl w:ilvl="4" w:tentative="0">
      <w:start w:val="1"/>
      <w:numFmt w:val="decimal"/>
      <w:pStyle w:val="404"/>
      <w:lvlText w:val="%1.%2.%3.%4.%5"/>
      <w:lvlJc w:val="left"/>
      <w:pPr>
        <w:tabs>
          <w:tab w:val="left" w:pos="1080"/>
        </w:tabs>
        <w:ind w:left="1080" w:hanging="1080"/>
      </w:pPr>
      <w:rPr>
        <w:rFonts w:hint="default"/>
      </w:rPr>
    </w:lvl>
    <w:lvl w:ilvl="5" w:tentative="0">
      <w:start w:val="1"/>
      <w:numFmt w:val="decimal"/>
      <w:pStyle w:val="218"/>
      <w:lvlText w:val="%1.%2.%3.%4.%5.%6"/>
      <w:lvlJc w:val="left"/>
      <w:pPr>
        <w:tabs>
          <w:tab w:val="left" w:pos="108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11">
    <w:nsid w:val="5EFF2230"/>
    <w:multiLevelType w:val="singleLevel"/>
    <w:tmpl w:val="5EFF2230"/>
    <w:lvl w:ilvl="0" w:tentative="0">
      <w:start w:val="2"/>
      <w:numFmt w:val="decimal"/>
      <w:lvlText w:val="%1."/>
      <w:lvlJc w:val="left"/>
      <w:pPr>
        <w:tabs>
          <w:tab w:val="left" w:pos="312"/>
        </w:tabs>
      </w:pPr>
    </w:lvl>
  </w:abstractNum>
  <w:abstractNum w:abstractNumId="12">
    <w:nsid w:val="73596DCC"/>
    <w:multiLevelType w:val="multilevel"/>
    <w:tmpl w:val="73596DCC"/>
    <w:lvl w:ilvl="0" w:tentative="0">
      <w:start w:val="1"/>
      <w:numFmt w:val="bullet"/>
      <w:pStyle w:val="322"/>
      <w:lvlText w:val=""/>
      <w:lvlJc w:val="left"/>
      <w:pPr>
        <w:ind w:left="900" w:hanging="420"/>
      </w:pPr>
      <w:rPr>
        <w:rFonts w:hint="default" w:ascii="Symbol" w:hAnsi="Symbol"/>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num w:numId="1">
    <w:abstractNumId w:val="6"/>
  </w:num>
  <w:num w:numId="2">
    <w:abstractNumId w:val="5"/>
  </w:num>
  <w:num w:numId="3">
    <w:abstractNumId w:val="3"/>
  </w:num>
  <w:num w:numId="4">
    <w:abstractNumId w:val="4"/>
  </w:num>
  <w:num w:numId="5">
    <w:abstractNumId w:val="10"/>
  </w:num>
  <w:num w:numId="6">
    <w:abstractNumId w:val="12"/>
  </w:num>
  <w:num w:numId="7">
    <w:abstractNumId w:val="9"/>
  </w:num>
  <w:num w:numId="8">
    <w:abstractNumId w:val="2"/>
  </w:num>
  <w:num w:numId="9">
    <w:abstractNumId w:val="7"/>
  </w:num>
  <w:num w:numId="10">
    <w:abstractNumId w:val="11"/>
  </w:num>
  <w:num w:numId="11">
    <w:abstractNumId w:val="0"/>
  </w:num>
  <w:num w:numId="12">
    <w:abstractNumId w:val="1"/>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NkYjc0ZWU4NzVhZTExMDM2ZmQxNjM0OTUwYzg1NTEifQ=="/>
  </w:docVars>
  <w:rsids>
    <w:rsidRoot w:val="00172A27"/>
    <w:rsid w:val="0000133D"/>
    <w:rsid w:val="0000488B"/>
    <w:rsid w:val="00005CAC"/>
    <w:rsid w:val="00006109"/>
    <w:rsid w:val="00006725"/>
    <w:rsid w:val="0000675E"/>
    <w:rsid w:val="00007CAA"/>
    <w:rsid w:val="00010FE9"/>
    <w:rsid w:val="0001122F"/>
    <w:rsid w:val="00012BE8"/>
    <w:rsid w:val="00013F31"/>
    <w:rsid w:val="00015FD7"/>
    <w:rsid w:val="000170C8"/>
    <w:rsid w:val="000172A5"/>
    <w:rsid w:val="000173F4"/>
    <w:rsid w:val="000217DE"/>
    <w:rsid w:val="00022853"/>
    <w:rsid w:val="00025776"/>
    <w:rsid w:val="000270F2"/>
    <w:rsid w:val="00027540"/>
    <w:rsid w:val="00030572"/>
    <w:rsid w:val="00030CB3"/>
    <w:rsid w:val="0003206A"/>
    <w:rsid w:val="00032EA0"/>
    <w:rsid w:val="00034FA7"/>
    <w:rsid w:val="000357E4"/>
    <w:rsid w:val="00042533"/>
    <w:rsid w:val="00042E65"/>
    <w:rsid w:val="0004347C"/>
    <w:rsid w:val="00043907"/>
    <w:rsid w:val="00044F48"/>
    <w:rsid w:val="0004651A"/>
    <w:rsid w:val="00050656"/>
    <w:rsid w:val="00051B54"/>
    <w:rsid w:val="00054D39"/>
    <w:rsid w:val="0005501B"/>
    <w:rsid w:val="000554C7"/>
    <w:rsid w:val="00055A61"/>
    <w:rsid w:val="00056118"/>
    <w:rsid w:val="000578A3"/>
    <w:rsid w:val="00057FC8"/>
    <w:rsid w:val="000600BA"/>
    <w:rsid w:val="00061A3C"/>
    <w:rsid w:val="000620B0"/>
    <w:rsid w:val="000646CA"/>
    <w:rsid w:val="00064A21"/>
    <w:rsid w:val="00064D05"/>
    <w:rsid w:val="00065868"/>
    <w:rsid w:val="000665C4"/>
    <w:rsid w:val="00067821"/>
    <w:rsid w:val="0006785E"/>
    <w:rsid w:val="00067E1A"/>
    <w:rsid w:val="00070825"/>
    <w:rsid w:val="00072AED"/>
    <w:rsid w:val="00072D2B"/>
    <w:rsid w:val="000730B1"/>
    <w:rsid w:val="00073860"/>
    <w:rsid w:val="00074528"/>
    <w:rsid w:val="00074B1F"/>
    <w:rsid w:val="00075D0E"/>
    <w:rsid w:val="00075F6A"/>
    <w:rsid w:val="000763F3"/>
    <w:rsid w:val="000768B4"/>
    <w:rsid w:val="00077607"/>
    <w:rsid w:val="00077756"/>
    <w:rsid w:val="00080970"/>
    <w:rsid w:val="00083DDA"/>
    <w:rsid w:val="0008580E"/>
    <w:rsid w:val="00085A0E"/>
    <w:rsid w:val="00086F8A"/>
    <w:rsid w:val="000904F6"/>
    <w:rsid w:val="00090ED8"/>
    <w:rsid w:val="0009145F"/>
    <w:rsid w:val="00091B4E"/>
    <w:rsid w:val="00091D89"/>
    <w:rsid w:val="00092FE9"/>
    <w:rsid w:val="00094342"/>
    <w:rsid w:val="000960BA"/>
    <w:rsid w:val="0009662A"/>
    <w:rsid w:val="000A1A52"/>
    <w:rsid w:val="000A1F98"/>
    <w:rsid w:val="000A23CE"/>
    <w:rsid w:val="000A49BB"/>
    <w:rsid w:val="000A4C67"/>
    <w:rsid w:val="000A5674"/>
    <w:rsid w:val="000A5A46"/>
    <w:rsid w:val="000B0E04"/>
    <w:rsid w:val="000B4ADF"/>
    <w:rsid w:val="000B4B56"/>
    <w:rsid w:val="000B53F1"/>
    <w:rsid w:val="000B54C1"/>
    <w:rsid w:val="000B62AC"/>
    <w:rsid w:val="000B6BDF"/>
    <w:rsid w:val="000C053E"/>
    <w:rsid w:val="000C0A43"/>
    <w:rsid w:val="000C1ADE"/>
    <w:rsid w:val="000C1C38"/>
    <w:rsid w:val="000C222C"/>
    <w:rsid w:val="000C2264"/>
    <w:rsid w:val="000C33C8"/>
    <w:rsid w:val="000C4727"/>
    <w:rsid w:val="000C47AE"/>
    <w:rsid w:val="000C51AD"/>
    <w:rsid w:val="000C5374"/>
    <w:rsid w:val="000C5EC0"/>
    <w:rsid w:val="000C6688"/>
    <w:rsid w:val="000C7BEB"/>
    <w:rsid w:val="000D11E5"/>
    <w:rsid w:val="000D1D28"/>
    <w:rsid w:val="000D2A10"/>
    <w:rsid w:val="000D34C8"/>
    <w:rsid w:val="000D34FD"/>
    <w:rsid w:val="000D3BB6"/>
    <w:rsid w:val="000D3BE5"/>
    <w:rsid w:val="000D3C37"/>
    <w:rsid w:val="000D5EA6"/>
    <w:rsid w:val="000D6C9F"/>
    <w:rsid w:val="000D6E3B"/>
    <w:rsid w:val="000D7902"/>
    <w:rsid w:val="000D7CE0"/>
    <w:rsid w:val="000E1DD9"/>
    <w:rsid w:val="000E2785"/>
    <w:rsid w:val="000E27BB"/>
    <w:rsid w:val="000E3153"/>
    <w:rsid w:val="000E3403"/>
    <w:rsid w:val="000E386F"/>
    <w:rsid w:val="000E4051"/>
    <w:rsid w:val="000E42DA"/>
    <w:rsid w:val="000E5B7E"/>
    <w:rsid w:val="000E5FF9"/>
    <w:rsid w:val="000E6AE1"/>
    <w:rsid w:val="000E7142"/>
    <w:rsid w:val="000E7632"/>
    <w:rsid w:val="000E7739"/>
    <w:rsid w:val="000E77EE"/>
    <w:rsid w:val="000F0789"/>
    <w:rsid w:val="000F159D"/>
    <w:rsid w:val="000F2940"/>
    <w:rsid w:val="000F3D08"/>
    <w:rsid w:val="000F505B"/>
    <w:rsid w:val="000F5837"/>
    <w:rsid w:val="000F68A0"/>
    <w:rsid w:val="0010118C"/>
    <w:rsid w:val="0010125E"/>
    <w:rsid w:val="00101967"/>
    <w:rsid w:val="00104CAD"/>
    <w:rsid w:val="00104E5B"/>
    <w:rsid w:val="00104EEC"/>
    <w:rsid w:val="001050DC"/>
    <w:rsid w:val="001052A9"/>
    <w:rsid w:val="00105482"/>
    <w:rsid w:val="001055F5"/>
    <w:rsid w:val="00105BA9"/>
    <w:rsid w:val="00106C42"/>
    <w:rsid w:val="00107BBD"/>
    <w:rsid w:val="00107E1B"/>
    <w:rsid w:val="00111C7D"/>
    <w:rsid w:val="00112038"/>
    <w:rsid w:val="00112467"/>
    <w:rsid w:val="001127FF"/>
    <w:rsid w:val="00112B0B"/>
    <w:rsid w:val="00112B42"/>
    <w:rsid w:val="00114847"/>
    <w:rsid w:val="0011585B"/>
    <w:rsid w:val="00115B1A"/>
    <w:rsid w:val="001168F8"/>
    <w:rsid w:val="001228C8"/>
    <w:rsid w:val="0012419E"/>
    <w:rsid w:val="001243E9"/>
    <w:rsid w:val="001248EF"/>
    <w:rsid w:val="00124F76"/>
    <w:rsid w:val="00124FC4"/>
    <w:rsid w:val="001259B8"/>
    <w:rsid w:val="00127DAB"/>
    <w:rsid w:val="00131C2D"/>
    <w:rsid w:val="001350F7"/>
    <w:rsid w:val="00135141"/>
    <w:rsid w:val="00135769"/>
    <w:rsid w:val="00135BE9"/>
    <w:rsid w:val="001374DC"/>
    <w:rsid w:val="0013773D"/>
    <w:rsid w:val="00140D7A"/>
    <w:rsid w:val="001430C3"/>
    <w:rsid w:val="00144649"/>
    <w:rsid w:val="001451BB"/>
    <w:rsid w:val="00145662"/>
    <w:rsid w:val="00145C6D"/>
    <w:rsid w:val="00146151"/>
    <w:rsid w:val="00147EA7"/>
    <w:rsid w:val="00151B2F"/>
    <w:rsid w:val="001524DC"/>
    <w:rsid w:val="001525E5"/>
    <w:rsid w:val="00153859"/>
    <w:rsid w:val="00153ED0"/>
    <w:rsid w:val="00157432"/>
    <w:rsid w:val="00161185"/>
    <w:rsid w:val="00161853"/>
    <w:rsid w:val="00161C7D"/>
    <w:rsid w:val="00167594"/>
    <w:rsid w:val="001702BE"/>
    <w:rsid w:val="001706E4"/>
    <w:rsid w:val="0017105C"/>
    <w:rsid w:val="00171622"/>
    <w:rsid w:val="001721CF"/>
    <w:rsid w:val="001728FD"/>
    <w:rsid w:val="00172A27"/>
    <w:rsid w:val="00172F02"/>
    <w:rsid w:val="001735D7"/>
    <w:rsid w:val="00173631"/>
    <w:rsid w:val="0017372D"/>
    <w:rsid w:val="00173E59"/>
    <w:rsid w:val="00176BC8"/>
    <w:rsid w:val="00180244"/>
    <w:rsid w:val="00180A47"/>
    <w:rsid w:val="00181272"/>
    <w:rsid w:val="001823B6"/>
    <w:rsid w:val="001827B7"/>
    <w:rsid w:val="001827EF"/>
    <w:rsid w:val="00182982"/>
    <w:rsid w:val="00182D68"/>
    <w:rsid w:val="0018397E"/>
    <w:rsid w:val="00183BA7"/>
    <w:rsid w:val="0018492D"/>
    <w:rsid w:val="00186D20"/>
    <w:rsid w:val="00187243"/>
    <w:rsid w:val="001878FE"/>
    <w:rsid w:val="00187C29"/>
    <w:rsid w:val="00187F55"/>
    <w:rsid w:val="00190942"/>
    <w:rsid w:val="00191459"/>
    <w:rsid w:val="0019174E"/>
    <w:rsid w:val="00191EF8"/>
    <w:rsid w:val="00192690"/>
    <w:rsid w:val="00193B94"/>
    <w:rsid w:val="001940A7"/>
    <w:rsid w:val="00194BB1"/>
    <w:rsid w:val="00195070"/>
    <w:rsid w:val="00195D82"/>
    <w:rsid w:val="0019602C"/>
    <w:rsid w:val="001A07F8"/>
    <w:rsid w:val="001A1D48"/>
    <w:rsid w:val="001A1F0E"/>
    <w:rsid w:val="001A1F2D"/>
    <w:rsid w:val="001A473A"/>
    <w:rsid w:val="001A4996"/>
    <w:rsid w:val="001A5785"/>
    <w:rsid w:val="001A66A6"/>
    <w:rsid w:val="001A6BBB"/>
    <w:rsid w:val="001A79A2"/>
    <w:rsid w:val="001B13BF"/>
    <w:rsid w:val="001B16F5"/>
    <w:rsid w:val="001B1BD9"/>
    <w:rsid w:val="001B1C1F"/>
    <w:rsid w:val="001B219B"/>
    <w:rsid w:val="001B2703"/>
    <w:rsid w:val="001B2ABD"/>
    <w:rsid w:val="001B2D90"/>
    <w:rsid w:val="001B4272"/>
    <w:rsid w:val="001B46B2"/>
    <w:rsid w:val="001B4CA8"/>
    <w:rsid w:val="001B572D"/>
    <w:rsid w:val="001B738E"/>
    <w:rsid w:val="001B7B69"/>
    <w:rsid w:val="001C0616"/>
    <w:rsid w:val="001C0DD2"/>
    <w:rsid w:val="001C10BD"/>
    <w:rsid w:val="001C1F01"/>
    <w:rsid w:val="001C232F"/>
    <w:rsid w:val="001C31F5"/>
    <w:rsid w:val="001C44BC"/>
    <w:rsid w:val="001C5885"/>
    <w:rsid w:val="001C6698"/>
    <w:rsid w:val="001D1D55"/>
    <w:rsid w:val="001D21EF"/>
    <w:rsid w:val="001D330D"/>
    <w:rsid w:val="001D4AD3"/>
    <w:rsid w:val="001D5A94"/>
    <w:rsid w:val="001E1ABC"/>
    <w:rsid w:val="001E59FB"/>
    <w:rsid w:val="001E787E"/>
    <w:rsid w:val="001F087C"/>
    <w:rsid w:val="001F0DA4"/>
    <w:rsid w:val="001F0FD1"/>
    <w:rsid w:val="001F1F18"/>
    <w:rsid w:val="001F2F92"/>
    <w:rsid w:val="001F6095"/>
    <w:rsid w:val="00200E37"/>
    <w:rsid w:val="00201EE3"/>
    <w:rsid w:val="00202D33"/>
    <w:rsid w:val="00202F99"/>
    <w:rsid w:val="00203C85"/>
    <w:rsid w:val="00205298"/>
    <w:rsid w:val="002054F4"/>
    <w:rsid w:val="00210B9C"/>
    <w:rsid w:val="00212E87"/>
    <w:rsid w:val="00213FC4"/>
    <w:rsid w:val="00214028"/>
    <w:rsid w:val="002141C3"/>
    <w:rsid w:val="002141DC"/>
    <w:rsid w:val="00214479"/>
    <w:rsid w:val="002144F3"/>
    <w:rsid w:val="00215A2A"/>
    <w:rsid w:val="00216387"/>
    <w:rsid w:val="00217427"/>
    <w:rsid w:val="002204BC"/>
    <w:rsid w:val="0022234D"/>
    <w:rsid w:val="002223FA"/>
    <w:rsid w:val="00222C78"/>
    <w:rsid w:val="00224B9B"/>
    <w:rsid w:val="0022555A"/>
    <w:rsid w:val="0023114A"/>
    <w:rsid w:val="0023205A"/>
    <w:rsid w:val="0023265B"/>
    <w:rsid w:val="00233538"/>
    <w:rsid w:val="002344F5"/>
    <w:rsid w:val="0023454D"/>
    <w:rsid w:val="002345FC"/>
    <w:rsid w:val="00234679"/>
    <w:rsid w:val="00236127"/>
    <w:rsid w:val="002361A2"/>
    <w:rsid w:val="00236690"/>
    <w:rsid w:val="0023669D"/>
    <w:rsid w:val="00237755"/>
    <w:rsid w:val="00237A7C"/>
    <w:rsid w:val="00237FA2"/>
    <w:rsid w:val="00240121"/>
    <w:rsid w:val="00240F67"/>
    <w:rsid w:val="00241144"/>
    <w:rsid w:val="00242009"/>
    <w:rsid w:val="00242510"/>
    <w:rsid w:val="00243F5D"/>
    <w:rsid w:val="0024415B"/>
    <w:rsid w:val="00245269"/>
    <w:rsid w:val="00247422"/>
    <w:rsid w:val="00247BA2"/>
    <w:rsid w:val="00251CB4"/>
    <w:rsid w:val="00252862"/>
    <w:rsid w:val="002531BD"/>
    <w:rsid w:val="002533FE"/>
    <w:rsid w:val="002537FC"/>
    <w:rsid w:val="002543EF"/>
    <w:rsid w:val="00255146"/>
    <w:rsid w:val="0025631F"/>
    <w:rsid w:val="00256986"/>
    <w:rsid w:val="00257246"/>
    <w:rsid w:val="00263044"/>
    <w:rsid w:val="002630E7"/>
    <w:rsid w:val="00263759"/>
    <w:rsid w:val="0026385E"/>
    <w:rsid w:val="002645DB"/>
    <w:rsid w:val="0026470B"/>
    <w:rsid w:val="0026486D"/>
    <w:rsid w:val="00264966"/>
    <w:rsid w:val="00264CEB"/>
    <w:rsid w:val="002660C3"/>
    <w:rsid w:val="00266DE1"/>
    <w:rsid w:val="00266E08"/>
    <w:rsid w:val="00267E43"/>
    <w:rsid w:val="00273C5F"/>
    <w:rsid w:val="00274C6D"/>
    <w:rsid w:val="002751CA"/>
    <w:rsid w:val="0027544D"/>
    <w:rsid w:val="002778AB"/>
    <w:rsid w:val="002802A5"/>
    <w:rsid w:val="00281BCB"/>
    <w:rsid w:val="00282CA4"/>
    <w:rsid w:val="00283B06"/>
    <w:rsid w:val="0028583E"/>
    <w:rsid w:val="00285FF3"/>
    <w:rsid w:val="0028744E"/>
    <w:rsid w:val="0028766A"/>
    <w:rsid w:val="00287936"/>
    <w:rsid w:val="002903C5"/>
    <w:rsid w:val="00290A99"/>
    <w:rsid w:val="00290EAF"/>
    <w:rsid w:val="0029159A"/>
    <w:rsid w:val="00292AA1"/>
    <w:rsid w:val="0029499D"/>
    <w:rsid w:val="00294A13"/>
    <w:rsid w:val="00295073"/>
    <w:rsid w:val="00295DC3"/>
    <w:rsid w:val="0029704D"/>
    <w:rsid w:val="002979C5"/>
    <w:rsid w:val="00297AF5"/>
    <w:rsid w:val="002A02D6"/>
    <w:rsid w:val="002A07C4"/>
    <w:rsid w:val="002A0921"/>
    <w:rsid w:val="002A2001"/>
    <w:rsid w:val="002A30AD"/>
    <w:rsid w:val="002A4EB3"/>
    <w:rsid w:val="002A51D9"/>
    <w:rsid w:val="002A5275"/>
    <w:rsid w:val="002B2906"/>
    <w:rsid w:val="002B35C5"/>
    <w:rsid w:val="002B5AEE"/>
    <w:rsid w:val="002B5CD6"/>
    <w:rsid w:val="002B6177"/>
    <w:rsid w:val="002B68E6"/>
    <w:rsid w:val="002B6985"/>
    <w:rsid w:val="002B7242"/>
    <w:rsid w:val="002C0032"/>
    <w:rsid w:val="002C0301"/>
    <w:rsid w:val="002C0326"/>
    <w:rsid w:val="002C0A9F"/>
    <w:rsid w:val="002C1BB7"/>
    <w:rsid w:val="002C1CC2"/>
    <w:rsid w:val="002C28E1"/>
    <w:rsid w:val="002C3890"/>
    <w:rsid w:val="002C3DD5"/>
    <w:rsid w:val="002C643D"/>
    <w:rsid w:val="002C70E7"/>
    <w:rsid w:val="002C77AC"/>
    <w:rsid w:val="002D22A6"/>
    <w:rsid w:val="002D2496"/>
    <w:rsid w:val="002D2C71"/>
    <w:rsid w:val="002D2CD6"/>
    <w:rsid w:val="002D2F81"/>
    <w:rsid w:val="002D3BA3"/>
    <w:rsid w:val="002D4892"/>
    <w:rsid w:val="002D4D06"/>
    <w:rsid w:val="002D4E19"/>
    <w:rsid w:val="002D4EE7"/>
    <w:rsid w:val="002D4EED"/>
    <w:rsid w:val="002D6782"/>
    <w:rsid w:val="002D707C"/>
    <w:rsid w:val="002D7DB2"/>
    <w:rsid w:val="002D7FB2"/>
    <w:rsid w:val="002E0542"/>
    <w:rsid w:val="002E0E87"/>
    <w:rsid w:val="002E1EC1"/>
    <w:rsid w:val="002E201C"/>
    <w:rsid w:val="002E28A0"/>
    <w:rsid w:val="002E2E79"/>
    <w:rsid w:val="002E3956"/>
    <w:rsid w:val="002E672A"/>
    <w:rsid w:val="002E6853"/>
    <w:rsid w:val="002E7EE5"/>
    <w:rsid w:val="002F0323"/>
    <w:rsid w:val="002F0939"/>
    <w:rsid w:val="002F134F"/>
    <w:rsid w:val="002F1D0B"/>
    <w:rsid w:val="002F1F02"/>
    <w:rsid w:val="002F2048"/>
    <w:rsid w:val="002F2D81"/>
    <w:rsid w:val="002F44D0"/>
    <w:rsid w:val="002F47A6"/>
    <w:rsid w:val="002F541B"/>
    <w:rsid w:val="002F6EFF"/>
    <w:rsid w:val="002F7DF0"/>
    <w:rsid w:val="002F7FAF"/>
    <w:rsid w:val="00300AFA"/>
    <w:rsid w:val="00301A22"/>
    <w:rsid w:val="00303959"/>
    <w:rsid w:val="00303AB6"/>
    <w:rsid w:val="00304455"/>
    <w:rsid w:val="00304640"/>
    <w:rsid w:val="00304AC1"/>
    <w:rsid w:val="00305454"/>
    <w:rsid w:val="003066C6"/>
    <w:rsid w:val="00307DC7"/>
    <w:rsid w:val="003102E8"/>
    <w:rsid w:val="00310957"/>
    <w:rsid w:val="00310EDB"/>
    <w:rsid w:val="00312260"/>
    <w:rsid w:val="00312378"/>
    <w:rsid w:val="00312BF8"/>
    <w:rsid w:val="00312DFC"/>
    <w:rsid w:val="0031318C"/>
    <w:rsid w:val="00313C9D"/>
    <w:rsid w:val="00314C5A"/>
    <w:rsid w:val="00314D13"/>
    <w:rsid w:val="0031531A"/>
    <w:rsid w:val="00315394"/>
    <w:rsid w:val="00315A0E"/>
    <w:rsid w:val="00315D77"/>
    <w:rsid w:val="00316CDE"/>
    <w:rsid w:val="00317012"/>
    <w:rsid w:val="0032226B"/>
    <w:rsid w:val="00324B2F"/>
    <w:rsid w:val="00326106"/>
    <w:rsid w:val="003262E4"/>
    <w:rsid w:val="003269B7"/>
    <w:rsid w:val="003272E4"/>
    <w:rsid w:val="003301D9"/>
    <w:rsid w:val="00331461"/>
    <w:rsid w:val="003316A8"/>
    <w:rsid w:val="00331CC9"/>
    <w:rsid w:val="003320D7"/>
    <w:rsid w:val="00332D52"/>
    <w:rsid w:val="00333337"/>
    <w:rsid w:val="00333A28"/>
    <w:rsid w:val="0033631D"/>
    <w:rsid w:val="003365CB"/>
    <w:rsid w:val="00341225"/>
    <w:rsid w:val="00341CEB"/>
    <w:rsid w:val="0034396F"/>
    <w:rsid w:val="0034458E"/>
    <w:rsid w:val="00344BBF"/>
    <w:rsid w:val="00344F3C"/>
    <w:rsid w:val="00345644"/>
    <w:rsid w:val="00345D7A"/>
    <w:rsid w:val="00346B6D"/>
    <w:rsid w:val="00346BA3"/>
    <w:rsid w:val="00347356"/>
    <w:rsid w:val="00350896"/>
    <w:rsid w:val="00350C31"/>
    <w:rsid w:val="003519CD"/>
    <w:rsid w:val="00351A3A"/>
    <w:rsid w:val="00352A88"/>
    <w:rsid w:val="0035455F"/>
    <w:rsid w:val="00355D8F"/>
    <w:rsid w:val="00357437"/>
    <w:rsid w:val="003577EF"/>
    <w:rsid w:val="00357F65"/>
    <w:rsid w:val="00360304"/>
    <w:rsid w:val="00365427"/>
    <w:rsid w:val="003669C8"/>
    <w:rsid w:val="00366CEB"/>
    <w:rsid w:val="00366D8A"/>
    <w:rsid w:val="003679D3"/>
    <w:rsid w:val="00367A87"/>
    <w:rsid w:val="003703CE"/>
    <w:rsid w:val="00371C6D"/>
    <w:rsid w:val="00372C89"/>
    <w:rsid w:val="00372E9A"/>
    <w:rsid w:val="00374677"/>
    <w:rsid w:val="0037632F"/>
    <w:rsid w:val="00377B26"/>
    <w:rsid w:val="00381014"/>
    <w:rsid w:val="00381F60"/>
    <w:rsid w:val="00382F6C"/>
    <w:rsid w:val="00383AB0"/>
    <w:rsid w:val="00384814"/>
    <w:rsid w:val="00384C0A"/>
    <w:rsid w:val="00385B16"/>
    <w:rsid w:val="0038637D"/>
    <w:rsid w:val="00386C07"/>
    <w:rsid w:val="00386F58"/>
    <w:rsid w:val="0038700D"/>
    <w:rsid w:val="0038701B"/>
    <w:rsid w:val="00390C0D"/>
    <w:rsid w:val="00391447"/>
    <w:rsid w:val="003922DE"/>
    <w:rsid w:val="00393B84"/>
    <w:rsid w:val="00393C6A"/>
    <w:rsid w:val="003944EA"/>
    <w:rsid w:val="00394639"/>
    <w:rsid w:val="003962E6"/>
    <w:rsid w:val="00396831"/>
    <w:rsid w:val="003A03EF"/>
    <w:rsid w:val="003A12B6"/>
    <w:rsid w:val="003A20D5"/>
    <w:rsid w:val="003A24CC"/>
    <w:rsid w:val="003A2EE8"/>
    <w:rsid w:val="003A373C"/>
    <w:rsid w:val="003A3E10"/>
    <w:rsid w:val="003A5378"/>
    <w:rsid w:val="003A5567"/>
    <w:rsid w:val="003A7E2B"/>
    <w:rsid w:val="003A7E40"/>
    <w:rsid w:val="003B0336"/>
    <w:rsid w:val="003B0A3A"/>
    <w:rsid w:val="003B4810"/>
    <w:rsid w:val="003B514E"/>
    <w:rsid w:val="003B5E0A"/>
    <w:rsid w:val="003B613B"/>
    <w:rsid w:val="003B636A"/>
    <w:rsid w:val="003C011C"/>
    <w:rsid w:val="003C435B"/>
    <w:rsid w:val="003C4EBE"/>
    <w:rsid w:val="003C685A"/>
    <w:rsid w:val="003C6E9C"/>
    <w:rsid w:val="003C7F12"/>
    <w:rsid w:val="003D03D6"/>
    <w:rsid w:val="003D04C3"/>
    <w:rsid w:val="003D14C8"/>
    <w:rsid w:val="003D1517"/>
    <w:rsid w:val="003D2DA0"/>
    <w:rsid w:val="003D34C3"/>
    <w:rsid w:val="003D5681"/>
    <w:rsid w:val="003D5ADB"/>
    <w:rsid w:val="003D62A2"/>
    <w:rsid w:val="003D663E"/>
    <w:rsid w:val="003D6793"/>
    <w:rsid w:val="003D6B03"/>
    <w:rsid w:val="003D75D8"/>
    <w:rsid w:val="003E0746"/>
    <w:rsid w:val="003E0E7C"/>
    <w:rsid w:val="003E2E25"/>
    <w:rsid w:val="003E336A"/>
    <w:rsid w:val="003E35A8"/>
    <w:rsid w:val="003E60DA"/>
    <w:rsid w:val="003E61F6"/>
    <w:rsid w:val="003E6439"/>
    <w:rsid w:val="003E6E00"/>
    <w:rsid w:val="003E725A"/>
    <w:rsid w:val="003E7940"/>
    <w:rsid w:val="003F01BD"/>
    <w:rsid w:val="003F048E"/>
    <w:rsid w:val="003F0AFF"/>
    <w:rsid w:val="003F2C48"/>
    <w:rsid w:val="003F3D90"/>
    <w:rsid w:val="003F53BB"/>
    <w:rsid w:val="003F56B8"/>
    <w:rsid w:val="00400CCB"/>
    <w:rsid w:val="00401373"/>
    <w:rsid w:val="00401386"/>
    <w:rsid w:val="00401E31"/>
    <w:rsid w:val="004035D0"/>
    <w:rsid w:val="00403795"/>
    <w:rsid w:val="00405764"/>
    <w:rsid w:val="00406745"/>
    <w:rsid w:val="00406B32"/>
    <w:rsid w:val="004074FA"/>
    <w:rsid w:val="00407A56"/>
    <w:rsid w:val="00407FC3"/>
    <w:rsid w:val="00407FCC"/>
    <w:rsid w:val="004113C9"/>
    <w:rsid w:val="0041461A"/>
    <w:rsid w:val="00414909"/>
    <w:rsid w:val="00415034"/>
    <w:rsid w:val="00415B1A"/>
    <w:rsid w:val="00415F72"/>
    <w:rsid w:val="004160C1"/>
    <w:rsid w:val="0041690F"/>
    <w:rsid w:val="00416D41"/>
    <w:rsid w:val="00417264"/>
    <w:rsid w:val="004210C0"/>
    <w:rsid w:val="004211DD"/>
    <w:rsid w:val="00421442"/>
    <w:rsid w:val="00421762"/>
    <w:rsid w:val="00421D4B"/>
    <w:rsid w:val="00421ED8"/>
    <w:rsid w:val="004233AD"/>
    <w:rsid w:val="00425724"/>
    <w:rsid w:val="00426B2C"/>
    <w:rsid w:val="00427FA8"/>
    <w:rsid w:val="004306D4"/>
    <w:rsid w:val="00432ECA"/>
    <w:rsid w:val="004357B1"/>
    <w:rsid w:val="00436CCE"/>
    <w:rsid w:val="004379BB"/>
    <w:rsid w:val="00440262"/>
    <w:rsid w:val="00440814"/>
    <w:rsid w:val="00440844"/>
    <w:rsid w:val="00443EDE"/>
    <w:rsid w:val="0044739A"/>
    <w:rsid w:val="004475F7"/>
    <w:rsid w:val="00447DFB"/>
    <w:rsid w:val="00450B22"/>
    <w:rsid w:val="004533CE"/>
    <w:rsid w:val="004543AB"/>
    <w:rsid w:val="00455F71"/>
    <w:rsid w:val="00456272"/>
    <w:rsid w:val="00457CF7"/>
    <w:rsid w:val="00457D37"/>
    <w:rsid w:val="00460E68"/>
    <w:rsid w:val="00461F80"/>
    <w:rsid w:val="0046240D"/>
    <w:rsid w:val="00463576"/>
    <w:rsid w:val="0046399D"/>
    <w:rsid w:val="00465264"/>
    <w:rsid w:val="00465781"/>
    <w:rsid w:val="00465A21"/>
    <w:rsid w:val="00466ABA"/>
    <w:rsid w:val="0046775D"/>
    <w:rsid w:val="00471387"/>
    <w:rsid w:val="00471963"/>
    <w:rsid w:val="00473308"/>
    <w:rsid w:val="004749DA"/>
    <w:rsid w:val="004749DC"/>
    <w:rsid w:val="00474DEF"/>
    <w:rsid w:val="004750B9"/>
    <w:rsid w:val="004754AC"/>
    <w:rsid w:val="004758E7"/>
    <w:rsid w:val="00475F67"/>
    <w:rsid w:val="004764C6"/>
    <w:rsid w:val="00477247"/>
    <w:rsid w:val="00477529"/>
    <w:rsid w:val="004776BB"/>
    <w:rsid w:val="00480DC5"/>
    <w:rsid w:val="0048144A"/>
    <w:rsid w:val="00481886"/>
    <w:rsid w:val="00482288"/>
    <w:rsid w:val="00483984"/>
    <w:rsid w:val="00483BC7"/>
    <w:rsid w:val="00483CF0"/>
    <w:rsid w:val="00484D4D"/>
    <w:rsid w:val="004855D9"/>
    <w:rsid w:val="0048664F"/>
    <w:rsid w:val="004868AD"/>
    <w:rsid w:val="00486D00"/>
    <w:rsid w:val="00487FE1"/>
    <w:rsid w:val="00490707"/>
    <w:rsid w:val="00490815"/>
    <w:rsid w:val="004914E8"/>
    <w:rsid w:val="00492B76"/>
    <w:rsid w:val="0049333E"/>
    <w:rsid w:val="0049418F"/>
    <w:rsid w:val="00495DC6"/>
    <w:rsid w:val="00497AAD"/>
    <w:rsid w:val="00497D1A"/>
    <w:rsid w:val="004A1DBC"/>
    <w:rsid w:val="004A1EA7"/>
    <w:rsid w:val="004A2C96"/>
    <w:rsid w:val="004A4125"/>
    <w:rsid w:val="004A7364"/>
    <w:rsid w:val="004B026C"/>
    <w:rsid w:val="004B0271"/>
    <w:rsid w:val="004B0BE8"/>
    <w:rsid w:val="004B0E4A"/>
    <w:rsid w:val="004B2463"/>
    <w:rsid w:val="004B305F"/>
    <w:rsid w:val="004B34C4"/>
    <w:rsid w:val="004B3981"/>
    <w:rsid w:val="004B3AD7"/>
    <w:rsid w:val="004B419F"/>
    <w:rsid w:val="004B7317"/>
    <w:rsid w:val="004B75B2"/>
    <w:rsid w:val="004C11A9"/>
    <w:rsid w:val="004C27CF"/>
    <w:rsid w:val="004C2CA7"/>
    <w:rsid w:val="004C38E3"/>
    <w:rsid w:val="004C45C8"/>
    <w:rsid w:val="004C612E"/>
    <w:rsid w:val="004C6C0A"/>
    <w:rsid w:val="004C7180"/>
    <w:rsid w:val="004C77FF"/>
    <w:rsid w:val="004D0223"/>
    <w:rsid w:val="004D12E8"/>
    <w:rsid w:val="004D16A3"/>
    <w:rsid w:val="004D1E41"/>
    <w:rsid w:val="004D6F29"/>
    <w:rsid w:val="004D7F9C"/>
    <w:rsid w:val="004D7FF2"/>
    <w:rsid w:val="004E1D6F"/>
    <w:rsid w:val="004E1F19"/>
    <w:rsid w:val="004E3A2A"/>
    <w:rsid w:val="004E3AB1"/>
    <w:rsid w:val="004E4003"/>
    <w:rsid w:val="004E6746"/>
    <w:rsid w:val="004E75C1"/>
    <w:rsid w:val="004F045E"/>
    <w:rsid w:val="004F07F2"/>
    <w:rsid w:val="004F0E82"/>
    <w:rsid w:val="004F1847"/>
    <w:rsid w:val="004F2982"/>
    <w:rsid w:val="004F2B46"/>
    <w:rsid w:val="004F2C40"/>
    <w:rsid w:val="004F2CB6"/>
    <w:rsid w:val="004F313F"/>
    <w:rsid w:val="004F38CA"/>
    <w:rsid w:val="004F3EEF"/>
    <w:rsid w:val="004F447B"/>
    <w:rsid w:val="004F4FE8"/>
    <w:rsid w:val="004F531B"/>
    <w:rsid w:val="004F5395"/>
    <w:rsid w:val="004F560C"/>
    <w:rsid w:val="004F728A"/>
    <w:rsid w:val="004F7B47"/>
    <w:rsid w:val="005003ED"/>
    <w:rsid w:val="005010BC"/>
    <w:rsid w:val="005020F1"/>
    <w:rsid w:val="005039B8"/>
    <w:rsid w:val="00504CCC"/>
    <w:rsid w:val="0050537D"/>
    <w:rsid w:val="005079F5"/>
    <w:rsid w:val="0051037C"/>
    <w:rsid w:val="0051050F"/>
    <w:rsid w:val="00510DDC"/>
    <w:rsid w:val="00511427"/>
    <w:rsid w:val="005131A2"/>
    <w:rsid w:val="0051440E"/>
    <w:rsid w:val="00514F0B"/>
    <w:rsid w:val="005160EA"/>
    <w:rsid w:val="005173F3"/>
    <w:rsid w:val="00517AC8"/>
    <w:rsid w:val="00517C3E"/>
    <w:rsid w:val="005212F4"/>
    <w:rsid w:val="00521305"/>
    <w:rsid w:val="0052178F"/>
    <w:rsid w:val="00521908"/>
    <w:rsid w:val="00523606"/>
    <w:rsid w:val="005256D6"/>
    <w:rsid w:val="00525AD8"/>
    <w:rsid w:val="00525C01"/>
    <w:rsid w:val="00526429"/>
    <w:rsid w:val="005266C1"/>
    <w:rsid w:val="005267F4"/>
    <w:rsid w:val="00527317"/>
    <w:rsid w:val="00527ED6"/>
    <w:rsid w:val="00531064"/>
    <w:rsid w:val="005335A2"/>
    <w:rsid w:val="00533DEC"/>
    <w:rsid w:val="00536B03"/>
    <w:rsid w:val="00537917"/>
    <w:rsid w:val="00537E83"/>
    <w:rsid w:val="005405B2"/>
    <w:rsid w:val="00540EE7"/>
    <w:rsid w:val="00541A22"/>
    <w:rsid w:val="005426B2"/>
    <w:rsid w:val="00543640"/>
    <w:rsid w:val="005444C6"/>
    <w:rsid w:val="00544F05"/>
    <w:rsid w:val="005454B8"/>
    <w:rsid w:val="00545B56"/>
    <w:rsid w:val="00545DB9"/>
    <w:rsid w:val="00546BF8"/>
    <w:rsid w:val="00550B7E"/>
    <w:rsid w:val="00551B96"/>
    <w:rsid w:val="005524ED"/>
    <w:rsid w:val="00554C03"/>
    <w:rsid w:val="005550F9"/>
    <w:rsid w:val="0055525C"/>
    <w:rsid w:val="00556386"/>
    <w:rsid w:val="00556441"/>
    <w:rsid w:val="00561903"/>
    <w:rsid w:val="00561A9B"/>
    <w:rsid w:val="00562FB1"/>
    <w:rsid w:val="00563068"/>
    <w:rsid w:val="00564DA7"/>
    <w:rsid w:val="00564EFA"/>
    <w:rsid w:val="00565204"/>
    <w:rsid w:val="00565473"/>
    <w:rsid w:val="00565DAC"/>
    <w:rsid w:val="00565F0D"/>
    <w:rsid w:val="005662DC"/>
    <w:rsid w:val="00566329"/>
    <w:rsid w:val="005701C2"/>
    <w:rsid w:val="0057117C"/>
    <w:rsid w:val="00573560"/>
    <w:rsid w:val="0057438C"/>
    <w:rsid w:val="00574E7B"/>
    <w:rsid w:val="00576B5C"/>
    <w:rsid w:val="00577718"/>
    <w:rsid w:val="00580DFC"/>
    <w:rsid w:val="00581EC5"/>
    <w:rsid w:val="00581F85"/>
    <w:rsid w:val="00583D43"/>
    <w:rsid w:val="005846C3"/>
    <w:rsid w:val="00584F04"/>
    <w:rsid w:val="0058577D"/>
    <w:rsid w:val="005857F7"/>
    <w:rsid w:val="0058589A"/>
    <w:rsid w:val="0058767F"/>
    <w:rsid w:val="00587D7B"/>
    <w:rsid w:val="005901B7"/>
    <w:rsid w:val="005904DB"/>
    <w:rsid w:val="00592825"/>
    <w:rsid w:val="005931BD"/>
    <w:rsid w:val="00593806"/>
    <w:rsid w:val="00594437"/>
    <w:rsid w:val="005955EB"/>
    <w:rsid w:val="0059683E"/>
    <w:rsid w:val="00596CFA"/>
    <w:rsid w:val="005975CE"/>
    <w:rsid w:val="005A1A31"/>
    <w:rsid w:val="005A36C2"/>
    <w:rsid w:val="005A3719"/>
    <w:rsid w:val="005A3A4F"/>
    <w:rsid w:val="005A3DD7"/>
    <w:rsid w:val="005A418C"/>
    <w:rsid w:val="005A48B5"/>
    <w:rsid w:val="005A4F48"/>
    <w:rsid w:val="005A5036"/>
    <w:rsid w:val="005A56BB"/>
    <w:rsid w:val="005A733D"/>
    <w:rsid w:val="005A7A32"/>
    <w:rsid w:val="005A7F85"/>
    <w:rsid w:val="005B102C"/>
    <w:rsid w:val="005B1AAB"/>
    <w:rsid w:val="005B2930"/>
    <w:rsid w:val="005B2B87"/>
    <w:rsid w:val="005B387B"/>
    <w:rsid w:val="005B3B01"/>
    <w:rsid w:val="005B4333"/>
    <w:rsid w:val="005B4534"/>
    <w:rsid w:val="005B4F0B"/>
    <w:rsid w:val="005B5603"/>
    <w:rsid w:val="005B5994"/>
    <w:rsid w:val="005B61F4"/>
    <w:rsid w:val="005B667A"/>
    <w:rsid w:val="005B6FA1"/>
    <w:rsid w:val="005C0372"/>
    <w:rsid w:val="005C039B"/>
    <w:rsid w:val="005C059F"/>
    <w:rsid w:val="005C07CE"/>
    <w:rsid w:val="005C0B8F"/>
    <w:rsid w:val="005C2294"/>
    <w:rsid w:val="005C3344"/>
    <w:rsid w:val="005C4C71"/>
    <w:rsid w:val="005C4E4D"/>
    <w:rsid w:val="005C5A97"/>
    <w:rsid w:val="005C679D"/>
    <w:rsid w:val="005C6D5D"/>
    <w:rsid w:val="005D01C3"/>
    <w:rsid w:val="005D2578"/>
    <w:rsid w:val="005D266D"/>
    <w:rsid w:val="005D3327"/>
    <w:rsid w:val="005D5BCF"/>
    <w:rsid w:val="005D6D84"/>
    <w:rsid w:val="005D70A1"/>
    <w:rsid w:val="005D79F2"/>
    <w:rsid w:val="005E09CA"/>
    <w:rsid w:val="005E4543"/>
    <w:rsid w:val="005E4717"/>
    <w:rsid w:val="005E4B55"/>
    <w:rsid w:val="005E565C"/>
    <w:rsid w:val="005E56C9"/>
    <w:rsid w:val="005E5CF7"/>
    <w:rsid w:val="005E704E"/>
    <w:rsid w:val="005E721E"/>
    <w:rsid w:val="005E75E3"/>
    <w:rsid w:val="005F0857"/>
    <w:rsid w:val="005F2CD5"/>
    <w:rsid w:val="005F403D"/>
    <w:rsid w:val="005F4997"/>
    <w:rsid w:val="005F5A0D"/>
    <w:rsid w:val="005F61DF"/>
    <w:rsid w:val="005F77F8"/>
    <w:rsid w:val="00600FF9"/>
    <w:rsid w:val="006011E3"/>
    <w:rsid w:val="0060150C"/>
    <w:rsid w:val="00601F66"/>
    <w:rsid w:val="00601F8F"/>
    <w:rsid w:val="00603373"/>
    <w:rsid w:val="006036D0"/>
    <w:rsid w:val="006042CD"/>
    <w:rsid w:val="006054A5"/>
    <w:rsid w:val="006059E4"/>
    <w:rsid w:val="006062A0"/>
    <w:rsid w:val="0061098D"/>
    <w:rsid w:val="00611367"/>
    <w:rsid w:val="00611AC8"/>
    <w:rsid w:val="00611B59"/>
    <w:rsid w:val="00611FBA"/>
    <w:rsid w:val="0061272A"/>
    <w:rsid w:val="00613AA2"/>
    <w:rsid w:val="006155F1"/>
    <w:rsid w:val="00615FAB"/>
    <w:rsid w:val="00620055"/>
    <w:rsid w:val="006212D3"/>
    <w:rsid w:val="0062213A"/>
    <w:rsid w:val="00623A5E"/>
    <w:rsid w:val="00625008"/>
    <w:rsid w:val="00626930"/>
    <w:rsid w:val="00626BAC"/>
    <w:rsid w:val="00626F04"/>
    <w:rsid w:val="006271C3"/>
    <w:rsid w:val="0063001E"/>
    <w:rsid w:val="00630D58"/>
    <w:rsid w:val="00631005"/>
    <w:rsid w:val="00632727"/>
    <w:rsid w:val="00633EF3"/>
    <w:rsid w:val="00635B73"/>
    <w:rsid w:val="006368A8"/>
    <w:rsid w:val="00636CC7"/>
    <w:rsid w:val="00637F27"/>
    <w:rsid w:val="00643F89"/>
    <w:rsid w:val="00644BED"/>
    <w:rsid w:val="00644E2E"/>
    <w:rsid w:val="0064562A"/>
    <w:rsid w:val="00645CB4"/>
    <w:rsid w:val="00651F59"/>
    <w:rsid w:val="00652CF5"/>
    <w:rsid w:val="0065343E"/>
    <w:rsid w:val="00653C7C"/>
    <w:rsid w:val="006540B1"/>
    <w:rsid w:val="006558CD"/>
    <w:rsid w:val="00656CD4"/>
    <w:rsid w:val="00656D49"/>
    <w:rsid w:val="00656E4D"/>
    <w:rsid w:val="006576BA"/>
    <w:rsid w:val="00662401"/>
    <w:rsid w:val="00662D3D"/>
    <w:rsid w:val="00662F1F"/>
    <w:rsid w:val="00664DB5"/>
    <w:rsid w:val="006673B9"/>
    <w:rsid w:val="0066790C"/>
    <w:rsid w:val="006700F1"/>
    <w:rsid w:val="006720BC"/>
    <w:rsid w:val="00672D0F"/>
    <w:rsid w:val="00673B64"/>
    <w:rsid w:val="00673FC1"/>
    <w:rsid w:val="00675430"/>
    <w:rsid w:val="00675749"/>
    <w:rsid w:val="00677382"/>
    <w:rsid w:val="0067772D"/>
    <w:rsid w:val="00680714"/>
    <w:rsid w:val="0068071D"/>
    <w:rsid w:val="00680C6B"/>
    <w:rsid w:val="00681936"/>
    <w:rsid w:val="00683068"/>
    <w:rsid w:val="00683DAD"/>
    <w:rsid w:val="0068443C"/>
    <w:rsid w:val="00684727"/>
    <w:rsid w:val="00684963"/>
    <w:rsid w:val="00684F04"/>
    <w:rsid w:val="00685033"/>
    <w:rsid w:val="00685D65"/>
    <w:rsid w:val="00687031"/>
    <w:rsid w:val="0068790B"/>
    <w:rsid w:val="00687AF2"/>
    <w:rsid w:val="00687DA2"/>
    <w:rsid w:val="00687E87"/>
    <w:rsid w:val="006901AC"/>
    <w:rsid w:val="0069063A"/>
    <w:rsid w:val="00691890"/>
    <w:rsid w:val="006945A1"/>
    <w:rsid w:val="00694982"/>
    <w:rsid w:val="00695EAC"/>
    <w:rsid w:val="00697062"/>
    <w:rsid w:val="006971F8"/>
    <w:rsid w:val="00697D5F"/>
    <w:rsid w:val="006A060C"/>
    <w:rsid w:val="006A150D"/>
    <w:rsid w:val="006A1526"/>
    <w:rsid w:val="006A39D0"/>
    <w:rsid w:val="006A4321"/>
    <w:rsid w:val="006A61EE"/>
    <w:rsid w:val="006B0580"/>
    <w:rsid w:val="006B0F30"/>
    <w:rsid w:val="006B1D06"/>
    <w:rsid w:val="006B2823"/>
    <w:rsid w:val="006B33DB"/>
    <w:rsid w:val="006B4CF8"/>
    <w:rsid w:val="006B5FBC"/>
    <w:rsid w:val="006B6ED2"/>
    <w:rsid w:val="006C0230"/>
    <w:rsid w:val="006C09CC"/>
    <w:rsid w:val="006C09F4"/>
    <w:rsid w:val="006C3EFE"/>
    <w:rsid w:val="006C5D5D"/>
    <w:rsid w:val="006C6303"/>
    <w:rsid w:val="006C6D6B"/>
    <w:rsid w:val="006C6EBD"/>
    <w:rsid w:val="006D0681"/>
    <w:rsid w:val="006D0A80"/>
    <w:rsid w:val="006D312B"/>
    <w:rsid w:val="006D43C1"/>
    <w:rsid w:val="006D5442"/>
    <w:rsid w:val="006D6E4E"/>
    <w:rsid w:val="006E00E3"/>
    <w:rsid w:val="006E045C"/>
    <w:rsid w:val="006E065E"/>
    <w:rsid w:val="006E189B"/>
    <w:rsid w:val="006E2902"/>
    <w:rsid w:val="006E2F9D"/>
    <w:rsid w:val="006E37C6"/>
    <w:rsid w:val="006E41ED"/>
    <w:rsid w:val="006E4667"/>
    <w:rsid w:val="006F2046"/>
    <w:rsid w:val="006F41F4"/>
    <w:rsid w:val="006F5813"/>
    <w:rsid w:val="006F59A8"/>
    <w:rsid w:val="006F5A1D"/>
    <w:rsid w:val="006F71A6"/>
    <w:rsid w:val="006F7974"/>
    <w:rsid w:val="006F7C2C"/>
    <w:rsid w:val="00700D18"/>
    <w:rsid w:val="007010CB"/>
    <w:rsid w:val="0070168D"/>
    <w:rsid w:val="00701C36"/>
    <w:rsid w:val="0070283C"/>
    <w:rsid w:val="0070353F"/>
    <w:rsid w:val="0070415E"/>
    <w:rsid w:val="00704D34"/>
    <w:rsid w:val="00705060"/>
    <w:rsid w:val="00705351"/>
    <w:rsid w:val="007069AE"/>
    <w:rsid w:val="00706C89"/>
    <w:rsid w:val="00707967"/>
    <w:rsid w:val="00710257"/>
    <w:rsid w:val="007119DC"/>
    <w:rsid w:val="00711CC7"/>
    <w:rsid w:val="0071294A"/>
    <w:rsid w:val="00712BDD"/>
    <w:rsid w:val="00712E1E"/>
    <w:rsid w:val="00712F37"/>
    <w:rsid w:val="00713A6B"/>
    <w:rsid w:val="0071499C"/>
    <w:rsid w:val="00714F73"/>
    <w:rsid w:val="0071604D"/>
    <w:rsid w:val="00716186"/>
    <w:rsid w:val="00716DE6"/>
    <w:rsid w:val="0071724E"/>
    <w:rsid w:val="0071732D"/>
    <w:rsid w:val="00720AEE"/>
    <w:rsid w:val="007210F6"/>
    <w:rsid w:val="0072139F"/>
    <w:rsid w:val="00721FC3"/>
    <w:rsid w:val="00722A86"/>
    <w:rsid w:val="00722C69"/>
    <w:rsid w:val="0072388C"/>
    <w:rsid w:val="00726665"/>
    <w:rsid w:val="007266B9"/>
    <w:rsid w:val="00726B00"/>
    <w:rsid w:val="007278FE"/>
    <w:rsid w:val="00727AC5"/>
    <w:rsid w:val="00727C65"/>
    <w:rsid w:val="00731872"/>
    <w:rsid w:val="00731EA1"/>
    <w:rsid w:val="00734932"/>
    <w:rsid w:val="007364A3"/>
    <w:rsid w:val="007378FD"/>
    <w:rsid w:val="007413EB"/>
    <w:rsid w:val="00742D32"/>
    <w:rsid w:val="00742E9B"/>
    <w:rsid w:val="007444E6"/>
    <w:rsid w:val="0074592C"/>
    <w:rsid w:val="00747578"/>
    <w:rsid w:val="00751073"/>
    <w:rsid w:val="00752188"/>
    <w:rsid w:val="0075281E"/>
    <w:rsid w:val="00752CC6"/>
    <w:rsid w:val="00754580"/>
    <w:rsid w:val="00754A29"/>
    <w:rsid w:val="00755BCF"/>
    <w:rsid w:val="00756C5F"/>
    <w:rsid w:val="00756D69"/>
    <w:rsid w:val="00757029"/>
    <w:rsid w:val="0076093D"/>
    <w:rsid w:val="00760C5C"/>
    <w:rsid w:val="0076161B"/>
    <w:rsid w:val="00761CB5"/>
    <w:rsid w:val="0076228C"/>
    <w:rsid w:val="00763137"/>
    <w:rsid w:val="00763278"/>
    <w:rsid w:val="0076417E"/>
    <w:rsid w:val="007675DD"/>
    <w:rsid w:val="007705F0"/>
    <w:rsid w:val="00770A16"/>
    <w:rsid w:val="0077150D"/>
    <w:rsid w:val="00771CAC"/>
    <w:rsid w:val="00772036"/>
    <w:rsid w:val="007739A3"/>
    <w:rsid w:val="00773BD9"/>
    <w:rsid w:val="00773CB0"/>
    <w:rsid w:val="00773D71"/>
    <w:rsid w:val="007752EB"/>
    <w:rsid w:val="00775526"/>
    <w:rsid w:val="0077765A"/>
    <w:rsid w:val="00780032"/>
    <w:rsid w:val="00780E86"/>
    <w:rsid w:val="00781727"/>
    <w:rsid w:val="00781F96"/>
    <w:rsid w:val="007823F9"/>
    <w:rsid w:val="00782D32"/>
    <w:rsid w:val="007830E9"/>
    <w:rsid w:val="00783959"/>
    <w:rsid w:val="0078585F"/>
    <w:rsid w:val="00786CBB"/>
    <w:rsid w:val="0079038E"/>
    <w:rsid w:val="00792909"/>
    <w:rsid w:val="00792A00"/>
    <w:rsid w:val="00792C3F"/>
    <w:rsid w:val="00792EE2"/>
    <w:rsid w:val="00793105"/>
    <w:rsid w:val="007931E8"/>
    <w:rsid w:val="00793333"/>
    <w:rsid w:val="00794E46"/>
    <w:rsid w:val="00794FB6"/>
    <w:rsid w:val="007952DE"/>
    <w:rsid w:val="00795479"/>
    <w:rsid w:val="00796292"/>
    <w:rsid w:val="007972D5"/>
    <w:rsid w:val="007978E8"/>
    <w:rsid w:val="007A0789"/>
    <w:rsid w:val="007A130E"/>
    <w:rsid w:val="007A18B1"/>
    <w:rsid w:val="007A1BBD"/>
    <w:rsid w:val="007A1F08"/>
    <w:rsid w:val="007A25FA"/>
    <w:rsid w:val="007A3520"/>
    <w:rsid w:val="007A3878"/>
    <w:rsid w:val="007A3D85"/>
    <w:rsid w:val="007A54F6"/>
    <w:rsid w:val="007A5950"/>
    <w:rsid w:val="007A6D91"/>
    <w:rsid w:val="007B0306"/>
    <w:rsid w:val="007B2705"/>
    <w:rsid w:val="007B2E54"/>
    <w:rsid w:val="007B3A8E"/>
    <w:rsid w:val="007B3C9B"/>
    <w:rsid w:val="007B54B7"/>
    <w:rsid w:val="007B54C7"/>
    <w:rsid w:val="007B5DC5"/>
    <w:rsid w:val="007B63FC"/>
    <w:rsid w:val="007B6708"/>
    <w:rsid w:val="007B6E8D"/>
    <w:rsid w:val="007B722F"/>
    <w:rsid w:val="007B755E"/>
    <w:rsid w:val="007C029E"/>
    <w:rsid w:val="007C0636"/>
    <w:rsid w:val="007C10E4"/>
    <w:rsid w:val="007C2434"/>
    <w:rsid w:val="007C27E0"/>
    <w:rsid w:val="007C3590"/>
    <w:rsid w:val="007C387A"/>
    <w:rsid w:val="007C43D6"/>
    <w:rsid w:val="007C660F"/>
    <w:rsid w:val="007C69AE"/>
    <w:rsid w:val="007C7688"/>
    <w:rsid w:val="007C76E3"/>
    <w:rsid w:val="007C7DD9"/>
    <w:rsid w:val="007D128D"/>
    <w:rsid w:val="007D1667"/>
    <w:rsid w:val="007D2606"/>
    <w:rsid w:val="007D2836"/>
    <w:rsid w:val="007D2932"/>
    <w:rsid w:val="007D2C31"/>
    <w:rsid w:val="007D445F"/>
    <w:rsid w:val="007D4DED"/>
    <w:rsid w:val="007D5BA2"/>
    <w:rsid w:val="007D5ED3"/>
    <w:rsid w:val="007D6FB9"/>
    <w:rsid w:val="007E0A63"/>
    <w:rsid w:val="007E0C63"/>
    <w:rsid w:val="007E1DF8"/>
    <w:rsid w:val="007E404E"/>
    <w:rsid w:val="007E4EB3"/>
    <w:rsid w:val="007E50B4"/>
    <w:rsid w:val="007E54B8"/>
    <w:rsid w:val="007E54DB"/>
    <w:rsid w:val="007E6B25"/>
    <w:rsid w:val="007E6F55"/>
    <w:rsid w:val="007E7BF9"/>
    <w:rsid w:val="007F2B4B"/>
    <w:rsid w:val="007F2C38"/>
    <w:rsid w:val="007F30C6"/>
    <w:rsid w:val="007F3651"/>
    <w:rsid w:val="007F3752"/>
    <w:rsid w:val="007F4318"/>
    <w:rsid w:val="007F47DA"/>
    <w:rsid w:val="007F4E52"/>
    <w:rsid w:val="007F4F84"/>
    <w:rsid w:val="007F55A4"/>
    <w:rsid w:val="007F661E"/>
    <w:rsid w:val="007F6D6B"/>
    <w:rsid w:val="007F74DA"/>
    <w:rsid w:val="007F75BB"/>
    <w:rsid w:val="00800766"/>
    <w:rsid w:val="00801D90"/>
    <w:rsid w:val="0080348B"/>
    <w:rsid w:val="00803EB0"/>
    <w:rsid w:val="008052CE"/>
    <w:rsid w:val="008052DB"/>
    <w:rsid w:val="0080705B"/>
    <w:rsid w:val="0081000F"/>
    <w:rsid w:val="0081264E"/>
    <w:rsid w:val="00812A1A"/>
    <w:rsid w:val="00812DFF"/>
    <w:rsid w:val="0081383A"/>
    <w:rsid w:val="00814DE6"/>
    <w:rsid w:val="00814FC7"/>
    <w:rsid w:val="00816CB4"/>
    <w:rsid w:val="00816FE0"/>
    <w:rsid w:val="00817416"/>
    <w:rsid w:val="00817583"/>
    <w:rsid w:val="00817FAD"/>
    <w:rsid w:val="00821306"/>
    <w:rsid w:val="00821D85"/>
    <w:rsid w:val="0082207E"/>
    <w:rsid w:val="00823FFD"/>
    <w:rsid w:val="008241F0"/>
    <w:rsid w:val="0082427D"/>
    <w:rsid w:val="0082646C"/>
    <w:rsid w:val="00827E2A"/>
    <w:rsid w:val="00830052"/>
    <w:rsid w:val="008300D0"/>
    <w:rsid w:val="0083257C"/>
    <w:rsid w:val="00833307"/>
    <w:rsid w:val="00833583"/>
    <w:rsid w:val="00833B5B"/>
    <w:rsid w:val="00833E9A"/>
    <w:rsid w:val="00834FEF"/>
    <w:rsid w:val="00836323"/>
    <w:rsid w:val="00836492"/>
    <w:rsid w:val="008366FE"/>
    <w:rsid w:val="008404AA"/>
    <w:rsid w:val="00841F29"/>
    <w:rsid w:val="00842A0D"/>
    <w:rsid w:val="008460D2"/>
    <w:rsid w:val="00850013"/>
    <w:rsid w:val="008500DD"/>
    <w:rsid w:val="00852426"/>
    <w:rsid w:val="00852FA5"/>
    <w:rsid w:val="0085476F"/>
    <w:rsid w:val="0085562D"/>
    <w:rsid w:val="00856154"/>
    <w:rsid w:val="00856286"/>
    <w:rsid w:val="008576B0"/>
    <w:rsid w:val="00861948"/>
    <w:rsid w:val="00862011"/>
    <w:rsid w:val="0086213D"/>
    <w:rsid w:val="0086290B"/>
    <w:rsid w:val="00862A15"/>
    <w:rsid w:val="00862D8E"/>
    <w:rsid w:val="00862EF2"/>
    <w:rsid w:val="00866453"/>
    <w:rsid w:val="0086707F"/>
    <w:rsid w:val="00867501"/>
    <w:rsid w:val="0087099A"/>
    <w:rsid w:val="00871333"/>
    <w:rsid w:val="00873128"/>
    <w:rsid w:val="00873AAC"/>
    <w:rsid w:val="00873C61"/>
    <w:rsid w:val="008749BF"/>
    <w:rsid w:val="00875542"/>
    <w:rsid w:val="00875E14"/>
    <w:rsid w:val="0087677E"/>
    <w:rsid w:val="0087712C"/>
    <w:rsid w:val="00877C5D"/>
    <w:rsid w:val="00877CB6"/>
    <w:rsid w:val="0088093C"/>
    <w:rsid w:val="00882474"/>
    <w:rsid w:val="008824DF"/>
    <w:rsid w:val="00884371"/>
    <w:rsid w:val="00884D47"/>
    <w:rsid w:val="00887392"/>
    <w:rsid w:val="00890C40"/>
    <w:rsid w:val="008911F7"/>
    <w:rsid w:val="00893F41"/>
    <w:rsid w:val="00894BBD"/>
    <w:rsid w:val="00894C79"/>
    <w:rsid w:val="0089558A"/>
    <w:rsid w:val="008972B6"/>
    <w:rsid w:val="008977E1"/>
    <w:rsid w:val="008A2F5A"/>
    <w:rsid w:val="008A47CE"/>
    <w:rsid w:val="008A5CBF"/>
    <w:rsid w:val="008A6BAE"/>
    <w:rsid w:val="008A7350"/>
    <w:rsid w:val="008B16E6"/>
    <w:rsid w:val="008B2042"/>
    <w:rsid w:val="008B25F1"/>
    <w:rsid w:val="008B3737"/>
    <w:rsid w:val="008B3F4B"/>
    <w:rsid w:val="008B69B8"/>
    <w:rsid w:val="008C0335"/>
    <w:rsid w:val="008C094A"/>
    <w:rsid w:val="008C1077"/>
    <w:rsid w:val="008C1570"/>
    <w:rsid w:val="008C2059"/>
    <w:rsid w:val="008C58E7"/>
    <w:rsid w:val="008C65F4"/>
    <w:rsid w:val="008C7368"/>
    <w:rsid w:val="008D0E65"/>
    <w:rsid w:val="008D18D0"/>
    <w:rsid w:val="008D1FAF"/>
    <w:rsid w:val="008D2259"/>
    <w:rsid w:val="008D33FE"/>
    <w:rsid w:val="008D3A36"/>
    <w:rsid w:val="008D3B9F"/>
    <w:rsid w:val="008D3D02"/>
    <w:rsid w:val="008D54C0"/>
    <w:rsid w:val="008D5760"/>
    <w:rsid w:val="008D577E"/>
    <w:rsid w:val="008D5ED9"/>
    <w:rsid w:val="008D7567"/>
    <w:rsid w:val="008E1C24"/>
    <w:rsid w:val="008E2626"/>
    <w:rsid w:val="008E27A9"/>
    <w:rsid w:val="008E323C"/>
    <w:rsid w:val="008E35A6"/>
    <w:rsid w:val="008E3A5C"/>
    <w:rsid w:val="008E3A9A"/>
    <w:rsid w:val="008E429E"/>
    <w:rsid w:val="008E5452"/>
    <w:rsid w:val="008E7EAE"/>
    <w:rsid w:val="008F2F11"/>
    <w:rsid w:val="008F33A6"/>
    <w:rsid w:val="008F35EC"/>
    <w:rsid w:val="008F4FE8"/>
    <w:rsid w:val="008F4FED"/>
    <w:rsid w:val="008F6200"/>
    <w:rsid w:val="008F62F8"/>
    <w:rsid w:val="008F7292"/>
    <w:rsid w:val="008F7BE1"/>
    <w:rsid w:val="009000F2"/>
    <w:rsid w:val="0090079D"/>
    <w:rsid w:val="00900D2C"/>
    <w:rsid w:val="00901F0E"/>
    <w:rsid w:val="0090408F"/>
    <w:rsid w:val="0090446A"/>
    <w:rsid w:val="00904DC3"/>
    <w:rsid w:val="00905469"/>
    <w:rsid w:val="0090629C"/>
    <w:rsid w:val="009065C6"/>
    <w:rsid w:val="00906EA2"/>
    <w:rsid w:val="00907278"/>
    <w:rsid w:val="009128B8"/>
    <w:rsid w:val="0091328F"/>
    <w:rsid w:val="00915679"/>
    <w:rsid w:val="009159C2"/>
    <w:rsid w:val="009175AF"/>
    <w:rsid w:val="00920A06"/>
    <w:rsid w:val="009221CB"/>
    <w:rsid w:val="00922320"/>
    <w:rsid w:val="00923643"/>
    <w:rsid w:val="009261DB"/>
    <w:rsid w:val="0092623E"/>
    <w:rsid w:val="00931C63"/>
    <w:rsid w:val="00931D10"/>
    <w:rsid w:val="0093386D"/>
    <w:rsid w:val="00935194"/>
    <w:rsid w:val="0094015D"/>
    <w:rsid w:val="009441DB"/>
    <w:rsid w:val="0094424D"/>
    <w:rsid w:val="0094568E"/>
    <w:rsid w:val="0094633F"/>
    <w:rsid w:val="009468C5"/>
    <w:rsid w:val="00947BA5"/>
    <w:rsid w:val="009504B5"/>
    <w:rsid w:val="00950805"/>
    <w:rsid w:val="009518D4"/>
    <w:rsid w:val="009520BC"/>
    <w:rsid w:val="00953573"/>
    <w:rsid w:val="00957499"/>
    <w:rsid w:val="00957ED2"/>
    <w:rsid w:val="0096049C"/>
    <w:rsid w:val="00960DE4"/>
    <w:rsid w:val="00961A4F"/>
    <w:rsid w:val="00962C9E"/>
    <w:rsid w:val="00963F03"/>
    <w:rsid w:val="00964007"/>
    <w:rsid w:val="009643F4"/>
    <w:rsid w:val="00964F5A"/>
    <w:rsid w:val="00966AD2"/>
    <w:rsid w:val="00967FC5"/>
    <w:rsid w:val="009716D8"/>
    <w:rsid w:val="00971F54"/>
    <w:rsid w:val="00972057"/>
    <w:rsid w:val="0097227B"/>
    <w:rsid w:val="0097262E"/>
    <w:rsid w:val="00974022"/>
    <w:rsid w:val="0097564A"/>
    <w:rsid w:val="009772F2"/>
    <w:rsid w:val="009778CF"/>
    <w:rsid w:val="00977B97"/>
    <w:rsid w:val="009810BE"/>
    <w:rsid w:val="009819A7"/>
    <w:rsid w:val="009851F5"/>
    <w:rsid w:val="0098534B"/>
    <w:rsid w:val="0098764E"/>
    <w:rsid w:val="00987D58"/>
    <w:rsid w:val="009906D4"/>
    <w:rsid w:val="00990EB7"/>
    <w:rsid w:val="00990F5F"/>
    <w:rsid w:val="00993135"/>
    <w:rsid w:val="00993AC7"/>
    <w:rsid w:val="00997044"/>
    <w:rsid w:val="0099792B"/>
    <w:rsid w:val="009A106B"/>
    <w:rsid w:val="009A2B9F"/>
    <w:rsid w:val="009A2BF3"/>
    <w:rsid w:val="009A3C3E"/>
    <w:rsid w:val="009A7E7C"/>
    <w:rsid w:val="009B2BF1"/>
    <w:rsid w:val="009B3564"/>
    <w:rsid w:val="009B3796"/>
    <w:rsid w:val="009B3D38"/>
    <w:rsid w:val="009B7505"/>
    <w:rsid w:val="009C0020"/>
    <w:rsid w:val="009C19FC"/>
    <w:rsid w:val="009C27F7"/>
    <w:rsid w:val="009C3BC4"/>
    <w:rsid w:val="009C424E"/>
    <w:rsid w:val="009C4708"/>
    <w:rsid w:val="009C4870"/>
    <w:rsid w:val="009C4C4E"/>
    <w:rsid w:val="009C4D37"/>
    <w:rsid w:val="009C574C"/>
    <w:rsid w:val="009C5753"/>
    <w:rsid w:val="009C620F"/>
    <w:rsid w:val="009C7F2B"/>
    <w:rsid w:val="009D1654"/>
    <w:rsid w:val="009D1BDB"/>
    <w:rsid w:val="009D24D5"/>
    <w:rsid w:val="009D256A"/>
    <w:rsid w:val="009D2F9C"/>
    <w:rsid w:val="009D4E4A"/>
    <w:rsid w:val="009D5130"/>
    <w:rsid w:val="009D6081"/>
    <w:rsid w:val="009D678C"/>
    <w:rsid w:val="009D7BC7"/>
    <w:rsid w:val="009D7FAC"/>
    <w:rsid w:val="009E0342"/>
    <w:rsid w:val="009E09AB"/>
    <w:rsid w:val="009E19BB"/>
    <w:rsid w:val="009E38D1"/>
    <w:rsid w:val="009E5701"/>
    <w:rsid w:val="009E5711"/>
    <w:rsid w:val="009E6249"/>
    <w:rsid w:val="009E6D26"/>
    <w:rsid w:val="009E758E"/>
    <w:rsid w:val="009E7A4C"/>
    <w:rsid w:val="009E7D6B"/>
    <w:rsid w:val="009F1109"/>
    <w:rsid w:val="009F2EDB"/>
    <w:rsid w:val="009F2F52"/>
    <w:rsid w:val="009F56C0"/>
    <w:rsid w:val="009F5C76"/>
    <w:rsid w:val="00A00E00"/>
    <w:rsid w:val="00A01221"/>
    <w:rsid w:val="00A012A8"/>
    <w:rsid w:val="00A016FF"/>
    <w:rsid w:val="00A0207F"/>
    <w:rsid w:val="00A04337"/>
    <w:rsid w:val="00A044AA"/>
    <w:rsid w:val="00A04D99"/>
    <w:rsid w:val="00A078F6"/>
    <w:rsid w:val="00A102F8"/>
    <w:rsid w:val="00A10A20"/>
    <w:rsid w:val="00A116AC"/>
    <w:rsid w:val="00A117D5"/>
    <w:rsid w:val="00A123D0"/>
    <w:rsid w:val="00A131F5"/>
    <w:rsid w:val="00A133C1"/>
    <w:rsid w:val="00A13F2D"/>
    <w:rsid w:val="00A14225"/>
    <w:rsid w:val="00A14F81"/>
    <w:rsid w:val="00A1535F"/>
    <w:rsid w:val="00A15CB1"/>
    <w:rsid w:val="00A15E84"/>
    <w:rsid w:val="00A16021"/>
    <w:rsid w:val="00A160B4"/>
    <w:rsid w:val="00A16F3E"/>
    <w:rsid w:val="00A22C3E"/>
    <w:rsid w:val="00A22C4D"/>
    <w:rsid w:val="00A254AB"/>
    <w:rsid w:val="00A266CC"/>
    <w:rsid w:val="00A26DB4"/>
    <w:rsid w:val="00A3023E"/>
    <w:rsid w:val="00A305C5"/>
    <w:rsid w:val="00A30919"/>
    <w:rsid w:val="00A31FD2"/>
    <w:rsid w:val="00A33A02"/>
    <w:rsid w:val="00A33BDB"/>
    <w:rsid w:val="00A341AB"/>
    <w:rsid w:val="00A355F9"/>
    <w:rsid w:val="00A35AA9"/>
    <w:rsid w:val="00A364BC"/>
    <w:rsid w:val="00A3786A"/>
    <w:rsid w:val="00A402ED"/>
    <w:rsid w:val="00A40685"/>
    <w:rsid w:val="00A41123"/>
    <w:rsid w:val="00A41819"/>
    <w:rsid w:val="00A41C9A"/>
    <w:rsid w:val="00A42F49"/>
    <w:rsid w:val="00A433DA"/>
    <w:rsid w:val="00A433E8"/>
    <w:rsid w:val="00A4424E"/>
    <w:rsid w:val="00A44A45"/>
    <w:rsid w:val="00A4534D"/>
    <w:rsid w:val="00A46BFB"/>
    <w:rsid w:val="00A46C6D"/>
    <w:rsid w:val="00A472B8"/>
    <w:rsid w:val="00A502F5"/>
    <w:rsid w:val="00A504F4"/>
    <w:rsid w:val="00A51577"/>
    <w:rsid w:val="00A51B47"/>
    <w:rsid w:val="00A526CE"/>
    <w:rsid w:val="00A54DC0"/>
    <w:rsid w:val="00A550C9"/>
    <w:rsid w:val="00A55228"/>
    <w:rsid w:val="00A5589F"/>
    <w:rsid w:val="00A55D4E"/>
    <w:rsid w:val="00A564DE"/>
    <w:rsid w:val="00A61B91"/>
    <w:rsid w:val="00A63335"/>
    <w:rsid w:val="00A63685"/>
    <w:rsid w:val="00A63DDD"/>
    <w:rsid w:val="00A66473"/>
    <w:rsid w:val="00A66E28"/>
    <w:rsid w:val="00A70590"/>
    <w:rsid w:val="00A71542"/>
    <w:rsid w:val="00A71FA0"/>
    <w:rsid w:val="00A72C1A"/>
    <w:rsid w:val="00A74021"/>
    <w:rsid w:val="00A7463E"/>
    <w:rsid w:val="00A762DA"/>
    <w:rsid w:val="00A765B1"/>
    <w:rsid w:val="00A76B41"/>
    <w:rsid w:val="00A772F2"/>
    <w:rsid w:val="00A77828"/>
    <w:rsid w:val="00A8073D"/>
    <w:rsid w:val="00A807A2"/>
    <w:rsid w:val="00A80D02"/>
    <w:rsid w:val="00A812A8"/>
    <w:rsid w:val="00A82D32"/>
    <w:rsid w:val="00A82EAE"/>
    <w:rsid w:val="00A84F27"/>
    <w:rsid w:val="00A8519C"/>
    <w:rsid w:val="00A8733A"/>
    <w:rsid w:val="00A90B66"/>
    <w:rsid w:val="00A91D4B"/>
    <w:rsid w:val="00A920B2"/>
    <w:rsid w:val="00A92A96"/>
    <w:rsid w:val="00A92AF0"/>
    <w:rsid w:val="00A930F2"/>
    <w:rsid w:val="00A937D5"/>
    <w:rsid w:val="00A93C70"/>
    <w:rsid w:val="00A94700"/>
    <w:rsid w:val="00A970CE"/>
    <w:rsid w:val="00A974A9"/>
    <w:rsid w:val="00A974ED"/>
    <w:rsid w:val="00A97718"/>
    <w:rsid w:val="00AA08F3"/>
    <w:rsid w:val="00AA0F23"/>
    <w:rsid w:val="00AA1DA8"/>
    <w:rsid w:val="00AA238E"/>
    <w:rsid w:val="00AA2EB9"/>
    <w:rsid w:val="00AA3243"/>
    <w:rsid w:val="00AA388F"/>
    <w:rsid w:val="00AA4F6D"/>
    <w:rsid w:val="00AA536B"/>
    <w:rsid w:val="00AA57D7"/>
    <w:rsid w:val="00AA5A6F"/>
    <w:rsid w:val="00AA5C40"/>
    <w:rsid w:val="00AA6BB8"/>
    <w:rsid w:val="00AA7519"/>
    <w:rsid w:val="00AB02EA"/>
    <w:rsid w:val="00AB22BF"/>
    <w:rsid w:val="00AB256E"/>
    <w:rsid w:val="00AB32AD"/>
    <w:rsid w:val="00AB3466"/>
    <w:rsid w:val="00AB3BBB"/>
    <w:rsid w:val="00AB408C"/>
    <w:rsid w:val="00AB5030"/>
    <w:rsid w:val="00AB759A"/>
    <w:rsid w:val="00AB7B06"/>
    <w:rsid w:val="00AB7EAA"/>
    <w:rsid w:val="00AC0432"/>
    <w:rsid w:val="00AC4094"/>
    <w:rsid w:val="00AC42B6"/>
    <w:rsid w:val="00AC4AB7"/>
    <w:rsid w:val="00AC60EC"/>
    <w:rsid w:val="00AC6CD9"/>
    <w:rsid w:val="00AD2679"/>
    <w:rsid w:val="00AD3F3C"/>
    <w:rsid w:val="00AD5F0A"/>
    <w:rsid w:val="00AD6741"/>
    <w:rsid w:val="00AD6B4F"/>
    <w:rsid w:val="00AD7CFA"/>
    <w:rsid w:val="00AE11C1"/>
    <w:rsid w:val="00AE163D"/>
    <w:rsid w:val="00AE1C5C"/>
    <w:rsid w:val="00AE25D1"/>
    <w:rsid w:val="00AE2918"/>
    <w:rsid w:val="00AE315E"/>
    <w:rsid w:val="00AE31D9"/>
    <w:rsid w:val="00AE3CF0"/>
    <w:rsid w:val="00AE4337"/>
    <w:rsid w:val="00AE71EE"/>
    <w:rsid w:val="00AF03CF"/>
    <w:rsid w:val="00AF06B6"/>
    <w:rsid w:val="00AF0A0A"/>
    <w:rsid w:val="00AF1ED2"/>
    <w:rsid w:val="00AF1F4E"/>
    <w:rsid w:val="00AF3557"/>
    <w:rsid w:val="00AF4CEE"/>
    <w:rsid w:val="00AF5D84"/>
    <w:rsid w:val="00AF672C"/>
    <w:rsid w:val="00AF6D69"/>
    <w:rsid w:val="00AF6F5E"/>
    <w:rsid w:val="00B00378"/>
    <w:rsid w:val="00B00E41"/>
    <w:rsid w:val="00B018BD"/>
    <w:rsid w:val="00B04678"/>
    <w:rsid w:val="00B04A04"/>
    <w:rsid w:val="00B04F00"/>
    <w:rsid w:val="00B05A66"/>
    <w:rsid w:val="00B05EFD"/>
    <w:rsid w:val="00B066FE"/>
    <w:rsid w:val="00B06912"/>
    <w:rsid w:val="00B10B04"/>
    <w:rsid w:val="00B10CC6"/>
    <w:rsid w:val="00B12082"/>
    <w:rsid w:val="00B13389"/>
    <w:rsid w:val="00B1364C"/>
    <w:rsid w:val="00B141A5"/>
    <w:rsid w:val="00B15286"/>
    <w:rsid w:val="00B1550D"/>
    <w:rsid w:val="00B1631F"/>
    <w:rsid w:val="00B163E8"/>
    <w:rsid w:val="00B1767E"/>
    <w:rsid w:val="00B203B6"/>
    <w:rsid w:val="00B203CE"/>
    <w:rsid w:val="00B21676"/>
    <w:rsid w:val="00B241D5"/>
    <w:rsid w:val="00B26677"/>
    <w:rsid w:val="00B26C57"/>
    <w:rsid w:val="00B274E3"/>
    <w:rsid w:val="00B27B92"/>
    <w:rsid w:val="00B30563"/>
    <w:rsid w:val="00B30A76"/>
    <w:rsid w:val="00B3412E"/>
    <w:rsid w:val="00B346EA"/>
    <w:rsid w:val="00B356B8"/>
    <w:rsid w:val="00B35C9C"/>
    <w:rsid w:val="00B37B8E"/>
    <w:rsid w:val="00B40222"/>
    <w:rsid w:val="00B404C3"/>
    <w:rsid w:val="00B40BA6"/>
    <w:rsid w:val="00B4280F"/>
    <w:rsid w:val="00B43381"/>
    <w:rsid w:val="00B448BF"/>
    <w:rsid w:val="00B45F9F"/>
    <w:rsid w:val="00B4627C"/>
    <w:rsid w:val="00B46793"/>
    <w:rsid w:val="00B46953"/>
    <w:rsid w:val="00B46A7F"/>
    <w:rsid w:val="00B47A59"/>
    <w:rsid w:val="00B51520"/>
    <w:rsid w:val="00B5169E"/>
    <w:rsid w:val="00B517C2"/>
    <w:rsid w:val="00B518CE"/>
    <w:rsid w:val="00B51F06"/>
    <w:rsid w:val="00B52234"/>
    <w:rsid w:val="00B53623"/>
    <w:rsid w:val="00B536F5"/>
    <w:rsid w:val="00B53E98"/>
    <w:rsid w:val="00B5634D"/>
    <w:rsid w:val="00B56ECA"/>
    <w:rsid w:val="00B57093"/>
    <w:rsid w:val="00B60613"/>
    <w:rsid w:val="00B616E6"/>
    <w:rsid w:val="00B630F2"/>
    <w:rsid w:val="00B63E7A"/>
    <w:rsid w:val="00B65582"/>
    <w:rsid w:val="00B66054"/>
    <w:rsid w:val="00B672EA"/>
    <w:rsid w:val="00B6747B"/>
    <w:rsid w:val="00B70200"/>
    <w:rsid w:val="00B72CF0"/>
    <w:rsid w:val="00B740F6"/>
    <w:rsid w:val="00B74615"/>
    <w:rsid w:val="00B75035"/>
    <w:rsid w:val="00B755B6"/>
    <w:rsid w:val="00B76B55"/>
    <w:rsid w:val="00B804F8"/>
    <w:rsid w:val="00B815D3"/>
    <w:rsid w:val="00B83E76"/>
    <w:rsid w:val="00B8506D"/>
    <w:rsid w:val="00B86289"/>
    <w:rsid w:val="00B87F1C"/>
    <w:rsid w:val="00B91B61"/>
    <w:rsid w:val="00B93849"/>
    <w:rsid w:val="00B944E9"/>
    <w:rsid w:val="00B94896"/>
    <w:rsid w:val="00B949D8"/>
    <w:rsid w:val="00B94CDD"/>
    <w:rsid w:val="00B965F4"/>
    <w:rsid w:val="00B96F52"/>
    <w:rsid w:val="00B97C76"/>
    <w:rsid w:val="00BA07F3"/>
    <w:rsid w:val="00BA15DC"/>
    <w:rsid w:val="00BA1602"/>
    <w:rsid w:val="00BA2C82"/>
    <w:rsid w:val="00BA2E8A"/>
    <w:rsid w:val="00BA583B"/>
    <w:rsid w:val="00BA5EC7"/>
    <w:rsid w:val="00BA6319"/>
    <w:rsid w:val="00BA63CE"/>
    <w:rsid w:val="00BA6551"/>
    <w:rsid w:val="00BA6791"/>
    <w:rsid w:val="00BA6E3C"/>
    <w:rsid w:val="00BA7227"/>
    <w:rsid w:val="00BA7CD7"/>
    <w:rsid w:val="00BA7D1F"/>
    <w:rsid w:val="00BB2E4E"/>
    <w:rsid w:val="00BB2E62"/>
    <w:rsid w:val="00BB36C9"/>
    <w:rsid w:val="00BB5886"/>
    <w:rsid w:val="00BB7EC0"/>
    <w:rsid w:val="00BC0A5A"/>
    <w:rsid w:val="00BC0B2F"/>
    <w:rsid w:val="00BC0E64"/>
    <w:rsid w:val="00BC0F07"/>
    <w:rsid w:val="00BC25D1"/>
    <w:rsid w:val="00BC3BCB"/>
    <w:rsid w:val="00BC427C"/>
    <w:rsid w:val="00BC428A"/>
    <w:rsid w:val="00BC4C40"/>
    <w:rsid w:val="00BC5BAD"/>
    <w:rsid w:val="00BC76C5"/>
    <w:rsid w:val="00BD138A"/>
    <w:rsid w:val="00BD1547"/>
    <w:rsid w:val="00BD164A"/>
    <w:rsid w:val="00BD2B4D"/>
    <w:rsid w:val="00BD2DAE"/>
    <w:rsid w:val="00BD2FB9"/>
    <w:rsid w:val="00BD31C2"/>
    <w:rsid w:val="00BD450A"/>
    <w:rsid w:val="00BD4717"/>
    <w:rsid w:val="00BD48BC"/>
    <w:rsid w:val="00BD48EA"/>
    <w:rsid w:val="00BD4BA8"/>
    <w:rsid w:val="00BD6B0E"/>
    <w:rsid w:val="00BD7941"/>
    <w:rsid w:val="00BD7E5F"/>
    <w:rsid w:val="00BE0C55"/>
    <w:rsid w:val="00BE11A2"/>
    <w:rsid w:val="00BE246C"/>
    <w:rsid w:val="00BE2657"/>
    <w:rsid w:val="00BE37AE"/>
    <w:rsid w:val="00BE73C3"/>
    <w:rsid w:val="00BE7B29"/>
    <w:rsid w:val="00BF03C0"/>
    <w:rsid w:val="00BF21D4"/>
    <w:rsid w:val="00BF2E46"/>
    <w:rsid w:val="00BF4A15"/>
    <w:rsid w:val="00BF4E27"/>
    <w:rsid w:val="00BF6D77"/>
    <w:rsid w:val="00C01EF2"/>
    <w:rsid w:val="00C0378E"/>
    <w:rsid w:val="00C04258"/>
    <w:rsid w:val="00C05AFD"/>
    <w:rsid w:val="00C0724C"/>
    <w:rsid w:val="00C07AEF"/>
    <w:rsid w:val="00C07C11"/>
    <w:rsid w:val="00C07CC1"/>
    <w:rsid w:val="00C10015"/>
    <w:rsid w:val="00C12ECB"/>
    <w:rsid w:val="00C14ABD"/>
    <w:rsid w:val="00C151E0"/>
    <w:rsid w:val="00C20051"/>
    <w:rsid w:val="00C20B86"/>
    <w:rsid w:val="00C21145"/>
    <w:rsid w:val="00C239A8"/>
    <w:rsid w:val="00C24381"/>
    <w:rsid w:val="00C249D9"/>
    <w:rsid w:val="00C24C2E"/>
    <w:rsid w:val="00C24C7A"/>
    <w:rsid w:val="00C24FFB"/>
    <w:rsid w:val="00C25CFF"/>
    <w:rsid w:val="00C261C1"/>
    <w:rsid w:val="00C30B0B"/>
    <w:rsid w:val="00C31339"/>
    <w:rsid w:val="00C332D4"/>
    <w:rsid w:val="00C33E51"/>
    <w:rsid w:val="00C34848"/>
    <w:rsid w:val="00C349B4"/>
    <w:rsid w:val="00C34C47"/>
    <w:rsid w:val="00C35A80"/>
    <w:rsid w:val="00C368F9"/>
    <w:rsid w:val="00C3715C"/>
    <w:rsid w:val="00C405C8"/>
    <w:rsid w:val="00C41E09"/>
    <w:rsid w:val="00C42DBE"/>
    <w:rsid w:val="00C4360C"/>
    <w:rsid w:val="00C4414C"/>
    <w:rsid w:val="00C452DC"/>
    <w:rsid w:val="00C46564"/>
    <w:rsid w:val="00C50A02"/>
    <w:rsid w:val="00C512D1"/>
    <w:rsid w:val="00C51856"/>
    <w:rsid w:val="00C51B5E"/>
    <w:rsid w:val="00C5518B"/>
    <w:rsid w:val="00C5531B"/>
    <w:rsid w:val="00C55375"/>
    <w:rsid w:val="00C57120"/>
    <w:rsid w:val="00C575D4"/>
    <w:rsid w:val="00C57873"/>
    <w:rsid w:val="00C61246"/>
    <w:rsid w:val="00C62A79"/>
    <w:rsid w:val="00C634F9"/>
    <w:rsid w:val="00C64534"/>
    <w:rsid w:val="00C64767"/>
    <w:rsid w:val="00C65200"/>
    <w:rsid w:val="00C655E0"/>
    <w:rsid w:val="00C65649"/>
    <w:rsid w:val="00C665DE"/>
    <w:rsid w:val="00C667C3"/>
    <w:rsid w:val="00C6728B"/>
    <w:rsid w:val="00C7020C"/>
    <w:rsid w:val="00C71528"/>
    <w:rsid w:val="00C71F09"/>
    <w:rsid w:val="00C72588"/>
    <w:rsid w:val="00C727B9"/>
    <w:rsid w:val="00C73670"/>
    <w:rsid w:val="00C73DE0"/>
    <w:rsid w:val="00C74609"/>
    <w:rsid w:val="00C749AB"/>
    <w:rsid w:val="00C75A8F"/>
    <w:rsid w:val="00C81716"/>
    <w:rsid w:val="00C82795"/>
    <w:rsid w:val="00C832CB"/>
    <w:rsid w:val="00C84085"/>
    <w:rsid w:val="00C8779E"/>
    <w:rsid w:val="00C87850"/>
    <w:rsid w:val="00C87BD0"/>
    <w:rsid w:val="00C90B95"/>
    <w:rsid w:val="00C90CA9"/>
    <w:rsid w:val="00C9354F"/>
    <w:rsid w:val="00C93B40"/>
    <w:rsid w:val="00C93D48"/>
    <w:rsid w:val="00C93DB5"/>
    <w:rsid w:val="00C97DD7"/>
    <w:rsid w:val="00C97EF9"/>
    <w:rsid w:val="00CA0492"/>
    <w:rsid w:val="00CA0A04"/>
    <w:rsid w:val="00CA3CAB"/>
    <w:rsid w:val="00CA613C"/>
    <w:rsid w:val="00CA6A2E"/>
    <w:rsid w:val="00CB52A4"/>
    <w:rsid w:val="00CB537C"/>
    <w:rsid w:val="00CB5778"/>
    <w:rsid w:val="00CB6675"/>
    <w:rsid w:val="00CC03A0"/>
    <w:rsid w:val="00CC0915"/>
    <w:rsid w:val="00CC1AF5"/>
    <w:rsid w:val="00CC1B74"/>
    <w:rsid w:val="00CC2EB0"/>
    <w:rsid w:val="00CC2F38"/>
    <w:rsid w:val="00CC44F5"/>
    <w:rsid w:val="00CC5F95"/>
    <w:rsid w:val="00CD1255"/>
    <w:rsid w:val="00CD1484"/>
    <w:rsid w:val="00CD1892"/>
    <w:rsid w:val="00CD1D00"/>
    <w:rsid w:val="00CD26B8"/>
    <w:rsid w:val="00CD2A82"/>
    <w:rsid w:val="00CD32C2"/>
    <w:rsid w:val="00CD347C"/>
    <w:rsid w:val="00CD3CAB"/>
    <w:rsid w:val="00CD3FF0"/>
    <w:rsid w:val="00CD4E50"/>
    <w:rsid w:val="00CD64E1"/>
    <w:rsid w:val="00CD699D"/>
    <w:rsid w:val="00CD701B"/>
    <w:rsid w:val="00CD70DB"/>
    <w:rsid w:val="00CD7466"/>
    <w:rsid w:val="00CD7C49"/>
    <w:rsid w:val="00CE2E2E"/>
    <w:rsid w:val="00CE3A51"/>
    <w:rsid w:val="00CE59F6"/>
    <w:rsid w:val="00CE71C3"/>
    <w:rsid w:val="00CE7ECB"/>
    <w:rsid w:val="00CF0AF0"/>
    <w:rsid w:val="00CF1834"/>
    <w:rsid w:val="00CF2ACF"/>
    <w:rsid w:val="00CF345B"/>
    <w:rsid w:val="00CF475F"/>
    <w:rsid w:val="00CF5069"/>
    <w:rsid w:val="00CF7082"/>
    <w:rsid w:val="00D01590"/>
    <w:rsid w:val="00D0336E"/>
    <w:rsid w:val="00D04F01"/>
    <w:rsid w:val="00D04F8B"/>
    <w:rsid w:val="00D054EF"/>
    <w:rsid w:val="00D05637"/>
    <w:rsid w:val="00D05BA9"/>
    <w:rsid w:val="00D06E71"/>
    <w:rsid w:val="00D0764E"/>
    <w:rsid w:val="00D07D82"/>
    <w:rsid w:val="00D10BE1"/>
    <w:rsid w:val="00D11FE3"/>
    <w:rsid w:val="00D132F1"/>
    <w:rsid w:val="00D13D50"/>
    <w:rsid w:val="00D14919"/>
    <w:rsid w:val="00D14E25"/>
    <w:rsid w:val="00D152D6"/>
    <w:rsid w:val="00D165D8"/>
    <w:rsid w:val="00D1724E"/>
    <w:rsid w:val="00D17C81"/>
    <w:rsid w:val="00D206F6"/>
    <w:rsid w:val="00D237E0"/>
    <w:rsid w:val="00D25676"/>
    <w:rsid w:val="00D25F78"/>
    <w:rsid w:val="00D27129"/>
    <w:rsid w:val="00D2738C"/>
    <w:rsid w:val="00D279E7"/>
    <w:rsid w:val="00D3046D"/>
    <w:rsid w:val="00D31B07"/>
    <w:rsid w:val="00D32FA0"/>
    <w:rsid w:val="00D33112"/>
    <w:rsid w:val="00D331CB"/>
    <w:rsid w:val="00D3426E"/>
    <w:rsid w:val="00D3746F"/>
    <w:rsid w:val="00D40217"/>
    <w:rsid w:val="00D40385"/>
    <w:rsid w:val="00D404CE"/>
    <w:rsid w:val="00D417C6"/>
    <w:rsid w:val="00D43FAE"/>
    <w:rsid w:val="00D44259"/>
    <w:rsid w:val="00D44895"/>
    <w:rsid w:val="00D5064C"/>
    <w:rsid w:val="00D5098E"/>
    <w:rsid w:val="00D51B02"/>
    <w:rsid w:val="00D539DA"/>
    <w:rsid w:val="00D55C81"/>
    <w:rsid w:val="00D56B56"/>
    <w:rsid w:val="00D56BF5"/>
    <w:rsid w:val="00D56F99"/>
    <w:rsid w:val="00D5743F"/>
    <w:rsid w:val="00D605C2"/>
    <w:rsid w:val="00D60733"/>
    <w:rsid w:val="00D61E1D"/>
    <w:rsid w:val="00D62BDF"/>
    <w:rsid w:val="00D64F1C"/>
    <w:rsid w:val="00D6570C"/>
    <w:rsid w:val="00D675B0"/>
    <w:rsid w:val="00D70552"/>
    <w:rsid w:val="00D70D42"/>
    <w:rsid w:val="00D71285"/>
    <w:rsid w:val="00D71ABC"/>
    <w:rsid w:val="00D72175"/>
    <w:rsid w:val="00D72454"/>
    <w:rsid w:val="00D72A5B"/>
    <w:rsid w:val="00D73F06"/>
    <w:rsid w:val="00D74160"/>
    <w:rsid w:val="00D74247"/>
    <w:rsid w:val="00D753A9"/>
    <w:rsid w:val="00D804C5"/>
    <w:rsid w:val="00D81146"/>
    <w:rsid w:val="00D81A28"/>
    <w:rsid w:val="00D82AB8"/>
    <w:rsid w:val="00D82B00"/>
    <w:rsid w:val="00D82BE4"/>
    <w:rsid w:val="00D82E05"/>
    <w:rsid w:val="00D82F67"/>
    <w:rsid w:val="00D83A05"/>
    <w:rsid w:val="00D83C0D"/>
    <w:rsid w:val="00D869C1"/>
    <w:rsid w:val="00D86EC6"/>
    <w:rsid w:val="00D87418"/>
    <w:rsid w:val="00D87FE6"/>
    <w:rsid w:val="00D90BC3"/>
    <w:rsid w:val="00D90DB9"/>
    <w:rsid w:val="00D91337"/>
    <w:rsid w:val="00D915C9"/>
    <w:rsid w:val="00D9198F"/>
    <w:rsid w:val="00D92A87"/>
    <w:rsid w:val="00D9384E"/>
    <w:rsid w:val="00D94C8D"/>
    <w:rsid w:val="00D95AEB"/>
    <w:rsid w:val="00D96876"/>
    <w:rsid w:val="00D96B12"/>
    <w:rsid w:val="00D96F59"/>
    <w:rsid w:val="00DA061C"/>
    <w:rsid w:val="00DA099C"/>
    <w:rsid w:val="00DA2125"/>
    <w:rsid w:val="00DA24DE"/>
    <w:rsid w:val="00DA281F"/>
    <w:rsid w:val="00DA289D"/>
    <w:rsid w:val="00DA3E06"/>
    <w:rsid w:val="00DA6EE2"/>
    <w:rsid w:val="00DA78CF"/>
    <w:rsid w:val="00DA7A89"/>
    <w:rsid w:val="00DA7BF4"/>
    <w:rsid w:val="00DA7F8B"/>
    <w:rsid w:val="00DB03E8"/>
    <w:rsid w:val="00DB08F0"/>
    <w:rsid w:val="00DB0C0F"/>
    <w:rsid w:val="00DB102D"/>
    <w:rsid w:val="00DB12BA"/>
    <w:rsid w:val="00DB154B"/>
    <w:rsid w:val="00DB3490"/>
    <w:rsid w:val="00DB4F12"/>
    <w:rsid w:val="00DB5256"/>
    <w:rsid w:val="00DB53A2"/>
    <w:rsid w:val="00DB6E8E"/>
    <w:rsid w:val="00DB6F96"/>
    <w:rsid w:val="00DB71B9"/>
    <w:rsid w:val="00DC0B56"/>
    <w:rsid w:val="00DC1395"/>
    <w:rsid w:val="00DC1BCB"/>
    <w:rsid w:val="00DC32FC"/>
    <w:rsid w:val="00DC43C4"/>
    <w:rsid w:val="00DC4F47"/>
    <w:rsid w:val="00DC6747"/>
    <w:rsid w:val="00DC6AF3"/>
    <w:rsid w:val="00DC740D"/>
    <w:rsid w:val="00DC7608"/>
    <w:rsid w:val="00DC761E"/>
    <w:rsid w:val="00DC7CFC"/>
    <w:rsid w:val="00DD0090"/>
    <w:rsid w:val="00DD2C42"/>
    <w:rsid w:val="00DD2D14"/>
    <w:rsid w:val="00DD3A99"/>
    <w:rsid w:val="00DD4344"/>
    <w:rsid w:val="00DD5B8C"/>
    <w:rsid w:val="00DD5DFA"/>
    <w:rsid w:val="00DD67EC"/>
    <w:rsid w:val="00DD6F7F"/>
    <w:rsid w:val="00DE1A9D"/>
    <w:rsid w:val="00DE1CB1"/>
    <w:rsid w:val="00DE2073"/>
    <w:rsid w:val="00DE30AC"/>
    <w:rsid w:val="00DE368A"/>
    <w:rsid w:val="00DE3CF3"/>
    <w:rsid w:val="00DE4106"/>
    <w:rsid w:val="00DE5563"/>
    <w:rsid w:val="00DE6E4D"/>
    <w:rsid w:val="00DF05A0"/>
    <w:rsid w:val="00DF1BA8"/>
    <w:rsid w:val="00DF1F63"/>
    <w:rsid w:val="00DF25FE"/>
    <w:rsid w:val="00DF28F2"/>
    <w:rsid w:val="00DF2BFF"/>
    <w:rsid w:val="00DF48D9"/>
    <w:rsid w:val="00DF4FF1"/>
    <w:rsid w:val="00DF6FD2"/>
    <w:rsid w:val="00DF7724"/>
    <w:rsid w:val="00DF7C43"/>
    <w:rsid w:val="00E000B2"/>
    <w:rsid w:val="00E00C1E"/>
    <w:rsid w:val="00E00F5F"/>
    <w:rsid w:val="00E014E7"/>
    <w:rsid w:val="00E026A9"/>
    <w:rsid w:val="00E02C24"/>
    <w:rsid w:val="00E0356F"/>
    <w:rsid w:val="00E03B42"/>
    <w:rsid w:val="00E041AA"/>
    <w:rsid w:val="00E0479F"/>
    <w:rsid w:val="00E04D6A"/>
    <w:rsid w:val="00E06100"/>
    <w:rsid w:val="00E06E97"/>
    <w:rsid w:val="00E07767"/>
    <w:rsid w:val="00E10DD1"/>
    <w:rsid w:val="00E1254C"/>
    <w:rsid w:val="00E12BDF"/>
    <w:rsid w:val="00E13326"/>
    <w:rsid w:val="00E14961"/>
    <w:rsid w:val="00E14D76"/>
    <w:rsid w:val="00E20CE7"/>
    <w:rsid w:val="00E217B1"/>
    <w:rsid w:val="00E222FA"/>
    <w:rsid w:val="00E24A62"/>
    <w:rsid w:val="00E24F52"/>
    <w:rsid w:val="00E279B2"/>
    <w:rsid w:val="00E30BD5"/>
    <w:rsid w:val="00E31143"/>
    <w:rsid w:val="00E31812"/>
    <w:rsid w:val="00E3533E"/>
    <w:rsid w:val="00E35A45"/>
    <w:rsid w:val="00E37C85"/>
    <w:rsid w:val="00E43006"/>
    <w:rsid w:val="00E43551"/>
    <w:rsid w:val="00E50809"/>
    <w:rsid w:val="00E510CF"/>
    <w:rsid w:val="00E52AAB"/>
    <w:rsid w:val="00E533B0"/>
    <w:rsid w:val="00E5448E"/>
    <w:rsid w:val="00E54E0D"/>
    <w:rsid w:val="00E56795"/>
    <w:rsid w:val="00E57932"/>
    <w:rsid w:val="00E57DA3"/>
    <w:rsid w:val="00E60811"/>
    <w:rsid w:val="00E64050"/>
    <w:rsid w:val="00E6514D"/>
    <w:rsid w:val="00E65161"/>
    <w:rsid w:val="00E652C9"/>
    <w:rsid w:val="00E65700"/>
    <w:rsid w:val="00E6593B"/>
    <w:rsid w:val="00E672C6"/>
    <w:rsid w:val="00E675EE"/>
    <w:rsid w:val="00E71809"/>
    <w:rsid w:val="00E71D1E"/>
    <w:rsid w:val="00E728E2"/>
    <w:rsid w:val="00E74976"/>
    <w:rsid w:val="00E75667"/>
    <w:rsid w:val="00E756D3"/>
    <w:rsid w:val="00E76869"/>
    <w:rsid w:val="00E769CC"/>
    <w:rsid w:val="00E80AF8"/>
    <w:rsid w:val="00E827BB"/>
    <w:rsid w:val="00E82D24"/>
    <w:rsid w:val="00E8308F"/>
    <w:rsid w:val="00E8317B"/>
    <w:rsid w:val="00E8357D"/>
    <w:rsid w:val="00E84C04"/>
    <w:rsid w:val="00E84E4F"/>
    <w:rsid w:val="00E856A2"/>
    <w:rsid w:val="00E85AD2"/>
    <w:rsid w:val="00E9036E"/>
    <w:rsid w:val="00E917B6"/>
    <w:rsid w:val="00E92292"/>
    <w:rsid w:val="00E92D0B"/>
    <w:rsid w:val="00E93195"/>
    <w:rsid w:val="00E93F21"/>
    <w:rsid w:val="00E9411C"/>
    <w:rsid w:val="00E9522C"/>
    <w:rsid w:val="00E95C2A"/>
    <w:rsid w:val="00E963BC"/>
    <w:rsid w:val="00E97F7A"/>
    <w:rsid w:val="00EA0143"/>
    <w:rsid w:val="00EA089B"/>
    <w:rsid w:val="00EA2E21"/>
    <w:rsid w:val="00EA380C"/>
    <w:rsid w:val="00EA47B5"/>
    <w:rsid w:val="00EA7308"/>
    <w:rsid w:val="00EB089C"/>
    <w:rsid w:val="00EB0BB0"/>
    <w:rsid w:val="00EB0C65"/>
    <w:rsid w:val="00EB169F"/>
    <w:rsid w:val="00EB2961"/>
    <w:rsid w:val="00EB2E1A"/>
    <w:rsid w:val="00EB3268"/>
    <w:rsid w:val="00EB3298"/>
    <w:rsid w:val="00EB3CE6"/>
    <w:rsid w:val="00EB3E92"/>
    <w:rsid w:val="00EB68E6"/>
    <w:rsid w:val="00EB69AB"/>
    <w:rsid w:val="00EB6D1C"/>
    <w:rsid w:val="00EB7B67"/>
    <w:rsid w:val="00EC328C"/>
    <w:rsid w:val="00EC3BEC"/>
    <w:rsid w:val="00EC5241"/>
    <w:rsid w:val="00EC594C"/>
    <w:rsid w:val="00EC5C7B"/>
    <w:rsid w:val="00EC66AA"/>
    <w:rsid w:val="00EC6B8F"/>
    <w:rsid w:val="00EC7B48"/>
    <w:rsid w:val="00ED0257"/>
    <w:rsid w:val="00ED1339"/>
    <w:rsid w:val="00ED3E65"/>
    <w:rsid w:val="00ED4448"/>
    <w:rsid w:val="00ED4EDF"/>
    <w:rsid w:val="00ED5981"/>
    <w:rsid w:val="00ED66B2"/>
    <w:rsid w:val="00ED71BA"/>
    <w:rsid w:val="00ED73A1"/>
    <w:rsid w:val="00ED7CA2"/>
    <w:rsid w:val="00EE13DA"/>
    <w:rsid w:val="00EE332A"/>
    <w:rsid w:val="00EE5324"/>
    <w:rsid w:val="00EE55FA"/>
    <w:rsid w:val="00EE56E2"/>
    <w:rsid w:val="00EE6D45"/>
    <w:rsid w:val="00EE6E89"/>
    <w:rsid w:val="00EF0FE6"/>
    <w:rsid w:val="00EF11AA"/>
    <w:rsid w:val="00EF1C44"/>
    <w:rsid w:val="00EF1F9B"/>
    <w:rsid w:val="00EF2B18"/>
    <w:rsid w:val="00EF3AC4"/>
    <w:rsid w:val="00EF3BB9"/>
    <w:rsid w:val="00EF4008"/>
    <w:rsid w:val="00EF547C"/>
    <w:rsid w:val="00EF55E9"/>
    <w:rsid w:val="00EF5B41"/>
    <w:rsid w:val="00EF611C"/>
    <w:rsid w:val="00EF7462"/>
    <w:rsid w:val="00EF768D"/>
    <w:rsid w:val="00F00630"/>
    <w:rsid w:val="00F00922"/>
    <w:rsid w:val="00F011FF"/>
    <w:rsid w:val="00F01BE6"/>
    <w:rsid w:val="00F0217A"/>
    <w:rsid w:val="00F0251B"/>
    <w:rsid w:val="00F03E4C"/>
    <w:rsid w:val="00F0665D"/>
    <w:rsid w:val="00F06D42"/>
    <w:rsid w:val="00F07134"/>
    <w:rsid w:val="00F07378"/>
    <w:rsid w:val="00F10B81"/>
    <w:rsid w:val="00F11353"/>
    <w:rsid w:val="00F129F4"/>
    <w:rsid w:val="00F14CD1"/>
    <w:rsid w:val="00F15115"/>
    <w:rsid w:val="00F15D8C"/>
    <w:rsid w:val="00F16E1A"/>
    <w:rsid w:val="00F20197"/>
    <w:rsid w:val="00F20607"/>
    <w:rsid w:val="00F208BB"/>
    <w:rsid w:val="00F20D7A"/>
    <w:rsid w:val="00F210BE"/>
    <w:rsid w:val="00F21A5D"/>
    <w:rsid w:val="00F21C13"/>
    <w:rsid w:val="00F21DEA"/>
    <w:rsid w:val="00F22558"/>
    <w:rsid w:val="00F22796"/>
    <w:rsid w:val="00F238F7"/>
    <w:rsid w:val="00F23BA0"/>
    <w:rsid w:val="00F25641"/>
    <w:rsid w:val="00F26065"/>
    <w:rsid w:val="00F30313"/>
    <w:rsid w:val="00F303BC"/>
    <w:rsid w:val="00F318A1"/>
    <w:rsid w:val="00F3265C"/>
    <w:rsid w:val="00F343EE"/>
    <w:rsid w:val="00F3547E"/>
    <w:rsid w:val="00F35494"/>
    <w:rsid w:val="00F3619D"/>
    <w:rsid w:val="00F3722A"/>
    <w:rsid w:val="00F37366"/>
    <w:rsid w:val="00F419B8"/>
    <w:rsid w:val="00F41C0F"/>
    <w:rsid w:val="00F42856"/>
    <w:rsid w:val="00F43390"/>
    <w:rsid w:val="00F43EF6"/>
    <w:rsid w:val="00F4482B"/>
    <w:rsid w:val="00F44F02"/>
    <w:rsid w:val="00F4526B"/>
    <w:rsid w:val="00F462DF"/>
    <w:rsid w:val="00F4662D"/>
    <w:rsid w:val="00F468AC"/>
    <w:rsid w:val="00F471BE"/>
    <w:rsid w:val="00F47316"/>
    <w:rsid w:val="00F47507"/>
    <w:rsid w:val="00F5052D"/>
    <w:rsid w:val="00F50BF0"/>
    <w:rsid w:val="00F51A82"/>
    <w:rsid w:val="00F5254B"/>
    <w:rsid w:val="00F53A44"/>
    <w:rsid w:val="00F54431"/>
    <w:rsid w:val="00F54B29"/>
    <w:rsid w:val="00F551DB"/>
    <w:rsid w:val="00F559BE"/>
    <w:rsid w:val="00F56417"/>
    <w:rsid w:val="00F56EE7"/>
    <w:rsid w:val="00F56FEF"/>
    <w:rsid w:val="00F57521"/>
    <w:rsid w:val="00F57AC4"/>
    <w:rsid w:val="00F60938"/>
    <w:rsid w:val="00F61606"/>
    <w:rsid w:val="00F62BD1"/>
    <w:rsid w:val="00F62CA8"/>
    <w:rsid w:val="00F63BF4"/>
    <w:rsid w:val="00F63C60"/>
    <w:rsid w:val="00F64991"/>
    <w:rsid w:val="00F65BA9"/>
    <w:rsid w:val="00F6630F"/>
    <w:rsid w:val="00F67E81"/>
    <w:rsid w:val="00F719B2"/>
    <w:rsid w:val="00F71C68"/>
    <w:rsid w:val="00F724E2"/>
    <w:rsid w:val="00F72A89"/>
    <w:rsid w:val="00F73E5D"/>
    <w:rsid w:val="00F74103"/>
    <w:rsid w:val="00F7425F"/>
    <w:rsid w:val="00F75BB5"/>
    <w:rsid w:val="00F7604C"/>
    <w:rsid w:val="00F81623"/>
    <w:rsid w:val="00F81D25"/>
    <w:rsid w:val="00F83045"/>
    <w:rsid w:val="00F83615"/>
    <w:rsid w:val="00F85329"/>
    <w:rsid w:val="00F878CD"/>
    <w:rsid w:val="00F8794A"/>
    <w:rsid w:val="00F90C1F"/>
    <w:rsid w:val="00F93231"/>
    <w:rsid w:val="00F950B5"/>
    <w:rsid w:val="00F953D5"/>
    <w:rsid w:val="00F97A34"/>
    <w:rsid w:val="00F97EA1"/>
    <w:rsid w:val="00FA05C8"/>
    <w:rsid w:val="00FA0678"/>
    <w:rsid w:val="00FA107F"/>
    <w:rsid w:val="00FA23F7"/>
    <w:rsid w:val="00FA27EB"/>
    <w:rsid w:val="00FA4117"/>
    <w:rsid w:val="00FA672F"/>
    <w:rsid w:val="00FA7792"/>
    <w:rsid w:val="00FB11FA"/>
    <w:rsid w:val="00FB18F8"/>
    <w:rsid w:val="00FB2F8E"/>
    <w:rsid w:val="00FB39B0"/>
    <w:rsid w:val="00FB5183"/>
    <w:rsid w:val="00FB5A71"/>
    <w:rsid w:val="00FB6DF2"/>
    <w:rsid w:val="00FB7823"/>
    <w:rsid w:val="00FC08B3"/>
    <w:rsid w:val="00FC09D7"/>
    <w:rsid w:val="00FC1998"/>
    <w:rsid w:val="00FC391E"/>
    <w:rsid w:val="00FC3AB7"/>
    <w:rsid w:val="00FC448A"/>
    <w:rsid w:val="00FC453D"/>
    <w:rsid w:val="00FC4A89"/>
    <w:rsid w:val="00FC665F"/>
    <w:rsid w:val="00FC6D59"/>
    <w:rsid w:val="00FC78F5"/>
    <w:rsid w:val="00FD10B3"/>
    <w:rsid w:val="00FD11C3"/>
    <w:rsid w:val="00FD154E"/>
    <w:rsid w:val="00FD3742"/>
    <w:rsid w:val="00FD3A41"/>
    <w:rsid w:val="00FD3AE2"/>
    <w:rsid w:val="00FD5975"/>
    <w:rsid w:val="00FD5AE4"/>
    <w:rsid w:val="00FD5F25"/>
    <w:rsid w:val="00FD60BE"/>
    <w:rsid w:val="00FD6894"/>
    <w:rsid w:val="00FD6980"/>
    <w:rsid w:val="00FD6AF0"/>
    <w:rsid w:val="00FD79B8"/>
    <w:rsid w:val="00FE0AD1"/>
    <w:rsid w:val="00FE0BBF"/>
    <w:rsid w:val="00FE0C6C"/>
    <w:rsid w:val="00FE33DB"/>
    <w:rsid w:val="00FE37DD"/>
    <w:rsid w:val="00FE3C31"/>
    <w:rsid w:val="00FE4015"/>
    <w:rsid w:val="00FE44F5"/>
    <w:rsid w:val="00FE480D"/>
    <w:rsid w:val="00FE6227"/>
    <w:rsid w:val="00FE6A50"/>
    <w:rsid w:val="00FE705C"/>
    <w:rsid w:val="00FF0B4F"/>
    <w:rsid w:val="00FF1AD3"/>
    <w:rsid w:val="00FF49F4"/>
    <w:rsid w:val="00FF651D"/>
    <w:rsid w:val="00FF68CA"/>
    <w:rsid w:val="010651D9"/>
    <w:rsid w:val="014B6728"/>
    <w:rsid w:val="014C70DD"/>
    <w:rsid w:val="029C1EB6"/>
    <w:rsid w:val="02A51A28"/>
    <w:rsid w:val="02DA0C0E"/>
    <w:rsid w:val="034321D6"/>
    <w:rsid w:val="03DD35E4"/>
    <w:rsid w:val="04FF037E"/>
    <w:rsid w:val="055842C5"/>
    <w:rsid w:val="057523EE"/>
    <w:rsid w:val="05E06AAE"/>
    <w:rsid w:val="061816F7"/>
    <w:rsid w:val="06214D1D"/>
    <w:rsid w:val="065A6178"/>
    <w:rsid w:val="07531A99"/>
    <w:rsid w:val="075562B7"/>
    <w:rsid w:val="07B43916"/>
    <w:rsid w:val="07BC4304"/>
    <w:rsid w:val="07F6164B"/>
    <w:rsid w:val="086D018F"/>
    <w:rsid w:val="087A1B7A"/>
    <w:rsid w:val="08E826EA"/>
    <w:rsid w:val="096A4E8D"/>
    <w:rsid w:val="096B2097"/>
    <w:rsid w:val="0A252635"/>
    <w:rsid w:val="0A5B7E63"/>
    <w:rsid w:val="0A896E9D"/>
    <w:rsid w:val="0AD15ED8"/>
    <w:rsid w:val="0B2A3393"/>
    <w:rsid w:val="0B39647D"/>
    <w:rsid w:val="0B420FC5"/>
    <w:rsid w:val="0B5E31B8"/>
    <w:rsid w:val="0C803B53"/>
    <w:rsid w:val="0C87121B"/>
    <w:rsid w:val="0CDE05EF"/>
    <w:rsid w:val="0DF702FE"/>
    <w:rsid w:val="0E3F698B"/>
    <w:rsid w:val="0E576B35"/>
    <w:rsid w:val="0EA33B28"/>
    <w:rsid w:val="0EBC236B"/>
    <w:rsid w:val="0EBC6E34"/>
    <w:rsid w:val="0F21508F"/>
    <w:rsid w:val="0F4A5C7C"/>
    <w:rsid w:val="0F816ACD"/>
    <w:rsid w:val="0FB94501"/>
    <w:rsid w:val="104A0A4B"/>
    <w:rsid w:val="10B047CF"/>
    <w:rsid w:val="10B327F5"/>
    <w:rsid w:val="10FC16EA"/>
    <w:rsid w:val="110C1E59"/>
    <w:rsid w:val="1183694F"/>
    <w:rsid w:val="118963A1"/>
    <w:rsid w:val="127723A9"/>
    <w:rsid w:val="13072A44"/>
    <w:rsid w:val="1324792E"/>
    <w:rsid w:val="13286CF2"/>
    <w:rsid w:val="13FC4700"/>
    <w:rsid w:val="140B0015"/>
    <w:rsid w:val="140D5C74"/>
    <w:rsid w:val="14293B33"/>
    <w:rsid w:val="145044FA"/>
    <w:rsid w:val="149F2FE4"/>
    <w:rsid w:val="14EF3BF5"/>
    <w:rsid w:val="152143DD"/>
    <w:rsid w:val="15A227EC"/>
    <w:rsid w:val="165B59B4"/>
    <w:rsid w:val="169528F0"/>
    <w:rsid w:val="16A5323E"/>
    <w:rsid w:val="17386B10"/>
    <w:rsid w:val="175956CC"/>
    <w:rsid w:val="186742B0"/>
    <w:rsid w:val="196A016E"/>
    <w:rsid w:val="19785BA3"/>
    <w:rsid w:val="1B2830AF"/>
    <w:rsid w:val="1B2A271F"/>
    <w:rsid w:val="1B570174"/>
    <w:rsid w:val="1B742AD4"/>
    <w:rsid w:val="1B890139"/>
    <w:rsid w:val="1BD17F27"/>
    <w:rsid w:val="1BD72C73"/>
    <w:rsid w:val="1C4F709D"/>
    <w:rsid w:val="1C8A279F"/>
    <w:rsid w:val="1C8E6B3D"/>
    <w:rsid w:val="1D266CE1"/>
    <w:rsid w:val="1D3963AF"/>
    <w:rsid w:val="1D7713FF"/>
    <w:rsid w:val="1DDB4B14"/>
    <w:rsid w:val="1E714A66"/>
    <w:rsid w:val="1E766568"/>
    <w:rsid w:val="1F7D3F22"/>
    <w:rsid w:val="1FE868A9"/>
    <w:rsid w:val="20E96EDC"/>
    <w:rsid w:val="2107679C"/>
    <w:rsid w:val="211E26D6"/>
    <w:rsid w:val="21283D08"/>
    <w:rsid w:val="212E1977"/>
    <w:rsid w:val="21C94302"/>
    <w:rsid w:val="222B253C"/>
    <w:rsid w:val="2331574F"/>
    <w:rsid w:val="234647A0"/>
    <w:rsid w:val="244A7DE5"/>
    <w:rsid w:val="24831FDA"/>
    <w:rsid w:val="248F0CA5"/>
    <w:rsid w:val="2500240E"/>
    <w:rsid w:val="25B440B3"/>
    <w:rsid w:val="25C40AFC"/>
    <w:rsid w:val="25F3318F"/>
    <w:rsid w:val="270A553D"/>
    <w:rsid w:val="278E13C2"/>
    <w:rsid w:val="28B222AE"/>
    <w:rsid w:val="295334CD"/>
    <w:rsid w:val="29752839"/>
    <w:rsid w:val="29E05594"/>
    <w:rsid w:val="2A12139B"/>
    <w:rsid w:val="2A39701D"/>
    <w:rsid w:val="2A4F3451"/>
    <w:rsid w:val="2A8F6FDA"/>
    <w:rsid w:val="2AA1365A"/>
    <w:rsid w:val="2AA837C2"/>
    <w:rsid w:val="2AAB4774"/>
    <w:rsid w:val="2AC00C28"/>
    <w:rsid w:val="2AFE4C0F"/>
    <w:rsid w:val="2B2024B2"/>
    <w:rsid w:val="2B8C029D"/>
    <w:rsid w:val="2BA267D3"/>
    <w:rsid w:val="2BA57D3C"/>
    <w:rsid w:val="2BDF1726"/>
    <w:rsid w:val="2C934D84"/>
    <w:rsid w:val="2CB1791C"/>
    <w:rsid w:val="2D014E65"/>
    <w:rsid w:val="2D3C2A38"/>
    <w:rsid w:val="2DD15014"/>
    <w:rsid w:val="2DDD275B"/>
    <w:rsid w:val="2E6017EF"/>
    <w:rsid w:val="2EC22ECE"/>
    <w:rsid w:val="2EFA0894"/>
    <w:rsid w:val="2F5C0536"/>
    <w:rsid w:val="2FD25781"/>
    <w:rsid w:val="30A77050"/>
    <w:rsid w:val="314964D6"/>
    <w:rsid w:val="319C6071"/>
    <w:rsid w:val="3240150B"/>
    <w:rsid w:val="32C062B9"/>
    <w:rsid w:val="32D401C8"/>
    <w:rsid w:val="32DB72BE"/>
    <w:rsid w:val="34164C19"/>
    <w:rsid w:val="342E63AB"/>
    <w:rsid w:val="345A60C4"/>
    <w:rsid w:val="345D260B"/>
    <w:rsid w:val="34AF4725"/>
    <w:rsid w:val="34E73EBF"/>
    <w:rsid w:val="35A266DF"/>
    <w:rsid w:val="35E13608"/>
    <w:rsid w:val="362178A5"/>
    <w:rsid w:val="365302AE"/>
    <w:rsid w:val="36D6243D"/>
    <w:rsid w:val="37BD7E71"/>
    <w:rsid w:val="37D7646D"/>
    <w:rsid w:val="37EB30BD"/>
    <w:rsid w:val="37F142D2"/>
    <w:rsid w:val="38027B2C"/>
    <w:rsid w:val="384E36BB"/>
    <w:rsid w:val="38E20E0E"/>
    <w:rsid w:val="38EC5F48"/>
    <w:rsid w:val="391626C5"/>
    <w:rsid w:val="39616936"/>
    <w:rsid w:val="39A13F14"/>
    <w:rsid w:val="39FE23D7"/>
    <w:rsid w:val="3B257F82"/>
    <w:rsid w:val="3B4D5E09"/>
    <w:rsid w:val="3C1220B2"/>
    <w:rsid w:val="3C371BD0"/>
    <w:rsid w:val="3C5F759A"/>
    <w:rsid w:val="3CD15B81"/>
    <w:rsid w:val="3CF555AF"/>
    <w:rsid w:val="3D04283E"/>
    <w:rsid w:val="3D5C78D4"/>
    <w:rsid w:val="3EC82FB3"/>
    <w:rsid w:val="3EC84D62"/>
    <w:rsid w:val="3FFF72A6"/>
    <w:rsid w:val="401F6C03"/>
    <w:rsid w:val="40B03CFF"/>
    <w:rsid w:val="41702E62"/>
    <w:rsid w:val="4172072B"/>
    <w:rsid w:val="41D3289B"/>
    <w:rsid w:val="425863FC"/>
    <w:rsid w:val="42E1381E"/>
    <w:rsid w:val="43857659"/>
    <w:rsid w:val="43AD1976"/>
    <w:rsid w:val="43FB717C"/>
    <w:rsid w:val="446263F9"/>
    <w:rsid w:val="44B244EA"/>
    <w:rsid w:val="44EB68E3"/>
    <w:rsid w:val="451E447A"/>
    <w:rsid w:val="45345B76"/>
    <w:rsid w:val="45586E1C"/>
    <w:rsid w:val="456747A2"/>
    <w:rsid w:val="462C3E28"/>
    <w:rsid w:val="46773B8D"/>
    <w:rsid w:val="46FF2BC0"/>
    <w:rsid w:val="47307808"/>
    <w:rsid w:val="47B40657"/>
    <w:rsid w:val="48056FB6"/>
    <w:rsid w:val="485B5A04"/>
    <w:rsid w:val="486F747C"/>
    <w:rsid w:val="48926A6A"/>
    <w:rsid w:val="48A95C04"/>
    <w:rsid w:val="48E00EFA"/>
    <w:rsid w:val="494E0559"/>
    <w:rsid w:val="49951AC7"/>
    <w:rsid w:val="4A021147"/>
    <w:rsid w:val="4B007631"/>
    <w:rsid w:val="4C413881"/>
    <w:rsid w:val="4C4F6AC2"/>
    <w:rsid w:val="4C7042D7"/>
    <w:rsid w:val="4C8A18A8"/>
    <w:rsid w:val="4CA54934"/>
    <w:rsid w:val="4D861CF6"/>
    <w:rsid w:val="4DA644C0"/>
    <w:rsid w:val="4E5C54C6"/>
    <w:rsid w:val="4F7D3946"/>
    <w:rsid w:val="4FA47125"/>
    <w:rsid w:val="501527AD"/>
    <w:rsid w:val="504C1986"/>
    <w:rsid w:val="51A0432A"/>
    <w:rsid w:val="527140E5"/>
    <w:rsid w:val="5292508F"/>
    <w:rsid w:val="52A96B6F"/>
    <w:rsid w:val="52C264CE"/>
    <w:rsid w:val="52F83A10"/>
    <w:rsid w:val="54807967"/>
    <w:rsid w:val="54CD4A28"/>
    <w:rsid w:val="550764A4"/>
    <w:rsid w:val="551926E0"/>
    <w:rsid w:val="55C23E61"/>
    <w:rsid w:val="561279B9"/>
    <w:rsid w:val="563A463E"/>
    <w:rsid w:val="56515F3B"/>
    <w:rsid w:val="565977BE"/>
    <w:rsid w:val="56B527FF"/>
    <w:rsid w:val="572B71CA"/>
    <w:rsid w:val="57CA524F"/>
    <w:rsid w:val="5849726D"/>
    <w:rsid w:val="58951D01"/>
    <w:rsid w:val="58AE4F0C"/>
    <w:rsid w:val="58C561C6"/>
    <w:rsid w:val="58CF6ABA"/>
    <w:rsid w:val="59A3044D"/>
    <w:rsid w:val="59AD7FA2"/>
    <w:rsid w:val="59D7103B"/>
    <w:rsid w:val="5A2A7C7B"/>
    <w:rsid w:val="5A9801EF"/>
    <w:rsid w:val="5A9F2AE4"/>
    <w:rsid w:val="5AC35660"/>
    <w:rsid w:val="5B4D241F"/>
    <w:rsid w:val="5BDD7C46"/>
    <w:rsid w:val="5BE2700B"/>
    <w:rsid w:val="5C361105"/>
    <w:rsid w:val="5C80234E"/>
    <w:rsid w:val="5D323938"/>
    <w:rsid w:val="5D631959"/>
    <w:rsid w:val="5E1A4FFD"/>
    <w:rsid w:val="5E261785"/>
    <w:rsid w:val="5E91296F"/>
    <w:rsid w:val="5EB629D1"/>
    <w:rsid w:val="5EB6477F"/>
    <w:rsid w:val="5F0174C8"/>
    <w:rsid w:val="5F66297C"/>
    <w:rsid w:val="5FCC5339"/>
    <w:rsid w:val="5FE70807"/>
    <w:rsid w:val="603460E8"/>
    <w:rsid w:val="60E53485"/>
    <w:rsid w:val="61054A27"/>
    <w:rsid w:val="611D2366"/>
    <w:rsid w:val="61202113"/>
    <w:rsid w:val="623861A7"/>
    <w:rsid w:val="627666FF"/>
    <w:rsid w:val="62885958"/>
    <w:rsid w:val="62B95B6A"/>
    <w:rsid w:val="642275A2"/>
    <w:rsid w:val="64581BAD"/>
    <w:rsid w:val="64C30063"/>
    <w:rsid w:val="64CE2EAA"/>
    <w:rsid w:val="654A5C21"/>
    <w:rsid w:val="65987E96"/>
    <w:rsid w:val="659E5996"/>
    <w:rsid w:val="65B85280"/>
    <w:rsid w:val="662E75B1"/>
    <w:rsid w:val="66342C2E"/>
    <w:rsid w:val="6639016F"/>
    <w:rsid w:val="663E784C"/>
    <w:rsid w:val="66EB728A"/>
    <w:rsid w:val="67C3028D"/>
    <w:rsid w:val="685867EC"/>
    <w:rsid w:val="68E91374"/>
    <w:rsid w:val="692D388F"/>
    <w:rsid w:val="69A401BF"/>
    <w:rsid w:val="69D837FB"/>
    <w:rsid w:val="69DF48FD"/>
    <w:rsid w:val="69F06F0B"/>
    <w:rsid w:val="6A3D709E"/>
    <w:rsid w:val="6AC634A7"/>
    <w:rsid w:val="6ADA7E79"/>
    <w:rsid w:val="6B9B01DE"/>
    <w:rsid w:val="6BB875B1"/>
    <w:rsid w:val="6BDA4D67"/>
    <w:rsid w:val="6DC46415"/>
    <w:rsid w:val="6DE151AE"/>
    <w:rsid w:val="6E0C43BB"/>
    <w:rsid w:val="6E8E12EF"/>
    <w:rsid w:val="6F550AE7"/>
    <w:rsid w:val="6FA31026"/>
    <w:rsid w:val="702A2F9C"/>
    <w:rsid w:val="708C3CA2"/>
    <w:rsid w:val="717B4801"/>
    <w:rsid w:val="71950224"/>
    <w:rsid w:val="71CC4D10"/>
    <w:rsid w:val="71D43752"/>
    <w:rsid w:val="720F7FD6"/>
    <w:rsid w:val="729B22F4"/>
    <w:rsid w:val="72C55778"/>
    <w:rsid w:val="73171838"/>
    <w:rsid w:val="734F3E89"/>
    <w:rsid w:val="735A7977"/>
    <w:rsid w:val="735E1128"/>
    <w:rsid w:val="736221AD"/>
    <w:rsid w:val="73DD6243"/>
    <w:rsid w:val="73F00353"/>
    <w:rsid w:val="74262565"/>
    <w:rsid w:val="74312B10"/>
    <w:rsid w:val="74930D71"/>
    <w:rsid w:val="749C4185"/>
    <w:rsid w:val="74B35591"/>
    <w:rsid w:val="759873CC"/>
    <w:rsid w:val="75DA2C18"/>
    <w:rsid w:val="75FB611F"/>
    <w:rsid w:val="761A519B"/>
    <w:rsid w:val="761E2EDE"/>
    <w:rsid w:val="766B233D"/>
    <w:rsid w:val="76A258BD"/>
    <w:rsid w:val="76FD5631"/>
    <w:rsid w:val="775319EF"/>
    <w:rsid w:val="77D53A70"/>
    <w:rsid w:val="780B56E4"/>
    <w:rsid w:val="786B1CDE"/>
    <w:rsid w:val="790F1C77"/>
    <w:rsid w:val="798E1AF5"/>
    <w:rsid w:val="79953E26"/>
    <w:rsid w:val="79A060E3"/>
    <w:rsid w:val="79B25E17"/>
    <w:rsid w:val="79DF6DA1"/>
    <w:rsid w:val="7A664E28"/>
    <w:rsid w:val="7A67303B"/>
    <w:rsid w:val="7A801345"/>
    <w:rsid w:val="7A9E78D8"/>
    <w:rsid w:val="7AAB1D04"/>
    <w:rsid w:val="7ABA4368"/>
    <w:rsid w:val="7B257FFD"/>
    <w:rsid w:val="7B3C694F"/>
    <w:rsid w:val="7B8C7B5C"/>
    <w:rsid w:val="7C2B1DA5"/>
    <w:rsid w:val="7CA65570"/>
    <w:rsid w:val="7D016009"/>
    <w:rsid w:val="7D180CC8"/>
    <w:rsid w:val="7D4F36E9"/>
    <w:rsid w:val="7DDF2F52"/>
    <w:rsid w:val="7DF4317E"/>
    <w:rsid w:val="7E0C63D5"/>
    <w:rsid w:val="7E454518"/>
    <w:rsid w:val="7E620B28"/>
    <w:rsid w:val="7E64308B"/>
    <w:rsid w:val="7EEE529E"/>
    <w:rsid w:val="7F2C0419"/>
    <w:rsid w:val="7F2D7288"/>
    <w:rsid w:val="7F871AF4"/>
    <w:rsid w:val="7FE10FC2"/>
    <w:rsid w:val="7FFF78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unhideWhenUsed="0"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iPriority="9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51"/>
    <w:qFormat/>
    <w:uiPriority w:val="0"/>
    <w:pPr>
      <w:keepNext/>
      <w:keepLines/>
      <w:numPr>
        <w:ilvl w:val="0"/>
        <w:numId w:val="1"/>
      </w:numPr>
      <w:spacing w:before="340" w:after="330" w:line="578" w:lineRule="auto"/>
      <w:outlineLvl w:val="0"/>
    </w:pPr>
    <w:rPr>
      <w:b/>
      <w:bCs/>
      <w:kern w:val="44"/>
      <w:sz w:val="44"/>
      <w:szCs w:val="44"/>
    </w:rPr>
  </w:style>
  <w:style w:type="paragraph" w:styleId="3">
    <w:name w:val="heading 2"/>
    <w:basedOn w:val="1"/>
    <w:next w:val="1"/>
    <w:qFormat/>
    <w:uiPriority w:val="9"/>
    <w:pPr>
      <w:keepNext/>
      <w:keepLines/>
      <w:numPr>
        <w:ilvl w:val="0"/>
        <w:numId w:val="2"/>
      </w:numPr>
      <w:adjustRightInd/>
      <w:spacing w:line="360" w:lineRule="auto"/>
      <w:jc w:val="left"/>
      <w:outlineLvl w:val="1"/>
    </w:pPr>
    <w:rPr>
      <w:rFonts w:ascii="仿宋_GB2312" w:hAnsi="仿宋" w:eastAsia="仿宋_GB2312"/>
      <w:b/>
      <w:bCs/>
      <w:sz w:val="32"/>
      <w:szCs w:val="32"/>
      <w:lang w:val="zh-CN"/>
    </w:rPr>
  </w:style>
  <w:style w:type="paragraph" w:styleId="4">
    <w:name w:val="heading 3"/>
    <w:basedOn w:val="1"/>
    <w:next w:val="5"/>
    <w:qFormat/>
    <w:uiPriority w:val="0"/>
    <w:pPr>
      <w:keepNext/>
      <w:keepLines/>
      <w:numPr>
        <w:ilvl w:val="2"/>
        <w:numId w:val="1"/>
      </w:numPr>
      <w:spacing w:before="260" w:after="260" w:line="416" w:lineRule="auto"/>
      <w:outlineLvl w:val="2"/>
    </w:pPr>
    <w:rPr>
      <w:b/>
      <w:bCs/>
      <w:sz w:val="32"/>
      <w:szCs w:val="32"/>
    </w:rPr>
  </w:style>
  <w:style w:type="paragraph" w:styleId="6">
    <w:name w:val="heading 4"/>
    <w:basedOn w:val="1"/>
    <w:next w:val="1"/>
    <w:link w:val="601"/>
    <w:qFormat/>
    <w:uiPriority w:val="0"/>
    <w:pPr>
      <w:keepNext/>
      <w:keepLines/>
      <w:numPr>
        <w:ilvl w:val="3"/>
        <w:numId w:val="1"/>
      </w:numPr>
      <w:spacing w:before="280" w:after="290" w:line="376" w:lineRule="auto"/>
      <w:outlineLvl w:val="3"/>
    </w:pPr>
    <w:rPr>
      <w:rFonts w:ascii="Arial" w:hAnsi="Arial" w:eastAsia="黑体"/>
      <w:b/>
      <w:bCs/>
      <w:sz w:val="28"/>
      <w:szCs w:val="28"/>
      <w:lang w:val="zh-CN"/>
    </w:rPr>
  </w:style>
  <w:style w:type="paragraph" w:styleId="7">
    <w:name w:val="heading 5"/>
    <w:basedOn w:val="1"/>
    <w:next w:val="1"/>
    <w:link w:val="575"/>
    <w:qFormat/>
    <w:uiPriority w:val="0"/>
    <w:pPr>
      <w:keepNext/>
      <w:keepLines/>
      <w:numPr>
        <w:ilvl w:val="4"/>
        <w:numId w:val="1"/>
      </w:numPr>
      <w:spacing w:before="280" w:after="290" w:line="376" w:lineRule="auto"/>
      <w:outlineLvl w:val="4"/>
    </w:pPr>
    <w:rPr>
      <w:b/>
      <w:bCs/>
      <w:sz w:val="28"/>
      <w:szCs w:val="28"/>
    </w:rPr>
  </w:style>
  <w:style w:type="paragraph" w:styleId="8">
    <w:name w:val="heading 6"/>
    <w:basedOn w:val="1"/>
    <w:next w:val="1"/>
    <w:link w:val="614"/>
    <w:qFormat/>
    <w:uiPriority w:val="0"/>
    <w:pPr>
      <w:keepNext/>
      <w:keepLines/>
      <w:numPr>
        <w:ilvl w:val="5"/>
        <w:numId w:val="1"/>
      </w:numPr>
      <w:spacing w:before="240" w:after="64" w:line="320" w:lineRule="auto"/>
      <w:outlineLvl w:val="5"/>
    </w:pPr>
    <w:rPr>
      <w:rFonts w:ascii="Arial" w:hAnsi="Arial" w:eastAsia="黑体"/>
      <w:b/>
      <w:bCs/>
      <w:sz w:val="24"/>
    </w:rPr>
  </w:style>
  <w:style w:type="paragraph" w:styleId="9">
    <w:name w:val="heading 7"/>
    <w:basedOn w:val="1"/>
    <w:next w:val="1"/>
    <w:link w:val="483"/>
    <w:qFormat/>
    <w:uiPriority w:val="0"/>
    <w:pPr>
      <w:keepNext/>
      <w:keepLines/>
      <w:numPr>
        <w:ilvl w:val="6"/>
        <w:numId w:val="1"/>
      </w:numPr>
      <w:spacing w:before="240" w:after="64" w:line="320" w:lineRule="auto"/>
      <w:outlineLvl w:val="6"/>
    </w:pPr>
    <w:rPr>
      <w:b/>
      <w:bCs/>
      <w:sz w:val="24"/>
    </w:rPr>
  </w:style>
  <w:style w:type="paragraph" w:styleId="10">
    <w:name w:val="heading 8"/>
    <w:basedOn w:val="1"/>
    <w:next w:val="1"/>
    <w:link w:val="473"/>
    <w:qFormat/>
    <w:uiPriority w:val="0"/>
    <w:pPr>
      <w:keepNext/>
      <w:keepLines/>
      <w:numPr>
        <w:ilvl w:val="7"/>
        <w:numId w:val="1"/>
      </w:numPr>
      <w:spacing w:before="240" w:after="64" w:line="320" w:lineRule="auto"/>
      <w:outlineLvl w:val="7"/>
    </w:pPr>
    <w:rPr>
      <w:rFonts w:ascii="Arial" w:hAnsi="Arial" w:eastAsia="黑体"/>
      <w:sz w:val="24"/>
    </w:rPr>
  </w:style>
  <w:style w:type="paragraph" w:styleId="11">
    <w:name w:val="heading 9"/>
    <w:basedOn w:val="1"/>
    <w:next w:val="1"/>
    <w:link w:val="521"/>
    <w:qFormat/>
    <w:uiPriority w:val="0"/>
    <w:pPr>
      <w:keepNext/>
      <w:keepLines/>
      <w:numPr>
        <w:ilvl w:val="8"/>
        <w:numId w:val="1"/>
      </w:numPr>
      <w:spacing w:before="240" w:after="64" w:line="320" w:lineRule="auto"/>
      <w:outlineLvl w:val="8"/>
    </w:pPr>
    <w:rPr>
      <w:rFonts w:ascii="Arial" w:hAnsi="Arial" w:eastAsia="黑体"/>
      <w:szCs w:val="21"/>
    </w:rPr>
  </w:style>
  <w:style w:type="character" w:default="1" w:styleId="62">
    <w:name w:val="Default Paragraph Font"/>
    <w:semiHidden/>
    <w:unhideWhenUsed/>
    <w:qFormat/>
    <w:uiPriority w:val="1"/>
  </w:style>
  <w:style w:type="table" w:default="1" w:styleId="60">
    <w:name w:val="Normal Table"/>
    <w:semiHidden/>
    <w:unhideWhenUsed/>
    <w:qFormat/>
    <w:uiPriority w:val="99"/>
    <w:tblPr>
      <w:tblCellMar>
        <w:top w:w="0" w:type="dxa"/>
        <w:left w:w="108" w:type="dxa"/>
        <w:bottom w:w="0" w:type="dxa"/>
        <w:right w:w="108" w:type="dxa"/>
      </w:tblCellMar>
    </w:tblPr>
  </w:style>
  <w:style w:type="paragraph" w:styleId="5">
    <w:name w:val="Normal Indent"/>
    <w:basedOn w:val="1"/>
    <w:link w:val="615"/>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unhideWhenUsed/>
    <w:qFormat/>
    <w:uiPriority w:val="99"/>
    <w:pPr>
      <w:widowControl/>
      <w:numPr>
        <w:ilvl w:val="0"/>
        <w:numId w:val="3"/>
      </w:numPr>
      <w:tabs>
        <w:tab w:val="left" w:pos="432"/>
        <w:tab w:val="clear" w:pos="1440"/>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caption"/>
    <w:basedOn w:val="1"/>
    <w:next w:val="1"/>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semiHidden/>
    <w:qFormat/>
    <w:uiPriority w:val="0"/>
    <w:pPr>
      <w:shd w:val="clear" w:color="auto" w:fill="000080"/>
    </w:pPr>
  </w:style>
  <w:style w:type="paragraph" w:styleId="19">
    <w:name w:val="annotation text"/>
    <w:basedOn w:val="1"/>
    <w:link w:val="616"/>
    <w:qFormat/>
    <w:uiPriority w:val="99"/>
    <w:pPr>
      <w:jc w:val="left"/>
    </w:pPr>
  </w:style>
  <w:style w:type="paragraph" w:styleId="20">
    <w:name w:val="Salutation"/>
    <w:basedOn w:val="1"/>
    <w:next w:val="1"/>
    <w:link w:val="484"/>
    <w:qFormat/>
    <w:uiPriority w:val="0"/>
    <w:rPr>
      <w:rFonts w:ascii="仿宋_GB2312" w:eastAsia="仿宋_GB2312"/>
      <w:sz w:val="28"/>
      <w:szCs w:val="20"/>
    </w:rPr>
  </w:style>
  <w:style w:type="paragraph" w:styleId="21">
    <w:name w:val="Body Text 3"/>
    <w:basedOn w:val="1"/>
    <w:link w:val="583"/>
    <w:qFormat/>
    <w:uiPriority w:val="0"/>
    <w:pPr>
      <w:jc w:val="center"/>
    </w:pPr>
    <w:rPr>
      <w:szCs w:val="20"/>
    </w:rPr>
  </w:style>
  <w:style w:type="paragraph" w:styleId="22">
    <w:name w:val="Body Text"/>
    <w:basedOn w:val="1"/>
    <w:next w:val="23"/>
    <w:link w:val="514"/>
    <w:qFormat/>
    <w:uiPriority w:val="0"/>
    <w:pPr>
      <w:autoSpaceDE w:val="0"/>
      <w:autoSpaceDN w:val="0"/>
      <w:spacing w:line="360" w:lineRule="auto"/>
    </w:pPr>
    <w:rPr>
      <w:rFonts w:ascii="宋体"/>
      <w:sz w:val="24"/>
      <w:szCs w:val="21"/>
      <w:lang w:val="zh-CN"/>
    </w:rPr>
  </w:style>
  <w:style w:type="paragraph" w:styleId="23">
    <w:name w:val="toc 4"/>
    <w:basedOn w:val="1"/>
    <w:next w:val="1"/>
    <w:qFormat/>
    <w:uiPriority w:val="0"/>
    <w:pPr>
      <w:ind w:left="1260" w:leftChars="600"/>
    </w:pPr>
  </w:style>
  <w:style w:type="paragraph" w:styleId="24">
    <w:name w:val="Body Text Indent"/>
    <w:basedOn w:val="1"/>
    <w:link w:val="477"/>
    <w:qFormat/>
    <w:uiPriority w:val="0"/>
    <w:pPr>
      <w:spacing w:line="480" w:lineRule="exact"/>
      <w:ind w:firstLine="480" w:firstLineChars="200"/>
    </w:pPr>
    <w:rPr>
      <w:rFonts w:ascii="宋体" w:hAnsi="宋体"/>
      <w:sz w:val="24"/>
    </w:rPr>
  </w:style>
  <w:style w:type="paragraph" w:styleId="25">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6">
    <w:name w:val="List 2"/>
    <w:basedOn w:val="1"/>
    <w:qFormat/>
    <w:uiPriority w:val="0"/>
    <w:pPr>
      <w:adjustRightInd/>
      <w:spacing w:line="360" w:lineRule="auto"/>
      <w:ind w:left="100" w:leftChars="200" w:hanging="200" w:hangingChars="200"/>
    </w:pPr>
    <w:rPr>
      <w:rFonts w:eastAsia="微软雅黑"/>
    </w:rPr>
  </w:style>
  <w:style w:type="paragraph" w:styleId="27">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573"/>
    <w:qFormat/>
    <w:uiPriority w:val="0"/>
    <w:pPr>
      <w:widowControl/>
      <w:adjustRightInd/>
      <w:ind w:firstLine="200" w:firstLineChars="200"/>
      <w:jc w:val="left"/>
    </w:pPr>
    <w:rPr>
      <w:rFonts w:ascii="宋体" w:hAnsi="宋体"/>
      <w:i/>
      <w:iCs/>
      <w:kern w:val="0"/>
      <w:sz w:val="24"/>
    </w:rPr>
  </w:style>
  <w:style w:type="paragraph" w:styleId="30">
    <w:name w:val="toc 5"/>
    <w:basedOn w:val="1"/>
    <w:next w:val="1"/>
    <w:qFormat/>
    <w:uiPriority w:val="0"/>
    <w:pPr>
      <w:ind w:left="1680" w:leftChars="800"/>
    </w:pPr>
  </w:style>
  <w:style w:type="paragraph" w:styleId="31">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link w:val="491"/>
    <w:qFormat/>
    <w:uiPriority w:val="0"/>
    <w:rPr>
      <w:rFonts w:ascii="宋体" w:hAnsi="Courier New"/>
      <w:szCs w:val="20"/>
    </w:rPr>
  </w:style>
  <w:style w:type="paragraph" w:styleId="33">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qFormat/>
    <w:uiPriority w:val="0"/>
    <w:pPr>
      <w:ind w:left="2940" w:leftChars="1400"/>
    </w:pPr>
  </w:style>
  <w:style w:type="paragraph" w:styleId="35">
    <w:name w:val="Date"/>
    <w:basedOn w:val="1"/>
    <w:next w:val="1"/>
    <w:link w:val="600"/>
    <w:qFormat/>
    <w:uiPriority w:val="0"/>
    <w:pPr>
      <w:ind w:left="100" w:leftChars="2500"/>
    </w:pPr>
    <w:rPr>
      <w:rFonts w:ascii="宋体"/>
      <w:sz w:val="24"/>
      <w:szCs w:val="21"/>
      <w:lang w:val="zh-CN"/>
    </w:rPr>
  </w:style>
  <w:style w:type="paragraph" w:styleId="36">
    <w:name w:val="Body Text Indent 2"/>
    <w:basedOn w:val="1"/>
    <w:link w:val="505"/>
    <w:qFormat/>
    <w:uiPriority w:val="0"/>
    <w:pPr>
      <w:spacing w:line="360" w:lineRule="auto"/>
      <w:ind w:firstLine="601"/>
      <w:textAlignment w:val="baseline"/>
    </w:pPr>
    <w:rPr>
      <w:rFonts w:ascii="宋体"/>
      <w:kern w:val="0"/>
      <w:sz w:val="28"/>
      <w:szCs w:val="20"/>
    </w:rPr>
  </w:style>
  <w:style w:type="paragraph" w:styleId="37">
    <w:name w:val="Balloon Text"/>
    <w:basedOn w:val="1"/>
    <w:link w:val="617"/>
    <w:semiHidden/>
    <w:qFormat/>
    <w:uiPriority w:val="0"/>
    <w:rPr>
      <w:sz w:val="18"/>
      <w:szCs w:val="18"/>
    </w:rPr>
  </w:style>
  <w:style w:type="paragraph" w:styleId="38">
    <w:name w:val="footer"/>
    <w:basedOn w:val="1"/>
    <w:qFormat/>
    <w:uiPriority w:val="0"/>
    <w:pPr>
      <w:tabs>
        <w:tab w:val="center" w:pos="4153"/>
        <w:tab w:val="right" w:pos="8306"/>
      </w:tabs>
      <w:snapToGrid w:val="0"/>
      <w:jc w:val="left"/>
    </w:pPr>
    <w:rPr>
      <w:sz w:val="18"/>
      <w:szCs w:val="18"/>
    </w:rPr>
  </w:style>
  <w:style w:type="paragraph" w:styleId="3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40">
    <w:name w:val="Signature"/>
    <w:basedOn w:val="1"/>
    <w:link w:val="437"/>
    <w:qFormat/>
    <w:uiPriority w:val="0"/>
    <w:pPr>
      <w:spacing w:after="600" w:line="312" w:lineRule="atLeast"/>
      <w:jc w:val="center"/>
      <w:textAlignment w:val="baseline"/>
    </w:pPr>
    <w:rPr>
      <w:rFonts w:eastAsia="仿宋_GB2312"/>
      <w:kern w:val="0"/>
      <w:sz w:val="24"/>
      <w:szCs w:val="20"/>
    </w:rPr>
  </w:style>
  <w:style w:type="paragraph" w:styleId="41">
    <w:name w:val="toc 1"/>
    <w:basedOn w:val="1"/>
    <w:next w:val="1"/>
    <w:qFormat/>
    <w:uiPriority w:val="0"/>
  </w:style>
  <w:style w:type="paragraph" w:styleId="42">
    <w:name w:val="index heading"/>
    <w:basedOn w:val="1"/>
    <w:next w:val="43"/>
    <w:qFormat/>
    <w:uiPriority w:val="0"/>
    <w:pPr>
      <w:adjustRightInd/>
      <w:ind w:firstLine="200" w:firstLineChars="200"/>
    </w:pPr>
  </w:style>
  <w:style w:type="paragraph" w:styleId="43">
    <w:name w:val="index 1"/>
    <w:basedOn w:val="1"/>
    <w:next w:val="1"/>
    <w:qFormat/>
    <w:uiPriority w:val="0"/>
    <w:pPr>
      <w:adjustRightInd/>
      <w:spacing w:line="360" w:lineRule="auto"/>
      <w:ind w:firstLine="200" w:firstLineChars="200"/>
      <w:jc w:val="center"/>
    </w:pPr>
    <w:rPr>
      <w:sz w:val="24"/>
      <w:szCs w:val="20"/>
    </w:rPr>
  </w:style>
  <w:style w:type="paragraph" w:styleId="44">
    <w:name w:val="Subtitle"/>
    <w:link w:val="490"/>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5">
    <w:name w:val="List Number 5"/>
    <w:basedOn w:val="1"/>
    <w:qFormat/>
    <w:uiPriority w:val="0"/>
    <w:pPr>
      <w:tabs>
        <w:tab w:val="left" w:pos="902"/>
      </w:tabs>
      <w:adjustRightInd/>
      <w:spacing w:line="400" w:lineRule="exact"/>
      <w:ind w:left="902" w:hanging="420"/>
    </w:pPr>
    <w:rPr>
      <w:sz w:val="24"/>
      <w:szCs w:val="20"/>
    </w:rPr>
  </w:style>
  <w:style w:type="paragraph" w:styleId="46">
    <w:name w:val="List"/>
    <w:basedOn w:val="1"/>
    <w:qFormat/>
    <w:uiPriority w:val="0"/>
    <w:pPr>
      <w:ind w:left="200" w:hanging="200" w:hangingChars="200"/>
    </w:pPr>
  </w:style>
  <w:style w:type="paragraph" w:styleId="47">
    <w:name w:val="footnote text"/>
    <w:basedOn w:val="5"/>
    <w:link w:val="475"/>
    <w:qFormat/>
    <w:uiPriority w:val="0"/>
    <w:pPr>
      <w:adjustRightInd/>
      <w:snapToGrid/>
      <w:spacing w:before="60" w:after="60" w:line="300" w:lineRule="exact"/>
      <w:ind w:firstLine="0"/>
    </w:pPr>
    <w:rPr>
      <w:rFonts w:ascii="Times New Roman"/>
      <w:snapToGrid/>
      <w:color w:val="0000FF"/>
      <w:kern w:val="0"/>
      <w:sz w:val="21"/>
    </w:rPr>
  </w:style>
  <w:style w:type="paragraph" w:styleId="48">
    <w:name w:val="toc 6"/>
    <w:basedOn w:val="1"/>
    <w:next w:val="1"/>
    <w:qFormat/>
    <w:uiPriority w:val="0"/>
    <w:pPr>
      <w:ind w:left="2100" w:leftChars="1000"/>
    </w:pPr>
  </w:style>
  <w:style w:type="paragraph" w:styleId="49">
    <w:name w:val="List 5"/>
    <w:basedOn w:val="1"/>
    <w:qFormat/>
    <w:uiPriority w:val="0"/>
    <w:pPr>
      <w:adjustRightInd/>
      <w:ind w:left="100" w:leftChars="800" w:hanging="200" w:hangingChars="200"/>
    </w:pPr>
  </w:style>
  <w:style w:type="paragraph" w:styleId="50">
    <w:name w:val="Body Text Indent 3"/>
    <w:basedOn w:val="1"/>
    <w:link w:val="590"/>
    <w:qFormat/>
    <w:uiPriority w:val="0"/>
    <w:pPr>
      <w:spacing w:line="360" w:lineRule="auto"/>
      <w:ind w:firstLine="420"/>
    </w:pPr>
    <w:rPr>
      <w:sz w:val="24"/>
      <w:szCs w:val="20"/>
    </w:rPr>
  </w:style>
  <w:style w:type="paragraph" w:styleId="51">
    <w:name w:val="toc 2"/>
    <w:basedOn w:val="1"/>
    <w:next w:val="1"/>
    <w:qFormat/>
    <w:uiPriority w:val="0"/>
    <w:pPr>
      <w:ind w:left="420" w:leftChars="200"/>
    </w:pPr>
  </w:style>
  <w:style w:type="paragraph" w:styleId="52">
    <w:name w:val="toc 9"/>
    <w:basedOn w:val="1"/>
    <w:next w:val="1"/>
    <w:qFormat/>
    <w:uiPriority w:val="0"/>
    <w:pPr>
      <w:ind w:left="3360" w:leftChars="1600"/>
    </w:pPr>
  </w:style>
  <w:style w:type="paragraph" w:styleId="53">
    <w:name w:val="Body Text 2"/>
    <w:basedOn w:val="1"/>
    <w:qFormat/>
    <w:uiPriority w:val="0"/>
    <w:pPr>
      <w:spacing w:after="120" w:line="480" w:lineRule="auto"/>
    </w:pPr>
  </w:style>
  <w:style w:type="paragraph" w:styleId="54">
    <w:name w:val="HTML Preformatted"/>
    <w:basedOn w:val="1"/>
    <w:link w:val="545"/>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5">
    <w:name w:val="Normal (Web)"/>
    <w:basedOn w:val="1"/>
    <w:qFormat/>
    <w:uiPriority w:val="99"/>
    <w:pPr>
      <w:widowControl/>
      <w:spacing w:before="100" w:beforeAutospacing="1" w:after="100" w:afterAutospacing="1"/>
      <w:jc w:val="left"/>
    </w:pPr>
    <w:rPr>
      <w:rFonts w:ascii="宋体" w:hAnsi="宋体"/>
      <w:kern w:val="0"/>
      <w:sz w:val="24"/>
    </w:rPr>
  </w:style>
  <w:style w:type="paragraph" w:styleId="56">
    <w:name w:val="Title"/>
    <w:basedOn w:val="1"/>
    <w:qFormat/>
    <w:uiPriority w:val="0"/>
    <w:pPr>
      <w:widowControl/>
      <w:overflowPunct w:val="0"/>
      <w:autoSpaceDE w:val="0"/>
      <w:autoSpaceDN w:val="0"/>
      <w:jc w:val="center"/>
      <w:textAlignment w:val="baseline"/>
    </w:pPr>
    <w:rPr>
      <w:b/>
      <w:kern w:val="0"/>
      <w:sz w:val="24"/>
      <w:szCs w:val="20"/>
      <w:lang w:val="en-GB"/>
    </w:rPr>
  </w:style>
  <w:style w:type="paragraph" w:styleId="57">
    <w:name w:val="annotation subject"/>
    <w:basedOn w:val="19"/>
    <w:next w:val="19"/>
    <w:semiHidden/>
    <w:qFormat/>
    <w:uiPriority w:val="0"/>
    <w:rPr>
      <w:b/>
      <w:bCs/>
    </w:rPr>
  </w:style>
  <w:style w:type="paragraph" w:styleId="58">
    <w:name w:val="Body Text First Indent"/>
    <w:basedOn w:val="22"/>
    <w:next w:val="48"/>
    <w:link w:val="547"/>
    <w:qFormat/>
    <w:uiPriority w:val="0"/>
    <w:pPr>
      <w:ind w:firstLine="420"/>
    </w:pPr>
    <w:rPr>
      <w:szCs w:val="20"/>
    </w:rPr>
  </w:style>
  <w:style w:type="paragraph" w:styleId="59">
    <w:name w:val="Body Text First Indent 2"/>
    <w:basedOn w:val="24"/>
    <w:link w:val="504"/>
    <w:qFormat/>
    <w:uiPriority w:val="0"/>
    <w:pPr>
      <w:adjustRightInd/>
      <w:spacing w:after="120" w:line="240" w:lineRule="auto"/>
      <w:ind w:left="420" w:leftChars="200" w:firstLine="210"/>
    </w:pPr>
    <w:rPr>
      <w:sz w:val="21"/>
    </w:rPr>
  </w:style>
  <w:style w:type="table" w:styleId="61">
    <w:name w:val="Table Grid"/>
    <w:basedOn w:val="60"/>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3">
    <w:name w:val="Strong"/>
    <w:qFormat/>
    <w:uiPriority w:val="22"/>
    <w:rPr>
      <w:b/>
      <w:bCs/>
    </w:rPr>
  </w:style>
  <w:style w:type="character" w:styleId="64">
    <w:name w:val="page number"/>
    <w:basedOn w:val="62"/>
    <w:qFormat/>
    <w:uiPriority w:val="0"/>
  </w:style>
  <w:style w:type="character" w:styleId="65">
    <w:name w:val="FollowedHyperlink"/>
    <w:qFormat/>
    <w:uiPriority w:val="0"/>
    <w:rPr>
      <w:rFonts w:ascii="Arial" w:hAnsi="Arial" w:eastAsia="黑体" w:cs="Arial"/>
      <w:snapToGrid w:val="0"/>
      <w:color w:val="000000"/>
      <w:kern w:val="0"/>
      <w:sz w:val="18"/>
      <w:szCs w:val="18"/>
      <w:u w:val="none"/>
    </w:rPr>
  </w:style>
  <w:style w:type="character" w:styleId="66">
    <w:name w:val="Emphasis"/>
    <w:qFormat/>
    <w:uiPriority w:val="0"/>
    <w:rPr>
      <w:color w:val="CC0033"/>
    </w:rPr>
  </w:style>
  <w:style w:type="character" w:styleId="67">
    <w:name w:val="line number"/>
    <w:basedOn w:val="62"/>
    <w:qFormat/>
    <w:uiPriority w:val="0"/>
  </w:style>
  <w:style w:type="character" w:styleId="68">
    <w:name w:val="Hyperlink"/>
    <w:qFormat/>
    <w:uiPriority w:val="0"/>
    <w:rPr>
      <w:rFonts w:ascii="Arial" w:hAnsi="Arial" w:eastAsia="黑体" w:cs="Arial"/>
      <w:snapToGrid w:val="0"/>
      <w:color w:val="000000"/>
      <w:kern w:val="0"/>
      <w:sz w:val="18"/>
      <w:szCs w:val="18"/>
      <w:u w:val="none"/>
    </w:rPr>
  </w:style>
  <w:style w:type="character" w:styleId="69">
    <w:name w:val="HTML Code"/>
    <w:qFormat/>
    <w:uiPriority w:val="0"/>
    <w:rPr>
      <w:rFonts w:ascii="黑体" w:hAnsi="Courier New" w:eastAsia="黑体" w:cs="楷体_GB2312"/>
      <w:sz w:val="20"/>
      <w:szCs w:val="20"/>
    </w:rPr>
  </w:style>
  <w:style w:type="character" w:styleId="70">
    <w:name w:val="annotation reference"/>
    <w:qFormat/>
    <w:uiPriority w:val="99"/>
    <w:rPr>
      <w:sz w:val="21"/>
      <w:szCs w:val="21"/>
    </w:rPr>
  </w:style>
  <w:style w:type="paragraph" w:customStyle="1" w:styleId="71">
    <w:name w:val="无间距1"/>
    <w:qFormat/>
    <w:uiPriority w:val="1"/>
    <w:pPr>
      <w:widowControl w:val="0"/>
      <w:jc w:val="both"/>
    </w:pPr>
    <w:rPr>
      <w:rFonts w:ascii="Calibri" w:hAnsi="Calibri" w:eastAsia="微软雅黑 Light" w:cs="Times New Roman"/>
      <w:kern w:val="2"/>
      <w:sz w:val="24"/>
      <w:szCs w:val="22"/>
      <w:lang w:val="en-US" w:eastAsia="zh-CN" w:bidi="ar-SA"/>
    </w:rPr>
  </w:style>
  <w:style w:type="paragraph" w:customStyle="1" w:styleId="72">
    <w:name w:val="_Style 7"/>
    <w:basedOn w:val="1"/>
    <w:qFormat/>
    <w:uiPriority w:val="0"/>
    <w:pPr>
      <w:ind w:firstLine="420" w:firstLineChars="200"/>
    </w:pPr>
  </w:style>
  <w:style w:type="paragraph" w:customStyle="1" w:styleId="73">
    <w:name w:val="Default"/>
    <w:next w:val="1"/>
    <w:link w:val="629"/>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74">
    <w:name w:val="自动更正"/>
    <w:unhideWhenUsed/>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75">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76">
    <w:name w:val="冯"/>
    <w:basedOn w:val="1"/>
    <w:link w:val="518"/>
    <w:qFormat/>
    <w:uiPriority w:val="0"/>
    <w:pPr>
      <w:widowControl/>
      <w:adjustRightInd/>
      <w:spacing w:line="360" w:lineRule="auto"/>
      <w:ind w:firstLine="480" w:firstLineChars="200"/>
    </w:pPr>
    <w:rPr>
      <w:rFonts w:ascii="宋体" w:hAnsi="宋体"/>
      <w:color w:val="000000"/>
      <w:kern w:val="0"/>
      <w:sz w:val="24"/>
    </w:rPr>
  </w:style>
  <w:style w:type="paragraph" w:customStyle="1" w:styleId="77">
    <w:name w:val="样式3"/>
    <w:basedOn w:val="78"/>
    <w:qFormat/>
    <w:uiPriority w:val="0"/>
    <w:pPr>
      <w:tabs>
        <w:tab w:val="left" w:pos="2790"/>
        <w:tab w:val="left" w:pos="4230"/>
      </w:tabs>
      <w:spacing w:before="312" w:beforeLines="100"/>
      <w:jc w:val="left"/>
    </w:pPr>
  </w:style>
  <w:style w:type="paragraph" w:customStyle="1" w:styleId="78">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79">
    <w:name w:val="P1"/>
    <w:basedOn w:val="1"/>
    <w:qFormat/>
    <w:uiPriority w:val="0"/>
    <w:pPr>
      <w:adjustRightInd/>
      <w:spacing w:line="288" w:lineRule="auto"/>
      <w:ind w:firstLine="425" w:firstLineChars="200"/>
    </w:pPr>
  </w:style>
  <w:style w:type="paragraph" w:customStyle="1" w:styleId="80">
    <w:name w:val="Char1 Char Char Char"/>
    <w:basedOn w:val="1"/>
    <w:qFormat/>
    <w:uiPriority w:val="0"/>
    <w:rPr>
      <w:rFonts w:ascii="Tahoma" w:hAnsi="Tahoma"/>
      <w:sz w:val="24"/>
      <w:szCs w:val="20"/>
    </w:rPr>
  </w:style>
  <w:style w:type="paragraph" w:customStyle="1" w:styleId="81">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82">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83">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84">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5">
    <w:name w:val="样式7"/>
    <w:basedOn w:val="86"/>
    <w:next w:val="1"/>
    <w:qFormat/>
    <w:uiPriority w:val="0"/>
    <w:pPr>
      <w:spacing w:after="156" w:afterLines="50"/>
      <w:jc w:val="left"/>
      <w:outlineLvl w:val="3"/>
    </w:pPr>
    <w:rPr>
      <w:sz w:val="24"/>
      <w:szCs w:val="24"/>
    </w:rPr>
  </w:style>
  <w:style w:type="paragraph" w:customStyle="1" w:styleId="86">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87">
    <w:name w:val="Bulleted List"/>
    <w:basedOn w:val="1"/>
    <w:qFormat/>
    <w:uiPriority w:val="0"/>
    <w:pPr>
      <w:numPr>
        <w:ilvl w:val="1"/>
        <w:numId w:val="4"/>
      </w:numPr>
      <w:adjustRightInd/>
    </w:pPr>
  </w:style>
  <w:style w:type="paragraph" w:customStyle="1" w:styleId="88">
    <w:name w:val="Char3"/>
    <w:basedOn w:val="1"/>
    <w:qFormat/>
    <w:uiPriority w:val="0"/>
    <w:pPr>
      <w:adjustRightInd/>
    </w:pPr>
    <w:rPr>
      <w:rFonts w:ascii="仿宋_GB2312" w:eastAsia="仿宋_GB2312"/>
      <w:b/>
      <w:sz w:val="32"/>
      <w:szCs w:val="32"/>
    </w:rPr>
  </w:style>
  <w:style w:type="paragraph" w:customStyle="1" w:styleId="89">
    <w:name w:val="Char Char1 Char Char Char Char Char Char"/>
    <w:basedOn w:val="1"/>
    <w:qFormat/>
    <w:uiPriority w:val="0"/>
    <w:rPr>
      <w:rFonts w:ascii="仿宋_GB2312" w:eastAsia="仿宋_GB2312"/>
      <w:b/>
      <w:sz w:val="32"/>
      <w:szCs w:val="20"/>
    </w:rPr>
  </w:style>
  <w:style w:type="paragraph" w:customStyle="1" w:styleId="90">
    <w:name w:val="文本正文 Char"/>
    <w:basedOn w:val="1"/>
    <w:qFormat/>
    <w:uiPriority w:val="0"/>
    <w:pPr>
      <w:spacing w:line="360" w:lineRule="auto"/>
      <w:ind w:firstLine="200" w:firstLineChars="200"/>
    </w:pPr>
    <w:rPr>
      <w:kern w:val="0"/>
      <w:sz w:val="24"/>
      <w:szCs w:val="20"/>
    </w:rPr>
  </w:style>
  <w:style w:type="paragraph" w:customStyle="1" w:styleId="91">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92">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93">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94">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95">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96">
    <w:name w:val="样式 标题 22h2L1 Heading 2H2sect 1.2H21sect 1.21H22sect 1.2..."/>
    <w:basedOn w:val="3"/>
    <w:next w:val="1"/>
    <w:qFormat/>
    <w:uiPriority w:val="0"/>
    <w:pPr>
      <w:numPr>
        <w:numId w:val="0"/>
      </w:num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97">
    <w:name w:val="正文首行缩进1"/>
    <w:basedOn w:val="22"/>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98">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99">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100">
    <w:name w:val="Char1"/>
    <w:basedOn w:val="1"/>
    <w:qFormat/>
    <w:uiPriority w:val="0"/>
    <w:rPr>
      <w:rFonts w:ascii="仿宋_GB2312" w:eastAsia="仿宋_GB2312"/>
      <w:b/>
      <w:sz w:val="32"/>
      <w:szCs w:val="32"/>
    </w:rPr>
  </w:style>
  <w:style w:type="paragraph" w:customStyle="1" w:styleId="101">
    <w:name w:val="CM14"/>
    <w:basedOn w:val="73"/>
    <w:next w:val="73"/>
    <w:qFormat/>
    <w:uiPriority w:val="0"/>
    <w:pPr>
      <w:spacing w:after="68"/>
    </w:pPr>
    <w:rPr>
      <w:rFonts w:ascii="FHLHE E+ Futura Bk" w:eastAsia="FHLHE E+ Futura Bk" w:cs="Times New Roman"/>
      <w:color w:val="auto"/>
    </w:rPr>
  </w:style>
  <w:style w:type="paragraph" w:customStyle="1" w:styleId="102">
    <w:name w:val="目录 71"/>
    <w:next w:val="1"/>
    <w:qFormat/>
    <w:uiPriority w:val="0"/>
    <w:pPr>
      <w:wordWrap w:val="0"/>
      <w:ind w:left="2550"/>
      <w:jc w:val="both"/>
    </w:pPr>
    <w:rPr>
      <w:rFonts w:ascii="Calibri" w:hAnsi="Calibri" w:eastAsia="宋体" w:cs="Times New Roman"/>
      <w:sz w:val="21"/>
      <w:szCs w:val="22"/>
      <w:lang w:val="en-US" w:eastAsia="zh-CN" w:bidi="ar-SA"/>
    </w:rPr>
  </w:style>
  <w:style w:type="paragraph" w:customStyle="1" w:styleId="103">
    <w:name w:val="正文文字缩进2字"/>
    <w:basedOn w:val="22"/>
    <w:qFormat/>
    <w:uiPriority w:val="0"/>
    <w:pPr>
      <w:autoSpaceDE/>
      <w:autoSpaceDN/>
      <w:adjustRightInd/>
      <w:spacing w:before="60" w:after="60"/>
      <w:ind w:firstLine="200" w:firstLineChars="200"/>
    </w:pPr>
    <w:rPr>
      <w:rFonts w:ascii="Times New Roman"/>
      <w:szCs w:val="20"/>
      <w:lang w:val="en-US"/>
    </w:rPr>
  </w:style>
  <w:style w:type="paragraph" w:customStyle="1" w:styleId="104">
    <w:name w:val="正文 编号"/>
    <w:basedOn w:val="1"/>
    <w:qFormat/>
    <w:uiPriority w:val="0"/>
    <w:pPr>
      <w:widowControl/>
      <w:numPr>
        <w:ilvl w:val="0"/>
        <w:numId w:val="4"/>
      </w:numPr>
      <w:spacing w:after="120" w:line="440" w:lineRule="exact"/>
      <w:jc w:val="left"/>
    </w:pPr>
    <w:rPr>
      <w:rFonts w:ascii="仿宋_GB2312" w:hAnsi="仿宋_GB2312" w:eastAsia="仿宋_GB2312"/>
      <w:sz w:val="24"/>
      <w:szCs w:val="20"/>
    </w:rPr>
  </w:style>
  <w:style w:type="paragraph" w:customStyle="1" w:styleId="105">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106">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107">
    <w:name w:val="标书标题4"/>
    <w:basedOn w:val="6"/>
    <w:qFormat/>
    <w:uiPriority w:val="0"/>
    <w:pPr>
      <w:keepLines w:val="0"/>
      <w:numPr>
        <w:numId w:val="0"/>
      </w:numPr>
      <w:snapToGrid w:val="0"/>
      <w:spacing w:before="0" w:after="0" w:line="300" w:lineRule="auto"/>
    </w:pPr>
    <w:rPr>
      <w:rFonts w:ascii="Arial Narrow" w:hAnsi="Arial Narrow" w:eastAsia="仿宋_GB2312"/>
      <w:bCs w:val="0"/>
      <w:color w:val="000000"/>
      <w:kern w:val="0"/>
      <w:szCs w:val="32"/>
      <w:lang w:val="en-US"/>
    </w:rPr>
  </w:style>
  <w:style w:type="paragraph" w:styleId="108">
    <w:name w:val="List Paragraph"/>
    <w:basedOn w:val="1"/>
    <w:qFormat/>
    <w:uiPriority w:val="0"/>
    <w:pPr>
      <w:spacing w:line="360" w:lineRule="auto"/>
      <w:ind w:firstLine="200" w:firstLineChars="200"/>
    </w:pPr>
    <w:rPr>
      <w:rFonts w:eastAsia="楷体_GB2312" w:cs="Lucida Sans"/>
      <w:sz w:val="24"/>
    </w:rPr>
  </w:style>
  <w:style w:type="paragraph" w:customStyle="1" w:styleId="109">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110">
    <w:name w:val="Char2 Char Char Char"/>
    <w:basedOn w:val="1"/>
    <w:qFormat/>
    <w:uiPriority w:val="0"/>
    <w:rPr>
      <w:rFonts w:ascii="仿宋_GB2312" w:eastAsia="仿宋_GB2312"/>
      <w:b/>
      <w:sz w:val="32"/>
      <w:szCs w:val="32"/>
    </w:rPr>
  </w:style>
  <w:style w:type="paragraph" w:customStyle="1" w:styleId="111">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12">
    <w:name w:val="样式 正文文本缩进 + 左侧:  2 字符 首行缩进:  2 字符"/>
    <w:basedOn w:val="24"/>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13">
    <w:name w:val="Char Char Char"/>
    <w:basedOn w:val="1"/>
    <w:qFormat/>
    <w:uiPriority w:val="0"/>
    <w:rPr>
      <w:rFonts w:ascii="Tahoma" w:hAnsi="Tahoma"/>
      <w:sz w:val="24"/>
      <w:szCs w:val="20"/>
    </w:rPr>
  </w:style>
  <w:style w:type="paragraph" w:customStyle="1" w:styleId="114">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115">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116">
    <w:name w:val="样式 正文缩进 + 首行缩进:  2 字符"/>
    <w:basedOn w:val="5"/>
    <w:qFormat/>
    <w:uiPriority w:val="0"/>
    <w:pPr>
      <w:widowControl w:val="0"/>
      <w:adjustRightInd/>
      <w:snapToGrid/>
      <w:spacing w:line="360" w:lineRule="auto"/>
      <w:ind w:firstLine="200" w:firstLineChars="200"/>
    </w:pPr>
    <w:rPr>
      <w:rFonts w:ascii="Times New Roman" w:cs="宋体"/>
      <w:snapToGrid/>
      <w:color w:val="auto"/>
      <w:kern w:val="2"/>
      <w:sz w:val="24"/>
    </w:rPr>
  </w:style>
  <w:style w:type="paragraph" w:customStyle="1" w:styleId="117">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118">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119">
    <w:name w:val="浅色底纹 - 强调文字颜色 51"/>
    <w:semiHidden/>
    <w:qFormat/>
    <w:uiPriority w:val="0"/>
    <w:rPr>
      <w:rFonts w:ascii="Times New Roman" w:hAnsi="Times New Roman" w:eastAsia="宋体" w:cs="Times New Roman"/>
      <w:kern w:val="2"/>
      <w:sz w:val="21"/>
      <w:szCs w:val="24"/>
      <w:lang w:val="en-US" w:eastAsia="zh-CN" w:bidi="ar-SA"/>
    </w:rPr>
  </w:style>
  <w:style w:type="paragraph" w:customStyle="1" w:styleId="120">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121">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122">
    <w:name w:val="FA正文"/>
    <w:basedOn w:val="1"/>
    <w:qFormat/>
    <w:uiPriority w:val="0"/>
    <w:pPr>
      <w:spacing w:line="360" w:lineRule="auto"/>
      <w:ind w:firstLine="480" w:firstLineChars="200"/>
    </w:pPr>
    <w:rPr>
      <w:rFonts w:hAnsi="宋体"/>
      <w:sz w:val="24"/>
      <w:szCs w:val="20"/>
    </w:rPr>
  </w:style>
  <w:style w:type="paragraph" w:customStyle="1" w:styleId="123">
    <w:name w:val="MM Topic 4"/>
    <w:basedOn w:val="6"/>
    <w:qFormat/>
    <w:uiPriority w:val="0"/>
    <w:pPr>
      <w:numPr>
        <w:ilvl w:val="0"/>
        <w:numId w:val="0"/>
      </w:numPr>
      <w:tabs>
        <w:tab w:val="left" w:pos="2100"/>
        <w:tab w:val="clear" w:pos="864"/>
      </w:tabs>
      <w:adjustRightInd/>
      <w:ind w:left="2100" w:hanging="420"/>
    </w:pPr>
    <w:rPr>
      <w:lang w:val="en-US"/>
    </w:rPr>
  </w:style>
  <w:style w:type="paragraph" w:customStyle="1" w:styleId="124">
    <w:name w:val="Char Char1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125">
    <w:name w:val="有符号正文"/>
    <w:basedOn w:val="1"/>
    <w:qFormat/>
    <w:uiPriority w:val="0"/>
    <w:pPr>
      <w:adjustRightInd/>
      <w:spacing w:line="400" w:lineRule="exact"/>
      <w:ind w:firstLine="200" w:firstLineChars="200"/>
    </w:pPr>
    <w:rPr>
      <w:rFonts w:ascii="Arial" w:hAnsi="Arial"/>
    </w:rPr>
  </w:style>
  <w:style w:type="paragraph" w:customStyle="1" w:styleId="126">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127">
    <w:name w:val="默认段落字体 Para Char"/>
    <w:basedOn w:val="1"/>
    <w:qFormat/>
    <w:uiPriority w:val="0"/>
    <w:rPr>
      <w:rFonts w:ascii="Tahoma" w:hAnsi="Tahoma"/>
      <w:sz w:val="24"/>
      <w:szCs w:val="20"/>
    </w:rPr>
  </w:style>
  <w:style w:type="paragraph" w:customStyle="1" w:styleId="128">
    <w:name w:val="Char1 Char Char Char2"/>
    <w:basedOn w:val="1"/>
    <w:qFormat/>
    <w:uiPriority w:val="0"/>
    <w:pPr>
      <w:adjustRightInd/>
      <w:ind w:firstLine="200" w:firstLineChars="200"/>
    </w:pPr>
    <w:rPr>
      <w:rFonts w:ascii="Tahoma" w:hAnsi="Tahoma"/>
      <w:sz w:val="24"/>
      <w:szCs w:val="20"/>
    </w:rPr>
  </w:style>
  <w:style w:type="paragraph" w:customStyle="1" w:styleId="129">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130">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131">
    <w:name w:val="注释"/>
    <w:basedOn w:val="1"/>
    <w:qFormat/>
    <w:uiPriority w:val="0"/>
    <w:pPr>
      <w:adjustRightInd/>
      <w:spacing w:line="360" w:lineRule="auto"/>
      <w:ind w:firstLine="480"/>
    </w:pPr>
    <w:rPr>
      <w:sz w:val="24"/>
    </w:rPr>
  </w:style>
  <w:style w:type="paragraph" w:customStyle="1" w:styleId="132">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133">
    <w:name w:val="Char1 Char Char Char Char Char Char Char Char Char"/>
    <w:basedOn w:val="1"/>
    <w:semiHidden/>
    <w:qFormat/>
    <w:uiPriority w:val="0"/>
    <w:pPr>
      <w:adjustRightInd/>
      <w:spacing w:before="240" w:after="120" w:line="288" w:lineRule="auto"/>
      <w:ind w:firstLine="200" w:firstLineChars="200"/>
      <w:jc w:val="left"/>
    </w:pPr>
    <w:rPr>
      <w:rFonts w:ascii="Tahoma" w:hAnsi="Tahoma"/>
      <w:sz w:val="24"/>
    </w:rPr>
  </w:style>
  <w:style w:type="paragraph" w:customStyle="1" w:styleId="134">
    <w:name w:val="trademark"/>
    <w:qFormat/>
    <w:uiPriority w:val="0"/>
    <w:pPr>
      <w:spacing w:after="60"/>
    </w:pPr>
    <w:rPr>
      <w:rFonts w:ascii="Futura Bk" w:hAnsi="Futura Bk" w:eastAsia="宋体" w:cs="Times New Roman"/>
      <w:sz w:val="15"/>
      <w:lang w:val="en-US" w:eastAsia="en-US" w:bidi="ar-SA"/>
    </w:rPr>
  </w:style>
  <w:style w:type="paragraph" w:customStyle="1" w:styleId="135">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136">
    <w:name w:val="EB_表格"/>
    <w:basedOn w:val="1"/>
    <w:qFormat/>
    <w:uiPriority w:val="0"/>
    <w:pPr>
      <w:adjustRightInd/>
      <w:spacing w:line="300" w:lineRule="auto"/>
      <w:jc w:val="center"/>
    </w:pPr>
  </w:style>
  <w:style w:type="paragraph" w:customStyle="1" w:styleId="137">
    <w:name w:val="Char Char Char1 Char"/>
    <w:basedOn w:val="1"/>
    <w:qFormat/>
    <w:uiPriority w:val="0"/>
    <w:rPr>
      <w:szCs w:val="20"/>
    </w:rPr>
  </w:style>
  <w:style w:type="paragraph" w:customStyle="1" w:styleId="138">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139">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140">
    <w:name w:val="章标题"/>
    <w:next w:val="141"/>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141">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42">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143">
    <w:name w:val="标准有序列表（L1）"/>
    <w:basedOn w:val="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144">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145">
    <w:name w:val="表文字"/>
    <w:qFormat/>
    <w:uiPriority w:val="0"/>
    <w:rPr>
      <w:rFonts w:ascii="宋体" w:hAnsi="Times New Roman" w:eastAsia="宋体" w:cs="Times New Roman"/>
      <w:kern w:val="2"/>
      <w:lang w:val="en-US" w:eastAsia="zh-CN" w:bidi="ar-SA"/>
    </w:rPr>
  </w:style>
  <w:style w:type="paragraph" w:customStyle="1" w:styleId="146">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147">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148">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49">
    <w:name w:val="列表内容"/>
    <w:basedOn w:val="1"/>
    <w:next w:val="1"/>
    <w:qFormat/>
    <w:uiPriority w:val="0"/>
    <w:pPr>
      <w:widowControl/>
      <w:tabs>
        <w:tab w:val="left" w:pos="840"/>
      </w:tabs>
      <w:ind w:left="840" w:hanging="420"/>
      <w:jc w:val="left"/>
    </w:pPr>
    <w:rPr>
      <w:kern w:val="0"/>
      <w:sz w:val="18"/>
    </w:rPr>
  </w:style>
  <w:style w:type="paragraph" w:customStyle="1" w:styleId="150">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151">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52">
    <w:name w:val="body text bold"/>
    <w:basedOn w:val="22"/>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153">
    <w:name w:val="Char2 Char Char"/>
    <w:basedOn w:val="1"/>
    <w:qFormat/>
    <w:uiPriority w:val="0"/>
    <w:pPr>
      <w:adjustRightInd/>
    </w:pPr>
    <w:rPr>
      <w:rFonts w:ascii="Tahoma" w:hAnsi="Tahoma"/>
      <w:sz w:val="24"/>
      <w:szCs w:val="20"/>
    </w:rPr>
  </w:style>
  <w:style w:type="paragraph" w:customStyle="1" w:styleId="154">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155">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156">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157">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158">
    <w:name w:val="Char Char1 Char Char Char"/>
    <w:basedOn w:val="1"/>
    <w:qFormat/>
    <w:uiPriority w:val="0"/>
    <w:rPr>
      <w:rFonts w:ascii="仿宋_GB2312" w:eastAsia="仿宋_GB2312"/>
      <w:b/>
      <w:sz w:val="32"/>
      <w:szCs w:val="20"/>
    </w:rPr>
  </w:style>
  <w:style w:type="paragraph" w:customStyle="1" w:styleId="159">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160">
    <w:name w:val="WW-正文文字缩进 2"/>
    <w:basedOn w:val="1"/>
    <w:qFormat/>
    <w:uiPriority w:val="0"/>
    <w:pPr>
      <w:suppressAutoHyphens/>
      <w:adjustRightInd/>
      <w:ind w:firstLine="420"/>
    </w:pPr>
    <w:rPr>
      <w:kern w:val="1"/>
      <w:szCs w:val="20"/>
    </w:rPr>
  </w:style>
  <w:style w:type="paragraph" w:customStyle="1" w:styleId="161">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162">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163">
    <w:name w:val="默认段落字体 Para Char Char Char Char"/>
    <w:basedOn w:val="1"/>
    <w:qFormat/>
    <w:uiPriority w:val="0"/>
    <w:pPr>
      <w:spacing w:line="360" w:lineRule="auto"/>
    </w:pPr>
    <w:rPr>
      <w:szCs w:val="20"/>
    </w:rPr>
  </w:style>
  <w:style w:type="paragraph" w:customStyle="1" w:styleId="164">
    <w:name w:val="Char Char11 Char Char Char"/>
    <w:basedOn w:val="1"/>
    <w:qFormat/>
    <w:uiPriority w:val="0"/>
    <w:pPr>
      <w:spacing w:line="360" w:lineRule="auto"/>
    </w:pPr>
    <w:rPr>
      <w:szCs w:val="20"/>
    </w:rPr>
  </w:style>
  <w:style w:type="paragraph" w:customStyle="1" w:styleId="165">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166">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167">
    <w:name w:val="左对齐表格文字"/>
    <w:basedOn w:val="1"/>
    <w:qFormat/>
    <w:uiPriority w:val="0"/>
    <w:pPr>
      <w:adjustRightInd/>
      <w:ind w:firstLine="200" w:firstLineChars="200"/>
      <w:jc w:val="right"/>
    </w:pPr>
  </w:style>
  <w:style w:type="paragraph" w:customStyle="1" w:styleId="168">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169">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170">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171">
    <w:name w:val="无间隔1"/>
    <w:link w:val="533"/>
    <w:qFormat/>
    <w:uiPriority w:val="1"/>
    <w:rPr>
      <w:rFonts w:ascii="Calibri" w:hAnsi="Calibri" w:eastAsia="宋体" w:cs="Times New Roman"/>
      <w:sz w:val="22"/>
      <w:szCs w:val="22"/>
      <w:lang w:val="en-US" w:eastAsia="zh-CN" w:bidi="ar-SA"/>
    </w:rPr>
  </w:style>
  <w:style w:type="paragraph" w:customStyle="1" w:styleId="172">
    <w:name w:val="样式 样式 标题 4h4H4Fab-4T5Ref Heading 1rh1Heading sqlsect 1.2.3.... +..."/>
    <w:basedOn w:val="173"/>
    <w:link w:val="611"/>
    <w:qFormat/>
    <w:uiPriority w:val="0"/>
    <w:pPr>
      <w:tabs>
        <w:tab w:val="left" w:pos="2356"/>
      </w:tabs>
    </w:pPr>
  </w:style>
  <w:style w:type="paragraph" w:customStyle="1" w:styleId="173">
    <w:name w:val="样式 标题 4h4H4Fab-4T5Ref Heading 1rh1Heading sqlsect 1.2.3...."/>
    <w:basedOn w:val="6"/>
    <w:link w:val="561"/>
    <w:qFormat/>
    <w:uiPriority w:val="0"/>
    <w:pPr>
      <w:numPr>
        <w:numId w:val="0"/>
      </w:num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74">
    <w:name w:val="四级条标题"/>
    <w:basedOn w:val="175"/>
    <w:next w:val="141"/>
    <w:qFormat/>
    <w:uiPriority w:val="0"/>
    <w:pPr>
      <w:numPr>
        <w:ilvl w:val="5"/>
        <w:numId w:val="4"/>
      </w:numPr>
      <w:tabs>
        <w:tab w:val="left" w:pos="1680"/>
        <w:tab w:val="left" w:pos="2100"/>
        <w:tab w:val="left" w:pos="2520"/>
      </w:tabs>
      <w:outlineLvl w:val="5"/>
    </w:pPr>
  </w:style>
  <w:style w:type="paragraph" w:customStyle="1" w:styleId="175">
    <w:name w:val="三级条标题"/>
    <w:basedOn w:val="176"/>
    <w:next w:val="141"/>
    <w:qFormat/>
    <w:uiPriority w:val="0"/>
    <w:pPr>
      <w:numPr>
        <w:ilvl w:val="0"/>
        <w:numId w:val="0"/>
      </w:numPr>
      <w:tabs>
        <w:tab w:val="left" w:pos="1680"/>
        <w:tab w:val="left" w:pos="2100"/>
        <w:tab w:val="left" w:pos="2520"/>
      </w:tabs>
      <w:ind w:left="2520" w:hanging="420"/>
      <w:outlineLvl w:val="4"/>
    </w:pPr>
  </w:style>
  <w:style w:type="paragraph" w:customStyle="1" w:styleId="176">
    <w:name w:val="二级条标题"/>
    <w:basedOn w:val="177"/>
    <w:next w:val="141"/>
    <w:qFormat/>
    <w:uiPriority w:val="0"/>
    <w:pPr>
      <w:numPr>
        <w:ilvl w:val="3"/>
        <w:numId w:val="4"/>
      </w:numPr>
      <w:tabs>
        <w:tab w:val="left" w:pos="1680"/>
      </w:tabs>
      <w:ind w:left="0"/>
      <w:outlineLvl w:val="3"/>
    </w:pPr>
  </w:style>
  <w:style w:type="paragraph" w:customStyle="1" w:styleId="177">
    <w:name w:val="一级条标题"/>
    <w:basedOn w:val="140"/>
    <w:next w:val="141"/>
    <w:qFormat/>
    <w:uiPriority w:val="0"/>
    <w:pPr>
      <w:tabs>
        <w:tab w:val="left" w:pos="1680"/>
        <w:tab w:val="clear" w:pos="1260"/>
      </w:tabs>
      <w:spacing w:before="0" w:beforeLines="0" w:after="0" w:afterLines="0"/>
      <w:ind w:left="1680"/>
      <w:outlineLvl w:val="2"/>
    </w:pPr>
  </w:style>
  <w:style w:type="paragraph" w:customStyle="1" w:styleId="178">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179">
    <w:name w:val="标准小四"/>
    <w:basedOn w:val="1"/>
    <w:qFormat/>
    <w:uiPriority w:val="0"/>
    <w:pPr>
      <w:spacing w:line="360" w:lineRule="auto"/>
      <w:ind w:firstLine="480" w:firstLineChars="200"/>
    </w:pPr>
    <w:rPr>
      <w:rFonts w:ascii="Arial" w:hAnsi="Arial"/>
      <w:sz w:val="24"/>
      <w:szCs w:val="21"/>
    </w:rPr>
  </w:style>
  <w:style w:type="paragraph" w:customStyle="1" w:styleId="180">
    <w:name w:val="表格"/>
    <w:basedOn w:val="1"/>
    <w:qFormat/>
    <w:uiPriority w:val="0"/>
    <w:pPr>
      <w:snapToGrid w:val="0"/>
      <w:ind w:firstLine="42" w:firstLineChars="21"/>
    </w:pPr>
    <w:rPr>
      <w:rFonts w:ascii="宋体" w:hAnsi="宋体"/>
      <w:kern w:val="0"/>
      <w:sz w:val="20"/>
      <w:szCs w:val="20"/>
    </w:rPr>
  </w:style>
  <w:style w:type="paragraph" w:customStyle="1" w:styleId="181">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82">
    <w:name w:val="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183">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184">
    <w:name w:val="封面公司名"/>
    <w:qFormat/>
    <w:uiPriority w:val="0"/>
    <w:pPr>
      <w:jc w:val="center"/>
    </w:pPr>
    <w:rPr>
      <w:rFonts w:ascii="Arial" w:hAnsi="Arial" w:eastAsia="楷体_GB2312" w:cs="宋体"/>
      <w:bCs/>
      <w:kern w:val="2"/>
      <w:sz w:val="28"/>
      <w:lang w:val="en-US" w:eastAsia="zh-CN" w:bidi="ar-SA"/>
    </w:rPr>
  </w:style>
  <w:style w:type="paragraph" w:customStyle="1" w:styleId="185">
    <w:name w:val="Char2 Char Char Char1"/>
    <w:basedOn w:val="1"/>
    <w:qFormat/>
    <w:uiPriority w:val="0"/>
    <w:rPr>
      <w:rFonts w:ascii="仿宋_GB2312" w:eastAsia="仿宋_GB2312"/>
      <w:b/>
      <w:sz w:val="32"/>
      <w:szCs w:val="32"/>
    </w:rPr>
  </w:style>
  <w:style w:type="paragraph" w:customStyle="1" w:styleId="186">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187">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188">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189">
    <w:name w:val="Char2"/>
    <w:basedOn w:val="1"/>
    <w:qFormat/>
    <w:uiPriority w:val="0"/>
    <w:rPr>
      <w:rFonts w:ascii="仿宋_GB2312" w:eastAsia="仿宋_GB2312"/>
      <w:b/>
      <w:sz w:val="32"/>
      <w:szCs w:val="32"/>
    </w:rPr>
  </w:style>
  <w:style w:type="paragraph" w:customStyle="1" w:styleId="190">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191">
    <w:name w:val="小节"/>
    <w:basedOn w:val="4"/>
    <w:qFormat/>
    <w:uiPriority w:val="0"/>
    <w:pPr>
      <w:numPr>
        <w:numId w:val="0"/>
      </w:numPr>
      <w:adjustRightInd/>
      <w:spacing w:before="200" w:after="200" w:line="560" w:lineRule="exact"/>
      <w:jc w:val="left"/>
    </w:pPr>
    <w:rPr>
      <w:rFonts w:ascii="宋体" w:hAnsi="宋体"/>
      <w:bCs w:val="0"/>
      <w:color w:val="000000"/>
      <w:spacing w:val="10"/>
      <w:kern w:val="24"/>
      <w:sz w:val="28"/>
    </w:rPr>
  </w:style>
  <w:style w:type="paragraph" w:customStyle="1" w:styleId="192">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93">
    <w:name w:val="Char Char Char Char Char Char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194">
    <w:name w:val="!大节"/>
    <w:basedOn w:val="3"/>
    <w:qFormat/>
    <w:uiPriority w:val="0"/>
    <w:pPr>
      <w:numPr>
        <w:numId w:val="0"/>
      </w:numPr>
      <w:spacing w:before="260" w:after="260" w:line="415" w:lineRule="auto"/>
      <w:ind w:left="420" w:hanging="420"/>
    </w:pPr>
    <w:rPr>
      <w:rFonts w:ascii="Arial" w:hAnsi="Arial" w:eastAsia="微软雅黑"/>
      <w:lang w:val="en-US"/>
    </w:rPr>
  </w:style>
  <w:style w:type="paragraph" w:customStyle="1" w:styleId="195">
    <w:name w:val="Char Char4 Char Char"/>
    <w:basedOn w:val="1"/>
    <w:qFormat/>
    <w:uiPriority w:val="0"/>
    <w:pPr>
      <w:widowControl/>
      <w:adjustRightInd/>
      <w:spacing w:after="160" w:line="240" w:lineRule="exact"/>
      <w:jc w:val="left"/>
    </w:pPr>
  </w:style>
  <w:style w:type="paragraph" w:customStyle="1" w:styleId="196">
    <w:name w:val="Char2 Char Char1"/>
    <w:basedOn w:val="1"/>
    <w:qFormat/>
    <w:uiPriority w:val="0"/>
    <w:pPr>
      <w:adjustRightInd/>
    </w:pPr>
    <w:rPr>
      <w:rFonts w:ascii="Tahoma" w:hAnsi="Tahoma"/>
      <w:sz w:val="24"/>
      <w:szCs w:val="20"/>
    </w:rPr>
  </w:style>
  <w:style w:type="paragraph" w:customStyle="1" w:styleId="197">
    <w:name w:val="默认段落字体 Para Char Char Char Char Char Char Char"/>
    <w:basedOn w:val="1"/>
    <w:qFormat/>
    <w:uiPriority w:val="0"/>
    <w:rPr>
      <w:rFonts w:eastAsia="仿宋_GB2312"/>
      <w:sz w:val="28"/>
      <w:szCs w:val="20"/>
    </w:rPr>
  </w:style>
  <w:style w:type="paragraph" w:customStyle="1" w:styleId="198">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199">
    <w:name w:val="正文21"/>
    <w:basedOn w:val="1"/>
    <w:qFormat/>
    <w:uiPriority w:val="0"/>
    <w:pPr>
      <w:adjustRightInd/>
      <w:spacing w:before="156" w:line="360" w:lineRule="auto"/>
      <w:ind w:firstLine="510" w:firstLineChars="200"/>
    </w:pPr>
    <w:rPr>
      <w:sz w:val="24"/>
      <w:szCs w:val="20"/>
    </w:rPr>
  </w:style>
  <w:style w:type="paragraph" w:customStyle="1" w:styleId="200">
    <w:name w:val="标题4_自定义"/>
    <w:basedOn w:val="6"/>
    <w:qFormat/>
    <w:uiPriority w:val="0"/>
    <w:pPr>
      <w:numPr>
        <w:numId w:val="0"/>
      </w:numPr>
      <w:adjustRightInd/>
      <w:spacing w:before="0" w:after="0" w:line="360" w:lineRule="auto"/>
    </w:pPr>
    <w:rPr>
      <w:rFonts w:ascii="Verdana" w:eastAsia="Verdana"/>
      <w:sz w:val="21"/>
      <w:lang w:val="en-US"/>
    </w:rPr>
  </w:style>
  <w:style w:type="paragraph" w:customStyle="1" w:styleId="201">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202">
    <w:name w:val="标题五"/>
    <w:basedOn w:val="1"/>
    <w:qFormat/>
    <w:uiPriority w:val="0"/>
    <w:pPr>
      <w:adjustRightInd/>
      <w:spacing w:before="156" w:beforeLines="50" w:line="360" w:lineRule="auto"/>
    </w:pPr>
    <w:rPr>
      <w:b/>
      <w:sz w:val="24"/>
    </w:rPr>
  </w:style>
  <w:style w:type="paragraph" w:customStyle="1" w:styleId="203">
    <w:name w:val="样式 标题 3H3 + 两端对齐"/>
    <w:basedOn w:val="4"/>
    <w:qFormat/>
    <w:uiPriority w:val="0"/>
    <w:pPr>
      <w:keepLines w:val="0"/>
      <w:numPr>
        <w:numId w:val="0"/>
      </w:numPr>
      <w:spacing w:before="0" w:after="0" w:line="240" w:lineRule="auto"/>
      <w:jc w:val="left"/>
    </w:pPr>
    <w:rPr>
      <w:rFonts w:cs="宋体"/>
      <w:sz w:val="21"/>
      <w:szCs w:val="20"/>
    </w:rPr>
  </w:style>
  <w:style w:type="paragraph" w:customStyle="1" w:styleId="204">
    <w:name w:val="Char Char11"/>
    <w:basedOn w:val="1"/>
    <w:qFormat/>
    <w:uiPriority w:val="0"/>
    <w:pPr>
      <w:spacing w:line="360" w:lineRule="auto"/>
    </w:pPr>
    <w:rPr>
      <w:szCs w:val="20"/>
    </w:rPr>
  </w:style>
  <w:style w:type="paragraph" w:customStyle="1" w:styleId="205">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06">
    <w:name w:val="样式6"/>
    <w:basedOn w:val="32"/>
    <w:qFormat/>
    <w:uiPriority w:val="0"/>
    <w:pPr>
      <w:spacing w:line="460" w:lineRule="exact"/>
      <w:outlineLvl w:val="2"/>
    </w:pPr>
    <w:rPr>
      <w:rFonts w:ascii="仿宋_GB2312" w:hAnsi="宋体" w:eastAsia="仿宋_GB2312"/>
      <w:b/>
      <w:bCs/>
      <w:sz w:val="24"/>
      <w:szCs w:val="24"/>
    </w:rPr>
  </w:style>
  <w:style w:type="paragraph" w:customStyle="1" w:styleId="207">
    <w:name w:val="样式 标题 1章节第一层h1H"/>
    <w:basedOn w:val="2"/>
    <w:qFormat/>
    <w:uiPriority w:val="0"/>
    <w:pPr>
      <w:keepNext w:val="0"/>
      <w:keepLines w:val="0"/>
      <w:numPr>
        <w:numId w:val="0"/>
      </w:numPr>
      <w:autoSpaceDE w:val="0"/>
      <w:autoSpaceDN w:val="0"/>
      <w:spacing w:before="0" w:after="0" w:line="240" w:lineRule="auto"/>
      <w:jc w:val="left"/>
      <w:outlineLvl w:val="9"/>
    </w:pPr>
    <w:rPr>
      <w:kern w:val="0"/>
      <w:sz w:val="52"/>
      <w:szCs w:val="52"/>
      <w:lang w:val="zh-CN"/>
    </w:rPr>
  </w:style>
  <w:style w:type="paragraph" w:customStyle="1" w:styleId="208">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209">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210">
    <w:name w:val="Char Char11 Char Char Char Char Char Char Char Char Char"/>
    <w:basedOn w:val="1"/>
    <w:qFormat/>
    <w:uiPriority w:val="0"/>
    <w:pPr>
      <w:spacing w:line="360" w:lineRule="auto"/>
    </w:pPr>
    <w:rPr>
      <w:szCs w:val="20"/>
    </w:rPr>
  </w:style>
  <w:style w:type="paragraph" w:customStyle="1" w:styleId="211">
    <w:name w:val="Char Char1 Char Char Char1"/>
    <w:basedOn w:val="1"/>
    <w:qFormat/>
    <w:uiPriority w:val="0"/>
    <w:rPr>
      <w:rFonts w:ascii="仿宋_GB2312" w:eastAsia="仿宋_GB2312"/>
      <w:b/>
      <w:sz w:val="32"/>
      <w:szCs w:val="32"/>
    </w:rPr>
  </w:style>
  <w:style w:type="paragraph" w:customStyle="1" w:styleId="212">
    <w:name w:val="样式 标题 4PIM 4H4h4bulletblbbH41H42H43H44H45H46H47H48...1"/>
    <w:basedOn w:val="6"/>
    <w:qFormat/>
    <w:uiPriority w:val="0"/>
    <w:pPr>
      <w:widowControl/>
      <w:jc w:val="left"/>
    </w:pPr>
    <w:rPr>
      <w:rFonts w:cs="宋体"/>
      <w:sz w:val="24"/>
      <w:szCs w:val="20"/>
    </w:rPr>
  </w:style>
  <w:style w:type="paragraph" w:customStyle="1" w:styleId="213">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214">
    <w:name w:val="表格标题2"/>
    <w:basedOn w:val="215"/>
    <w:qFormat/>
    <w:uiPriority w:val="0"/>
    <w:rPr>
      <w:b/>
    </w:rPr>
  </w:style>
  <w:style w:type="paragraph" w:customStyle="1" w:styleId="215">
    <w:name w:val="表格内文"/>
    <w:basedOn w:val="1"/>
    <w:qFormat/>
    <w:uiPriority w:val="0"/>
    <w:pPr>
      <w:adjustRightInd/>
      <w:spacing w:line="360" w:lineRule="auto"/>
    </w:pPr>
    <w:rPr>
      <w:rFonts w:ascii="宋体" w:hAnsi="宋体" w:cs="宋体"/>
      <w:color w:val="000000"/>
      <w:szCs w:val="20"/>
    </w:rPr>
  </w:style>
  <w:style w:type="paragraph" w:customStyle="1" w:styleId="216">
    <w:name w:val="Char Char Char Char Char Char Char"/>
    <w:basedOn w:val="1"/>
    <w:qFormat/>
    <w:uiPriority w:val="0"/>
    <w:rPr>
      <w:rFonts w:ascii="仿宋_GB2312" w:eastAsia="仿宋_GB2312"/>
      <w:b/>
      <w:sz w:val="32"/>
      <w:szCs w:val="32"/>
    </w:rPr>
  </w:style>
  <w:style w:type="paragraph" w:customStyle="1" w:styleId="217">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218">
    <w:name w:val="数字标题6"/>
    <w:basedOn w:val="8"/>
    <w:next w:val="1"/>
    <w:qFormat/>
    <w:uiPriority w:val="0"/>
    <w:pPr>
      <w:numPr>
        <w:numId w:val="5"/>
      </w:numPr>
      <w:tabs>
        <w:tab w:val="left" w:pos="480"/>
        <w:tab w:val="left" w:pos="1080"/>
        <w:tab w:val="clear" w:pos="1152"/>
      </w:tabs>
    </w:pPr>
    <w:rPr>
      <w:rFonts w:ascii="Times New Roman" w:hAnsi="Times New Roman" w:eastAsia="宋体"/>
      <w:i/>
    </w:rPr>
  </w:style>
  <w:style w:type="paragraph" w:customStyle="1" w:styleId="219">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20">
    <w:name w:val="列出段落2"/>
    <w:basedOn w:val="1"/>
    <w:qFormat/>
    <w:uiPriority w:val="0"/>
    <w:pPr>
      <w:adjustRightInd/>
      <w:ind w:firstLine="420" w:firstLineChars="200"/>
    </w:pPr>
    <w:rPr>
      <w:rFonts w:ascii="宋体" w:hAnsi="宋体"/>
      <w:sz w:val="24"/>
    </w:rPr>
  </w:style>
  <w:style w:type="paragraph" w:customStyle="1" w:styleId="221">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222">
    <w:name w:val="TOC 标题1"/>
    <w:basedOn w:val="2"/>
    <w:next w:val="1"/>
    <w:unhideWhenUsed/>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223">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224">
    <w:name w:val="正文 首行缩进:  2 字符 Char"/>
    <w:basedOn w:val="1"/>
    <w:qFormat/>
    <w:uiPriority w:val="0"/>
    <w:pPr>
      <w:adjustRightInd/>
      <w:spacing w:line="360" w:lineRule="auto"/>
      <w:ind w:firstLine="480"/>
    </w:pPr>
    <w:rPr>
      <w:rFonts w:cs="宋体"/>
      <w:sz w:val="24"/>
      <w:szCs w:val="20"/>
    </w:rPr>
  </w:style>
  <w:style w:type="paragraph" w:customStyle="1" w:styleId="225">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226">
    <w:name w:val="Table Text"/>
    <w:basedOn w:val="1"/>
    <w:qFormat/>
    <w:uiPriority w:val="0"/>
    <w:pPr>
      <w:widowControl/>
      <w:spacing w:before="60" w:after="60"/>
      <w:jc w:val="left"/>
    </w:pPr>
    <w:rPr>
      <w:kern w:val="0"/>
      <w:sz w:val="24"/>
    </w:rPr>
  </w:style>
  <w:style w:type="paragraph" w:customStyle="1" w:styleId="227">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228">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29">
    <w:name w:val="Char Char Char Char Char Char Char Char Char Char"/>
    <w:basedOn w:val="1"/>
    <w:qFormat/>
    <w:uiPriority w:val="0"/>
    <w:rPr>
      <w:rFonts w:ascii="仿宋_GB2312" w:eastAsia="仿宋_GB2312"/>
      <w:b/>
      <w:sz w:val="32"/>
      <w:szCs w:val="32"/>
    </w:rPr>
  </w:style>
  <w:style w:type="paragraph" w:customStyle="1" w:styleId="230">
    <w:name w:val="MM Title"/>
    <w:basedOn w:val="56"/>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231">
    <w:name w:val="正文文字表格居中"/>
    <w:basedOn w:val="1"/>
    <w:next w:val="53"/>
    <w:qFormat/>
    <w:uiPriority w:val="0"/>
    <w:pPr>
      <w:snapToGrid w:val="0"/>
      <w:spacing w:line="360" w:lineRule="auto"/>
    </w:pPr>
    <w:rPr>
      <w:rFonts w:ascii="宋体"/>
      <w:b/>
      <w:sz w:val="24"/>
      <w:szCs w:val="20"/>
    </w:rPr>
  </w:style>
  <w:style w:type="paragraph" w:customStyle="1" w:styleId="232">
    <w:name w:val="模板普通正文"/>
    <w:basedOn w:val="24"/>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233">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234">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235">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36">
    <w:name w:val="Char"/>
    <w:basedOn w:val="1"/>
    <w:qFormat/>
    <w:uiPriority w:val="0"/>
    <w:rPr>
      <w:rFonts w:ascii="仿宋_GB2312" w:eastAsia="仿宋_GB2312"/>
      <w:b/>
      <w:sz w:val="32"/>
      <w:szCs w:val="32"/>
    </w:rPr>
  </w:style>
  <w:style w:type="paragraph" w:customStyle="1" w:styleId="237">
    <w:name w:val="冯广丽"/>
    <w:basedOn w:val="1"/>
    <w:link w:val="474"/>
    <w:qFormat/>
    <w:uiPriority w:val="0"/>
    <w:pPr>
      <w:adjustRightInd/>
      <w:spacing w:line="360" w:lineRule="auto"/>
      <w:ind w:firstLine="480" w:firstLineChars="200"/>
    </w:pPr>
    <w:rPr>
      <w:rFonts w:ascii="宋体" w:hAnsi="宋体"/>
      <w:sz w:val="24"/>
      <w:szCs w:val="22"/>
    </w:rPr>
  </w:style>
  <w:style w:type="paragraph" w:customStyle="1" w:styleId="238">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239">
    <w:name w:val="Char31"/>
    <w:basedOn w:val="1"/>
    <w:qFormat/>
    <w:uiPriority w:val="0"/>
    <w:pPr>
      <w:adjustRightInd/>
      <w:ind w:firstLine="200" w:firstLineChars="200"/>
    </w:pPr>
    <w:rPr>
      <w:rFonts w:ascii="Tahoma" w:hAnsi="Tahoma"/>
      <w:sz w:val="24"/>
      <w:szCs w:val="20"/>
    </w:rPr>
  </w:style>
  <w:style w:type="paragraph" w:customStyle="1" w:styleId="240">
    <w:name w:val="Char Char11 Char Char Char1"/>
    <w:basedOn w:val="1"/>
    <w:qFormat/>
    <w:uiPriority w:val="0"/>
    <w:pPr>
      <w:spacing w:line="360" w:lineRule="auto"/>
    </w:pPr>
    <w:rPr>
      <w:szCs w:val="20"/>
    </w:rPr>
  </w:style>
  <w:style w:type="paragraph" w:customStyle="1" w:styleId="241">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242">
    <w:name w:val="_Style 236"/>
    <w:qFormat/>
    <w:uiPriority w:val="0"/>
    <w:rPr>
      <w:rFonts w:ascii="Times New Roman" w:hAnsi="Times New Roman" w:eastAsia="宋体" w:cs="Times New Roman"/>
      <w:kern w:val="2"/>
      <w:sz w:val="21"/>
      <w:lang w:val="en-US" w:eastAsia="zh-CN" w:bidi="ar-SA"/>
    </w:rPr>
  </w:style>
  <w:style w:type="paragraph" w:customStyle="1" w:styleId="243">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244">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45">
    <w:name w:val="正文文字缩进项目"/>
    <w:basedOn w:val="24"/>
    <w:qFormat/>
    <w:uiPriority w:val="0"/>
    <w:pPr>
      <w:tabs>
        <w:tab w:val="left" w:pos="840"/>
      </w:tabs>
      <w:adjustRightInd/>
      <w:spacing w:after="120" w:line="240" w:lineRule="auto"/>
      <w:ind w:firstLine="0" w:firstLineChars="0"/>
    </w:pPr>
    <w:rPr>
      <w:rFonts w:ascii="Tahoma" w:hAnsi="Tahoma"/>
      <w:sz w:val="22"/>
      <w:szCs w:val="20"/>
    </w:rPr>
  </w:style>
  <w:style w:type="paragraph" w:customStyle="1" w:styleId="246">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247">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248">
    <w:name w:val="文章标题"/>
    <w:next w:val="184"/>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249">
    <w:name w:val="4"/>
    <w:basedOn w:val="1"/>
    <w:next w:val="36"/>
    <w:qFormat/>
    <w:uiPriority w:val="0"/>
    <w:pPr>
      <w:spacing w:after="120" w:line="480" w:lineRule="auto"/>
      <w:ind w:left="420" w:leftChars="200"/>
    </w:pPr>
    <w:rPr>
      <w:sz w:val="24"/>
      <w:szCs w:val="20"/>
    </w:rPr>
  </w:style>
  <w:style w:type="paragraph" w:customStyle="1" w:styleId="250">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251">
    <w:name w:val="Char Char Char Char Char Char Char Char Char Char Char1 Char"/>
    <w:basedOn w:val="1"/>
    <w:qFormat/>
    <w:uiPriority w:val="0"/>
    <w:pPr>
      <w:adjustRightInd/>
    </w:pPr>
    <w:rPr>
      <w:rFonts w:ascii="Tahoma" w:hAnsi="Tahoma"/>
      <w:sz w:val="24"/>
    </w:rPr>
  </w:style>
  <w:style w:type="paragraph" w:customStyle="1" w:styleId="252">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253">
    <w:name w:val="标书表格字体格式"/>
    <w:next w:val="157"/>
    <w:qFormat/>
    <w:uiPriority w:val="0"/>
    <w:rPr>
      <w:rFonts w:ascii="Times New Roman" w:hAnsi="Times New Roman" w:eastAsia="宋体" w:cs="Times New Roman"/>
      <w:kern w:val="2"/>
      <w:sz w:val="21"/>
      <w:szCs w:val="24"/>
      <w:lang w:val="en-US" w:eastAsia="zh-CN" w:bidi="ar-SA"/>
    </w:rPr>
  </w:style>
  <w:style w:type="paragraph" w:customStyle="1" w:styleId="254">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255">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256">
    <w:name w:val="正文1"/>
    <w:basedOn w:val="31"/>
    <w:qFormat/>
    <w:uiPriority w:val="0"/>
    <w:pPr>
      <w:ind w:left="0" w:leftChars="0" w:firstLine="480" w:firstLineChars="200"/>
    </w:pPr>
    <w:rPr>
      <w:rFonts w:ascii="仿宋_GB2312" w:hAnsi="Courier New" w:eastAsia="仿宋_GB2312"/>
      <w:kern w:val="28"/>
      <w:sz w:val="24"/>
    </w:rPr>
  </w:style>
  <w:style w:type="paragraph" w:customStyle="1" w:styleId="257">
    <w:name w:val="带编号样式"/>
    <w:basedOn w:val="90"/>
    <w:qFormat/>
    <w:uiPriority w:val="0"/>
    <w:pPr>
      <w:tabs>
        <w:tab w:val="left" w:pos="840"/>
      </w:tabs>
      <w:snapToGrid w:val="0"/>
      <w:ind w:left="840" w:firstLine="0" w:firstLineChars="0"/>
    </w:pPr>
    <w:rPr>
      <w:rFonts w:ascii="仿宋_GB2312" w:eastAsia="仿宋_GB2312"/>
      <w:color w:val="000000"/>
    </w:rPr>
  </w:style>
  <w:style w:type="paragraph" w:customStyle="1" w:styleId="258">
    <w:name w:val="正文文字 2"/>
    <w:basedOn w:val="73"/>
    <w:next w:val="73"/>
    <w:qFormat/>
    <w:uiPriority w:val="0"/>
    <w:rPr>
      <w:rFonts w:ascii="宋体" w:eastAsia="宋体" w:cs="Times New Roman"/>
      <w:color w:val="auto"/>
    </w:rPr>
  </w:style>
  <w:style w:type="paragraph" w:customStyle="1" w:styleId="259">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260">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261">
    <w:name w:val="Char5"/>
    <w:basedOn w:val="1"/>
    <w:qFormat/>
    <w:uiPriority w:val="0"/>
    <w:rPr>
      <w:rFonts w:ascii="仿宋_GB2312" w:eastAsia="仿宋_GB2312"/>
      <w:b/>
      <w:sz w:val="32"/>
      <w:szCs w:val="32"/>
    </w:rPr>
  </w:style>
  <w:style w:type="paragraph" w:customStyle="1" w:styleId="262">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63">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64">
    <w:name w:val="Item List"/>
    <w:link w:val="479"/>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265">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266">
    <w:name w:val="样式 正文文本缩进 2 + 仿宋_GB2312 黑色 行距: 1.5 倍行距"/>
    <w:basedOn w:val="36"/>
    <w:qFormat/>
    <w:uiPriority w:val="0"/>
    <w:pPr>
      <w:adjustRightInd/>
      <w:ind w:firstLine="560" w:firstLineChars="200"/>
      <w:textAlignment w:val="auto"/>
    </w:pPr>
    <w:rPr>
      <w:rFonts w:hAnsi="宋体" w:cs="宋体"/>
      <w:color w:val="000000"/>
      <w:kern w:val="2"/>
      <w:sz w:val="24"/>
    </w:rPr>
  </w:style>
  <w:style w:type="paragraph" w:customStyle="1" w:styleId="267">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268">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269">
    <w:name w:val="Char Char1 Char Char Char Char Char Char1"/>
    <w:basedOn w:val="1"/>
    <w:qFormat/>
    <w:uiPriority w:val="0"/>
    <w:rPr>
      <w:rFonts w:ascii="仿宋_GB2312" w:eastAsia="仿宋_GB2312"/>
      <w:b/>
      <w:sz w:val="32"/>
      <w:szCs w:val="20"/>
    </w:rPr>
  </w:style>
  <w:style w:type="paragraph" w:customStyle="1" w:styleId="270">
    <w:name w:val="Char Char Char Char Char Char Char Char Char Char Char Char1 Char"/>
    <w:basedOn w:val="1"/>
    <w:qFormat/>
    <w:uiPriority w:val="0"/>
    <w:rPr>
      <w:rFonts w:ascii="Tahoma" w:hAnsi="Tahoma" w:cs="仿宋_GB2312"/>
      <w:sz w:val="24"/>
      <w:szCs w:val="20"/>
    </w:rPr>
  </w:style>
  <w:style w:type="paragraph" w:customStyle="1" w:styleId="271">
    <w:name w:val="表格项目符号 2"/>
    <w:basedOn w:val="28"/>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272">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273">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274">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275">
    <w:name w:val="样式 正文文本缩进 + 段前: 2 字符"/>
    <w:basedOn w:val="1"/>
    <w:qFormat/>
    <w:uiPriority w:val="0"/>
    <w:pPr>
      <w:adjustRightInd/>
      <w:ind w:left="420" w:leftChars="200"/>
      <w:jc w:val="left"/>
    </w:pPr>
    <w:rPr>
      <w:sz w:val="28"/>
      <w:szCs w:val="20"/>
      <w:lang w:eastAsia="zh-TW"/>
    </w:rPr>
  </w:style>
  <w:style w:type="paragraph" w:customStyle="1" w:styleId="276">
    <w:name w:val="Char1 Char Char Char3"/>
    <w:basedOn w:val="1"/>
    <w:qFormat/>
    <w:uiPriority w:val="0"/>
    <w:pPr>
      <w:adjustRightInd/>
      <w:ind w:firstLine="200" w:firstLineChars="200"/>
    </w:pPr>
    <w:rPr>
      <w:rFonts w:ascii="Tahoma" w:hAnsi="Tahoma"/>
      <w:sz w:val="24"/>
      <w:szCs w:val="20"/>
    </w:rPr>
  </w:style>
  <w:style w:type="paragraph" w:customStyle="1" w:styleId="277">
    <w:name w:val="_Style 271"/>
    <w:basedOn w:val="2"/>
    <w:next w:val="1"/>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278">
    <w:name w:val="Char Char Char Char Char Char Char Char Char Char Char Char1 Char1"/>
    <w:basedOn w:val="1"/>
    <w:qFormat/>
    <w:uiPriority w:val="0"/>
    <w:rPr>
      <w:rFonts w:ascii="Tahoma" w:hAnsi="Tahoma" w:cs="仿宋_GB2312"/>
      <w:sz w:val="24"/>
      <w:szCs w:val="20"/>
    </w:rPr>
  </w:style>
  <w:style w:type="paragraph" w:customStyle="1" w:styleId="279">
    <w:name w:val="Char Char1 Char1"/>
    <w:basedOn w:val="1"/>
    <w:qFormat/>
    <w:uiPriority w:val="0"/>
    <w:rPr>
      <w:rFonts w:ascii="仿宋_GB2312" w:eastAsia="仿宋_GB2312"/>
      <w:b/>
      <w:sz w:val="32"/>
      <w:szCs w:val="32"/>
    </w:rPr>
  </w:style>
  <w:style w:type="paragraph" w:customStyle="1" w:styleId="280">
    <w:name w:val="List Paragraph11"/>
    <w:basedOn w:val="1"/>
    <w:qFormat/>
    <w:uiPriority w:val="0"/>
    <w:pPr>
      <w:adjustRightInd/>
      <w:spacing w:line="360" w:lineRule="auto"/>
      <w:ind w:firstLine="420" w:firstLineChars="200"/>
    </w:pPr>
    <w:rPr>
      <w:rFonts w:ascii="Calibri" w:hAnsi="Calibri"/>
      <w:sz w:val="24"/>
      <w:szCs w:val="22"/>
    </w:rPr>
  </w:style>
  <w:style w:type="paragraph" w:customStyle="1" w:styleId="281">
    <w:name w:val="插图题注"/>
    <w:next w:val="1"/>
    <w:qFormat/>
    <w:uiPriority w:val="0"/>
    <w:pPr>
      <w:numPr>
        <w:ilvl w:val="7"/>
        <w:numId w:val="4"/>
      </w:numPr>
      <w:spacing w:after="312" w:afterLines="100"/>
      <w:ind w:left="1089" w:hanging="369"/>
      <w:jc w:val="center"/>
    </w:pPr>
    <w:rPr>
      <w:rFonts w:ascii="Arial" w:hAnsi="Arial" w:eastAsia="宋体" w:cs="Times New Roman"/>
      <w:sz w:val="18"/>
      <w:szCs w:val="18"/>
      <w:lang w:val="en-US" w:eastAsia="zh-CN" w:bidi="ar-SA"/>
    </w:rPr>
  </w:style>
  <w:style w:type="paragraph" w:customStyle="1" w:styleId="282">
    <w:name w:val="Bulleting First Indent 1"/>
    <w:basedOn w:val="58"/>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283">
    <w:name w:val="Char Char1"/>
    <w:basedOn w:val="1"/>
    <w:qFormat/>
    <w:uiPriority w:val="0"/>
    <w:pPr>
      <w:widowControl/>
      <w:spacing w:after="160" w:line="240" w:lineRule="exact"/>
      <w:jc w:val="left"/>
    </w:pPr>
    <w:rPr>
      <w:rFonts w:eastAsia="仿宋_GB2312"/>
      <w:sz w:val="28"/>
    </w:rPr>
  </w:style>
  <w:style w:type="paragraph" w:customStyle="1" w:styleId="284">
    <w:name w:val="单元格居中"/>
    <w:basedOn w:val="1"/>
    <w:qFormat/>
    <w:uiPriority w:val="0"/>
    <w:pPr>
      <w:adjustRightInd/>
      <w:spacing w:line="360" w:lineRule="auto"/>
      <w:jc w:val="center"/>
    </w:pPr>
    <w:rPr>
      <w:sz w:val="24"/>
    </w:rPr>
  </w:style>
  <w:style w:type="paragraph" w:customStyle="1" w:styleId="285">
    <w:name w:val="正文缩进1"/>
    <w:basedOn w:val="1"/>
    <w:next w:val="24"/>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286">
    <w:name w:val="样式 标题 1Level 1 HeadPIM 1Section Headh1l11Heading 0Datash..."/>
    <w:basedOn w:val="2"/>
    <w:qFormat/>
    <w:uiPriority w:val="0"/>
    <w:pPr>
      <w:keepNext w:val="0"/>
      <w:keepLines w:val="0"/>
      <w:widowControl/>
      <w:numPr>
        <w:numId w:val="0"/>
      </w:numPr>
      <w:overflowPunct w:val="0"/>
      <w:autoSpaceDE w:val="0"/>
      <w:autoSpaceDN w:val="0"/>
      <w:spacing w:before="0" w:after="100" w:line="360" w:lineRule="auto"/>
      <w:jc w:val="left"/>
      <w:textAlignment w:val="baseline"/>
    </w:pPr>
    <w:rPr>
      <w:rFonts w:ascii="宋体" w:hAnsi="宋体"/>
      <w:kern w:val="2"/>
      <w:sz w:val="24"/>
      <w:szCs w:val="20"/>
    </w:rPr>
  </w:style>
  <w:style w:type="paragraph" w:customStyle="1" w:styleId="287">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288">
    <w:name w:val="Char Char Char 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289">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290">
    <w:name w:val="MM Empty"/>
    <w:basedOn w:val="1"/>
    <w:qFormat/>
    <w:uiPriority w:val="0"/>
    <w:pPr>
      <w:adjustRightInd/>
    </w:pPr>
  </w:style>
  <w:style w:type="paragraph" w:customStyle="1" w:styleId="291">
    <w:name w:val="文档正文"/>
    <w:basedOn w:val="1"/>
    <w:qFormat/>
    <w:uiPriority w:val="0"/>
    <w:pPr>
      <w:spacing w:line="480" w:lineRule="atLeast"/>
      <w:ind w:firstLine="567"/>
      <w:textAlignment w:val="baseline"/>
    </w:pPr>
    <w:rPr>
      <w:kern w:val="0"/>
      <w:sz w:val="24"/>
      <w:szCs w:val="20"/>
    </w:rPr>
  </w:style>
  <w:style w:type="paragraph" w:customStyle="1" w:styleId="292">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93">
    <w:name w:val="Char Char1 Char Char1 Char Char1"/>
    <w:basedOn w:val="1"/>
    <w:qFormat/>
    <w:uiPriority w:val="0"/>
    <w:pPr>
      <w:tabs>
        <w:tab w:val="left" w:pos="840"/>
      </w:tabs>
      <w:ind w:left="840" w:hanging="420"/>
    </w:pPr>
    <w:rPr>
      <w:rFonts w:ascii="Tahoma" w:hAnsi="Tahoma"/>
      <w:sz w:val="24"/>
    </w:rPr>
  </w:style>
  <w:style w:type="paragraph" w:customStyle="1" w:styleId="294">
    <w:name w:val="样式 标题 2H2h2Underrubrik1prop2l2Chapter Titlesect 1.2DO NO..."/>
    <w:basedOn w:val="3"/>
    <w:qFormat/>
    <w:uiPriority w:val="0"/>
    <w:pPr>
      <w:numPr>
        <w:numId w:val="0"/>
      </w:numPr>
      <w:spacing w:before="120" w:after="120"/>
      <w:ind w:left="425" w:hanging="425"/>
    </w:pPr>
    <w:rPr>
      <w:rFonts w:ascii="微软雅黑" w:hAnsi="微软雅黑" w:eastAsia="微软雅黑" w:cs="宋体"/>
      <w:szCs w:val="20"/>
      <w:lang w:val="en-US"/>
    </w:rPr>
  </w:style>
  <w:style w:type="paragraph" w:customStyle="1" w:styleId="295">
    <w:name w:val="Char Char Char Char Char Char Char Char Char Char1"/>
    <w:basedOn w:val="1"/>
    <w:qFormat/>
    <w:uiPriority w:val="0"/>
    <w:rPr>
      <w:rFonts w:ascii="仿宋_GB2312" w:eastAsia="仿宋_GB2312"/>
      <w:b/>
      <w:sz w:val="32"/>
      <w:szCs w:val="32"/>
    </w:rPr>
  </w:style>
  <w:style w:type="paragraph" w:customStyle="1" w:styleId="296">
    <w:name w:val="gf正文1"/>
    <w:basedOn w:val="1"/>
    <w:qFormat/>
    <w:uiPriority w:val="0"/>
    <w:pPr>
      <w:tabs>
        <w:tab w:val="left" w:pos="3240"/>
        <w:tab w:val="left" w:pos="3960"/>
      </w:tabs>
      <w:snapToGrid w:val="0"/>
      <w:spacing w:line="360" w:lineRule="auto"/>
      <w:ind w:firstLine="480" w:firstLineChars="200"/>
    </w:pPr>
    <w:rPr>
      <w:rFonts w:ascii="宋体" w:hAnsi="宋体" w:cs="宋体"/>
      <w:sz w:val="24"/>
    </w:rPr>
  </w:style>
  <w:style w:type="paragraph" w:customStyle="1" w:styleId="297">
    <w:name w:val="默认段落字体 Para Char Char Char1 Char"/>
    <w:basedOn w:val="1"/>
    <w:qFormat/>
    <w:uiPriority w:val="0"/>
    <w:pPr>
      <w:spacing w:line="240" w:lineRule="atLeast"/>
      <w:ind w:left="420" w:firstLine="420"/>
    </w:pPr>
    <w:rPr>
      <w:sz w:val="24"/>
    </w:rPr>
  </w:style>
  <w:style w:type="paragraph" w:styleId="298">
    <w:name w:val="No Spacing"/>
    <w:qFormat/>
    <w:uiPriority w:val="0"/>
    <w:pPr>
      <w:widowControl w:val="0"/>
      <w:jc w:val="both"/>
    </w:pPr>
    <w:rPr>
      <w:rFonts w:ascii="Calibri" w:hAnsi="Calibri" w:eastAsia="宋体" w:cs="Times New Roman"/>
      <w:kern w:val="2"/>
      <w:sz w:val="21"/>
      <w:szCs w:val="22"/>
      <w:lang w:val="en-US" w:eastAsia="zh-CN" w:bidi="ar-SA"/>
    </w:rPr>
  </w:style>
  <w:style w:type="paragraph" w:customStyle="1" w:styleId="299">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300">
    <w:name w:val="Char1 Char Char Char5"/>
    <w:basedOn w:val="1"/>
    <w:qFormat/>
    <w:uiPriority w:val="0"/>
    <w:pPr>
      <w:adjustRightInd/>
      <w:ind w:firstLine="200" w:firstLineChars="200"/>
    </w:pPr>
    <w:rPr>
      <w:rFonts w:ascii="Tahoma" w:hAnsi="Tahoma"/>
      <w:sz w:val="24"/>
      <w:szCs w:val="20"/>
    </w:rPr>
  </w:style>
  <w:style w:type="paragraph" w:customStyle="1" w:styleId="301">
    <w:name w:val="Char Char Char Char Char Char Char1"/>
    <w:basedOn w:val="1"/>
    <w:qFormat/>
    <w:uiPriority w:val="0"/>
    <w:rPr>
      <w:rFonts w:ascii="仿宋_GB2312" w:eastAsia="仿宋_GB2312"/>
      <w:b/>
      <w:sz w:val="32"/>
      <w:szCs w:val="32"/>
    </w:rPr>
  </w:style>
  <w:style w:type="paragraph" w:customStyle="1" w:styleId="302">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303">
    <w:name w:val="正文表标题"/>
    <w:next w:val="141"/>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04">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305">
    <w:name w:val="四号　首行缩进"/>
    <w:basedOn w:val="1"/>
    <w:qFormat/>
    <w:uiPriority w:val="0"/>
    <w:pPr>
      <w:adjustRightInd/>
      <w:spacing w:line="360" w:lineRule="auto"/>
    </w:pPr>
    <w:rPr>
      <w:rFonts w:ascii="宋体" w:hAnsi="宋体"/>
      <w:szCs w:val="20"/>
    </w:rPr>
  </w:style>
  <w:style w:type="paragraph" w:customStyle="1" w:styleId="306">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307">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08">
    <w:name w:val="首行缩进"/>
    <w:basedOn w:val="1"/>
    <w:qFormat/>
    <w:uiPriority w:val="0"/>
    <w:pPr>
      <w:spacing w:line="360" w:lineRule="auto"/>
      <w:ind w:firstLine="480" w:firstLineChars="200"/>
    </w:pPr>
    <w:rPr>
      <w:rFonts w:ascii="宋体"/>
      <w:sz w:val="24"/>
      <w:szCs w:val="20"/>
    </w:rPr>
  </w:style>
  <w:style w:type="paragraph" w:customStyle="1" w:styleId="309">
    <w:name w:val="Char1 Char Char Char1"/>
    <w:basedOn w:val="1"/>
    <w:qFormat/>
    <w:uiPriority w:val="0"/>
    <w:pPr>
      <w:adjustRightInd/>
      <w:ind w:firstLine="200" w:firstLineChars="200"/>
    </w:pPr>
    <w:rPr>
      <w:rFonts w:ascii="Tahoma" w:hAnsi="Tahoma"/>
      <w:sz w:val="24"/>
      <w:szCs w:val="20"/>
    </w:rPr>
  </w:style>
  <w:style w:type="paragraph" w:customStyle="1" w:styleId="310">
    <w:name w:val="MM Topic 2"/>
    <w:basedOn w:val="3"/>
    <w:qFormat/>
    <w:uiPriority w:val="0"/>
    <w:pPr>
      <w:numPr>
        <w:numId w:val="0"/>
      </w:numPr>
      <w:tabs>
        <w:tab w:val="left" w:pos="860"/>
        <w:tab w:val="left" w:pos="1260"/>
        <w:tab w:val="clear" w:pos="432"/>
      </w:tabs>
      <w:ind w:left="1260" w:hanging="420"/>
    </w:pPr>
    <w:rPr>
      <w:rFonts w:ascii="Arial" w:hAnsi="Arial" w:eastAsia="黑体"/>
      <w:lang w:val="en-US"/>
    </w:rPr>
  </w:style>
  <w:style w:type="paragraph" w:customStyle="1" w:styleId="311">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312">
    <w:name w:val="样式 样式2 + 左侧:  1 字符 右侧:  1 字符"/>
    <w:basedOn w:val="78"/>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13">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314">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315">
    <w:name w:val="哈哈正文"/>
    <w:basedOn w:val="1"/>
    <w:link w:val="499"/>
    <w:qFormat/>
    <w:uiPriority w:val="0"/>
    <w:pPr>
      <w:adjustRightInd/>
      <w:spacing w:line="360" w:lineRule="auto"/>
      <w:ind w:firstLine="200" w:firstLineChars="200"/>
    </w:pPr>
    <w:rPr>
      <w:rFonts w:ascii="宋体" w:hAnsi="宋体"/>
      <w:sz w:val="24"/>
      <w:szCs w:val="20"/>
    </w:rPr>
  </w:style>
  <w:style w:type="paragraph" w:customStyle="1" w:styleId="316">
    <w:name w:val="List Paragraph1"/>
    <w:basedOn w:val="1"/>
    <w:qFormat/>
    <w:uiPriority w:val="34"/>
    <w:pPr>
      <w:spacing w:line="360" w:lineRule="auto"/>
      <w:ind w:firstLine="200" w:firstLineChars="200"/>
    </w:pPr>
    <w:rPr>
      <w:rFonts w:eastAsia="楷体_GB2312" w:cs="Lucida Sans"/>
      <w:sz w:val="24"/>
    </w:rPr>
  </w:style>
  <w:style w:type="paragraph" w:customStyle="1" w:styleId="317">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318">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319">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320">
    <w:name w:val="Char Char11 Char Char Char Char Char Char Char Char Char1"/>
    <w:basedOn w:val="1"/>
    <w:qFormat/>
    <w:uiPriority w:val="0"/>
    <w:pPr>
      <w:spacing w:line="360" w:lineRule="auto"/>
    </w:pPr>
    <w:rPr>
      <w:szCs w:val="20"/>
    </w:rPr>
  </w:style>
  <w:style w:type="paragraph" w:customStyle="1" w:styleId="321">
    <w:name w:val="Char Char11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22">
    <w:name w:val="正文 项目2"/>
    <w:basedOn w:val="323"/>
    <w:qFormat/>
    <w:uiPriority w:val="0"/>
    <w:pPr>
      <w:numPr>
        <w:ilvl w:val="0"/>
        <w:numId w:val="6"/>
      </w:numPr>
      <w:tabs>
        <w:tab w:val="left" w:pos="840"/>
      </w:tabs>
      <w:spacing w:after="0"/>
    </w:pPr>
  </w:style>
  <w:style w:type="paragraph" w:customStyle="1" w:styleId="323">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24">
    <w:name w:val="Char Char Char1 Char1"/>
    <w:basedOn w:val="1"/>
    <w:qFormat/>
    <w:uiPriority w:val="0"/>
    <w:rPr>
      <w:szCs w:val="20"/>
    </w:rPr>
  </w:style>
  <w:style w:type="paragraph" w:customStyle="1" w:styleId="325">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326">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327">
    <w:name w:val="封面"/>
    <w:basedOn w:val="1"/>
    <w:qFormat/>
    <w:uiPriority w:val="0"/>
    <w:pPr>
      <w:spacing w:line="360" w:lineRule="atLeast"/>
      <w:jc w:val="right"/>
      <w:textAlignment w:val="baseline"/>
    </w:pPr>
    <w:rPr>
      <w:rFonts w:ascii="Symbol" w:hAnsi="Symbol"/>
      <w:kern w:val="0"/>
      <w:szCs w:val="20"/>
    </w:rPr>
  </w:style>
  <w:style w:type="paragraph" w:customStyle="1" w:styleId="328">
    <w:name w:val="正文（缩进2汉字）"/>
    <w:basedOn w:val="1"/>
    <w:link w:val="588"/>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329">
    <w:name w:val="数字标题3"/>
    <w:basedOn w:val="4"/>
    <w:next w:val="1"/>
    <w:qFormat/>
    <w:uiPriority w:val="0"/>
    <w:pPr>
      <w:numPr>
        <w:numId w:val="0"/>
      </w:numPr>
      <w:spacing w:line="240" w:lineRule="auto"/>
    </w:pPr>
    <w:rPr>
      <w:sz w:val="28"/>
      <w:szCs w:val="28"/>
    </w:rPr>
  </w:style>
  <w:style w:type="paragraph" w:customStyle="1" w:styleId="330">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31">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332">
    <w:name w:val="正文（首行缩进2字符）"/>
    <w:basedOn w:val="1"/>
    <w:qFormat/>
    <w:uiPriority w:val="0"/>
    <w:pPr>
      <w:adjustRightInd/>
      <w:spacing w:line="360" w:lineRule="auto"/>
      <w:ind w:firstLine="480" w:firstLineChars="200"/>
    </w:pPr>
    <w:rPr>
      <w:sz w:val="24"/>
      <w:szCs w:val="20"/>
    </w:rPr>
  </w:style>
  <w:style w:type="paragraph" w:customStyle="1" w:styleId="333">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334">
    <w:name w:val="正文段"/>
    <w:basedOn w:val="1"/>
    <w:qFormat/>
    <w:uiPriority w:val="0"/>
    <w:pPr>
      <w:widowControl/>
      <w:snapToGrid w:val="0"/>
      <w:spacing w:after="156" w:afterLines="50"/>
      <w:ind w:firstLine="200" w:firstLineChars="200"/>
    </w:pPr>
    <w:rPr>
      <w:kern w:val="0"/>
      <w:sz w:val="24"/>
      <w:szCs w:val="20"/>
    </w:rPr>
  </w:style>
  <w:style w:type="paragraph" w:customStyle="1" w:styleId="335">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336">
    <w:name w:val="数字标题2"/>
    <w:basedOn w:val="3"/>
    <w:next w:val="1"/>
    <w:qFormat/>
    <w:uiPriority w:val="0"/>
    <w:pPr>
      <w:numPr>
        <w:ilvl w:val="1"/>
        <w:numId w:val="5"/>
      </w:numPr>
      <w:tabs>
        <w:tab w:val="clear" w:pos="432"/>
      </w:tabs>
    </w:pPr>
    <w:rPr>
      <w:rFonts w:ascii="Times New Roman" w:eastAsia="宋体"/>
      <w:i/>
      <w:sz w:val="36"/>
      <w:szCs w:val="36"/>
      <w:lang w:val="en-US"/>
    </w:rPr>
  </w:style>
  <w:style w:type="paragraph" w:customStyle="1" w:styleId="337">
    <w:name w:val="彩色列表 - 强调文字颜色 11"/>
    <w:basedOn w:val="1"/>
    <w:qFormat/>
    <w:uiPriority w:val="0"/>
    <w:pPr>
      <w:adjustRightInd/>
      <w:ind w:firstLine="420" w:firstLineChars="200"/>
    </w:pPr>
    <w:rPr>
      <w:rFonts w:ascii="Calibri" w:hAnsi="Calibri"/>
      <w:szCs w:val="22"/>
    </w:rPr>
  </w:style>
  <w:style w:type="paragraph" w:customStyle="1" w:styleId="338">
    <w:name w:val="数字标题4"/>
    <w:basedOn w:val="6"/>
    <w:qFormat/>
    <w:uiPriority w:val="0"/>
    <w:pPr>
      <w:numPr>
        <w:numId w:val="0"/>
      </w:num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339">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340">
    <w:name w:val="样式1 + (中宋体"/>
    <w:basedOn w:val="162"/>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341">
    <w:name w:val="仿宋正文"/>
    <w:basedOn w:val="1"/>
    <w:link w:val="464"/>
    <w:qFormat/>
    <w:uiPriority w:val="0"/>
    <w:pPr>
      <w:adjustRightInd/>
      <w:spacing w:line="360" w:lineRule="auto"/>
      <w:ind w:firstLine="480" w:firstLineChars="200"/>
    </w:pPr>
    <w:rPr>
      <w:rFonts w:ascii="仿宋_GB2312" w:eastAsia="仿宋_GB2312"/>
      <w:sz w:val="24"/>
      <w:szCs w:val="20"/>
    </w:rPr>
  </w:style>
  <w:style w:type="paragraph" w:customStyle="1" w:styleId="342">
    <w:name w:val="正文（标题三）"/>
    <w:basedOn w:val="1"/>
    <w:qFormat/>
    <w:uiPriority w:val="0"/>
    <w:pPr>
      <w:spacing w:line="360" w:lineRule="auto"/>
      <w:ind w:firstLine="200" w:firstLineChars="200"/>
    </w:pPr>
    <w:rPr>
      <w:sz w:val="24"/>
    </w:rPr>
  </w:style>
  <w:style w:type="paragraph" w:customStyle="1" w:styleId="343">
    <w:name w:val="MM Topic 3"/>
    <w:basedOn w:val="4"/>
    <w:qFormat/>
    <w:uiPriority w:val="0"/>
    <w:pPr>
      <w:numPr>
        <w:numId w:val="4"/>
      </w:numPr>
      <w:tabs>
        <w:tab w:val="left" w:pos="840"/>
        <w:tab w:val="left" w:pos="1680"/>
        <w:tab w:val="clear" w:pos="900"/>
      </w:tabs>
      <w:adjustRightInd/>
    </w:pPr>
  </w:style>
  <w:style w:type="paragraph" w:customStyle="1" w:styleId="344">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345">
    <w:name w:val="图中文字"/>
    <w:basedOn w:val="1"/>
    <w:qFormat/>
    <w:uiPriority w:val="0"/>
    <w:pPr>
      <w:snapToGrid w:val="0"/>
      <w:spacing w:line="0" w:lineRule="atLeast"/>
      <w:ind w:firstLine="200" w:firstLineChars="200"/>
      <w:jc w:val="center"/>
    </w:pPr>
    <w:rPr>
      <w:sz w:val="24"/>
      <w:szCs w:val="20"/>
    </w:rPr>
  </w:style>
  <w:style w:type="paragraph" w:customStyle="1" w:styleId="346">
    <w:name w:val="正文－恩普"/>
    <w:basedOn w:val="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347">
    <w:name w:val="Char21"/>
    <w:basedOn w:val="1"/>
    <w:qFormat/>
    <w:uiPriority w:val="0"/>
    <w:pPr>
      <w:adjustRightInd/>
      <w:ind w:firstLine="200" w:firstLineChars="200"/>
    </w:pPr>
    <w:rPr>
      <w:rFonts w:ascii="仿宋_GB2312" w:eastAsia="仿宋_GB2312"/>
      <w:b/>
      <w:sz w:val="32"/>
      <w:szCs w:val="32"/>
    </w:rPr>
  </w:style>
  <w:style w:type="paragraph" w:customStyle="1" w:styleId="348">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49">
    <w:name w:val="标题4-dyf"/>
    <w:basedOn w:val="6"/>
    <w:link w:val="554"/>
    <w:qFormat/>
    <w:uiPriority w:val="0"/>
    <w:pPr>
      <w:numPr>
        <w:numId w:val="0"/>
      </w:num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350">
    <w:name w:val="Char1 Char Char Char4"/>
    <w:basedOn w:val="1"/>
    <w:qFormat/>
    <w:uiPriority w:val="0"/>
    <w:pPr>
      <w:adjustRightInd/>
      <w:ind w:firstLine="200" w:firstLineChars="200"/>
    </w:pPr>
    <w:rPr>
      <w:rFonts w:ascii="Tahoma" w:hAnsi="Tahoma"/>
      <w:sz w:val="24"/>
      <w:szCs w:val="20"/>
    </w:rPr>
  </w:style>
  <w:style w:type="paragraph" w:customStyle="1" w:styleId="351">
    <w:name w:val="Char Char11 Char Char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352">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353">
    <w:name w:val="Char23"/>
    <w:basedOn w:val="1"/>
    <w:qFormat/>
    <w:uiPriority w:val="0"/>
    <w:rPr>
      <w:rFonts w:ascii="仿宋_GB2312" w:eastAsia="仿宋_GB2312"/>
      <w:b/>
      <w:sz w:val="32"/>
      <w:szCs w:val="32"/>
    </w:rPr>
  </w:style>
  <w:style w:type="paragraph" w:customStyle="1" w:styleId="354">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355">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56">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57">
    <w:name w:val="此正文"/>
    <w:basedOn w:val="1"/>
    <w:link w:val="442"/>
    <w:qFormat/>
    <w:uiPriority w:val="0"/>
    <w:pPr>
      <w:adjustRightInd/>
      <w:spacing w:line="360" w:lineRule="auto"/>
      <w:ind w:firstLine="200" w:firstLineChars="200"/>
    </w:pPr>
    <w:rPr>
      <w:sz w:val="24"/>
    </w:rPr>
  </w:style>
  <w:style w:type="paragraph" w:customStyle="1" w:styleId="358">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359">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360">
    <w:name w:val="Char3 Char Char Char"/>
    <w:basedOn w:val="1"/>
    <w:qFormat/>
    <w:uiPriority w:val="0"/>
    <w:pPr>
      <w:widowControl/>
      <w:adjustRightInd/>
      <w:spacing w:after="160" w:line="240" w:lineRule="exact"/>
      <w:jc w:val="left"/>
    </w:pPr>
    <w:rPr>
      <w:szCs w:val="20"/>
    </w:rPr>
  </w:style>
  <w:style w:type="paragraph" w:customStyle="1" w:styleId="361">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362">
    <w:name w:val="Normal0"/>
    <w:qFormat/>
    <w:uiPriority w:val="0"/>
    <w:rPr>
      <w:rFonts w:ascii="Times New Roman" w:hAnsi="Times New Roman" w:eastAsia="宋体" w:cs="Times New Roman"/>
      <w:lang w:val="en-US" w:eastAsia="en-US" w:bidi="ar-SA"/>
    </w:rPr>
  </w:style>
  <w:style w:type="paragraph" w:customStyle="1" w:styleId="363">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64">
    <w:name w:val="a1"/>
    <w:basedOn w:val="1"/>
    <w:qFormat/>
    <w:uiPriority w:val="0"/>
    <w:pPr>
      <w:widowControl/>
      <w:spacing w:line="300" w:lineRule="atLeast"/>
      <w:jc w:val="left"/>
    </w:pPr>
    <w:rPr>
      <w:rFonts w:ascii="宋体" w:hAnsi="宋体"/>
      <w:kern w:val="0"/>
      <w:sz w:val="18"/>
      <w:szCs w:val="20"/>
    </w:rPr>
  </w:style>
  <w:style w:type="paragraph" w:customStyle="1" w:styleId="365">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366">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367">
    <w:name w:val="正文 A"/>
    <w:qFormat/>
    <w:uiPriority w:val="0"/>
    <w:pPr>
      <w:widowControl w:val="0"/>
      <w:jc w:val="both"/>
    </w:pPr>
    <w:rPr>
      <w:rFonts w:ascii="Calibri" w:hAnsi="Calibri" w:eastAsia="Calibri" w:cs="Calibri"/>
      <w:color w:val="000000"/>
      <w:kern w:val="2"/>
      <w:sz w:val="21"/>
      <w:szCs w:val="21"/>
      <w:u w:color="000000"/>
      <w:lang w:val="en-US" w:eastAsia="zh-CN" w:bidi="ar-SA"/>
    </w:rPr>
  </w:style>
  <w:style w:type="paragraph" w:customStyle="1" w:styleId="368">
    <w:name w:val="Thf"/>
    <w:basedOn w:val="93"/>
    <w:qFormat/>
    <w:uiPriority w:val="0"/>
    <w:pPr>
      <w:ind w:left="0"/>
    </w:pPr>
  </w:style>
  <w:style w:type="paragraph" w:customStyle="1" w:styleId="369">
    <w:name w:val="Char3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70">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371">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372">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373">
    <w:name w:val="_Style 12"/>
    <w:basedOn w:val="18"/>
    <w:qFormat/>
    <w:uiPriority w:val="0"/>
    <w:pPr>
      <w:snapToGrid w:val="0"/>
      <w:spacing w:line="360" w:lineRule="auto"/>
    </w:pPr>
  </w:style>
  <w:style w:type="paragraph" w:customStyle="1" w:styleId="374">
    <w:name w:val="表格题注"/>
    <w:next w:val="1"/>
    <w:qFormat/>
    <w:uiPriority w:val="0"/>
    <w:pPr>
      <w:keepLines/>
      <w:numPr>
        <w:ilvl w:val="8"/>
        <w:numId w:val="4"/>
      </w:numPr>
      <w:spacing w:before="312" w:beforeLines="100"/>
      <w:ind w:left="1089" w:hanging="369"/>
      <w:jc w:val="center"/>
    </w:pPr>
    <w:rPr>
      <w:rFonts w:ascii="Arial" w:hAnsi="Arial" w:eastAsia="宋体" w:cs="Times New Roman"/>
      <w:sz w:val="18"/>
      <w:szCs w:val="18"/>
      <w:lang w:val="en-US" w:eastAsia="zh-CN" w:bidi="ar-SA"/>
    </w:rPr>
  </w:style>
  <w:style w:type="paragraph" w:customStyle="1" w:styleId="375">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376">
    <w:name w:val="标书标题2"/>
    <w:basedOn w:val="3"/>
    <w:qFormat/>
    <w:uiPriority w:val="0"/>
    <w:pPr>
      <w:keepLines w:val="0"/>
      <w:widowControl/>
      <w:numPr>
        <w:numId w:val="0"/>
      </w:numPr>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377">
    <w:name w:val="Char Char"/>
    <w:basedOn w:val="1"/>
    <w:qFormat/>
    <w:uiPriority w:val="0"/>
    <w:pPr>
      <w:spacing w:line="360" w:lineRule="auto"/>
    </w:pPr>
    <w:rPr>
      <w:rFonts w:ascii="Tahoma" w:hAnsi="Tahoma"/>
      <w:sz w:val="24"/>
      <w:szCs w:val="20"/>
    </w:rPr>
  </w:style>
  <w:style w:type="paragraph" w:customStyle="1" w:styleId="378">
    <w:name w:val="列出段落1"/>
    <w:basedOn w:val="1"/>
    <w:qFormat/>
    <w:uiPriority w:val="34"/>
    <w:pPr>
      <w:adjustRightInd/>
      <w:spacing w:line="360" w:lineRule="auto"/>
      <w:ind w:firstLine="420" w:firstLineChars="200"/>
    </w:pPr>
    <w:rPr>
      <w:rFonts w:ascii="Calibri" w:hAnsi="Calibri"/>
      <w:sz w:val="24"/>
      <w:szCs w:val="22"/>
    </w:rPr>
  </w:style>
  <w:style w:type="paragraph" w:customStyle="1" w:styleId="379">
    <w:name w:val="样式 标题 1 + 黑色 段前: 0.5 行 段后: 0.5 行1"/>
    <w:basedOn w:val="2"/>
    <w:qFormat/>
    <w:uiPriority w:val="0"/>
    <w:pPr>
      <w:keepLines w:val="0"/>
      <w:pageBreakBefore/>
      <w:numPr>
        <w:numId w:val="0"/>
      </w:numPr>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380">
    <w:name w:val="彩色列表 - 强调文字颜色 12"/>
    <w:basedOn w:val="1"/>
    <w:qFormat/>
    <w:uiPriority w:val="0"/>
    <w:pPr>
      <w:adjustRightInd/>
      <w:ind w:firstLine="420" w:firstLineChars="200"/>
    </w:pPr>
    <w:rPr>
      <w:rFonts w:ascii="Calibri" w:hAnsi="Calibri"/>
      <w:szCs w:val="22"/>
    </w:rPr>
  </w:style>
  <w:style w:type="paragraph" w:customStyle="1" w:styleId="381">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382">
    <w:name w:val="Char19"/>
    <w:basedOn w:val="1"/>
    <w:qFormat/>
    <w:uiPriority w:val="0"/>
    <w:pPr>
      <w:adjustRightInd/>
    </w:pPr>
    <w:rPr>
      <w:szCs w:val="20"/>
    </w:rPr>
  </w:style>
  <w:style w:type="paragraph" w:customStyle="1" w:styleId="383">
    <w:name w:val="CSS1级正文 Char"/>
    <w:basedOn w:val="22"/>
    <w:qFormat/>
    <w:uiPriority w:val="0"/>
    <w:pPr>
      <w:autoSpaceDE/>
      <w:autoSpaceDN/>
      <w:snapToGrid w:val="0"/>
      <w:ind w:firstLine="480" w:firstLineChars="200"/>
    </w:pPr>
    <w:rPr>
      <w:rFonts w:ascii="Times New Roman"/>
      <w:szCs w:val="24"/>
      <w:lang w:val="en-US"/>
    </w:rPr>
  </w:style>
  <w:style w:type="paragraph" w:customStyle="1" w:styleId="384">
    <w:name w:val="正文（首行缩进）"/>
    <w:basedOn w:val="24"/>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385">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386">
    <w:name w:val="表格（小）"/>
    <w:basedOn w:val="1"/>
    <w:qFormat/>
    <w:uiPriority w:val="0"/>
    <w:pPr>
      <w:adjustRightInd/>
      <w:snapToGrid w:val="0"/>
      <w:spacing w:line="300" w:lineRule="auto"/>
    </w:pPr>
    <w:rPr>
      <w:rFonts w:eastAsia="仿宋"/>
      <w:szCs w:val="21"/>
    </w:rPr>
  </w:style>
  <w:style w:type="paragraph" w:customStyle="1" w:styleId="387">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88">
    <w:name w:val="Char3 Char Char1"/>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89">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90">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91">
    <w:name w:val="Char Char Char Char2"/>
    <w:basedOn w:val="1"/>
    <w:qFormat/>
    <w:uiPriority w:val="0"/>
    <w:rPr>
      <w:rFonts w:ascii="Tahoma" w:hAnsi="Tahoma"/>
      <w:sz w:val="24"/>
      <w:szCs w:val="20"/>
    </w:rPr>
  </w:style>
  <w:style w:type="paragraph" w:customStyle="1" w:styleId="392">
    <w:name w:val="p0"/>
    <w:basedOn w:val="1"/>
    <w:qFormat/>
    <w:uiPriority w:val="0"/>
    <w:pPr>
      <w:widowControl/>
      <w:adjustRightInd/>
    </w:pPr>
    <w:rPr>
      <w:kern w:val="0"/>
      <w:szCs w:val="21"/>
    </w:rPr>
  </w:style>
  <w:style w:type="paragraph" w:customStyle="1" w:styleId="393">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394">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395">
    <w:name w:val="默认段落样式"/>
    <w:basedOn w:val="396"/>
    <w:qFormat/>
    <w:uiPriority w:val="0"/>
    <w:pPr>
      <w:spacing w:before="0"/>
      <w:ind w:firstLine="480"/>
      <w:outlineLvl w:val="2"/>
    </w:pPr>
    <w:rPr>
      <w:rFonts w:ascii="仿宋_GB2312" w:hAnsi="宋体" w:eastAsia="仿宋_GB2312"/>
      <w:color w:val="000000"/>
      <w:szCs w:val="24"/>
    </w:rPr>
  </w:style>
  <w:style w:type="paragraph" w:customStyle="1" w:styleId="396">
    <w:name w:val="正文2"/>
    <w:basedOn w:val="1"/>
    <w:link w:val="449"/>
    <w:qFormat/>
    <w:uiPriority w:val="0"/>
    <w:pPr>
      <w:spacing w:before="156" w:line="360" w:lineRule="auto"/>
      <w:ind w:firstLine="510" w:firstLineChars="200"/>
    </w:pPr>
    <w:rPr>
      <w:sz w:val="24"/>
      <w:szCs w:val="20"/>
    </w:rPr>
  </w:style>
  <w:style w:type="paragraph" w:customStyle="1" w:styleId="397">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398">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399">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00">
    <w:name w:val="bullet"/>
    <w:basedOn w:val="1"/>
    <w:qFormat/>
    <w:uiPriority w:val="0"/>
    <w:pPr>
      <w:tabs>
        <w:tab w:val="left" w:pos="840"/>
      </w:tabs>
      <w:adjustRightInd/>
      <w:ind w:left="840" w:hanging="420"/>
    </w:pPr>
  </w:style>
  <w:style w:type="paragraph" w:customStyle="1" w:styleId="401">
    <w:name w:val="五级条标题"/>
    <w:basedOn w:val="174"/>
    <w:next w:val="141"/>
    <w:qFormat/>
    <w:uiPriority w:val="0"/>
    <w:pPr>
      <w:numPr>
        <w:ilvl w:val="6"/>
      </w:numPr>
      <w:tabs>
        <w:tab w:val="clear" w:pos="2940"/>
      </w:tabs>
      <w:outlineLvl w:val="6"/>
    </w:pPr>
  </w:style>
  <w:style w:type="paragraph" w:customStyle="1" w:styleId="402">
    <w:name w:val="Char Char Char Char Char Char Char Char"/>
    <w:basedOn w:val="1"/>
    <w:qFormat/>
    <w:uiPriority w:val="0"/>
    <w:pPr>
      <w:tabs>
        <w:tab w:val="left" w:pos="360"/>
      </w:tabs>
    </w:pPr>
    <w:rPr>
      <w:sz w:val="24"/>
      <w:szCs w:val="20"/>
    </w:rPr>
  </w:style>
  <w:style w:type="paragraph" w:customStyle="1" w:styleId="403">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404">
    <w:name w:val="数字标题5"/>
    <w:basedOn w:val="7"/>
    <w:next w:val="1"/>
    <w:qFormat/>
    <w:uiPriority w:val="0"/>
    <w:pPr>
      <w:numPr>
        <w:numId w:val="5"/>
      </w:numPr>
      <w:tabs>
        <w:tab w:val="left" w:pos="480"/>
        <w:tab w:val="left" w:pos="1080"/>
        <w:tab w:val="clear" w:pos="1008"/>
      </w:tabs>
    </w:pPr>
  </w:style>
  <w:style w:type="paragraph" w:customStyle="1" w:styleId="405">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406">
    <w:name w:val="公文正文"/>
    <w:basedOn w:val="1"/>
    <w:qFormat/>
    <w:uiPriority w:val="0"/>
    <w:pPr>
      <w:adjustRightInd/>
      <w:spacing w:before="156" w:line="360" w:lineRule="auto"/>
      <w:ind w:firstLine="360" w:firstLineChars="200"/>
    </w:pPr>
    <w:rPr>
      <w:rFonts w:ascii="仿宋_GB2312" w:eastAsia="仿宋_GB2312"/>
      <w:sz w:val="24"/>
    </w:rPr>
  </w:style>
  <w:style w:type="paragraph" w:customStyle="1" w:styleId="407">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408">
    <w:name w:val="表格文字"/>
    <w:basedOn w:val="1"/>
    <w:next w:val="5"/>
    <w:qFormat/>
    <w:uiPriority w:val="0"/>
    <w:pPr>
      <w:adjustRightInd/>
      <w:ind w:firstLine="200" w:firstLineChars="200"/>
    </w:pPr>
    <w:rPr>
      <w:rFonts w:ascii="Arial" w:hAnsi="Arial"/>
      <w:spacing w:val="-5"/>
      <w:kern w:val="0"/>
      <w:sz w:val="24"/>
      <w:szCs w:val="20"/>
    </w:rPr>
  </w:style>
  <w:style w:type="paragraph" w:customStyle="1" w:styleId="409">
    <w:name w:val="0"/>
    <w:basedOn w:val="1"/>
    <w:qFormat/>
    <w:uiPriority w:val="0"/>
    <w:pPr>
      <w:widowControl/>
    </w:pPr>
    <w:rPr>
      <w:kern w:val="0"/>
      <w:sz w:val="24"/>
      <w:szCs w:val="20"/>
    </w:rPr>
  </w:style>
  <w:style w:type="paragraph" w:customStyle="1" w:styleId="410">
    <w:name w:val="Char11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11">
    <w:name w:val="b11_01b"/>
    <w:basedOn w:val="1"/>
    <w:next w:val="1"/>
    <w:link w:val="553"/>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412">
    <w:name w:val="MM Topic 5"/>
    <w:basedOn w:val="7"/>
    <w:qFormat/>
    <w:uiPriority w:val="0"/>
    <w:pPr>
      <w:numPr>
        <w:numId w:val="4"/>
      </w:numPr>
      <w:tabs>
        <w:tab w:val="left" w:pos="840"/>
        <w:tab w:val="left" w:pos="2520"/>
        <w:tab w:val="clear" w:pos="1008"/>
      </w:tabs>
      <w:adjustRightInd/>
    </w:pPr>
  </w:style>
  <w:style w:type="paragraph" w:customStyle="1" w:styleId="413">
    <w:name w:val="样式 标题 3标题 3 Char第二层条h33Bold Headbh章标题1小标题level_3PIM 3..."/>
    <w:basedOn w:val="4"/>
    <w:qFormat/>
    <w:uiPriority w:val="0"/>
    <w:pPr>
      <w:numPr>
        <w:numId w:val="0"/>
      </w:numPr>
      <w:snapToGrid w:val="0"/>
      <w:spacing w:before="0" w:after="0" w:line="360" w:lineRule="auto"/>
    </w:pPr>
    <w:rPr>
      <w:rFonts w:ascii="黑体" w:hAnsi="宋体" w:eastAsia="黑体" w:cs="宋体"/>
      <w:b w:val="0"/>
      <w:bCs w:val="0"/>
      <w:color w:val="000000"/>
      <w:kern w:val="0"/>
      <w:sz w:val="28"/>
      <w:szCs w:val="20"/>
    </w:rPr>
  </w:style>
  <w:style w:type="paragraph" w:customStyle="1" w:styleId="414">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415">
    <w:name w:val="数字标题1"/>
    <w:basedOn w:val="2"/>
    <w:next w:val="1"/>
    <w:qFormat/>
    <w:uiPriority w:val="0"/>
    <w:pPr>
      <w:numPr>
        <w:numId w:val="5"/>
      </w:numPr>
      <w:tabs>
        <w:tab w:val="left" w:pos="480"/>
        <w:tab w:val="clear" w:pos="432"/>
      </w:tabs>
    </w:pPr>
  </w:style>
  <w:style w:type="paragraph" w:customStyle="1" w:styleId="416">
    <w:name w:val="Char1 Char Char Char6"/>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417">
    <w:name w:val="标书标题3"/>
    <w:basedOn w:val="4"/>
    <w:qFormat/>
    <w:uiPriority w:val="0"/>
    <w:pPr>
      <w:keepLines w:val="0"/>
      <w:widowControl/>
      <w:numPr>
        <w:numId w:val="0"/>
      </w:numPr>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418">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19">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20">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421">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422">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423">
    <w:name w:val="MM Topic 1"/>
    <w:basedOn w:val="2"/>
    <w:qFormat/>
    <w:uiPriority w:val="0"/>
    <w:pPr>
      <w:numPr>
        <w:numId w:val="0"/>
      </w:numPr>
      <w:tabs>
        <w:tab w:val="left" w:pos="840"/>
        <w:tab w:val="clear" w:pos="432"/>
      </w:tabs>
      <w:adjustRightInd/>
      <w:ind w:left="840" w:hanging="420"/>
    </w:pPr>
  </w:style>
  <w:style w:type="paragraph" w:customStyle="1" w:styleId="424">
    <w:name w:val="Char Char Char Char Char Char Char Char1"/>
    <w:basedOn w:val="1"/>
    <w:qFormat/>
    <w:uiPriority w:val="0"/>
    <w:pPr>
      <w:tabs>
        <w:tab w:val="left" w:pos="360"/>
      </w:tabs>
    </w:pPr>
    <w:rPr>
      <w:sz w:val="24"/>
      <w:szCs w:val="20"/>
    </w:rPr>
  </w:style>
  <w:style w:type="paragraph" w:customStyle="1" w:styleId="425">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426">
    <w:name w:val="Char3 Char Char Char1"/>
    <w:basedOn w:val="1"/>
    <w:qFormat/>
    <w:uiPriority w:val="0"/>
    <w:pPr>
      <w:widowControl/>
      <w:adjustRightInd/>
      <w:spacing w:after="160" w:line="240" w:lineRule="exact"/>
      <w:jc w:val="left"/>
    </w:pPr>
    <w:rPr>
      <w:szCs w:val="20"/>
    </w:rPr>
  </w:style>
  <w:style w:type="paragraph" w:customStyle="1" w:styleId="427">
    <w:name w:val="Char Char12"/>
    <w:basedOn w:val="1"/>
    <w:qFormat/>
    <w:uiPriority w:val="0"/>
    <w:pPr>
      <w:widowControl/>
      <w:spacing w:after="160" w:line="240" w:lineRule="exact"/>
      <w:jc w:val="left"/>
    </w:pPr>
    <w:rPr>
      <w:rFonts w:eastAsia="仿宋_GB2312"/>
      <w:sz w:val="28"/>
    </w:rPr>
  </w:style>
  <w:style w:type="paragraph" w:customStyle="1" w:styleId="428">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429">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430">
    <w:name w:val="正文文本 21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1">
    <w:name w:val="单元格左对齐"/>
    <w:basedOn w:val="1"/>
    <w:qFormat/>
    <w:uiPriority w:val="0"/>
    <w:pPr>
      <w:adjustRightInd/>
      <w:spacing w:line="360" w:lineRule="auto"/>
    </w:pPr>
    <w:rPr>
      <w:sz w:val="24"/>
    </w:rPr>
  </w:style>
  <w:style w:type="paragraph" w:customStyle="1" w:styleId="432">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433">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character" w:customStyle="1" w:styleId="434">
    <w:name w:val="正文文本 Char"/>
    <w:qFormat/>
    <w:uiPriority w:val="0"/>
    <w:rPr>
      <w:rFonts w:eastAsia="宋体"/>
      <w:kern w:val="2"/>
      <w:sz w:val="24"/>
      <w:szCs w:val="24"/>
      <w:lang w:val="en-US" w:eastAsia="zh-CN" w:bidi="ar-SA"/>
    </w:rPr>
  </w:style>
  <w:style w:type="character" w:customStyle="1" w:styleId="435">
    <w:name w:val="myp1111"/>
    <w:qFormat/>
    <w:uiPriority w:val="0"/>
    <w:rPr>
      <w:rFonts w:hint="default" w:ascii="ˎ̥" w:hAnsi="ˎ̥"/>
      <w:color w:val="000000"/>
      <w:sz w:val="20"/>
      <w:szCs w:val="20"/>
      <w:u w:val="none"/>
    </w:rPr>
  </w:style>
  <w:style w:type="character" w:customStyle="1" w:styleId="436">
    <w:name w:val="mdeck"/>
    <w:qFormat/>
    <w:uiPriority w:val="0"/>
    <w:rPr>
      <w:rFonts w:ascii="仿宋_GB2312" w:eastAsia="微软雅黑"/>
      <w:b/>
      <w:kern w:val="2"/>
      <w:sz w:val="32"/>
      <w:szCs w:val="32"/>
      <w:lang w:val="en-US" w:eastAsia="zh-CN" w:bidi="ar-SA"/>
    </w:rPr>
  </w:style>
  <w:style w:type="character" w:customStyle="1" w:styleId="437">
    <w:name w:val="签名 字符"/>
    <w:link w:val="40"/>
    <w:qFormat/>
    <w:uiPriority w:val="0"/>
    <w:rPr>
      <w:rFonts w:eastAsia="仿宋_GB2312"/>
      <w:sz w:val="24"/>
    </w:rPr>
  </w:style>
  <w:style w:type="character" w:customStyle="1" w:styleId="438">
    <w:name w:val="tw4winMark"/>
    <w:qFormat/>
    <w:uiPriority w:val="0"/>
    <w:rPr>
      <w:rFonts w:ascii="Courier New" w:hAnsi="Courier New" w:cs="Courier New"/>
      <w:vanish/>
      <w:color w:val="800080"/>
      <w:sz w:val="24"/>
      <w:szCs w:val="24"/>
      <w:vertAlign w:val="subscript"/>
    </w:rPr>
  </w:style>
  <w:style w:type="character" w:customStyle="1" w:styleId="439">
    <w:name w:val="Char Char9"/>
    <w:qFormat/>
    <w:uiPriority w:val="0"/>
    <w:rPr>
      <w:rFonts w:ascii="Times New Roman" w:hAnsi="Times New Roman" w:eastAsia="宋体" w:cs="Times New Roman"/>
      <w:b/>
      <w:bCs/>
      <w:kern w:val="2"/>
      <w:sz w:val="32"/>
      <w:szCs w:val="32"/>
      <w:lang w:val="en-US" w:eastAsia="zh-CN" w:bidi="ar-SA"/>
    </w:rPr>
  </w:style>
  <w:style w:type="character" w:customStyle="1" w:styleId="440">
    <w:name w:val="Balloon Text Char"/>
    <w:semiHidden/>
    <w:qFormat/>
    <w:locked/>
    <w:uiPriority w:val="0"/>
    <w:rPr>
      <w:rFonts w:eastAsia="宋体"/>
      <w:kern w:val="2"/>
      <w:sz w:val="18"/>
      <w:szCs w:val="18"/>
      <w:lang w:val="en-US" w:eastAsia="zh-CN" w:bidi="ar-SA"/>
    </w:rPr>
  </w:style>
  <w:style w:type="character" w:customStyle="1" w:styleId="441">
    <w:name w:val="正文非缩进 Char"/>
    <w:qFormat/>
    <w:uiPriority w:val="0"/>
    <w:rPr>
      <w:rFonts w:ascii="宋体" w:eastAsia="宋体"/>
      <w:snapToGrid w:val="0"/>
      <w:color w:val="000000"/>
      <w:kern w:val="28"/>
      <w:sz w:val="28"/>
      <w:lang w:val="en-US" w:eastAsia="zh-CN" w:bidi="ar-SA"/>
    </w:rPr>
  </w:style>
  <w:style w:type="character" w:customStyle="1" w:styleId="442">
    <w:name w:val="此正文 Char"/>
    <w:link w:val="357"/>
    <w:qFormat/>
    <w:uiPriority w:val="0"/>
    <w:rPr>
      <w:kern w:val="2"/>
      <w:sz w:val="24"/>
      <w:szCs w:val="24"/>
    </w:rPr>
  </w:style>
  <w:style w:type="character" w:customStyle="1" w:styleId="443">
    <w:name w:val="Ò³Ã¼ Char Char"/>
    <w:qFormat/>
    <w:uiPriority w:val="0"/>
    <w:rPr>
      <w:rFonts w:eastAsia="宋体"/>
      <w:kern w:val="2"/>
      <w:sz w:val="18"/>
      <w:lang w:val="en-US" w:eastAsia="zh-CN" w:bidi="ar-SA"/>
    </w:rPr>
  </w:style>
  <w:style w:type="character" w:customStyle="1" w:styleId="444">
    <w:name w:val="style91"/>
    <w:qFormat/>
    <w:uiPriority w:val="0"/>
    <w:rPr>
      <w:color w:val="333333"/>
    </w:rPr>
  </w:style>
  <w:style w:type="character" w:customStyle="1" w:styleId="445">
    <w:name w:val="标书1 Char"/>
    <w:qFormat/>
    <w:uiPriority w:val="0"/>
    <w:rPr>
      <w:rFonts w:eastAsia="宋体"/>
      <w:b/>
      <w:bCs/>
      <w:kern w:val="44"/>
      <w:sz w:val="44"/>
      <w:szCs w:val="44"/>
      <w:lang w:val="en-US" w:eastAsia="zh-CN" w:bidi="ar-SA"/>
    </w:rPr>
  </w:style>
  <w:style w:type="character" w:customStyle="1" w:styleId="446">
    <w:name w:val="ca-131"/>
    <w:qFormat/>
    <w:uiPriority w:val="0"/>
    <w:rPr>
      <w:rFonts w:hint="eastAsia" w:ascii="仿宋_GB2312" w:eastAsia="仿宋_GB2312"/>
      <w:b/>
      <w:bCs/>
      <w:color w:val="000000"/>
      <w:spacing w:val="-20"/>
      <w:sz w:val="24"/>
      <w:szCs w:val="24"/>
    </w:rPr>
  </w:style>
  <w:style w:type="character" w:customStyle="1" w:styleId="447">
    <w:name w:val="标书正文格式 Char"/>
    <w:qFormat/>
    <w:uiPriority w:val="0"/>
    <w:rPr>
      <w:rFonts w:eastAsia="楷体_GB2312"/>
      <w:kern w:val="2"/>
      <w:sz w:val="24"/>
      <w:szCs w:val="24"/>
      <w:lang w:bidi="ar-SA"/>
    </w:rPr>
  </w:style>
  <w:style w:type="character" w:customStyle="1" w:styleId="448">
    <w:name w:val="Char Char6"/>
    <w:qFormat/>
    <w:uiPriority w:val="0"/>
    <w:rPr>
      <w:rFonts w:eastAsia="宋体"/>
      <w:kern w:val="2"/>
      <w:sz w:val="21"/>
      <w:szCs w:val="24"/>
      <w:lang w:val="en-US" w:eastAsia="zh-CN" w:bidi="ar-SA"/>
    </w:rPr>
  </w:style>
  <w:style w:type="character" w:customStyle="1" w:styleId="449">
    <w:name w:val="正文2 Char Char"/>
    <w:link w:val="396"/>
    <w:qFormat/>
    <w:uiPriority w:val="0"/>
    <w:rPr>
      <w:rFonts w:eastAsia="宋体"/>
      <w:kern w:val="2"/>
      <w:sz w:val="24"/>
      <w:lang w:val="en-US" w:eastAsia="zh-CN" w:bidi="ar-SA"/>
    </w:rPr>
  </w:style>
  <w:style w:type="character" w:customStyle="1" w:styleId="450">
    <w:name w:val="content"/>
    <w:qFormat/>
    <w:uiPriority w:val="0"/>
  </w:style>
  <w:style w:type="character" w:customStyle="1" w:styleId="451">
    <w:name w:val="正文文本 2 Char"/>
    <w:qFormat/>
    <w:uiPriority w:val="0"/>
    <w:rPr>
      <w:rFonts w:eastAsia="宋体"/>
      <w:kern w:val="2"/>
      <w:sz w:val="21"/>
      <w:szCs w:val="24"/>
      <w:lang w:val="en-US" w:eastAsia="zh-CN" w:bidi="ar-SA"/>
    </w:rPr>
  </w:style>
  <w:style w:type="character" w:customStyle="1" w:styleId="452">
    <w:name w:val="Heading 2 Hidden Char"/>
    <w:qFormat/>
    <w:uiPriority w:val="0"/>
    <w:rPr>
      <w:rFonts w:ascii="仿宋_GB2312" w:eastAsia="仿宋_GB2312"/>
      <w:b/>
      <w:bCs/>
      <w:kern w:val="2"/>
      <w:sz w:val="24"/>
      <w:szCs w:val="24"/>
      <w:lang w:val="zh-CN" w:eastAsia="zh-CN" w:bidi="ar-SA"/>
    </w:rPr>
  </w:style>
  <w:style w:type="character" w:customStyle="1" w:styleId="453">
    <w:name w:val="首行缩进 Char"/>
    <w:qFormat/>
    <w:uiPriority w:val="0"/>
    <w:rPr>
      <w:rFonts w:ascii="宋体" w:eastAsia="宋体"/>
      <w:kern w:val="2"/>
      <w:sz w:val="24"/>
      <w:lang w:val="en-US" w:eastAsia="zh-CN" w:bidi="ar-SA"/>
    </w:rPr>
  </w:style>
  <w:style w:type="character" w:customStyle="1" w:styleId="454">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455">
    <w:name w:val="普通文字 Char Char1"/>
    <w:qFormat/>
    <w:uiPriority w:val="0"/>
    <w:rPr>
      <w:rFonts w:ascii="宋体" w:hAnsi="Courier New"/>
      <w:kern w:val="2"/>
      <w:sz w:val="21"/>
    </w:rPr>
  </w:style>
  <w:style w:type="character" w:customStyle="1" w:styleId="456">
    <w:name w:val="Footer-Even Char"/>
    <w:qFormat/>
    <w:uiPriority w:val="0"/>
    <w:rPr>
      <w:rFonts w:eastAsia="宋体"/>
      <w:kern w:val="2"/>
      <w:sz w:val="18"/>
      <w:lang w:val="en-US" w:eastAsia="zh-CN" w:bidi="ar-SA"/>
    </w:rPr>
  </w:style>
  <w:style w:type="character" w:customStyle="1" w:styleId="457">
    <w:name w:val="dandyren_title1"/>
    <w:qFormat/>
    <w:uiPriority w:val="0"/>
    <w:rPr>
      <w:b/>
      <w:bCs/>
      <w:color w:val="FF6633"/>
      <w:sz w:val="18"/>
      <w:szCs w:val="18"/>
    </w:rPr>
  </w:style>
  <w:style w:type="character" w:customStyle="1" w:styleId="458">
    <w:name w:val="标题 3 Char2"/>
    <w:qFormat/>
    <w:uiPriority w:val="0"/>
    <w:rPr>
      <w:rFonts w:eastAsia="宋体"/>
      <w:b/>
      <w:bCs/>
      <w:kern w:val="2"/>
      <w:sz w:val="32"/>
      <w:szCs w:val="32"/>
      <w:lang w:val="en-US" w:eastAsia="zh-CN" w:bidi="ar-SA"/>
    </w:rPr>
  </w:style>
  <w:style w:type="character" w:customStyle="1" w:styleId="459">
    <w:name w:val="gray6"/>
    <w:basedOn w:val="62"/>
    <w:qFormat/>
    <w:uiPriority w:val="0"/>
  </w:style>
  <w:style w:type="character" w:customStyle="1" w:styleId="460">
    <w:name w:val="标准正文格式 Char"/>
    <w:qFormat/>
    <w:uiPriority w:val="0"/>
    <w:rPr>
      <w:rFonts w:ascii="宋体" w:eastAsia="仿宋_GB2312" w:cs="宋体"/>
      <w:color w:val="000000"/>
      <w:sz w:val="24"/>
      <w:lang w:val="en-US" w:eastAsia="zh-CN" w:bidi="ar-SA"/>
    </w:rPr>
  </w:style>
  <w:style w:type="character" w:customStyle="1" w:styleId="461">
    <w:name w:val="Char Char3"/>
    <w:qFormat/>
    <w:uiPriority w:val="0"/>
    <w:rPr>
      <w:rFonts w:eastAsia="宋体"/>
      <w:kern w:val="2"/>
      <w:sz w:val="21"/>
      <w:szCs w:val="24"/>
      <w:lang w:val="en-US" w:eastAsia="zh-CN" w:bidi="ar-SA"/>
    </w:rPr>
  </w:style>
  <w:style w:type="character" w:customStyle="1" w:styleId="462">
    <w:name w:val="px14"/>
    <w:qFormat/>
    <w:uiPriority w:val="0"/>
    <w:rPr>
      <w:rFonts w:ascii="仿宋_GB2312" w:eastAsia="微软雅黑" w:cs="Times New Roman"/>
      <w:b/>
      <w:kern w:val="2"/>
      <w:sz w:val="32"/>
      <w:szCs w:val="32"/>
      <w:lang w:val="en-US" w:eastAsia="zh-CN" w:bidi="ar-SA"/>
    </w:rPr>
  </w:style>
  <w:style w:type="character" w:customStyle="1" w:styleId="463">
    <w:name w:val="txt"/>
    <w:qFormat/>
    <w:uiPriority w:val="0"/>
    <w:rPr>
      <w:rFonts w:ascii="仿宋_GB2312" w:eastAsia="微软雅黑"/>
      <w:b/>
      <w:kern w:val="2"/>
      <w:sz w:val="32"/>
      <w:szCs w:val="32"/>
      <w:lang w:val="en-US" w:eastAsia="zh-CN" w:bidi="ar-SA"/>
    </w:rPr>
  </w:style>
  <w:style w:type="character" w:customStyle="1" w:styleId="464">
    <w:name w:val="仿宋正文 Char"/>
    <w:link w:val="341"/>
    <w:qFormat/>
    <w:uiPriority w:val="0"/>
    <w:rPr>
      <w:rFonts w:ascii="仿宋_GB2312" w:eastAsia="仿宋_GB2312"/>
      <w:kern w:val="2"/>
      <w:sz w:val="24"/>
      <w:lang w:val="en-US" w:eastAsia="zh-CN" w:bidi="ar-SA"/>
    </w:rPr>
  </w:style>
  <w:style w:type="character" w:customStyle="1" w:styleId="465">
    <w:name w:val="Comment Text Char"/>
    <w:semiHidden/>
    <w:qFormat/>
    <w:locked/>
    <w:uiPriority w:val="0"/>
    <w:rPr>
      <w:rFonts w:ascii="宋体" w:hAnsi="宋体" w:eastAsia="宋体"/>
      <w:kern w:val="2"/>
      <w:sz w:val="24"/>
      <w:lang w:val="en-US" w:eastAsia="zh-CN" w:bidi="ar-SA"/>
    </w:rPr>
  </w:style>
  <w:style w:type="character" w:customStyle="1" w:styleId="466">
    <w:name w:val="tw4winExternal"/>
    <w:qFormat/>
    <w:uiPriority w:val="0"/>
    <w:rPr>
      <w:rFonts w:ascii="Courier New" w:hAnsi="Courier New" w:cs="Courier New"/>
      <w:color w:val="808080"/>
    </w:rPr>
  </w:style>
  <w:style w:type="character" w:customStyle="1" w:styleId="467">
    <w:name w:val="Char Char10"/>
    <w:semiHidden/>
    <w:qFormat/>
    <w:uiPriority w:val="0"/>
    <w:rPr>
      <w:rFonts w:ascii="宋体" w:hAnsi="宋体"/>
      <w:kern w:val="2"/>
      <w:sz w:val="21"/>
      <w:szCs w:val="24"/>
    </w:rPr>
  </w:style>
  <w:style w:type="character" w:customStyle="1" w:styleId="468">
    <w:name w:val="Bold"/>
    <w:qFormat/>
    <w:uiPriority w:val="0"/>
    <w:rPr>
      <w:rFonts w:ascii="Arial" w:hAnsi="Arial" w:eastAsia="黑体" w:cs="Times New Roman"/>
      <w:b/>
      <w:kern w:val="2"/>
      <w:sz w:val="32"/>
      <w:szCs w:val="32"/>
      <w:lang w:val="en-US" w:eastAsia="zh-CN" w:bidi="ar-SA"/>
    </w:rPr>
  </w:style>
  <w:style w:type="character" w:customStyle="1" w:styleId="469">
    <w:name w:val="Font Style82"/>
    <w:qFormat/>
    <w:uiPriority w:val="99"/>
    <w:rPr>
      <w:rFonts w:ascii="宋体" w:eastAsia="宋体" w:cs="宋体"/>
      <w:color w:val="000000"/>
      <w:sz w:val="14"/>
      <w:szCs w:val="14"/>
    </w:rPr>
  </w:style>
  <w:style w:type="character" w:customStyle="1" w:styleId="470">
    <w:name w:val="标题 2 Char"/>
    <w:qFormat/>
    <w:uiPriority w:val="0"/>
    <w:rPr>
      <w:rFonts w:ascii="Arial" w:hAnsi="Arial" w:eastAsia="黑体"/>
      <w:b/>
      <w:kern w:val="2"/>
      <w:sz w:val="32"/>
      <w:lang w:val="en-US" w:eastAsia="zh-CN"/>
    </w:rPr>
  </w:style>
  <w:style w:type="character" w:customStyle="1" w:styleId="471">
    <w:name w:val="h3 Char"/>
    <w:qFormat/>
    <w:uiPriority w:val="0"/>
    <w:rPr>
      <w:rFonts w:eastAsia="宋体"/>
      <w:b/>
      <w:kern w:val="2"/>
      <w:sz w:val="32"/>
      <w:lang w:val="en-US" w:eastAsia="zh-CN" w:bidi="ar-SA"/>
    </w:rPr>
  </w:style>
  <w:style w:type="character" w:customStyle="1" w:styleId="472">
    <w:name w:val="页眉 Char1"/>
    <w:qFormat/>
    <w:uiPriority w:val="0"/>
    <w:rPr>
      <w:rFonts w:eastAsia="宋体"/>
      <w:kern w:val="2"/>
      <w:sz w:val="18"/>
      <w:szCs w:val="18"/>
      <w:lang w:val="en-US" w:eastAsia="zh-CN" w:bidi="ar-SA"/>
    </w:rPr>
  </w:style>
  <w:style w:type="character" w:customStyle="1" w:styleId="473">
    <w:name w:val="标题 8 字符"/>
    <w:link w:val="10"/>
    <w:qFormat/>
    <w:uiPriority w:val="0"/>
    <w:rPr>
      <w:rFonts w:ascii="Arial" w:hAnsi="Arial" w:eastAsia="黑体"/>
      <w:kern w:val="2"/>
      <w:sz w:val="24"/>
      <w:szCs w:val="24"/>
    </w:rPr>
  </w:style>
  <w:style w:type="character" w:customStyle="1" w:styleId="474">
    <w:name w:val="冯广丽 Char"/>
    <w:link w:val="237"/>
    <w:qFormat/>
    <w:uiPriority w:val="0"/>
    <w:rPr>
      <w:rFonts w:ascii="宋体" w:hAnsi="宋体"/>
      <w:kern w:val="2"/>
      <w:sz w:val="24"/>
      <w:szCs w:val="22"/>
    </w:rPr>
  </w:style>
  <w:style w:type="character" w:customStyle="1" w:styleId="475">
    <w:name w:val="脚注文本 字符"/>
    <w:link w:val="47"/>
    <w:qFormat/>
    <w:uiPriority w:val="0"/>
    <w:rPr>
      <w:color w:val="0000FF"/>
      <w:sz w:val="21"/>
    </w:rPr>
  </w:style>
  <w:style w:type="character" w:customStyle="1" w:styleId="476">
    <w:name w:val="font12gray1"/>
    <w:qFormat/>
    <w:uiPriority w:val="0"/>
    <w:rPr>
      <w:rFonts w:ascii="仿宋_GB2312" w:eastAsia="微软雅黑"/>
      <w:b/>
      <w:spacing w:val="300"/>
      <w:kern w:val="2"/>
      <w:sz w:val="18"/>
      <w:szCs w:val="18"/>
      <w:lang w:val="en-US" w:eastAsia="zh-CN" w:bidi="ar-SA"/>
    </w:rPr>
  </w:style>
  <w:style w:type="character" w:customStyle="1" w:styleId="477">
    <w:name w:val="正文文本缩进 字符"/>
    <w:link w:val="24"/>
    <w:qFormat/>
    <w:uiPriority w:val="0"/>
    <w:rPr>
      <w:rFonts w:ascii="宋体" w:hAnsi="宋体"/>
      <w:kern w:val="2"/>
      <w:sz w:val="24"/>
      <w:szCs w:val="24"/>
    </w:rPr>
  </w:style>
  <w:style w:type="character" w:customStyle="1" w:styleId="478">
    <w:name w:val="方案正文 Char"/>
    <w:qFormat/>
    <w:uiPriority w:val="0"/>
    <w:rPr>
      <w:rFonts w:ascii="仿宋_GB2312" w:eastAsia="仿宋_GB2312"/>
      <w:b/>
      <w:color w:val="000000"/>
      <w:kern w:val="2"/>
      <w:sz w:val="24"/>
      <w:lang w:val="en-US" w:eastAsia="zh-CN" w:bidi="ar-SA"/>
    </w:rPr>
  </w:style>
  <w:style w:type="character" w:customStyle="1" w:styleId="479">
    <w:name w:val="Item List Char"/>
    <w:link w:val="264"/>
    <w:qFormat/>
    <w:uiPriority w:val="0"/>
    <w:rPr>
      <w:rFonts w:ascii="Arial"/>
      <w:bCs/>
      <w:sz w:val="21"/>
      <w:szCs w:val="21"/>
      <w:lang w:val="en-US" w:eastAsia="zh-CN" w:bidi="ar-SA"/>
    </w:rPr>
  </w:style>
  <w:style w:type="character" w:customStyle="1" w:styleId="480">
    <w:name w:val="Normal Indent Char Char"/>
    <w:qFormat/>
    <w:uiPriority w:val="0"/>
    <w:rPr>
      <w:rFonts w:eastAsia="宋体"/>
      <w:kern w:val="2"/>
      <w:sz w:val="21"/>
      <w:lang w:val="en-US" w:eastAsia="zh-CN" w:bidi="ar-SA"/>
    </w:rPr>
  </w:style>
  <w:style w:type="character" w:customStyle="1" w:styleId="481">
    <w:name w:val="t21"/>
    <w:qFormat/>
    <w:uiPriority w:val="0"/>
    <w:rPr>
      <w:rFonts w:ascii="仿宋_GB2312" w:eastAsia="微软雅黑"/>
      <w:b/>
      <w:kern w:val="2"/>
      <w:sz w:val="23"/>
      <w:szCs w:val="23"/>
      <w:lang w:val="en-US" w:eastAsia="zh-CN" w:bidi="ar-SA"/>
    </w:rPr>
  </w:style>
  <w:style w:type="character" w:customStyle="1" w:styleId="482">
    <w:name w:val="Char Char121"/>
    <w:qFormat/>
    <w:uiPriority w:val="0"/>
    <w:rPr>
      <w:rFonts w:ascii="仿宋_GB2312" w:eastAsia="仿宋_GB2312"/>
      <w:b/>
      <w:bCs/>
      <w:kern w:val="2"/>
      <w:sz w:val="24"/>
      <w:szCs w:val="24"/>
      <w:lang w:val="zh-CN" w:eastAsia="zh-CN" w:bidi="ar-SA"/>
    </w:rPr>
  </w:style>
  <w:style w:type="character" w:customStyle="1" w:styleId="483">
    <w:name w:val="标题 7 字符"/>
    <w:link w:val="9"/>
    <w:qFormat/>
    <w:uiPriority w:val="0"/>
    <w:rPr>
      <w:b/>
      <w:bCs/>
      <w:kern w:val="2"/>
      <w:sz w:val="24"/>
      <w:szCs w:val="24"/>
    </w:rPr>
  </w:style>
  <w:style w:type="character" w:customStyle="1" w:styleId="484">
    <w:name w:val="称呼 字符"/>
    <w:link w:val="20"/>
    <w:qFormat/>
    <w:uiPriority w:val="0"/>
    <w:rPr>
      <w:rFonts w:ascii="仿宋_GB2312" w:eastAsia="仿宋_GB2312"/>
      <w:kern w:val="2"/>
      <w:sz w:val="28"/>
    </w:rPr>
  </w:style>
  <w:style w:type="character" w:customStyle="1" w:styleId="485">
    <w:name w:val="正文 项目 Char"/>
    <w:qFormat/>
    <w:uiPriority w:val="0"/>
    <w:rPr>
      <w:rFonts w:ascii="仿宋_GB2312" w:hAnsi="仿宋_GB2312" w:eastAsia="仿宋_GB2312"/>
      <w:kern w:val="2"/>
      <w:sz w:val="24"/>
      <w:lang w:bidi="ar-SA"/>
    </w:rPr>
  </w:style>
  <w:style w:type="character" w:customStyle="1" w:styleId="486">
    <w:name w:val="普通文字 Char1"/>
    <w:qFormat/>
    <w:uiPriority w:val="0"/>
    <w:rPr>
      <w:rFonts w:ascii="宋体" w:hAnsi="Courier New" w:eastAsia="宋体"/>
      <w:kern w:val="2"/>
      <w:sz w:val="21"/>
      <w:lang w:val="en-US" w:eastAsia="zh-CN"/>
    </w:rPr>
  </w:style>
  <w:style w:type="character" w:customStyle="1" w:styleId="487">
    <w:name w:val="正文1 Char1"/>
    <w:qFormat/>
    <w:uiPriority w:val="0"/>
    <w:rPr>
      <w:rFonts w:ascii="仿宋_GB2312" w:hAnsi="Courier New" w:eastAsia="仿宋_GB2312"/>
      <w:kern w:val="28"/>
      <w:sz w:val="24"/>
      <w:szCs w:val="24"/>
    </w:rPr>
  </w:style>
  <w:style w:type="character" w:customStyle="1" w:styleId="488">
    <w:name w:val="hei16b1"/>
    <w:qFormat/>
    <w:uiPriority w:val="0"/>
    <w:rPr>
      <w:rFonts w:hint="default" w:ascii="Arial" w:hAnsi="Arial" w:cs="Arial"/>
      <w:b/>
      <w:bCs/>
      <w:color w:val="000000"/>
      <w:sz w:val="24"/>
      <w:szCs w:val="24"/>
    </w:rPr>
  </w:style>
  <w:style w:type="character" w:customStyle="1" w:styleId="489">
    <w:name w:val="c7 style3"/>
    <w:qFormat/>
    <w:uiPriority w:val="0"/>
  </w:style>
  <w:style w:type="character" w:customStyle="1" w:styleId="490">
    <w:name w:val="副标题 字符"/>
    <w:link w:val="44"/>
    <w:qFormat/>
    <w:uiPriority w:val="0"/>
    <w:rPr>
      <w:rFonts w:ascii="Arial" w:hAnsi="Arial" w:eastAsia="隶书"/>
      <w:b/>
      <w:bCs/>
      <w:kern w:val="28"/>
      <w:sz w:val="44"/>
      <w:szCs w:val="32"/>
      <w:lang w:val="en-US" w:eastAsia="zh-CN" w:bidi="ar-SA"/>
    </w:rPr>
  </w:style>
  <w:style w:type="character" w:customStyle="1" w:styleId="491">
    <w:name w:val="纯文本 字符"/>
    <w:link w:val="32"/>
    <w:qFormat/>
    <w:uiPriority w:val="0"/>
    <w:rPr>
      <w:rFonts w:ascii="宋体" w:hAnsi="Courier New" w:eastAsia="宋体" w:cs="Arial"/>
      <w:snapToGrid w:val="0"/>
      <w:kern w:val="2"/>
      <w:sz w:val="21"/>
      <w:szCs w:val="21"/>
      <w:lang w:val="en-US" w:eastAsia="zh-CN" w:bidi="ar-SA"/>
    </w:rPr>
  </w:style>
  <w:style w:type="character" w:customStyle="1" w:styleId="492">
    <w:name w:val="表正文 Char1"/>
    <w:qFormat/>
    <w:uiPriority w:val="0"/>
    <w:rPr>
      <w:rFonts w:ascii="宋体" w:eastAsia="宋体"/>
      <w:snapToGrid w:val="0"/>
      <w:color w:val="000000"/>
      <w:kern w:val="28"/>
      <w:sz w:val="28"/>
    </w:rPr>
  </w:style>
  <w:style w:type="character" w:customStyle="1" w:styleId="493">
    <w:name w:val="Char Char5"/>
    <w:qFormat/>
    <w:uiPriority w:val="0"/>
    <w:rPr>
      <w:rFonts w:ascii="宋体" w:hAnsi="Courier New" w:eastAsia="宋体"/>
      <w:kern w:val="2"/>
      <w:sz w:val="21"/>
      <w:lang w:val="en-US" w:eastAsia="zh-CN"/>
    </w:rPr>
  </w:style>
  <w:style w:type="character" w:customStyle="1" w:styleId="494">
    <w:name w:val="标题 1 Char Char"/>
    <w:qFormat/>
    <w:uiPriority w:val="0"/>
    <w:rPr>
      <w:rFonts w:hint="eastAsia" w:ascii="宋体" w:hAnsi="宋体" w:eastAsia="宋体"/>
      <w:b/>
      <w:spacing w:val="-2"/>
      <w:sz w:val="24"/>
      <w:lang w:val="en-US" w:eastAsia="zh-CN" w:bidi="ar-SA"/>
    </w:rPr>
  </w:style>
  <w:style w:type="character" w:customStyle="1" w:styleId="495">
    <w:name w:val="Char Char4"/>
    <w:qFormat/>
    <w:uiPriority w:val="0"/>
    <w:rPr>
      <w:rFonts w:eastAsia="宋体"/>
      <w:b/>
      <w:sz w:val="24"/>
      <w:lang w:val="en-GB" w:eastAsia="zh-CN" w:bidi="ar-SA"/>
    </w:rPr>
  </w:style>
  <w:style w:type="character" w:customStyle="1" w:styleId="496">
    <w:name w:val="zbggmain style9"/>
    <w:qFormat/>
    <w:uiPriority w:val="0"/>
  </w:style>
  <w:style w:type="character" w:customStyle="1" w:styleId="497">
    <w:name w:val="Header Char"/>
    <w:semiHidden/>
    <w:qFormat/>
    <w:locked/>
    <w:uiPriority w:val="0"/>
    <w:rPr>
      <w:rFonts w:eastAsia="宋体"/>
      <w:kern w:val="2"/>
      <w:sz w:val="18"/>
      <w:szCs w:val="18"/>
      <w:lang w:val="en-US" w:eastAsia="zh-CN" w:bidi="ar-SA"/>
    </w:rPr>
  </w:style>
  <w:style w:type="character" w:customStyle="1" w:styleId="498">
    <w:name w:val="样式 宋体"/>
    <w:qFormat/>
    <w:uiPriority w:val="0"/>
    <w:rPr>
      <w:rFonts w:ascii="宋体" w:hAnsi="宋体"/>
      <w:sz w:val="24"/>
    </w:rPr>
  </w:style>
  <w:style w:type="character" w:customStyle="1" w:styleId="499">
    <w:name w:val="哈哈正文 Char"/>
    <w:link w:val="315"/>
    <w:qFormat/>
    <w:uiPriority w:val="0"/>
    <w:rPr>
      <w:rFonts w:ascii="宋体" w:hAnsi="宋体" w:eastAsia="宋体"/>
      <w:kern w:val="2"/>
      <w:sz w:val="24"/>
      <w:lang w:bidi="ar-SA"/>
    </w:rPr>
  </w:style>
  <w:style w:type="character" w:customStyle="1" w:styleId="500">
    <w:name w:val="标题 Char"/>
    <w:qFormat/>
    <w:uiPriority w:val="0"/>
    <w:rPr>
      <w:rFonts w:eastAsia="宋体"/>
      <w:b/>
      <w:sz w:val="24"/>
      <w:lang w:val="en-GB" w:eastAsia="zh-CN" w:bidi="ar-SA"/>
    </w:rPr>
  </w:style>
  <w:style w:type="character" w:customStyle="1" w:styleId="501">
    <w:name w:val="纯文本 Char Char Char"/>
    <w:qFormat/>
    <w:uiPriority w:val="0"/>
    <w:rPr>
      <w:rFonts w:ascii="宋体" w:hAnsi="Courier New" w:eastAsia="宋体"/>
      <w:kern w:val="2"/>
      <w:sz w:val="21"/>
      <w:lang w:val="en-US" w:eastAsia="zh-CN" w:bidi="ar-SA"/>
    </w:rPr>
  </w:style>
  <w:style w:type="character" w:customStyle="1" w:styleId="502">
    <w:name w:val="正文 编号 Char"/>
    <w:qFormat/>
    <w:uiPriority w:val="0"/>
    <w:rPr>
      <w:rFonts w:ascii="仿宋_GB2312" w:hAnsi="仿宋_GB2312" w:eastAsia="仿宋_GB2312"/>
      <w:kern w:val="2"/>
      <w:sz w:val="24"/>
      <w:lang w:bidi="ar-SA"/>
    </w:rPr>
  </w:style>
  <w:style w:type="character" w:customStyle="1" w:styleId="503">
    <w:name w:val="插图说明 Char"/>
    <w:qFormat/>
    <w:uiPriority w:val="0"/>
    <w:rPr>
      <w:rFonts w:eastAsia="黑体"/>
      <w:sz w:val="24"/>
      <w:lang w:val="en-US" w:eastAsia="zh-CN"/>
    </w:rPr>
  </w:style>
  <w:style w:type="character" w:customStyle="1" w:styleId="504">
    <w:name w:val="正文文本首行缩进 2 字符"/>
    <w:link w:val="59"/>
    <w:qFormat/>
    <w:uiPriority w:val="0"/>
    <w:rPr>
      <w:rFonts w:ascii="宋体" w:hAnsi="宋体"/>
      <w:kern w:val="2"/>
      <w:sz w:val="21"/>
      <w:szCs w:val="24"/>
    </w:rPr>
  </w:style>
  <w:style w:type="character" w:customStyle="1" w:styleId="505">
    <w:name w:val="正文文本缩进 2 字符"/>
    <w:link w:val="36"/>
    <w:qFormat/>
    <w:uiPriority w:val="0"/>
    <w:rPr>
      <w:rFonts w:ascii="宋体"/>
      <w:sz w:val="28"/>
    </w:rPr>
  </w:style>
  <w:style w:type="character" w:customStyle="1" w:styleId="506">
    <w:name w:val="公文正文 Char"/>
    <w:qFormat/>
    <w:uiPriority w:val="0"/>
    <w:rPr>
      <w:rFonts w:ascii="仿宋_GB2312" w:eastAsia="仿宋_GB2312"/>
      <w:kern w:val="2"/>
      <w:sz w:val="24"/>
      <w:szCs w:val="24"/>
      <w:lang w:val="en-US" w:eastAsia="zh-CN" w:bidi="ar-SA"/>
    </w:rPr>
  </w:style>
  <w:style w:type="character" w:customStyle="1" w:styleId="507">
    <w:name w:val="Char Char41"/>
    <w:qFormat/>
    <w:uiPriority w:val="0"/>
    <w:rPr>
      <w:rFonts w:eastAsia="宋体"/>
      <w:b/>
      <w:sz w:val="24"/>
      <w:lang w:val="en-GB" w:eastAsia="zh-CN" w:bidi="ar-SA"/>
    </w:rPr>
  </w:style>
  <w:style w:type="character" w:customStyle="1" w:styleId="508">
    <w:name w:val="unnamed31"/>
    <w:qFormat/>
    <w:uiPriority w:val="0"/>
    <w:rPr>
      <w:rFonts w:ascii="Tahoma" w:hAnsi="Tahoma" w:eastAsia="宋体"/>
      <w:b/>
      <w:kern w:val="2"/>
      <w:sz w:val="24"/>
      <w:szCs w:val="32"/>
      <w:u w:val="none"/>
      <w:lang w:val="en-US" w:eastAsia="zh-CN" w:bidi="ar-SA"/>
    </w:rPr>
  </w:style>
  <w:style w:type="character" w:customStyle="1" w:styleId="509">
    <w:name w:val="Char Char91"/>
    <w:qFormat/>
    <w:uiPriority w:val="0"/>
    <w:rPr>
      <w:rFonts w:eastAsia="宋体"/>
      <w:kern w:val="2"/>
      <w:sz w:val="18"/>
      <w:szCs w:val="18"/>
      <w:lang w:val="en-US" w:eastAsia="zh-CN" w:bidi="ar-SA"/>
    </w:rPr>
  </w:style>
  <w:style w:type="character" w:customStyle="1" w:styleId="510">
    <w:name w:val="Footer-Even Char1"/>
    <w:qFormat/>
    <w:uiPriority w:val="0"/>
    <w:rPr>
      <w:rFonts w:eastAsia="宋体"/>
      <w:kern w:val="2"/>
      <w:sz w:val="18"/>
      <w:szCs w:val="18"/>
      <w:lang w:val="en-US" w:eastAsia="zh-CN" w:bidi="ar-SA"/>
    </w:rPr>
  </w:style>
  <w:style w:type="character" w:customStyle="1" w:styleId="511">
    <w:name w:val="gf正文1 Char"/>
    <w:qFormat/>
    <w:uiPriority w:val="0"/>
    <w:rPr>
      <w:rFonts w:ascii="宋体" w:hAnsi="宋体" w:eastAsia="宋体" w:cs="宋体"/>
      <w:kern w:val="2"/>
      <w:sz w:val="24"/>
      <w:szCs w:val="24"/>
      <w:lang w:val="en-US" w:eastAsia="zh-CN" w:bidi="ar-SA"/>
    </w:rPr>
  </w:style>
  <w:style w:type="character" w:customStyle="1" w:styleId="512">
    <w:name w:val="javascript"/>
    <w:qFormat/>
    <w:uiPriority w:val="0"/>
  </w:style>
  <w:style w:type="character" w:customStyle="1" w:styleId="513">
    <w:name w:val="列出段落 Char"/>
    <w:qFormat/>
    <w:uiPriority w:val="34"/>
    <w:rPr>
      <w:rFonts w:eastAsia="楷体_GB2312" w:cs="Lucida Sans"/>
      <w:kern w:val="2"/>
      <w:sz w:val="24"/>
      <w:szCs w:val="24"/>
      <w:lang w:val="en-US" w:eastAsia="zh-CN" w:bidi="ar-SA"/>
    </w:rPr>
  </w:style>
  <w:style w:type="character" w:customStyle="1" w:styleId="514">
    <w:name w:val="正文文本 字符"/>
    <w:link w:val="22"/>
    <w:qFormat/>
    <w:uiPriority w:val="0"/>
    <w:rPr>
      <w:rFonts w:ascii="宋体" w:hAnsi="Arial" w:eastAsia="宋体" w:cs="Arial"/>
      <w:snapToGrid w:val="0"/>
      <w:kern w:val="2"/>
      <w:sz w:val="24"/>
      <w:szCs w:val="21"/>
      <w:lang w:val="zh-CN" w:eastAsia="zh-CN" w:bidi="ar-SA"/>
    </w:rPr>
  </w:style>
  <w:style w:type="character" w:customStyle="1" w:styleId="515">
    <w:name w:val="标书表格字体格式 Char"/>
    <w:qFormat/>
    <w:uiPriority w:val="0"/>
    <w:rPr>
      <w:kern w:val="2"/>
      <w:sz w:val="21"/>
      <w:szCs w:val="24"/>
      <w:lang w:bidi="ar-SA"/>
    </w:rPr>
  </w:style>
  <w:style w:type="character" w:customStyle="1" w:styleId="516">
    <w:name w:val="普通文字 Char3"/>
    <w:qFormat/>
    <w:uiPriority w:val="0"/>
    <w:rPr>
      <w:rFonts w:ascii="宋体" w:hAnsi="Courier New" w:eastAsia="宋体"/>
      <w:kern w:val="2"/>
      <w:sz w:val="21"/>
      <w:lang w:val="en-US" w:eastAsia="zh-CN" w:bidi="ar-SA"/>
    </w:rPr>
  </w:style>
  <w:style w:type="character" w:customStyle="1" w:styleId="517">
    <w:name w:val="h Char Char1"/>
    <w:qFormat/>
    <w:uiPriority w:val="0"/>
    <w:rPr>
      <w:rFonts w:eastAsia="宋体"/>
      <w:kern w:val="2"/>
      <w:sz w:val="18"/>
      <w:szCs w:val="18"/>
      <w:lang w:val="en-US" w:eastAsia="zh-CN" w:bidi="ar-SA"/>
    </w:rPr>
  </w:style>
  <w:style w:type="character" w:customStyle="1" w:styleId="518">
    <w:name w:val="冯 Char"/>
    <w:link w:val="76"/>
    <w:qFormat/>
    <w:uiPriority w:val="0"/>
    <w:rPr>
      <w:rFonts w:ascii="宋体" w:hAnsi="宋体"/>
      <w:color w:val="000000"/>
      <w:sz w:val="24"/>
      <w:szCs w:val="24"/>
    </w:rPr>
  </w:style>
  <w:style w:type="character" w:customStyle="1" w:styleId="519">
    <w:name w:val="highlight1"/>
    <w:qFormat/>
    <w:uiPriority w:val="0"/>
    <w:rPr>
      <w:rFonts w:ascii="仿宋_GB2312" w:eastAsia="微软雅黑"/>
      <w:b/>
      <w:kern w:val="2"/>
      <w:sz w:val="23"/>
      <w:szCs w:val="23"/>
      <w:lang w:val="en-US" w:eastAsia="zh-CN" w:bidi="ar-SA"/>
    </w:rPr>
  </w:style>
  <w:style w:type="character" w:customStyle="1" w:styleId="520">
    <w:name w:val="样式6 Char"/>
    <w:qFormat/>
    <w:uiPriority w:val="0"/>
    <w:rPr>
      <w:rFonts w:ascii="仿宋_GB2312" w:hAnsi="宋体" w:eastAsia="仿宋_GB2312"/>
      <w:b/>
      <w:bCs/>
      <w:kern w:val="2"/>
      <w:sz w:val="24"/>
      <w:szCs w:val="24"/>
      <w:lang w:val="en-US" w:eastAsia="zh-CN" w:bidi="ar-SA"/>
    </w:rPr>
  </w:style>
  <w:style w:type="character" w:customStyle="1" w:styleId="521">
    <w:name w:val="标题 9 字符"/>
    <w:link w:val="11"/>
    <w:qFormat/>
    <w:uiPriority w:val="0"/>
    <w:rPr>
      <w:rFonts w:ascii="Arial" w:hAnsi="Arial" w:eastAsia="黑体"/>
      <w:kern w:val="2"/>
      <w:sz w:val="21"/>
      <w:szCs w:val="21"/>
    </w:rPr>
  </w:style>
  <w:style w:type="character" w:customStyle="1" w:styleId="522">
    <w:name w:val="md"/>
    <w:basedOn w:val="62"/>
    <w:qFormat/>
    <w:uiPriority w:val="0"/>
  </w:style>
  <w:style w:type="character" w:customStyle="1" w:styleId="523">
    <w:name w:val="myp11"/>
    <w:qFormat/>
    <w:uiPriority w:val="0"/>
    <w:rPr>
      <w:rFonts w:ascii="仿宋_GB2312" w:eastAsia="微软雅黑"/>
      <w:b/>
      <w:kern w:val="2"/>
      <w:sz w:val="32"/>
      <w:szCs w:val="32"/>
      <w:lang w:val="en-US" w:eastAsia="zh-CN" w:bidi="ar-SA"/>
    </w:rPr>
  </w:style>
  <w:style w:type="character" w:customStyle="1" w:styleId="524">
    <w:name w:val="Ò³Ã¼ Char Char1"/>
    <w:qFormat/>
    <w:uiPriority w:val="0"/>
    <w:rPr>
      <w:rFonts w:eastAsia="宋体"/>
      <w:kern w:val="2"/>
      <w:sz w:val="18"/>
      <w:szCs w:val="18"/>
      <w:lang w:val="en-US" w:eastAsia="zh-CN" w:bidi="ar-SA"/>
    </w:rPr>
  </w:style>
  <w:style w:type="character" w:customStyle="1" w:styleId="525">
    <w:name w:val="tw4winTerm"/>
    <w:qFormat/>
    <w:uiPriority w:val="0"/>
    <w:rPr>
      <w:color w:val="0000FF"/>
    </w:rPr>
  </w:style>
  <w:style w:type="character" w:customStyle="1" w:styleId="526">
    <w:name w:val="表格 Char Char"/>
    <w:qFormat/>
    <w:uiPriority w:val="0"/>
    <w:rPr>
      <w:rFonts w:ascii="宋体" w:hAnsi="宋体" w:eastAsia="宋体"/>
      <w:lang w:bidi="ar-SA"/>
    </w:rPr>
  </w:style>
  <w:style w:type="character" w:customStyle="1" w:styleId="527">
    <w:name w:val="样式8 Char"/>
    <w:qFormat/>
    <w:uiPriority w:val="0"/>
    <w:rPr>
      <w:rFonts w:ascii="仿宋_GB2312" w:hAnsi="宋体" w:eastAsia="仿宋_GB2312"/>
      <w:b/>
      <w:bCs/>
      <w:kern w:val="2"/>
      <w:sz w:val="24"/>
      <w:szCs w:val="24"/>
    </w:rPr>
  </w:style>
  <w:style w:type="character" w:customStyle="1" w:styleId="528">
    <w:name w:val="样式5 Char"/>
    <w:qFormat/>
    <w:uiPriority w:val="0"/>
    <w:rPr>
      <w:rFonts w:ascii="仿宋_GB2312" w:hAnsi="仿宋" w:eastAsia="仿宋_GB2312"/>
      <w:kern w:val="2"/>
      <w:sz w:val="24"/>
      <w:szCs w:val="24"/>
    </w:rPr>
  </w:style>
  <w:style w:type="character" w:customStyle="1" w:styleId="529">
    <w:name w:val="页脚 Char1"/>
    <w:qFormat/>
    <w:uiPriority w:val="0"/>
    <w:rPr>
      <w:rFonts w:eastAsia="宋体"/>
      <w:kern w:val="2"/>
      <w:sz w:val="18"/>
      <w:szCs w:val="18"/>
      <w:lang w:val="en-US" w:eastAsia="zh-CN" w:bidi="ar-SA"/>
    </w:rPr>
  </w:style>
  <w:style w:type="character" w:customStyle="1" w:styleId="530">
    <w:name w:val="tw4winJump"/>
    <w:qFormat/>
    <w:uiPriority w:val="0"/>
    <w:rPr>
      <w:rFonts w:ascii="Courier New" w:hAnsi="Courier New" w:cs="Courier New"/>
      <w:color w:val="008080"/>
    </w:rPr>
  </w:style>
  <w:style w:type="character" w:customStyle="1" w:styleId="531">
    <w:name w:val="批注文字 Char"/>
    <w:qFormat/>
    <w:uiPriority w:val="99"/>
    <w:rPr>
      <w:kern w:val="2"/>
      <w:sz w:val="21"/>
      <w:szCs w:val="24"/>
    </w:rPr>
  </w:style>
  <w:style w:type="character" w:customStyle="1" w:styleId="532">
    <w:name w:val="Char Char122"/>
    <w:qFormat/>
    <w:uiPriority w:val="0"/>
    <w:rPr>
      <w:rFonts w:ascii="仿宋_GB2312" w:eastAsia="仿宋_GB2312"/>
      <w:b/>
      <w:bCs/>
      <w:kern w:val="2"/>
      <w:sz w:val="24"/>
      <w:szCs w:val="24"/>
      <w:lang w:val="zh-CN" w:eastAsia="zh-CN" w:bidi="ar-SA"/>
    </w:rPr>
  </w:style>
  <w:style w:type="character" w:customStyle="1" w:styleId="533">
    <w:name w:val="No Spacing Char"/>
    <w:link w:val="171"/>
    <w:qFormat/>
    <w:uiPriority w:val="1"/>
    <w:rPr>
      <w:rFonts w:ascii="Calibri" w:hAnsi="Calibri"/>
      <w:sz w:val="22"/>
      <w:szCs w:val="22"/>
      <w:lang w:val="en-US" w:eastAsia="zh-CN" w:bidi="ar-SA"/>
    </w:rPr>
  </w:style>
  <w:style w:type="character" w:customStyle="1" w:styleId="534">
    <w:name w:val="Char Char21"/>
    <w:qFormat/>
    <w:uiPriority w:val="0"/>
    <w:rPr>
      <w:rFonts w:ascii="宋体" w:hAnsi="Courier New" w:eastAsia="宋体"/>
      <w:kern w:val="2"/>
      <w:sz w:val="21"/>
      <w:lang w:val="en-US" w:eastAsia="zh-CN" w:bidi="ar-SA"/>
    </w:rPr>
  </w:style>
  <w:style w:type="character" w:customStyle="1" w:styleId="535">
    <w:name w:val="Char Char8"/>
    <w:qFormat/>
    <w:uiPriority w:val="0"/>
    <w:rPr>
      <w:rFonts w:eastAsia="宋体"/>
      <w:b/>
      <w:sz w:val="24"/>
      <w:lang w:val="en-GB" w:eastAsia="zh-CN"/>
    </w:rPr>
  </w:style>
  <w:style w:type="character" w:customStyle="1" w:styleId="536">
    <w:name w:val="font21"/>
    <w:qFormat/>
    <w:uiPriority w:val="0"/>
    <w:rPr>
      <w:rFonts w:hint="eastAsia" w:ascii="宋体" w:hAnsi="宋体" w:eastAsia="宋体"/>
      <w:kern w:val="2"/>
      <w:sz w:val="28"/>
      <w:szCs w:val="28"/>
      <w:lang w:val="en-US" w:eastAsia="zh-CN" w:bidi="ar-SA"/>
    </w:rPr>
  </w:style>
  <w:style w:type="character" w:customStyle="1" w:styleId="537">
    <w:name w:val="正文2 Char"/>
    <w:qFormat/>
    <w:uiPriority w:val="0"/>
    <w:rPr>
      <w:rFonts w:eastAsia="宋体"/>
      <w:kern w:val="2"/>
      <w:sz w:val="24"/>
      <w:lang w:val="en-US" w:eastAsia="zh-CN" w:bidi="ar-SA"/>
    </w:rPr>
  </w:style>
  <w:style w:type="character" w:customStyle="1" w:styleId="538">
    <w:name w:val="big1"/>
    <w:qFormat/>
    <w:uiPriority w:val="0"/>
    <w:rPr>
      <w:rFonts w:hint="eastAsia" w:ascii="宋体" w:hAnsi="宋体" w:eastAsia="宋体"/>
      <w:color w:val="333333"/>
      <w:sz w:val="22"/>
      <w:szCs w:val="22"/>
    </w:rPr>
  </w:style>
  <w:style w:type="character" w:customStyle="1" w:styleId="539">
    <w:name w:val="Body Text(ch) Char Char"/>
    <w:qFormat/>
    <w:uiPriority w:val="0"/>
    <w:rPr>
      <w:rFonts w:ascii="宋体"/>
      <w:kern w:val="2"/>
      <w:sz w:val="24"/>
      <w:szCs w:val="21"/>
      <w:lang w:val="zh-CN"/>
    </w:rPr>
  </w:style>
  <w:style w:type="character" w:customStyle="1" w:styleId="540">
    <w:name w:val="blue1"/>
    <w:basedOn w:val="62"/>
    <w:qFormat/>
    <w:uiPriority w:val="0"/>
  </w:style>
  <w:style w:type="character" w:customStyle="1" w:styleId="541">
    <w:name w:val="正文 项目2 Char"/>
    <w:basedOn w:val="485"/>
    <w:qFormat/>
    <w:uiPriority w:val="0"/>
    <w:rPr>
      <w:rFonts w:ascii="仿宋_GB2312" w:hAnsi="仿宋_GB2312" w:eastAsia="仿宋_GB2312"/>
      <w:kern w:val="2"/>
      <w:sz w:val="24"/>
      <w:lang w:bidi="ar-SA"/>
    </w:rPr>
  </w:style>
  <w:style w:type="character" w:customStyle="1" w:styleId="542">
    <w:name w:val="solutionfonts"/>
    <w:qFormat/>
    <w:uiPriority w:val="0"/>
  </w:style>
  <w:style w:type="character" w:customStyle="1" w:styleId="543">
    <w:name w:val="Char Char81"/>
    <w:qFormat/>
    <w:uiPriority w:val="0"/>
    <w:rPr>
      <w:rFonts w:eastAsia="宋体"/>
      <w:b/>
      <w:sz w:val="24"/>
      <w:lang w:val="en-GB" w:eastAsia="zh-CN"/>
    </w:rPr>
  </w:style>
  <w:style w:type="character" w:customStyle="1" w:styleId="544">
    <w:name w:val="Char Char2"/>
    <w:qFormat/>
    <w:uiPriority w:val="0"/>
    <w:rPr>
      <w:rFonts w:eastAsia="宋体"/>
      <w:b/>
      <w:bCs/>
      <w:kern w:val="2"/>
      <w:sz w:val="21"/>
      <w:szCs w:val="24"/>
      <w:lang w:val="en-US" w:eastAsia="zh-CN" w:bidi="ar-SA"/>
    </w:rPr>
  </w:style>
  <w:style w:type="character" w:customStyle="1" w:styleId="545">
    <w:name w:val="HTML 预设格式 字符"/>
    <w:link w:val="54"/>
    <w:qFormat/>
    <w:uiPriority w:val="0"/>
    <w:rPr>
      <w:rFonts w:ascii="黑体" w:hAnsi="Courier New" w:eastAsia="黑体"/>
    </w:rPr>
  </w:style>
  <w:style w:type="character" w:customStyle="1" w:styleId="546">
    <w:name w:val="Heading 7 Char"/>
    <w:qFormat/>
    <w:locked/>
    <w:uiPriority w:val="0"/>
    <w:rPr>
      <w:rFonts w:ascii="宋体" w:hAnsi="宋体" w:eastAsia="宋体"/>
      <w:b/>
      <w:bCs/>
      <w:kern w:val="2"/>
      <w:sz w:val="24"/>
      <w:szCs w:val="24"/>
      <w:lang w:val="en-US" w:eastAsia="zh-CN" w:bidi="ar-SA"/>
    </w:rPr>
  </w:style>
  <w:style w:type="character" w:customStyle="1" w:styleId="547">
    <w:name w:val="正文文本首行缩进 字符"/>
    <w:link w:val="58"/>
    <w:qFormat/>
    <w:uiPriority w:val="0"/>
    <w:rPr>
      <w:rFonts w:ascii="宋体"/>
      <w:kern w:val="2"/>
      <w:sz w:val="24"/>
      <w:lang w:val="zh-CN"/>
    </w:rPr>
  </w:style>
  <w:style w:type="character" w:customStyle="1" w:styleId="548">
    <w:name w:val="标题 2 Char Char"/>
    <w:qFormat/>
    <w:uiPriority w:val="0"/>
    <w:rPr>
      <w:rFonts w:ascii="楷体_GB2312" w:hAnsi="Arial" w:eastAsia="楷体_GB2312"/>
      <w:b/>
      <w:bCs/>
      <w:kern w:val="2"/>
      <w:sz w:val="24"/>
      <w:szCs w:val="32"/>
      <w:lang w:val="en-US" w:eastAsia="zh-CN" w:bidi="ar-SA"/>
    </w:rPr>
  </w:style>
  <w:style w:type="character" w:customStyle="1" w:styleId="549">
    <w:name w:val="pt141"/>
    <w:qFormat/>
    <w:uiPriority w:val="0"/>
    <w:rPr>
      <w:color w:val="330066"/>
      <w:sz w:val="22"/>
      <w:szCs w:val="22"/>
    </w:rPr>
  </w:style>
  <w:style w:type="character" w:customStyle="1" w:styleId="550">
    <w:name w:val="h Char Char"/>
    <w:qFormat/>
    <w:uiPriority w:val="0"/>
    <w:rPr>
      <w:rFonts w:eastAsia="宋体"/>
      <w:kern w:val="2"/>
      <w:sz w:val="18"/>
      <w:lang w:val="en-US" w:eastAsia="zh-CN" w:bidi="ar-SA"/>
    </w:rPr>
  </w:style>
  <w:style w:type="character" w:customStyle="1" w:styleId="551">
    <w:name w:val="标题 1 字符"/>
    <w:link w:val="2"/>
    <w:qFormat/>
    <w:uiPriority w:val="0"/>
    <w:rPr>
      <w:b/>
      <w:bCs/>
      <w:kern w:val="44"/>
      <w:sz w:val="44"/>
      <w:szCs w:val="44"/>
    </w:rPr>
  </w:style>
  <w:style w:type="character" w:customStyle="1" w:styleId="552">
    <w:name w:val="页眉 Char"/>
    <w:qFormat/>
    <w:uiPriority w:val="0"/>
    <w:rPr>
      <w:rFonts w:eastAsia="仿宋_GB2312"/>
      <w:kern w:val="2"/>
      <w:sz w:val="18"/>
      <w:lang w:val="en-US" w:eastAsia="zh-CN"/>
    </w:rPr>
  </w:style>
  <w:style w:type="character" w:customStyle="1" w:styleId="553">
    <w:name w:val="b11_01b Char"/>
    <w:link w:val="411"/>
    <w:qFormat/>
    <w:uiPriority w:val="0"/>
    <w:rPr>
      <w:rFonts w:ascii="Verdana" w:hAnsi="Verdana"/>
      <w:b/>
      <w:bCs/>
      <w:color w:val="4A82CA"/>
      <w:sz w:val="17"/>
      <w:szCs w:val="17"/>
    </w:rPr>
  </w:style>
  <w:style w:type="character" w:customStyle="1" w:styleId="554">
    <w:name w:val="标题4-dyf Char"/>
    <w:link w:val="349"/>
    <w:qFormat/>
    <w:uiPriority w:val="0"/>
    <w:rPr>
      <w:rFonts w:ascii="Cambria" w:hAnsi="Cambria"/>
      <w:b/>
      <w:bCs/>
      <w:color w:val="000000"/>
      <w:kern w:val="2"/>
      <w:sz w:val="21"/>
      <w:szCs w:val="21"/>
    </w:rPr>
  </w:style>
  <w:style w:type="character" w:customStyle="1" w:styleId="555">
    <w:name w:val="批注主题 Char"/>
    <w:qFormat/>
    <w:uiPriority w:val="0"/>
    <w:rPr>
      <w:rFonts w:eastAsia="宋体"/>
      <w:b/>
      <w:bCs/>
      <w:kern w:val="2"/>
      <w:sz w:val="21"/>
      <w:szCs w:val="24"/>
      <w:lang w:val="en-US" w:eastAsia="zh-CN" w:bidi="ar-SA"/>
    </w:rPr>
  </w:style>
  <w:style w:type="character" w:customStyle="1" w:styleId="556">
    <w:name w:val="标题 3 Char1"/>
    <w:qFormat/>
    <w:uiPriority w:val="0"/>
    <w:rPr>
      <w:rFonts w:hint="eastAsia" w:ascii="华文中宋" w:hAnsi="华文中宋" w:eastAsia="华文中宋"/>
      <w:b/>
      <w:bCs/>
      <w:kern w:val="2"/>
      <w:sz w:val="32"/>
      <w:szCs w:val="32"/>
      <w:lang w:val="en-US" w:eastAsia="zh-CN" w:bidi="ar-SA"/>
    </w:rPr>
  </w:style>
  <w:style w:type="character" w:customStyle="1" w:styleId="557">
    <w:name w:val="正文首行缩进两字 Char"/>
    <w:qFormat/>
    <w:uiPriority w:val="0"/>
    <w:rPr>
      <w:sz w:val="24"/>
      <w:szCs w:val="24"/>
      <w:lang w:val="en-US" w:eastAsia="zh-CN" w:bidi="ar-SA"/>
    </w:rPr>
  </w:style>
  <w:style w:type="character" w:customStyle="1" w:styleId="558">
    <w:name w:val="Char Char51"/>
    <w:qFormat/>
    <w:uiPriority w:val="0"/>
    <w:rPr>
      <w:rFonts w:ascii="宋体" w:hAnsi="Courier New" w:eastAsia="宋体"/>
      <w:kern w:val="2"/>
      <w:sz w:val="21"/>
      <w:lang w:val="en-US" w:eastAsia="zh-CN"/>
    </w:rPr>
  </w:style>
  <w:style w:type="character" w:customStyle="1" w:styleId="559">
    <w:name w:val="带编号样式 Char"/>
    <w:qFormat/>
    <w:uiPriority w:val="0"/>
    <w:rPr>
      <w:rFonts w:ascii="仿宋_GB2312" w:eastAsia="仿宋_GB2312"/>
      <w:color w:val="000000"/>
      <w:sz w:val="24"/>
      <w:lang w:bidi="ar-SA"/>
    </w:rPr>
  </w:style>
  <w:style w:type="character" w:customStyle="1" w:styleId="560">
    <w:name w:val="样式4 Char"/>
    <w:qFormat/>
    <w:uiPriority w:val="0"/>
    <w:rPr>
      <w:rFonts w:ascii="仿宋_GB2312" w:hAnsi="仿宋" w:eastAsia="仿宋_GB2312"/>
      <w:b/>
      <w:kern w:val="2"/>
      <w:sz w:val="32"/>
      <w:szCs w:val="32"/>
      <w:lang w:bidi="ar-SA"/>
    </w:rPr>
  </w:style>
  <w:style w:type="character" w:customStyle="1" w:styleId="561">
    <w:name w:val="样式 标题 4h4H4Fab-4T5Ref Heading 1rh1Heading sqlsect 1.2.3.... Char"/>
    <w:link w:val="173"/>
    <w:qFormat/>
    <w:uiPriority w:val="0"/>
    <w:rPr>
      <w:rFonts w:ascii="微软雅黑" w:hAnsi="微软雅黑" w:eastAsia="微软雅黑"/>
      <w:b/>
      <w:bCs/>
      <w:kern w:val="2"/>
      <w:sz w:val="24"/>
      <w:szCs w:val="28"/>
    </w:rPr>
  </w:style>
  <w:style w:type="character" w:customStyle="1" w:styleId="562">
    <w:name w:val="PI Char"/>
    <w:qFormat/>
    <w:uiPriority w:val="0"/>
    <w:rPr>
      <w:rFonts w:ascii="宋体" w:hAnsi="宋体" w:eastAsia="宋体"/>
      <w:kern w:val="2"/>
      <w:sz w:val="24"/>
      <w:szCs w:val="24"/>
      <w:lang w:val="en-US" w:eastAsia="zh-CN" w:bidi="ar-SA"/>
    </w:rPr>
  </w:style>
  <w:style w:type="character" w:customStyle="1" w:styleId="563">
    <w:name w:val="Char Char111"/>
    <w:qFormat/>
    <w:locked/>
    <w:uiPriority w:val="0"/>
    <w:rPr>
      <w:rFonts w:ascii="宋体" w:hAnsi="宋体" w:eastAsia="宋体"/>
      <w:b/>
      <w:kern w:val="2"/>
      <w:sz w:val="24"/>
      <w:szCs w:val="24"/>
      <w:lang w:val="en-US" w:eastAsia="zh-CN" w:bidi="ar-SA"/>
    </w:rPr>
  </w:style>
  <w:style w:type="character" w:customStyle="1" w:styleId="564">
    <w:name w:val="Document Map Char"/>
    <w:semiHidden/>
    <w:qFormat/>
    <w:locked/>
    <w:uiPriority w:val="0"/>
    <w:rPr>
      <w:rFonts w:eastAsia="宋体"/>
      <w:kern w:val="2"/>
      <w:sz w:val="21"/>
      <w:szCs w:val="24"/>
      <w:lang w:val="en-US" w:eastAsia="zh-CN" w:bidi="ar-SA"/>
    </w:rPr>
  </w:style>
  <w:style w:type="character" w:customStyle="1" w:styleId="565">
    <w:name w:val="正文文本缩进 Char"/>
    <w:qFormat/>
    <w:uiPriority w:val="0"/>
    <w:rPr>
      <w:rFonts w:ascii="宋体" w:hAnsi="宋体"/>
      <w:kern w:val="2"/>
      <w:sz w:val="24"/>
      <w:szCs w:val="24"/>
    </w:rPr>
  </w:style>
  <w:style w:type="character" w:customStyle="1" w:styleId="566">
    <w:name w:val="文本正文 Char Char"/>
    <w:qFormat/>
    <w:locked/>
    <w:uiPriority w:val="0"/>
    <w:rPr>
      <w:sz w:val="24"/>
      <w:lang w:bidi="ar-SA"/>
    </w:rPr>
  </w:style>
  <w:style w:type="character" w:customStyle="1" w:styleId="567">
    <w:name w:val="样式7 Char"/>
    <w:qFormat/>
    <w:uiPriority w:val="0"/>
    <w:rPr>
      <w:rFonts w:ascii="仿宋_GB2312" w:hAnsi="仿宋" w:eastAsia="仿宋_GB2312"/>
      <w:b/>
      <w:kern w:val="2"/>
      <w:sz w:val="24"/>
      <w:szCs w:val="24"/>
    </w:rPr>
  </w:style>
  <w:style w:type="character" w:customStyle="1" w:styleId="568">
    <w:name w:val="样式3 Char"/>
    <w:basedOn w:val="569"/>
    <w:qFormat/>
    <w:uiPriority w:val="0"/>
    <w:rPr>
      <w:rFonts w:ascii="仿宋_GB2312" w:hAnsi="仿宋" w:eastAsia="仿宋_GB2312" w:cs="仿宋_GB2312"/>
      <w:sz w:val="32"/>
      <w:szCs w:val="30"/>
      <w:lang w:val="zh-CN"/>
    </w:rPr>
  </w:style>
  <w:style w:type="character" w:customStyle="1" w:styleId="569">
    <w:name w:val="样式2 Char"/>
    <w:qFormat/>
    <w:uiPriority w:val="0"/>
    <w:rPr>
      <w:rFonts w:ascii="仿宋_GB2312" w:hAnsi="仿宋" w:eastAsia="仿宋_GB2312" w:cs="仿宋_GB2312"/>
      <w:b/>
      <w:bCs/>
      <w:sz w:val="32"/>
      <w:szCs w:val="30"/>
      <w:lang w:val="zh-CN"/>
    </w:rPr>
  </w:style>
  <w:style w:type="character" w:customStyle="1" w:styleId="570">
    <w:name w:val="二级标题 Char Char"/>
    <w:qFormat/>
    <w:uiPriority w:val="0"/>
    <w:rPr>
      <w:rFonts w:ascii="宋体" w:hAnsi="宋体" w:eastAsia="宋体"/>
      <w:b/>
      <w:snapToGrid w:val="0"/>
      <w:kern w:val="2"/>
      <w:sz w:val="24"/>
      <w:szCs w:val="24"/>
      <w:lang w:val="en-US" w:eastAsia="zh-CN" w:bidi="ar-SA"/>
    </w:rPr>
  </w:style>
  <w:style w:type="character" w:customStyle="1" w:styleId="571">
    <w:name w:val="Table Text Char1"/>
    <w:qFormat/>
    <w:uiPriority w:val="0"/>
    <w:rPr>
      <w:rFonts w:eastAsia="宋体"/>
      <w:sz w:val="24"/>
      <w:szCs w:val="24"/>
      <w:lang w:val="en-US" w:eastAsia="zh-CN" w:bidi="ar-SA"/>
    </w:rPr>
  </w:style>
  <w:style w:type="character" w:customStyle="1" w:styleId="572">
    <w:name w:val="shadow11"/>
    <w:qFormat/>
    <w:uiPriority w:val="0"/>
    <w:rPr>
      <w:color w:val="000000"/>
      <w:sz w:val="21"/>
    </w:rPr>
  </w:style>
  <w:style w:type="character" w:customStyle="1" w:styleId="573">
    <w:name w:val="HTML 地址 字符"/>
    <w:link w:val="29"/>
    <w:qFormat/>
    <w:uiPriority w:val="0"/>
    <w:rPr>
      <w:rFonts w:ascii="宋体" w:hAnsi="宋体"/>
      <w:i/>
      <w:iCs/>
      <w:sz w:val="24"/>
      <w:szCs w:val="24"/>
    </w:rPr>
  </w:style>
  <w:style w:type="character" w:customStyle="1" w:styleId="574">
    <w:name w:val="Char Char22"/>
    <w:qFormat/>
    <w:uiPriority w:val="0"/>
    <w:rPr>
      <w:rFonts w:eastAsia="宋体"/>
      <w:b/>
      <w:bCs/>
      <w:kern w:val="2"/>
      <w:sz w:val="21"/>
      <w:szCs w:val="24"/>
      <w:lang w:val="en-US" w:eastAsia="zh-CN" w:bidi="ar-SA"/>
    </w:rPr>
  </w:style>
  <w:style w:type="character" w:customStyle="1" w:styleId="575">
    <w:name w:val="标题 5 字符"/>
    <w:link w:val="7"/>
    <w:qFormat/>
    <w:uiPriority w:val="0"/>
    <w:rPr>
      <w:b/>
      <w:bCs/>
      <w:kern w:val="2"/>
      <w:sz w:val="28"/>
      <w:szCs w:val="28"/>
    </w:rPr>
  </w:style>
  <w:style w:type="character" w:customStyle="1" w:styleId="576">
    <w:name w:val="h3 Char1"/>
    <w:qFormat/>
    <w:uiPriority w:val="0"/>
    <w:rPr>
      <w:rFonts w:eastAsia="宋体"/>
      <w:b/>
      <w:bCs/>
      <w:kern w:val="2"/>
      <w:sz w:val="32"/>
      <w:szCs w:val="32"/>
      <w:lang w:bidi="ar-SA"/>
    </w:rPr>
  </w:style>
  <w:style w:type="character" w:customStyle="1" w:styleId="577">
    <w:name w:val="FA正文 Char Char"/>
    <w:qFormat/>
    <w:uiPriority w:val="0"/>
    <w:rPr>
      <w:rFonts w:hAnsi="宋体"/>
      <w:kern w:val="2"/>
      <w:sz w:val="24"/>
      <w:lang w:bidi="ar-SA"/>
    </w:rPr>
  </w:style>
  <w:style w:type="character" w:customStyle="1" w:styleId="578">
    <w:name w:val="Char Char7"/>
    <w:semiHidden/>
    <w:qFormat/>
    <w:uiPriority w:val="0"/>
    <w:rPr>
      <w:rFonts w:eastAsia="宋体"/>
      <w:kern w:val="2"/>
      <w:sz w:val="21"/>
      <w:szCs w:val="24"/>
      <w:lang w:val="en-US" w:eastAsia="zh-CN" w:bidi="ar-SA"/>
    </w:rPr>
  </w:style>
  <w:style w:type="character" w:customStyle="1" w:styleId="579">
    <w:name w:val="hui"/>
    <w:basedOn w:val="62"/>
    <w:qFormat/>
    <w:uiPriority w:val="0"/>
  </w:style>
  <w:style w:type="character" w:customStyle="1" w:styleId="580">
    <w:name w:val="正文缩进 Char"/>
    <w:qFormat/>
    <w:uiPriority w:val="0"/>
    <w:rPr>
      <w:rFonts w:eastAsia="宋体"/>
      <w:kern w:val="2"/>
      <w:sz w:val="21"/>
      <w:lang w:val="en-US" w:eastAsia="zh-CN"/>
    </w:rPr>
  </w:style>
  <w:style w:type="character" w:customStyle="1" w:styleId="581">
    <w:name w:val="正文1 Char"/>
    <w:qFormat/>
    <w:uiPriority w:val="0"/>
    <w:rPr>
      <w:rFonts w:ascii="宋体" w:eastAsia="宋体"/>
      <w:snapToGrid w:val="0"/>
      <w:color w:val="000000"/>
      <w:kern w:val="28"/>
      <w:sz w:val="28"/>
      <w:lang w:val="en-US" w:eastAsia="zh-CN" w:bidi="ar-SA"/>
    </w:rPr>
  </w:style>
  <w:style w:type="character" w:customStyle="1" w:styleId="582">
    <w:name w:val="Char Char61"/>
    <w:qFormat/>
    <w:uiPriority w:val="0"/>
    <w:rPr>
      <w:rFonts w:eastAsia="宋体"/>
      <w:kern w:val="2"/>
      <w:sz w:val="21"/>
      <w:szCs w:val="24"/>
      <w:lang w:val="en-US" w:eastAsia="zh-CN" w:bidi="ar-SA"/>
    </w:rPr>
  </w:style>
  <w:style w:type="character" w:customStyle="1" w:styleId="583">
    <w:name w:val="正文文本 3 字符"/>
    <w:link w:val="21"/>
    <w:qFormat/>
    <w:uiPriority w:val="0"/>
    <w:rPr>
      <w:kern w:val="2"/>
      <w:sz w:val="21"/>
    </w:rPr>
  </w:style>
  <w:style w:type="character" w:customStyle="1" w:styleId="584">
    <w:name w:val="message1"/>
    <w:qFormat/>
    <w:uiPriority w:val="0"/>
    <w:rPr>
      <w:rFonts w:hint="default" w:ascii="Tahoma" w:hAnsi="Tahoma" w:cs="Tahoma"/>
      <w:sz w:val="18"/>
      <w:szCs w:val="18"/>
    </w:rPr>
  </w:style>
  <w:style w:type="character" w:customStyle="1" w:styleId="585">
    <w:name w:val="DO_NOT_TRANSLATE"/>
    <w:qFormat/>
    <w:uiPriority w:val="0"/>
    <w:rPr>
      <w:rFonts w:ascii="Courier New" w:hAnsi="Courier New" w:cs="Courier New"/>
      <w:color w:val="800000"/>
    </w:rPr>
  </w:style>
  <w:style w:type="character" w:customStyle="1" w:styleId="586">
    <w:name w:val="unnamed11"/>
    <w:qFormat/>
    <w:uiPriority w:val="0"/>
    <w:rPr>
      <w:sz w:val="20"/>
      <w:szCs w:val="20"/>
    </w:rPr>
  </w:style>
  <w:style w:type="character" w:customStyle="1" w:styleId="587">
    <w:name w:val="tw4winInternal"/>
    <w:qFormat/>
    <w:uiPriority w:val="0"/>
    <w:rPr>
      <w:rFonts w:ascii="Courier New" w:hAnsi="Courier New" w:cs="Courier New"/>
      <w:color w:val="FF0000"/>
    </w:rPr>
  </w:style>
  <w:style w:type="character" w:customStyle="1" w:styleId="588">
    <w:name w:val="正文（缩进2汉字） Char"/>
    <w:link w:val="328"/>
    <w:qFormat/>
    <w:uiPriority w:val="0"/>
    <w:rPr>
      <w:rFonts w:ascii="宋体"/>
    </w:rPr>
  </w:style>
  <w:style w:type="character" w:customStyle="1" w:styleId="589">
    <w:name w:val="页脚 Char"/>
    <w:qFormat/>
    <w:uiPriority w:val="0"/>
    <w:rPr>
      <w:rFonts w:eastAsia="仿宋_GB2312"/>
      <w:kern w:val="2"/>
      <w:sz w:val="18"/>
      <w:lang w:val="en-US" w:eastAsia="zh-CN"/>
    </w:rPr>
  </w:style>
  <w:style w:type="character" w:customStyle="1" w:styleId="590">
    <w:name w:val="正文文本缩进 3 字符"/>
    <w:link w:val="50"/>
    <w:qFormat/>
    <w:uiPriority w:val="0"/>
    <w:rPr>
      <w:kern w:val="2"/>
      <w:sz w:val="24"/>
    </w:rPr>
  </w:style>
  <w:style w:type="character" w:customStyle="1" w:styleId="591">
    <w:name w:val="正文缩进 Char1"/>
    <w:qFormat/>
    <w:uiPriority w:val="0"/>
    <w:rPr>
      <w:rFonts w:ascii="宋体" w:eastAsia="宋体"/>
      <w:snapToGrid w:val="0"/>
      <w:color w:val="000000"/>
      <w:kern w:val="28"/>
      <w:sz w:val="28"/>
      <w:lang w:val="en-US" w:eastAsia="zh-CN" w:bidi="ar-SA"/>
    </w:rPr>
  </w:style>
  <w:style w:type="character" w:customStyle="1" w:styleId="592">
    <w:name w:val="style36"/>
    <w:basedOn w:val="62"/>
    <w:qFormat/>
    <w:uiPriority w:val="0"/>
  </w:style>
  <w:style w:type="character" w:customStyle="1" w:styleId="593">
    <w:name w:val="hui3"/>
    <w:qFormat/>
    <w:uiPriority w:val="0"/>
    <w:rPr>
      <w:color w:val="333333"/>
    </w:rPr>
  </w:style>
  <w:style w:type="character" w:customStyle="1" w:styleId="594">
    <w:name w:val="apple-converted-space"/>
    <w:qFormat/>
    <w:uiPriority w:val="0"/>
  </w:style>
  <w:style w:type="character" w:customStyle="1" w:styleId="595">
    <w:name w:val="文档结构图 Char"/>
    <w:qFormat/>
    <w:uiPriority w:val="0"/>
    <w:rPr>
      <w:rFonts w:eastAsia="宋体"/>
      <w:kern w:val="2"/>
      <w:sz w:val="21"/>
      <w:szCs w:val="24"/>
      <w:lang w:val="en-US" w:eastAsia="zh-CN" w:bidi="ar-SA"/>
    </w:rPr>
  </w:style>
  <w:style w:type="character" w:customStyle="1" w:styleId="596">
    <w:name w:val="正文非缩进 Char3"/>
    <w:qFormat/>
    <w:uiPriority w:val="0"/>
    <w:rPr>
      <w:rFonts w:ascii="宋体" w:eastAsia="宋体"/>
      <w:snapToGrid w:val="0"/>
      <w:color w:val="000000"/>
      <w:kern w:val="28"/>
      <w:sz w:val="28"/>
      <w:lang w:val="en-US" w:eastAsia="zh-CN" w:bidi="ar-SA"/>
    </w:rPr>
  </w:style>
  <w:style w:type="character" w:customStyle="1" w:styleId="597">
    <w:name w:val="dectext1"/>
    <w:qFormat/>
    <w:uiPriority w:val="0"/>
    <w:rPr>
      <w:rFonts w:ascii="宋体" w:hAnsi="宋体" w:eastAsia="宋体"/>
      <w:color w:val="333333"/>
      <w:sz w:val="21"/>
      <w:szCs w:val="21"/>
      <w:u w:val="none"/>
    </w:rPr>
  </w:style>
  <w:style w:type="character" w:customStyle="1" w:styleId="598">
    <w:name w:val="副标题 Char1"/>
    <w:qFormat/>
    <w:uiPriority w:val="0"/>
    <w:rPr>
      <w:rFonts w:ascii="Cambria" w:hAnsi="Cambria" w:eastAsia="宋体" w:cs="Times New Roman"/>
      <w:b/>
      <w:bCs/>
      <w:snapToGrid w:val="0"/>
      <w:kern w:val="28"/>
      <w:sz w:val="32"/>
      <w:szCs w:val="32"/>
    </w:rPr>
  </w:style>
  <w:style w:type="character" w:customStyle="1" w:styleId="599">
    <w:name w:val="f141"/>
    <w:qFormat/>
    <w:uiPriority w:val="0"/>
    <w:rPr>
      <w:rFonts w:ascii="Tahoma" w:hAnsi="Tahoma" w:eastAsia="宋体"/>
      <w:b/>
      <w:kern w:val="2"/>
      <w:sz w:val="21"/>
      <w:szCs w:val="21"/>
      <w:lang w:val="en-US" w:eastAsia="zh-CN" w:bidi="ar-SA"/>
    </w:rPr>
  </w:style>
  <w:style w:type="character" w:customStyle="1" w:styleId="600">
    <w:name w:val="日期 字符"/>
    <w:link w:val="35"/>
    <w:qFormat/>
    <w:uiPriority w:val="0"/>
    <w:rPr>
      <w:rFonts w:ascii="宋体"/>
      <w:kern w:val="2"/>
      <w:sz w:val="24"/>
      <w:szCs w:val="21"/>
      <w:lang w:val="zh-CN"/>
    </w:rPr>
  </w:style>
  <w:style w:type="character" w:customStyle="1" w:styleId="601">
    <w:name w:val="标题 4 字符"/>
    <w:link w:val="6"/>
    <w:qFormat/>
    <w:uiPriority w:val="0"/>
    <w:rPr>
      <w:rFonts w:ascii="Arial" w:hAnsi="Arial" w:eastAsia="黑体"/>
      <w:b/>
      <w:bCs/>
      <w:kern w:val="2"/>
      <w:sz w:val="28"/>
      <w:szCs w:val="28"/>
      <w:lang w:val="zh-CN"/>
    </w:rPr>
  </w:style>
  <w:style w:type="character" w:customStyle="1" w:styleId="602">
    <w:name w:val="链接"/>
    <w:qFormat/>
    <w:uiPriority w:val="0"/>
    <w:rPr>
      <w:color w:val="0000FF"/>
      <w:sz w:val="21"/>
      <w:szCs w:val="21"/>
      <w:u w:val="single"/>
    </w:rPr>
  </w:style>
  <w:style w:type="character" w:customStyle="1" w:styleId="603">
    <w:name w:val="正文首行缩进 Char Char Char Char Char Char"/>
    <w:qFormat/>
    <w:uiPriority w:val="0"/>
    <w:rPr>
      <w:rFonts w:ascii="宋体" w:eastAsia="宋体"/>
      <w:kern w:val="2"/>
      <w:sz w:val="24"/>
      <w:lang w:val="zh-CN" w:bidi="ar-SA"/>
    </w:rPr>
  </w:style>
  <w:style w:type="character" w:customStyle="1" w:styleId="604">
    <w:name w:val="tw4winError"/>
    <w:qFormat/>
    <w:uiPriority w:val="0"/>
    <w:rPr>
      <w:rFonts w:ascii="Courier New" w:hAnsi="Courier New" w:cs="Courier New"/>
      <w:color w:val="00FF00"/>
      <w:sz w:val="40"/>
      <w:szCs w:val="40"/>
    </w:rPr>
  </w:style>
  <w:style w:type="character" w:customStyle="1" w:styleId="605">
    <w:name w:val="Used by Word for text of Help footnotes Char Char"/>
    <w:semiHidden/>
    <w:qFormat/>
    <w:uiPriority w:val="0"/>
    <w:rPr>
      <w:rFonts w:ascii="Times New Roman" w:hAnsi="Times New Roman" w:eastAsia="宋体" w:cs="Times New Roman"/>
      <w:sz w:val="20"/>
      <w:szCs w:val="20"/>
    </w:rPr>
  </w:style>
  <w:style w:type="character" w:customStyle="1" w:styleId="606">
    <w:name w:val="Char Char31"/>
    <w:semiHidden/>
    <w:qFormat/>
    <w:uiPriority w:val="0"/>
    <w:rPr>
      <w:rFonts w:ascii="Times New Roman" w:hAnsi="Times New Roman" w:eastAsia="宋体" w:cs="Times New Roman"/>
      <w:b/>
      <w:kern w:val="2"/>
      <w:sz w:val="32"/>
      <w:szCs w:val="24"/>
      <w:lang w:val="en-US" w:eastAsia="zh-CN" w:bidi="ar-SA"/>
    </w:rPr>
  </w:style>
  <w:style w:type="character" w:customStyle="1" w:styleId="607">
    <w:name w:val="表正文 Char"/>
    <w:qFormat/>
    <w:uiPriority w:val="0"/>
    <w:rPr>
      <w:rFonts w:ascii="宋体" w:eastAsia="宋体"/>
      <w:snapToGrid w:val="0"/>
      <w:color w:val="000000"/>
      <w:kern w:val="28"/>
      <w:sz w:val="28"/>
      <w:lang w:val="en-US" w:eastAsia="zh-CN" w:bidi="ar-SA"/>
    </w:rPr>
  </w:style>
  <w:style w:type="character" w:customStyle="1" w:styleId="608">
    <w:name w:val="普通文字 Char1 Char"/>
    <w:qFormat/>
    <w:uiPriority w:val="0"/>
    <w:rPr>
      <w:rFonts w:ascii="宋体" w:hAnsi="Courier New" w:eastAsia="宋体"/>
      <w:kern w:val="2"/>
      <w:sz w:val="21"/>
      <w:szCs w:val="24"/>
      <w:lang w:val="en-US" w:eastAsia="zh-CN" w:bidi="ar-SA"/>
    </w:rPr>
  </w:style>
  <w:style w:type="character" w:customStyle="1" w:styleId="609">
    <w:name w:val="pt9"/>
    <w:qFormat/>
    <w:uiPriority w:val="0"/>
    <w:rPr>
      <w:rFonts w:ascii="仿宋_GB2312" w:eastAsia="微软雅黑"/>
      <w:b/>
      <w:kern w:val="2"/>
      <w:sz w:val="32"/>
      <w:szCs w:val="32"/>
      <w:lang w:val="en-US" w:eastAsia="zh-CN" w:bidi="ar-SA"/>
    </w:rPr>
  </w:style>
  <w:style w:type="character" w:customStyle="1" w:styleId="610">
    <w:name w:val="large1"/>
    <w:qFormat/>
    <w:uiPriority w:val="0"/>
    <w:rPr>
      <w:rFonts w:hint="eastAsia" w:ascii="宋体" w:hAnsi="宋体" w:eastAsia="宋体"/>
      <w:sz w:val="21"/>
      <w:szCs w:val="21"/>
    </w:rPr>
  </w:style>
  <w:style w:type="character" w:customStyle="1" w:styleId="611">
    <w:name w:val="样式 样式 标题 4h4H4Fab-4T5Ref Heading 1rh1Heading sqlsect 1.2.3.... +... Char"/>
    <w:link w:val="172"/>
    <w:qFormat/>
    <w:uiPriority w:val="0"/>
    <w:rPr>
      <w:rFonts w:ascii="微软雅黑" w:hAnsi="微软雅黑" w:eastAsia="微软雅黑"/>
      <w:b/>
      <w:bCs/>
      <w:kern w:val="2"/>
      <w:sz w:val="24"/>
      <w:szCs w:val="28"/>
    </w:rPr>
  </w:style>
  <w:style w:type="character" w:customStyle="1" w:styleId="612">
    <w:name w:val="标题 4 Char1"/>
    <w:semiHidden/>
    <w:qFormat/>
    <w:uiPriority w:val="9"/>
    <w:rPr>
      <w:rFonts w:ascii="Cambria" w:hAnsi="Cambria" w:eastAsia="宋体" w:cs="Times New Roman"/>
      <w:b/>
      <w:bCs/>
      <w:kern w:val="2"/>
      <w:sz w:val="28"/>
      <w:szCs w:val="28"/>
    </w:rPr>
  </w:style>
  <w:style w:type="character" w:customStyle="1" w:styleId="613">
    <w:name w:val="tw4winPopup"/>
    <w:qFormat/>
    <w:uiPriority w:val="0"/>
    <w:rPr>
      <w:rFonts w:ascii="Courier New" w:hAnsi="Courier New" w:cs="Courier New"/>
      <w:color w:val="008000"/>
    </w:rPr>
  </w:style>
  <w:style w:type="character" w:customStyle="1" w:styleId="614">
    <w:name w:val="标题 6 字符"/>
    <w:link w:val="8"/>
    <w:qFormat/>
    <w:uiPriority w:val="0"/>
    <w:rPr>
      <w:rFonts w:ascii="Arial" w:hAnsi="Arial" w:eastAsia="黑体"/>
      <w:b/>
      <w:bCs/>
      <w:kern w:val="2"/>
      <w:sz w:val="24"/>
      <w:szCs w:val="24"/>
    </w:rPr>
  </w:style>
  <w:style w:type="character" w:customStyle="1" w:styleId="615">
    <w:name w:val="正文缩进 字符"/>
    <w:link w:val="5"/>
    <w:qFormat/>
    <w:uiPriority w:val="0"/>
    <w:rPr>
      <w:rFonts w:ascii="宋体" w:eastAsia="宋体"/>
      <w:snapToGrid w:val="0"/>
      <w:color w:val="000000"/>
      <w:kern w:val="28"/>
      <w:sz w:val="28"/>
      <w:lang w:val="en-US" w:eastAsia="zh-CN" w:bidi="ar-SA"/>
    </w:rPr>
  </w:style>
  <w:style w:type="character" w:customStyle="1" w:styleId="616">
    <w:name w:val="批注文字 字符"/>
    <w:link w:val="19"/>
    <w:qFormat/>
    <w:uiPriority w:val="99"/>
    <w:rPr>
      <w:kern w:val="2"/>
      <w:sz w:val="21"/>
      <w:szCs w:val="24"/>
    </w:rPr>
  </w:style>
  <w:style w:type="character" w:customStyle="1" w:styleId="617">
    <w:name w:val="批注框文本 字符"/>
    <w:link w:val="37"/>
    <w:semiHidden/>
    <w:qFormat/>
    <w:uiPriority w:val="0"/>
    <w:rPr>
      <w:kern w:val="2"/>
      <w:sz w:val="18"/>
      <w:szCs w:val="18"/>
    </w:rPr>
  </w:style>
  <w:style w:type="character" w:customStyle="1" w:styleId="618">
    <w:name w:val="Footer Char"/>
    <w:qFormat/>
    <w:locked/>
    <w:uiPriority w:val="0"/>
    <w:rPr>
      <w:rFonts w:eastAsia="宋体"/>
      <w:kern w:val="2"/>
      <w:sz w:val="18"/>
      <w:lang w:val="en-US" w:eastAsia="zh-CN" w:bidi="ar-SA"/>
    </w:rPr>
  </w:style>
  <w:style w:type="paragraph" w:customStyle="1" w:styleId="619">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620">
    <w:name w:val="索引 11"/>
    <w:basedOn w:val="1"/>
    <w:next w:val="1"/>
    <w:qFormat/>
    <w:uiPriority w:val="0"/>
    <w:pPr>
      <w:adjustRightInd/>
      <w:spacing w:line="360" w:lineRule="auto"/>
    </w:pPr>
    <w:rPr>
      <w:rFonts w:ascii="仿宋_GB2312" w:eastAsia="仿宋_GB2312"/>
      <w:sz w:val="24"/>
      <w:szCs w:val="20"/>
    </w:rPr>
  </w:style>
  <w:style w:type="paragraph" w:customStyle="1" w:styleId="621">
    <w:name w:val="Char Char28"/>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622">
    <w:name w:val="纯文本_0_0"/>
    <w:basedOn w:val="1"/>
    <w:link w:val="623"/>
    <w:qFormat/>
    <w:uiPriority w:val="0"/>
    <w:pPr>
      <w:adjustRightInd/>
    </w:pPr>
    <w:rPr>
      <w:rFonts w:ascii="宋体" w:hAnsi="Courier New"/>
      <w:szCs w:val="21"/>
    </w:rPr>
  </w:style>
  <w:style w:type="character" w:customStyle="1" w:styleId="623">
    <w:name w:val="纯文本 Char_0"/>
    <w:link w:val="622"/>
    <w:qFormat/>
    <w:uiPriority w:val="0"/>
    <w:rPr>
      <w:rFonts w:ascii="宋体" w:hAnsi="Courier New"/>
      <w:kern w:val="2"/>
      <w:sz w:val="21"/>
      <w:szCs w:val="21"/>
      <w:lang w:val="en-US" w:eastAsia="zh-CN"/>
    </w:rPr>
  </w:style>
  <w:style w:type="character" w:customStyle="1" w:styleId="624">
    <w:name w:val="纯文本 Char1"/>
    <w:link w:val="625"/>
    <w:qFormat/>
    <w:uiPriority w:val="0"/>
    <w:rPr>
      <w:rFonts w:ascii="宋体" w:hAnsi="Courier New"/>
    </w:rPr>
  </w:style>
  <w:style w:type="paragraph" w:customStyle="1" w:styleId="625">
    <w:name w:val="纯文本1"/>
    <w:basedOn w:val="1"/>
    <w:link w:val="624"/>
    <w:qFormat/>
    <w:uiPriority w:val="0"/>
    <w:pPr>
      <w:adjustRightInd/>
    </w:pPr>
    <w:rPr>
      <w:rFonts w:ascii="宋体" w:hAnsi="Courier New"/>
      <w:kern w:val="0"/>
      <w:sz w:val="20"/>
      <w:szCs w:val="20"/>
    </w:rPr>
  </w:style>
  <w:style w:type="paragraph" w:customStyle="1" w:styleId="626">
    <w:name w:val="Char Char Char Char Char Char Char2"/>
    <w:basedOn w:val="1"/>
    <w:qFormat/>
    <w:uiPriority w:val="0"/>
    <w:rPr>
      <w:rFonts w:ascii="仿宋_GB2312" w:eastAsia="仿宋_GB2312"/>
      <w:b/>
      <w:sz w:val="32"/>
      <w:szCs w:val="32"/>
    </w:rPr>
  </w:style>
  <w:style w:type="paragraph" w:customStyle="1" w:styleId="627">
    <w:name w:val="Char Char1 Char Char Char Char Char Char2"/>
    <w:basedOn w:val="1"/>
    <w:qFormat/>
    <w:uiPriority w:val="0"/>
    <w:rPr>
      <w:rFonts w:ascii="仿宋_GB2312" w:eastAsia="仿宋_GB2312"/>
      <w:b/>
      <w:sz w:val="32"/>
      <w:szCs w:val="20"/>
    </w:rPr>
  </w:style>
  <w:style w:type="paragraph" w:customStyle="1" w:styleId="628">
    <w:name w:val="修订1"/>
    <w:hidden/>
    <w:unhideWhenUsed/>
    <w:qFormat/>
    <w:uiPriority w:val="99"/>
    <w:rPr>
      <w:rFonts w:ascii="Times New Roman" w:hAnsi="Times New Roman" w:eastAsia="宋体" w:cs="Times New Roman"/>
      <w:kern w:val="2"/>
      <w:sz w:val="21"/>
      <w:szCs w:val="24"/>
      <w:lang w:val="en-US" w:eastAsia="zh-CN" w:bidi="ar-SA"/>
    </w:rPr>
  </w:style>
  <w:style w:type="character" w:customStyle="1" w:styleId="629">
    <w:name w:val="Default Char"/>
    <w:link w:val="73"/>
    <w:qFormat/>
    <w:uiPriority w:val="0"/>
    <w:rPr>
      <w:rFonts w:ascii="仿宋_GB2312" w:eastAsia="仿宋_GB2312" w:cs="仿宋_GB2312"/>
      <w:color w:val="000000"/>
      <w:sz w:val="24"/>
      <w:szCs w:val="24"/>
    </w:rPr>
  </w:style>
  <w:style w:type="paragraph" w:customStyle="1" w:styleId="630">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631">
    <w:name w:val="font61"/>
    <w:basedOn w:val="62"/>
    <w:qFormat/>
    <w:uiPriority w:val="0"/>
    <w:rPr>
      <w:rFonts w:hint="eastAsia" w:ascii="仿宋" w:hAnsi="仿宋" w:eastAsia="仿宋" w:cs="仿宋"/>
      <w:snapToGrid w:val="0"/>
      <w:color w:val="000000"/>
      <w:kern w:val="0"/>
      <w:sz w:val="20"/>
      <w:szCs w:val="20"/>
      <w:u w:val="none"/>
    </w:rPr>
  </w:style>
  <w:style w:type="character" w:customStyle="1" w:styleId="632">
    <w:name w:val="font11"/>
    <w:basedOn w:val="62"/>
    <w:qFormat/>
    <w:uiPriority w:val="0"/>
    <w:rPr>
      <w:rFonts w:hint="default" w:ascii="Times New Roman" w:hAnsi="Times New Roman" w:eastAsia="黑体" w:cs="Times New Roman"/>
      <w:snapToGrid w:val="0"/>
      <w:color w:val="000000"/>
      <w:kern w:val="0"/>
      <w:sz w:val="22"/>
      <w:szCs w:val="22"/>
      <w:u w:val="none"/>
    </w:rPr>
  </w:style>
  <w:style w:type="paragraph" w:customStyle="1" w:styleId="633">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634">
    <w:name w:val="WPSOffice手动目录 1"/>
    <w:qFormat/>
    <w:uiPriority w:val="0"/>
    <w:rPr>
      <w:rFonts w:ascii="Times New Roman" w:hAnsi="Times New Roman" w:eastAsia="宋体" w:cs="Times New Roman"/>
      <w:lang w:val="en-US" w:eastAsia="zh-CN" w:bidi="ar-SA"/>
    </w:rPr>
  </w:style>
  <w:style w:type="paragraph" w:customStyle="1" w:styleId="635">
    <w:name w:val="_Style 3"/>
    <w:basedOn w:val="1"/>
    <w:qFormat/>
    <w:uiPriority w:val="0"/>
    <w:pPr>
      <w:adjustRightInd/>
      <w:ind w:firstLine="420" w:firstLineChars="200"/>
    </w:pPr>
    <w:rPr>
      <w:rFonts w:eastAsia="仿宋_GB2312"/>
      <w:sz w:val="28"/>
    </w:rPr>
  </w:style>
  <w:style w:type="paragraph" w:customStyle="1" w:styleId="636">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37">
    <w:name w:val="须知二级小标题"/>
    <w:basedOn w:val="1"/>
    <w:qFormat/>
    <w:uiPriority w:val="0"/>
    <w:pPr>
      <w:spacing w:line="500" w:lineRule="exact"/>
    </w:pPr>
    <w:rPr>
      <w:rFonts w:ascii="宋体"/>
      <w:b/>
      <w:sz w:val="24"/>
      <w:szCs w:val="20"/>
    </w:rPr>
  </w:style>
  <w:style w:type="paragraph" w:customStyle="1" w:styleId="638">
    <w:name w:val="正文 "/>
    <w:basedOn w:val="1"/>
    <w:qFormat/>
    <w:uiPriority w:val="0"/>
    <w:pPr>
      <w:widowControl w:val="0"/>
      <w:adjustRightInd w:val="0"/>
      <w:spacing w:line="318" w:lineRule="atLeast"/>
      <w:ind w:left="369" w:firstLine="369"/>
      <w:jc w:val="both"/>
      <w:textAlignment w:val="baseline"/>
    </w:pPr>
    <w:rPr>
      <w:rFonts w:ascii="宋体"/>
      <w:sz w:val="21"/>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81</Pages>
  <Words>25918</Words>
  <Characters>27753</Characters>
  <Lines>391</Lines>
  <Paragraphs>110</Paragraphs>
  <TotalTime>124</TotalTime>
  <ScaleCrop>false</ScaleCrop>
  <LinksUpToDate>false</LinksUpToDate>
  <CharactersWithSpaces>27989</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2015-04-27T09:52:00Z</dcterms:created>
  <dc:creator>玥</dc:creator>
  <cp:lastModifiedBy>wuki咪</cp:lastModifiedBy>
  <cp:lastPrinted>2025-06-09T08:19:00Z</cp:lastPrinted>
  <dcterms:modified xsi:type="dcterms:W3CDTF">2025-06-16T11:16:27Z</dcterms:modified>
  <dc:title>杭州市市民卡扩大发卡工程</dc:title>
  <cp:revision>453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3F74898CC332495B8055453A66F2DD70_13</vt:lpwstr>
  </property>
  <property fmtid="{D5CDD505-2E9C-101B-9397-08002B2CF9AE}" pid="4" name="KSOTemplateDocerSaveRecord">
    <vt:lpwstr>eyJoZGlkIjoiZjJiOTlkMjBhYjNlNTY2ZDQwY2M5NTY4ZWQ3NWZlNzIiLCJ1c2VySWQiOiIxMTQ0Mjk2MDI4In0=</vt:lpwstr>
  </property>
</Properties>
</file>